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19F570">
      <w:pPr>
        <w:pStyle w:val="4"/>
        <w:ind w:firstLine="0"/>
        <w:rPr>
          <w:rFonts w:hint="eastAsia" w:ascii="宋体" w:hAnsi="宋体" w:cs="宋体"/>
          <w:b/>
          <w:bCs/>
          <w:color w:val="000000" w:themeColor="text1"/>
          <w:sz w:val="44"/>
          <w:szCs w:val="44"/>
          <w14:textFill>
            <w14:solidFill>
              <w14:schemeClr w14:val="tx1"/>
            </w14:solidFill>
          </w14:textFill>
        </w:rPr>
      </w:pPr>
    </w:p>
    <w:p w14:paraId="34E992E5">
      <w:pPr>
        <w:jc w:val="center"/>
        <w:rPr>
          <w:b/>
          <w:bCs/>
          <w:color w:val="000000" w:themeColor="text1"/>
          <w:w w:val="99"/>
          <w:sz w:val="44"/>
          <w:szCs w:val="44"/>
          <w14:textFill>
            <w14:solidFill>
              <w14:schemeClr w14:val="tx1"/>
            </w14:solidFill>
          </w14:textFill>
        </w:rPr>
      </w:pPr>
      <w:r>
        <w:rPr>
          <w:rFonts w:hint="eastAsia" w:hAnsi="宋体" w:cs="宋体"/>
          <w:b/>
          <w:bCs/>
          <w:color w:val="000000" w:themeColor="text1"/>
          <w:w w:val="99"/>
          <w:sz w:val="44"/>
          <w:szCs w:val="44"/>
          <w14:textFill>
            <w14:solidFill>
              <w14:schemeClr w14:val="tx1"/>
            </w14:solidFill>
          </w14:textFill>
        </w:rPr>
        <w:t>上虞区X波段相控阵雷达维护、抢修服务（2部）</w:t>
      </w:r>
    </w:p>
    <w:p w14:paraId="7FB5206C">
      <w:pPr>
        <w:pStyle w:val="4"/>
        <w:rPr>
          <w:rFonts w:ascii="宋体"/>
          <w:b/>
          <w:bCs/>
          <w:color w:val="000000" w:themeColor="text1"/>
          <w:sz w:val="44"/>
          <w:szCs w:val="44"/>
          <w14:textFill>
            <w14:solidFill>
              <w14:schemeClr w14:val="tx1"/>
            </w14:solidFill>
          </w14:textFill>
        </w:rPr>
      </w:pPr>
    </w:p>
    <w:p w14:paraId="62A9C924">
      <w:pPr>
        <w:pStyle w:val="4"/>
        <w:rPr>
          <w:rFonts w:ascii="宋体"/>
          <w:b/>
          <w:bCs/>
          <w:color w:val="000000" w:themeColor="text1"/>
          <w:sz w:val="44"/>
          <w:szCs w:val="44"/>
          <w14:textFill>
            <w14:solidFill>
              <w14:schemeClr w14:val="tx1"/>
            </w14:solidFill>
          </w14:textFill>
        </w:rPr>
      </w:pPr>
    </w:p>
    <w:p w14:paraId="2696584D">
      <w:pPr>
        <w:pStyle w:val="4"/>
        <w:rPr>
          <w:rFonts w:ascii="宋体"/>
          <w:b/>
          <w:bCs/>
          <w:color w:val="000000" w:themeColor="text1"/>
          <w:sz w:val="44"/>
          <w:szCs w:val="44"/>
          <w14:textFill>
            <w14:solidFill>
              <w14:schemeClr w14:val="tx1"/>
            </w14:solidFill>
          </w14:textFill>
        </w:rPr>
      </w:pPr>
    </w:p>
    <w:p w14:paraId="70C63CDD">
      <w:pPr>
        <w:pStyle w:val="4"/>
        <w:rPr>
          <w:rFonts w:ascii="宋体"/>
          <w:b/>
          <w:bCs/>
          <w:color w:val="000000" w:themeColor="text1"/>
          <w:sz w:val="44"/>
          <w:szCs w:val="44"/>
          <w14:textFill>
            <w14:solidFill>
              <w14:schemeClr w14:val="tx1"/>
            </w14:solidFill>
          </w14:textFill>
        </w:rPr>
      </w:pPr>
    </w:p>
    <w:p w14:paraId="0019E1A6">
      <w:pPr>
        <w:pStyle w:val="4"/>
        <w:rPr>
          <w:rFonts w:ascii="宋体"/>
          <w:b/>
          <w:bCs/>
          <w:color w:val="000000" w:themeColor="text1"/>
          <w:sz w:val="44"/>
          <w:szCs w:val="44"/>
          <w14:textFill>
            <w14:solidFill>
              <w14:schemeClr w14:val="tx1"/>
            </w14:solidFill>
          </w14:textFill>
        </w:rPr>
      </w:pPr>
    </w:p>
    <w:p w14:paraId="7BF25E6A">
      <w:pPr>
        <w:spacing w:line="360" w:lineRule="auto"/>
        <w:rPr>
          <w:rFonts w:hint="eastAsia" w:ascii="宋体" w:hAnsi="宋体" w:cs="宋体"/>
          <w:b/>
          <w:bCs/>
          <w:color w:val="000000" w:themeColor="text1"/>
          <w:sz w:val="72"/>
          <w:szCs w:val="72"/>
          <w14:textFill>
            <w14:solidFill>
              <w14:schemeClr w14:val="tx1"/>
            </w14:solidFill>
          </w14:textFill>
        </w:rPr>
      </w:pPr>
    </w:p>
    <w:p w14:paraId="1C1D02CB">
      <w:pPr>
        <w:spacing w:line="360" w:lineRule="auto"/>
        <w:jc w:val="center"/>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72"/>
          <w:szCs w:val="72"/>
          <w14:textFill>
            <w14:solidFill>
              <w14:schemeClr w14:val="tx1"/>
            </w14:solidFill>
          </w14:textFill>
        </w:rPr>
        <w:t>竞争性磋商文件</w:t>
      </w:r>
    </w:p>
    <w:p w14:paraId="2000F7CB">
      <w:pPr>
        <w:spacing w:line="360" w:lineRule="auto"/>
        <w:jc w:val="center"/>
        <w:rPr>
          <w:rFonts w:ascii="宋体"/>
          <w:b/>
          <w:bCs/>
          <w:color w:val="000000" w:themeColor="text1"/>
          <w:sz w:val="24"/>
          <w:szCs w:val="24"/>
          <w14:textFill>
            <w14:solidFill>
              <w14:schemeClr w14:val="tx1"/>
            </w14:solidFill>
          </w14:textFill>
        </w:rPr>
      </w:pPr>
    </w:p>
    <w:p w14:paraId="602EFC9D">
      <w:pPr>
        <w:snapToGrid w:val="0"/>
        <w:spacing w:line="360" w:lineRule="auto"/>
        <w:jc w:val="center"/>
        <w:rPr>
          <w:rFonts w:ascii="宋体"/>
          <w:color w:val="000000" w:themeColor="text1"/>
          <w:sz w:val="30"/>
          <w:szCs w:val="30"/>
          <w:u w:val="single"/>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项目编号：</w:t>
      </w:r>
      <w:r>
        <w:rPr>
          <w:rFonts w:hint="eastAsia" w:ascii="宋体" w:hAnsi="宋体" w:cs="宋体"/>
          <w:color w:val="000000" w:themeColor="text1"/>
          <w:sz w:val="30"/>
          <w:szCs w:val="30"/>
          <w:u w:val="single"/>
          <w14:textFill>
            <w14:solidFill>
              <w14:schemeClr w14:val="tx1"/>
            </w14:solidFill>
          </w14:textFill>
        </w:rPr>
        <w:t>ZW202509</w:t>
      </w:r>
    </w:p>
    <w:p w14:paraId="059DF306">
      <w:pPr>
        <w:snapToGrid w:val="0"/>
        <w:spacing w:line="360" w:lineRule="auto"/>
        <w:ind w:firstLine="2301" w:firstLineChars="767"/>
        <w:jc w:val="left"/>
        <w:rPr>
          <w:rFonts w:ascii="宋体"/>
          <w:color w:val="000000" w:themeColor="text1"/>
          <w:sz w:val="30"/>
          <w:szCs w:val="30"/>
          <w14:textFill>
            <w14:solidFill>
              <w14:schemeClr w14:val="tx1"/>
            </w14:solidFill>
          </w14:textFill>
        </w:rPr>
      </w:pPr>
    </w:p>
    <w:p w14:paraId="1780D472">
      <w:pPr>
        <w:spacing w:line="360" w:lineRule="auto"/>
        <w:rPr>
          <w:rFonts w:ascii="宋体"/>
          <w:color w:val="000000" w:themeColor="text1"/>
          <w:sz w:val="28"/>
          <w:szCs w:val="28"/>
          <w14:textFill>
            <w14:solidFill>
              <w14:schemeClr w14:val="tx1"/>
            </w14:solidFill>
          </w14:textFill>
        </w:rPr>
      </w:pPr>
    </w:p>
    <w:p w14:paraId="4462D3C9">
      <w:pPr>
        <w:spacing w:line="360" w:lineRule="auto"/>
        <w:jc w:val="center"/>
        <w:rPr>
          <w:rFonts w:ascii="宋体"/>
          <w:color w:val="000000" w:themeColor="text1"/>
          <w:sz w:val="24"/>
          <w:szCs w:val="24"/>
          <w14:textFill>
            <w14:solidFill>
              <w14:schemeClr w14:val="tx1"/>
            </w14:solidFill>
          </w14:textFill>
        </w:rPr>
      </w:pPr>
    </w:p>
    <w:p w14:paraId="1E638C9B">
      <w:pPr>
        <w:spacing w:line="360" w:lineRule="auto"/>
        <w:jc w:val="center"/>
        <w:rPr>
          <w:rFonts w:ascii="宋体"/>
          <w:color w:val="000000" w:themeColor="text1"/>
          <w:sz w:val="24"/>
          <w:szCs w:val="24"/>
          <w14:textFill>
            <w14:solidFill>
              <w14:schemeClr w14:val="tx1"/>
            </w14:solidFill>
          </w14:textFill>
        </w:rPr>
      </w:pPr>
    </w:p>
    <w:p w14:paraId="6C15CDD4">
      <w:pPr>
        <w:spacing w:line="360" w:lineRule="auto"/>
        <w:jc w:val="center"/>
        <w:rPr>
          <w:rFonts w:ascii="宋体"/>
          <w:color w:val="000000" w:themeColor="text1"/>
          <w:sz w:val="24"/>
          <w:szCs w:val="24"/>
          <w14:textFill>
            <w14:solidFill>
              <w14:schemeClr w14:val="tx1"/>
            </w14:solidFill>
          </w14:textFill>
        </w:rPr>
      </w:pPr>
    </w:p>
    <w:p w14:paraId="1B862EB6">
      <w:pPr>
        <w:spacing w:line="360" w:lineRule="auto"/>
        <w:jc w:val="center"/>
        <w:rPr>
          <w:rFonts w:ascii="宋体"/>
          <w:color w:val="000000" w:themeColor="text1"/>
          <w:sz w:val="24"/>
          <w:szCs w:val="24"/>
          <w14:textFill>
            <w14:solidFill>
              <w14:schemeClr w14:val="tx1"/>
            </w14:solidFill>
          </w14:textFill>
        </w:rPr>
      </w:pPr>
    </w:p>
    <w:p w14:paraId="05BAB6CA">
      <w:pPr>
        <w:spacing w:line="360" w:lineRule="auto"/>
        <w:jc w:val="center"/>
        <w:rPr>
          <w:rFonts w:ascii="宋体"/>
          <w:color w:val="000000" w:themeColor="text1"/>
          <w:sz w:val="24"/>
          <w:szCs w:val="24"/>
          <w14:textFill>
            <w14:solidFill>
              <w14:schemeClr w14:val="tx1"/>
            </w14:solidFill>
          </w14:textFill>
        </w:rPr>
      </w:pPr>
    </w:p>
    <w:p w14:paraId="67031F79">
      <w:pPr>
        <w:spacing w:line="360" w:lineRule="auto"/>
        <w:rPr>
          <w:rFonts w:ascii="宋体"/>
          <w:color w:val="000000" w:themeColor="text1"/>
          <w:sz w:val="24"/>
          <w:szCs w:val="24"/>
          <w14:textFill>
            <w14:solidFill>
              <w14:schemeClr w14:val="tx1"/>
            </w14:solidFill>
          </w14:textFill>
        </w:rPr>
      </w:pPr>
    </w:p>
    <w:p w14:paraId="7DDB58B8">
      <w:pPr>
        <w:snapToGrid w:val="0"/>
        <w:spacing w:line="360" w:lineRule="auto"/>
        <w:ind w:firstLine="1500" w:firstLineChars="500"/>
        <w:rPr>
          <w:rFonts w:ascii="宋体"/>
          <w:color w:val="000000" w:themeColor="text1"/>
          <w:u w:val="single"/>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采   购   人：绍兴市上虞区气象局</w:t>
      </w:r>
    </w:p>
    <w:p w14:paraId="62E77D08">
      <w:pPr>
        <w:snapToGrid w:val="0"/>
        <w:spacing w:line="360" w:lineRule="auto"/>
        <w:ind w:firstLine="1500" w:firstLineChars="500"/>
        <w:rPr>
          <w:rFonts w:ascii="宋体"/>
          <w:color w:val="000000" w:themeColor="text1"/>
          <w:sz w:val="30"/>
          <w:szCs w:val="30"/>
          <w14:textFill>
            <w14:solidFill>
              <w14:schemeClr w14:val="tx1"/>
            </w14:solidFill>
          </w14:textFill>
        </w:rPr>
      </w:pPr>
      <w:r>
        <w:rPr>
          <w:rFonts w:hint="eastAsia" w:ascii="宋体" w:hAnsi="宋体" w:cs="宋体"/>
          <w:color w:val="000000" w:themeColor="text1"/>
          <w:sz w:val="30"/>
          <w:szCs w:val="30"/>
          <w14:textFill>
            <w14:solidFill>
              <w14:schemeClr w14:val="tx1"/>
            </w14:solidFill>
          </w14:textFill>
        </w:rPr>
        <w:t>采购代理机构：中纬工程管理咨询有限公司</w:t>
      </w:r>
    </w:p>
    <w:p w14:paraId="65B49537">
      <w:pPr>
        <w:jc w:val="center"/>
        <w:rPr>
          <w:rFonts w:ascii="宋体"/>
          <w:color w:val="000000" w:themeColor="text1"/>
          <w:sz w:val="30"/>
          <w:szCs w:val="30"/>
          <w14:textFill>
            <w14:solidFill>
              <w14:schemeClr w14:val="tx1"/>
            </w14:solidFill>
          </w14:textFill>
        </w:rPr>
        <w:sectPr>
          <w:pgSz w:w="11906" w:h="16838"/>
          <w:pgMar w:top="1440" w:right="1440" w:bottom="1440" w:left="1440" w:header="851" w:footer="992" w:gutter="0"/>
          <w:cols w:space="425" w:num="1"/>
          <w:docGrid w:type="lines" w:linePitch="312" w:charSpace="0"/>
        </w:sectPr>
      </w:pPr>
      <w:r>
        <w:rPr>
          <w:rFonts w:hint="eastAsia" w:ascii="宋体" w:hAnsi="宋体" w:cs="宋体"/>
          <w:color w:val="000000" w:themeColor="text1"/>
          <w:sz w:val="30"/>
          <w:szCs w:val="30"/>
          <w14:textFill>
            <w14:solidFill>
              <w14:schemeClr w14:val="tx1"/>
            </w14:solidFill>
          </w14:textFill>
        </w:rPr>
        <w:t>二〇二五年</w:t>
      </w:r>
      <w:r>
        <w:rPr>
          <w:rFonts w:hint="eastAsia" w:ascii="宋体" w:hAnsi="宋体" w:cs="宋体"/>
          <w:color w:val="000000" w:themeColor="text1"/>
          <w:sz w:val="30"/>
          <w:szCs w:val="30"/>
          <w:lang w:eastAsia="zh-CN"/>
          <w14:textFill>
            <w14:solidFill>
              <w14:schemeClr w14:val="tx1"/>
            </w14:solidFill>
          </w14:textFill>
        </w:rPr>
        <w:t>四</w:t>
      </w:r>
      <w:r>
        <w:rPr>
          <w:rFonts w:hint="eastAsia" w:ascii="宋体" w:hAnsi="宋体" w:cs="宋体"/>
          <w:color w:val="000000" w:themeColor="text1"/>
          <w:sz w:val="30"/>
          <w:szCs w:val="30"/>
          <w14:textFill>
            <w14:solidFill>
              <w14:schemeClr w14:val="tx1"/>
            </w14:solidFill>
          </w14:textFill>
        </w:rPr>
        <w:t>月</w:t>
      </w:r>
    </w:p>
    <w:p w14:paraId="30602974">
      <w:pPr>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目录</w:t>
      </w:r>
    </w:p>
    <w:p w14:paraId="5B937BE9">
      <w:pPr>
        <w:pStyle w:val="18"/>
        <w:tabs>
          <w:tab w:val="right" w:leader="dot" w:pos="8306"/>
        </w:tabs>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TOC \o "1-3" \h \u </w:instrText>
      </w:r>
      <w:r>
        <w:rPr>
          <w:rFonts w:hint="eastAsia" w:ascii="宋体" w:hAnsi="宋体" w:cs="宋体"/>
          <w:color w:val="000000" w:themeColor="text1"/>
          <w:sz w:val="24"/>
          <w:szCs w:val="24"/>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"_Toc8136"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第一部分 磋商公告</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_Toc8136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06CE3911">
      <w:pPr>
        <w:pStyle w:val="18"/>
        <w:tabs>
          <w:tab w:val="right" w:leader="dot" w:pos="8306"/>
        </w:tabs>
        <w:spacing w:line="360" w:lineRule="auto"/>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"_Toc9924"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第二部分 供应商须知</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_Toc9924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5826F55E">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"_Toc1385"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一、 总则</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_Toc1385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9</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7BF1588B">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"_Toc17634"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二、 竞争性磋商文件</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_Toc17634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9</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4DF641E9">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"_Toc4525"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三、 竞争性磋商响应文件的编写</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_Toc4525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10</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6A9E7D69">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"_Toc29018"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四、 响应文件的递交</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_Toc29018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14</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58110E3B">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"_Toc2330"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五、 磋商无效的情形</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_Toc2330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14</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1D727907">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"_Toc17075"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六、 采购中止的情形</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_Toc17075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16</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00316116">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"_Toc25549"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七、 确定成交供应商与签订合同</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_Toc25549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16</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34A0132F">
      <w:pPr>
        <w:pStyle w:val="18"/>
        <w:tabs>
          <w:tab w:val="right" w:leader="dot" w:pos="8306"/>
        </w:tabs>
        <w:spacing w:line="360" w:lineRule="auto"/>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"_Toc25986"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第三部分 采购内容及要求</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_Toc25986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0274677F">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"_Toc1352"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第一章 采购内容及要求</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_Toc1352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645D9238">
      <w:pPr>
        <w:pStyle w:val="21"/>
        <w:tabs>
          <w:tab w:val="right" w:leader="dot" w:pos="8306"/>
        </w:tabs>
        <w:spacing w:line="360" w:lineRule="auto"/>
        <w:ind w:left="400"/>
        <w:rPr>
          <w:rFonts w:hint="default" w:ascii="宋体" w:hAnsi="宋体" w:eastAsia="宋体" w:cs="宋体"/>
          <w:color w:val="000000" w:themeColor="text1"/>
          <w:sz w:val="24"/>
          <w:szCs w:val="24"/>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"_Toc31612"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第二章 付款方式</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20</w:t>
      </w:r>
    </w:p>
    <w:p w14:paraId="6FD3BB0A">
      <w:pPr>
        <w:pStyle w:val="18"/>
        <w:tabs>
          <w:tab w:val="right" w:leader="dot" w:pos="8306"/>
        </w:tabs>
        <w:spacing w:line="360" w:lineRule="auto"/>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"_Toc3006"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第四部分 磋商原则及磋商方法</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_Toc3006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7460A21D">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"_Toc26638"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一、 磋商原则</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_Toc26638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02CD9F0D">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"_Toc15047"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二、 磋商程序</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_Toc15047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25</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3B6881FE">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"_Toc7885"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三、 注意事项</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_Toc7885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23E0EAC0">
      <w:pPr>
        <w:pStyle w:val="21"/>
        <w:tabs>
          <w:tab w:val="right" w:leader="dot" w:pos="8306"/>
        </w:tabs>
        <w:spacing w:line="360" w:lineRule="auto"/>
        <w:ind w:left="4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"_Toc25757"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四、 评分细则</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_Toc25757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2947B0E9">
      <w:pPr>
        <w:pStyle w:val="18"/>
        <w:tabs>
          <w:tab w:val="right" w:leader="dot" w:pos="8306"/>
        </w:tabs>
        <w:spacing w:line="360" w:lineRule="auto"/>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"_Toc27186"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第五部分 采购合同</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_Toc27186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34</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0EBB9D8F">
      <w:pPr>
        <w:pStyle w:val="18"/>
        <w:tabs>
          <w:tab w:val="right" w:leader="dot" w:pos="8306"/>
        </w:tabs>
        <w:spacing w:line="360" w:lineRule="auto"/>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"_Toc3666"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第六部分 应提交的有关格式范例</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_Toc3666 \h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50</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14:paraId="555C67CE">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fldChar w:fldCharType="end"/>
      </w:r>
    </w:p>
    <w:p w14:paraId="55071D88">
      <w:pPr>
        <w:rPr>
          <w:color w:val="000000" w:themeColor="text1"/>
          <w14:textFill>
            <w14:solidFill>
              <w14:schemeClr w14:val="tx1"/>
            </w14:solidFill>
          </w14:textFill>
        </w:rPr>
      </w:pPr>
    </w:p>
    <w:p w14:paraId="0D04C021">
      <w:pPr>
        <w:rPr>
          <w:color w:val="000000" w:themeColor="text1"/>
          <w14:textFill>
            <w14:solidFill>
              <w14:schemeClr w14:val="tx1"/>
            </w14:solidFill>
          </w14:textFill>
        </w:rPr>
      </w:pPr>
    </w:p>
    <w:p w14:paraId="0A4B5DAD">
      <w:pPr>
        <w:rPr>
          <w:color w:val="000000" w:themeColor="text1"/>
          <w14:textFill>
            <w14:solidFill>
              <w14:schemeClr w14:val="tx1"/>
            </w14:solidFill>
          </w14:textFill>
        </w:rPr>
      </w:pPr>
    </w:p>
    <w:p w14:paraId="0855655B">
      <w:pPr>
        <w:rPr>
          <w:color w:val="000000" w:themeColor="text1"/>
          <w14:textFill>
            <w14:solidFill>
              <w14:schemeClr w14:val="tx1"/>
            </w14:solidFill>
          </w14:textFill>
        </w:rPr>
      </w:pPr>
    </w:p>
    <w:p w14:paraId="4F1E0DAE">
      <w:pPr>
        <w:tabs>
          <w:tab w:val="left" w:pos="3148"/>
        </w:tabs>
        <w:jc w:val="left"/>
        <w:rPr>
          <w:color w:val="000000" w:themeColor="text1"/>
          <w14:textFill>
            <w14:solidFill>
              <w14:schemeClr w14:val="tx1"/>
            </w14:solidFill>
          </w14:textFill>
        </w:rPr>
        <w:sectPr>
          <w:footerReference r:id="rId3" w:type="default"/>
          <w:pgSz w:w="11906" w:h="16838"/>
          <w:pgMar w:top="1440" w:right="1800" w:bottom="1440" w:left="1800" w:header="851" w:footer="992" w:gutter="0"/>
          <w:pgNumType w:start="1"/>
          <w:cols w:space="425" w:num="1"/>
          <w:docGrid w:type="lines" w:linePitch="312" w:charSpace="0"/>
        </w:sectPr>
      </w:pPr>
      <w:r>
        <w:rPr>
          <w:color w:val="000000" w:themeColor="text1"/>
          <w14:textFill>
            <w14:solidFill>
              <w14:schemeClr w14:val="tx1"/>
            </w14:solidFill>
          </w14:textFill>
        </w:rPr>
        <w:tab/>
      </w:r>
    </w:p>
    <w:p w14:paraId="4EFF99D6">
      <w:pPr>
        <w:pStyle w:val="2"/>
        <w:jc w:val="center"/>
        <w:rPr>
          <w:rFonts w:ascii="宋体" w:cs="Times New Roman"/>
          <w:color w:val="000000" w:themeColor="text1"/>
          <w14:textFill>
            <w14:solidFill>
              <w14:schemeClr w14:val="tx1"/>
            </w14:solidFill>
          </w14:textFill>
        </w:rPr>
      </w:pPr>
      <w:bookmarkStart w:id="0" w:name="_Toc8136"/>
      <w:bookmarkStart w:id="1" w:name="_Toc31034"/>
      <w:bookmarkStart w:id="2" w:name="_Toc32199"/>
      <w:bookmarkStart w:id="3" w:name="第二部分"/>
      <w:bookmarkStart w:id="4" w:name="_Toc91899870"/>
      <w:r>
        <w:rPr>
          <w:rFonts w:hint="eastAsia" w:cs="宋体"/>
          <w:color w:val="000000" w:themeColor="text1"/>
          <w:sz w:val="36"/>
          <w:szCs w:val="36"/>
          <w14:textFill>
            <w14:solidFill>
              <w14:schemeClr w14:val="tx1"/>
            </w14:solidFill>
          </w14:textFill>
        </w:rPr>
        <w:t>第一部分</w:t>
      </w:r>
      <w:r>
        <w:rPr>
          <w:color w:val="000000" w:themeColor="text1"/>
          <w:sz w:val="36"/>
          <w:szCs w:val="36"/>
          <w14:textFill>
            <w14:solidFill>
              <w14:schemeClr w14:val="tx1"/>
            </w14:solidFill>
          </w14:textFill>
        </w:rPr>
        <w:t xml:space="preserve"> </w:t>
      </w:r>
      <w:r>
        <w:rPr>
          <w:rFonts w:hint="eastAsia" w:cs="宋体"/>
          <w:color w:val="000000" w:themeColor="text1"/>
          <w:sz w:val="36"/>
          <w:szCs w:val="36"/>
          <w14:textFill>
            <w14:solidFill>
              <w14:schemeClr w14:val="tx1"/>
            </w14:solidFill>
          </w14:textFill>
        </w:rPr>
        <w:t>磋商公告</w:t>
      </w:r>
      <w:bookmarkEnd w:id="0"/>
      <w:bookmarkEnd w:id="1"/>
      <w:bookmarkEnd w:id="2"/>
    </w:p>
    <w:p w14:paraId="3EBD877A">
      <w:pPr>
        <w:adjustRightInd w:val="0"/>
        <w:spacing w:line="360" w:lineRule="auto"/>
        <w:jc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中纬工程管理咨询有限公司关于绍兴市上虞区气象局上虞区X波段相控阵雷达维护、抢修服务（2部）的竞争性磋商公告</w:t>
      </w:r>
    </w:p>
    <w:p w14:paraId="080319E8">
      <w:pPr>
        <w:adjustRightInd w:val="0"/>
        <w:spacing w:line="360" w:lineRule="auto"/>
        <w:jc w:val="center"/>
        <w:rPr>
          <w:rFonts w:ascii="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公告日期：2025年</w:t>
      </w:r>
      <w:r>
        <w:rPr>
          <w:rFonts w:hint="eastAsia" w:ascii="宋体" w:hAnsi="宋体" w:cs="宋体"/>
          <w:color w:val="000000" w:themeColor="text1"/>
          <w:sz w:val="28"/>
          <w:szCs w:val="28"/>
          <w:lang w:val="en-US" w:eastAsia="zh-CN"/>
          <w14:textFill>
            <w14:solidFill>
              <w14:schemeClr w14:val="tx1"/>
            </w14:solidFill>
          </w14:textFill>
        </w:rPr>
        <w:t>4</w:t>
      </w:r>
      <w:r>
        <w:rPr>
          <w:rFonts w:hint="eastAsia" w:ascii="宋体" w:hAnsi="宋体" w:cs="宋体"/>
          <w:color w:val="000000" w:themeColor="text1"/>
          <w:sz w:val="28"/>
          <w:szCs w:val="28"/>
          <w14:textFill>
            <w14:solidFill>
              <w14:schemeClr w14:val="tx1"/>
            </w14:solidFill>
          </w14:textFill>
        </w:rPr>
        <w:t>月</w:t>
      </w:r>
      <w:r>
        <w:rPr>
          <w:rFonts w:hint="eastAsia" w:ascii="宋体" w:hAnsi="宋体" w:cs="宋体"/>
          <w:color w:val="000000" w:themeColor="text1"/>
          <w:sz w:val="28"/>
          <w:szCs w:val="28"/>
          <w:lang w:val="en-US" w:eastAsia="zh-CN"/>
          <w14:textFill>
            <w14:solidFill>
              <w14:schemeClr w14:val="tx1"/>
            </w14:solidFill>
          </w14:textFill>
        </w:rPr>
        <w:t>9</w:t>
      </w:r>
      <w:r>
        <w:rPr>
          <w:rFonts w:hint="eastAsia" w:ascii="宋体" w:hAnsi="宋体" w:cs="宋体"/>
          <w:color w:val="000000" w:themeColor="text1"/>
          <w:sz w:val="28"/>
          <w:szCs w:val="28"/>
          <w14:textFill>
            <w14:solidFill>
              <w14:schemeClr w14:val="tx1"/>
            </w14:solidFill>
          </w14:textFill>
        </w:rPr>
        <w:t>日</w:t>
      </w:r>
    </w:p>
    <w:p w14:paraId="7A0590CD">
      <w:pPr>
        <w:adjustRightInd w:val="0"/>
        <w:spacing w:line="480" w:lineRule="auto"/>
        <w:ind w:firstLine="480" w:firstLineChars="200"/>
        <w:rPr>
          <w:rFonts w:hint="eastAsia" w:ascii="宋体" w:hAnsi="宋体" w:cs="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根据《中华人民共和国政府采购法》等有关规定，</w:t>
      </w:r>
      <w:r>
        <w:rPr>
          <w:rFonts w:hint="eastAsia" w:ascii="宋体" w:hAnsi="宋体" w:cs="宋体"/>
          <w:color w:val="000000" w:themeColor="text1"/>
          <w:sz w:val="24"/>
          <w:szCs w:val="24"/>
          <w:u w:val="single"/>
          <w14:textFill>
            <w14:solidFill>
              <w14:schemeClr w14:val="tx1"/>
            </w14:solidFill>
          </w14:textFill>
        </w:rPr>
        <w:t>中纬工程管理咨询有限公司</w:t>
      </w:r>
      <w:r>
        <w:rPr>
          <w:rFonts w:hint="eastAsia" w:ascii="宋体" w:hAnsi="宋体" w:cs="宋体"/>
          <w:color w:val="000000" w:themeColor="text1"/>
          <w:sz w:val="24"/>
          <w:szCs w:val="24"/>
          <w14:textFill>
            <w14:solidFill>
              <w14:schemeClr w14:val="tx1"/>
            </w14:solidFill>
          </w14:textFill>
        </w:rPr>
        <w:t>受</w:t>
      </w:r>
      <w:r>
        <w:rPr>
          <w:rFonts w:hint="eastAsia" w:ascii="宋体" w:hAnsi="宋体" w:cs="宋体"/>
          <w:color w:val="000000" w:themeColor="text1"/>
          <w:sz w:val="24"/>
          <w:szCs w:val="24"/>
          <w:u w:val="single"/>
          <w14:textFill>
            <w14:solidFill>
              <w14:schemeClr w14:val="tx1"/>
            </w14:solidFill>
          </w14:textFill>
        </w:rPr>
        <w:t>绍兴市上虞区气象局</w:t>
      </w:r>
      <w:r>
        <w:rPr>
          <w:rFonts w:hint="eastAsia" w:ascii="宋体" w:hAnsi="宋体" w:cs="宋体"/>
          <w:color w:val="000000" w:themeColor="text1"/>
          <w:sz w:val="24"/>
          <w:szCs w:val="24"/>
          <w14:textFill>
            <w14:solidFill>
              <w14:schemeClr w14:val="tx1"/>
            </w14:solidFill>
          </w14:textFill>
        </w:rPr>
        <w:t>委托，现就</w:t>
      </w:r>
      <w:r>
        <w:rPr>
          <w:rFonts w:hint="eastAsia" w:ascii="宋体" w:hAnsi="宋体" w:cs="宋体"/>
          <w:color w:val="000000" w:themeColor="text1"/>
          <w:sz w:val="24"/>
          <w:szCs w:val="24"/>
          <w:u w:val="single"/>
          <w14:textFill>
            <w14:solidFill>
              <w14:schemeClr w14:val="tx1"/>
            </w14:solidFill>
          </w14:textFill>
        </w:rPr>
        <w:t>上虞区X波段相控阵雷达维护、抢修服务（2部）</w:t>
      </w:r>
      <w:r>
        <w:rPr>
          <w:rFonts w:hint="eastAsia" w:ascii="宋体" w:hAnsi="宋体" w:cs="宋体"/>
          <w:color w:val="000000" w:themeColor="text1"/>
          <w:sz w:val="24"/>
          <w:szCs w:val="24"/>
          <w14:textFill>
            <w14:solidFill>
              <w14:schemeClr w14:val="tx1"/>
            </w14:solidFill>
          </w14:textFill>
        </w:rPr>
        <w:t>项目进行竞争性磋商采购，欢迎国内合格的供应商参加本次采购活动。</w:t>
      </w:r>
    </w:p>
    <w:p w14:paraId="4290F92A">
      <w:pPr>
        <w:adjustRightInd w:val="0"/>
        <w:spacing w:line="360" w:lineRule="auto"/>
        <w:ind w:firstLine="480" w:firstLineChars="200"/>
        <w:rPr>
          <w:rFonts w:ascii="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磋商项目编号：</w:t>
      </w:r>
      <w:r>
        <w:rPr>
          <w:rFonts w:hint="eastAsia" w:ascii="宋体" w:hAnsi="宋体" w:cs="宋体"/>
          <w:color w:val="000000" w:themeColor="text1"/>
          <w:sz w:val="24"/>
          <w:szCs w:val="24"/>
          <w:u w:val="single"/>
          <w14:textFill>
            <w14:solidFill>
              <w14:schemeClr w14:val="tx1"/>
            </w14:solidFill>
          </w14:textFill>
        </w:rPr>
        <w:t>ZW202509</w:t>
      </w:r>
    </w:p>
    <w:p w14:paraId="4EB3A14A">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采购组织类型：</w:t>
      </w:r>
      <w:r>
        <w:rPr>
          <w:rFonts w:hint="eastAsia" w:ascii="宋体" w:hAnsi="宋体" w:cs="宋体"/>
          <w:color w:val="000000" w:themeColor="text1"/>
          <w:sz w:val="24"/>
          <w:szCs w:val="24"/>
          <w:u w:val="single"/>
          <w14:textFill>
            <w14:solidFill>
              <w14:schemeClr w14:val="tx1"/>
            </w14:solidFill>
          </w14:textFill>
        </w:rPr>
        <w:t>分散采购（中介代理）</w:t>
      </w:r>
    </w:p>
    <w:p w14:paraId="5C3F7656">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三．</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磋商项目概况</w:t>
      </w:r>
      <w:r>
        <w:rPr>
          <w:rFonts w:ascii="宋体" w:hAnsi="宋体" w:cs="宋体"/>
          <w:color w:val="000000" w:themeColor="text1"/>
          <w:sz w:val="24"/>
          <w:szCs w:val="24"/>
          <w14:textFill>
            <w14:solidFill>
              <w14:schemeClr w14:val="tx1"/>
            </w14:solidFill>
          </w14:textFill>
        </w:rPr>
        <w:t>:</w:t>
      </w:r>
    </w:p>
    <w:tbl>
      <w:tblPr>
        <w:tblStyle w:val="27"/>
        <w:tblW w:w="10179"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568"/>
        <w:gridCol w:w="2977"/>
        <w:gridCol w:w="708"/>
        <w:gridCol w:w="715"/>
        <w:gridCol w:w="1275"/>
        <w:gridCol w:w="2268"/>
        <w:gridCol w:w="1276"/>
        <w:gridCol w:w="392"/>
      </w:tblGrid>
      <w:tr w14:paraId="30AF7A8D">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568" w:type="dxa"/>
            <w:tcBorders>
              <w:top w:val="single" w:color="000000" w:sz="4" w:space="0"/>
            </w:tcBorders>
            <w:vAlign w:val="center"/>
          </w:tcPr>
          <w:p w14:paraId="09ABB503">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序号</w:t>
            </w:r>
          </w:p>
        </w:tc>
        <w:tc>
          <w:tcPr>
            <w:tcW w:w="2977" w:type="dxa"/>
            <w:tcBorders>
              <w:top w:val="single" w:color="000000" w:sz="4" w:space="0"/>
            </w:tcBorders>
            <w:vAlign w:val="center"/>
          </w:tcPr>
          <w:p w14:paraId="1B4BD98E">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tc>
        <w:tc>
          <w:tcPr>
            <w:tcW w:w="708" w:type="dxa"/>
            <w:tcBorders>
              <w:top w:val="single" w:color="000000" w:sz="4" w:space="0"/>
            </w:tcBorders>
            <w:vAlign w:val="center"/>
          </w:tcPr>
          <w:p w14:paraId="47E5EF88">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数量</w:t>
            </w:r>
          </w:p>
        </w:tc>
        <w:tc>
          <w:tcPr>
            <w:tcW w:w="715" w:type="dxa"/>
            <w:tcBorders>
              <w:top w:val="single" w:color="000000" w:sz="4" w:space="0"/>
            </w:tcBorders>
            <w:vAlign w:val="center"/>
          </w:tcPr>
          <w:p w14:paraId="5B23112B">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单位</w:t>
            </w:r>
          </w:p>
        </w:tc>
        <w:tc>
          <w:tcPr>
            <w:tcW w:w="1275" w:type="dxa"/>
            <w:tcBorders>
              <w:top w:val="single" w:color="000000" w:sz="4" w:space="0"/>
            </w:tcBorders>
            <w:vAlign w:val="center"/>
          </w:tcPr>
          <w:p w14:paraId="6B567383">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预算金额</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万元</w:t>
            </w:r>
            <w:r>
              <w:rPr>
                <w:rFonts w:ascii="宋体" w:hAnsi="宋体" w:cs="宋体"/>
                <w:color w:val="000000" w:themeColor="text1"/>
                <w:sz w:val="24"/>
                <w:szCs w:val="24"/>
                <w14:textFill>
                  <w14:solidFill>
                    <w14:schemeClr w14:val="tx1"/>
                  </w14:solidFill>
                </w14:textFill>
              </w:rPr>
              <w:t>)</w:t>
            </w:r>
          </w:p>
        </w:tc>
        <w:tc>
          <w:tcPr>
            <w:tcW w:w="2268" w:type="dxa"/>
            <w:tcBorders>
              <w:top w:val="single" w:color="000000" w:sz="4" w:space="0"/>
            </w:tcBorders>
            <w:vAlign w:val="center"/>
          </w:tcPr>
          <w:p w14:paraId="6E9A6112">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简要规格描述或标项基本概况介绍</w:t>
            </w:r>
          </w:p>
        </w:tc>
        <w:tc>
          <w:tcPr>
            <w:tcW w:w="1276" w:type="dxa"/>
            <w:tcBorders>
              <w:top w:val="single" w:color="000000" w:sz="4" w:space="0"/>
            </w:tcBorders>
            <w:vAlign w:val="center"/>
          </w:tcPr>
          <w:p w14:paraId="338AF2BD">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最高限价</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万元</w:t>
            </w:r>
            <w:r>
              <w:rPr>
                <w:rFonts w:ascii="宋体" w:hAnsi="宋体" w:cs="宋体"/>
                <w:color w:val="000000" w:themeColor="text1"/>
                <w:sz w:val="24"/>
                <w:szCs w:val="24"/>
                <w14:textFill>
                  <w14:solidFill>
                    <w14:schemeClr w14:val="tx1"/>
                  </w14:solidFill>
                </w14:textFill>
              </w:rPr>
              <w:t>)</w:t>
            </w:r>
          </w:p>
        </w:tc>
        <w:tc>
          <w:tcPr>
            <w:tcW w:w="392" w:type="dxa"/>
            <w:tcBorders>
              <w:top w:val="single" w:color="000000" w:sz="4" w:space="0"/>
            </w:tcBorders>
            <w:vAlign w:val="center"/>
          </w:tcPr>
          <w:p w14:paraId="748F1898">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备注</w:t>
            </w:r>
          </w:p>
        </w:tc>
      </w:tr>
      <w:tr w14:paraId="0E48A445">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jc w:val="center"/>
        </w:trPr>
        <w:tc>
          <w:tcPr>
            <w:tcW w:w="568" w:type="dxa"/>
            <w:tcBorders>
              <w:bottom w:val="single" w:color="000000" w:sz="4" w:space="0"/>
            </w:tcBorders>
            <w:vAlign w:val="center"/>
          </w:tcPr>
          <w:p w14:paraId="56FD4C76">
            <w:pPr>
              <w:adjustRightInd w:val="0"/>
              <w:spacing w:line="360" w:lineRule="auto"/>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p>
        </w:tc>
        <w:tc>
          <w:tcPr>
            <w:tcW w:w="2977" w:type="dxa"/>
            <w:tcBorders>
              <w:bottom w:val="single" w:color="000000" w:sz="4" w:space="0"/>
            </w:tcBorders>
            <w:vAlign w:val="center"/>
          </w:tcPr>
          <w:p w14:paraId="4E6B3185">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上虞区X波段相控阵雷达维护、抢修服务（2部）</w:t>
            </w:r>
          </w:p>
        </w:tc>
        <w:tc>
          <w:tcPr>
            <w:tcW w:w="708" w:type="dxa"/>
            <w:tcBorders>
              <w:bottom w:val="single" w:color="000000" w:sz="4" w:space="0"/>
            </w:tcBorders>
            <w:vAlign w:val="center"/>
          </w:tcPr>
          <w:p w14:paraId="01578F51">
            <w:pPr>
              <w:adjustRightInd w:val="0"/>
              <w:spacing w:line="360" w:lineRule="auto"/>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p>
        </w:tc>
        <w:tc>
          <w:tcPr>
            <w:tcW w:w="715" w:type="dxa"/>
            <w:tcBorders>
              <w:bottom w:val="single" w:color="000000" w:sz="4" w:space="0"/>
            </w:tcBorders>
            <w:vAlign w:val="center"/>
          </w:tcPr>
          <w:p w14:paraId="1721BB4B">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w:t>
            </w:r>
          </w:p>
        </w:tc>
        <w:tc>
          <w:tcPr>
            <w:tcW w:w="1275" w:type="dxa"/>
            <w:tcBorders>
              <w:bottom w:val="single" w:color="000000" w:sz="4" w:space="0"/>
            </w:tcBorders>
            <w:vAlign w:val="center"/>
          </w:tcPr>
          <w:p w14:paraId="041AEDD0">
            <w:pPr>
              <w:widowControl/>
              <w:spacing w:before="100" w:after="100" w:line="312" w:lineRule="auto"/>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50</w:t>
            </w:r>
          </w:p>
        </w:tc>
        <w:tc>
          <w:tcPr>
            <w:tcW w:w="2268" w:type="dxa"/>
            <w:tcBorders>
              <w:bottom w:val="single" w:color="000000" w:sz="4" w:space="0"/>
            </w:tcBorders>
            <w:vAlign w:val="center"/>
          </w:tcPr>
          <w:p w14:paraId="18220112">
            <w:pPr>
              <w:pStyle w:val="13"/>
              <w:snapToGrid w:val="0"/>
              <w:spacing w:before="120" w:after="120"/>
              <w:jc w:val="center"/>
              <w:rPr>
                <w:rFonts w:hint="eastAsia" w:hAnsi="宋体" w:cs="Times New Roman"/>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详见采购需求</w:t>
            </w:r>
          </w:p>
        </w:tc>
        <w:tc>
          <w:tcPr>
            <w:tcW w:w="1276" w:type="dxa"/>
            <w:tcBorders>
              <w:bottom w:val="single" w:color="000000" w:sz="4" w:space="0"/>
            </w:tcBorders>
            <w:vAlign w:val="center"/>
          </w:tcPr>
          <w:p w14:paraId="6B8FC9B8">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50</w:t>
            </w:r>
          </w:p>
        </w:tc>
        <w:tc>
          <w:tcPr>
            <w:tcW w:w="392" w:type="dxa"/>
            <w:tcBorders>
              <w:bottom w:val="single" w:color="000000" w:sz="4" w:space="0"/>
            </w:tcBorders>
            <w:vAlign w:val="center"/>
          </w:tcPr>
          <w:p w14:paraId="063A868E">
            <w:pPr>
              <w:adjustRightInd w:val="0"/>
              <w:spacing w:line="360" w:lineRule="auto"/>
              <w:jc w:val="center"/>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w:t>
            </w:r>
          </w:p>
        </w:tc>
      </w:tr>
    </w:tbl>
    <w:p w14:paraId="13D2A4C4">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四．</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合格供应商资格要求</w:t>
      </w:r>
      <w:r>
        <w:rPr>
          <w:rFonts w:ascii="宋体" w:hAnsi="宋体" w:cs="宋体"/>
          <w:color w:val="000000" w:themeColor="text1"/>
          <w:sz w:val="24"/>
          <w:szCs w:val="24"/>
          <w14:textFill>
            <w14:solidFill>
              <w14:schemeClr w14:val="tx1"/>
            </w14:solidFill>
          </w14:textFill>
        </w:rPr>
        <w:t>:</w:t>
      </w:r>
    </w:p>
    <w:p w14:paraId="1307A170">
      <w:pPr>
        <w:numPr>
          <w:ilvl w:val="0"/>
          <w:numId w:val="2"/>
        </w:numPr>
        <w:wordWrap w:val="0"/>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符合政府采购法第二十二条，且未被“信用中国”（</w:t>
      </w:r>
      <w:r>
        <w:rPr>
          <w:rFonts w:ascii="宋体" w:hAnsi="宋体" w:cs="宋体"/>
          <w:color w:val="000000" w:themeColor="text1"/>
          <w:sz w:val="24"/>
          <w:szCs w:val="24"/>
          <w14:textFill>
            <w14:solidFill>
              <w14:schemeClr w14:val="tx1"/>
            </w14:solidFill>
          </w14:textFill>
        </w:rPr>
        <w:t>www.creditchina.gov.cn</w:t>
      </w:r>
      <w:r>
        <w:rPr>
          <w:rFonts w:hint="eastAsia" w:ascii="宋体" w:hAnsi="宋体" w:cs="宋体"/>
          <w:color w:val="000000" w:themeColor="text1"/>
          <w:sz w:val="24"/>
          <w:szCs w:val="24"/>
          <w14:textFill>
            <w14:solidFill>
              <w14:schemeClr w14:val="tx1"/>
            </w14:solidFill>
          </w14:textFill>
        </w:rPr>
        <w:t>）、中国政府采购网（</w:t>
      </w:r>
      <w:r>
        <w:rPr>
          <w:rFonts w:ascii="宋体" w:hAnsi="宋体" w:cs="宋体"/>
          <w:color w:val="000000" w:themeColor="text1"/>
          <w:sz w:val="24"/>
          <w:szCs w:val="24"/>
          <w14:textFill>
            <w14:solidFill>
              <w14:schemeClr w14:val="tx1"/>
            </w14:solidFill>
          </w14:textFill>
        </w:rPr>
        <w:t>www.ccgp.gov.cn</w:t>
      </w:r>
      <w:r>
        <w:rPr>
          <w:rFonts w:hint="eastAsia" w:ascii="宋体" w:hAnsi="宋体" w:cs="宋体"/>
          <w:color w:val="000000" w:themeColor="text1"/>
          <w:sz w:val="24"/>
          <w:szCs w:val="24"/>
          <w14:textFill>
            <w14:solidFill>
              <w14:schemeClr w14:val="tx1"/>
            </w14:solidFill>
          </w14:textFill>
        </w:rPr>
        <w:t>）列入失信被执行人、重大税收违法案件当事人名单、政府采购严重违法失信行为记录名单。</w:t>
      </w:r>
    </w:p>
    <w:p w14:paraId="26C8FBF0">
      <w:pPr>
        <w:numPr>
          <w:ilvl w:val="0"/>
          <w:numId w:val="2"/>
        </w:numPr>
        <w:wordWrap w:val="0"/>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落实政府采购政策需满足的资格要求：</w:t>
      </w:r>
      <w:r>
        <w:rPr>
          <w:rFonts w:hint="eastAsia" w:ascii="宋体" w:hAnsi="宋体" w:cs="宋体"/>
          <w:color w:val="000000" w:themeColor="text1"/>
          <w:sz w:val="24"/>
          <w14:textFill>
            <w14:solidFill>
              <w14:schemeClr w14:val="tx1"/>
            </w14:solidFill>
          </w14:textFill>
        </w:rPr>
        <w:t>供应商为中小企业/小微企业。</w:t>
      </w:r>
    </w:p>
    <w:p w14:paraId="0775ED26">
      <w:pPr>
        <w:numPr>
          <w:ilvl w:val="0"/>
          <w:numId w:val="2"/>
        </w:numPr>
        <w:adjustRightInd w:val="0"/>
        <w:spacing w:line="360" w:lineRule="auto"/>
        <w:ind w:firstLine="480" w:firstLineChars="2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本项目</w:t>
      </w:r>
      <w:r>
        <w:rPr>
          <w:rFonts w:hint="eastAsia" w:ascii="宋体" w:hAnsi="宋体" w:cs="宋体"/>
          <w:color w:val="000000" w:themeColor="text1"/>
          <w:sz w:val="24"/>
          <w:szCs w:val="24"/>
          <w:u w:val="single"/>
          <w14:textFill>
            <w14:solidFill>
              <w14:schemeClr w14:val="tx1"/>
            </w14:solidFill>
          </w14:textFill>
        </w:rPr>
        <w:t>不接受</w:t>
      </w:r>
      <w:r>
        <w:rPr>
          <w:rFonts w:hint="eastAsia" w:ascii="宋体" w:hAnsi="宋体" w:cs="宋体"/>
          <w:color w:val="000000" w:themeColor="text1"/>
          <w:sz w:val="24"/>
          <w:szCs w:val="24"/>
          <w14:textFill>
            <w14:solidFill>
              <w14:schemeClr w14:val="tx1"/>
            </w14:solidFill>
          </w14:textFill>
        </w:rPr>
        <w:t>联合体</w:t>
      </w:r>
      <w:r>
        <w:rPr>
          <w:rFonts w:hint="eastAsia" w:ascii="宋体" w:hAnsi="宋体" w:cs="宋体"/>
          <w:color w:val="000000" w:themeColor="text1"/>
          <w:sz w:val="24"/>
          <w14:textFill>
            <w14:solidFill>
              <w14:schemeClr w14:val="tx1"/>
            </w14:solidFill>
          </w14:textFill>
        </w:rPr>
        <w:t>投标</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b/>
          <w:bCs/>
          <w:color w:val="000000" w:themeColor="text1"/>
          <w:sz w:val="24"/>
          <w:szCs w:val="24"/>
          <w:lang w:eastAsia="zh-CN"/>
          <w14:textFill>
            <w14:solidFill>
              <w14:schemeClr w14:val="tx1"/>
            </w14:solidFill>
          </w14:textFill>
        </w:rPr>
        <w:t>公益一类事业单位不能做为承接主体。</w:t>
      </w:r>
    </w:p>
    <w:p w14:paraId="52177ECE">
      <w:pPr>
        <w:numPr>
          <w:ilvl w:val="0"/>
          <w:numId w:val="2"/>
        </w:num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本项目采用资格后审的审查方式，由磋商小组负责审查。</w:t>
      </w:r>
    </w:p>
    <w:p w14:paraId="6A6880EC">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五．获取磋商文件</w:t>
      </w:r>
    </w:p>
    <w:p w14:paraId="4626C0A4">
      <w:pPr>
        <w:numPr>
          <w:ilvl w:val="0"/>
          <w:numId w:val="3"/>
        </w:numPr>
        <w:adjustRightInd w:val="0"/>
        <w:spacing w:line="360" w:lineRule="auto"/>
        <w:ind w:firstLine="480" w:firstLineChars="200"/>
        <w:rPr>
          <w:rFonts w:ascii="宋体"/>
          <w:color w:val="000000" w:themeColor="text1"/>
          <w:sz w:val="24"/>
          <w:szCs w:val="24"/>
          <w14:textFill>
            <w14:solidFill>
              <w14:schemeClr w14:val="tx1"/>
            </w14:solidFill>
          </w14:textFill>
        </w:rPr>
      </w:pPr>
      <w:bookmarkStart w:id="5" w:name="报名开始时间1"/>
      <w:r>
        <w:rPr>
          <w:rFonts w:hint="eastAsia" w:ascii="宋体" w:hAnsi="宋体" w:cs="宋体"/>
          <w:color w:val="000000" w:themeColor="text1"/>
          <w:sz w:val="24"/>
          <w:szCs w:val="24"/>
          <w14:textFill>
            <w14:solidFill>
              <w14:schemeClr w14:val="tx1"/>
            </w14:solidFill>
          </w14:textFill>
        </w:rPr>
        <w:t>获取磋商文件时间</w:t>
      </w:r>
      <w:r>
        <w:rPr>
          <w:rFonts w:ascii="宋体" w:hAnsi="宋体" w:cs="宋体"/>
          <w:color w:val="000000" w:themeColor="text1"/>
          <w:sz w:val="24"/>
          <w:szCs w:val="24"/>
          <w14:textFill>
            <w14:solidFill>
              <w14:schemeClr w14:val="tx1"/>
            </w14:solidFill>
          </w14:textFill>
        </w:rPr>
        <w:t>:</w:t>
      </w:r>
      <w:bookmarkEnd w:id="5"/>
      <w:r>
        <w:rPr>
          <w:rFonts w:hint="eastAsia" w:ascii="宋体" w:hAnsi="宋体" w:cs="宋体"/>
          <w:color w:val="000000" w:themeColor="text1"/>
          <w:sz w:val="24"/>
          <w:szCs w:val="24"/>
          <w:u w:val="single"/>
          <w14:textFill>
            <w14:solidFill>
              <w14:schemeClr w14:val="tx1"/>
            </w14:solidFill>
          </w14:textFill>
        </w:rPr>
        <w:t xml:space="preserve"> 2025 年 </w:t>
      </w:r>
      <w:r>
        <w:rPr>
          <w:rFonts w:hint="eastAsia" w:ascii="宋体" w:hAnsi="宋体" w:cs="宋体"/>
          <w:color w:val="000000" w:themeColor="text1"/>
          <w:sz w:val="24"/>
          <w:szCs w:val="24"/>
          <w:u w:val="single"/>
          <w:lang w:val="en-US" w:eastAsia="zh-CN"/>
          <w14:textFill>
            <w14:solidFill>
              <w14:schemeClr w14:val="tx1"/>
            </w14:solidFill>
          </w14:textFill>
        </w:rPr>
        <w:t>4</w:t>
      </w:r>
      <w:r>
        <w:rPr>
          <w:rFonts w:hint="eastAsia" w:ascii="宋体" w:hAnsi="宋体" w:cs="宋体"/>
          <w:color w:val="000000" w:themeColor="text1"/>
          <w:sz w:val="24"/>
          <w:szCs w:val="24"/>
          <w:u w:val="single"/>
          <w14:textFill>
            <w14:solidFill>
              <w14:schemeClr w14:val="tx1"/>
            </w14:solidFill>
          </w14:textFill>
        </w:rPr>
        <w:t xml:space="preserve"> 月</w:t>
      </w:r>
      <w:r>
        <w:rPr>
          <w:rFonts w:hint="eastAsia" w:ascii="宋体" w:hAnsi="宋体" w:cs="宋体"/>
          <w:color w:val="000000" w:themeColor="text1"/>
          <w:sz w:val="24"/>
          <w:szCs w:val="24"/>
          <w:u w:val="single"/>
          <w:lang w:val="en-US" w:eastAsia="zh-CN"/>
          <w14:textFill>
            <w14:solidFill>
              <w14:schemeClr w14:val="tx1"/>
            </w14:solidFill>
          </w14:textFill>
        </w:rPr>
        <w:t>21</w:t>
      </w:r>
      <w:r>
        <w:rPr>
          <w:rFonts w:hint="eastAsia" w:ascii="宋体" w:hAnsi="宋体" w:cs="宋体"/>
          <w:color w:val="000000" w:themeColor="text1"/>
          <w:sz w:val="24"/>
          <w:szCs w:val="24"/>
          <w:u w:val="single"/>
          <w14:textFill>
            <w14:solidFill>
              <w14:schemeClr w14:val="tx1"/>
            </w14:solidFill>
          </w14:textFill>
        </w:rPr>
        <w:t>日 09</w:t>
      </w:r>
      <w:r>
        <w:rPr>
          <w:rFonts w:ascii="宋体" w:hAnsi="宋体" w:cs="宋体"/>
          <w:color w:val="000000" w:themeColor="text1"/>
          <w:sz w:val="24"/>
          <w:szCs w:val="24"/>
          <w:u w:val="single"/>
          <w14:textFill>
            <w14:solidFill>
              <w14:schemeClr w14:val="tx1"/>
            </w14:solidFill>
          </w14:textFill>
        </w:rPr>
        <w:t>:30</w:t>
      </w:r>
      <w:r>
        <w:rPr>
          <w:rFonts w:hint="eastAsia" w:ascii="宋体" w:hAnsi="宋体" w:cs="宋体"/>
          <w:color w:val="000000" w:themeColor="text1"/>
          <w:sz w:val="24"/>
          <w:szCs w:val="24"/>
          <w14:textFill>
            <w14:solidFill>
              <w14:schemeClr w14:val="tx1"/>
            </w14:solidFill>
          </w14:textFill>
        </w:rPr>
        <w:t>之前获取。</w:t>
      </w:r>
    </w:p>
    <w:p w14:paraId="57B9246D">
      <w:pPr>
        <w:numPr>
          <w:ilvl w:val="0"/>
          <w:numId w:val="3"/>
        </w:num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获取磋商文件方式：供应商登陆政采云平台</w:t>
      </w:r>
      <w:r>
        <w:rPr>
          <w:rFonts w:ascii="宋体" w:hAnsi="宋体" w:cs="宋体"/>
          <w:color w:val="000000" w:themeColor="text1"/>
          <w:sz w:val="24"/>
          <w:szCs w:val="24"/>
          <w14:textFill>
            <w14:solidFill>
              <w14:schemeClr w14:val="tx1"/>
            </w14:solidFill>
          </w14:textFill>
        </w:rPr>
        <w:t>http://www.zcygov.cn/</w:t>
      </w:r>
      <w:r>
        <w:rPr>
          <w:rFonts w:hint="eastAsia" w:ascii="宋体" w:hAnsi="宋体" w:cs="宋体"/>
          <w:color w:val="000000" w:themeColor="text1"/>
          <w:sz w:val="24"/>
          <w:szCs w:val="24"/>
          <w14:textFill>
            <w14:solidFill>
              <w14:schemeClr w14:val="tx1"/>
            </w14:solidFill>
          </w14:textFill>
        </w:rPr>
        <w:t>，在线申请获取磋商文件（进入“项目采购”应用，在获取采购文件菜单中选择项目，申请获取采购文件）。</w:t>
      </w:r>
    </w:p>
    <w:p w14:paraId="74B7430F">
      <w:pPr>
        <w:numPr>
          <w:ilvl w:val="0"/>
          <w:numId w:val="3"/>
        </w:num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提示：</w:t>
      </w:r>
    </w:p>
    <w:p w14:paraId="35949202">
      <w:pPr>
        <w:numPr>
          <w:ilvl w:val="0"/>
          <w:numId w:val="4"/>
        </w:num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将拒绝接受未获取磋商文件供应商的响应文件。</w:t>
      </w:r>
    </w:p>
    <w:p w14:paraId="1FB21E6F">
      <w:pPr>
        <w:numPr>
          <w:ilvl w:val="0"/>
          <w:numId w:val="4"/>
        </w:num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磋商文件及更正补充公告请自行登录浙江政府采购网或绍兴市上虞区公共资源交易中心网站，在采购公告页面中下载。</w:t>
      </w:r>
    </w:p>
    <w:p w14:paraId="0F465BA6">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六、投标与开标注意事项：</w:t>
      </w:r>
    </w:p>
    <w:p w14:paraId="1936A22F">
      <w:pPr>
        <w:numPr>
          <w:ilvl w:val="0"/>
          <w:numId w:val="5"/>
        </w:num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本项目实行</w:t>
      </w:r>
      <w:r>
        <w:rPr>
          <w:rFonts w:hint="eastAsia" w:ascii="宋体" w:hAnsi="宋体" w:cs="宋体"/>
          <w:b/>
          <w:bCs/>
          <w:color w:val="000000" w:themeColor="text1"/>
          <w:sz w:val="24"/>
          <w:szCs w:val="24"/>
          <w14:textFill>
            <w14:solidFill>
              <w14:schemeClr w14:val="tx1"/>
            </w14:solidFill>
          </w14:textFill>
        </w:rPr>
        <w:t>网上投标</w:t>
      </w:r>
      <w:r>
        <w:rPr>
          <w:rFonts w:hint="eastAsia" w:ascii="宋体" w:hAnsi="宋体" w:cs="宋体"/>
          <w:color w:val="000000" w:themeColor="text1"/>
          <w:sz w:val="24"/>
          <w:szCs w:val="24"/>
          <w14:textFill>
            <w14:solidFill>
              <w14:schemeClr w14:val="tx1"/>
            </w14:solidFill>
          </w14:textFill>
        </w:rPr>
        <w:t>，采用电子投标文件，若供应商参与投标，自行承担投标一切费用。</w:t>
      </w:r>
    </w:p>
    <w:p w14:paraId="5FF8A55C">
      <w:pPr>
        <w:numPr>
          <w:ilvl w:val="0"/>
          <w:numId w:val="5"/>
        </w:numPr>
        <w:wordWrap w:val="0"/>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标前准备：各供应商应在开标前确保成为浙江省政府采购网正式注册入库供应商，并完成CA数字证书办理。因未注册入库、未办理CA数字证书等原因造成无法投标或投标失败等后果由供应商自行承担。</w:t>
      </w:r>
    </w:p>
    <w:p w14:paraId="60ECB4C7">
      <w:pPr>
        <w:autoSpaceDE w:val="0"/>
        <w:autoSpaceDN w:val="0"/>
        <w:spacing w:line="360" w:lineRule="auto"/>
        <w:ind w:firstLine="480" w:firstLineChars="200"/>
        <w:textAlignment w:val="bottom"/>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供应商将政采云电子交易客户端下载、安装完成后，可通过账号密码或CA登录客户端进行投标文件制作。在使用政采云投标客户端时，建议使用WIN7及以上操作系统。</w:t>
      </w:r>
    </w:p>
    <w:p w14:paraId="73E027E2">
      <w:pPr>
        <w:autoSpaceDE w:val="0"/>
        <w:autoSpaceDN w:val="0"/>
        <w:spacing w:line="360" w:lineRule="auto"/>
        <w:ind w:firstLine="480" w:firstLineChars="200"/>
        <w:textAlignment w:val="bottom"/>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注：供应商先要申领CA，取得CA后需要在政采云平台进行绑定，CA相关操作可参考《CA管理学习专题》。完成CA数字证书办理在资料齐全的情况下预计7个工作日左右，建议供应商获取招标文件后立即办理。</w:t>
      </w:r>
    </w:p>
    <w:p w14:paraId="7966F106">
      <w:pPr>
        <w:adjustRightInd w:val="0"/>
        <w:spacing w:line="360" w:lineRule="auto"/>
        <w:ind w:left="400" w:left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《CA管理学习专题》：</w:t>
      </w:r>
    </w:p>
    <w:p w14:paraId="7D3970FB">
      <w:pPr>
        <w:adjustRightInd w:val="0"/>
        <w:spacing w:line="360" w:lineRule="auto"/>
        <w:ind w:left="400" w:left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https://edu.zcygov.cn/luban/ca?utm=web-government-front.380aac0a.0.0.fc2b6aa0b6e211ebbdb0dd007730dd44</w:t>
      </w:r>
    </w:p>
    <w:p w14:paraId="1FB04C7D">
      <w:pPr>
        <w:adjustRightInd w:val="0"/>
        <w:spacing w:line="360" w:lineRule="auto"/>
        <w:ind w:left="400" w:left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《CA驱动和申领流程》:</w:t>
      </w:r>
    </w:p>
    <w:p w14:paraId="49732243">
      <w:pPr>
        <w:adjustRightInd w:val="0"/>
        <w:spacing w:line="360" w:lineRule="auto"/>
        <w:ind w:left="400" w:leftChars="200"/>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"http://zfcg.czt.zj.gov.cn/bidClientTemplate/2019-05-27/12945.html"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http://zfcg.czt.zj.gov.cn/bidClientTemplate/2019-05-27/12945.html</w:t>
      </w:r>
      <w:r>
        <w:rPr>
          <w:rFonts w:hint="eastAsia" w:ascii="宋体" w:hAnsi="宋体" w:cs="宋体"/>
          <w:color w:val="000000" w:themeColor="text1"/>
          <w:sz w:val="24"/>
          <w14:textFill>
            <w14:solidFill>
              <w14:schemeClr w14:val="tx1"/>
            </w14:solidFill>
          </w14:textFill>
        </w:rPr>
        <w:fldChar w:fldCharType="end"/>
      </w:r>
    </w:p>
    <w:p w14:paraId="60F64FC9">
      <w:pPr>
        <w:numPr>
          <w:ilvl w:val="0"/>
          <w:numId w:val="5"/>
        </w:num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投标文件制作：</w:t>
      </w:r>
    </w:p>
    <w:p w14:paraId="645FBDFD">
      <w:pPr>
        <w:numPr>
          <w:ilvl w:val="0"/>
          <w:numId w:val="6"/>
        </w:num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应按照本项目招标文件和政采云平台的要求编制、加密并递交投标文件。供应商在使用系统进行投标的过程中遇到涉及平台使用的任何问题，可致电政采云平台技术支持热线咨询，联系方式：95763。</w:t>
      </w:r>
    </w:p>
    <w:p w14:paraId="4808894C">
      <w:pPr>
        <w:numPr>
          <w:ilvl w:val="0"/>
          <w:numId w:val="6"/>
        </w:numPr>
        <w:wordWrap w:val="0"/>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投标人通过“政采云”平台电子投标工具制作投标文件。</w:t>
      </w:r>
    </w:p>
    <w:p w14:paraId="0A880227">
      <w:pPr>
        <w:adjustRightInd w:val="0"/>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《电子投标工具》：</w:t>
      </w:r>
    </w:p>
    <w:p w14:paraId="1EC747F8">
      <w:pPr>
        <w:adjustRightInd w:val="0"/>
        <w:spacing w:line="360" w:lineRule="auto"/>
        <w:ind w:firstLine="400" w:firstLineChars="200"/>
        <w:jc w:val="left"/>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"http://zfcg.czt.zj.gov.cn/bidClientTemplate/2019-09-24/12975.html"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http://zfcg.czt.zj.gov.cn/bidClientTemplate/2019-09-24/12975.html</w:t>
      </w:r>
      <w:r>
        <w:rPr>
          <w:rFonts w:hint="eastAsia" w:ascii="宋体" w:hAnsi="宋体" w:cs="宋体"/>
          <w:color w:val="000000" w:themeColor="text1"/>
          <w:sz w:val="24"/>
          <w:szCs w:val="24"/>
          <w14:textFill>
            <w14:solidFill>
              <w14:schemeClr w14:val="tx1"/>
            </w14:solidFill>
          </w14:textFill>
        </w:rPr>
        <w:fldChar w:fldCharType="end"/>
      </w:r>
    </w:p>
    <w:p w14:paraId="5E20B89A">
      <w:pPr>
        <w:adjustRightInd w:val="0"/>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《供应商-政府采购项目电子交易操作指南》：(需登录账号后查看)</w:t>
      </w:r>
    </w:p>
    <w:p w14:paraId="2856DF09">
      <w:pPr>
        <w:adjustRightInd w:val="0"/>
        <w:spacing w:line="360" w:lineRule="auto"/>
        <w:ind w:firstLine="400" w:firstLineChars="200"/>
        <w:jc w:val="left"/>
        <w:rPr>
          <w:rFonts w:hint="eastAsia"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"https://service.zcygov.cn/" \l "/knowledges/tree?tag=AG1DtGwBFdiHxlNdhY0r"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https://service.zcygov.cn/#/knowledges/tree?tag=AG1DtGwBFdiHxlNdhY0r</w:t>
      </w:r>
      <w:r>
        <w:rPr>
          <w:rFonts w:hint="eastAsia" w:ascii="宋体" w:hAnsi="宋体" w:cs="宋体"/>
          <w:color w:val="000000" w:themeColor="text1"/>
          <w:sz w:val="24"/>
          <w:szCs w:val="24"/>
          <w14:textFill>
            <w14:solidFill>
              <w14:schemeClr w14:val="tx1"/>
            </w14:solidFill>
          </w14:textFill>
        </w:rPr>
        <w:fldChar w:fldCharType="end"/>
      </w:r>
    </w:p>
    <w:p w14:paraId="27B7361C">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4.供应商在法定质疑期内应一次性提出针对同一采购程序环节的质疑。否则质疑将不予受理。</w:t>
      </w:r>
    </w:p>
    <w:p w14:paraId="3AA3A1D8">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5.投标人可指派授权代表递交备份文件，授权代表递交备份文件需携带法定代表人授权书原件，于投标截止时间前到达开标地点递交。</w:t>
      </w:r>
    </w:p>
    <w:p w14:paraId="3284B4DC">
      <w:pPr>
        <w:adjustRightInd w:val="0"/>
        <w:spacing w:line="360" w:lineRule="auto"/>
        <w:ind w:left="400" w:left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6.特别提醒</w:t>
      </w:r>
    </w:p>
    <w:p w14:paraId="281B2A26">
      <w:pPr>
        <w:wordWrap w:val="0"/>
        <w:adjustRightInd w:val="0"/>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单位负责人为同一人或者存在直接控股、管理关系的不同供应商，不得参加同一合同项下的政府采购活动。</w:t>
      </w:r>
    </w:p>
    <w:p w14:paraId="352CBF8F">
      <w:pPr>
        <w:adjustRightInd w:val="0"/>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除单一来源采购项目外，为采购项目提供整体设计、规范编制或者项目管理、监理、检测等服务的供应商，不得再参加该采购项目的其他采购活动。</w:t>
      </w:r>
    </w:p>
    <w:p w14:paraId="10BD9CEE">
      <w:pPr>
        <w:adjustRightInd w:val="0"/>
        <w:spacing w:line="360" w:lineRule="auto"/>
        <w:ind w:firstLine="482" w:firstLineChars="200"/>
        <w:jc w:val="left"/>
        <w:rPr>
          <w:rFonts w:ascii="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七．磋商响应截止时间及要求：</w:t>
      </w:r>
      <w:r>
        <w:rPr>
          <w:rFonts w:hint="eastAsia"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 xml:space="preserve">2025 </w:t>
      </w:r>
      <w:r>
        <w:rPr>
          <w:rFonts w:hint="eastAsia" w:ascii="宋体" w:hAnsi="宋体" w:cs="宋体"/>
          <w:color w:val="000000" w:themeColor="text1"/>
          <w:sz w:val="24"/>
          <w:szCs w:val="24"/>
          <w14:textFill>
            <w14:solidFill>
              <w14:schemeClr w14:val="tx1"/>
            </w14:solidFill>
          </w14:textFill>
        </w:rPr>
        <w:t>年</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lang w:val="en-US" w:eastAsia="zh-CN"/>
          <w14:textFill>
            <w14:solidFill>
              <w14:schemeClr w14:val="tx1"/>
            </w14:solidFill>
          </w14:textFill>
        </w:rPr>
        <w:t>4</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lang w:val="en-US" w:eastAsia="zh-CN"/>
          <w14:textFill>
            <w14:solidFill>
              <w14:schemeClr w14:val="tx1"/>
            </w14:solidFill>
          </w14:textFill>
        </w:rPr>
        <w:t>21</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日</w:t>
      </w:r>
      <w:r>
        <w:rPr>
          <w:rFonts w:hint="eastAsia" w:ascii="宋体" w:hAnsi="宋体" w:cs="宋体"/>
          <w:color w:val="000000" w:themeColor="text1"/>
          <w:sz w:val="24"/>
          <w:szCs w:val="24"/>
          <w:u w:val="single"/>
          <w14:textFill>
            <w14:solidFill>
              <w14:schemeClr w14:val="tx1"/>
            </w14:solidFill>
          </w14:textFill>
        </w:rPr>
        <w:t xml:space="preserve"> 09 </w:t>
      </w:r>
      <w:r>
        <w:rPr>
          <w:rFonts w:hint="eastAsia" w:ascii="宋体" w:hAnsi="宋体" w:cs="宋体"/>
          <w:color w:val="000000" w:themeColor="text1"/>
          <w:sz w:val="24"/>
          <w:szCs w:val="24"/>
          <w14:textFill>
            <w14:solidFill>
              <w14:schemeClr w14:val="tx1"/>
            </w14:solidFill>
          </w14:textFill>
        </w:rPr>
        <w:t>时</w:t>
      </w:r>
      <w:r>
        <w:rPr>
          <w:rFonts w:hint="eastAsia" w:ascii="宋体" w:hAnsi="宋体" w:cs="宋体"/>
          <w:color w:val="000000" w:themeColor="text1"/>
          <w:sz w:val="24"/>
          <w:szCs w:val="24"/>
          <w:u w:val="single"/>
          <w14:textFill>
            <w14:solidFill>
              <w14:schemeClr w14:val="tx1"/>
            </w14:solidFill>
          </w14:textFill>
        </w:rPr>
        <w:t xml:space="preserve"> </w:t>
      </w:r>
      <w:r>
        <w:rPr>
          <w:rFonts w:ascii="宋体" w:hAnsi="宋体" w:cs="宋体"/>
          <w:color w:val="000000" w:themeColor="text1"/>
          <w:sz w:val="24"/>
          <w:szCs w:val="24"/>
          <w:u w:val="single"/>
          <w14:textFill>
            <w14:solidFill>
              <w14:schemeClr w14:val="tx1"/>
            </w14:solidFill>
          </w14:textFill>
        </w:rPr>
        <w:t>30</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分整之前将电子磋商响应文件上传到“政采云”平台。</w:t>
      </w:r>
    </w:p>
    <w:p w14:paraId="553A10FB">
      <w:pPr>
        <w:adjustRightInd w:val="0"/>
        <w:spacing w:line="360" w:lineRule="auto"/>
        <w:ind w:firstLine="482" w:firstLineChars="200"/>
        <w:jc w:val="left"/>
        <w:rPr>
          <w:rFonts w:ascii="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八．递交首次响应文件时间及地点：</w:t>
      </w:r>
      <w:r>
        <w:rPr>
          <w:rFonts w:hint="eastAsia"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 xml:space="preserve">2025 </w:t>
      </w:r>
      <w:r>
        <w:rPr>
          <w:rFonts w:hint="eastAsia" w:ascii="宋体" w:hAnsi="宋体" w:cs="宋体"/>
          <w:color w:val="000000" w:themeColor="text1"/>
          <w:sz w:val="24"/>
          <w:szCs w:val="24"/>
          <w14:textFill>
            <w14:solidFill>
              <w14:schemeClr w14:val="tx1"/>
            </w14:solidFill>
          </w14:textFill>
        </w:rPr>
        <w:t>年</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lang w:val="en-US" w:eastAsia="zh-CN"/>
          <w14:textFill>
            <w14:solidFill>
              <w14:schemeClr w14:val="tx1"/>
            </w14:solidFill>
          </w14:textFill>
        </w:rPr>
        <w:t>4</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lang w:val="en-US" w:eastAsia="zh-CN"/>
          <w14:textFill>
            <w14:solidFill>
              <w14:schemeClr w14:val="tx1"/>
            </w14:solidFill>
          </w14:textFill>
        </w:rPr>
        <w:t>21</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日</w:t>
      </w:r>
      <w:r>
        <w:rPr>
          <w:rFonts w:hint="eastAsia" w:ascii="宋体" w:hAnsi="宋体" w:cs="宋体"/>
          <w:color w:val="000000" w:themeColor="text1"/>
          <w:sz w:val="24"/>
          <w:szCs w:val="24"/>
          <w:u w:val="single"/>
          <w14:textFill>
            <w14:solidFill>
              <w14:schemeClr w14:val="tx1"/>
            </w14:solidFill>
          </w14:textFill>
        </w:rPr>
        <w:t xml:space="preserve"> 09</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时</w:t>
      </w:r>
      <w:r>
        <w:rPr>
          <w:rFonts w:hint="eastAsia" w:ascii="宋体" w:hAnsi="宋体" w:cs="宋体"/>
          <w:color w:val="000000" w:themeColor="text1"/>
          <w:sz w:val="24"/>
          <w:szCs w:val="24"/>
          <w:u w:val="single"/>
          <w14:textFill>
            <w14:solidFill>
              <w14:schemeClr w14:val="tx1"/>
            </w14:solidFill>
          </w14:textFill>
        </w:rPr>
        <w:t xml:space="preserve"> </w:t>
      </w:r>
      <w:r>
        <w:rPr>
          <w:rFonts w:ascii="宋体" w:hAnsi="宋体" w:cs="宋体"/>
          <w:color w:val="000000" w:themeColor="text1"/>
          <w:sz w:val="24"/>
          <w:szCs w:val="24"/>
          <w:u w:val="single"/>
          <w14:textFill>
            <w14:solidFill>
              <w14:schemeClr w14:val="tx1"/>
            </w14:solidFill>
          </w14:textFill>
        </w:rPr>
        <w:t>30</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分</w:t>
      </w:r>
      <w:bookmarkStart w:id="6" w:name="B30_开标地点"/>
      <w:r>
        <w:rPr>
          <w:rFonts w:hint="eastAsia" w:ascii="宋体" w:hAnsi="宋体" w:cs="宋体"/>
          <w:color w:val="000000" w:themeColor="text1"/>
          <w:sz w:val="24"/>
          <w:szCs w:val="24"/>
          <w14:textFill>
            <w14:solidFill>
              <w14:schemeClr w14:val="tx1"/>
            </w14:solidFill>
          </w14:textFill>
        </w:rPr>
        <w:t>整在</w:t>
      </w:r>
      <w:r>
        <w:rPr>
          <w:rFonts w:hint="eastAsia" w:ascii="宋体" w:hAnsi="宋体" w:cs="宋体"/>
          <w:color w:val="000000" w:themeColor="text1"/>
          <w:sz w:val="24"/>
          <w14:textFill>
            <w14:solidFill>
              <w14:schemeClr w14:val="tx1"/>
            </w14:solidFill>
          </w14:textFill>
        </w:rPr>
        <w:t>中纬工程管理咨询有限公司</w:t>
      </w:r>
      <w:r>
        <w:rPr>
          <w:rFonts w:hint="eastAsia" w:ascii="宋体" w:hAnsi="宋体" w:cs="宋体"/>
          <w:color w:val="000000" w:themeColor="text1"/>
          <w:sz w:val="24"/>
          <w:szCs w:val="24"/>
          <w14:textFill>
            <w14:solidFill>
              <w14:schemeClr w14:val="tx1"/>
            </w14:solidFill>
          </w14:textFill>
        </w:rPr>
        <w:t>开标室开标。</w:t>
      </w:r>
      <w:bookmarkEnd w:id="6"/>
    </w:p>
    <w:p w14:paraId="2FAA41B4">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开标时间后</w:t>
      </w:r>
      <w:r>
        <w:rPr>
          <w:rFonts w:ascii="宋体" w:hAnsi="宋体" w:cs="宋体"/>
          <w:color w:val="000000" w:themeColor="text1"/>
          <w:sz w:val="24"/>
          <w:szCs w:val="24"/>
          <w14:textFill>
            <w14:solidFill>
              <w14:schemeClr w14:val="tx1"/>
            </w14:solidFill>
          </w14:textFill>
        </w:rPr>
        <w:t>30</w:t>
      </w:r>
      <w:r>
        <w:rPr>
          <w:rFonts w:hint="eastAsia" w:ascii="宋体" w:hAnsi="宋体" w:cs="宋体"/>
          <w:color w:val="000000" w:themeColor="text1"/>
          <w:sz w:val="24"/>
          <w:szCs w:val="24"/>
          <w14:textFill>
            <w14:solidFill>
              <w14:schemeClr w14:val="tx1"/>
            </w14:solidFill>
          </w14:textFill>
        </w:rPr>
        <w:t>分钟内（当日1</w:t>
      </w:r>
      <w:r>
        <w:rPr>
          <w:rFonts w:ascii="宋体" w:hAnsi="宋体" w:cs="宋体"/>
          <w:color w:val="000000" w:themeColor="text1"/>
          <w:sz w:val="24"/>
          <w:szCs w:val="24"/>
          <w14:textFill>
            <w14:solidFill>
              <w14:schemeClr w14:val="tx1"/>
            </w14:solidFill>
          </w14:textFill>
        </w:rPr>
        <w:t xml:space="preserve">0 : 00 </w:t>
      </w:r>
      <w:r>
        <w:rPr>
          <w:rFonts w:hint="eastAsia" w:ascii="宋体" w:hAnsi="宋体" w:cs="宋体"/>
          <w:color w:val="000000" w:themeColor="text1"/>
          <w:sz w:val="24"/>
          <w:szCs w:val="24"/>
          <w14:textFill>
            <w14:solidFill>
              <w14:schemeClr w14:val="tx1"/>
            </w14:solidFill>
          </w14:textFill>
        </w:rPr>
        <w:t>前）供应商可以登录“政采云”平台，用“项目采购</w:t>
      </w:r>
      <w:r>
        <w:rPr>
          <w:rFonts w:asci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开标评标”功能进行解密响应文件。若供应商在规定时间内（当日1</w:t>
      </w:r>
      <w:r>
        <w:rPr>
          <w:rFonts w:ascii="宋体" w:hAnsi="宋体" w:cs="宋体"/>
          <w:color w:val="000000" w:themeColor="text1"/>
          <w:sz w:val="24"/>
          <w:szCs w:val="24"/>
          <w14:textFill>
            <w14:solidFill>
              <w14:schemeClr w14:val="tx1"/>
            </w14:solidFill>
          </w14:textFill>
        </w:rPr>
        <w:t xml:space="preserve">0: 00 </w:t>
      </w:r>
      <w:r>
        <w:rPr>
          <w:rFonts w:hint="eastAsia" w:ascii="宋体" w:hAnsi="宋体" w:cs="宋体"/>
          <w:color w:val="000000" w:themeColor="text1"/>
          <w:sz w:val="24"/>
          <w:szCs w:val="24"/>
          <w14:textFill>
            <w14:solidFill>
              <w14:schemeClr w14:val="tx1"/>
            </w14:solidFill>
          </w14:textFill>
        </w:rPr>
        <w:t>前）解密失败，则由采购代理机构工作人员上传供应商提供的备份文件。备份文件（后缀名为</w:t>
      </w:r>
      <w:r>
        <w:rPr>
          <w:rFonts w:ascii="宋体" w:hAnsi="宋体" w:cs="宋体"/>
          <w:color w:val="000000" w:themeColor="text1"/>
          <w:sz w:val="24"/>
          <w:szCs w:val="24"/>
          <w14:textFill>
            <w14:solidFill>
              <w14:schemeClr w14:val="tx1"/>
            </w14:solidFill>
          </w14:textFill>
        </w:rPr>
        <w:t>.bfbs</w:t>
      </w:r>
      <w:r>
        <w:rPr>
          <w:rFonts w:hint="eastAsia" w:ascii="宋体" w:hAnsi="宋体" w:cs="宋体"/>
          <w:color w:val="000000" w:themeColor="text1"/>
          <w:sz w:val="24"/>
          <w:szCs w:val="24"/>
          <w14:textFill>
            <w14:solidFill>
              <w14:schemeClr w14:val="tx1"/>
            </w14:solidFill>
          </w14:textFill>
        </w:rPr>
        <w:t>）须存储在</w:t>
      </w:r>
      <w:r>
        <w:rPr>
          <w:rFonts w:ascii="宋体" w:hAnsi="宋体" w:cs="宋体"/>
          <w:color w:val="000000" w:themeColor="text1"/>
          <w:sz w:val="24"/>
          <w:szCs w:val="24"/>
          <w14:textFill>
            <w14:solidFill>
              <w14:schemeClr w14:val="tx1"/>
            </w14:solidFill>
          </w14:textFill>
        </w:rPr>
        <w:t>U</w:t>
      </w:r>
      <w:r>
        <w:rPr>
          <w:rFonts w:hint="eastAsia" w:ascii="宋体" w:hAnsi="宋体" w:cs="宋体"/>
          <w:color w:val="000000" w:themeColor="text1"/>
          <w:sz w:val="24"/>
          <w:szCs w:val="24"/>
          <w14:textFill>
            <w14:solidFill>
              <w14:schemeClr w14:val="tx1"/>
            </w14:solidFill>
          </w14:textFill>
        </w:rPr>
        <w:t>盘中，与上传的电子磋商响应文件一致，用信封进行密封并盖章</w:t>
      </w:r>
      <w:r>
        <w:rPr>
          <w:rFonts w:hint="eastAsia" w:ascii="宋体" w:hAnsi="宋体" w:cs="宋体"/>
          <w:b/>
          <w:bCs/>
          <w:color w:val="000000" w:themeColor="text1"/>
          <w:sz w:val="24"/>
          <w:szCs w:val="24"/>
          <w14:textFill>
            <w14:solidFill>
              <w14:schemeClr w14:val="tx1"/>
            </w14:solidFill>
          </w14:textFill>
        </w:rPr>
        <w:t>（信封内仅需放入存储备份文件的</w:t>
      </w:r>
      <w:r>
        <w:rPr>
          <w:rFonts w:ascii="宋体" w:hAnsi="宋体" w:cs="宋体"/>
          <w:b/>
          <w:bCs/>
          <w:color w:val="000000" w:themeColor="text1"/>
          <w:sz w:val="24"/>
          <w:szCs w:val="24"/>
          <w14:textFill>
            <w14:solidFill>
              <w14:schemeClr w14:val="tx1"/>
            </w14:solidFill>
          </w14:textFill>
        </w:rPr>
        <w:t>U</w:t>
      </w:r>
      <w:r>
        <w:rPr>
          <w:rFonts w:hint="eastAsia" w:ascii="宋体" w:hAnsi="宋体" w:cs="宋体"/>
          <w:b/>
          <w:bCs/>
          <w:color w:val="000000" w:themeColor="text1"/>
          <w:sz w:val="24"/>
          <w:szCs w:val="24"/>
          <w14:textFill>
            <w14:solidFill>
              <w14:schemeClr w14:val="tx1"/>
            </w14:solidFill>
          </w14:textFill>
        </w:rPr>
        <w:t>盘）</w:t>
      </w:r>
      <w:r>
        <w:rPr>
          <w:rFonts w:hint="eastAsia" w:ascii="宋体" w:hAnsi="宋体" w:cs="宋体"/>
          <w:color w:val="000000" w:themeColor="text1"/>
          <w:sz w:val="24"/>
          <w:szCs w:val="24"/>
          <w14:textFill>
            <w14:solidFill>
              <w14:schemeClr w14:val="tx1"/>
            </w14:solidFill>
          </w14:textFill>
        </w:rPr>
        <w:t>，由授权代表在磋商响应截止时间前递交至开标地点。若电子磋商响应文件正常解锁，则</w:t>
      </w:r>
      <w:r>
        <w:rPr>
          <w:rFonts w:ascii="宋体" w:hAnsi="宋体" w:cs="宋体"/>
          <w:color w:val="000000" w:themeColor="text1"/>
          <w:sz w:val="24"/>
          <w:szCs w:val="24"/>
          <w14:textFill>
            <w14:solidFill>
              <w14:schemeClr w14:val="tx1"/>
            </w14:solidFill>
          </w14:textFill>
        </w:rPr>
        <w:t>U</w:t>
      </w:r>
      <w:r>
        <w:rPr>
          <w:rFonts w:hint="eastAsia" w:ascii="宋体" w:hAnsi="宋体" w:cs="宋体"/>
          <w:color w:val="000000" w:themeColor="text1"/>
          <w:sz w:val="24"/>
          <w:szCs w:val="24"/>
          <w14:textFill>
            <w14:solidFill>
              <w14:schemeClr w14:val="tx1"/>
            </w14:solidFill>
          </w14:textFill>
        </w:rPr>
        <w:t>盘退还给供应商；若解锁失败，则由采购代理机构将</w:t>
      </w:r>
      <w:r>
        <w:rPr>
          <w:rFonts w:ascii="宋体" w:hAnsi="宋体" w:cs="宋体"/>
          <w:color w:val="000000" w:themeColor="text1"/>
          <w:sz w:val="24"/>
          <w:szCs w:val="24"/>
          <w14:textFill>
            <w14:solidFill>
              <w14:schemeClr w14:val="tx1"/>
            </w14:solidFill>
          </w14:textFill>
        </w:rPr>
        <w:t>U</w:t>
      </w:r>
      <w:r>
        <w:rPr>
          <w:rFonts w:hint="eastAsia" w:ascii="宋体" w:hAnsi="宋体" w:cs="宋体"/>
          <w:color w:val="000000" w:themeColor="text1"/>
          <w:sz w:val="24"/>
          <w:szCs w:val="24"/>
          <w14:textFill>
            <w14:solidFill>
              <w14:schemeClr w14:val="tx1"/>
            </w14:solidFill>
          </w14:textFill>
        </w:rPr>
        <w:t>盘中的备份文件上传，该</w:t>
      </w:r>
      <w:r>
        <w:rPr>
          <w:rFonts w:ascii="宋体" w:hAnsi="宋体" w:cs="宋体"/>
          <w:color w:val="000000" w:themeColor="text1"/>
          <w:sz w:val="24"/>
          <w:szCs w:val="24"/>
          <w14:textFill>
            <w14:solidFill>
              <w14:schemeClr w14:val="tx1"/>
            </w14:solidFill>
          </w14:textFill>
        </w:rPr>
        <w:t>U</w:t>
      </w:r>
      <w:r>
        <w:rPr>
          <w:rFonts w:hint="eastAsia" w:ascii="宋体" w:hAnsi="宋体" w:cs="宋体"/>
          <w:color w:val="000000" w:themeColor="text1"/>
          <w:sz w:val="24"/>
          <w:szCs w:val="24"/>
          <w14:textFill>
            <w14:solidFill>
              <w14:schemeClr w14:val="tx1"/>
            </w14:solidFill>
          </w14:textFill>
        </w:rPr>
        <w:t>盘将由采购代理机构保存。</w:t>
      </w:r>
    </w:p>
    <w:p w14:paraId="31A76C09">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本次开标不提供现场视频。</w:t>
      </w:r>
    </w:p>
    <w:p w14:paraId="7EE86058">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九．磋商保证金：无</w:t>
      </w:r>
    </w:p>
    <w:p w14:paraId="33C51052">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十．公告期限：3个工作日</w:t>
      </w:r>
    </w:p>
    <w:p w14:paraId="2A0FF979">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十一．联系方式：</w:t>
      </w:r>
    </w:p>
    <w:p w14:paraId="41E26F13">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．采购代理机构名称：中纬工程管理咨询有限公司</w:t>
      </w:r>
    </w:p>
    <w:p w14:paraId="26CBF6C2">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项目联系人（询问）：何女士</w:t>
      </w:r>
    </w:p>
    <w:p w14:paraId="79C6358F">
      <w:pPr>
        <w:adjustRightIn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项目联系方式（询问）：</w:t>
      </w:r>
      <w:r>
        <w:rPr>
          <w:rFonts w:hint="eastAsia" w:ascii="宋体" w:hAnsi="宋体" w:cs="宋体"/>
          <w:color w:val="000000" w:themeColor="text1"/>
          <w:sz w:val="24"/>
          <w14:textFill>
            <w14:solidFill>
              <w14:schemeClr w14:val="tx1"/>
            </w14:solidFill>
          </w14:textFill>
        </w:rPr>
        <w:t>13567548466</w:t>
      </w:r>
    </w:p>
    <w:p w14:paraId="44019AEC">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质疑联系人：郑女士</w:t>
      </w:r>
    </w:p>
    <w:p w14:paraId="0CA11FD6">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质疑联系方式：13819587120</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w:t>
      </w:r>
    </w:p>
    <w:p w14:paraId="1C4F0EE4">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地址：绍兴市上虞区曹娥街道上虞电商产业园1号楼1楼</w:t>
      </w:r>
    </w:p>
    <w:p w14:paraId="1FFAF282">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．采购人名称：</w:t>
      </w:r>
      <w:r>
        <w:rPr>
          <w:rFonts w:hint="eastAsia" w:ascii="宋体" w:hAnsi="宋体" w:cs="宋体"/>
          <w:color w:val="000000" w:themeColor="text1"/>
          <w:sz w:val="24"/>
          <w14:textFill>
            <w14:solidFill>
              <w14:schemeClr w14:val="tx1"/>
            </w14:solidFill>
          </w14:textFill>
        </w:rPr>
        <w:t>绍兴市上虞区气象局</w:t>
      </w:r>
    </w:p>
    <w:p w14:paraId="7936291C">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项目联系人（询问）：岑女士</w:t>
      </w:r>
    </w:p>
    <w:p w14:paraId="2DD406BE">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项目联系方式（询问）：0575-89291987 </w:t>
      </w:r>
    </w:p>
    <w:p w14:paraId="3A136C55">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质疑联系人：周先生 </w:t>
      </w:r>
      <w:r>
        <w:rPr>
          <w:rFonts w:ascii="宋体" w:hAnsi="宋体" w:cs="宋体"/>
          <w:color w:val="000000" w:themeColor="text1"/>
          <w:sz w:val="24"/>
          <w:szCs w:val="24"/>
          <w14:textFill>
            <w14:solidFill>
              <w14:schemeClr w14:val="tx1"/>
            </w14:solidFill>
          </w14:textFill>
        </w:rPr>
        <w:t xml:space="preserve">   </w:t>
      </w:r>
    </w:p>
    <w:p w14:paraId="162FD365">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质疑联系方式：0575-82203250</w:t>
      </w:r>
    </w:p>
    <w:p w14:paraId="43CD8D5A">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地址：</w:t>
      </w:r>
      <w:r>
        <w:rPr>
          <w:rFonts w:hint="eastAsia" w:ascii="宋体" w:hAnsi="宋体" w:cs="宋体"/>
          <w:color w:val="000000" w:themeColor="text1"/>
          <w:sz w:val="24"/>
          <w14:textFill>
            <w14:solidFill>
              <w14:schemeClr w14:val="tx1"/>
            </w14:solidFill>
          </w14:textFill>
        </w:rPr>
        <w:t>绍兴市上虞区王充路80号</w:t>
      </w:r>
    </w:p>
    <w:p w14:paraId="3FB4905C">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．同级政府采购监督管理部门名称：上虞区财政局政府采购监管科</w:t>
      </w:r>
    </w:p>
    <w:p w14:paraId="0D12EB06">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联系人：谷先生</w:t>
      </w:r>
    </w:p>
    <w:p w14:paraId="29CEF13D">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监督投诉电话：</w:t>
      </w:r>
      <w:r>
        <w:rPr>
          <w:rFonts w:ascii="宋体" w:hAnsi="宋体" w:cs="宋体"/>
          <w:color w:val="000000" w:themeColor="text1"/>
          <w:sz w:val="24"/>
          <w:szCs w:val="24"/>
          <w14:textFill>
            <w14:solidFill>
              <w14:schemeClr w14:val="tx1"/>
            </w14:solidFill>
          </w14:textFill>
        </w:rPr>
        <w:t>0575-82130212</w:t>
      </w:r>
    </w:p>
    <w:p w14:paraId="03098383">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传真：</w:t>
      </w:r>
      <w:r>
        <w:rPr>
          <w:rFonts w:ascii="宋体" w:hAnsi="宋体" w:cs="宋体"/>
          <w:color w:val="000000" w:themeColor="text1"/>
          <w:sz w:val="24"/>
          <w:szCs w:val="24"/>
          <w14:textFill>
            <w14:solidFill>
              <w14:schemeClr w14:val="tx1"/>
            </w14:solidFill>
          </w14:textFill>
        </w:rPr>
        <w:t>0575-82154859</w:t>
      </w:r>
    </w:p>
    <w:p w14:paraId="1F06DD9B">
      <w:pPr>
        <w:adjustRightInd w:val="0"/>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地址：绍兴市上虞区体育场路</w:t>
      </w:r>
      <w:r>
        <w:rPr>
          <w:rFonts w:ascii="宋体" w:hAnsi="宋体" w:cs="宋体"/>
          <w:color w:val="000000" w:themeColor="text1"/>
          <w:sz w:val="24"/>
          <w:szCs w:val="24"/>
          <w14:textFill>
            <w14:solidFill>
              <w14:schemeClr w14:val="tx1"/>
            </w14:solidFill>
          </w14:textFill>
        </w:rPr>
        <w:t>18</w:t>
      </w:r>
      <w:r>
        <w:rPr>
          <w:rFonts w:hint="eastAsia" w:ascii="宋体" w:hAnsi="宋体" w:cs="宋体"/>
          <w:color w:val="000000" w:themeColor="text1"/>
          <w:sz w:val="24"/>
          <w:szCs w:val="24"/>
          <w14:textFill>
            <w14:solidFill>
              <w14:schemeClr w14:val="tx1"/>
            </w14:solidFill>
          </w14:textFill>
        </w:rPr>
        <w:t>号</w:t>
      </w:r>
    </w:p>
    <w:p w14:paraId="657052CF">
      <w:pPr>
        <w:spacing w:line="360" w:lineRule="auto"/>
        <w:jc w:val="center"/>
        <w:outlineLvl w:val="0"/>
        <w:rPr>
          <w:rFonts w:ascii="宋体"/>
          <w:b/>
          <w:bCs/>
          <w:color w:val="000000" w:themeColor="text1"/>
          <w:sz w:val="36"/>
          <w:szCs w:val="36"/>
          <w14:textFill>
            <w14:solidFill>
              <w14:schemeClr w14:val="tx1"/>
            </w14:solidFill>
          </w14:textFill>
        </w:rPr>
      </w:pPr>
      <w:r>
        <w:rPr>
          <w:rFonts w:ascii="宋体"/>
          <w:b/>
          <w:bCs/>
          <w:color w:val="000000" w:themeColor="text1"/>
          <w:sz w:val="36"/>
          <w:szCs w:val="36"/>
          <w14:textFill>
            <w14:solidFill>
              <w14:schemeClr w14:val="tx1"/>
            </w14:solidFill>
          </w14:textFill>
        </w:rPr>
        <w:br w:type="page"/>
      </w:r>
      <w:bookmarkStart w:id="7" w:name="_Toc29834"/>
      <w:bookmarkStart w:id="8" w:name="_Toc546"/>
      <w:bookmarkStart w:id="9" w:name="_Toc9924"/>
      <w:r>
        <w:rPr>
          <w:rStyle w:val="36"/>
          <w:rFonts w:hint="eastAsia" w:cs="宋体"/>
          <w:color w:val="000000" w:themeColor="text1"/>
          <w:sz w:val="36"/>
          <w:szCs w:val="36"/>
          <w14:textFill>
            <w14:solidFill>
              <w14:schemeClr w14:val="tx1"/>
            </w14:solidFill>
          </w14:textFill>
        </w:rPr>
        <w:t>第二部分</w:t>
      </w:r>
      <w:bookmarkEnd w:id="3"/>
      <w:r>
        <w:rPr>
          <w:rStyle w:val="36"/>
          <w:color w:val="000000" w:themeColor="text1"/>
          <w:sz w:val="36"/>
          <w:szCs w:val="36"/>
          <w14:textFill>
            <w14:solidFill>
              <w14:schemeClr w14:val="tx1"/>
            </w14:solidFill>
          </w14:textFill>
        </w:rPr>
        <w:t xml:space="preserve"> </w:t>
      </w:r>
      <w:bookmarkEnd w:id="4"/>
      <w:r>
        <w:rPr>
          <w:rStyle w:val="36"/>
          <w:rFonts w:hint="eastAsia" w:cs="宋体"/>
          <w:color w:val="000000" w:themeColor="text1"/>
          <w:sz w:val="36"/>
          <w:szCs w:val="36"/>
          <w14:textFill>
            <w14:solidFill>
              <w14:schemeClr w14:val="tx1"/>
            </w14:solidFill>
          </w14:textFill>
        </w:rPr>
        <w:t>供应商须知</w:t>
      </w:r>
      <w:bookmarkEnd w:id="7"/>
      <w:bookmarkEnd w:id="8"/>
      <w:bookmarkEnd w:id="9"/>
    </w:p>
    <w:p w14:paraId="2125B554">
      <w:pPr>
        <w:widowControl/>
        <w:adjustRightInd w:val="0"/>
        <w:snapToGrid w:val="0"/>
        <w:spacing w:line="360" w:lineRule="auto"/>
        <w:jc w:val="center"/>
        <w:rPr>
          <w:rFonts w:ascii="宋体"/>
          <w:b/>
          <w:bCs/>
          <w:snapToGrid w:val="0"/>
          <w:color w:val="000000" w:themeColor="text1"/>
          <w:sz w:val="32"/>
          <w:szCs w:val="32"/>
          <w14:textFill>
            <w14:solidFill>
              <w14:schemeClr w14:val="tx1"/>
            </w14:solidFill>
          </w14:textFill>
        </w:rPr>
      </w:pPr>
      <w:r>
        <w:rPr>
          <w:rFonts w:hint="eastAsia" w:ascii="宋体" w:hAnsi="宋体" w:cs="宋体"/>
          <w:b/>
          <w:bCs/>
          <w:snapToGrid w:val="0"/>
          <w:color w:val="000000" w:themeColor="text1"/>
          <w:sz w:val="30"/>
          <w:szCs w:val="30"/>
          <w14:textFill>
            <w14:solidFill>
              <w14:schemeClr w14:val="tx1"/>
            </w14:solidFill>
          </w14:textFill>
        </w:rPr>
        <w:t>供应商须知前附表</w:t>
      </w:r>
    </w:p>
    <w:tbl>
      <w:tblPr>
        <w:tblStyle w:val="27"/>
        <w:tblW w:w="9262"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814"/>
      </w:tblGrid>
      <w:tr w14:paraId="2C604E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80" w:hRule="atLeast"/>
          <w:tblHeader/>
          <w:jc w:val="center"/>
        </w:trPr>
        <w:tc>
          <w:tcPr>
            <w:tcW w:w="648" w:type="dxa"/>
            <w:tcBorders>
              <w:top w:val="double" w:color="auto" w:sz="4" w:space="0"/>
            </w:tcBorders>
            <w:vAlign w:val="center"/>
          </w:tcPr>
          <w:p w14:paraId="3EAA2118">
            <w:pPr>
              <w:snapToGrid w:val="0"/>
              <w:jc w:val="center"/>
              <w:rPr>
                <w:rFonts w:ascii="宋体"/>
                <w:b/>
                <w:bCs/>
                <w:snapToGrid w:val="0"/>
                <w:color w:val="000000" w:themeColor="text1"/>
                <w:sz w:val="21"/>
                <w:szCs w:val="21"/>
                <w14:textFill>
                  <w14:solidFill>
                    <w14:schemeClr w14:val="tx1"/>
                  </w14:solidFill>
                </w14:textFill>
              </w:rPr>
            </w:pPr>
            <w:r>
              <w:rPr>
                <w:rFonts w:hint="eastAsia" w:ascii="宋体" w:hAnsi="宋体" w:cs="宋体"/>
                <w:b/>
                <w:bCs/>
                <w:snapToGrid w:val="0"/>
                <w:color w:val="000000" w:themeColor="text1"/>
                <w:sz w:val="21"/>
                <w:szCs w:val="21"/>
                <w14:textFill>
                  <w14:solidFill>
                    <w14:schemeClr w14:val="tx1"/>
                  </w14:solidFill>
                </w14:textFill>
              </w:rPr>
              <w:t>序号</w:t>
            </w:r>
          </w:p>
        </w:tc>
        <w:tc>
          <w:tcPr>
            <w:tcW w:w="1800" w:type="dxa"/>
            <w:tcBorders>
              <w:top w:val="double" w:color="auto" w:sz="4" w:space="0"/>
            </w:tcBorders>
            <w:vAlign w:val="center"/>
          </w:tcPr>
          <w:p w14:paraId="1FC47DCC">
            <w:pPr>
              <w:snapToGrid w:val="0"/>
              <w:jc w:val="center"/>
              <w:rPr>
                <w:rFonts w:ascii="宋体"/>
                <w:b/>
                <w:bCs/>
                <w:snapToGrid w:val="0"/>
                <w:color w:val="000000" w:themeColor="text1"/>
                <w:sz w:val="21"/>
                <w:szCs w:val="21"/>
                <w14:textFill>
                  <w14:solidFill>
                    <w14:schemeClr w14:val="tx1"/>
                  </w14:solidFill>
                </w14:textFill>
              </w:rPr>
            </w:pPr>
            <w:r>
              <w:rPr>
                <w:rFonts w:hint="eastAsia" w:ascii="宋体" w:hAnsi="宋体" w:cs="宋体"/>
                <w:b/>
                <w:bCs/>
                <w:snapToGrid w:val="0"/>
                <w:color w:val="000000" w:themeColor="text1"/>
                <w:sz w:val="21"/>
                <w:szCs w:val="21"/>
                <w14:textFill>
                  <w14:solidFill>
                    <w14:schemeClr w14:val="tx1"/>
                  </w14:solidFill>
                </w14:textFill>
              </w:rPr>
              <w:t>项目</w:t>
            </w:r>
          </w:p>
        </w:tc>
        <w:tc>
          <w:tcPr>
            <w:tcW w:w="6814" w:type="dxa"/>
            <w:tcBorders>
              <w:top w:val="double" w:color="auto" w:sz="4" w:space="0"/>
            </w:tcBorders>
            <w:vAlign w:val="center"/>
          </w:tcPr>
          <w:p w14:paraId="501ABA0C">
            <w:pPr>
              <w:snapToGrid w:val="0"/>
              <w:jc w:val="center"/>
              <w:rPr>
                <w:rFonts w:ascii="宋体"/>
                <w:b/>
                <w:bCs/>
                <w:snapToGrid w:val="0"/>
                <w:color w:val="000000" w:themeColor="text1"/>
                <w:sz w:val="21"/>
                <w:szCs w:val="21"/>
                <w14:textFill>
                  <w14:solidFill>
                    <w14:schemeClr w14:val="tx1"/>
                  </w14:solidFill>
                </w14:textFill>
              </w:rPr>
            </w:pPr>
            <w:r>
              <w:rPr>
                <w:rFonts w:hint="eastAsia" w:ascii="宋体" w:hAnsi="宋体" w:cs="宋体"/>
                <w:b/>
                <w:bCs/>
                <w:snapToGrid w:val="0"/>
                <w:color w:val="000000" w:themeColor="text1"/>
                <w:sz w:val="21"/>
                <w:szCs w:val="21"/>
                <w14:textFill>
                  <w14:solidFill>
                    <w14:schemeClr w14:val="tx1"/>
                  </w14:solidFill>
                </w14:textFill>
              </w:rPr>
              <w:t>内容</w:t>
            </w:r>
          </w:p>
        </w:tc>
      </w:tr>
      <w:tr w14:paraId="2357BA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648" w:type="dxa"/>
            <w:vAlign w:val="center"/>
          </w:tcPr>
          <w:p w14:paraId="05ABA7EC">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w:t>
            </w:r>
          </w:p>
        </w:tc>
        <w:tc>
          <w:tcPr>
            <w:tcW w:w="1800" w:type="dxa"/>
            <w:vAlign w:val="center"/>
          </w:tcPr>
          <w:p w14:paraId="2555C38E">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项目名称</w:t>
            </w:r>
          </w:p>
        </w:tc>
        <w:tc>
          <w:tcPr>
            <w:tcW w:w="6814" w:type="dxa"/>
            <w:vAlign w:val="center"/>
          </w:tcPr>
          <w:p w14:paraId="663BE89D">
            <w:pPr>
              <w:snapToGrid w:val="0"/>
              <w:ind w:firstLine="420" w:firstLineChars="200"/>
              <w:rPr>
                <w:rFonts w:hint="eastAsia" w:ascii="宋体" w:hAnsi="宋体" w:cs="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上虞区X波段相控阵雷达维护、抢修服务（2部）</w:t>
            </w:r>
          </w:p>
        </w:tc>
      </w:tr>
      <w:tr w14:paraId="6820B8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648" w:type="dxa"/>
            <w:vAlign w:val="center"/>
          </w:tcPr>
          <w:p w14:paraId="779CCC86">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2</w:t>
            </w:r>
          </w:p>
        </w:tc>
        <w:tc>
          <w:tcPr>
            <w:tcW w:w="1800" w:type="dxa"/>
            <w:vAlign w:val="center"/>
          </w:tcPr>
          <w:p w14:paraId="555F22F2">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项目实施时间</w:t>
            </w:r>
          </w:p>
        </w:tc>
        <w:tc>
          <w:tcPr>
            <w:tcW w:w="6814" w:type="dxa"/>
            <w:vAlign w:val="center"/>
          </w:tcPr>
          <w:p w14:paraId="3DCC77E7">
            <w:pPr>
              <w:ind w:firstLine="422" w:firstLineChars="200"/>
              <w:rPr>
                <w:rFonts w:hint="eastAsia" w:ascii="宋体" w:hAnsi="宋体" w:cs="宋体"/>
                <w:b/>
                <w:bCs/>
                <w:snapToGrid w:val="0"/>
                <w:color w:val="000000" w:themeColor="text1"/>
                <w:sz w:val="21"/>
                <w:szCs w:val="21"/>
                <w14:textFill>
                  <w14:solidFill>
                    <w14:schemeClr w14:val="tx1"/>
                  </w14:solidFill>
                </w14:textFill>
              </w:rPr>
            </w:pPr>
            <w:r>
              <w:rPr>
                <w:rFonts w:hint="eastAsia" w:ascii="宋体" w:hAnsi="宋体" w:cs="宋体"/>
                <w:b/>
                <w:bCs/>
                <w:snapToGrid w:val="0"/>
                <w:color w:val="000000" w:themeColor="text1"/>
                <w:sz w:val="21"/>
                <w:szCs w:val="21"/>
                <w14:textFill>
                  <w14:solidFill>
                    <w14:schemeClr w14:val="tx1"/>
                  </w14:solidFill>
                </w14:textFill>
              </w:rPr>
              <w:t>自合同签订之日起至合同履行完毕</w:t>
            </w:r>
          </w:p>
        </w:tc>
      </w:tr>
      <w:tr w14:paraId="329314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648" w:type="dxa"/>
            <w:vAlign w:val="center"/>
          </w:tcPr>
          <w:p w14:paraId="4A53E431">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3</w:t>
            </w:r>
          </w:p>
        </w:tc>
        <w:tc>
          <w:tcPr>
            <w:tcW w:w="1800" w:type="dxa"/>
            <w:vAlign w:val="center"/>
          </w:tcPr>
          <w:p w14:paraId="0F65FAC7">
            <w:pPr>
              <w:snapToGrid w:val="0"/>
              <w:jc w:val="center"/>
              <w:rPr>
                <w:rFonts w:ascii="宋体"/>
                <w:b/>
                <w:bCs/>
                <w:snapToGrid w:val="0"/>
                <w:color w:val="000000" w:themeColor="text1"/>
                <w:sz w:val="21"/>
                <w:szCs w:val="21"/>
                <w14:textFill>
                  <w14:solidFill>
                    <w14:schemeClr w14:val="tx1"/>
                  </w14:solidFill>
                </w14:textFill>
              </w:rPr>
            </w:pPr>
            <w:r>
              <w:rPr>
                <w:rFonts w:hint="eastAsia" w:ascii="宋体" w:hAnsi="宋体" w:cs="宋体"/>
                <w:b/>
                <w:bCs/>
                <w:snapToGrid w:val="0"/>
                <w:color w:val="000000" w:themeColor="text1"/>
                <w:sz w:val="21"/>
                <w:szCs w:val="21"/>
                <w14:textFill>
                  <w14:solidFill>
                    <w14:schemeClr w14:val="tx1"/>
                  </w14:solidFill>
                </w14:textFill>
              </w:rPr>
              <w:t>最高限价</w:t>
            </w:r>
          </w:p>
        </w:tc>
        <w:tc>
          <w:tcPr>
            <w:tcW w:w="6814" w:type="dxa"/>
            <w:vAlign w:val="center"/>
          </w:tcPr>
          <w:p w14:paraId="56526900">
            <w:pPr>
              <w:snapToGrid w:val="0"/>
              <w:ind w:firstLine="420" w:firstLineChars="200"/>
              <w:rPr>
                <w:rFonts w:ascii="宋体"/>
                <w:b/>
                <w:bCs/>
                <w:snapToGrid w:val="0"/>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本项目最高限价人民币</w:t>
            </w:r>
            <w:r>
              <w:rPr>
                <w:rFonts w:ascii="宋体" w:hAnsi="宋体" w:cs="宋体"/>
                <w:b/>
                <w:bCs/>
                <w:color w:val="000000" w:themeColor="text1"/>
                <w:sz w:val="21"/>
                <w:szCs w:val="21"/>
                <w:u w:val="single"/>
                <w14:textFill>
                  <w14:solidFill>
                    <w14:schemeClr w14:val="tx1"/>
                  </w14:solidFill>
                </w14:textFill>
              </w:rPr>
              <w:t xml:space="preserve"> </w:t>
            </w:r>
            <w:r>
              <w:rPr>
                <w:rFonts w:hint="eastAsia" w:ascii="宋体" w:hAnsi="宋体" w:cs="宋体"/>
                <w:b/>
                <w:bCs/>
                <w:color w:val="000000" w:themeColor="text1"/>
                <w:sz w:val="21"/>
                <w:szCs w:val="21"/>
                <w:u w:val="single"/>
                <w14:textFill>
                  <w14:solidFill>
                    <w14:schemeClr w14:val="tx1"/>
                  </w14:solidFill>
                </w14:textFill>
              </w:rPr>
              <w:t>50</w:t>
            </w:r>
            <w:r>
              <w:rPr>
                <w:rFonts w:ascii="宋体" w:hAnsi="宋体" w:cs="宋体"/>
                <w:b/>
                <w:bCs/>
                <w:color w:val="000000" w:themeColor="text1"/>
                <w:sz w:val="21"/>
                <w:szCs w:val="21"/>
                <w:u w:val="single"/>
                <w14:textFill>
                  <w14:solidFill>
                    <w14:schemeClr w14:val="tx1"/>
                  </w14:solidFill>
                </w14:textFill>
              </w:rPr>
              <w:t xml:space="preserve"> </w:t>
            </w:r>
            <w:r>
              <w:rPr>
                <w:rFonts w:hint="eastAsia" w:ascii="宋体" w:hAnsi="宋体" w:cs="宋体"/>
                <w:b/>
                <w:bCs/>
                <w:color w:val="000000" w:themeColor="text1"/>
                <w:sz w:val="21"/>
                <w:szCs w:val="21"/>
                <w14:textFill>
                  <w14:solidFill>
                    <w14:schemeClr w14:val="tx1"/>
                  </w14:solidFill>
                </w14:textFill>
              </w:rPr>
              <w:t>万元</w:t>
            </w:r>
            <w:r>
              <w:rPr>
                <w:rFonts w:hint="eastAsia" w:ascii="宋体" w:hAnsi="宋体" w:cs="宋体"/>
                <w:color w:val="000000" w:themeColor="text1"/>
                <w:sz w:val="21"/>
                <w:szCs w:val="21"/>
                <w14:textFill>
                  <w14:solidFill>
                    <w14:schemeClr w14:val="tx1"/>
                  </w14:solidFill>
                </w14:textFill>
              </w:rPr>
              <w:t>。</w:t>
            </w:r>
          </w:p>
        </w:tc>
      </w:tr>
      <w:tr w14:paraId="78D1FE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648" w:type="dxa"/>
            <w:vAlign w:val="center"/>
          </w:tcPr>
          <w:p w14:paraId="4F860A67">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 xml:space="preserve">                                                                                                   4</w:t>
            </w:r>
          </w:p>
        </w:tc>
        <w:tc>
          <w:tcPr>
            <w:tcW w:w="1800" w:type="dxa"/>
            <w:vAlign w:val="center"/>
          </w:tcPr>
          <w:p w14:paraId="6449E915">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资格审查方式</w:t>
            </w:r>
          </w:p>
        </w:tc>
        <w:tc>
          <w:tcPr>
            <w:tcW w:w="6814" w:type="dxa"/>
            <w:vAlign w:val="center"/>
          </w:tcPr>
          <w:p w14:paraId="027FB867">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资格审查是指开标后，磋商小组将依据法律法规和磋商文件的规定对供应商的资格进行审查。</w:t>
            </w:r>
          </w:p>
        </w:tc>
      </w:tr>
      <w:tr w14:paraId="2491D9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648" w:type="dxa"/>
            <w:vAlign w:val="center"/>
          </w:tcPr>
          <w:p w14:paraId="2B2B4E03">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5</w:t>
            </w:r>
          </w:p>
        </w:tc>
        <w:tc>
          <w:tcPr>
            <w:tcW w:w="1800" w:type="dxa"/>
            <w:vAlign w:val="center"/>
          </w:tcPr>
          <w:p w14:paraId="375C9EE2">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踏勘现场</w:t>
            </w:r>
          </w:p>
        </w:tc>
        <w:tc>
          <w:tcPr>
            <w:tcW w:w="6814" w:type="dxa"/>
            <w:vAlign w:val="center"/>
          </w:tcPr>
          <w:p w14:paraId="77481D1D">
            <w:pPr>
              <w:snapToGrid w:val="0"/>
              <w:ind w:firstLine="422" w:firstLineChars="200"/>
              <w:rPr>
                <w:rFonts w:ascii="宋体"/>
                <w:snapToGrid w:val="0"/>
                <w:color w:val="000000" w:themeColor="text1"/>
                <w:sz w:val="21"/>
                <w:szCs w:val="21"/>
                <w14:textFill>
                  <w14:solidFill>
                    <w14:schemeClr w14:val="tx1"/>
                  </w14:solidFill>
                </w14:textFill>
              </w:rPr>
            </w:pPr>
            <w:r>
              <w:rPr>
                <w:rFonts w:hint="eastAsia" w:ascii="宋体" w:hAnsi="宋体" w:cs="宋体"/>
                <w:b/>
                <w:bCs/>
                <w:snapToGrid w:val="0"/>
                <w:color w:val="000000" w:themeColor="text1"/>
                <w:sz w:val="21"/>
                <w:szCs w:val="21"/>
                <w14:textFill>
                  <w14:solidFill>
                    <w14:schemeClr w14:val="tx1"/>
                  </w14:solidFill>
                </w14:textFill>
              </w:rPr>
              <w:t>本项目不组织现场踏勘</w:t>
            </w:r>
          </w:p>
        </w:tc>
      </w:tr>
      <w:tr w14:paraId="32D219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34" w:hRule="atLeast"/>
          <w:jc w:val="center"/>
        </w:trPr>
        <w:tc>
          <w:tcPr>
            <w:tcW w:w="648" w:type="dxa"/>
            <w:vAlign w:val="center"/>
          </w:tcPr>
          <w:p w14:paraId="0A576F61">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6</w:t>
            </w:r>
          </w:p>
        </w:tc>
        <w:tc>
          <w:tcPr>
            <w:tcW w:w="1800" w:type="dxa"/>
            <w:vAlign w:val="center"/>
          </w:tcPr>
          <w:p w14:paraId="575886F2">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询问</w:t>
            </w:r>
          </w:p>
        </w:tc>
        <w:tc>
          <w:tcPr>
            <w:tcW w:w="6814" w:type="dxa"/>
            <w:vAlign w:val="center"/>
          </w:tcPr>
          <w:p w14:paraId="7A3DE048">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供应商对政府采购活动事项有疑问的，可以向采购机构提出询问，采购人或者招标代理机构应当在</w:t>
            </w:r>
            <w:r>
              <w:rPr>
                <w:rFonts w:ascii="宋体" w:hAnsi="宋体" w:cs="宋体"/>
                <w:snapToGrid w:val="0"/>
                <w:color w:val="000000" w:themeColor="text1"/>
                <w:sz w:val="21"/>
                <w:szCs w:val="21"/>
                <w14:textFill>
                  <w14:solidFill>
                    <w14:schemeClr w14:val="tx1"/>
                  </w14:solidFill>
                </w14:textFill>
              </w:rPr>
              <w:t>3</w:t>
            </w:r>
            <w:r>
              <w:rPr>
                <w:rFonts w:hint="eastAsia" w:ascii="宋体" w:hAnsi="宋体" w:cs="宋体"/>
                <w:snapToGrid w:val="0"/>
                <w:color w:val="000000" w:themeColor="text1"/>
                <w:sz w:val="21"/>
                <w:szCs w:val="21"/>
                <w14:textFill>
                  <w14:solidFill>
                    <w14:schemeClr w14:val="tx1"/>
                  </w14:solidFill>
                </w14:textFill>
              </w:rPr>
              <w:t>个工作日内对供应商依法提出的询问作出答复，但答复的内容不得涉及商业秘密。</w:t>
            </w:r>
          </w:p>
        </w:tc>
      </w:tr>
      <w:tr w14:paraId="65D4EF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01" w:hRule="atLeast"/>
          <w:jc w:val="center"/>
        </w:trPr>
        <w:tc>
          <w:tcPr>
            <w:tcW w:w="648" w:type="dxa"/>
            <w:vAlign w:val="center"/>
          </w:tcPr>
          <w:p w14:paraId="41235A73">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7</w:t>
            </w:r>
          </w:p>
        </w:tc>
        <w:tc>
          <w:tcPr>
            <w:tcW w:w="1800" w:type="dxa"/>
            <w:vAlign w:val="center"/>
          </w:tcPr>
          <w:p w14:paraId="0451D5EE">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磋商文件的澄清与修改</w:t>
            </w:r>
          </w:p>
        </w:tc>
        <w:tc>
          <w:tcPr>
            <w:tcW w:w="6814" w:type="dxa"/>
            <w:vAlign w:val="center"/>
          </w:tcPr>
          <w:p w14:paraId="5288D15E">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采购单位可以对已发出的磋商文件进行必要澄清或者修改，澄清或者修改的内容可能影响响应文件编制的，应当在提交首次响应文件截至时间至少</w:t>
            </w:r>
            <w:r>
              <w:rPr>
                <w:rFonts w:ascii="宋体" w:hAnsi="宋体" w:cs="宋体"/>
                <w:snapToGrid w:val="0"/>
                <w:color w:val="000000" w:themeColor="text1"/>
                <w:sz w:val="21"/>
                <w:szCs w:val="21"/>
                <w14:textFill>
                  <w14:solidFill>
                    <w14:schemeClr w14:val="tx1"/>
                  </w14:solidFill>
                </w14:textFill>
              </w:rPr>
              <w:t>5</w:t>
            </w:r>
            <w:r>
              <w:rPr>
                <w:rFonts w:hint="eastAsia" w:ascii="宋体" w:hAnsi="宋体" w:cs="宋体"/>
                <w:snapToGrid w:val="0"/>
                <w:color w:val="000000" w:themeColor="text1"/>
                <w:sz w:val="21"/>
                <w:szCs w:val="21"/>
                <w14:textFill>
                  <w14:solidFill>
                    <w14:schemeClr w14:val="tx1"/>
                  </w14:solidFill>
                </w14:textFill>
              </w:rPr>
              <w:t>日前，在磋商公告发布的媒体上发布更正公告。本项目磋商文件和补充（答疑、澄清）、修改文件等请自行登录浙江政府采购网或绍兴市上虞区公共资源交易中心网站查看。</w:t>
            </w:r>
          </w:p>
        </w:tc>
      </w:tr>
      <w:tr w14:paraId="7B9144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648" w:type="dxa"/>
            <w:vAlign w:val="center"/>
          </w:tcPr>
          <w:p w14:paraId="34E3686A">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8</w:t>
            </w:r>
          </w:p>
        </w:tc>
        <w:tc>
          <w:tcPr>
            <w:tcW w:w="1800" w:type="dxa"/>
            <w:vAlign w:val="center"/>
          </w:tcPr>
          <w:p w14:paraId="1329882C">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磋商响应文件组成</w:t>
            </w:r>
          </w:p>
        </w:tc>
        <w:tc>
          <w:tcPr>
            <w:tcW w:w="6814" w:type="dxa"/>
            <w:vAlign w:val="center"/>
          </w:tcPr>
          <w:p w14:paraId="3B59B569">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供应商向采购人递交的响应文件由资格文件、商务技术文件、报价文件三部分组成。</w:t>
            </w:r>
          </w:p>
        </w:tc>
      </w:tr>
      <w:tr w14:paraId="680EF6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648" w:type="dxa"/>
            <w:vAlign w:val="center"/>
          </w:tcPr>
          <w:p w14:paraId="0EF153AF">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9</w:t>
            </w:r>
          </w:p>
        </w:tc>
        <w:tc>
          <w:tcPr>
            <w:tcW w:w="1800" w:type="dxa"/>
            <w:vAlign w:val="center"/>
          </w:tcPr>
          <w:p w14:paraId="5B241240">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评标办法</w:t>
            </w:r>
          </w:p>
        </w:tc>
        <w:tc>
          <w:tcPr>
            <w:tcW w:w="6814" w:type="dxa"/>
            <w:vAlign w:val="center"/>
          </w:tcPr>
          <w:p w14:paraId="11DD0B80">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综合评分法</w:t>
            </w:r>
          </w:p>
        </w:tc>
      </w:tr>
      <w:tr w14:paraId="1F7289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11B42FD">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10</w:t>
            </w:r>
          </w:p>
        </w:tc>
        <w:tc>
          <w:tcPr>
            <w:tcW w:w="1800" w:type="dxa"/>
            <w:vAlign w:val="center"/>
          </w:tcPr>
          <w:p w14:paraId="2DE5B775">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磋商响应文件递交地址及截止时间</w:t>
            </w:r>
          </w:p>
        </w:tc>
        <w:tc>
          <w:tcPr>
            <w:tcW w:w="6814" w:type="dxa"/>
            <w:vAlign w:val="center"/>
          </w:tcPr>
          <w:p w14:paraId="60BBCB49">
            <w:pPr>
              <w:snapToGrid w:val="0"/>
              <w:ind w:firstLine="420" w:firstLineChars="200"/>
              <w:rPr>
                <w:rFonts w:ascii="宋体"/>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详见磋商公告</w:t>
            </w:r>
          </w:p>
        </w:tc>
      </w:tr>
      <w:tr w14:paraId="023800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648" w:type="dxa"/>
            <w:vAlign w:val="center"/>
          </w:tcPr>
          <w:p w14:paraId="081D9F52">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11</w:t>
            </w:r>
          </w:p>
        </w:tc>
        <w:tc>
          <w:tcPr>
            <w:tcW w:w="1800" w:type="dxa"/>
            <w:vAlign w:val="center"/>
          </w:tcPr>
          <w:p w14:paraId="7375CD73">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开标时间、地点</w:t>
            </w:r>
          </w:p>
        </w:tc>
        <w:tc>
          <w:tcPr>
            <w:tcW w:w="6814" w:type="dxa"/>
            <w:vAlign w:val="center"/>
          </w:tcPr>
          <w:p w14:paraId="0957AB9E">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开标时间：</w:t>
            </w:r>
            <w:r>
              <w:rPr>
                <w:rFonts w:hint="eastAsia" w:ascii="宋体" w:hAnsi="宋体" w:cs="宋体"/>
                <w:color w:val="000000" w:themeColor="text1"/>
                <w:sz w:val="21"/>
                <w:szCs w:val="21"/>
                <w14:textFill>
                  <w14:solidFill>
                    <w14:schemeClr w14:val="tx1"/>
                  </w14:solidFill>
                </w14:textFill>
              </w:rPr>
              <w:t>详见磋商公告</w:t>
            </w:r>
          </w:p>
          <w:p w14:paraId="035F832D">
            <w:pPr>
              <w:snapToGrid w:val="0"/>
              <w:ind w:firstLine="420" w:firstLineChars="200"/>
              <w:rPr>
                <w:rFonts w:ascii="宋体"/>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开标地点：</w:t>
            </w:r>
            <w:r>
              <w:rPr>
                <w:rFonts w:hint="eastAsia" w:ascii="宋体" w:hAnsi="宋体" w:cs="宋体"/>
                <w:color w:val="000000" w:themeColor="text1"/>
                <w:sz w:val="21"/>
                <w:szCs w:val="21"/>
                <w14:textFill>
                  <w14:solidFill>
                    <w14:schemeClr w14:val="tx1"/>
                  </w14:solidFill>
                </w14:textFill>
              </w:rPr>
              <w:t>详见磋商公告</w:t>
            </w:r>
          </w:p>
        </w:tc>
      </w:tr>
      <w:tr w14:paraId="5DF3CF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34" w:hRule="atLeast"/>
          <w:jc w:val="center"/>
        </w:trPr>
        <w:tc>
          <w:tcPr>
            <w:tcW w:w="648" w:type="dxa"/>
            <w:vAlign w:val="center"/>
          </w:tcPr>
          <w:p w14:paraId="397286F0">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12</w:t>
            </w:r>
          </w:p>
        </w:tc>
        <w:tc>
          <w:tcPr>
            <w:tcW w:w="1800" w:type="dxa"/>
            <w:vAlign w:val="center"/>
          </w:tcPr>
          <w:p w14:paraId="79AF83E5">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磋商响应文件有效期</w:t>
            </w:r>
          </w:p>
        </w:tc>
        <w:tc>
          <w:tcPr>
            <w:tcW w:w="6814" w:type="dxa"/>
            <w:vAlign w:val="center"/>
          </w:tcPr>
          <w:p w14:paraId="5D63EFCF">
            <w:pPr>
              <w:snapToGrid w:val="0"/>
              <w:ind w:firstLine="420" w:firstLineChars="200"/>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响应文件有效期为从提交响应文件的截止之日起</w:t>
            </w:r>
            <w:r>
              <w:rPr>
                <w:rFonts w:ascii="宋体" w:hAnsi="宋体" w:cs="宋体"/>
                <w:snapToGrid w:val="0"/>
                <w:color w:val="000000" w:themeColor="text1"/>
                <w:sz w:val="21"/>
                <w:szCs w:val="21"/>
                <w14:textFill>
                  <w14:solidFill>
                    <w14:schemeClr w14:val="tx1"/>
                  </w14:solidFill>
                </w14:textFill>
              </w:rPr>
              <w:t>90</w:t>
            </w:r>
            <w:r>
              <w:rPr>
                <w:rFonts w:hint="eastAsia" w:ascii="宋体" w:hAnsi="宋体" w:cs="宋体"/>
                <w:snapToGrid w:val="0"/>
                <w:color w:val="000000" w:themeColor="text1"/>
                <w:sz w:val="21"/>
                <w:szCs w:val="21"/>
                <w14:textFill>
                  <w14:solidFill>
                    <w14:schemeClr w14:val="tx1"/>
                  </w14:solidFill>
                </w14:textFill>
              </w:rPr>
              <w:t>天。供应商的响应文件中承诺的响应文件有效期少于磋商文件中载明的响应文件有效期的，磋商无效。</w:t>
            </w:r>
          </w:p>
        </w:tc>
      </w:tr>
      <w:tr w14:paraId="57FAB4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648" w:type="dxa"/>
            <w:vAlign w:val="center"/>
          </w:tcPr>
          <w:p w14:paraId="6D744817">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13</w:t>
            </w:r>
          </w:p>
        </w:tc>
        <w:tc>
          <w:tcPr>
            <w:tcW w:w="1800" w:type="dxa"/>
            <w:vAlign w:val="center"/>
          </w:tcPr>
          <w:p w14:paraId="20FE856E">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履约保证金</w:t>
            </w:r>
          </w:p>
        </w:tc>
        <w:tc>
          <w:tcPr>
            <w:tcW w:w="6814" w:type="dxa"/>
            <w:vAlign w:val="center"/>
          </w:tcPr>
          <w:p w14:paraId="5F51962A">
            <w:pPr>
              <w:pStyle w:val="13"/>
              <w:snapToGrid w:val="0"/>
              <w:ind w:firstLine="420" w:firstLineChars="200"/>
              <w:rPr>
                <w:rFonts w:hint="eastAsia" w:hAnsi="宋体" w:cs="Times New Roman"/>
                <w:color w:val="000000" w:themeColor="text1"/>
                <w:sz w:val="21"/>
                <w:szCs w:val="21"/>
                <w14:textFill>
                  <w14:solidFill>
                    <w14:schemeClr w14:val="tx1"/>
                  </w14:solidFill>
                </w14:textFill>
              </w:rPr>
            </w:pPr>
            <w:r>
              <w:rPr>
                <w:rFonts w:hint="eastAsia" w:hAnsi="宋体"/>
                <w:snapToGrid w:val="0"/>
                <w:color w:val="000000" w:themeColor="text1"/>
                <w:sz w:val="21"/>
                <w:szCs w:val="21"/>
                <w14:textFill>
                  <w14:solidFill>
                    <w14:schemeClr w14:val="tx1"/>
                  </w14:solidFill>
                </w14:textFill>
              </w:rPr>
              <w:t>本项目不设置履约保证金。</w:t>
            </w:r>
          </w:p>
        </w:tc>
      </w:tr>
      <w:tr w14:paraId="3619E7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34" w:hRule="atLeast"/>
          <w:jc w:val="center"/>
        </w:trPr>
        <w:tc>
          <w:tcPr>
            <w:tcW w:w="648" w:type="dxa"/>
            <w:vAlign w:val="center"/>
          </w:tcPr>
          <w:p w14:paraId="47F9091A">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14</w:t>
            </w:r>
          </w:p>
        </w:tc>
        <w:tc>
          <w:tcPr>
            <w:tcW w:w="1800" w:type="dxa"/>
            <w:vAlign w:val="center"/>
          </w:tcPr>
          <w:p w14:paraId="37DF1897">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磋商公告及成交结果公告发布媒体</w:t>
            </w:r>
          </w:p>
        </w:tc>
        <w:tc>
          <w:tcPr>
            <w:tcW w:w="6814" w:type="dxa"/>
            <w:vAlign w:val="center"/>
          </w:tcPr>
          <w:p w14:paraId="04BF3326">
            <w:pPr>
              <w:pStyle w:val="13"/>
              <w:snapToGrid w:val="0"/>
              <w:ind w:firstLine="420" w:firstLineChars="200"/>
              <w:rPr>
                <w:rFonts w:hint="eastAsia" w:hAnsi="宋体" w:cs="Times New Roman"/>
                <w:color w:val="000000" w:themeColor="text1"/>
                <w:sz w:val="21"/>
                <w:szCs w:val="21"/>
                <w14:textFill>
                  <w14:solidFill>
                    <w14:schemeClr w14:val="tx1"/>
                  </w14:solidFill>
                </w14:textFill>
              </w:rPr>
            </w:pPr>
            <w:r>
              <w:rPr>
                <w:rFonts w:hint="eastAsia" w:hAnsi="宋体"/>
                <w:color w:val="000000" w:themeColor="text1"/>
                <w:sz w:val="21"/>
                <w:szCs w:val="21"/>
                <w14:textFill>
                  <w14:solidFill>
                    <w14:schemeClr w14:val="tx1"/>
                  </w14:solidFill>
                </w14:textFill>
              </w:rPr>
              <w:t>浙江省政府采购网、</w:t>
            </w:r>
            <w:r>
              <w:rPr>
                <w:rFonts w:hAnsi="宋体"/>
                <w:color w:val="000000" w:themeColor="text1"/>
                <w:sz w:val="21"/>
                <w:szCs w:val="21"/>
                <w14:textFill>
                  <w14:solidFill>
                    <w14:schemeClr w14:val="tx1"/>
                  </w14:solidFill>
                </w14:textFill>
              </w:rPr>
              <w:t xml:space="preserve"> </w:t>
            </w:r>
            <w:r>
              <w:rPr>
                <w:rFonts w:hint="eastAsia" w:hAnsi="宋体"/>
                <w:color w:val="000000" w:themeColor="text1"/>
                <w:sz w:val="21"/>
                <w:szCs w:val="21"/>
                <w14:textFill>
                  <w14:solidFill>
                    <w14:schemeClr w14:val="tx1"/>
                  </w14:solidFill>
                </w14:textFill>
              </w:rPr>
              <w:t>绍兴市上虞区公共资源交易中心网站</w:t>
            </w:r>
          </w:p>
        </w:tc>
      </w:tr>
      <w:tr w14:paraId="29D69F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35" w:hRule="atLeast"/>
          <w:jc w:val="center"/>
        </w:trPr>
        <w:tc>
          <w:tcPr>
            <w:tcW w:w="648" w:type="dxa"/>
            <w:vAlign w:val="center"/>
          </w:tcPr>
          <w:p w14:paraId="1AD53FFA">
            <w:pPr>
              <w:snapToGrid w:val="0"/>
              <w:jc w:val="center"/>
              <w:rPr>
                <w:rFonts w:ascii="宋体"/>
                <w:color w:val="000000" w:themeColor="text1"/>
                <w:sz w:val="21"/>
                <w:szCs w:val="21"/>
                <w14:textFill>
                  <w14:solidFill>
                    <w14:schemeClr w14:val="tx1"/>
                  </w14:solidFill>
                </w14:textFill>
              </w:rPr>
            </w:pPr>
            <w:r>
              <w:rPr>
                <w:rFonts w:ascii="宋体" w:hAnsi="宋体" w:cs="宋体"/>
                <w:color w:val="000000" w:themeColor="text1"/>
                <w:sz w:val="21"/>
                <w:szCs w:val="21"/>
                <w14:textFill>
                  <w14:solidFill>
                    <w14:schemeClr w14:val="tx1"/>
                  </w14:solidFill>
                </w14:textFill>
              </w:rPr>
              <w:t>15</w:t>
            </w:r>
          </w:p>
        </w:tc>
        <w:tc>
          <w:tcPr>
            <w:tcW w:w="1800" w:type="dxa"/>
            <w:vAlign w:val="center"/>
          </w:tcPr>
          <w:p w14:paraId="02042A4C">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质疑</w:t>
            </w:r>
          </w:p>
        </w:tc>
        <w:tc>
          <w:tcPr>
            <w:tcW w:w="6814" w:type="dxa"/>
            <w:vAlign w:val="center"/>
          </w:tcPr>
          <w:p w14:paraId="74D75C3B">
            <w:pPr>
              <w:spacing w:line="312" w:lineRule="auto"/>
              <w:ind w:firstLine="420" w:firstLineChars="200"/>
              <w:jc w:val="left"/>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根据《中华人民共和国政府采购法》第五十二条、《中华人民共和国政府采购法实施条例》第五十三条、《浙江省政府采购供应商质疑处理办法》的规定：</w:t>
            </w:r>
          </w:p>
          <w:p w14:paraId="04FA2D3D">
            <w:pPr>
              <w:spacing w:line="312" w:lineRule="auto"/>
              <w:ind w:firstLine="420" w:firstLineChars="200"/>
              <w:jc w:val="left"/>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供应商认为磋商文件使自己的权益受到损害的，可以在磋商文件公告期限届满之日起</w:t>
            </w:r>
            <w:r>
              <w:rPr>
                <w:rFonts w:ascii="宋体" w:hAnsi="宋体" w:cs="宋体"/>
                <w:color w:val="000000" w:themeColor="text1"/>
                <w:sz w:val="21"/>
                <w:szCs w:val="21"/>
                <w14:textFill>
                  <w14:solidFill>
                    <w14:schemeClr w14:val="tx1"/>
                  </w14:solidFill>
                </w14:textFill>
              </w:rPr>
              <w:t>7</w:t>
            </w:r>
            <w:r>
              <w:rPr>
                <w:rFonts w:hint="eastAsia" w:ascii="宋体" w:hAnsi="宋体" w:cs="宋体"/>
                <w:color w:val="000000" w:themeColor="text1"/>
                <w:sz w:val="21"/>
                <w:szCs w:val="21"/>
                <w14:textFill>
                  <w14:solidFill>
                    <w14:schemeClr w14:val="tx1"/>
                  </w14:solidFill>
                </w14:textFill>
              </w:rPr>
              <w:t>个工作日内，以书面形式向采购人和采购代理机构提出质疑。供应商在法定质疑期内应一次性提出针对同一采购程序环节的质疑。</w:t>
            </w:r>
          </w:p>
          <w:p w14:paraId="0CA633A3">
            <w:pPr>
              <w:spacing w:line="312" w:lineRule="auto"/>
              <w:ind w:firstLine="420" w:firstLineChars="200"/>
              <w:jc w:val="left"/>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供应商如认为采购过程使自身的合法权益受到损害的，应于各采购程序环节结束之日起七个工作日内以书面形式向采购机构提出质疑；</w:t>
            </w:r>
          </w:p>
          <w:p w14:paraId="5F17A9B6">
            <w:pPr>
              <w:snapToGrid w:val="0"/>
              <w:spacing w:line="312" w:lineRule="auto"/>
              <w:ind w:firstLine="420" w:firstLineChars="200"/>
              <w:jc w:val="left"/>
              <w:rPr>
                <w:rFonts w:ascii="宋体"/>
                <w:snapToGrid w:val="0"/>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供应商如认为中标结果使自身的合法权益受到损害的，应于中标或者成交结果公告期限届满之日起七个工作日内以书面形式向采购机构提出质疑</w:t>
            </w:r>
            <w:r>
              <w:rPr>
                <w:rFonts w:hint="eastAsia" w:ascii="宋体" w:hAnsi="宋体" w:cs="宋体"/>
                <w:snapToGrid w:val="0"/>
                <w:color w:val="000000" w:themeColor="text1"/>
                <w:sz w:val="21"/>
                <w:szCs w:val="21"/>
                <w14:textFill>
                  <w14:solidFill>
                    <w14:schemeClr w14:val="tx1"/>
                  </w14:solidFill>
                </w14:textFill>
              </w:rPr>
              <w:t>。</w:t>
            </w:r>
          </w:p>
        </w:tc>
      </w:tr>
      <w:tr w14:paraId="537F3E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01" w:hRule="atLeast"/>
          <w:jc w:val="center"/>
        </w:trPr>
        <w:tc>
          <w:tcPr>
            <w:tcW w:w="648" w:type="dxa"/>
            <w:vAlign w:val="center"/>
          </w:tcPr>
          <w:p w14:paraId="29B10EE5">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16</w:t>
            </w:r>
          </w:p>
        </w:tc>
        <w:tc>
          <w:tcPr>
            <w:tcW w:w="1800" w:type="dxa"/>
            <w:vAlign w:val="center"/>
          </w:tcPr>
          <w:p w14:paraId="08953F89">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投诉</w:t>
            </w:r>
          </w:p>
        </w:tc>
        <w:tc>
          <w:tcPr>
            <w:tcW w:w="6814" w:type="dxa"/>
            <w:vAlign w:val="center"/>
          </w:tcPr>
          <w:p w14:paraId="60B3242A">
            <w:pPr>
              <w:snapToGrid w:val="0"/>
              <w:spacing w:line="312" w:lineRule="auto"/>
              <w:ind w:firstLine="420" w:firstLineChars="200"/>
              <w:jc w:val="left"/>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根据《政府采购法》第五十五条的规定，质疑供应商对采购人、招标代理机构的答复不满意或者采购人、招标代理机构未在规定的时间内作出答复的，可以在答复期满后十五个工作日内向同级政府采购监督管理部门投诉。</w:t>
            </w:r>
          </w:p>
        </w:tc>
      </w:tr>
      <w:tr w14:paraId="780E45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386" w:hRule="atLeast"/>
          <w:jc w:val="center"/>
        </w:trPr>
        <w:tc>
          <w:tcPr>
            <w:tcW w:w="648" w:type="dxa"/>
            <w:vAlign w:val="center"/>
          </w:tcPr>
          <w:p w14:paraId="53877CB3">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17</w:t>
            </w:r>
          </w:p>
        </w:tc>
        <w:tc>
          <w:tcPr>
            <w:tcW w:w="1800" w:type="dxa"/>
            <w:vAlign w:val="center"/>
          </w:tcPr>
          <w:p w14:paraId="0FC7CADA">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特别说明</w:t>
            </w:r>
          </w:p>
        </w:tc>
        <w:tc>
          <w:tcPr>
            <w:tcW w:w="6814" w:type="dxa"/>
            <w:vAlign w:val="center"/>
          </w:tcPr>
          <w:p w14:paraId="7EBDCF47">
            <w:pPr>
              <w:pStyle w:val="13"/>
              <w:widowControl/>
              <w:snapToGrid w:val="0"/>
              <w:spacing w:line="312" w:lineRule="auto"/>
              <w:ind w:firstLine="420" w:firstLineChars="200"/>
              <w:rPr>
                <w:rFonts w:hint="eastAsia" w:hAnsi="宋体" w:cs="Times New Roman"/>
                <w:color w:val="000000" w:themeColor="text1"/>
                <w:sz w:val="21"/>
                <w:szCs w:val="21"/>
                <w14:textFill>
                  <w14:solidFill>
                    <w14:schemeClr w14:val="tx1"/>
                  </w14:solidFill>
                </w14:textFill>
              </w:rPr>
            </w:pPr>
            <w:r>
              <w:rPr>
                <w:rFonts w:hint="eastAsia" w:hAnsi="宋体"/>
                <w:color w:val="000000" w:themeColor="text1"/>
                <w:sz w:val="21"/>
                <w:szCs w:val="21"/>
                <w14:textFill>
                  <w14:solidFill>
                    <w14:schemeClr w14:val="tx1"/>
                  </w14:solidFill>
                </w14:textFill>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14:paraId="52C5DEF0">
            <w:pPr>
              <w:pStyle w:val="13"/>
              <w:widowControl/>
              <w:snapToGrid w:val="0"/>
              <w:spacing w:line="312" w:lineRule="auto"/>
              <w:ind w:firstLine="420" w:firstLineChars="200"/>
              <w:rPr>
                <w:rFonts w:hint="eastAsia" w:hAnsi="宋体" w:cs="Times New Roman"/>
                <w:color w:val="000000" w:themeColor="text1"/>
                <w:sz w:val="21"/>
                <w:szCs w:val="21"/>
                <w14:textFill>
                  <w14:solidFill>
                    <w14:schemeClr w14:val="tx1"/>
                  </w14:solidFill>
                </w14:textFill>
              </w:rPr>
            </w:pPr>
            <w:r>
              <w:rPr>
                <w:rFonts w:hint="eastAsia" w:hAnsi="宋体"/>
                <w:color w:val="000000" w:themeColor="text1"/>
                <w:sz w:val="21"/>
                <w:szCs w:val="21"/>
                <w14:textFill>
                  <w14:solidFill>
                    <w14:schemeClr w14:val="tx1"/>
                  </w14:solidFill>
                </w14:textFill>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0C0678AE">
            <w:pPr>
              <w:pStyle w:val="13"/>
              <w:widowControl/>
              <w:snapToGrid w:val="0"/>
              <w:spacing w:line="312" w:lineRule="auto"/>
              <w:ind w:firstLine="420" w:firstLineChars="200"/>
              <w:rPr>
                <w:rFonts w:hint="eastAsia" w:hAnsi="宋体" w:cs="Times New Roman"/>
                <w:color w:val="000000" w:themeColor="text1"/>
                <w:sz w:val="21"/>
                <w:szCs w:val="21"/>
                <w14:textFill>
                  <w14:solidFill>
                    <w14:schemeClr w14:val="tx1"/>
                  </w14:solidFill>
                </w14:textFill>
              </w:rPr>
            </w:pPr>
            <w:r>
              <w:rPr>
                <w:rFonts w:hint="eastAsia" w:hAnsi="宋体"/>
                <w:color w:val="000000" w:themeColor="text1"/>
                <w:sz w:val="21"/>
                <w:szCs w:val="21"/>
                <w14:textFill>
                  <w14:solidFill>
                    <w14:schemeClr w14:val="tx1"/>
                  </w14:solidFill>
                </w14:textFill>
              </w:rPr>
              <w:t>质疑、投诉人未按前列进行质疑、投诉（申诉），均属于扰乱政府采购市场不良行为。</w:t>
            </w:r>
          </w:p>
          <w:p w14:paraId="6F50565E">
            <w:pPr>
              <w:pStyle w:val="13"/>
              <w:widowControl/>
              <w:snapToGrid w:val="0"/>
              <w:spacing w:line="312" w:lineRule="auto"/>
              <w:ind w:firstLine="420" w:firstLineChars="200"/>
              <w:rPr>
                <w:rFonts w:hint="eastAsia" w:hAnsi="宋体" w:cs="Times New Roman"/>
                <w:b/>
                <w:bCs/>
                <w:color w:val="000000" w:themeColor="text1"/>
                <w:sz w:val="21"/>
                <w:szCs w:val="21"/>
                <w14:textFill>
                  <w14:solidFill>
                    <w14:schemeClr w14:val="tx1"/>
                  </w14:solidFill>
                </w14:textFill>
              </w:rPr>
            </w:pPr>
            <w:r>
              <w:rPr>
                <w:rFonts w:hint="eastAsia" w:hAnsi="宋体"/>
                <w:color w:val="000000" w:themeColor="text1"/>
                <w:sz w:val="21"/>
                <w:szCs w:val="21"/>
                <w14:textFill>
                  <w14:solidFill>
                    <w14:schemeClr w14:val="tx1"/>
                  </w14:solidFill>
                </w14:textFill>
              </w:rPr>
              <w:t>磋商文件中凡标注“★”的条款均为实质性要求，不响应的响应文件将作无效标处理。</w:t>
            </w:r>
          </w:p>
        </w:tc>
      </w:tr>
      <w:tr w14:paraId="2F9B3E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71" w:hRule="atLeast"/>
          <w:jc w:val="center"/>
        </w:trPr>
        <w:tc>
          <w:tcPr>
            <w:tcW w:w="648" w:type="dxa"/>
            <w:vAlign w:val="center"/>
          </w:tcPr>
          <w:p w14:paraId="569EEB46">
            <w:pPr>
              <w:snapToGrid w:val="0"/>
              <w:jc w:val="center"/>
              <w:rPr>
                <w:rFonts w:ascii="宋体"/>
                <w:snapToGrid w:val="0"/>
                <w:color w:val="000000" w:themeColor="text1"/>
                <w:sz w:val="21"/>
                <w:szCs w:val="21"/>
                <w14:textFill>
                  <w14:solidFill>
                    <w14:schemeClr w14:val="tx1"/>
                  </w14:solidFill>
                </w14:textFill>
              </w:rPr>
            </w:pPr>
            <w:r>
              <w:rPr>
                <w:rFonts w:ascii="宋体" w:hAnsi="宋体" w:cs="宋体"/>
                <w:snapToGrid w:val="0"/>
                <w:color w:val="000000" w:themeColor="text1"/>
                <w:sz w:val="21"/>
                <w:szCs w:val="21"/>
                <w14:textFill>
                  <w14:solidFill>
                    <w14:schemeClr w14:val="tx1"/>
                  </w14:solidFill>
                </w14:textFill>
              </w:rPr>
              <w:t>1</w:t>
            </w:r>
            <w:r>
              <w:rPr>
                <w:rFonts w:hint="eastAsia" w:ascii="宋体" w:hAnsi="宋体" w:cs="宋体"/>
                <w:snapToGrid w:val="0"/>
                <w:color w:val="000000" w:themeColor="text1"/>
                <w:sz w:val="21"/>
                <w:szCs w:val="21"/>
                <w14:textFill>
                  <w14:solidFill>
                    <w14:schemeClr w14:val="tx1"/>
                  </w14:solidFill>
                </w14:textFill>
              </w:rPr>
              <w:t>8</w:t>
            </w:r>
          </w:p>
        </w:tc>
        <w:tc>
          <w:tcPr>
            <w:tcW w:w="1800" w:type="dxa"/>
            <w:vAlign w:val="center"/>
          </w:tcPr>
          <w:p w14:paraId="29B4AE7A">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支</w:t>
            </w:r>
          </w:p>
          <w:p w14:paraId="13965431">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持</w:t>
            </w:r>
          </w:p>
          <w:p w14:paraId="0928956D">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中</w:t>
            </w:r>
          </w:p>
          <w:p w14:paraId="74F91DDB">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小</w:t>
            </w:r>
          </w:p>
          <w:p w14:paraId="13FB61A8">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企</w:t>
            </w:r>
          </w:p>
          <w:p w14:paraId="2DDE30B1">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业</w:t>
            </w:r>
          </w:p>
        </w:tc>
        <w:tc>
          <w:tcPr>
            <w:tcW w:w="6814" w:type="dxa"/>
            <w:vAlign w:val="center"/>
          </w:tcPr>
          <w:p w14:paraId="3FFEB4CB">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小微企业是指在中华人民共和国境内依法设立，依据国务院批准的中小企业划分标准确定的小型企业和微型企业，但与大企业的负责人为同一人，或者与大企业存在直接控股、管理关系的除外。</w:t>
            </w:r>
          </w:p>
          <w:p w14:paraId="296A95F5">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符合中小企业划分标准的个体工商户，在政府采购活动中视同中小企业。</w:t>
            </w:r>
          </w:p>
          <w:p w14:paraId="7907930B">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在货物采购项目中，货物由小微企业制造，即货物由小微企业生产且使用该小微企业商号或者注册商标。供应商提供的货物既有中小企业制造货物，也有大型企业制造货物的，不享受中小企业扶持政策。</w:t>
            </w:r>
          </w:p>
          <w:p w14:paraId="32A1124B">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在服务采购项目中，服务由小微企业承接，即提供服务的人员为小微企业依照《中华人民共和国劳动合同法》订立劳动合同的从业人员。</w:t>
            </w:r>
          </w:p>
          <w:p w14:paraId="6847A67A">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联合体各方均为小型、微型企业的，联合体视同为小型、微型企业。</w:t>
            </w:r>
          </w:p>
          <w:p w14:paraId="1FCA915B">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370D47">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w:t>
            </w:r>
          </w:p>
          <w:p w14:paraId="10051FA2">
            <w:pPr>
              <w:ind w:firstLine="420" w:firstLineChars="200"/>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组成联合体或者接受分包的小微企业与联合体内其他企业、分包企业之间存在直接控股、管理关系的，不享受价格扣除优惠政策。</w:t>
            </w:r>
          </w:p>
        </w:tc>
      </w:tr>
      <w:tr w14:paraId="06D168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69" w:hRule="atLeast"/>
          <w:jc w:val="center"/>
        </w:trPr>
        <w:tc>
          <w:tcPr>
            <w:tcW w:w="648" w:type="dxa"/>
            <w:vAlign w:val="center"/>
          </w:tcPr>
          <w:p w14:paraId="71AF0FA2">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19</w:t>
            </w:r>
          </w:p>
        </w:tc>
        <w:tc>
          <w:tcPr>
            <w:tcW w:w="1800" w:type="dxa"/>
            <w:vAlign w:val="center"/>
          </w:tcPr>
          <w:p w14:paraId="63F7AE83">
            <w:pPr>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招标代理服务费</w:t>
            </w:r>
          </w:p>
        </w:tc>
        <w:tc>
          <w:tcPr>
            <w:tcW w:w="6814" w:type="dxa"/>
            <w:vAlign w:val="center"/>
          </w:tcPr>
          <w:p w14:paraId="2FEED0C0">
            <w:pPr>
              <w:autoSpaceDN w:val="0"/>
              <w:spacing w:line="340" w:lineRule="exact"/>
              <w:rPr>
                <w:rFonts w:hint="eastAsia" w:ascii="宋体" w:hAnsi="宋体" w:cs="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招标代理服务费由成交供应商支付，按下列服务招标计算方式计取。</w:t>
            </w:r>
          </w:p>
          <w:tbl>
            <w:tblPr>
              <w:tblStyle w:val="27"/>
              <w:tblW w:w="4998" w:type="pct"/>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346"/>
              <w:gridCol w:w="1084"/>
              <w:gridCol w:w="1084"/>
              <w:gridCol w:w="1051"/>
            </w:tblGrid>
            <w:tr w14:paraId="33A6A8A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0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77CB2492">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服务类型 中标金额（万元）</w:t>
                  </w:r>
                </w:p>
              </w:tc>
              <w:tc>
                <w:tcPr>
                  <w:tcW w:w="825" w:type="pct"/>
                  <w:tcBorders>
                    <w:top w:val="outset" w:color="auto" w:sz="6" w:space="0"/>
                    <w:left w:val="outset" w:color="auto" w:sz="6" w:space="0"/>
                    <w:bottom w:val="outset" w:color="auto" w:sz="6" w:space="0"/>
                    <w:right w:val="outset" w:color="auto" w:sz="6" w:space="0"/>
                  </w:tcBorders>
                  <w:noWrap/>
                  <w:vAlign w:val="center"/>
                </w:tcPr>
                <w:p w14:paraId="4746F88A">
                  <w:pPr>
                    <w:widowControl/>
                    <w:spacing w:before="100" w:beforeAutospacing="1" w:after="100" w:afterAutospacing="1"/>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货物招标</w:t>
                  </w:r>
                </w:p>
              </w:tc>
              <w:tc>
                <w:tcPr>
                  <w:tcW w:w="825" w:type="pct"/>
                  <w:tcBorders>
                    <w:top w:val="outset" w:color="auto" w:sz="6" w:space="0"/>
                    <w:left w:val="outset" w:color="auto" w:sz="6" w:space="0"/>
                    <w:bottom w:val="outset" w:color="auto" w:sz="6" w:space="0"/>
                    <w:right w:val="outset" w:color="auto" w:sz="6" w:space="0"/>
                  </w:tcBorders>
                  <w:noWrap/>
                  <w:vAlign w:val="center"/>
                </w:tcPr>
                <w:p w14:paraId="08B99795">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服务招标</w:t>
                  </w:r>
                </w:p>
              </w:tc>
              <w:tc>
                <w:tcPr>
                  <w:tcW w:w="800" w:type="pct"/>
                  <w:tcBorders>
                    <w:top w:val="outset" w:color="auto" w:sz="6" w:space="0"/>
                    <w:left w:val="outset" w:color="auto" w:sz="6" w:space="0"/>
                    <w:bottom w:val="outset" w:color="auto" w:sz="6" w:space="0"/>
                    <w:right w:val="outset" w:color="auto" w:sz="6" w:space="0"/>
                  </w:tcBorders>
                  <w:noWrap/>
                  <w:vAlign w:val="center"/>
                </w:tcPr>
                <w:p w14:paraId="52F8F39D">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工程招标</w:t>
                  </w:r>
                </w:p>
              </w:tc>
            </w:tr>
            <w:tr w14:paraId="602C7C7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1B9FCCC2">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100以下</w:t>
                  </w:r>
                </w:p>
              </w:tc>
              <w:tc>
                <w:tcPr>
                  <w:tcW w:w="825" w:type="pct"/>
                  <w:tcBorders>
                    <w:top w:val="outset" w:color="auto" w:sz="6" w:space="0"/>
                    <w:left w:val="outset" w:color="auto" w:sz="6" w:space="0"/>
                    <w:bottom w:val="outset" w:color="auto" w:sz="6" w:space="0"/>
                    <w:right w:val="outset" w:color="auto" w:sz="6" w:space="0"/>
                  </w:tcBorders>
                  <w:noWrap/>
                  <w:vAlign w:val="center"/>
                </w:tcPr>
                <w:p w14:paraId="5C7EDEA7">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1.5％</w:t>
                  </w:r>
                </w:p>
              </w:tc>
              <w:tc>
                <w:tcPr>
                  <w:tcW w:w="825" w:type="pct"/>
                  <w:tcBorders>
                    <w:top w:val="outset" w:color="auto" w:sz="6" w:space="0"/>
                    <w:left w:val="outset" w:color="auto" w:sz="6" w:space="0"/>
                    <w:bottom w:val="outset" w:color="auto" w:sz="6" w:space="0"/>
                    <w:right w:val="outset" w:color="auto" w:sz="6" w:space="0"/>
                  </w:tcBorders>
                  <w:noWrap/>
                  <w:vAlign w:val="center"/>
                </w:tcPr>
                <w:p w14:paraId="0A30A502">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1.5％</w:t>
                  </w:r>
                </w:p>
              </w:tc>
              <w:tc>
                <w:tcPr>
                  <w:tcW w:w="800" w:type="pct"/>
                  <w:tcBorders>
                    <w:top w:val="outset" w:color="auto" w:sz="6" w:space="0"/>
                    <w:left w:val="outset" w:color="auto" w:sz="6" w:space="0"/>
                    <w:bottom w:val="outset" w:color="auto" w:sz="6" w:space="0"/>
                    <w:right w:val="outset" w:color="auto" w:sz="6" w:space="0"/>
                  </w:tcBorders>
                  <w:noWrap/>
                  <w:vAlign w:val="center"/>
                </w:tcPr>
                <w:p w14:paraId="0736E644">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1.0％</w:t>
                  </w:r>
                </w:p>
              </w:tc>
            </w:tr>
            <w:tr w14:paraId="12593FC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25AEEEAB">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100—500</w:t>
                  </w:r>
                </w:p>
              </w:tc>
              <w:tc>
                <w:tcPr>
                  <w:tcW w:w="825" w:type="pct"/>
                  <w:tcBorders>
                    <w:top w:val="outset" w:color="auto" w:sz="6" w:space="0"/>
                    <w:left w:val="outset" w:color="auto" w:sz="6" w:space="0"/>
                    <w:bottom w:val="outset" w:color="auto" w:sz="6" w:space="0"/>
                    <w:right w:val="outset" w:color="auto" w:sz="6" w:space="0"/>
                  </w:tcBorders>
                  <w:noWrap/>
                  <w:vAlign w:val="center"/>
                </w:tcPr>
                <w:p w14:paraId="4306D403">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1.1％</w:t>
                  </w:r>
                </w:p>
              </w:tc>
              <w:tc>
                <w:tcPr>
                  <w:tcW w:w="825" w:type="pct"/>
                  <w:tcBorders>
                    <w:top w:val="outset" w:color="auto" w:sz="6" w:space="0"/>
                    <w:left w:val="outset" w:color="auto" w:sz="6" w:space="0"/>
                    <w:bottom w:val="outset" w:color="auto" w:sz="6" w:space="0"/>
                    <w:right w:val="outset" w:color="auto" w:sz="6" w:space="0"/>
                  </w:tcBorders>
                  <w:noWrap/>
                  <w:vAlign w:val="center"/>
                </w:tcPr>
                <w:p w14:paraId="78005246">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0.8％</w:t>
                  </w:r>
                </w:p>
              </w:tc>
              <w:tc>
                <w:tcPr>
                  <w:tcW w:w="800" w:type="pct"/>
                  <w:tcBorders>
                    <w:top w:val="outset" w:color="auto" w:sz="6" w:space="0"/>
                    <w:left w:val="outset" w:color="auto" w:sz="6" w:space="0"/>
                    <w:bottom w:val="outset" w:color="auto" w:sz="6" w:space="0"/>
                    <w:right w:val="outset" w:color="auto" w:sz="6" w:space="0"/>
                  </w:tcBorders>
                  <w:noWrap/>
                  <w:vAlign w:val="center"/>
                </w:tcPr>
                <w:p w14:paraId="3F6149CE">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0.7％</w:t>
                  </w:r>
                </w:p>
              </w:tc>
            </w:tr>
            <w:tr w14:paraId="270A6B8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04F063E7">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500—1000</w:t>
                  </w:r>
                </w:p>
              </w:tc>
              <w:tc>
                <w:tcPr>
                  <w:tcW w:w="825" w:type="pct"/>
                  <w:tcBorders>
                    <w:top w:val="outset" w:color="auto" w:sz="6" w:space="0"/>
                    <w:left w:val="outset" w:color="auto" w:sz="6" w:space="0"/>
                    <w:bottom w:val="outset" w:color="auto" w:sz="6" w:space="0"/>
                    <w:right w:val="outset" w:color="auto" w:sz="6" w:space="0"/>
                  </w:tcBorders>
                  <w:noWrap/>
                  <w:vAlign w:val="center"/>
                </w:tcPr>
                <w:p w14:paraId="153547A6">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0.8％</w:t>
                  </w:r>
                </w:p>
              </w:tc>
              <w:tc>
                <w:tcPr>
                  <w:tcW w:w="825" w:type="pct"/>
                  <w:tcBorders>
                    <w:top w:val="outset" w:color="auto" w:sz="6" w:space="0"/>
                    <w:left w:val="outset" w:color="auto" w:sz="6" w:space="0"/>
                    <w:bottom w:val="outset" w:color="auto" w:sz="6" w:space="0"/>
                    <w:right w:val="outset" w:color="auto" w:sz="6" w:space="0"/>
                  </w:tcBorders>
                  <w:noWrap/>
                  <w:vAlign w:val="center"/>
                </w:tcPr>
                <w:p w14:paraId="380A5DA8">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0.45％</w:t>
                  </w:r>
                </w:p>
              </w:tc>
              <w:tc>
                <w:tcPr>
                  <w:tcW w:w="800" w:type="pct"/>
                  <w:tcBorders>
                    <w:top w:val="outset" w:color="auto" w:sz="6" w:space="0"/>
                    <w:left w:val="outset" w:color="auto" w:sz="6" w:space="0"/>
                    <w:bottom w:val="outset" w:color="auto" w:sz="6" w:space="0"/>
                    <w:right w:val="outset" w:color="auto" w:sz="6" w:space="0"/>
                  </w:tcBorders>
                  <w:noWrap/>
                  <w:vAlign w:val="center"/>
                </w:tcPr>
                <w:p w14:paraId="00B7D246">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0.55％</w:t>
                  </w:r>
                </w:p>
              </w:tc>
            </w:tr>
            <w:tr w14:paraId="2F3D6C2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55CCA277">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1000—5000</w:t>
                  </w:r>
                </w:p>
              </w:tc>
              <w:tc>
                <w:tcPr>
                  <w:tcW w:w="825" w:type="pct"/>
                  <w:tcBorders>
                    <w:top w:val="outset" w:color="auto" w:sz="6" w:space="0"/>
                    <w:left w:val="outset" w:color="auto" w:sz="6" w:space="0"/>
                    <w:bottom w:val="outset" w:color="auto" w:sz="6" w:space="0"/>
                    <w:right w:val="outset" w:color="auto" w:sz="6" w:space="0"/>
                  </w:tcBorders>
                  <w:noWrap/>
                  <w:vAlign w:val="center"/>
                </w:tcPr>
                <w:p w14:paraId="268194F3">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0.5％</w:t>
                  </w:r>
                </w:p>
              </w:tc>
              <w:tc>
                <w:tcPr>
                  <w:tcW w:w="825" w:type="pct"/>
                  <w:tcBorders>
                    <w:top w:val="outset" w:color="auto" w:sz="6" w:space="0"/>
                    <w:left w:val="outset" w:color="auto" w:sz="6" w:space="0"/>
                    <w:bottom w:val="outset" w:color="auto" w:sz="6" w:space="0"/>
                    <w:right w:val="outset" w:color="auto" w:sz="6" w:space="0"/>
                  </w:tcBorders>
                  <w:noWrap/>
                  <w:vAlign w:val="center"/>
                </w:tcPr>
                <w:p w14:paraId="543BE4AD">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0.25％</w:t>
                  </w:r>
                </w:p>
              </w:tc>
              <w:tc>
                <w:tcPr>
                  <w:tcW w:w="800" w:type="pct"/>
                  <w:tcBorders>
                    <w:top w:val="outset" w:color="auto" w:sz="6" w:space="0"/>
                    <w:left w:val="outset" w:color="auto" w:sz="6" w:space="0"/>
                    <w:bottom w:val="outset" w:color="auto" w:sz="6" w:space="0"/>
                    <w:right w:val="outset" w:color="auto" w:sz="6" w:space="0"/>
                  </w:tcBorders>
                  <w:noWrap/>
                  <w:vAlign w:val="center"/>
                </w:tcPr>
                <w:p w14:paraId="18C095BE">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0.35％</w:t>
                  </w:r>
                </w:p>
              </w:tc>
            </w:tr>
            <w:tr w14:paraId="7667993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626AA447">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5000—10000</w:t>
                  </w:r>
                </w:p>
              </w:tc>
              <w:tc>
                <w:tcPr>
                  <w:tcW w:w="825" w:type="pct"/>
                  <w:tcBorders>
                    <w:top w:val="outset" w:color="auto" w:sz="6" w:space="0"/>
                    <w:left w:val="outset" w:color="auto" w:sz="6" w:space="0"/>
                    <w:bottom w:val="outset" w:color="auto" w:sz="6" w:space="0"/>
                    <w:right w:val="outset" w:color="auto" w:sz="6" w:space="0"/>
                  </w:tcBorders>
                  <w:noWrap/>
                  <w:vAlign w:val="center"/>
                </w:tcPr>
                <w:p w14:paraId="302D13A8">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0.25％</w:t>
                  </w:r>
                </w:p>
              </w:tc>
              <w:tc>
                <w:tcPr>
                  <w:tcW w:w="825" w:type="pct"/>
                  <w:tcBorders>
                    <w:top w:val="outset" w:color="auto" w:sz="6" w:space="0"/>
                    <w:left w:val="outset" w:color="auto" w:sz="6" w:space="0"/>
                    <w:bottom w:val="outset" w:color="auto" w:sz="6" w:space="0"/>
                    <w:right w:val="outset" w:color="auto" w:sz="6" w:space="0"/>
                  </w:tcBorders>
                  <w:noWrap/>
                  <w:vAlign w:val="center"/>
                </w:tcPr>
                <w:p w14:paraId="4C57E208">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0.1％</w:t>
                  </w:r>
                </w:p>
              </w:tc>
              <w:tc>
                <w:tcPr>
                  <w:tcW w:w="800" w:type="pct"/>
                  <w:tcBorders>
                    <w:top w:val="outset" w:color="auto" w:sz="6" w:space="0"/>
                    <w:left w:val="outset" w:color="auto" w:sz="6" w:space="0"/>
                    <w:bottom w:val="outset" w:color="auto" w:sz="6" w:space="0"/>
                    <w:right w:val="outset" w:color="auto" w:sz="6" w:space="0"/>
                  </w:tcBorders>
                  <w:noWrap/>
                  <w:vAlign w:val="center"/>
                </w:tcPr>
                <w:p w14:paraId="62872A1E">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0.2％</w:t>
                  </w:r>
                </w:p>
              </w:tc>
            </w:tr>
            <w:tr w14:paraId="0740D22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7F6E98EA">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10000——100000</w:t>
                  </w:r>
                </w:p>
              </w:tc>
              <w:tc>
                <w:tcPr>
                  <w:tcW w:w="825" w:type="pct"/>
                  <w:tcBorders>
                    <w:top w:val="outset" w:color="auto" w:sz="6" w:space="0"/>
                    <w:left w:val="outset" w:color="auto" w:sz="6" w:space="0"/>
                    <w:bottom w:val="outset" w:color="auto" w:sz="6" w:space="0"/>
                    <w:right w:val="outset" w:color="auto" w:sz="6" w:space="0"/>
                  </w:tcBorders>
                  <w:noWrap/>
                  <w:vAlign w:val="center"/>
                </w:tcPr>
                <w:p w14:paraId="50ED4E9B">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0.05％</w:t>
                  </w:r>
                </w:p>
              </w:tc>
              <w:tc>
                <w:tcPr>
                  <w:tcW w:w="825" w:type="pct"/>
                  <w:tcBorders>
                    <w:top w:val="outset" w:color="auto" w:sz="6" w:space="0"/>
                    <w:left w:val="outset" w:color="auto" w:sz="6" w:space="0"/>
                    <w:bottom w:val="outset" w:color="auto" w:sz="6" w:space="0"/>
                    <w:right w:val="outset" w:color="auto" w:sz="6" w:space="0"/>
                  </w:tcBorders>
                  <w:noWrap/>
                  <w:vAlign w:val="center"/>
                </w:tcPr>
                <w:p w14:paraId="3AED650E">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0.05％</w:t>
                  </w:r>
                </w:p>
              </w:tc>
              <w:tc>
                <w:tcPr>
                  <w:tcW w:w="800" w:type="pct"/>
                  <w:tcBorders>
                    <w:top w:val="outset" w:color="auto" w:sz="6" w:space="0"/>
                    <w:left w:val="outset" w:color="auto" w:sz="6" w:space="0"/>
                    <w:bottom w:val="outset" w:color="auto" w:sz="6" w:space="0"/>
                    <w:right w:val="outset" w:color="auto" w:sz="6" w:space="0"/>
                  </w:tcBorders>
                  <w:noWrap/>
                  <w:vAlign w:val="center"/>
                </w:tcPr>
                <w:p w14:paraId="404A8E45">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0.05％</w:t>
                  </w:r>
                </w:p>
              </w:tc>
            </w:tr>
            <w:tr w14:paraId="2C01ADC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2548" w:type="pct"/>
                  <w:tcBorders>
                    <w:top w:val="outset" w:color="auto" w:sz="6" w:space="0"/>
                    <w:left w:val="outset" w:color="auto" w:sz="6" w:space="0"/>
                    <w:bottom w:val="outset" w:color="auto" w:sz="6" w:space="0"/>
                    <w:right w:val="outset" w:color="auto" w:sz="6" w:space="0"/>
                  </w:tcBorders>
                  <w:noWrap/>
                  <w:vAlign w:val="center"/>
                </w:tcPr>
                <w:p w14:paraId="5CCAB08E">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1000000以上</w:t>
                  </w:r>
                </w:p>
              </w:tc>
              <w:tc>
                <w:tcPr>
                  <w:tcW w:w="825" w:type="pct"/>
                  <w:tcBorders>
                    <w:top w:val="outset" w:color="auto" w:sz="6" w:space="0"/>
                    <w:left w:val="outset" w:color="auto" w:sz="6" w:space="0"/>
                    <w:bottom w:val="outset" w:color="auto" w:sz="6" w:space="0"/>
                    <w:right w:val="outset" w:color="auto" w:sz="6" w:space="0"/>
                  </w:tcBorders>
                  <w:noWrap/>
                  <w:vAlign w:val="center"/>
                </w:tcPr>
                <w:p w14:paraId="66E40CA1">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0.01％</w:t>
                  </w:r>
                </w:p>
              </w:tc>
              <w:tc>
                <w:tcPr>
                  <w:tcW w:w="825" w:type="pct"/>
                  <w:tcBorders>
                    <w:top w:val="outset" w:color="auto" w:sz="6" w:space="0"/>
                    <w:left w:val="outset" w:color="auto" w:sz="6" w:space="0"/>
                    <w:bottom w:val="outset" w:color="auto" w:sz="6" w:space="0"/>
                    <w:right w:val="outset" w:color="auto" w:sz="6" w:space="0"/>
                  </w:tcBorders>
                  <w:noWrap/>
                  <w:vAlign w:val="center"/>
                </w:tcPr>
                <w:p w14:paraId="55C55C8C">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0.01％</w:t>
                  </w:r>
                </w:p>
              </w:tc>
              <w:tc>
                <w:tcPr>
                  <w:tcW w:w="800" w:type="pct"/>
                  <w:tcBorders>
                    <w:top w:val="outset" w:color="auto" w:sz="6" w:space="0"/>
                    <w:left w:val="outset" w:color="auto" w:sz="6" w:space="0"/>
                    <w:bottom w:val="outset" w:color="auto" w:sz="6" w:space="0"/>
                    <w:right w:val="outset" w:color="auto" w:sz="6" w:space="0"/>
                  </w:tcBorders>
                  <w:noWrap/>
                  <w:vAlign w:val="center"/>
                </w:tcPr>
                <w:p w14:paraId="0F7C3B75">
                  <w:pPr>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0.01％</w:t>
                  </w:r>
                </w:p>
              </w:tc>
            </w:tr>
          </w:tbl>
          <w:p w14:paraId="57738C12">
            <w:pPr>
              <w:spacing w:line="340" w:lineRule="exact"/>
              <w:ind w:firstLine="420" w:firstLineChars="200"/>
              <w:rPr>
                <w:rFonts w:hint="eastAsia" w:ascii="宋体" w:hAnsi="宋体" w:cs="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结算方式及时间为：在领取中标通知书前由成交供应商一次性向采购代理机构付清。</w:t>
            </w:r>
          </w:p>
        </w:tc>
      </w:tr>
      <w:tr w14:paraId="754F70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2AB24202">
            <w:pPr>
              <w:snapToGrid w:val="0"/>
              <w:jc w:val="center"/>
              <w:rPr>
                <w:rFonts w:hint="eastAsia" w:ascii="宋体" w:hAnsi="宋体" w:cs="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20</w:t>
            </w:r>
          </w:p>
        </w:tc>
        <w:tc>
          <w:tcPr>
            <w:tcW w:w="1800" w:type="dxa"/>
            <w:vAlign w:val="center"/>
          </w:tcPr>
          <w:p w14:paraId="139B0346">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是否允许分包</w:t>
            </w:r>
          </w:p>
        </w:tc>
        <w:tc>
          <w:tcPr>
            <w:tcW w:w="6814" w:type="dxa"/>
            <w:vAlign w:val="center"/>
          </w:tcPr>
          <w:p w14:paraId="3CD93EEA">
            <w:pPr>
              <w:ind w:firstLine="420" w:firstLineChars="200"/>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本项目</w:t>
            </w:r>
            <w:r>
              <w:rPr>
                <w:rFonts w:hint="eastAsia" w:ascii="宋体" w:hAnsi="宋体" w:cs="宋体"/>
                <w:color w:val="000000" w:themeColor="text1"/>
                <w:sz w:val="21"/>
                <w:szCs w:val="21"/>
                <w:u w:val="single"/>
                <w14:textFill>
                  <w14:solidFill>
                    <w14:schemeClr w14:val="tx1"/>
                  </w14:solidFill>
                </w14:textFill>
              </w:rPr>
              <w:t>不允许</w:t>
            </w:r>
            <w:r>
              <w:rPr>
                <w:rFonts w:hint="eastAsia" w:ascii="宋体" w:hAnsi="宋体" w:cs="宋体"/>
                <w:color w:val="000000" w:themeColor="text1"/>
                <w:sz w:val="21"/>
                <w:szCs w:val="21"/>
                <w14:textFill>
                  <w14:solidFill>
                    <w14:schemeClr w14:val="tx1"/>
                  </w14:solidFill>
                </w14:textFill>
              </w:rPr>
              <w:t>分包</w:t>
            </w:r>
          </w:p>
        </w:tc>
      </w:tr>
      <w:tr w14:paraId="0958F3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39AA728">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21</w:t>
            </w:r>
          </w:p>
        </w:tc>
        <w:tc>
          <w:tcPr>
            <w:tcW w:w="1800" w:type="dxa"/>
            <w:tcBorders>
              <w:top w:val="single" w:color="auto" w:sz="4" w:space="0"/>
            </w:tcBorders>
            <w:vAlign w:val="center"/>
          </w:tcPr>
          <w:p w14:paraId="5F0B4ADF">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是否提供演示</w:t>
            </w:r>
          </w:p>
        </w:tc>
        <w:tc>
          <w:tcPr>
            <w:tcW w:w="6814" w:type="dxa"/>
            <w:tcBorders>
              <w:top w:val="single" w:color="auto" w:sz="4" w:space="0"/>
            </w:tcBorders>
            <w:vAlign w:val="center"/>
          </w:tcPr>
          <w:p w14:paraId="4F4446B2">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本项目</w:t>
            </w:r>
            <w:r>
              <w:rPr>
                <w:rFonts w:hint="eastAsia" w:ascii="宋体" w:hAnsi="宋体" w:cs="宋体"/>
                <w:color w:val="000000" w:themeColor="text1"/>
                <w:sz w:val="21"/>
                <w:szCs w:val="21"/>
                <w:u w:val="single"/>
                <w14:textFill>
                  <w14:solidFill>
                    <w14:schemeClr w14:val="tx1"/>
                  </w14:solidFill>
                </w14:textFill>
              </w:rPr>
              <w:t>不需要</w:t>
            </w:r>
            <w:r>
              <w:rPr>
                <w:rFonts w:hint="eastAsia" w:ascii="宋体" w:hAnsi="宋体" w:cs="宋体"/>
                <w:color w:val="000000" w:themeColor="text1"/>
                <w:sz w:val="21"/>
                <w:szCs w:val="21"/>
                <w14:textFill>
                  <w14:solidFill>
                    <w14:schemeClr w14:val="tx1"/>
                  </w14:solidFill>
                </w14:textFill>
              </w:rPr>
              <w:t>提供演示</w:t>
            </w:r>
          </w:p>
        </w:tc>
      </w:tr>
      <w:tr w14:paraId="568D97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Merge w:val="restart"/>
            <w:shd w:val="clear" w:color="auto" w:fill="auto"/>
            <w:vAlign w:val="center"/>
          </w:tcPr>
          <w:p w14:paraId="3491CB92">
            <w:pPr>
              <w:snapToGrid w:val="0"/>
              <w:jc w:val="center"/>
              <w:rPr>
                <w:rFonts w:hint="eastAsia" w:ascii="宋体" w:hAnsi="宋体" w:cs="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22</w:t>
            </w:r>
          </w:p>
          <w:p w14:paraId="583B7408">
            <w:pPr>
              <w:snapToGrid w:val="0"/>
              <w:jc w:val="center"/>
              <w:rPr>
                <w:rFonts w:hint="eastAsia" w:ascii="宋体" w:hAnsi="宋体" w:cs="宋体"/>
                <w:snapToGrid w:val="0"/>
                <w:color w:val="000000" w:themeColor="text1"/>
                <w:sz w:val="21"/>
                <w:szCs w:val="21"/>
                <w14:textFill>
                  <w14:solidFill>
                    <w14:schemeClr w14:val="tx1"/>
                  </w14:solidFill>
                </w14:textFill>
              </w:rPr>
            </w:pPr>
          </w:p>
        </w:tc>
        <w:tc>
          <w:tcPr>
            <w:tcW w:w="1800" w:type="dxa"/>
            <w:vMerge w:val="restart"/>
            <w:shd w:val="clear" w:color="auto" w:fill="auto"/>
            <w:vAlign w:val="center"/>
          </w:tcPr>
          <w:p w14:paraId="7BDF487F">
            <w:pPr>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预付款</w:t>
            </w:r>
          </w:p>
          <w:p w14:paraId="3FED1810">
            <w:pPr>
              <w:snapToGrid w:val="0"/>
              <w:jc w:val="center"/>
              <w:rPr>
                <w:rFonts w:hint="eastAsia" w:ascii="宋体" w:hAnsi="宋体" w:cs="宋体"/>
                <w:color w:val="000000" w:themeColor="text1"/>
                <w:sz w:val="21"/>
                <w:szCs w:val="21"/>
                <w14:textFill>
                  <w14:solidFill>
                    <w14:schemeClr w14:val="tx1"/>
                  </w14:solidFill>
                </w14:textFill>
              </w:rPr>
            </w:pPr>
          </w:p>
        </w:tc>
        <w:tc>
          <w:tcPr>
            <w:tcW w:w="6814" w:type="dxa"/>
            <w:shd w:val="clear" w:color="auto" w:fill="auto"/>
            <w:vAlign w:val="center"/>
          </w:tcPr>
          <w:p w14:paraId="05C0F542">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本项目涉及预付款，预付款比例为</w:t>
            </w:r>
            <w:r>
              <w:rPr>
                <w:rFonts w:hint="eastAsia" w:ascii="宋体" w:hAnsi="宋体" w:cs="宋体"/>
                <w:color w:val="000000" w:themeColor="text1"/>
                <w:sz w:val="21"/>
                <w:szCs w:val="21"/>
                <w:u w:val="single"/>
                <w14:textFill>
                  <w14:solidFill>
                    <w14:schemeClr w14:val="tx1"/>
                  </w14:solidFill>
                </w14:textFill>
              </w:rPr>
              <w:t xml:space="preserve"> 50</w:t>
            </w:r>
            <w:r>
              <w:rPr>
                <w:rFonts w:ascii="宋体" w:hAnsi="宋体" w:cs="宋体"/>
                <w:color w:val="000000" w:themeColor="text1"/>
                <w:sz w:val="21"/>
                <w:szCs w:val="21"/>
                <w:u w:val="single"/>
                <w14:textFill>
                  <w14:solidFill>
                    <w14:schemeClr w14:val="tx1"/>
                  </w14:solidFill>
                </w14:textFill>
              </w:rPr>
              <w:t xml:space="preserve"> </w:t>
            </w:r>
            <w:r>
              <w:rPr>
                <w:rFonts w:ascii="宋体" w:hAnsi="宋体" w:cs="宋体"/>
                <w:color w:val="000000" w:themeColor="text1"/>
                <w:sz w:val="21"/>
                <w:szCs w:val="21"/>
                <w14:textFill>
                  <w14:solidFill>
                    <w14:schemeClr w14:val="tx1"/>
                  </w14:solidFill>
                </w14:textFill>
              </w:rPr>
              <w:t>%</w:t>
            </w:r>
          </w:p>
        </w:tc>
      </w:tr>
      <w:tr w14:paraId="2555DA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2" w:hRule="atLeast"/>
          <w:jc w:val="center"/>
        </w:trPr>
        <w:tc>
          <w:tcPr>
            <w:tcW w:w="648" w:type="dxa"/>
            <w:vMerge w:val="continue"/>
            <w:vAlign w:val="center"/>
          </w:tcPr>
          <w:p w14:paraId="10F90D7F">
            <w:pPr>
              <w:snapToGrid w:val="0"/>
              <w:jc w:val="center"/>
              <w:rPr>
                <w:rFonts w:hint="eastAsia" w:ascii="宋体" w:hAnsi="宋体" w:cs="宋体"/>
                <w:snapToGrid w:val="0"/>
                <w:color w:val="000000" w:themeColor="text1"/>
                <w:sz w:val="21"/>
                <w:szCs w:val="21"/>
                <w14:textFill>
                  <w14:solidFill>
                    <w14:schemeClr w14:val="tx1"/>
                  </w14:solidFill>
                </w14:textFill>
              </w:rPr>
            </w:pPr>
          </w:p>
        </w:tc>
        <w:tc>
          <w:tcPr>
            <w:tcW w:w="1800" w:type="dxa"/>
            <w:vMerge w:val="continue"/>
            <w:vAlign w:val="center"/>
          </w:tcPr>
          <w:p w14:paraId="3D878360">
            <w:pPr>
              <w:snapToGrid w:val="0"/>
              <w:jc w:val="center"/>
              <w:rPr>
                <w:rFonts w:hint="eastAsia" w:ascii="宋体" w:hAnsi="宋体" w:cs="宋体"/>
                <w:color w:val="000000" w:themeColor="text1"/>
                <w:sz w:val="21"/>
                <w:szCs w:val="21"/>
                <w14:textFill>
                  <w14:solidFill>
                    <w14:schemeClr w14:val="tx1"/>
                  </w14:solidFill>
                </w14:textFill>
              </w:rPr>
            </w:pPr>
          </w:p>
        </w:tc>
        <w:tc>
          <w:tcPr>
            <w:tcW w:w="6814" w:type="dxa"/>
            <w:shd w:val="clear" w:color="auto" w:fill="auto"/>
            <w:vAlign w:val="center"/>
          </w:tcPr>
          <w:p w14:paraId="12C7C33C">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根据《浙江省财政厅关于进一步发挥政府采购政策功能全力推动经济稳进提质的通知》[浙财采监〔2022）3号]文件第二条第五点关于“进一步提高政府采购预付款比例”的规定：</w:t>
            </w:r>
          </w:p>
          <w:p w14:paraId="1499819B">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1、采购单位应当在政府采购合同中约定预付款；</w:t>
            </w:r>
          </w:p>
          <w:p w14:paraId="600DE29C">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14:paraId="0FBB6992">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3、本项目涉及投标人为大型企业，或者以人工投入为主且实行按月定期结算支付款项的，预付款可低于上述比例或者不约定预付款（相应字样应在合同中体现）。</w:t>
            </w:r>
          </w:p>
          <w:p w14:paraId="23CDB2EC">
            <w:pPr>
              <w:ind w:firstLine="420" w:firstLineChars="20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4、在签订合同时，中标人明确表示无需预付款或者主动要求降低预付款比例的，应提交相应申请函经采购人确认后，可不适用前述规定。</w:t>
            </w:r>
          </w:p>
        </w:tc>
      </w:tr>
      <w:tr w14:paraId="21E8D2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35" w:hRule="atLeast"/>
          <w:jc w:val="center"/>
        </w:trPr>
        <w:tc>
          <w:tcPr>
            <w:tcW w:w="648" w:type="dxa"/>
            <w:vAlign w:val="center"/>
          </w:tcPr>
          <w:p w14:paraId="69994322">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23</w:t>
            </w:r>
          </w:p>
        </w:tc>
        <w:tc>
          <w:tcPr>
            <w:tcW w:w="1800" w:type="dxa"/>
            <w:vAlign w:val="center"/>
          </w:tcPr>
          <w:p w14:paraId="37B16956">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供应商信用信息查询渠道及截止时点、信用信息查询记录和证据留存的具体方式、信用信息的使用规则</w:t>
            </w:r>
          </w:p>
        </w:tc>
        <w:tc>
          <w:tcPr>
            <w:tcW w:w="6814" w:type="dxa"/>
            <w:vAlign w:val="center"/>
          </w:tcPr>
          <w:p w14:paraId="2C22D6FE">
            <w:pPr>
              <w:ind w:firstLine="420" w:firstLineChars="200"/>
              <w:rPr>
                <w:rFonts w:ascii="宋体"/>
                <w:color w:val="000000" w:themeColor="text1"/>
                <w:sz w:val="21"/>
                <w:szCs w:val="21"/>
                <w14:textFill>
                  <w14:solidFill>
                    <w14:schemeClr w14:val="tx1"/>
                  </w14:solidFill>
                </w14:textFill>
              </w:rPr>
            </w:pPr>
            <w:r>
              <w:rPr>
                <w:rFonts w:ascii="宋体" w:hAnsi="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14:textFill>
                  <w14:solidFill>
                    <w14:schemeClr w14:val="tx1"/>
                  </w14:solidFill>
                </w14:textFill>
              </w:rPr>
              <w:t>、查询渠道：信用中国（网址：</w:t>
            </w:r>
            <w:r>
              <w:rPr>
                <w:rFonts w:ascii="宋体" w:hAnsi="宋体" w:cs="宋体"/>
                <w:color w:val="000000" w:themeColor="text1"/>
                <w:sz w:val="21"/>
                <w:szCs w:val="21"/>
                <w14:textFill>
                  <w14:solidFill>
                    <w14:schemeClr w14:val="tx1"/>
                  </w14:solidFill>
                </w14:textFill>
              </w:rPr>
              <w:t>http://www.creditchina.gov.cn</w:t>
            </w:r>
            <w:r>
              <w:rPr>
                <w:rFonts w:hint="eastAsia" w:ascii="宋体" w:hAnsi="宋体" w:cs="宋体"/>
                <w:color w:val="000000" w:themeColor="text1"/>
                <w:sz w:val="21"/>
                <w:szCs w:val="21"/>
                <w14:textFill>
                  <w14:solidFill>
                    <w14:schemeClr w14:val="tx1"/>
                  </w14:solidFill>
                </w14:textFill>
              </w:rPr>
              <w:t>）、中国政府采购网</w:t>
            </w:r>
            <w:r>
              <w:rPr>
                <w:rFonts w:ascii="宋体" w:hAnsi="宋体" w:cs="宋体"/>
                <w:color w:val="000000" w:themeColor="text1"/>
                <w:sz w:val="21"/>
                <w:szCs w:val="21"/>
                <w14:textFill>
                  <w14:solidFill>
                    <w14:schemeClr w14:val="tx1"/>
                  </w14:solidFill>
                </w14:textFill>
              </w:rPr>
              <w:t>(</w:t>
            </w:r>
            <w:r>
              <w:rPr>
                <w:rFonts w:hint="eastAsia" w:ascii="宋体" w:hAnsi="宋体" w:cs="宋体"/>
                <w:color w:val="000000" w:themeColor="text1"/>
                <w:sz w:val="21"/>
                <w:szCs w:val="21"/>
                <w14:textFill>
                  <w14:solidFill>
                    <w14:schemeClr w14:val="tx1"/>
                  </w14:solidFill>
                </w14:textFill>
              </w:rPr>
              <w:t>网址：</w:t>
            </w:r>
            <w:r>
              <w:rPr>
                <w:rFonts w:ascii="宋体" w:hAnsi="宋体" w:cs="宋体"/>
                <w:color w:val="000000" w:themeColor="text1"/>
                <w:sz w:val="21"/>
                <w:szCs w:val="21"/>
                <w14:textFill>
                  <w14:solidFill>
                    <w14:schemeClr w14:val="tx1"/>
                  </w14:solidFill>
                </w14:textFill>
              </w:rPr>
              <w:t>http://www.ccgp.gov.cn</w:t>
            </w:r>
            <w:r>
              <w:rPr>
                <w:rFonts w:hint="eastAsia" w:ascii="宋体" w:hAnsi="宋体" w:cs="宋体"/>
                <w:color w:val="000000" w:themeColor="text1"/>
                <w:sz w:val="21"/>
                <w:szCs w:val="21"/>
                <w14:textFill>
                  <w14:solidFill>
                    <w14:schemeClr w14:val="tx1"/>
                  </w14:solidFill>
                </w14:textFill>
              </w:rPr>
              <w:t>）。</w:t>
            </w:r>
          </w:p>
          <w:p w14:paraId="4F9EA471">
            <w:pPr>
              <w:ind w:firstLine="420" w:firstLineChars="200"/>
              <w:rPr>
                <w:rFonts w:ascii="宋体"/>
                <w:color w:val="000000" w:themeColor="text1"/>
                <w:sz w:val="21"/>
                <w:szCs w:val="21"/>
                <w14:textFill>
                  <w14:solidFill>
                    <w14:schemeClr w14:val="tx1"/>
                  </w14:solidFill>
                </w14:textFill>
              </w:rPr>
            </w:pPr>
            <w:r>
              <w:rPr>
                <w:rFonts w:ascii="宋体" w:hAnsi="宋体" w:cs="宋体"/>
                <w:color w:val="000000" w:themeColor="text1"/>
                <w:sz w:val="21"/>
                <w:szCs w:val="21"/>
                <w14:textFill>
                  <w14:solidFill>
                    <w14:schemeClr w14:val="tx1"/>
                  </w14:solidFill>
                </w14:textFill>
              </w:rPr>
              <w:t>2</w:t>
            </w:r>
            <w:r>
              <w:rPr>
                <w:rFonts w:hint="eastAsia" w:ascii="宋体" w:hAnsi="宋体" w:cs="宋体"/>
                <w:color w:val="000000" w:themeColor="text1"/>
                <w:sz w:val="21"/>
                <w:szCs w:val="21"/>
                <w14:textFill>
                  <w14:solidFill>
                    <w14:schemeClr w14:val="tx1"/>
                  </w14:solidFill>
                </w14:textFill>
              </w:rPr>
              <w:t>、截止时点：开标后评标前。</w:t>
            </w:r>
          </w:p>
          <w:p w14:paraId="1417588C">
            <w:pPr>
              <w:ind w:firstLine="420" w:firstLineChars="200"/>
              <w:rPr>
                <w:rFonts w:ascii="宋体"/>
                <w:color w:val="000000" w:themeColor="text1"/>
                <w:sz w:val="21"/>
                <w:szCs w:val="21"/>
                <w14:textFill>
                  <w14:solidFill>
                    <w14:schemeClr w14:val="tx1"/>
                  </w14:solidFill>
                </w14:textFill>
              </w:rPr>
            </w:pPr>
            <w:r>
              <w:rPr>
                <w:rFonts w:ascii="宋体" w:hAnsi="宋体" w:cs="宋体"/>
                <w:color w:val="000000" w:themeColor="text1"/>
                <w:sz w:val="21"/>
                <w:szCs w:val="21"/>
                <w14:textFill>
                  <w14:solidFill>
                    <w14:schemeClr w14:val="tx1"/>
                  </w14:solidFill>
                </w14:textFill>
              </w:rPr>
              <w:t>3</w:t>
            </w:r>
            <w:r>
              <w:rPr>
                <w:rFonts w:hint="eastAsia" w:ascii="宋体" w:hAnsi="宋体" w:cs="宋体"/>
                <w:color w:val="000000" w:themeColor="text1"/>
                <w:sz w:val="21"/>
                <w:szCs w:val="21"/>
                <w14:textFill>
                  <w14:solidFill>
                    <w14:schemeClr w14:val="tx1"/>
                  </w14:solidFill>
                </w14:textFill>
              </w:rPr>
              <w:t>、信用信息查询记录和证据留存的具体方式：由采购组织机构在规定查询时间内打印信用信息查询记录并归入项目档案。</w:t>
            </w:r>
          </w:p>
          <w:p w14:paraId="5EACB000">
            <w:pPr>
              <w:ind w:firstLine="420" w:firstLineChars="200"/>
              <w:rPr>
                <w:rFonts w:ascii="宋体"/>
                <w:color w:val="000000" w:themeColor="text1"/>
                <w:sz w:val="21"/>
                <w:szCs w:val="21"/>
                <w14:textFill>
                  <w14:solidFill>
                    <w14:schemeClr w14:val="tx1"/>
                  </w14:solidFill>
                </w14:textFill>
              </w:rPr>
            </w:pPr>
            <w:r>
              <w:rPr>
                <w:rFonts w:ascii="宋体" w:hAnsi="宋体" w:cs="宋体"/>
                <w:color w:val="000000" w:themeColor="text1"/>
                <w:sz w:val="21"/>
                <w:szCs w:val="21"/>
                <w14:textFill>
                  <w14:solidFill>
                    <w14:schemeClr w14:val="tx1"/>
                  </w14:solidFill>
                </w14:textFill>
              </w:rPr>
              <w:t>4</w:t>
            </w:r>
            <w:r>
              <w:rPr>
                <w:rFonts w:hint="eastAsia" w:ascii="宋体" w:hAnsi="宋体" w:cs="宋体"/>
                <w:color w:val="000000" w:themeColor="text1"/>
                <w:sz w:val="21"/>
                <w:szCs w:val="21"/>
                <w14:textFill>
                  <w14:solidFill>
                    <w14:schemeClr w14:val="tx1"/>
                  </w14:solidFill>
                </w14:textFill>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2D57B1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17" w:hRule="atLeast"/>
          <w:jc w:val="center"/>
        </w:trPr>
        <w:tc>
          <w:tcPr>
            <w:tcW w:w="648" w:type="dxa"/>
            <w:vAlign w:val="center"/>
          </w:tcPr>
          <w:p w14:paraId="7BD6004A">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24</w:t>
            </w:r>
          </w:p>
        </w:tc>
        <w:tc>
          <w:tcPr>
            <w:tcW w:w="1800" w:type="dxa"/>
            <w:vAlign w:val="center"/>
          </w:tcPr>
          <w:p w14:paraId="5BD6156F">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金融支持</w:t>
            </w:r>
          </w:p>
        </w:tc>
        <w:tc>
          <w:tcPr>
            <w:tcW w:w="6814" w:type="dxa"/>
            <w:vAlign w:val="center"/>
          </w:tcPr>
          <w:p w14:paraId="3F013B96">
            <w:pPr>
              <w:ind w:firstLine="420" w:firstLineChars="200"/>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为支持和促进中小企业发展，进一步发挥政府采购政策功能，浙江省财政厅出台浙财采监〔</w:t>
            </w:r>
            <w:r>
              <w:rPr>
                <w:rFonts w:ascii="宋体" w:hAnsi="宋体" w:cs="宋体"/>
                <w:color w:val="000000" w:themeColor="text1"/>
                <w:sz w:val="21"/>
                <w:szCs w:val="21"/>
                <w14:textFill>
                  <w14:solidFill>
                    <w14:schemeClr w14:val="tx1"/>
                  </w14:solidFill>
                </w14:textFill>
              </w:rPr>
              <w:t>2020</w:t>
            </w:r>
            <w:r>
              <w:rPr>
                <w:rFonts w:hint="eastAsia" w:ascii="宋体" w:hAnsi="宋体" w:cs="宋体"/>
                <w:color w:val="000000" w:themeColor="text1"/>
                <w:sz w:val="21"/>
                <w:szCs w:val="21"/>
                <w14:textFill>
                  <w14:solidFill>
                    <w14:schemeClr w14:val="tx1"/>
                  </w14:solidFill>
                </w14:textFill>
              </w:rPr>
              <w:t>〕</w:t>
            </w:r>
            <w:r>
              <w:rPr>
                <w:rFonts w:ascii="宋体" w:hAnsi="宋体" w:cs="宋体"/>
                <w:color w:val="000000" w:themeColor="text1"/>
                <w:sz w:val="21"/>
                <w:szCs w:val="21"/>
                <w14:textFill>
                  <w14:solidFill>
                    <w14:schemeClr w14:val="tx1"/>
                  </w14:solidFill>
                </w14:textFill>
              </w:rPr>
              <w:t xml:space="preserve">3 </w:t>
            </w:r>
            <w:r>
              <w:rPr>
                <w:rFonts w:hint="eastAsia" w:ascii="宋体" w:hAnsi="宋体" w:cs="宋体"/>
                <w:color w:val="000000" w:themeColor="text1"/>
                <w:sz w:val="21"/>
                <w:szCs w:val="21"/>
                <w14:textFill>
                  <w14:solidFill>
                    <w14:schemeClr w14:val="tx1"/>
                  </w14:solidFill>
                </w14:textFill>
              </w:rPr>
              <w:t>号文件，企业若有融资意向，可登陆政采云平台融资服务（</w:t>
            </w:r>
            <w:r>
              <w:rPr>
                <w:rFonts w:ascii="宋体" w:hAnsi="宋体" w:cs="宋体"/>
                <w:color w:val="000000" w:themeColor="text1"/>
                <w:sz w:val="21"/>
                <w:szCs w:val="21"/>
                <w14:textFill>
                  <w14:solidFill>
                    <w14:schemeClr w14:val="tx1"/>
                  </w14:solidFill>
                </w14:textFill>
              </w:rPr>
              <w:t>https://jinrong.zcygov.cn/</w:t>
            </w:r>
            <w:r>
              <w:rPr>
                <w:rFonts w:hint="eastAsia" w:ascii="宋体" w:hAnsi="宋体" w:cs="宋体"/>
                <w:color w:val="000000" w:themeColor="text1"/>
                <w:sz w:val="21"/>
                <w:szCs w:val="21"/>
                <w14:textFill>
                  <w14:solidFill>
                    <w14:schemeClr w14:val="tx1"/>
                  </w14:solidFill>
                </w14:textFill>
              </w:rPr>
              <w:t>），查看相应融资政策文件及各相关银行服务方案。</w:t>
            </w:r>
          </w:p>
        </w:tc>
      </w:tr>
      <w:tr w14:paraId="0C5BC0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34" w:hRule="atLeast"/>
          <w:jc w:val="center"/>
        </w:trPr>
        <w:tc>
          <w:tcPr>
            <w:tcW w:w="648" w:type="dxa"/>
            <w:tcBorders>
              <w:bottom w:val="double" w:color="auto" w:sz="4" w:space="0"/>
            </w:tcBorders>
            <w:vAlign w:val="center"/>
          </w:tcPr>
          <w:p w14:paraId="183E6476">
            <w:pPr>
              <w:snapToGrid w:val="0"/>
              <w:jc w:val="center"/>
              <w:rPr>
                <w:rFonts w:ascii="宋体"/>
                <w:snapToGrid w:val="0"/>
                <w:color w:val="000000" w:themeColor="text1"/>
                <w:sz w:val="21"/>
                <w:szCs w:val="21"/>
                <w14:textFill>
                  <w14:solidFill>
                    <w14:schemeClr w14:val="tx1"/>
                  </w14:solidFill>
                </w14:textFill>
              </w:rPr>
            </w:pPr>
            <w:r>
              <w:rPr>
                <w:rFonts w:hint="eastAsia" w:ascii="宋体" w:hAnsi="宋体" w:cs="宋体"/>
                <w:snapToGrid w:val="0"/>
                <w:color w:val="000000" w:themeColor="text1"/>
                <w:sz w:val="21"/>
                <w:szCs w:val="21"/>
                <w14:textFill>
                  <w14:solidFill>
                    <w14:schemeClr w14:val="tx1"/>
                  </w14:solidFill>
                </w14:textFill>
              </w:rPr>
              <w:t>2</w:t>
            </w:r>
            <w:r>
              <w:rPr>
                <w:rFonts w:ascii="宋体" w:hAnsi="宋体" w:cs="宋体"/>
                <w:snapToGrid w:val="0"/>
                <w:color w:val="000000" w:themeColor="text1"/>
                <w:sz w:val="21"/>
                <w:szCs w:val="21"/>
                <w14:textFill>
                  <w14:solidFill>
                    <w14:schemeClr w14:val="tx1"/>
                  </w14:solidFill>
                </w14:textFill>
              </w:rPr>
              <w:t>5</w:t>
            </w:r>
          </w:p>
        </w:tc>
        <w:tc>
          <w:tcPr>
            <w:tcW w:w="1800" w:type="dxa"/>
            <w:tcBorders>
              <w:bottom w:val="double" w:color="auto" w:sz="4" w:space="0"/>
            </w:tcBorders>
            <w:vAlign w:val="center"/>
          </w:tcPr>
          <w:p w14:paraId="2CA0CFBF">
            <w:pPr>
              <w:snapToGrid w:val="0"/>
              <w:jc w:val="center"/>
              <w:rPr>
                <w:rFonts w:ascii="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其他</w:t>
            </w:r>
          </w:p>
        </w:tc>
        <w:tc>
          <w:tcPr>
            <w:tcW w:w="6814" w:type="dxa"/>
            <w:tcBorders>
              <w:bottom w:val="double" w:color="auto" w:sz="4" w:space="0"/>
            </w:tcBorders>
            <w:vAlign w:val="center"/>
          </w:tcPr>
          <w:p w14:paraId="304E93CD">
            <w:pPr>
              <w:ind w:firstLine="402"/>
              <w:rPr>
                <w:rFonts w:hint="eastAsia" w:ascii="宋体" w:hAnsi="宋体" w:cs="宋体"/>
                <w:b/>
                <w:bCs/>
                <w:color w:val="000000" w:themeColor="text1"/>
                <w:sz w:val="21"/>
                <w:szCs w:val="21"/>
                <w14:textFill>
                  <w14:solidFill>
                    <w14:schemeClr w14:val="tx1"/>
                  </w14:solidFill>
                </w14:textFill>
              </w:rPr>
            </w:pPr>
            <w:r>
              <w:rPr>
                <w:rFonts w:hint="eastAsia" w:ascii="宋体" w:hAnsi="宋体" w:cs="宋体"/>
                <w:b/>
                <w:bCs/>
                <w:color w:val="000000" w:themeColor="text1"/>
                <w:sz w:val="21"/>
                <w:szCs w:val="21"/>
                <w14:textFill>
                  <w14:solidFill>
                    <w14:schemeClr w14:val="tx1"/>
                  </w14:solidFill>
                </w14:textFill>
              </w:rPr>
              <w:t>1、本磋商文件要求提供的身份证复印件皆需提供正反面，否则按不提供处理。</w:t>
            </w:r>
          </w:p>
          <w:p w14:paraId="5188E8E7">
            <w:pPr>
              <w:ind w:firstLine="402"/>
              <w:rPr>
                <w:b/>
                <w:bCs/>
                <w:color w:val="000000" w:themeColor="text1"/>
                <w:sz w:val="21"/>
                <w:szCs w:val="21"/>
                <w14:textFill>
                  <w14:solidFill>
                    <w14:schemeClr w14:val="tx1"/>
                  </w14:solidFill>
                </w14:textFill>
              </w:rPr>
            </w:pPr>
            <w:r>
              <w:rPr>
                <w:b/>
                <w:bCs/>
                <w:color w:val="000000" w:themeColor="text1"/>
                <w:sz w:val="21"/>
                <w:szCs w:val="21"/>
                <w14:textFill>
                  <w14:solidFill>
                    <w14:schemeClr w14:val="tx1"/>
                  </w14:solidFill>
                </w14:textFill>
              </w:rPr>
              <w:t>2</w:t>
            </w:r>
            <w:r>
              <w:rPr>
                <w:rFonts w:hint="eastAsia"/>
                <w:b/>
                <w:bCs/>
                <w:color w:val="000000" w:themeColor="text1"/>
                <w:sz w:val="21"/>
                <w:szCs w:val="21"/>
                <w14:textFill>
                  <w14:solidFill>
                    <w14:schemeClr w14:val="tx1"/>
                  </w14:solidFill>
                </w14:textFill>
              </w:rPr>
              <w:t>、若本项目涉及柴油动力移动源的应当符合低排放要求。</w:t>
            </w:r>
          </w:p>
        </w:tc>
      </w:tr>
    </w:tbl>
    <w:p w14:paraId="36E3C6A2">
      <w:pPr>
        <w:pStyle w:val="4"/>
        <w:spacing w:line="360" w:lineRule="auto"/>
        <w:rPr>
          <w:rFonts w:ascii="宋体"/>
          <w:color w:val="000000" w:themeColor="text1"/>
          <w14:textFill>
            <w14:solidFill>
              <w14:schemeClr w14:val="tx1"/>
            </w14:solidFill>
          </w14:textFill>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ascii="宋体" w:hAnsi="宋体" w:cs="宋体"/>
          <w:color w:val="000000" w:themeColor="text1"/>
          <w:sz w:val="24"/>
          <w:szCs w:val="24"/>
          <w14:textFill>
            <w14:solidFill>
              <w14:schemeClr w14:val="tx1"/>
            </w14:solidFill>
          </w14:textFill>
        </w:rPr>
        <w:t>注：以上内容如有变化将另行通知。如通知其中某一内容发生变化，其余未提及的将不作变动。</w:t>
      </w:r>
    </w:p>
    <w:p w14:paraId="5B47FDC1">
      <w:pPr>
        <w:pStyle w:val="3"/>
        <w:numPr>
          <w:ilvl w:val="0"/>
          <w:numId w:val="7"/>
        </w:numPr>
        <w:jc w:val="center"/>
        <w:rPr>
          <w:rFonts w:hint="eastAsia" w:hAnsi="宋体" w:cs="Times New Roman"/>
          <w:color w:val="000000" w:themeColor="text1"/>
          <w14:textFill>
            <w14:solidFill>
              <w14:schemeClr w14:val="tx1"/>
            </w14:solidFill>
          </w14:textFill>
        </w:rPr>
      </w:pPr>
      <w:r>
        <w:rPr>
          <w:rFonts w:hAnsi="宋体"/>
          <w:color w:val="000000" w:themeColor="text1"/>
          <w14:textFill>
            <w14:solidFill>
              <w14:schemeClr w14:val="tx1"/>
            </w14:solidFill>
          </w14:textFill>
        </w:rPr>
        <w:t xml:space="preserve"> </w:t>
      </w:r>
      <w:bookmarkStart w:id="10" w:name="_Toc25187"/>
      <w:bookmarkStart w:id="11" w:name="_Toc1385"/>
      <w:r>
        <w:rPr>
          <w:rFonts w:hint="eastAsia" w:hAnsi="宋体"/>
          <w:color w:val="000000" w:themeColor="text1"/>
          <w14:textFill>
            <w14:solidFill>
              <w14:schemeClr w14:val="tx1"/>
            </w14:solidFill>
          </w14:textFill>
        </w:rPr>
        <w:t>总则</w:t>
      </w:r>
      <w:bookmarkEnd w:id="10"/>
      <w:bookmarkEnd w:id="11"/>
    </w:p>
    <w:p w14:paraId="73DECB33">
      <w:pPr>
        <w:spacing w:line="336" w:lineRule="auto"/>
        <w:ind w:firstLine="480" w:firstLineChars="200"/>
        <w:rPr>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本次招标工作是按照《中华人民共和国政府采购法》、《中华人民共和国政府采购法实施条例》《政府采购竞争性磋商采购方式管理暂行办法》等相关法律、组织和实施，并由政府采购管理部门指导和监督。</w:t>
      </w:r>
    </w:p>
    <w:p w14:paraId="4526478E">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w:t>
      </w:r>
      <w:r>
        <w:rPr>
          <w:rFonts w:hint="eastAsia" w:ascii="宋体" w:hAnsi="宋体" w:cs="宋体"/>
          <w:b/>
          <w:bCs/>
          <w:color w:val="000000" w:themeColor="text1"/>
          <w:sz w:val="24"/>
          <w:szCs w:val="24"/>
          <w14:textFill>
            <w14:solidFill>
              <w14:schemeClr w14:val="tx1"/>
            </w14:solidFill>
          </w14:textFill>
        </w:rPr>
        <w:t>、适用范围</w:t>
      </w:r>
    </w:p>
    <w:p w14:paraId="6893FF4E">
      <w:pPr>
        <w:spacing w:line="336" w:lineRule="auto"/>
        <w:ind w:firstLine="480" w:firstLineChars="200"/>
        <w:rPr>
          <w:rFonts w:hint="eastAsia" w:ascii="宋体" w:hAnsi="宋体" w:cs="宋体"/>
          <w:color w:val="000000" w:themeColor="text1"/>
          <w:sz w:val="24"/>
          <w:szCs w:val="24"/>
          <w:u w:val="single"/>
          <w14:textFill>
            <w14:solidFill>
              <w14:schemeClr w14:val="tx1"/>
            </w14:solidFill>
          </w14:textFill>
        </w:rPr>
      </w:pPr>
      <w:r>
        <w:rPr>
          <w:rFonts w:ascii="宋体" w:hAnsi="宋体" w:cs="宋体"/>
          <w:color w:val="000000" w:themeColor="text1"/>
          <w:sz w:val="24"/>
          <w:szCs w:val="24"/>
          <w14:textFill>
            <w14:solidFill>
              <w14:schemeClr w14:val="tx1"/>
            </w14:solidFill>
          </w14:textFill>
        </w:rPr>
        <w:t>1.1</w:t>
      </w:r>
      <w:r>
        <w:rPr>
          <w:rFonts w:hint="eastAsia" w:ascii="宋体" w:hAnsi="宋体" w:cs="宋体"/>
          <w:color w:val="000000" w:themeColor="text1"/>
          <w:sz w:val="24"/>
          <w:szCs w:val="24"/>
          <w14:textFill>
            <w14:solidFill>
              <w14:schemeClr w14:val="tx1"/>
            </w14:solidFill>
          </w14:textFill>
        </w:rPr>
        <w:t>本次磋商工作仅适用于</w:t>
      </w:r>
      <w:r>
        <w:rPr>
          <w:rFonts w:hint="eastAsia" w:ascii="宋体" w:hAnsi="宋体" w:cs="宋体"/>
          <w:color w:val="000000" w:themeColor="text1"/>
          <w:sz w:val="24"/>
          <w:szCs w:val="24"/>
          <w:u w:val="single"/>
          <w14:textFill>
            <w14:solidFill>
              <w14:schemeClr w14:val="tx1"/>
            </w14:solidFill>
          </w14:textFill>
        </w:rPr>
        <w:t>上虞区X波段相控阵雷达维护、抢修服务（2部）</w:t>
      </w:r>
      <w:r>
        <w:rPr>
          <w:rFonts w:hint="eastAsia" w:ascii="宋体" w:hAnsi="宋体" w:cs="宋体"/>
          <w:color w:val="000000" w:themeColor="text1"/>
          <w:sz w:val="24"/>
          <w:szCs w:val="24"/>
          <w14:textFill>
            <w14:solidFill>
              <w14:schemeClr w14:val="tx1"/>
            </w14:solidFill>
          </w14:textFill>
        </w:rPr>
        <w:t>。</w:t>
      </w:r>
    </w:p>
    <w:p w14:paraId="10B642AF">
      <w:pPr>
        <w:pStyle w:val="25"/>
        <w:spacing w:line="336" w:lineRule="auto"/>
        <w:ind w:firstLine="480" w:firstLineChars="200"/>
        <w:rPr>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1.2</w:t>
      </w:r>
      <w:r>
        <w:rPr>
          <w:rFonts w:hint="eastAsia" w:ascii="宋体" w:hAnsi="宋体" w:cs="宋体"/>
          <w:color w:val="000000" w:themeColor="text1"/>
          <w:sz w:val="24"/>
          <w:szCs w:val="24"/>
          <w14:textFill>
            <w14:solidFill>
              <w14:schemeClr w14:val="tx1"/>
            </w14:solidFill>
          </w14:textFill>
        </w:rPr>
        <w:t>本项目采购方式采用竞争性磋商方式。</w:t>
      </w:r>
    </w:p>
    <w:p w14:paraId="3B28E3E7">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2</w:t>
      </w:r>
      <w:r>
        <w:rPr>
          <w:rFonts w:hint="eastAsia" w:ascii="宋体" w:hAnsi="宋体" w:cs="宋体"/>
          <w:b/>
          <w:bCs/>
          <w:color w:val="000000" w:themeColor="text1"/>
          <w:sz w:val="24"/>
          <w:szCs w:val="24"/>
          <w14:textFill>
            <w14:solidFill>
              <w14:schemeClr w14:val="tx1"/>
            </w14:solidFill>
          </w14:textFill>
        </w:rPr>
        <w:t>、定义</w:t>
      </w:r>
    </w:p>
    <w:p w14:paraId="2ABBF4D4">
      <w:pPr>
        <w:spacing w:line="336" w:lineRule="auto"/>
        <w:ind w:firstLine="480" w:firstLineChars="200"/>
        <w:rPr>
          <w:rFonts w:ascii="宋体"/>
          <w:color w:val="000000" w:themeColor="text1"/>
          <w:sz w:val="24"/>
          <w:szCs w:val="24"/>
          <w:u w:val="single"/>
          <w14:textFill>
            <w14:solidFill>
              <w14:schemeClr w14:val="tx1"/>
            </w14:solidFill>
          </w14:textFill>
        </w:rPr>
      </w:pPr>
      <w:r>
        <w:rPr>
          <w:rFonts w:ascii="宋体" w:hAnsi="宋体" w:cs="宋体"/>
          <w:color w:val="000000" w:themeColor="text1"/>
          <w:sz w:val="24"/>
          <w:szCs w:val="24"/>
          <w14:textFill>
            <w14:solidFill>
              <w14:schemeClr w14:val="tx1"/>
            </w14:solidFill>
          </w14:textFill>
        </w:rPr>
        <w:t>2.1</w:t>
      </w:r>
      <w:r>
        <w:rPr>
          <w:rFonts w:hint="eastAsia"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zh-CN"/>
          <w14:textFill>
            <w14:solidFill>
              <w14:schemeClr w14:val="tx1"/>
            </w14:solidFill>
          </w14:textFill>
        </w:rPr>
        <w:t>采购人”系指</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绍兴市上虞区气象局</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。采购人委托</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中纬工程管理咨询有限公司</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为本项目采购代理机构。</w:t>
      </w:r>
    </w:p>
    <w:p w14:paraId="07AC2FAD">
      <w:pPr>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2.2</w:t>
      </w:r>
      <w:r>
        <w:rPr>
          <w:rFonts w:hint="eastAsia" w:ascii="宋体" w:hAnsi="宋体" w:cs="宋体"/>
          <w:color w:val="000000" w:themeColor="text1"/>
          <w:sz w:val="24"/>
          <w:szCs w:val="24"/>
          <w14:textFill>
            <w14:solidFill>
              <w14:schemeClr w14:val="tx1"/>
            </w14:solidFill>
          </w14:textFill>
        </w:rPr>
        <w:t>“磋商供应商”系指响应本次采购，参加本次竞争性磋商的供应商。</w:t>
      </w:r>
    </w:p>
    <w:p w14:paraId="73ADBE56">
      <w:pPr>
        <w:spacing w:line="336" w:lineRule="auto"/>
        <w:ind w:firstLine="480" w:firstLineChars="200"/>
        <w:rPr>
          <w:rFonts w:ascii="宋体"/>
          <w:color w:val="000000" w:themeColor="text1"/>
          <w:sz w:val="24"/>
          <w:szCs w:val="24"/>
          <w:lang w:val="zh-CN"/>
          <w14:textFill>
            <w14:solidFill>
              <w14:schemeClr w14:val="tx1"/>
            </w14:solidFill>
          </w14:textFill>
        </w:rPr>
      </w:pPr>
      <w:r>
        <w:rPr>
          <w:rFonts w:ascii="宋体" w:hAnsi="宋体" w:cs="宋体"/>
          <w:color w:val="000000" w:themeColor="text1"/>
          <w:sz w:val="24"/>
          <w:szCs w:val="24"/>
          <w14:textFill>
            <w14:solidFill>
              <w14:schemeClr w14:val="tx1"/>
            </w14:solidFill>
          </w14:textFill>
        </w:rPr>
        <w:t>2.3</w:t>
      </w:r>
      <w:r>
        <w:rPr>
          <w:rFonts w:hint="eastAsia" w:ascii="宋体" w:hAnsi="宋体" w:cs="宋体"/>
          <w:color w:val="000000" w:themeColor="text1"/>
          <w:sz w:val="24"/>
          <w:szCs w:val="24"/>
          <w:lang w:val="zh-CN"/>
          <w14:textFill>
            <w14:solidFill>
              <w14:schemeClr w14:val="tx1"/>
            </w14:solidFill>
          </w14:textFill>
        </w:rPr>
        <w:t>“服务”系指</w:t>
      </w:r>
      <w:r>
        <w:rPr>
          <w:rFonts w:hint="eastAsia" w:ascii="宋体" w:hAnsi="宋体" w:cs="宋体"/>
          <w:color w:val="000000" w:themeColor="text1"/>
          <w:sz w:val="24"/>
          <w:szCs w:val="24"/>
          <w14:textFill>
            <w14:solidFill>
              <w14:schemeClr w14:val="tx1"/>
            </w14:solidFill>
          </w14:textFill>
        </w:rPr>
        <w:t>磋商供应商按合同规定，须承担的服务的义务</w:t>
      </w:r>
      <w:r>
        <w:rPr>
          <w:rFonts w:hint="eastAsia" w:ascii="宋体" w:hAnsi="宋体" w:cs="宋体"/>
          <w:color w:val="000000" w:themeColor="text1"/>
          <w:sz w:val="24"/>
          <w:szCs w:val="24"/>
          <w:lang w:val="zh-CN"/>
          <w14:textFill>
            <w14:solidFill>
              <w14:schemeClr w14:val="tx1"/>
            </w14:solidFill>
          </w14:textFill>
        </w:rPr>
        <w:t>。</w:t>
      </w:r>
    </w:p>
    <w:p w14:paraId="6B6BD5D0">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3</w:t>
      </w:r>
      <w:r>
        <w:rPr>
          <w:rFonts w:hint="eastAsia" w:ascii="宋体" w:hAnsi="宋体" w:cs="宋体"/>
          <w:b/>
          <w:bCs/>
          <w:color w:val="000000" w:themeColor="text1"/>
          <w:sz w:val="24"/>
          <w:szCs w:val="24"/>
          <w14:textFill>
            <w14:solidFill>
              <w14:schemeClr w14:val="tx1"/>
            </w14:solidFill>
          </w14:textFill>
        </w:rPr>
        <w:t>、采购项目概况</w:t>
      </w:r>
      <w:r>
        <w:rPr>
          <w:rFonts w:ascii="宋体"/>
          <w:b/>
          <w:bCs/>
          <w:color w:val="000000" w:themeColor="text1"/>
          <w:sz w:val="24"/>
          <w:szCs w:val="24"/>
          <w14:textFill>
            <w14:solidFill>
              <w14:schemeClr w14:val="tx1"/>
            </w14:solidFill>
          </w14:textFill>
        </w:rPr>
        <w:tab/>
      </w:r>
      <w:r>
        <w:rPr>
          <w:rFonts w:ascii="宋体"/>
          <w:b/>
          <w:bCs/>
          <w:color w:val="000000" w:themeColor="text1"/>
          <w:sz w:val="24"/>
          <w:szCs w:val="24"/>
          <w14:textFill>
            <w14:solidFill>
              <w14:schemeClr w14:val="tx1"/>
            </w14:solidFill>
          </w14:textFill>
        </w:rPr>
        <w:tab/>
      </w:r>
    </w:p>
    <w:p w14:paraId="22F66E0C">
      <w:pPr>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详见竞争性磋商公告相关内容，主要要求参见本文件第</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三</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部分。</w:t>
      </w:r>
    </w:p>
    <w:p w14:paraId="62E881F9">
      <w:pPr>
        <w:adjustRightInd w:val="0"/>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4</w:t>
      </w:r>
      <w:r>
        <w:rPr>
          <w:rFonts w:hint="eastAsia" w:ascii="宋体" w:hAnsi="宋体" w:cs="宋体"/>
          <w:b/>
          <w:bCs/>
          <w:color w:val="000000" w:themeColor="text1"/>
          <w:sz w:val="24"/>
          <w:szCs w:val="24"/>
          <w14:textFill>
            <w14:solidFill>
              <w14:schemeClr w14:val="tx1"/>
            </w14:solidFill>
          </w14:textFill>
        </w:rPr>
        <w:t>、合格的磋商供应商</w:t>
      </w:r>
    </w:p>
    <w:p w14:paraId="0CCF0F77">
      <w:pPr>
        <w:spacing w:line="336" w:lineRule="auto"/>
        <w:ind w:firstLine="480" w:firstLineChars="200"/>
        <w:rPr>
          <w:rFonts w:ascii="宋体"/>
          <w:color w:val="000000" w:themeColor="text1"/>
          <w:sz w:val="24"/>
          <w:szCs w:val="24"/>
          <w14:textFill>
            <w14:solidFill>
              <w14:schemeClr w14:val="tx1"/>
            </w14:solidFill>
          </w14:textFill>
        </w:rPr>
      </w:pPr>
      <w:bookmarkStart w:id="12" w:name="_Toc204683265"/>
      <w:bookmarkStart w:id="13" w:name="_Toc193523219"/>
      <w:bookmarkStart w:id="14" w:name="_Toc197657950"/>
      <w:bookmarkStart w:id="15" w:name="_Toc208913145"/>
      <w:bookmarkStart w:id="16" w:name="_Toc209435242"/>
      <w:bookmarkStart w:id="17" w:name="_Toc209520993"/>
      <w:bookmarkStart w:id="18" w:name="_Toc197053926"/>
      <w:bookmarkStart w:id="19" w:name="_Toc193538208"/>
      <w:bookmarkStart w:id="20" w:name="_Toc208287611"/>
      <w:bookmarkStart w:id="21" w:name="_Toc211412066"/>
      <w:bookmarkStart w:id="22" w:name="_Toc207946571"/>
      <w:bookmarkStart w:id="23" w:name="_Toc197163261"/>
      <w:bookmarkStart w:id="24" w:name="_Toc197156227"/>
      <w:bookmarkStart w:id="25" w:name="_Toc209504018"/>
      <w:r>
        <w:rPr>
          <w:rFonts w:hint="eastAsia" w:ascii="宋体" w:hAnsi="宋体" w:cs="宋体"/>
          <w:color w:val="000000" w:themeColor="text1"/>
          <w:sz w:val="24"/>
          <w:szCs w:val="24"/>
          <w14:textFill>
            <w14:solidFill>
              <w14:schemeClr w14:val="tx1"/>
            </w14:solidFill>
          </w14:textFill>
        </w:rPr>
        <w:t>详见竞争性磋商采购公告磋商供应商的资格要求规定。</w:t>
      </w:r>
      <w:bookmarkEnd w:id="12"/>
      <w:bookmarkEnd w:id="13"/>
      <w:bookmarkEnd w:id="14"/>
      <w:bookmarkEnd w:id="15"/>
      <w:bookmarkEnd w:id="16"/>
      <w:bookmarkEnd w:id="17"/>
      <w:bookmarkEnd w:id="18"/>
      <w:bookmarkEnd w:id="19"/>
      <w:bookmarkEnd w:id="20"/>
      <w:bookmarkEnd w:id="21"/>
      <w:bookmarkEnd w:id="22"/>
      <w:bookmarkEnd w:id="23"/>
      <w:bookmarkEnd w:id="24"/>
      <w:bookmarkEnd w:id="25"/>
    </w:p>
    <w:p w14:paraId="7E91122E">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5</w:t>
      </w:r>
      <w:r>
        <w:rPr>
          <w:rFonts w:hint="eastAsia" w:ascii="宋体" w:hAnsi="宋体" w:cs="宋体"/>
          <w:b/>
          <w:bCs/>
          <w:color w:val="000000" w:themeColor="text1"/>
          <w:sz w:val="24"/>
          <w:szCs w:val="24"/>
          <w14:textFill>
            <w14:solidFill>
              <w14:schemeClr w14:val="tx1"/>
            </w14:solidFill>
          </w14:textFill>
        </w:rPr>
        <w:t>、磋商费用</w:t>
      </w:r>
    </w:p>
    <w:p w14:paraId="1E7379A1">
      <w:pPr>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磋商供应商应承担其参加磋商所涉及的一切费用，不管结果如何，采购人对上述费用不负任何责任。</w:t>
      </w:r>
    </w:p>
    <w:p w14:paraId="4F0DE656">
      <w:pPr>
        <w:pStyle w:val="3"/>
        <w:numPr>
          <w:ilvl w:val="0"/>
          <w:numId w:val="7"/>
        </w:numPr>
        <w:jc w:val="center"/>
        <w:rPr>
          <w:rFonts w:cs="Times New Roman"/>
          <w:color w:val="000000" w:themeColor="text1"/>
          <w14:textFill>
            <w14:solidFill>
              <w14:schemeClr w14:val="tx1"/>
            </w14:solidFill>
          </w14:textFill>
        </w:rPr>
      </w:pPr>
      <w:bookmarkStart w:id="26" w:name="_Toc32689"/>
      <w:bookmarkStart w:id="27" w:name="_Toc25923"/>
      <w:bookmarkStart w:id="28" w:name="_Toc416992151"/>
      <w:r>
        <w:rPr>
          <w:color w:val="000000" w:themeColor="text1"/>
          <w14:textFill>
            <w14:solidFill>
              <w14:schemeClr w14:val="tx1"/>
            </w14:solidFill>
          </w14:textFill>
        </w:rPr>
        <w:t xml:space="preserve"> </w:t>
      </w:r>
      <w:bookmarkStart w:id="29" w:name="_Toc17634"/>
      <w:bookmarkStart w:id="30" w:name="_Toc11814"/>
      <w:r>
        <w:rPr>
          <w:rFonts w:hint="eastAsia"/>
          <w:color w:val="000000" w:themeColor="text1"/>
          <w14:textFill>
            <w14:solidFill>
              <w14:schemeClr w14:val="tx1"/>
            </w14:solidFill>
          </w14:textFill>
        </w:rPr>
        <w:t>竞争性磋商文件</w:t>
      </w:r>
      <w:bookmarkEnd w:id="26"/>
      <w:bookmarkEnd w:id="27"/>
      <w:bookmarkEnd w:id="28"/>
      <w:bookmarkEnd w:id="29"/>
      <w:bookmarkEnd w:id="30"/>
    </w:p>
    <w:p w14:paraId="634A4AB4">
      <w:pPr>
        <w:adjustRightInd w:val="0"/>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6</w:t>
      </w:r>
      <w:r>
        <w:rPr>
          <w:rFonts w:hint="eastAsia" w:ascii="宋体" w:hAnsi="宋体" w:cs="宋体"/>
          <w:b/>
          <w:bCs/>
          <w:color w:val="000000" w:themeColor="text1"/>
          <w:sz w:val="24"/>
          <w:szCs w:val="24"/>
          <w14:textFill>
            <w14:solidFill>
              <w14:schemeClr w14:val="tx1"/>
            </w14:solidFill>
          </w14:textFill>
        </w:rPr>
        <w:t>、磋商文件的组成</w:t>
      </w:r>
    </w:p>
    <w:p w14:paraId="3420D6F3">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6.1</w:t>
      </w:r>
      <w:r>
        <w:rPr>
          <w:rFonts w:hint="eastAsia" w:ascii="宋体" w:hAnsi="宋体" w:cs="宋体"/>
          <w:color w:val="000000" w:themeColor="text1"/>
          <w:sz w:val="24"/>
          <w:szCs w:val="24"/>
          <w14:textFill>
            <w14:solidFill>
              <w14:schemeClr w14:val="tx1"/>
            </w14:solidFill>
          </w14:textFill>
        </w:rPr>
        <w:t>本磋商文件包括目录所示内容及所有按本须知发出的补充资料（如果有）。</w:t>
      </w:r>
    </w:p>
    <w:p w14:paraId="6AE2EFE8">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6.2</w:t>
      </w:r>
      <w:r>
        <w:rPr>
          <w:rFonts w:hint="eastAsia" w:ascii="宋体" w:hAnsi="宋体" w:cs="宋体"/>
          <w:color w:val="000000" w:themeColor="text1"/>
          <w:sz w:val="24"/>
          <w:szCs w:val="24"/>
          <w14:textFill>
            <w14:solidFill>
              <w14:schemeClr w14:val="tx1"/>
            </w14:solidFill>
          </w14:textFill>
        </w:rPr>
        <w:t>除上述所列内容外，采购人及采购代理机构的任何工作人员对磋商供应商所作的任何口头解释、介绍、答复，只能供磋商供应商参考，对采购人和磋商供应商无任何约束力。</w:t>
      </w:r>
    </w:p>
    <w:p w14:paraId="1F1A8A00">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6.3</w:t>
      </w:r>
      <w:r>
        <w:rPr>
          <w:rFonts w:hint="eastAsia" w:ascii="宋体" w:hAnsi="宋体" w:cs="宋体"/>
          <w:color w:val="000000" w:themeColor="text1"/>
          <w:sz w:val="24"/>
          <w:szCs w:val="24"/>
          <w14:textFill>
            <w14:solidFill>
              <w14:schemeClr w14:val="tx1"/>
            </w14:solidFill>
          </w14:textFill>
        </w:rPr>
        <w:t>磋商供应商应仔细阅读磋商文件的所有内容，按照文件要求提交响应文件，并保证所提交的全部资料的真实性。不按磋商文件的要求提供的响应文件和资料，可能导致磋商被拒绝。</w:t>
      </w:r>
    </w:p>
    <w:p w14:paraId="582CD912">
      <w:pPr>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6.4</w:t>
      </w:r>
      <w:r>
        <w:rPr>
          <w:rFonts w:hint="eastAsia" w:ascii="宋体" w:hAnsi="宋体" w:cs="宋体"/>
          <w:color w:val="000000" w:themeColor="text1"/>
          <w:sz w:val="24"/>
          <w:szCs w:val="24"/>
          <w14:textFill>
            <w14:solidFill>
              <w14:schemeClr w14:val="tx1"/>
            </w14:solidFill>
          </w14:textFill>
        </w:rPr>
        <w:t>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14:paraId="4B9074C9">
      <w:pPr>
        <w:adjustRightInd w:val="0"/>
        <w:spacing w:line="336" w:lineRule="auto"/>
        <w:ind w:firstLine="472" w:firstLineChars="196"/>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7</w:t>
      </w:r>
      <w:r>
        <w:rPr>
          <w:rFonts w:hint="eastAsia" w:ascii="宋体" w:hAnsi="宋体" w:cs="宋体"/>
          <w:b/>
          <w:bCs/>
          <w:color w:val="000000" w:themeColor="text1"/>
          <w:sz w:val="24"/>
          <w:szCs w:val="24"/>
          <w14:textFill>
            <w14:solidFill>
              <w14:schemeClr w14:val="tx1"/>
            </w14:solidFill>
          </w14:textFill>
        </w:rPr>
        <w:t>、磋商文件的澄清与修改</w:t>
      </w:r>
    </w:p>
    <w:p w14:paraId="7FDD1669">
      <w:pPr>
        <w:pStyle w:val="11"/>
        <w:spacing w:line="336" w:lineRule="auto"/>
        <w:ind w:firstLine="480" w:firstLineChars="200"/>
        <w:rPr>
          <w:rFonts w:hint="eastAsia" w:cs="Times New Roman"/>
          <w:color w:val="000000" w:themeColor="text1"/>
          <w14:textFill>
            <w14:solidFill>
              <w14:schemeClr w14:val="tx1"/>
            </w14:solidFill>
          </w14:textFill>
        </w:rPr>
      </w:pPr>
      <w:r>
        <w:rPr>
          <w:color w:val="000000" w:themeColor="text1"/>
          <w14:textFill>
            <w14:solidFill>
              <w14:schemeClr w14:val="tx1"/>
            </w14:solidFill>
          </w14:textFill>
        </w:rPr>
        <w:t>7.1</w:t>
      </w:r>
      <w:r>
        <w:rPr>
          <w:rFonts w:hint="eastAsia"/>
          <w:color w:val="000000" w:themeColor="text1"/>
          <w14:textFill>
            <w14:solidFill>
              <w14:schemeClr w14:val="tx1"/>
            </w14:solidFill>
          </w14:textFill>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14:paraId="5FB1C0B7">
      <w:pPr>
        <w:pStyle w:val="11"/>
        <w:spacing w:line="336" w:lineRule="auto"/>
        <w:ind w:right="-240" w:rightChars="-120" w:firstLine="480" w:firstLineChars="200"/>
        <w:rPr>
          <w:rFonts w:hint="eastAsia" w:cs="Times New Roman"/>
          <w:color w:val="000000" w:themeColor="text1"/>
          <w14:textFill>
            <w14:solidFill>
              <w14:schemeClr w14:val="tx1"/>
            </w14:solidFill>
          </w14:textFill>
        </w:rPr>
      </w:pPr>
      <w:r>
        <w:rPr>
          <w:color w:val="000000" w:themeColor="text1"/>
          <w14:textFill>
            <w14:solidFill>
              <w14:schemeClr w14:val="tx1"/>
            </w14:solidFill>
          </w14:textFill>
        </w:rPr>
        <w:t>7.2</w:t>
      </w:r>
      <w:r>
        <w:rPr>
          <w:rFonts w:hint="eastAsia"/>
          <w:color w:val="000000" w:themeColor="text1"/>
          <w14:textFill>
            <w14:solidFill>
              <w14:schemeClr w14:val="tx1"/>
            </w14:solidFill>
          </w14:textFill>
        </w:rPr>
        <w:t>磋商供应商要求解释或澄清的问题应以书面形式，并加盖公章、写明日期。</w:t>
      </w:r>
    </w:p>
    <w:p w14:paraId="413B0F03">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7.3</w:t>
      </w:r>
      <w:r>
        <w:rPr>
          <w:rFonts w:hint="eastAsia" w:ascii="宋体" w:hAnsi="宋体" w:cs="宋体"/>
          <w:color w:val="000000" w:themeColor="text1"/>
          <w:sz w:val="24"/>
          <w:szCs w:val="24"/>
          <w14:textFill>
            <w14:solidFill>
              <w14:schemeClr w14:val="tx1"/>
            </w14:solidFill>
          </w14:textFill>
        </w:rPr>
        <w:t>提交响应文件截止之日前，采购人、采购代理机构或者磋商小组可以对已发出的磋商文件进行必要的澄清或者修改，澄清或者修改的内容作为磋商文件的组成部分。</w:t>
      </w:r>
    </w:p>
    <w:p w14:paraId="11BBBA76">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7.4</w:t>
      </w:r>
      <w:r>
        <w:rPr>
          <w:rFonts w:hint="eastAsia" w:ascii="宋体" w:hAnsi="宋体" w:cs="宋体"/>
          <w:color w:val="000000" w:themeColor="text1"/>
          <w:sz w:val="24"/>
          <w:szCs w:val="24"/>
          <w14:textFill>
            <w14:solidFill>
              <w14:schemeClr w14:val="tx1"/>
            </w14:solidFill>
          </w14:textFill>
        </w:rPr>
        <w:t>竞争性磋商文件的澄清修改文件及更正补充公告，请自行登录浙江政府采购网或绍兴市上虞区公共资源交易中心网站，在采购公告页面中下载。</w:t>
      </w:r>
    </w:p>
    <w:p w14:paraId="69ED0892">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7.5</w:t>
      </w:r>
      <w:r>
        <w:rPr>
          <w:rFonts w:hint="eastAsia" w:ascii="宋体" w:hAnsi="宋体" w:cs="宋体"/>
          <w:color w:val="000000" w:themeColor="text1"/>
          <w:sz w:val="24"/>
          <w:szCs w:val="24"/>
          <w14:textFill>
            <w14:solidFill>
              <w14:schemeClr w14:val="tx1"/>
            </w14:solidFill>
          </w14:textFill>
        </w:rPr>
        <w:t>澄清或者修改的内容可能影响响应文件编制的，采购人、采购代理机构将在提交响应文件截止时间至少</w:t>
      </w: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日前，以公告形式通知所有获取磋商文件的供应商；不足</w:t>
      </w: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日的，采购人、采购代理机构可能会顺延提交首次响应文件截止时间。澄清或者修改的内容未对原磋商文件作出重大修改或不会影响响应文件编制的，递交首次响应文件截止时间不变。</w:t>
      </w:r>
    </w:p>
    <w:p w14:paraId="456EC2B9">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7.6</w:t>
      </w:r>
      <w:r>
        <w:rPr>
          <w:rFonts w:hint="eastAsia" w:ascii="宋体" w:hAnsi="宋体" w:cs="宋体"/>
          <w:color w:val="000000" w:themeColor="text1"/>
          <w:sz w:val="24"/>
          <w:szCs w:val="24"/>
          <w14:textFill>
            <w14:solidFill>
              <w14:schemeClr w14:val="tx1"/>
            </w14:solidFill>
          </w14:textFill>
        </w:rPr>
        <w:t>竞争性磋商文件澄清、答复、修改、补充的内容为竞争性磋商文件的组成部分。</w:t>
      </w:r>
    </w:p>
    <w:p w14:paraId="45310C72">
      <w:pPr>
        <w:pStyle w:val="4"/>
        <w:spacing w:line="336" w:lineRule="auto"/>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7.7</w:t>
      </w:r>
      <w:r>
        <w:rPr>
          <w:rFonts w:hint="eastAsia" w:ascii="宋体" w:hAnsi="宋体" w:cs="宋体"/>
          <w:color w:val="000000" w:themeColor="text1"/>
          <w:sz w:val="24"/>
          <w:szCs w:val="24"/>
          <w14:textFill>
            <w14:solidFill>
              <w14:schemeClr w14:val="tx1"/>
            </w14:solidFill>
          </w14:textFill>
        </w:rPr>
        <w:t>磋商文件发售截止日后，经采购人同意后购买磋商文件的磋商供应商不得对磋商文件和补充文件提出答疑或质疑。</w:t>
      </w:r>
    </w:p>
    <w:p w14:paraId="05B75812">
      <w:pPr>
        <w:pStyle w:val="3"/>
        <w:numPr>
          <w:ilvl w:val="0"/>
          <w:numId w:val="7"/>
        </w:numPr>
        <w:jc w:val="center"/>
        <w:rPr>
          <w:rFonts w:cs="Times New Roman"/>
          <w:color w:val="000000" w:themeColor="text1"/>
          <w14:textFill>
            <w14:solidFill>
              <w14:schemeClr w14:val="tx1"/>
            </w14:solidFill>
          </w14:textFill>
        </w:rPr>
      </w:pPr>
      <w:bookmarkStart w:id="31" w:name="_Toc11093"/>
      <w:bookmarkStart w:id="32" w:name="_Toc11669"/>
      <w:bookmarkStart w:id="33" w:name="_Toc6079"/>
      <w:bookmarkStart w:id="34" w:name="_Toc1729"/>
      <w:bookmarkStart w:id="35" w:name="_Toc1202"/>
      <w:bookmarkStart w:id="36" w:name="_Toc1828"/>
      <w:bookmarkStart w:id="37" w:name="_Toc6273"/>
      <w:bookmarkStart w:id="38" w:name="_Toc11692"/>
      <w:bookmarkStart w:id="39" w:name="_Toc23975"/>
      <w:bookmarkStart w:id="40" w:name="_Toc7126"/>
      <w:bookmarkStart w:id="41" w:name="_Toc14650"/>
      <w:bookmarkStart w:id="42" w:name="_Toc23135"/>
      <w:bookmarkStart w:id="43" w:name="_Toc31748"/>
      <w:bookmarkStart w:id="44" w:name="_Toc10669"/>
      <w:bookmarkStart w:id="45" w:name="_Toc26027"/>
      <w:bookmarkStart w:id="46" w:name="_Toc8860"/>
      <w:bookmarkStart w:id="47" w:name="_Toc26603"/>
      <w:bookmarkStart w:id="48" w:name="_Toc6457"/>
      <w:bookmarkStart w:id="49" w:name="_Toc24622"/>
      <w:bookmarkStart w:id="50" w:name="_Toc18702"/>
      <w:bookmarkStart w:id="51" w:name="_Toc391298957"/>
      <w:bookmarkStart w:id="52" w:name="_Toc10810"/>
      <w:r>
        <w:rPr>
          <w:color w:val="000000" w:themeColor="text1"/>
          <w14:textFill>
            <w14:solidFill>
              <w14:schemeClr w14:val="tx1"/>
            </w14:solidFill>
          </w14:textFill>
        </w:rPr>
        <w:t xml:space="preserve"> </w:t>
      </w:r>
      <w:bookmarkStart w:id="53" w:name="_Toc11515"/>
      <w:r>
        <w:rPr>
          <w:color w:val="000000" w:themeColor="text1"/>
          <w14:textFill>
            <w14:solidFill>
              <w14:schemeClr w14:val="tx1"/>
            </w14:solidFill>
          </w14:textFill>
        </w:rPr>
        <w:tab/>
      </w:r>
      <w:bookmarkStart w:id="54" w:name="_Toc4525"/>
      <w:r>
        <w:rPr>
          <w:rFonts w:hint="eastAsia"/>
          <w:color w:val="000000" w:themeColor="text1"/>
          <w14:textFill>
            <w14:solidFill>
              <w14:schemeClr w14:val="tx1"/>
            </w14:solidFill>
          </w14:textFill>
        </w:rPr>
        <w:t>竞争性磋商响应文件的编写</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14:paraId="65BA582B">
      <w:pPr>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8</w:t>
      </w:r>
      <w:r>
        <w:rPr>
          <w:rFonts w:hint="eastAsia" w:ascii="宋体" w:hAnsi="宋体" w:cs="宋体"/>
          <w:color w:val="000000" w:themeColor="text1"/>
          <w:sz w:val="24"/>
          <w:szCs w:val="24"/>
          <w14:textFill>
            <w14:solidFill>
              <w14:schemeClr w14:val="tx1"/>
            </w14:solidFill>
          </w14:textFill>
        </w:rPr>
        <w:t>、要求</w:t>
      </w:r>
    </w:p>
    <w:p w14:paraId="38D55B37">
      <w:pPr>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8.1</w:t>
      </w:r>
      <w:r>
        <w:rPr>
          <w:rFonts w:hint="eastAsia" w:ascii="宋体" w:hAnsi="宋体" w:cs="宋体"/>
          <w:color w:val="000000" w:themeColor="text1"/>
          <w:sz w:val="24"/>
          <w:szCs w:val="24"/>
          <w14:textFill>
            <w14:solidFill>
              <w14:schemeClr w14:val="tx1"/>
            </w14:solidFill>
          </w14:textFill>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14:paraId="6C190E8A">
      <w:pPr>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8.2</w:t>
      </w:r>
      <w:r>
        <w:rPr>
          <w:rFonts w:hint="eastAsia" w:ascii="宋体" w:hAnsi="宋体" w:cs="宋体"/>
          <w:color w:val="000000" w:themeColor="text1"/>
          <w:sz w:val="24"/>
          <w:szCs w:val="24"/>
          <w14:textFill>
            <w14:solidFill>
              <w14:schemeClr w14:val="tx1"/>
            </w14:solidFill>
          </w14:textFill>
        </w:rPr>
        <w:t>报价</w:t>
      </w:r>
    </w:p>
    <w:p w14:paraId="184FC1DE">
      <w:pPr>
        <w:spacing w:line="336" w:lineRule="auto"/>
        <w:ind w:firstLine="480" w:firstLineChars="200"/>
        <w:rPr>
          <w:rFonts w:ascii="宋体"/>
          <w:b/>
          <w:bCs/>
          <w:color w:val="000000" w:themeColor="text1"/>
          <w:sz w:val="24"/>
          <w:szCs w:val="24"/>
          <w:shd w:val="clear" w:color="FFFFFF" w:fill="D9D9D9"/>
          <w14:textFill>
            <w14:solidFill>
              <w14:schemeClr w14:val="tx1"/>
            </w14:solidFill>
          </w14:textFill>
        </w:rPr>
      </w:pPr>
      <w:r>
        <w:rPr>
          <w:rFonts w:ascii="宋体" w:hAnsi="宋体" w:cs="宋体"/>
          <w:color w:val="000000" w:themeColor="text1"/>
          <w:sz w:val="24"/>
          <w:szCs w:val="24"/>
          <w14:textFill>
            <w14:solidFill>
              <w14:schemeClr w14:val="tx1"/>
            </w14:solidFill>
          </w14:textFill>
        </w:rPr>
        <w:t>8.2.1</w:t>
      </w:r>
      <w:r>
        <w:rPr>
          <w:rFonts w:hint="eastAsia" w:ascii="宋体" w:hAnsi="宋体" w:cs="宋体"/>
          <w:color w:val="000000" w:themeColor="text1"/>
          <w:sz w:val="24"/>
          <w:szCs w:val="24"/>
          <w14:textFill>
            <w14:solidFill>
              <w14:schemeClr w14:val="tx1"/>
            </w14:solidFill>
          </w14:textFill>
        </w:rPr>
        <w:t>本次报价非一次性报价，报价币种为人民币。在磋商后根据磋商情况（包括细化采购方案和要求，增补部分采购内容等），供应商须二次报价（最终报价），</w:t>
      </w:r>
      <w:r>
        <w:rPr>
          <w:rFonts w:hint="eastAsia" w:ascii="宋体" w:hAnsi="宋体" w:cs="宋体"/>
          <w:b/>
          <w:bCs/>
          <w:color w:val="000000" w:themeColor="text1"/>
          <w:sz w:val="24"/>
          <w:szCs w:val="24"/>
          <w14:textFill>
            <w14:solidFill>
              <w14:schemeClr w14:val="tx1"/>
            </w14:solidFill>
          </w14:textFill>
        </w:rPr>
        <w:t>如果供应商在规定时间</w:t>
      </w:r>
      <w:r>
        <w:rPr>
          <w:rFonts w:ascii="宋体" w:hAnsi="宋体" w:cs="宋体"/>
          <w:b/>
          <w:bCs/>
          <w:color w:val="000000" w:themeColor="text1"/>
          <w:sz w:val="24"/>
          <w:szCs w:val="24"/>
          <w14:textFill>
            <w14:solidFill>
              <w14:schemeClr w14:val="tx1"/>
            </w14:solidFill>
          </w14:textFill>
        </w:rPr>
        <w:t>30</w:t>
      </w:r>
      <w:r>
        <w:rPr>
          <w:rFonts w:hint="eastAsia" w:ascii="宋体" w:hAnsi="宋体" w:cs="宋体"/>
          <w:b/>
          <w:bCs/>
          <w:color w:val="000000" w:themeColor="text1"/>
          <w:sz w:val="24"/>
          <w:szCs w:val="24"/>
          <w14:textFill>
            <w14:solidFill>
              <w14:schemeClr w14:val="tx1"/>
            </w14:solidFill>
          </w14:textFill>
        </w:rPr>
        <w:t>分钟内未提交第二次报价，视该供应商放弃本次投标，作无效标处理</w:t>
      </w:r>
      <w:r>
        <w:rPr>
          <w:rFonts w:hint="eastAsia" w:ascii="宋体" w:hAnsi="宋体" w:cs="宋体"/>
          <w:color w:val="000000" w:themeColor="text1"/>
          <w:sz w:val="24"/>
          <w:szCs w:val="24"/>
          <w14:textFill>
            <w14:solidFill>
              <w14:schemeClr w14:val="tx1"/>
            </w14:solidFill>
          </w14:textFill>
        </w:rPr>
        <w:t>。</w:t>
      </w:r>
    </w:p>
    <w:p w14:paraId="46CD0D55">
      <w:pPr>
        <w:pStyle w:val="52"/>
        <w:tabs>
          <w:tab w:val="left" w:pos="0"/>
        </w:tabs>
        <w:spacing w:before="0" w:line="336" w:lineRule="auto"/>
        <w:ind w:firstLine="480"/>
        <w:rPr>
          <w:rFonts w:hint="eastAsia" w:ascii="宋体" w:hAnsi="宋体" w:cs="宋体"/>
          <w:color w:val="000000" w:themeColor="text1"/>
          <w:u w:val="single"/>
          <w14:textFill>
            <w14:solidFill>
              <w14:schemeClr w14:val="tx1"/>
            </w14:solidFill>
          </w14:textFill>
        </w:rPr>
      </w:pPr>
      <w:r>
        <w:rPr>
          <w:rFonts w:ascii="宋体" w:hAnsi="宋体" w:cs="宋体"/>
          <w:color w:val="000000" w:themeColor="text1"/>
          <w14:textFill>
            <w14:solidFill>
              <w14:schemeClr w14:val="tx1"/>
            </w14:solidFill>
          </w14:textFill>
        </w:rPr>
        <w:t>8.2.2</w:t>
      </w:r>
      <w:r>
        <w:rPr>
          <w:rFonts w:hint="eastAsia" w:ascii="宋体" w:hAnsi="宋体" w:cs="宋体"/>
          <w:color w:val="000000" w:themeColor="text1"/>
          <w14:textFill>
            <w14:solidFill>
              <w14:schemeClr w14:val="tx1"/>
            </w14:solidFill>
          </w14:textFill>
        </w:rPr>
        <w:t>投标报价包含项目所需全部服务，不得缺漏，是履行合同的最终价格，包括人工成本费、保险、调研费、检测分析费、设施设备、工具、编制费、刊登费、差旅费、管理费、利润、税费、招标代理费等项目所需一切费用。凡投标人在报价中未列明但又为本次采购所必备的项目或遗漏项目，采购方将一律视为已包括在合同价中，在合同执行中将不予考虑。投标报价为供应商所能承受的最低、最终报价，供应商不得再要求追加任何费用。</w:t>
      </w:r>
    </w:p>
    <w:p w14:paraId="43854BBF">
      <w:pPr>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投标报价固定是指供应商所填写的投标报价在合同实施期间不因市场因素而变动，供应商在计算报价时可考虑一定的风险系数（由供应商自行考虑）。</w:t>
      </w:r>
    </w:p>
    <w:p w14:paraId="6BB7BE5E">
      <w:pPr>
        <w:spacing w:line="336" w:lineRule="auto"/>
        <w:ind w:firstLine="480" w:firstLineChars="200"/>
        <w:rPr>
          <w:rFonts w:ascii="宋体"/>
          <w:color w:val="000000" w:themeColor="text1"/>
          <w14:textFill>
            <w14:solidFill>
              <w14:schemeClr w14:val="tx1"/>
            </w14:solidFill>
          </w14:textFill>
        </w:rPr>
      </w:pPr>
      <w:r>
        <w:rPr>
          <w:rFonts w:ascii="宋体" w:hAnsi="宋体" w:cs="宋体"/>
          <w:color w:val="000000" w:themeColor="text1"/>
          <w:sz w:val="24"/>
          <w:szCs w:val="24"/>
          <w14:textFill>
            <w14:solidFill>
              <w14:schemeClr w14:val="tx1"/>
            </w14:solidFill>
          </w14:textFill>
        </w:rPr>
        <w:t>8.2.3</w:t>
      </w:r>
      <w:r>
        <w:rPr>
          <w:rFonts w:hint="eastAsia" w:ascii="宋体" w:hAnsi="宋体" w:cs="宋体"/>
          <w:color w:val="000000" w:themeColor="text1"/>
          <w:sz w:val="24"/>
          <w:szCs w:val="24"/>
          <w14:textFill>
            <w14:solidFill>
              <w14:schemeClr w14:val="tx1"/>
            </w14:solidFill>
          </w14:textFill>
        </w:rPr>
        <w:t>供应商的报价作为供应商计算单价或总价的依据，应是完成技术文件中的所有要求，不得以任何理由予以重复，供应商对报价若有说明应在报价一览表备注处注明。任何有选择的报价方案及价格将不予接受。</w:t>
      </w:r>
    </w:p>
    <w:p w14:paraId="030F1024">
      <w:pPr>
        <w:pStyle w:val="13"/>
        <w:spacing w:line="336" w:lineRule="auto"/>
        <w:ind w:firstLine="482" w:firstLineChars="200"/>
        <w:rPr>
          <w:rFonts w:hint="eastAsia" w:hAnsi="宋体" w:cs="Times New Roman"/>
          <w:b/>
          <w:bCs/>
          <w:color w:val="000000" w:themeColor="text1"/>
          <w:sz w:val="24"/>
          <w:szCs w:val="24"/>
          <w:u w:val="single"/>
          <w14:textFill>
            <w14:solidFill>
              <w14:schemeClr w14:val="tx1"/>
            </w14:solidFill>
          </w14:textFill>
        </w:rPr>
      </w:pPr>
      <w:r>
        <w:rPr>
          <w:rFonts w:hAnsi="宋体"/>
          <w:b/>
          <w:bCs/>
          <w:color w:val="000000" w:themeColor="text1"/>
          <w:sz w:val="24"/>
          <w:szCs w:val="24"/>
          <w14:textFill>
            <w14:solidFill>
              <w14:schemeClr w14:val="tx1"/>
            </w14:solidFill>
          </w14:textFill>
        </w:rPr>
        <w:t>9</w:t>
      </w:r>
      <w:r>
        <w:rPr>
          <w:rFonts w:hint="eastAsia" w:hAnsi="宋体"/>
          <w:b/>
          <w:bCs/>
          <w:color w:val="000000" w:themeColor="text1"/>
          <w:sz w:val="24"/>
          <w:szCs w:val="24"/>
          <w14:textFill>
            <w14:solidFill>
              <w14:schemeClr w14:val="tx1"/>
            </w14:solidFill>
          </w14:textFill>
        </w:rPr>
        <w:t>、响应文件的组成</w:t>
      </w:r>
      <w:r>
        <w:rPr>
          <w:rFonts w:hint="eastAsia" w:hAnsi="宋体"/>
          <w:b/>
          <w:bCs/>
          <w:color w:val="000000" w:themeColor="text1"/>
          <w:sz w:val="24"/>
          <w:szCs w:val="24"/>
          <w:u w:val="single"/>
          <w14:textFill>
            <w14:solidFill>
              <w14:schemeClr w14:val="tx1"/>
            </w14:solidFill>
          </w14:textFill>
        </w:rPr>
        <w:t>（供应商应根据采购文件的要求提供相应的内容且设置关联定位，供应商可查看《供应商</w:t>
      </w:r>
      <w:r>
        <w:rPr>
          <w:rFonts w:hAnsi="宋体"/>
          <w:b/>
          <w:bCs/>
          <w:color w:val="000000" w:themeColor="text1"/>
          <w:sz w:val="24"/>
          <w:szCs w:val="24"/>
          <w:u w:val="single"/>
          <w14:textFill>
            <w14:solidFill>
              <w14:schemeClr w14:val="tx1"/>
            </w14:solidFill>
          </w14:textFill>
        </w:rPr>
        <w:t>-</w:t>
      </w:r>
      <w:r>
        <w:rPr>
          <w:rFonts w:hint="eastAsia" w:hAnsi="宋体"/>
          <w:b/>
          <w:bCs/>
          <w:color w:val="000000" w:themeColor="text1"/>
          <w:sz w:val="24"/>
          <w:szCs w:val="24"/>
          <w:u w:val="single"/>
          <w14:textFill>
            <w14:solidFill>
              <w14:schemeClr w14:val="tx1"/>
            </w14:solidFill>
          </w14:textFill>
        </w:rPr>
        <w:t>政府采购项目电子交易操作指南》进行操作：</w:t>
      </w:r>
      <w:r>
        <w:rPr>
          <w:rFonts w:hAnsi="宋体"/>
          <w:b/>
          <w:bCs/>
          <w:color w:val="000000" w:themeColor="text1"/>
          <w:sz w:val="24"/>
          <w:szCs w:val="24"/>
          <w:u w:val="single"/>
          <w14:textFill>
            <w14:solidFill>
              <w14:schemeClr w14:val="tx1"/>
            </w14:solidFill>
          </w14:textFill>
        </w:rPr>
        <w:t>https://help.zcygov.cn/web/site_2/2018/12-28/2573.html</w:t>
      </w:r>
      <w:r>
        <w:rPr>
          <w:rFonts w:hint="eastAsia" w:hAnsi="宋体"/>
          <w:b/>
          <w:bCs/>
          <w:color w:val="000000" w:themeColor="text1"/>
          <w:sz w:val="24"/>
          <w:szCs w:val="24"/>
          <w:u w:val="single"/>
          <w14:textFill>
            <w14:solidFill>
              <w14:schemeClr w14:val="tx1"/>
            </w14:solidFill>
          </w14:textFill>
        </w:rPr>
        <w:t>）</w:t>
      </w:r>
    </w:p>
    <w:p w14:paraId="73EAEF72">
      <w:pPr>
        <w:pStyle w:val="52"/>
        <w:tabs>
          <w:tab w:val="left" w:pos="0"/>
        </w:tabs>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响应文件应当包括以下主要内容：资格文件、商务技术文件、报价文件。</w:t>
      </w:r>
    </w:p>
    <w:p w14:paraId="16F0D55D">
      <w:pPr>
        <w:pStyle w:val="52"/>
        <w:numPr>
          <w:ilvl w:val="0"/>
          <w:numId w:val="8"/>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资格文件包括以下内容：</w:t>
      </w:r>
    </w:p>
    <w:p w14:paraId="30361F63">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法定代表人授权书（格式见附件）；如法定代表人直接参加投标并对相应文件签字的（签字是指线下签字扫描后上传或者线上进行电子签章），只需提供其身份证复印件，否则则应提供授权代表身份证复印件；</w:t>
      </w:r>
    </w:p>
    <w:p w14:paraId="275EE133">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营业执照</w:t>
      </w:r>
      <w:r>
        <w:rPr>
          <w:rFonts w:ascii="宋体" w:hAnsi="宋体" w:cs="宋体"/>
          <w:color w:val="000000" w:themeColor="text1"/>
          <w14:textFill>
            <w14:solidFill>
              <w14:schemeClr w14:val="tx1"/>
            </w14:solidFill>
          </w14:textFill>
        </w:rPr>
        <w:t>(</w:t>
      </w:r>
      <w:r>
        <w:rPr>
          <w:rFonts w:hint="eastAsia" w:ascii="宋体" w:hAnsi="宋体" w:cs="宋体"/>
          <w:color w:val="000000" w:themeColor="text1"/>
          <w14:textFill>
            <w14:solidFill>
              <w14:schemeClr w14:val="tx1"/>
            </w14:solidFill>
          </w14:textFill>
        </w:rPr>
        <w:t>或事业法人登记证或其他工商等登记证明材料</w:t>
      </w:r>
      <w:r>
        <w:rPr>
          <w:rFonts w:ascii="宋体" w:hAnsi="宋体" w:cs="宋体"/>
          <w:color w:val="000000" w:themeColor="text1"/>
          <w14:textFill>
            <w14:solidFill>
              <w14:schemeClr w14:val="tx1"/>
            </w14:solidFill>
          </w14:textFill>
        </w:rPr>
        <w:t>)</w:t>
      </w:r>
      <w:r>
        <w:rPr>
          <w:rFonts w:hint="eastAsia" w:ascii="宋体" w:hAnsi="宋体" w:cs="宋体"/>
          <w:color w:val="000000" w:themeColor="text1"/>
          <w14:textFill>
            <w14:solidFill>
              <w14:schemeClr w14:val="tx1"/>
            </w14:solidFill>
          </w14:textFill>
        </w:rPr>
        <w:t>复印件、税务登记证</w:t>
      </w:r>
      <w:r>
        <w:rPr>
          <w:rFonts w:ascii="宋体" w:hAnsi="宋体" w:cs="宋体"/>
          <w:color w:val="000000" w:themeColor="text1"/>
          <w14:textFill>
            <w14:solidFill>
              <w14:schemeClr w14:val="tx1"/>
            </w14:solidFill>
          </w14:textFill>
        </w:rPr>
        <w:t>(</w:t>
      </w:r>
      <w:r>
        <w:rPr>
          <w:rFonts w:hint="eastAsia" w:ascii="宋体" w:hAnsi="宋体" w:cs="宋体"/>
          <w:color w:val="000000" w:themeColor="text1"/>
          <w14:textFill>
            <w14:solidFill>
              <w14:schemeClr w14:val="tx1"/>
            </w14:solidFill>
          </w14:textFill>
        </w:rPr>
        <w:t>或其它缴纳证明材料</w:t>
      </w:r>
      <w:r>
        <w:rPr>
          <w:rFonts w:ascii="宋体" w:hAnsi="宋体" w:cs="宋体"/>
          <w:color w:val="000000" w:themeColor="text1"/>
          <w14:textFill>
            <w14:solidFill>
              <w14:schemeClr w14:val="tx1"/>
            </w14:solidFill>
          </w14:textFill>
        </w:rPr>
        <w:t>)</w:t>
      </w:r>
      <w:r>
        <w:rPr>
          <w:rFonts w:hint="eastAsia" w:ascii="宋体" w:hAnsi="宋体" w:cs="宋体"/>
          <w:color w:val="000000" w:themeColor="text1"/>
          <w14:textFill>
            <w14:solidFill>
              <w14:schemeClr w14:val="tx1"/>
            </w14:solidFill>
          </w14:textFill>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7DF218E5">
      <w:pPr>
        <w:pStyle w:val="52"/>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4BB2124F">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具有履行合同所必需的产品和专业技术能力的承诺函；</w:t>
      </w:r>
    </w:p>
    <w:p w14:paraId="09754A21">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投标人承诺函（格式见附件）；</w:t>
      </w:r>
    </w:p>
    <w:p w14:paraId="73A976E7">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中小企业声明函（格式见附件）； </w:t>
      </w:r>
    </w:p>
    <w:p w14:paraId="47436E7C">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残疾人福利性单位声明函(如有)（格式见附件）；</w:t>
      </w:r>
    </w:p>
    <w:p w14:paraId="00F25A8D">
      <w:pPr>
        <w:pStyle w:val="52"/>
        <w:numPr>
          <w:ilvl w:val="0"/>
          <w:numId w:val="9"/>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监狱企业证明文件(如有)（格式见附件）。</w:t>
      </w:r>
    </w:p>
    <w:p w14:paraId="6C887BFB">
      <w:pPr>
        <w:pStyle w:val="52"/>
        <w:numPr>
          <w:ilvl w:val="0"/>
          <w:numId w:val="8"/>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商务技术文件，本次磋商需要供应商提供以下项所列的技术文件：</w:t>
      </w:r>
    </w:p>
    <w:p w14:paraId="4B094532">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评分对应表（格式见附件，主要用于评委对应评分内容）；</w:t>
      </w:r>
    </w:p>
    <w:p w14:paraId="3DB05BAB">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供应商商务技术文件中资信分自评表（格式见附件）；</w:t>
      </w:r>
    </w:p>
    <w:p w14:paraId="31B9740E">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项目明细清单（格式见附件）；</w:t>
      </w:r>
    </w:p>
    <w:p w14:paraId="32A61B1F">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技术响应及建议表（格式见附件）；</w:t>
      </w:r>
    </w:p>
    <w:p w14:paraId="296B4C87">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商务响应表（格式见附件）；</w:t>
      </w:r>
    </w:p>
    <w:p w14:paraId="4D708A49">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eastAsia="宋体" w:cs="宋体"/>
          <w:color w:val="000000" w:themeColor="text1"/>
          <w:szCs w:val="24"/>
          <w:lang w:eastAsia="zh-CN"/>
          <w14:textFill>
            <w14:solidFill>
              <w14:schemeClr w14:val="tx1"/>
            </w14:solidFill>
          </w14:textFill>
        </w:rPr>
        <w:t>项目组人员清单（格式见附件）</w:t>
      </w:r>
      <w:r>
        <w:rPr>
          <w:rFonts w:hint="eastAsia" w:ascii="宋体" w:hAnsi="宋体" w:cs="宋体"/>
          <w:color w:val="000000" w:themeColor="text1"/>
          <w14:textFill>
            <w14:solidFill>
              <w14:schemeClr w14:val="tx1"/>
            </w14:solidFill>
          </w14:textFill>
        </w:rPr>
        <w:t>；</w:t>
      </w:r>
    </w:p>
    <w:p w14:paraId="1463AFD6">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项目理解；</w:t>
      </w:r>
    </w:p>
    <w:p w14:paraId="4F5D6195">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运维方案；</w:t>
      </w:r>
    </w:p>
    <w:p w14:paraId="4C757DD9">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巡检方案；</w:t>
      </w:r>
    </w:p>
    <w:p w14:paraId="5269DD2D">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标校方案；</w:t>
      </w:r>
    </w:p>
    <w:p w14:paraId="4256DE0A">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故障处理方案；</w:t>
      </w:r>
    </w:p>
    <w:p w14:paraId="1991058B">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应急预案；</w:t>
      </w:r>
    </w:p>
    <w:p w14:paraId="4F981C73">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lang w:eastAsia="zh-CN"/>
          <w14:textFill>
            <w14:solidFill>
              <w14:schemeClr w14:val="tx1"/>
            </w14:solidFill>
          </w14:textFill>
        </w:rPr>
        <w:t>合理化建议；</w:t>
      </w:r>
    </w:p>
    <w:p w14:paraId="6B8E6C27">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服务承诺；</w:t>
      </w:r>
    </w:p>
    <w:p w14:paraId="51D7F905">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拟投入设备、系统保障及车辆；</w:t>
      </w:r>
    </w:p>
    <w:p w14:paraId="65792189">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人员证书；</w:t>
      </w:r>
    </w:p>
    <w:p w14:paraId="7308741C">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认证证书；</w:t>
      </w:r>
    </w:p>
    <w:p w14:paraId="265B533B">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类似业绩；</w:t>
      </w:r>
    </w:p>
    <w:p w14:paraId="1894B80E">
      <w:pPr>
        <w:pStyle w:val="52"/>
        <w:numPr>
          <w:ilvl w:val="0"/>
          <w:numId w:val="10"/>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供应商认为需要的其他文件资料。</w:t>
      </w:r>
      <w:r>
        <w:rPr>
          <w:rFonts w:ascii="宋体" w:hAnsi="宋体" w:cs="宋体"/>
          <w:color w:val="000000" w:themeColor="text1"/>
          <w14:textFill>
            <w14:solidFill>
              <w14:schemeClr w14:val="tx1"/>
            </w14:solidFill>
          </w14:textFill>
        </w:rPr>
        <w:t xml:space="preserve"> </w:t>
      </w:r>
    </w:p>
    <w:p w14:paraId="1C65BEB7">
      <w:pPr>
        <w:pStyle w:val="52"/>
        <w:tabs>
          <w:tab w:val="left" w:pos="0"/>
        </w:tabs>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注：以上内容应与评标办法中内容具有一致性。</w:t>
      </w:r>
    </w:p>
    <w:p w14:paraId="06522CDA">
      <w:pPr>
        <w:pStyle w:val="52"/>
        <w:tabs>
          <w:tab w:val="left" w:pos="0"/>
        </w:tabs>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14:paraId="198F6DC8">
      <w:pPr>
        <w:pStyle w:val="52"/>
        <w:tabs>
          <w:tab w:val="left" w:pos="0"/>
        </w:tabs>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Pr>
          <w:rFonts w:hint="eastAsia" w:ascii="宋体" w:hAnsi="宋体" w:cs="宋体"/>
          <w:b/>
          <w:bCs/>
          <w:color w:val="000000" w:themeColor="text1"/>
          <w14:textFill>
            <w14:solidFill>
              <w14:schemeClr w14:val="tx1"/>
            </w14:solidFill>
          </w14:textFill>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2E73492E">
      <w:pPr>
        <w:pStyle w:val="52"/>
        <w:numPr>
          <w:ilvl w:val="0"/>
          <w:numId w:val="8"/>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报价文件包括以下内容：</w:t>
      </w:r>
    </w:p>
    <w:p w14:paraId="17CB340B">
      <w:pPr>
        <w:pStyle w:val="52"/>
        <w:numPr>
          <w:ilvl w:val="0"/>
          <w:numId w:val="11"/>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磋商函（格式见附件）；</w:t>
      </w:r>
    </w:p>
    <w:p w14:paraId="699844AA">
      <w:pPr>
        <w:pStyle w:val="52"/>
        <w:numPr>
          <w:ilvl w:val="0"/>
          <w:numId w:val="11"/>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报价一览表（格式见附件）；</w:t>
      </w:r>
    </w:p>
    <w:p w14:paraId="118F1037">
      <w:pPr>
        <w:pStyle w:val="52"/>
        <w:numPr>
          <w:ilvl w:val="0"/>
          <w:numId w:val="11"/>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磋商报价明细表（格式见附件）。</w:t>
      </w:r>
    </w:p>
    <w:p w14:paraId="386DDB62">
      <w:pPr>
        <w:pStyle w:val="52"/>
        <w:spacing w:before="0" w:line="336" w:lineRule="auto"/>
        <w:ind w:firstLine="241" w:firstLineChars="100"/>
        <w:rPr>
          <w:rFonts w:ascii="宋体"/>
          <w:b/>
          <w:bCs/>
          <w:color w:val="000000" w:themeColor="text1"/>
          <w:u w:val="single"/>
          <w14:textFill>
            <w14:solidFill>
              <w14:schemeClr w14:val="tx1"/>
            </w14:solidFill>
          </w14:textFill>
        </w:rPr>
      </w:pPr>
      <w:r>
        <w:rPr>
          <w:rFonts w:hint="eastAsia" w:ascii="宋体" w:hAnsi="宋体" w:cs="宋体"/>
          <w:b/>
          <w:bCs/>
          <w:color w:val="000000" w:themeColor="text1"/>
          <w:u w:val="single"/>
          <w14:textFill>
            <w14:solidFill>
              <w14:schemeClr w14:val="tx1"/>
            </w14:solidFill>
          </w14:textFill>
        </w:rPr>
        <w:t>注：“资格文件”、“商务技术文件”、“报价文件”须分</w:t>
      </w:r>
      <w:r>
        <w:rPr>
          <w:rFonts w:ascii="宋体" w:hAnsi="宋体" w:cs="宋体"/>
          <w:b/>
          <w:bCs/>
          <w:color w:val="000000" w:themeColor="text1"/>
          <w:u w:val="single"/>
          <w14:textFill>
            <w14:solidFill>
              <w14:schemeClr w14:val="tx1"/>
            </w14:solidFill>
          </w14:textFill>
        </w:rPr>
        <w:t>3</w:t>
      </w:r>
      <w:r>
        <w:rPr>
          <w:rFonts w:hint="eastAsia" w:ascii="宋体" w:hAnsi="宋体" w:cs="宋体"/>
          <w:b/>
          <w:bCs/>
          <w:color w:val="000000" w:themeColor="text1"/>
          <w:u w:val="single"/>
          <w14:textFill>
            <w14:solidFill>
              <w14:schemeClr w14:val="tx1"/>
            </w14:solidFill>
          </w14:textFill>
        </w:rPr>
        <w:t>个</w:t>
      </w:r>
      <w:r>
        <w:rPr>
          <w:rFonts w:ascii="宋体" w:hAnsi="宋体" w:cs="宋体"/>
          <w:b/>
          <w:bCs/>
          <w:color w:val="000000" w:themeColor="text1"/>
          <w:u w:val="single"/>
          <w14:textFill>
            <w14:solidFill>
              <w14:schemeClr w14:val="tx1"/>
            </w14:solidFill>
          </w14:textFill>
        </w:rPr>
        <w:t>PDF</w:t>
      </w:r>
      <w:r>
        <w:rPr>
          <w:rFonts w:hint="eastAsia" w:ascii="宋体" w:hAnsi="宋体" w:cs="宋体"/>
          <w:b/>
          <w:bCs/>
          <w:color w:val="000000" w:themeColor="text1"/>
          <w:u w:val="single"/>
          <w14:textFill>
            <w14:solidFill>
              <w14:schemeClr w14:val="tx1"/>
            </w14:solidFill>
          </w14:textFill>
        </w:rPr>
        <w:t>格式分别导入。</w:t>
      </w:r>
    </w:p>
    <w:p w14:paraId="69860A6D">
      <w:pPr>
        <w:pStyle w:val="52"/>
        <w:spacing w:before="0" w:line="336" w:lineRule="auto"/>
        <w:ind w:left="400" w:leftChars="200" w:firstLine="0" w:firstLineChars="0"/>
        <w:rPr>
          <w:rFonts w:ascii="宋体"/>
          <w:b/>
          <w:bCs/>
          <w:color w:val="000000" w:themeColor="text1"/>
          <w14:textFill>
            <w14:solidFill>
              <w14:schemeClr w14:val="tx1"/>
            </w14:solidFill>
          </w14:textFill>
        </w:rPr>
      </w:pPr>
      <w:r>
        <w:rPr>
          <w:rFonts w:ascii="宋体" w:hAnsi="宋体" w:cs="宋体"/>
          <w:b/>
          <w:bCs/>
          <w:color w:val="000000" w:themeColor="text1"/>
          <w14:textFill>
            <w14:solidFill>
              <w14:schemeClr w14:val="tx1"/>
            </w14:solidFill>
          </w14:textFill>
        </w:rPr>
        <w:t>10</w:t>
      </w:r>
      <w:r>
        <w:rPr>
          <w:rFonts w:hint="eastAsia" w:ascii="宋体" w:hAnsi="宋体" w:cs="宋体"/>
          <w:b/>
          <w:bCs/>
          <w:color w:val="000000" w:themeColor="text1"/>
          <w14:textFill>
            <w14:solidFill>
              <w14:schemeClr w14:val="tx1"/>
            </w14:solidFill>
          </w14:textFill>
        </w:rPr>
        <w:t>．响应文件有效期</w:t>
      </w:r>
    </w:p>
    <w:p w14:paraId="564AF0E8">
      <w:pPr>
        <w:pStyle w:val="52"/>
        <w:widowControl/>
        <w:spacing w:before="0"/>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10.1 </w:t>
      </w:r>
      <w:r>
        <w:rPr>
          <w:rFonts w:hint="eastAsia" w:ascii="宋体" w:hAnsi="宋体" w:cs="宋体"/>
          <w:color w:val="000000" w:themeColor="text1"/>
          <w14:textFill>
            <w14:solidFill>
              <w14:schemeClr w14:val="tx1"/>
            </w14:solidFill>
          </w14:textFill>
        </w:rPr>
        <w:t>响应文件未在磋商响应截止时间前完成传输的或者未按时解密的，视为放弃磋商；响应文件解密失败后未提供备份文件或者备份文件也出现异常情况无法进行评审的，亦视为放弃磋商。</w:t>
      </w:r>
    </w:p>
    <w:p w14:paraId="1408D10C">
      <w:pPr>
        <w:pStyle w:val="52"/>
        <w:widowControl/>
        <w:spacing w:before="0"/>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10.2 </w:t>
      </w:r>
      <w:r>
        <w:rPr>
          <w:rFonts w:hint="eastAsia" w:ascii="宋体" w:hAnsi="宋体" w:cs="宋体"/>
          <w:color w:val="000000" w:themeColor="text1"/>
          <w14:textFill>
            <w14:solidFill>
              <w14:schemeClr w14:val="tx1"/>
            </w14:solidFill>
          </w14:textFill>
        </w:rPr>
        <w:t>响应文件上传后，自磋商响应截止日期起，在前附表所列的磋商响应文件有效期内有效。</w:t>
      </w:r>
    </w:p>
    <w:p w14:paraId="314867E4">
      <w:pPr>
        <w:pStyle w:val="52"/>
        <w:widowControl/>
        <w:spacing w:before="0"/>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10.3 </w:t>
      </w:r>
      <w:r>
        <w:rPr>
          <w:rFonts w:hint="eastAsia" w:ascii="宋体" w:hAnsi="宋体" w:cs="宋体"/>
          <w:color w:val="000000" w:themeColor="text1"/>
          <w14:textFill>
            <w14:solidFill>
              <w14:schemeClr w14:val="tx1"/>
            </w14:solidFill>
          </w14:textFill>
        </w:rPr>
        <w:t>在原定有效期满之前，如果出现特殊情况，采购代理机构可以以书面形式向磋商供应商提出延长磋商有效期的要求，磋商供应商对此须以书面形式予以答复。</w:t>
      </w:r>
    </w:p>
    <w:p w14:paraId="41C667F3">
      <w:pPr>
        <w:pStyle w:val="52"/>
        <w:spacing w:before="0" w:line="336" w:lineRule="auto"/>
        <w:ind w:left="400" w:leftChars="200" w:firstLine="0" w:firstLineChars="0"/>
        <w:rPr>
          <w:rFonts w:ascii="宋体"/>
          <w:b/>
          <w:bCs/>
          <w:color w:val="000000" w:themeColor="text1"/>
          <w14:textFill>
            <w14:solidFill>
              <w14:schemeClr w14:val="tx1"/>
            </w14:solidFill>
          </w14:textFill>
        </w:rPr>
      </w:pPr>
      <w:r>
        <w:rPr>
          <w:rFonts w:ascii="宋体" w:hAnsi="宋体" w:cs="宋体"/>
          <w:b/>
          <w:bCs/>
          <w:color w:val="000000" w:themeColor="text1"/>
          <w14:textFill>
            <w14:solidFill>
              <w14:schemeClr w14:val="tx1"/>
            </w14:solidFill>
          </w14:textFill>
        </w:rPr>
        <w:t>11</w:t>
      </w:r>
      <w:r>
        <w:rPr>
          <w:rFonts w:hint="eastAsia" w:ascii="宋体" w:hAnsi="宋体" w:cs="宋体"/>
          <w:b/>
          <w:bCs/>
          <w:color w:val="000000" w:themeColor="text1"/>
          <w14:textFill>
            <w14:solidFill>
              <w14:schemeClr w14:val="tx1"/>
            </w14:solidFill>
          </w14:textFill>
        </w:rPr>
        <w:t>．供应商如有下列情况之一者列入不良行为记录：</w:t>
      </w:r>
    </w:p>
    <w:p w14:paraId="738EB21C">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11.1 </w:t>
      </w:r>
      <w:r>
        <w:rPr>
          <w:rFonts w:hint="eastAsia" w:ascii="宋体" w:hAnsi="宋体" w:cs="宋体"/>
          <w:color w:val="000000" w:themeColor="text1"/>
          <w14:textFill>
            <w14:solidFill>
              <w14:schemeClr w14:val="tx1"/>
            </w14:solidFill>
          </w14:textFill>
        </w:rPr>
        <w:t>供应商在磋商响应文件有效期内撤回投标的；</w:t>
      </w:r>
    </w:p>
    <w:p w14:paraId="4453DE66">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11.2 </w:t>
      </w:r>
      <w:r>
        <w:rPr>
          <w:rFonts w:hint="eastAsia" w:ascii="宋体" w:hAnsi="宋体" w:cs="宋体"/>
          <w:color w:val="000000" w:themeColor="text1"/>
          <w14:textFill>
            <w14:solidFill>
              <w14:schemeClr w14:val="tx1"/>
            </w14:solidFill>
          </w14:textFill>
        </w:rPr>
        <w:t>供应商或中标候选人放弃中标或中标候选人资格的；</w:t>
      </w:r>
    </w:p>
    <w:p w14:paraId="6087BD34">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11.3 </w:t>
      </w:r>
      <w:r>
        <w:rPr>
          <w:rFonts w:hint="eastAsia" w:ascii="宋体" w:hAnsi="宋体" w:cs="宋体"/>
          <w:color w:val="000000" w:themeColor="text1"/>
          <w14:textFill>
            <w14:solidFill>
              <w14:schemeClr w14:val="tx1"/>
            </w14:solidFill>
          </w14:textFill>
        </w:rPr>
        <w:t>擅自修改或拒绝接受已经确认的条款；</w:t>
      </w:r>
    </w:p>
    <w:p w14:paraId="52725F0A">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11.4 </w:t>
      </w:r>
      <w:r>
        <w:rPr>
          <w:rFonts w:hint="eastAsia" w:ascii="宋体" w:hAnsi="宋体" w:cs="宋体"/>
          <w:color w:val="000000" w:themeColor="text1"/>
          <w14:textFill>
            <w14:solidFill>
              <w14:schemeClr w14:val="tx1"/>
            </w14:solidFill>
          </w14:textFill>
        </w:rPr>
        <w:t>成交供应商未按规定与采购人签订合同；</w:t>
      </w:r>
    </w:p>
    <w:p w14:paraId="08B4D2BC">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11.</w:t>
      </w:r>
      <w:r>
        <w:rPr>
          <w:rFonts w:hint="eastAsia" w:ascii="宋体" w:hAnsi="宋体" w:cs="宋体"/>
          <w:color w:val="000000" w:themeColor="text1"/>
          <w14:textFill>
            <w14:solidFill>
              <w14:schemeClr w14:val="tx1"/>
            </w14:solidFill>
          </w14:textFill>
        </w:rPr>
        <w:t>5</w:t>
      </w:r>
      <w:r>
        <w:rPr>
          <w:rFonts w:ascii="宋体" w:hAnsi="宋体" w:cs="宋体"/>
          <w:color w:val="000000" w:themeColor="text1"/>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供应商采取提供虚假资料等不正当手段的；</w:t>
      </w:r>
    </w:p>
    <w:p w14:paraId="1C053072">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11.</w:t>
      </w:r>
      <w:r>
        <w:rPr>
          <w:rFonts w:hint="eastAsia" w:ascii="宋体" w:hAnsi="宋体" w:cs="宋体"/>
          <w:color w:val="000000" w:themeColor="text1"/>
          <w14:textFill>
            <w14:solidFill>
              <w14:schemeClr w14:val="tx1"/>
            </w14:solidFill>
          </w14:textFill>
        </w:rPr>
        <w:t>6</w:t>
      </w:r>
      <w:r>
        <w:rPr>
          <w:rFonts w:ascii="宋体" w:hAnsi="宋体" w:cs="宋体"/>
          <w:color w:val="000000" w:themeColor="text1"/>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供应商在投标过程中串通投标的。</w:t>
      </w:r>
    </w:p>
    <w:p w14:paraId="0E203718">
      <w:pPr>
        <w:pStyle w:val="52"/>
        <w:spacing w:before="0" w:line="336" w:lineRule="auto"/>
        <w:ind w:left="400" w:leftChars="200" w:firstLine="0" w:firstLineChars="0"/>
        <w:rPr>
          <w:rFonts w:ascii="宋体"/>
          <w:b/>
          <w:bCs/>
          <w:color w:val="000000" w:themeColor="text1"/>
          <w14:textFill>
            <w14:solidFill>
              <w14:schemeClr w14:val="tx1"/>
            </w14:solidFill>
          </w14:textFill>
        </w:rPr>
      </w:pPr>
      <w:r>
        <w:rPr>
          <w:rFonts w:ascii="宋体" w:hAnsi="宋体" w:cs="宋体"/>
          <w:b/>
          <w:bCs/>
          <w:color w:val="000000" w:themeColor="text1"/>
          <w14:textFill>
            <w14:solidFill>
              <w14:schemeClr w14:val="tx1"/>
            </w14:solidFill>
          </w14:textFill>
        </w:rPr>
        <w:t>12</w:t>
      </w:r>
      <w:r>
        <w:rPr>
          <w:rFonts w:hint="eastAsia" w:ascii="宋体" w:hAnsi="宋体" w:cs="宋体"/>
          <w:b/>
          <w:bCs/>
          <w:color w:val="000000" w:themeColor="text1"/>
          <w14:textFill>
            <w14:solidFill>
              <w14:schemeClr w14:val="tx1"/>
            </w14:solidFill>
          </w14:textFill>
        </w:rPr>
        <w:t>．响应文件的编制和签署</w:t>
      </w:r>
    </w:p>
    <w:p w14:paraId="04EE579C">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12.1 </w:t>
      </w:r>
      <w:r>
        <w:rPr>
          <w:rFonts w:hint="eastAsia" w:ascii="宋体" w:hAnsi="宋体" w:cs="宋体"/>
          <w:color w:val="000000" w:themeColor="text1"/>
          <w14:textFill>
            <w14:solidFill>
              <w14:schemeClr w14:val="tx1"/>
            </w14:solidFill>
          </w14:textFill>
        </w:rPr>
        <w:t>按磋商文件</w:t>
      </w:r>
      <w:r>
        <w:rPr>
          <w:rFonts w:ascii="宋体" w:hAnsi="宋体" w:cs="宋体"/>
          <w:color w:val="000000" w:themeColor="text1"/>
          <w14:textFill>
            <w14:solidFill>
              <w14:schemeClr w14:val="tx1"/>
            </w14:solidFill>
          </w14:textFill>
        </w:rPr>
        <w:t>9.1</w:t>
      </w:r>
      <w:r>
        <w:rPr>
          <w:rFonts w:hint="eastAsia" w:ascii="宋体" w:hAnsi="宋体" w:cs="宋体"/>
          <w:color w:val="000000" w:themeColor="text1"/>
          <w14:textFill>
            <w14:solidFill>
              <w14:schemeClr w14:val="tx1"/>
            </w14:solidFill>
          </w14:textFill>
        </w:rPr>
        <w:t>条、</w:t>
      </w:r>
      <w:r>
        <w:rPr>
          <w:rFonts w:ascii="宋体" w:hAnsi="宋体" w:cs="宋体"/>
          <w:color w:val="000000" w:themeColor="text1"/>
          <w14:textFill>
            <w14:solidFill>
              <w14:schemeClr w14:val="tx1"/>
            </w14:solidFill>
          </w14:textFill>
        </w:rPr>
        <w:t>9.2</w:t>
      </w:r>
      <w:r>
        <w:rPr>
          <w:rFonts w:hint="eastAsia" w:ascii="宋体" w:hAnsi="宋体" w:cs="宋体"/>
          <w:color w:val="000000" w:themeColor="text1"/>
          <w14:textFill>
            <w14:solidFill>
              <w14:schemeClr w14:val="tx1"/>
            </w14:solidFill>
          </w14:textFill>
        </w:rPr>
        <w:t>条、</w:t>
      </w:r>
      <w:r>
        <w:rPr>
          <w:rFonts w:ascii="宋体" w:hAnsi="宋体" w:cs="宋体"/>
          <w:color w:val="000000" w:themeColor="text1"/>
          <w14:textFill>
            <w14:solidFill>
              <w14:schemeClr w14:val="tx1"/>
            </w14:solidFill>
          </w14:textFill>
        </w:rPr>
        <w:t>9.3</w:t>
      </w:r>
      <w:r>
        <w:rPr>
          <w:rFonts w:hint="eastAsia" w:ascii="宋体" w:hAnsi="宋体" w:cs="宋体"/>
          <w:color w:val="000000" w:themeColor="text1"/>
          <w14:textFill>
            <w14:solidFill>
              <w14:schemeClr w14:val="tx1"/>
            </w14:solidFill>
          </w14:textFill>
        </w:rPr>
        <w:t>条要求提供的各种文件，响应文件分为资格文件、商务技术文件和报价文件三部分。</w:t>
      </w:r>
    </w:p>
    <w:p w14:paraId="46A39E83">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12.2 </w:t>
      </w:r>
      <w:r>
        <w:rPr>
          <w:rFonts w:hint="eastAsia" w:ascii="宋体" w:hAnsi="宋体" w:cs="宋体"/>
          <w:color w:val="000000" w:themeColor="text1"/>
          <w14:textFill>
            <w14:solidFill>
              <w14:schemeClr w14:val="tx1"/>
            </w14:solidFill>
          </w14:textFill>
        </w:rPr>
        <w:t>响应文件须按附件格式要求进行电子签章，供应商应写全称。（电子磋商响应文件中所须加盖公章部分均应采用电子签章）</w:t>
      </w:r>
    </w:p>
    <w:p w14:paraId="0E04F331">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12.3 </w:t>
      </w:r>
      <w:r>
        <w:rPr>
          <w:rFonts w:hint="eastAsia" w:ascii="宋体" w:hAnsi="宋体" w:cs="宋体"/>
          <w:color w:val="000000" w:themeColor="text1"/>
          <w14:textFill>
            <w14:solidFill>
              <w14:schemeClr w14:val="tx1"/>
            </w14:solidFill>
          </w14:textFill>
        </w:rPr>
        <w:t>全套响应文件应无涂改和行间插字，除非这些删改是根据采购代理机构要求进行，或者是供应商造成的必须修改的错误。所修改处应由法定代表人或其授权代表签字盖章予以确认。</w:t>
      </w:r>
    </w:p>
    <w:p w14:paraId="6EF24BFB">
      <w:pPr>
        <w:pStyle w:val="52"/>
        <w:spacing w:before="0" w:line="336" w:lineRule="auto"/>
        <w:ind w:left="400" w:leftChars="200" w:firstLine="0" w:firstLineChars="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12.4 </w:t>
      </w:r>
      <w:r>
        <w:rPr>
          <w:rFonts w:hint="eastAsia" w:ascii="宋体" w:hAnsi="宋体" w:cs="宋体"/>
          <w:color w:val="000000" w:themeColor="text1"/>
          <w14:textFill>
            <w14:solidFill>
              <w14:schemeClr w14:val="tx1"/>
            </w14:solidFill>
          </w14:textFill>
        </w:rPr>
        <w:t>由于字迹模糊或表达不清引起的后果由供应商负责。</w:t>
      </w:r>
    </w:p>
    <w:p w14:paraId="6059CA54">
      <w:pPr>
        <w:pStyle w:val="52"/>
        <w:spacing w:before="0" w:line="336" w:lineRule="auto"/>
        <w:ind w:left="400" w:leftChars="200" w:firstLine="0" w:firstLineChars="0"/>
        <w:rPr>
          <w:rFonts w:ascii="宋体"/>
          <w:b/>
          <w:bCs/>
          <w:color w:val="000000" w:themeColor="text1"/>
          <w14:textFill>
            <w14:solidFill>
              <w14:schemeClr w14:val="tx1"/>
            </w14:solidFill>
          </w14:textFill>
        </w:rPr>
      </w:pPr>
      <w:r>
        <w:rPr>
          <w:rFonts w:ascii="宋体" w:hAnsi="宋体" w:cs="宋体"/>
          <w:b/>
          <w:bCs/>
          <w:color w:val="000000" w:themeColor="text1"/>
          <w14:textFill>
            <w14:solidFill>
              <w14:schemeClr w14:val="tx1"/>
            </w14:solidFill>
          </w14:textFill>
        </w:rPr>
        <w:t>13</w:t>
      </w:r>
      <w:r>
        <w:rPr>
          <w:rFonts w:hint="eastAsia" w:ascii="宋体" w:hAnsi="宋体" w:cs="宋体"/>
          <w:b/>
          <w:bCs/>
          <w:color w:val="000000" w:themeColor="text1"/>
          <w14:textFill>
            <w14:solidFill>
              <w14:schemeClr w14:val="tx1"/>
            </w14:solidFill>
          </w14:textFill>
        </w:rPr>
        <w:t>．</w:t>
      </w:r>
      <w:r>
        <w:rPr>
          <w:rFonts w:ascii="宋体" w:hAnsi="宋体" w:cs="宋体"/>
          <w:b/>
          <w:bCs/>
          <w:color w:val="000000" w:themeColor="text1"/>
          <w14:textFill>
            <w14:solidFill>
              <w14:schemeClr w14:val="tx1"/>
            </w14:solidFill>
          </w14:textFill>
        </w:rPr>
        <w:t xml:space="preserve"> </w:t>
      </w:r>
      <w:r>
        <w:rPr>
          <w:rFonts w:hint="eastAsia" w:ascii="宋体" w:hAnsi="宋体" w:cs="宋体"/>
          <w:b/>
          <w:bCs/>
          <w:color w:val="000000" w:themeColor="text1"/>
          <w14:textFill>
            <w14:solidFill>
              <w14:schemeClr w14:val="tx1"/>
            </w14:solidFill>
          </w14:textFill>
        </w:rPr>
        <w:t>响应文件的形式</w:t>
      </w:r>
    </w:p>
    <w:p w14:paraId="6FB3D2F4">
      <w:pPr>
        <w:pStyle w:val="52"/>
        <w:widowControl/>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响应文件为电子磋商响应文件，电子磋商响应文件按“政采云供应商项目采购</w:t>
      </w:r>
      <w:r>
        <w:rPr>
          <w:rFonts w:ascii="宋体" w:cs="宋体"/>
          <w:color w:val="000000" w:themeColor="text1"/>
          <w14:textFill>
            <w14:solidFill>
              <w14:schemeClr w14:val="tx1"/>
            </w14:solidFill>
          </w14:textFill>
        </w:rPr>
        <w:t>-</w:t>
      </w:r>
      <w:r>
        <w:rPr>
          <w:rFonts w:hint="eastAsia" w:ascii="宋体" w:hAnsi="宋体" w:cs="宋体"/>
          <w:color w:val="000000" w:themeColor="text1"/>
          <w14:textFill>
            <w14:solidFill>
              <w14:schemeClr w14:val="tx1"/>
            </w14:solidFill>
          </w14:textFill>
        </w:rPr>
        <w:t>电子招投标操作指南”及本磋商文件要求制作、加密传输。</w:t>
      </w:r>
    </w:p>
    <w:p w14:paraId="60B0BDB2">
      <w:pPr>
        <w:pStyle w:val="3"/>
        <w:numPr>
          <w:ilvl w:val="0"/>
          <w:numId w:val="7"/>
        </w:numPr>
        <w:jc w:val="center"/>
        <w:rPr>
          <w:rFonts w:cs="Times New Roman"/>
          <w:color w:val="000000" w:themeColor="text1"/>
          <w14:textFill>
            <w14:solidFill>
              <w14:schemeClr w14:val="tx1"/>
            </w14:solidFill>
          </w14:textFill>
        </w:rPr>
      </w:pPr>
      <w:bookmarkStart w:id="55" w:name="_Toc1420"/>
      <w:r>
        <w:rPr>
          <w:color w:val="000000" w:themeColor="text1"/>
          <w14:textFill>
            <w14:solidFill>
              <w14:schemeClr w14:val="tx1"/>
            </w14:solidFill>
          </w14:textFill>
        </w:rPr>
        <w:t xml:space="preserve"> </w:t>
      </w:r>
      <w:bookmarkStart w:id="56" w:name="_Toc21266"/>
      <w:bookmarkStart w:id="57" w:name="_Toc29018"/>
      <w:r>
        <w:rPr>
          <w:rFonts w:hint="eastAsia"/>
          <w:color w:val="000000" w:themeColor="text1"/>
          <w14:textFill>
            <w14:solidFill>
              <w14:schemeClr w14:val="tx1"/>
            </w14:solidFill>
          </w14:textFill>
        </w:rPr>
        <w:t>响应文件的递交</w:t>
      </w:r>
      <w:bookmarkEnd w:id="55"/>
      <w:bookmarkEnd w:id="56"/>
      <w:bookmarkEnd w:id="57"/>
    </w:p>
    <w:p w14:paraId="776A3498">
      <w:pPr>
        <w:pStyle w:val="13"/>
        <w:spacing w:line="336" w:lineRule="auto"/>
        <w:ind w:left="400" w:leftChars="200"/>
        <w:rPr>
          <w:rFonts w:hint="eastAsia" w:hAnsi="宋体" w:cs="Times New Roman"/>
          <w:b/>
          <w:bCs/>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t>14</w:t>
      </w:r>
      <w:r>
        <w:rPr>
          <w:rFonts w:hint="eastAsia" w:hAnsi="宋体"/>
          <w:b/>
          <w:bCs/>
          <w:color w:val="000000" w:themeColor="text1"/>
          <w:sz w:val="24"/>
          <w:szCs w:val="24"/>
          <w14:textFill>
            <w14:solidFill>
              <w14:schemeClr w14:val="tx1"/>
            </w14:solidFill>
          </w14:textFill>
        </w:rPr>
        <w:t>、磋商响应截止期</w:t>
      </w:r>
    </w:p>
    <w:p w14:paraId="4070B0BE">
      <w:pPr>
        <w:pStyle w:val="52"/>
        <w:numPr>
          <w:ilvl w:val="0"/>
          <w:numId w:val="12"/>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14:paraId="3E3936E0">
      <w:pPr>
        <w:pStyle w:val="52"/>
        <w:numPr>
          <w:ilvl w:val="0"/>
          <w:numId w:val="12"/>
        </w:numPr>
        <w:spacing w:before="0" w:line="336" w:lineRule="auto"/>
        <w:ind w:firstLine="480"/>
        <w:rPr>
          <w:rFonts w:asci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采购人因故推迟磋商响应截止时间，将以公告形式通知。在这种情况下，采购人和供应商的权利和义务将受到新的截止时间的约束。</w:t>
      </w:r>
    </w:p>
    <w:p w14:paraId="33FAFEA6">
      <w:pPr>
        <w:pStyle w:val="13"/>
        <w:spacing w:line="336" w:lineRule="auto"/>
        <w:ind w:left="400" w:leftChars="200"/>
        <w:rPr>
          <w:rFonts w:hint="eastAsia" w:hAnsi="宋体" w:cs="Times New Roman"/>
          <w:b/>
          <w:bCs/>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t>15</w:t>
      </w:r>
      <w:r>
        <w:rPr>
          <w:rFonts w:hint="eastAsia" w:hAnsi="宋体"/>
          <w:b/>
          <w:bCs/>
          <w:color w:val="000000" w:themeColor="text1"/>
          <w:sz w:val="24"/>
          <w:szCs w:val="24"/>
          <w14:textFill>
            <w14:solidFill>
              <w14:schemeClr w14:val="tx1"/>
            </w14:solidFill>
          </w14:textFill>
        </w:rPr>
        <w:t>、响应文件的修改、撤销</w:t>
      </w:r>
    </w:p>
    <w:p w14:paraId="3F0806E3">
      <w:pPr>
        <w:pStyle w:val="13"/>
        <w:spacing w:line="336" w:lineRule="auto"/>
        <w:ind w:firstLine="480" w:firstLineChars="200"/>
        <w:rPr>
          <w:rFonts w:hint="eastAsia" w:hAnsi="宋体" w:cs="Times New Roman"/>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14:paraId="31FD117A">
      <w:pPr>
        <w:pStyle w:val="3"/>
        <w:numPr>
          <w:ilvl w:val="0"/>
          <w:numId w:val="7"/>
        </w:numPr>
        <w:jc w:val="center"/>
        <w:rPr>
          <w:rFonts w:hint="eastAsia" w:hAnsi="宋体" w:cs="Times New Roman"/>
          <w:color w:val="000000" w:themeColor="text1"/>
          <w14:textFill>
            <w14:solidFill>
              <w14:schemeClr w14:val="tx1"/>
            </w14:solidFill>
          </w14:textFill>
        </w:rPr>
      </w:pPr>
      <w:r>
        <w:rPr>
          <w:color w:val="000000" w:themeColor="text1"/>
          <w14:textFill>
            <w14:solidFill>
              <w14:schemeClr w14:val="tx1"/>
            </w14:solidFill>
          </w14:textFill>
        </w:rPr>
        <w:t xml:space="preserve"> </w:t>
      </w:r>
      <w:bookmarkStart w:id="58" w:name="_Toc24120"/>
      <w:bookmarkStart w:id="59" w:name="_Toc2330"/>
      <w:r>
        <w:rPr>
          <w:rFonts w:hint="eastAsia"/>
          <w:color w:val="000000" w:themeColor="text1"/>
          <w14:textFill>
            <w14:solidFill>
              <w14:schemeClr w14:val="tx1"/>
            </w14:solidFill>
          </w14:textFill>
        </w:rPr>
        <w:t>磋商无效的情形</w:t>
      </w:r>
      <w:bookmarkEnd w:id="58"/>
      <w:bookmarkEnd w:id="59"/>
    </w:p>
    <w:p w14:paraId="54943515">
      <w:pPr>
        <w:pStyle w:val="13"/>
        <w:snapToGrid w:val="0"/>
        <w:spacing w:line="336" w:lineRule="auto"/>
        <w:ind w:firstLine="482" w:firstLineChars="200"/>
        <w:rPr>
          <w:rFonts w:hint="eastAsia" w:hAnsi="宋体" w:cs="Times New Roman"/>
          <w:b/>
          <w:bCs/>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t>16.</w:t>
      </w:r>
      <w:r>
        <w:rPr>
          <w:rFonts w:hint="eastAsia" w:hAnsi="宋体"/>
          <w:b/>
          <w:bCs/>
          <w:color w:val="000000" w:themeColor="text1"/>
          <w:sz w:val="24"/>
          <w:szCs w:val="24"/>
          <w14:textFill>
            <w14:solidFill>
              <w14:schemeClr w14:val="tx1"/>
            </w14:solidFill>
          </w14:textFill>
        </w:rPr>
        <w:t>无效响应</w:t>
      </w:r>
    </w:p>
    <w:p w14:paraId="54C55692">
      <w:pPr>
        <w:pStyle w:val="13"/>
        <w:snapToGrid w:val="0"/>
        <w:spacing w:line="336" w:lineRule="auto"/>
        <w:ind w:firstLine="480" w:firstLineChars="200"/>
        <w:rPr>
          <w:rFonts w:hint="eastAsia" w:hAnsi="宋体" w:cs="Times New Roman"/>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经过审查，凡不符合有关规定，不响应磋商文件的实质性条款，存在以下重大偏离之一的，经磋商小组认定，并由采购人报采购办、监督办备案，将因未通过资格性或符合性审查而被作为无效响应处理：</w:t>
      </w:r>
    </w:p>
    <w:p w14:paraId="3197071E">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w:t>
      </w:r>
      <w:r>
        <w:rPr>
          <w:rFonts w:hint="eastAsia" w:ascii="宋体" w:hAnsi="宋体" w:cs="宋体"/>
          <w:b/>
          <w:bCs/>
          <w:color w:val="000000" w:themeColor="text1"/>
          <w:sz w:val="24"/>
          <w:szCs w:val="24"/>
          <w14:textFill>
            <w14:solidFill>
              <w14:schemeClr w14:val="tx1"/>
            </w14:solidFill>
          </w14:textFill>
        </w:rPr>
        <w:t>未按照磋商文件规定要求签署、盖章的；</w:t>
      </w:r>
    </w:p>
    <w:p w14:paraId="09F8C8D8">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16.2</w:t>
      </w:r>
      <w:r>
        <w:rPr>
          <w:rFonts w:hint="eastAsia" w:ascii="宋体" w:hAnsi="宋体" w:cs="宋体"/>
          <w:b/>
          <w:bCs/>
          <w:color w:val="000000" w:themeColor="text1"/>
          <w:sz w:val="24"/>
          <w:szCs w:val="24"/>
          <w14:textFill>
            <w14:solidFill>
              <w14:schemeClr w14:val="tx1"/>
            </w14:solidFill>
          </w14:textFill>
        </w:rPr>
        <w:t>《法定代表人授权书》填写不全、错误、未加盖供应商公章（公章和签字或盖章缺一不可）；</w:t>
      </w:r>
      <w:r>
        <w:rPr>
          <w:rFonts w:ascii="宋体" w:hAnsi="宋体" w:cs="宋体"/>
          <w:b/>
          <w:bCs/>
          <w:color w:val="000000" w:themeColor="text1"/>
          <w:sz w:val="24"/>
          <w:szCs w:val="24"/>
          <w14:textFill>
            <w14:solidFill>
              <w14:schemeClr w14:val="tx1"/>
            </w14:solidFill>
          </w14:textFill>
        </w:rPr>
        <w:t xml:space="preserve"> </w:t>
      </w:r>
    </w:p>
    <w:p w14:paraId="283DA9C3">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16.3</w:t>
      </w:r>
      <w:r>
        <w:rPr>
          <w:rFonts w:hint="eastAsia" w:ascii="宋体" w:hAnsi="宋体" w:cs="宋体"/>
          <w:b/>
          <w:bCs/>
          <w:color w:val="000000" w:themeColor="text1"/>
          <w:sz w:val="24"/>
          <w:szCs w:val="24"/>
          <w14:textFill>
            <w14:solidFill>
              <w14:schemeClr w14:val="tx1"/>
            </w14:solidFill>
          </w14:textFill>
        </w:rPr>
        <w:t>个体工商户的身份证明与营业执照不一致的；</w:t>
      </w:r>
    </w:p>
    <w:p w14:paraId="60A66685">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16.4</w:t>
      </w:r>
      <w:r>
        <w:rPr>
          <w:rFonts w:hint="eastAsia" w:ascii="宋体" w:hAnsi="宋体" w:cs="宋体"/>
          <w:b/>
          <w:bCs/>
          <w:color w:val="000000" w:themeColor="text1"/>
          <w:sz w:val="24"/>
          <w:szCs w:val="24"/>
          <w14:textFill>
            <w14:solidFill>
              <w14:schemeClr w14:val="tx1"/>
            </w14:solidFill>
          </w14:textFill>
        </w:rPr>
        <w:t>响应文件中的磋商函未加盖供应商的企业公章或填写不全的；</w:t>
      </w:r>
    </w:p>
    <w:p w14:paraId="6AB7DD7F">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16.5</w:t>
      </w:r>
      <w:r>
        <w:rPr>
          <w:rFonts w:hint="eastAsia" w:ascii="宋体" w:hAnsi="宋体" w:cs="宋体"/>
          <w:b/>
          <w:bCs/>
          <w:color w:val="000000" w:themeColor="text1"/>
          <w:sz w:val="24"/>
          <w:szCs w:val="24"/>
          <w14:textFill>
            <w14:solidFill>
              <w14:schemeClr w14:val="tx1"/>
            </w14:solidFill>
          </w14:textFill>
        </w:rPr>
        <w:t>报价一经涂改，未在涂改处加盖投标单位公章或者未经法定代表人或其授权代表签字或盖章的；</w:t>
      </w:r>
    </w:p>
    <w:p w14:paraId="2AB94188">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16.6</w:t>
      </w:r>
      <w:r>
        <w:rPr>
          <w:rFonts w:hint="eastAsia" w:ascii="宋体" w:hAnsi="宋体" w:cs="宋体"/>
          <w:b/>
          <w:bCs/>
          <w:color w:val="000000" w:themeColor="text1"/>
          <w:sz w:val="24"/>
          <w:szCs w:val="24"/>
          <w14:textFill>
            <w14:solidFill>
              <w14:schemeClr w14:val="tx1"/>
            </w14:solidFill>
          </w14:textFill>
        </w:rPr>
        <w:t>因未按规定的格式填写，内容不全或主要实质性内容字迹模糊辨认不清</w:t>
      </w:r>
      <w:r>
        <w:rPr>
          <w:rFonts w:ascii="宋体" w:cs="宋体"/>
          <w:b/>
          <w:bCs/>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14:textFill>
            <w14:solidFill>
              <w14:schemeClr w14:val="tx1"/>
            </w14:solidFill>
          </w14:textFill>
        </w:rPr>
        <w:t>经评标委员会认定为无法评审的；</w:t>
      </w:r>
    </w:p>
    <w:p w14:paraId="2013C391">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16.7</w:t>
      </w:r>
      <w:r>
        <w:rPr>
          <w:rFonts w:hint="eastAsia" w:ascii="宋体" w:hAnsi="宋体" w:cs="宋体"/>
          <w:b/>
          <w:bCs/>
          <w:color w:val="000000" w:themeColor="text1"/>
          <w:sz w:val="24"/>
          <w:szCs w:val="24"/>
          <w14:textFill>
            <w14:solidFill>
              <w14:schemeClr w14:val="tx1"/>
            </w14:solidFill>
          </w14:textFill>
        </w:rPr>
        <w:t>出现同一标的物或本次采购产品</w:t>
      </w:r>
      <w:r>
        <w:rPr>
          <w:rFonts w:ascii="宋体" w:hAnsi="宋体" w:cs="宋体"/>
          <w:b/>
          <w:bCs/>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14:textFill>
            <w14:solidFill>
              <w14:schemeClr w14:val="tx1"/>
            </w14:solidFill>
          </w14:textFill>
        </w:rPr>
        <w:t>服务</w:t>
      </w:r>
      <w:r>
        <w:rPr>
          <w:rFonts w:ascii="宋体" w:hAnsi="宋体" w:cs="宋体"/>
          <w:b/>
          <w:bCs/>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14:textFill>
            <w14:solidFill>
              <w14:schemeClr w14:val="tx1"/>
            </w14:solidFill>
          </w14:textFill>
        </w:rPr>
        <w:t>内的主要产品</w:t>
      </w:r>
      <w:r>
        <w:rPr>
          <w:rFonts w:ascii="宋体" w:hAnsi="宋体" w:cs="宋体"/>
          <w:b/>
          <w:bCs/>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14:textFill>
            <w14:solidFill>
              <w14:schemeClr w14:val="tx1"/>
            </w14:solidFill>
          </w14:textFill>
        </w:rPr>
        <w:t>重要组成部分</w:t>
      </w:r>
      <w:r>
        <w:rPr>
          <w:rFonts w:ascii="宋体" w:hAnsi="宋体" w:cs="宋体"/>
          <w:b/>
          <w:bCs/>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14:textFill>
            <w14:solidFill>
              <w14:schemeClr w14:val="tx1"/>
            </w14:solidFill>
          </w14:textFill>
        </w:rPr>
        <w:t>出现技术、商务描述不一致或前后描述不一致，经评标委员会认定后为无法评审的；</w:t>
      </w:r>
    </w:p>
    <w:p w14:paraId="31425E41">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16.8</w:t>
      </w:r>
      <w:r>
        <w:rPr>
          <w:rFonts w:hint="eastAsia" w:ascii="宋体" w:hAnsi="宋体" w:cs="宋体"/>
          <w:b/>
          <w:bCs/>
          <w:color w:val="000000" w:themeColor="text1"/>
          <w:sz w:val="24"/>
          <w:szCs w:val="24"/>
          <w14:textFill>
            <w14:solidFill>
              <w14:schemeClr w14:val="tx1"/>
            </w14:solidFill>
          </w14:textFill>
        </w:rPr>
        <w:t>响应详细配置清单响应表不真实填写或弄虚作假的；改变磋商文件提供的清单中的计量单位、工程数量；</w:t>
      </w:r>
    </w:p>
    <w:p w14:paraId="5A26AF84">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16.9</w:t>
      </w:r>
      <w:r>
        <w:rPr>
          <w:rFonts w:hint="eastAsia" w:ascii="宋体" w:hAnsi="宋体" w:cs="宋体"/>
          <w:b/>
          <w:bCs/>
          <w:color w:val="000000" w:themeColor="text1"/>
          <w:sz w:val="24"/>
          <w:szCs w:val="24"/>
          <w14:textFill>
            <w14:solidFill>
              <w14:schemeClr w14:val="tx1"/>
            </w14:solidFill>
          </w14:textFill>
        </w:rPr>
        <w:t>对采购产品技术规格未详细应答，致使其技术文件无法评审的；</w:t>
      </w:r>
    </w:p>
    <w:p w14:paraId="192834DF">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16.10</w:t>
      </w:r>
      <w:r>
        <w:rPr>
          <w:rFonts w:hint="eastAsia" w:ascii="宋体" w:hAnsi="宋体" w:cs="宋体"/>
          <w:b/>
          <w:bCs/>
          <w:color w:val="000000" w:themeColor="text1"/>
          <w:sz w:val="24"/>
          <w:szCs w:val="24"/>
          <w14:textFill>
            <w14:solidFill>
              <w14:schemeClr w14:val="tx1"/>
            </w14:solidFill>
          </w14:textFill>
        </w:rPr>
        <w:t>响应文件有采购方不能接受的条件；</w:t>
      </w:r>
    </w:p>
    <w:p w14:paraId="3681014A">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16.11</w:t>
      </w:r>
      <w:r>
        <w:rPr>
          <w:rFonts w:hint="eastAsia" w:ascii="宋体" w:hAnsi="宋体" w:cs="宋体"/>
          <w:b/>
          <w:bCs/>
          <w:color w:val="000000" w:themeColor="text1"/>
          <w:sz w:val="24"/>
          <w:szCs w:val="24"/>
          <w14:textFill>
            <w14:solidFill>
              <w14:schemeClr w14:val="tx1"/>
            </w14:solidFill>
          </w14:textFill>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14:paraId="0E1B4928">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16.12</w:t>
      </w:r>
      <w:r>
        <w:rPr>
          <w:rFonts w:hint="eastAsia" w:ascii="宋体" w:hAnsi="宋体" w:cs="宋体"/>
          <w:b/>
          <w:bCs/>
          <w:color w:val="000000" w:themeColor="text1"/>
          <w:sz w:val="24"/>
          <w:szCs w:val="24"/>
          <w14:textFill>
            <w14:solidFill>
              <w14:schemeClr w14:val="tx1"/>
            </w14:solidFill>
          </w14:textFill>
        </w:rPr>
        <w:t>磋商报价超过预算金额或最高限价的；</w:t>
      </w:r>
    </w:p>
    <w:p w14:paraId="47D22BC5">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16.13</w:t>
      </w:r>
      <w:r>
        <w:rPr>
          <w:rFonts w:hint="eastAsia" w:ascii="宋体" w:hAnsi="宋体" w:cs="宋体"/>
          <w:b/>
          <w:bCs/>
          <w:color w:val="000000" w:themeColor="text1"/>
          <w:sz w:val="24"/>
          <w:szCs w:val="24"/>
          <w14:textFill>
            <w14:solidFill>
              <w14:schemeClr w14:val="tx1"/>
            </w14:solidFill>
          </w14:textFill>
        </w:rPr>
        <w:t>响应文件“商务技术文件资料”部分中出现《报价一览表》或《磋商报价明细表》相关内容的；</w:t>
      </w:r>
    </w:p>
    <w:p w14:paraId="64E5ECCC">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16.14</w:t>
      </w:r>
      <w:r>
        <w:rPr>
          <w:rFonts w:hint="eastAsia" w:ascii="宋体" w:hAnsi="宋体" w:cs="宋体"/>
          <w:b/>
          <w:bCs/>
          <w:color w:val="000000" w:themeColor="text1"/>
          <w:sz w:val="24"/>
          <w:szCs w:val="24"/>
          <w14:textFill>
            <w14:solidFill>
              <w14:schemeClr w14:val="tx1"/>
            </w14:solidFill>
          </w14:textFill>
        </w:rPr>
        <w:t>评标委员会认定有重大偏差或实质性不响应磋商文件要求的，即“★”的关键性指标及技术参数要求负偏离或缺漏；</w:t>
      </w:r>
    </w:p>
    <w:p w14:paraId="63BA2BD8">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16.15</w:t>
      </w:r>
      <w:r>
        <w:rPr>
          <w:rFonts w:hint="eastAsia" w:ascii="宋体" w:hAnsi="宋体" w:cs="宋体"/>
          <w:b/>
          <w:bCs/>
          <w:color w:val="000000" w:themeColor="text1"/>
          <w:sz w:val="24"/>
          <w:szCs w:val="24"/>
          <w14:textFill>
            <w14:solidFill>
              <w14:schemeClr w14:val="tx1"/>
            </w14:solidFill>
          </w14:textFill>
        </w:rPr>
        <w:t>供应商拒绝按磋商文件规定的修正原则对响应文件进行修改的；</w:t>
      </w:r>
    </w:p>
    <w:p w14:paraId="7830E039">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16.16</w:t>
      </w:r>
      <w:r>
        <w:rPr>
          <w:rFonts w:hint="eastAsia" w:ascii="宋体" w:hAnsi="宋体" w:cs="宋体"/>
          <w:b/>
          <w:bCs/>
          <w:color w:val="000000" w:themeColor="text1"/>
          <w:sz w:val="24"/>
          <w:szCs w:val="24"/>
          <w14:textFill>
            <w14:solidFill>
              <w14:schemeClr w14:val="tx1"/>
            </w14:solidFill>
          </w14:textFill>
        </w:rPr>
        <w:t>有下列情形之一的，视为供应商串通投标，其投标无效：</w:t>
      </w:r>
    </w:p>
    <w:p w14:paraId="0616D3FC">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16.16.1</w:t>
      </w:r>
      <w:r>
        <w:rPr>
          <w:rFonts w:hint="eastAsia" w:ascii="宋体" w:hAnsi="宋体" w:cs="宋体"/>
          <w:b/>
          <w:bCs/>
          <w:color w:val="000000" w:themeColor="text1"/>
          <w:sz w:val="24"/>
          <w:szCs w:val="24"/>
          <w14:textFill>
            <w14:solidFill>
              <w14:schemeClr w14:val="tx1"/>
            </w14:solidFill>
          </w14:textFill>
        </w:rPr>
        <w:t>不同供应商的响应文件由同一单位或者个人编制；</w:t>
      </w:r>
    </w:p>
    <w:p w14:paraId="34CF25F7">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16.16.2</w:t>
      </w:r>
      <w:r>
        <w:rPr>
          <w:rFonts w:hint="eastAsia" w:ascii="宋体" w:hAnsi="宋体" w:cs="宋体"/>
          <w:b/>
          <w:bCs/>
          <w:color w:val="000000" w:themeColor="text1"/>
          <w:sz w:val="24"/>
          <w:szCs w:val="24"/>
          <w14:textFill>
            <w14:solidFill>
              <w14:schemeClr w14:val="tx1"/>
            </w14:solidFill>
          </w14:textFill>
        </w:rPr>
        <w:t>不同供应商委托同一单位或者个人办理投标事宜；</w:t>
      </w:r>
    </w:p>
    <w:p w14:paraId="09F05026">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16.16.3</w:t>
      </w:r>
      <w:r>
        <w:rPr>
          <w:rFonts w:hint="eastAsia" w:ascii="宋体" w:hAnsi="宋体" w:cs="宋体"/>
          <w:b/>
          <w:bCs/>
          <w:color w:val="000000" w:themeColor="text1"/>
          <w:sz w:val="24"/>
          <w:szCs w:val="24"/>
          <w14:textFill>
            <w14:solidFill>
              <w14:schemeClr w14:val="tx1"/>
            </w14:solidFill>
          </w14:textFill>
        </w:rPr>
        <w:t>不同供应商的响应文件载明的项目管理成员或者联系人员为同一人；</w:t>
      </w:r>
    </w:p>
    <w:p w14:paraId="633F65FE">
      <w:pPr>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16.16.4</w:t>
      </w:r>
      <w:r>
        <w:rPr>
          <w:rFonts w:hint="eastAsia" w:ascii="宋体" w:hAnsi="宋体" w:cs="宋体"/>
          <w:b/>
          <w:bCs/>
          <w:color w:val="000000" w:themeColor="text1"/>
          <w:sz w:val="24"/>
          <w:szCs w:val="24"/>
          <w14:textFill>
            <w14:solidFill>
              <w14:schemeClr w14:val="tx1"/>
            </w14:solidFill>
          </w14:textFill>
        </w:rPr>
        <w:t>不同供应商的响应文件异常一致或者投标报价呈规律性差异；</w:t>
      </w:r>
    </w:p>
    <w:p w14:paraId="1238B737">
      <w:pPr>
        <w:spacing w:line="336" w:lineRule="auto"/>
        <w:ind w:firstLine="482" w:firstLineChars="200"/>
        <w:rPr>
          <w:rFonts w:hint="eastAsia" w:ascii="宋体" w:hAnsi="宋体" w:cs="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16.16.5</w:t>
      </w:r>
      <w:r>
        <w:rPr>
          <w:rFonts w:hint="eastAsia" w:ascii="宋体" w:hAnsi="宋体" w:cs="宋体"/>
          <w:b/>
          <w:bCs/>
          <w:color w:val="000000" w:themeColor="text1"/>
          <w:sz w:val="24"/>
          <w:szCs w:val="24"/>
          <w14:textFill>
            <w14:solidFill>
              <w14:schemeClr w14:val="tx1"/>
            </w14:solidFill>
          </w14:textFill>
        </w:rPr>
        <w:t>不同供应商提供的响应文件出自同一终端设备的，或在相同</w:t>
      </w:r>
      <w:r>
        <w:rPr>
          <w:rFonts w:ascii="宋体" w:hAnsi="宋体" w:cs="宋体"/>
          <w:b/>
          <w:bCs/>
          <w:color w:val="000000" w:themeColor="text1"/>
          <w:sz w:val="24"/>
          <w:szCs w:val="24"/>
          <w14:textFill>
            <w14:solidFill>
              <w14:schemeClr w14:val="tx1"/>
            </w14:solidFill>
          </w14:textFill>
        </w:rPr>
        <w:t>Internet</w:t>
      </w:r>
      <w:r>
        <w:rPr>
          <w:rFonts w:hint="eastAsia" w:ascii="宋体" w:hAnsi="宋体" w:cs="宋体"/>
          <w:b/>
          <w:bCs/>
          <w:color w:val="000000" w:themeColor="text1"/>
          <w:sz w:val="24"/>
          <w:szCs w:val="24"/>
          <w14:textFill>
            <w14:solidFill>
              <w14:schemeClr w14:val="tx1"/>
            </w14:solidFill>
          </w14:textFill>
        </w:rPr>
        <w:t>主机分配地址（相同</w:t>
      </w:r>
      <w:r>
        <w:rPr>
          <w:rFonts w:ascii="宋体" w:hAnsi="宋体" w:cs="宋体"/>
          <w:b/>
          <w:bCs/>
          <w:color w:val="000000" w:themeColor="text1"/>
          <w:sz w:val="24"/>
          <w:szCs w:val="24"/>
          <w14:textFill>
            <w14:solidFill>
              <w14:schemeClr w14:val="tx1"/>
            </w14:solidFill>
          </w14:textFill>
        </w:rPr>
        <w:t>IP</w:t>
      </w:r>
      <w:r>
        <w:rPr>
          <w:rFonts w:hint="eastAsia" w:ascii="宋体" w:hAnsi="宋体" w:cs="宋体"/>
          <w:b/>
          <w:bCs/>
          <w:color w:val="000000" w:themeColor="text1"/>
          <w:sz w:val="24"/>
          <w:szCs w:val="24"/>
          <w14:textFill>
            <w14:solidFill>
              <w14:schemeClr w14:val="tx1"/>
            </w14:solidFill>
          </w14:textFill>
        </w:rPr>
        <w:t>地址）报名或网上投标的，且经询标澄清供应商无令人信服的理由和可靠证据证明其合理性的，经评标委员会半数以上成员确认有串通投标嫌疑的。</w:t>
      </w:r>
    </w:p>
    <w:p w14:paraId="24D968B6">
      <w:pPr>
        <w:tabs>
          <w:tab w:val="left" w:pos="3870"/>
          <w:tab w:val="left" w:pos="4085"/>
        </w:tabs>
        <w:snapToGrid w:val="0"/>
        <w:spacing w:line="336" w:lineRule="auto"/>
        <w:ind w:firstLine="482" w:firstLineChars="200"/>
        <w:jc w:val="left"/>
        <w:rPr>
          <w:rFonts w:hint="eastAsia" w:ascii="宋体" w:hAnsi="宋体" w:cs="宋体"/>
          <w:b/>
          <w:color w:val="000000" w:themeColor="text1"/>
          <w:sz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16.17</w:t>
      </w:r>
      <w:r>
        <w:rPr>
          <w:rFonts w:hint="eastAsia" w:ascii="宋体" w:hAnsi="宋体" w:cs="宋体"/>
          <w:b/>
          <w:color w:val="000000" w:themeColor="text1"/>
          <w:sz w:val="24"/>
          <w14:textFill>
            <w14:solidFill>
              <w14:schemeClr w14:val="tx1"/>
            </w14:solidFill>
          </w14:textFill>
        </w:rPr>
        <w:t>员工工资标准低于上虞区最低工资标准的；</w:t>
      </w:r>
    </w:p>
    <w:p w14:paraId="4392DCA4">
      <w:pPr>
        <w:tabs>
          <w:tab w:val="left" w:pos="3870"/>
          <w:tab w:val="left" w:pos="4085"/>
        </w:tabs>
        <w:snapToGrid w:val="0"/>
        <w:spacing w:line="336" w:lineRule="auto"/>
        <w:ind w:firstLine="482" w:firstLineChars="200"/>
        <w:jc w:val="left"/>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16.18 其他违反法律、法规的情形。</w:t>
      </w:r>
    </w:p>
    <w:p w14:paraId="74276733">
      <w:pPr>
        <w:pStyle w:val="3"/>
        <w:numPr>
          <w:ilvl w:val="0"/>
          <w:numId w:val="7"/>
        </w:numPr>
        <w:jc w:val="center"/>
        <w:rPr>
          <w:rFonts w:cs="Times New Roman"/>
          <w:color w:val="000000" w:themeColor="text1"/>
          <w14:textFill>
            <w14:solidFill>
              <w14:schemeClr w14:val="tx1"/>
            </w14:solidFill>
          </w14:textFill>
        </w:rPr>
      </w:pPr>
      <w:r>
        <w:rPr>
          <w:color w:val="000000" w:themeColor="text1"/>
          <w14:textFill>
            <w14:solidFill>
              <w14:schemeClr w14:val="tx1"/>
            </w14:solidFill>
          </w14:textFill>
        </w:rPr>
        <w:t xml:space="preserve"> </w:t>
      </w:r>
      <w:bookmarkStart w:id="60" w:name="_Toc21752"/>
      <w:bookmarkStart w:id="61" w:name="_Toc17075"/>
      <w:r>
        <w:rPr>
          <w:rFonts w:hint="eastAsia"/>
          <w:color w:val="000000" w:themeColor="text1"/>
          <w14:textFill>
            <w14:solidFill>
              <w14:schemeClr w14:val="tx1"/>
            </w14:solidFill>
          </w14:textFill>
        </w:rPr>
        <w:t>采购中止的情形</w:t>
      </w:r>
      <w:bookmarkEnd w:id="60"/>
      <w:bookmarkEnd w:id="61"/>
    </w:p>
    <w:p w14:paraId="26AF17C0">
      <w:pPr>
        <w:pStyle w:val="13"/>
        <w:spacing w:line="336" w:lineRule="auto"/>
        <w:ind w:left="400" w:leftChars="200"/>
        <w:rPr>
          <w:rFonts w:hint="eastAsia" w:hAnsi="宋体" w:cs="Times New Roman"/>
          <w:b/>
          <w:bCs/>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t>17</w:t>
      </w:r>
      <w:r>
        <w:rPr>
          <w:rFonts w:hint="eastAsia" w:hAnsi="宋体"/>
          <w:b/>
          <w:bCs/>
          <w:color w:val="000000" w:themeColor="text1"/>
          <w:sz w:val="24"/>
          <w:szCs w:val="24"/>
          <w14:textFill>
            <w14:solidFill>
              <w14:schemeClr w14:val="tx1"/>
            </w14:solidFill>
          </w14:textFill>
        </w:rPr>
        <w:t>、</w:t>
      </w:r>
      <w:r>
        <w:rPr>
          <w:rFonts w:hint="eastAsia" w:hAnsi="宋体"/>
          <w:b/>
          <w:bCs/>
          <w:color w:val="000000" w:themeColor="text1"/>
          <w:sz w:val="24"/>
          <w:szCs w:val="24"/>
          <w:lang w:val="zh-CN"/>
          <w14:textFill>
            <w14:solidFill>
              <w14:schemeClr w14:val="tx1"/>
            </w14:solidFill>
          </w14:textFill>
        </w:rPr>
        <w:t>中止电子交易活动和</w:t>
      </w:r>
      <w:r>
        <w:rPr>
          <w:rFonts w:hint="eastAsia" w:hAnsi="宋体"/>
          <w:b/>
          <w:bCs/>
          <w:color w:val="000000" w:themeColor="text1"/>
          <w:sz w:val="24"/>
          <w:szCs w:val="24"/>
          <w14:textFill>
            <w14:solidFill>
              <w14:schemeClr w14:val="tx1"/>
            </w14:solidFill>
          </w14:textFill>
        </w:rPr>
        <w:t>重新组织采购</w:t>
      </w:r>
    </w:p>
    <w:p w14:paraId="262EDCEB">
      <w:pPr>
        <w:pStyle w:val="52"/>
        <w:tabs>
          <w:tab w:val="left" w:pos="0"/>
        </w:tabs>
        <w:spacing w:before="0" w:line="336" w:lineRule="auto"/>
        <w:ind w:firstLine="480"/>
        <w:rPr>
          <w:rFonts w:ascii="宋体"/>
          <w:color w:val="000000" w:themeColor="text1"/>
          <w:lang w:val="zh-CN"/>
          <w14:textFill>
            <w14:solidFill>
              <w14:schemeClr w14:val="tx1"/>
            </w14:solidFill>
          </w14:textFill>
        </w:rPr>
      </w:pPr>
      <w:r>
        <w:rPr>
          <w:rFonts w:ascii="宋体" w:hAnsi="宋体" w:cs="宋体"/>
          <w:color w:val="000000" w:themeColor="text1"/>
          <w14:textFill>
            <w14:solidFill>
              <w14:schemeClr w14:val="tx1"/>
            </w14:solidFill>
          </w14:textFill>
        </w:rPr>
        <w:t>17.1</w:t>
      </w:r>
      <w:r>
        <w:rPr>
          <w:rFonts w:hint="eastAsia" w:ascii="宋体" w:hAnsi="宋体" w:cs="宋体"/>
          <w:color w:val="000000" w:themeColor="text1"/>
          <w:lang w:val="zh-CN"/>
          <w14:textFill>
            <w14:solidFill>
              <w14:schemeClr w14:val="tx1"/>
            </w14:solidFill>
          </w14:textFill>
        </w:rPr>
        <w:t>采购过程中出现以下情形，导致电子交易平台无法正常运行，或者无法保证电子交易的公平、公正和安全时，采购组织机构可中止电子交易活动：</w:t>
      </w:r>
    </w:p>
    <w:p w14:paraId="6EDDF7BD">
      <w:pPr>
        <w:numPr>
          <w:ilvl w:val="0"/>
          <w:numId w:val="13"/>
        </w:numPr>
        <w:tabs>
          <w:tab w:val="left" w:pos="0"/>
        </w:tabs>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电子交易平台发生故障而无法登录访问的；</w:t>
      </w:r>
      <w:r>
        <w:rPr>
          <w:rFonts w:ascii="宋体" w:hAnsi="宋体" w:cs="宋体"/>
          <w:color w:val="000000" w:themeColor="text1"/>
          <w:sz w:val="24"/>
          <w:szCs w:val="24"/>
          <w14:textFill>
            <w14:solidFill>
              <w14:schemeClr w14:val="tx1"/>
            </w14:solidFill>
          </w14:textFill>
        </w:rPr>
        <w:t xml:space="preserve"> </w:t>
      </w:r>
    </w:p>
    <w:p w14:paraId="5475FBBB">
      <w:pPr>
        <w:numPr>
          <w:ilvl w:val="0"/>
          <w:numId w:val="13"/>
        </w:numPr>
        <w:tabs>
          <w:tab w:val="left" w:pos="0"/>
        </w:tabs>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电子交易平台应用或数据库出现错误，不能进行正常操作的；</w:t>
      </w:r>
    </w:p>
    <w:p w14:paraId="4D470854">
      <w:pPr>
        <w:numPr>
          <w:ilvl w:val="0"/>
          <w:numId w:val="13"/>
        </w:numPr>
        <w:tabs>
          <w:tab w:val="left" w:pos="0"/>
        </w:tabs>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电子交易平台发现严重安全漏洞，有潜在泄密危险的；</w:t>
      </w:r>
    </w:p>
    <w:p w14:paraId="39175EB9">
      <w:pPr>
        <w:numPr>
          <w:ilvl w:val="0"/>
          <w:numId w:val="13"/>
        </w:numPr>
        <w:tabs>
          <w:tab w:val="left" w:pos="0"/>
        </w:tabs>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病毒发作导致不能进行正常操作的；</w:t>
      </w:r>
      <w:r>
        <w:rPr>
          <w:rFonts w:ascii="宋体" w:hAnsi="宋体" w:cs="宋体"/>
          <w:color w:val="000000" w:themeColor="text1"/>
          <w:sz w:val="24"/>
          <w:szCs w:val="24"/>
          <w14:textFill>
            <w14:solidFill>
              <w14:schemeClr w14:val="tx1"/>
            </w14:solidFill>
          </w14:textFill>
        </w:rPr>
        <w:t xml:space="preserve"> </w:t>
      </w:r>
    </w:p>
    <w:p w14:paraId="5099C1BD">
      <w:pPr>
        <w:numPr>
          <w:ilvl w:val="0"/>
          <w:numId w:val="13"/>
        </w:numPr>
        <w:tabs>
          <w:tab w:val="left" w:pos="0"/>
        </w:tabs>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其他无法保证电子交易的公平、公正和安全的情况。</w:t>
      </w:r>
    </w:p>
    <w:p w14:paraId="35AA4408">
      <w:pPr>
        <w:pStyle w:val="52"/>
        <w:tabs>
          <w:tab w:val="left" w:pos="0"/>
        </w:tabs>
        <w:spacing w:before="0" w:line="336" w:lineRule="auto"/>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17.2</w:t>
      </w:r>
      <w:r>
        <w:rPr>
          <w:rFonts w:hint="eastAsia" w:ascii="宋体" w:hAnsi="宋体" w:cs="宋体"/>
          <w:color w:val="000000" w:themeColor="text1"/>
          <w14:textFill>
            <w14:solidFill>
              <w14:schemeClr w14:val="tx1"/>
            </w14:solidFill>
          </w14:textFill>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14:paraId="6000AE9C">
      <w:pPr>
        <w:pStyle w:val="3"/>
        <w:numPr>
          <w:ilvl w:val="0"/>
          <w:numId w:val="7"/>
        </w:numPr>
        <w:jc w:val="center"/>
        <w:rPr>
          <w:rFonts w:cs="Times New Roman"/>
          <w:color w:val="000000" w:themeColor="text1"/>
          <w14:textFill>
            <w14:solidFill>
              <w14:schemeClr w14:val="tx1"/>
            </w14:solidFill>
          </w14:textFill>
        </w:rPr>
      </w:pPr>
      <w:r>
        <w:rPr>
          <w:color w:val="000000" w:themeColor="text1"/>
          <w14:textFill>
            <w14:solidFill>
              <w14:schemeClr w14:val="tx1"/>
            </w14:solidFill>
          </w14:textFill>
        </w:rPr>
        <w:t xml:space="preserve"> </w:t>
      </w:r>
      <w:bookmarkStart w:id="62" w:name="_Toc14029"/>
      <w:bookmarkStart w:id="63" w:name="_Toc25549"/>
      <w:r>
        <w:rPr>
          <w:rFonts w:hint="eastAsia"/>
          <w:color w:val="000000" w:themeColor="text1"/>
          <w14:textFill>
            <w14:solidFill>
              <w14:schemeClr w14:val="tx1"/>
            </w14:solidFill>
          </w14:textFill>
        </w:rPr>
        <w:t>确定成交供应商与签订合同</w:t>
      </w:r>
      <w:bookmarkEnd w:id="62"/>
      <w:bookmarkEnd w:id="63"/>
    </w:p>
    <w:p w14:paraId="1537905C">
      <w:pPr>
        <w:snapToGrid w:val="0"/>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18</w:t>
      </w:r>
      <w:r>
        <w:rPr>
          <w:rFonts w:hint="eastAsia" w:ascii="宋体" w:hAnsi="宋体" w:cs="宋体"/>
          <w:b/>
          <w:bCs/>
          <w:color w:val="000000" w:themeColor="text1"/>
          <w:sz w:val="24"/>
          <w:szCs w:val="24"/>
          <w14:textFill>
            <w14:solidFill>
              <w14:schemeClr w14:val="tx1"/>
            </w14:solidFill>
          </w14:textFill>
        </w:rPr>
        <w:t>、推荐成交候选供应商</w:t>
      </w:r>
    </w:p>
    <w:p w14:paraId="0FA9CC4D">
      <w:pPr>
        <w:snapToGri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18.1 </w:t>
      </w:r>
      <w:r>
        <w:rPr>
          <w:rFonts w:hint="eastAsia" w:ascii="宋体" w:hAnsi="宋体" w:cs="宋体"/>
          <w:color w:val="000000" w:themeColor="text1"/>
          <w:sz w:val="24"/>
          <w:szCs w:val="24"/>
          <w14:textFill>
            <w14:solidFill>
              <w14:schemeClr w14:val="tx1"/>
            </w14:solidFill>
          </w14:textFill>
        </w:rPr>
        <w:t>磋商小组应当根据综合评分情况，按照评审得分由高到低顺序推荐</w:t>
      </w: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名或以上成交候选供应商，并编写评审报告。评审得分相同的，按照最后报价由低到高的顺序推荐。评审得分且最后报价相同的，按照技术指标优劣顺序推荐。</w:t>
      </w:r>
    </w:p>
    <w:p w14:paraId="000F6644">
      <w:pPr>
        <w:snapToGri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18.2 </w:t>
      </w:r>
      <w:r>
        <w:rPr>
          <w:rFonts w:hint="eastAsia" w:ascii="宋体" w:hAnsi="宋体" w:cs="宋体"/>
          <w:color w:val="000000" w:themeColor="text1"/>
          <w:sz w:val="24"/>
          <w:szCs w:val="24"/>
          <w14:textFill>
            <w14:solidFill>
              <w14:schemeClr w14:val="tx1"/>
            </w14:solidFill>
          </w14:textFill>
        </w:rPr>
        <w:t>采购代理机构应当在评审结束后</w:t>
      </w: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个工作日内将评审报告送采购人确认。</w:t>
      </w:r>
    </w:p>
    <w:p w14:paraId="69D2EC55">
      <w:pPr>
        <w:snapToGrid w:val="0"/>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19</w:t>
      </w:r>
      <w:r>
        <w:rPr>
          <w:rFonts w:hint="eastAsia" w:ascii="宋体" w:hAnsi="宋体" w:cs="宋体"/>
          <w:b/>
          <w:bCs/>
          <w:color w:val="000000" w:themeColor="text1"/>
          <w:sz w:val="24"/>
          <w:szCs w:val="24"/>
          <w14:textFill>
            <w14:solidFill>
              <w14:schemeClr w14:val="tx1"/>
            </w14:solidFill>
          </w14:textFill>
        </w:rPr>
        <w:t>、确定成交供应商</w:t>
      </w:r>
    </w:p>
    <w:p w14:paraId="5BC16A78">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19.1</w:t>
      </w:r>
      <w:r>
        <w:rPr>
          <w:rFonts w:hint="eastAsia" w:ascii="宋体" w:hAnsi="宋体" w:cs="宋体"/>
          <w:color w:val="000000" w:themeColor="text1"/>
          <w:sz w:val="24"/>
          <w:szCs w:val="24"/>
          <w14:textFill>
            <w14:solidFill>
              <w14:schemeClr w14:val="tx1"/>
            </w14:solidFill>
          </w14:textFill>
        </w:rPr>
        <w:t>采购人应当在收到评审报告后</w:t>
      </w: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61E7328">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19.2</w:t>
      </w:r>
      <w:r>
        <w:rPr>
          <w:rFonts w:hint="eastAsia" w:ascii="宋体" w:hAnsi="宋体" w:cs="宋体"/>
          <w:color w:val="000000" w:themeColor="text1"/>
          <w:sz w:val="24"/>
          <w:szCs w:val="24"/>
          <w14:textFill>
            <w14:solidFill>
              <w14:schemeClr w14:val="tx1"/>
            </w14:solidFill>
          </w14:textFill>
        </w:rPr>
        <w:t>采购人或者采购代理机构应当在成交供应商确定后</w:t>
      </w: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个工作日内，在省级以上财政部门指定的政府采购信息发布媒体上公告成交结果，同时向成交供应商发出成交通知书。</w:t>
      </w:r>
    </w:p>
    <w:p w14:paraId="79349F24">
      <w:pPr>
        <w:adjustRightInd w:val="0"/>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20</w:t>
      </w:r>
      <w:r>
        <w:rPr>
          <w:rFonts w:hint="eastAsia" w:ascii="宋体" w:hAnsi="宋体" w:cs="宋体"/>
          <w:b/>
          <w:bCs/>
          <w:color w:val="000000" w:themeColor="text1"/>
          <w:sz w:val="24"/>
          <w:szCs w:val="24"/>
          <w14:textFill>
            <w14:solidFill>
              <w14:schemeClr w14:val="tx1"/>
            </w14:solidFill>
          </w14:textFill>
        </w:rPr>
        <w:t>、签订合同</w:t>
      </w:r>
    </w:p>
    <w:p w14:paraId="72CA3192">
      <w:pPr>
        <w:pStyle w:val="52"/>
        <w:snapToGrid w:val="0"/>
        <w:spacing w:before="0" w:line="336" w:lineRule="auto"/>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20.1. </w:t>
      </w:r>
      <w:r>
        <w:rPr>
          <w:rFonts w:hint="eastAsia" w:ascii="宋体" w:hAnsi="宋体" w:cs="宋体"/>
          <w:color w:val="000000" w:themeColor="text1"/>
          <w14:textFill>
            <w14:solidFill>
              <w14:schemeClr w14:val="tx1"/>
            </w14:solidFill>
          </w14:textFill>
        </w:rPr>
        <w:t>采购人与成交供应商应当在成交通知书发出之日起</w:t>
      </w:r>
      <w:r>
        <w:rPr>
          <w:rFonts w:ascii="宋体" w:hAnsi="宋体" w:cs="宋体"/>
          <w:color w:val="000000" w:themeColor="text1"/>
          <w14:textFill>
            <w14:solidFill>
              <w14:schemeClr w14:val="tx1"/>
            </w14:solidFill>
          </w14:textFill>
        </w:rPr>
        <w:t>30</w:t>
      </w:r>
      <w:r>
        <w:rPr>
          <w:rFonts w:hint="eastAsia" w:ascii="宋体" w:hAnsi="宋体" w:cs="宋体"/>
          <w:color w:val="000000" w:themeColor="text1"/>
          <w14:textFill>
            <w14:solidFill>
              <w14:schemeClr w14:val="tx1"/>
            </w14:solidFill>
          </w14:textFill>
        </w:rPr>
        <w:t>日内，按照磋商文件确定的合同文本以及采购标的、规格型号、采购金额、采购数量、技术和服务要求等事项签订政府采购合同。</w:t>
      </w:r>
    </w:p>
    <w:p w14:paraId="51DC93DE">
      <w:pPr>
        <w:pStyle w:val="52"/>
        <w:snapToGrid w:val="0"/>
        <w:spacing w:before="0" w:line="336" w:lineRule="auto"/>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20.2. </w:t>
      </w:r>
      <w:r>
        <w:rPr>
          <w:rFonts w:hint="eastAsia" w:ascii="宋体" w:hAnsi="宋体" w:cs="宋体"/>
          <w:color w:val="000000" w:themeColor="text1"/>
          <w14:textFill>
            <w14:solidFill>
              <w14:schemeClr w14:val="tx1"/>
            </w14:solidFill>
          </w14:textFill>
        </w:rPr>
        <w:t>成交供应商拒绝签订政府采购合同的，采购人可以按照《政府采购竞争性磋商采购方式管理暂行办法》（财库〔</w:t>
      </w:r>
      <w:r>
        <w:rPr>
          <w:rFonts w:ascii="宋体" w:hAnsi="宋体" w:cs="宋体"/>
          <w:color w:val="000000" w:themeColor="text1"/>
          <w14:textFill>
            <w14:solidFill>
              <w14:schemeClr w14:val="tx1"/>
            </w14:solidFill>
          </w14:textFill>
        </w:rPr>
        <w:t>2014</w:t>
      </w:r>
      <w:r>
        <w:rPr>
          <w:rFonts w:hint="eastAsia" w:ascii="宋体" w:hAnsi="宋体" w:cs="宋体"/>
          <w:color w:val="000000" w:themeColor="text1"/>
          <w14:textFill>
            <w14:solidFill>
              <w14:schemeClr w14:val="tx1"/>
            </w14:solidFill>
          </w14:textFill>
        </w:rPr>
        <w:t>〕</w:t>
      </w:r>
      <w:r>
        <w:rPr>
          <w:rFonts w:ascii="宋体" w:hAnsi="宋体" w:cs="宋体"/>
          <w:color w:val="000000" w:themeColor="text1"/>
          <w14:textFill>
            <w14:solidFill>
              <w14:schemeClr w14:val="tx1"/>
            </w14:solidFill>
          </w14:textFill>
        </w:rPr>
        <w:t>214</w:t>
      </w:r>
      <w:r>
        <w:rPr>
          <w:rFonts w:hint="eastAsia" w:ascii="宋体" w:hAnsi="宋体" w:cs="宋体"/>
          <w:color w:val="000000" w:themeColor="text1"/>
          <w14:textFill>
            <w14:solidFill>
              <w14:schemeClr w14:val="tx1"/>
            </w14:solidFill>
          </w14:textFill>
        </w:rPr>
        <w:t>号）第二十八条第二款规定的原则确定其他供应商作为成交供应商并签订政府采购合同，也可以重新开展采购活动。拒绝签订政府采购合同的成交供应商不得参加对该项目重新开展的采购活动。</w:t>
      </w:r>
    </w:p>
    <w:p w14:paraId="16217FCC">
      <w:pPr>
        <w:adjustRightInd w:val="0"/>
        <w:snapToGrid w:val="0"/>
        <w:spacing w:line="336" w:lineRule="auto"/>
        <w:ind w:firstLine="482" w:firstLineChars="200"/>
        <w:rPr>
          <w:rFonts w:ascii="宋体"/>
          <w:b/>
          <w:bCs/>
          <w:color w:val="000000" w:themeColor="text1"/>
          <w:sz w:val="24"/>
          <w:szCs w:val="24"/>
          <w14:textFill>
            <w14:solidFill>
              <w14:schemeClr w14:val="tx1"/>
            </w14:solidFill>
          </w14:textFill>
        </w:rPr>
      </w:pPr>
      <w:r>
        <w:rPr>
          <w:rFonts w:ascii="宋体" w:hAnsi="宋体" w:cs="宋体"/>
          <w:b/>
          <w:bCs/>
          <w:color w:val="000000" w:themeColor="text1"/>
          <w:sz w:val="24"/>
          <w:szCs w:val="24"/>
          <w14:textFill>
            <w14:solidFill>
              <w14:schemeClr w14:val="tx1"/>
            </w14:solidFill>
          </w14:textFill>
        </w:rPr>
        <w:t>21</w:t>
      </w:r>
      <w:r>
        <w:rPr>
          <w:rFonts w:hint="eastAsia" w:ascii="宋体" w:hAnsi="宋体" w:cs="宋体"/>
          <w:b/>
          <w:bCs/>
          <w:color w:val="000000" w:themeColor="text1"/>
          <w:sz w:val="24"/>
          <w:szCs w:val="24"/>
          <w14:textFill>
            <w14:solidFill>
              <w14:schemeClr w14:val="tx1"/>
            </w14:solidFill>
          </w14:textFill>
        </w:rPr>
        <w:t>、解释权</w:t>
      </w:r>
    </w:p>
    <w:p w14:paraId="1E3067EA">
      <w:pPr>
        <w:adjustRightInd w:val="0"/>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磋商文件的解释权均属于</w:t>
      </w:r>
      <w:r>
        <w:rPr>
          <w:rFonts w:hint="eastAsia" w:ascii="宋体" w:hAnsi="宋体" w:cs="宋体"/>
          <w:color w:val="000000" w:themeColor="text1"/>
          <w:sz w:val="24"/>
          <w:szCs w:val="24"/>
          <w:u w:val="single"/>
          <w14:textFill>
            <w14:solidFill>
              <w14:schemeClr w14:val="tx1"/>
            </w14:solidFill>
          </w14:textFill>
        </w:rPr>
        <w:t>绍兴市上虞区气象局</w:t>
      </w:r>
      <w:r>
        <w:rPr>
          <w:rFonts w:hint="eastAsia" w:ascii="宋体" w:hAnsi="宋体" w:cs="宋体"/>
          <w:color w:val="000000" w:themeColor="text1"/>
          <w:sz w:val="24"/>
          <w:szCs w:val="24"/>
          <w14:textFill>
            <w14:solidFill>
              <w14:schemeClr w14:val="tx1"/>
            </w14:solidFill>
          </w14:textFill>
        </w:rPr>
        <w:t>和</w:t>
      </w:r>
      <w:r>
        <w:rPr>
          <w:rFonts w:hint="eastAsia" w:ascii="宋体" w:hAnsi="宋体" w:cs="宋体"/>
          <w:color w:val="000000" w:themeColor="text1"/>
          <w:sz w:val="24"/>
          <w:szCs w:val="24"/>
          <w:u w:val="single"/>
          <w14:textFill>
            <w14:solidFill>
              <w14:schemeClr w14:val="tx1"/>
            </w14:solidFill>
          </w14:textFill>
        </w:rPr>
        <w:t>中纬工程管理咨询有限公司</w:t>
      </w:r>
      <w:r>
        <w:rPr>
          <w:rFonts w:hint="eastAsia" w:ascii="宋体" w:hAnsi="宋体" w:cs="宋体"/>
          <w:color w:val="000000" w:themeColor="text1"/>
          <w:sz w:val="24"/>
          <w:szCs w:val="24"/>
          <w14:textFill>
            <w14:solidFill>
              <w14:schemeClr w14:val="tx1"/>
            </w14:solidFill>
          </w14:textFill>
        </w:rPr>
        <w:t>。</w:t>
      </w:r>
    </w:p>
    <w:p w14:paraId="420F3554">
      <w:pPr>
        <w:pStyle w:val="2"/>
        <w:jc w:val="center"/>
        <w:rPr>
          <w:rFonts w:cs="宋体"/>
          <w:color w:val="000000" w:themeColor="text1"/>
          <w:sz w:val="36"/>
          <w:szCs w:val="36"/>
          <w14:textFill>
            <w14:solidFill>
              <w14:schemeClr w14:val="tx1"/>
            </w14:solidFill>
          </w14:textFill>
        </w:rPr>
      </w:pPr>
      <w:r>
        <w:rPr>
          <w:color w:val="000000" w:themeColor="text1"/>
          <w:sz w:val="36"/>
          <w:szCs w:val="36"/>
          <w14:textFill>
            <w14:solidFill>
              <w14:schemeClr w14:val="tx1"/>
            </w14:solidFill>
          </w14:textFill>
        </w:rPr>
        <w:br w:type="page"/>
      </w:r>
      <w:bookmarkStart w:id="64" w:name="_Toc21248"/>
      <w:bookmarkStart w:id="65" w:name="_Toc25986"/>
      <w:r>
        <w:rPr>
          <w:rFonts w:hint="eastAsia"/>
          <w:color w:val="000000" w:themeColor="text1"/>
          <w:sz w:val="36"/>
          <w:szCs w:val="36"/>
          <w14:textFill>
            <w14:solidFill>
              <w14:schemeClr w14:val="tx1"/>
            </w14:solidFill>
          </w14:textFill>
        </w:rPr>
        <w:t xml:space="preserve">第三部分 </w:t>
      </w:r>
      <w:r>
        <w:rPr>
          <w:rFonts w:hint="eastAsia" w:cs="宋体"/>
          <w:color w:val="000000" w:themeColor="text1"/>
          <w:sz w:val="36"/>
          <w:szCs w:val="36"/>
          <w14:textFill>
            <w14:solidFill>
              <w14:schemeClr w14:val="tx1"/>
            </w14:solidFill>
          </w14:textFill>
        </w:rPr>
        <w:t>采购内容及要求</w:t>
      </w:r>
      <w:bookmarkEnd w:id="64"/>
      <w:bookmarkEnd w:id="65"/>
    </w:p>
    <w:p w14:paraId="5C7DAFA1">
      <w:pPr>
        <w:pStyle w:val="3"/>
        <w:spacing w:line="336" w:lineRule="auto"/>
        <w:jc w:val="center"/>
        <w:rPr>
          <w:color w:val="000000" w:themeColor="text1"/>
          <w14:textFill>
            <w14:solidFill>
              <w14:schemeClr w14:val="tx1"/>
            </w14:solidFill>
          </w14:textFill>
        </w:rPr>
      </w:pPr>
      <w:bookmarkStart w:id="66" w:name="_Toc1352"/>
      <w:r>
        <w:rPr>
          <w:rFonts w:hint="eastAsia"/>
          <w:color w:val="000000" w:themeColor="text1"/>
          <w14:textFill>
            <w14:solidFill>
              <w14:schemeClr w14:val="tx1"/>
            </w14:solidFill>
          </w14:textFill>
        </w:rPr>
        <w:t>第一章 采购内容及要求</w:t>
      </w:r>
      <w:bookmarkEnd w:id="66"/>
    </w:p>
    <w:p w14:paraId="5CC7A4B4">
      <w:pPr>
        <w:spacing w:line="360" w:lineRule="auto"/>
        <w:ind w:firstLine="482" w:firstLineChars="200"/>
        <w:rPr>
          <w:rFonts w:hint="eastAsia" w:ascii="宋体" w:hAnsi="宋体" w:cs="宋体"/>
          <w:b/>
          <w:color w:val="000000" w:themeColor="text1"/>
          <w:sz w:val="24"/>
          <w:szCs w:val="24"/>
          <w14:textFill>
            <w14:solidFill>
              <w14:schemeClr w14:val="tx1"/>
            </w14:solidFill>
          </w14:textFill>
        </w:rPr>
      </w:pPr>
      <w:bookmarkStart w:id="67" w:name="_Toc15284"/>
      <w:r>
        <w:rPr>
          <w:rFonts w:hint="eastAsia" w:ascii="宋体" w:hAnsi="宋体" w:cs="宋体"/>
          <w:b/>
          <w:bCs/>
          <w:color w:val="000000" w:themeColor="text1"/>
          <w:kern w:val="2"/>
          <w:sz w:val="24"/>
          <w:szCs w:val="24"/>
          <w14:textFill>
            <w14:solidFill>
              <w14:schemeClr w14:val="tx1"/>
            </w14:solidFill>
          </w14:textFill>
        </w:rPr>
        <w:t>一、</w:t>
      </w:r>
      <w:r>
        <w:rPr>
          <w:rFonts w:hint="eastAsia" w:ascii="宋体" w:hAnsi="宋体" w:cs="宋体"/>
          <w:b/>
          <w:color w:val="000000" w:themeColor="text1"/>
          <w:sz w:val="24"/>
          <w:szCs w:val="24"/>
          <w14:textFill>
            <w14:solidFill>
              <w14:schemeClr w14:val="tx1"/>
            </w14:solidFill>
          </w14:textFill>
        </w:rPr>
        <w:t>服务清单及要求</w:t>
      </w:r>
    </w:p>
    <w:p w14:paraId="720678D6">
      <w:pPr>
        <w:spacing w:line="360" w:lineRule="auto"/>
        <w:jc w:val="left"/>
        <w:rPr>
          <w:rFonts w:hint="eastAsia"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1.项目背景</w:t>
      </w:r>
    </w:p>
    <w:p w14:paraId="7D5695B6">
      <w:pPr>
        <w:pStyle w:val="3"/>
        <w:spacing w:line="360" w:lineRule="auto"/>
        <w:ind w:firstLine="480" w:firstLineChars="200"/>
        <w:rPr>
          <w:rFonts w:hint="eastAsia" w:hAnsi="宋体"/>
          <w:b w:val="0"/>
          <w:bCs w:val="0"/>
          <w:color w:val="000000" w:themeColor="text1"/>
          <w:sz w:val="24"/>
          <w:szCs w:val="24"/>
          <w14:textFill>
            <w14:solidFill>
              <w14:schemeClr w14:val="tx1"/>
            </w14:solidFill>
          </w14:textFill>
        </w:rPr>
      </w:pPr>
      <w:r>
        <w:rPr>
          <w:rFonts w:hint="eastAsia" w:hAnsi="宋体"/>
          <w:b w:val="0"/>
          <w:bCs w:val="0"/>
          <w:color w:val="000000" w:themeColor="text1"/>
          <w:sz w:val="24"/>
          <w:szCs w:val="24"/>
          <w14:textFill>
            <w14:solidFill>
              <w14:schemeClr w14:val="tx1"/>
            </w14:solidFill>
          </w14:textFill>
        </w:rPr>
        <w:t>X波段相控阵天气雷达系统作为气象观测和预警的重要设备，对于提高气象预报的准确性和时效性具有重要意义。为了确保气象雷达设备的稳定运行和数据质量，需要定期开展科学有效的技术保障和保养工作。</w:t>
      </w:r>
    </w:p>
    <w:p w14:paraId="7DBA5D93">
      <w:pPr>
        <w:pStyle w:val="2"/>
        <w:tabs>
          <w:tab w:val="left" w:pos="0"/>
        </w:tabs>
        <w:adjustRightInd w:val="0"/>
        <w:spacing w:line="360" w:lineRule="auto"/>
        <w:ind w:left="442" w:hanging="442"/>
        <w:rPr>
          <w:rFonts w:hint="eastAsia" w:ascii="宋体" w:hAnsi="宋体" w:cs="宋体"/>
          <w:color w:val="000000" w:themeColor="text1"/>
          <w:sz w:val="24"/>
          <w:szCs w:val="24"/>
          <w14:textFill>
            <w14:solidFill>
              <w14:schemeClr w14:val="tx1"/>
            </w14:solidFill>
          </w14:textFill>
        </w:rPr>
      </w:pPr>
      <w:bookmarkStart w:id="68" w:name="_Toc30777"/>
      <w:r>
        <w:rPr>
          <w:rFonts w:hint="eastAsia" w:ascii="宋体" w:hAnsi="宋体" w:cs="宋体"/>
          <w:color w:val="000000" w:themeColor="text1"/>
          <w:sz w:val="24"/>
          <w:szCs w:val="24"/>
          <w14:textFill>
            <w14:solidFill>
              <w14:schemeClr w14:val="tx1"/>
            </w14:solidFill>
          </w14:textFill>
        </w:rPr>
        <w:t>2.技术保障目标</w:t>
      </w:r>
      <w:bookmarkEnd w:id="68"/>
    </w:p>
    <w:p w14:paraId="71A4D758">
      <w:pPr>
        <w:pStyle w:val="84"/>
        <w:spacing w:line="36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（1）确保气象雷达设备的稳定运行，降低故障率；</w:t>
      </w:r>
    </w:p>
    <w:p w14:paraId="5BE6506A">
      <w:pPr>
        <w:pStyle w:val="85"/>
        <w:spacing w:line="360" w:lineRule="auto"/>
        <w:ind w:left="0"/>
        <w:rPr>
          <w:rFonts w:hint="eastAsia" w:eastAsia="宋体" w:cs="宋体"/>
          <w:color w:val="000000" w:themeColor="text1"/>
          <w:sz w:val="24"/>
          <w:szCs w:val="24"/>
          <w14:textFill>
            <w14:solidFill>
              <w14:schemeClr w14:val="tx1"/>
            </w14:solidFill>
          </w14:textFill>
        </w:rPr>
      </w:pPr>
      <w:r>
        <w:rPr>
          <w:rFonts w:hint="eastAsia" w:eastAsia="宋体" w:cs="宋体"/>
          <w:color w:val="000000" w:themeColor="text1"/>
          <w:sz w:val="24"/>
          <w:szCs w:val="24"/>
          <w14:textFill>
            <w14:solidFill>
              <w14:schemeClr w14:val="tx1"/>
            </w14:solidFill>
          </w14:textFill>
        </w:rPr>
        <w:t>（2）提高数据质量，确保数据的准确性和完整性；</w:t>
      </w:r>
    </w:p>
    <w:p w14:paraId="2DA7DFAE">
      <w:pPr>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（3）优化运维流程，提高运维效率；</w:t>
      </w:r>
    </w:p>
    <w:p w14:paraId="1C3CE2A4">
      <w:pPr>
        <w:pStyle w:val="84"/>
        <w:spacing w:line="36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（4）加强设备维护，延长设备使用寿命。</w:t>
      </w:r>
    </w:p>
    <w:p w14:paraId="66CF6B8B">
      <w:pPr>
        <w:spacing w:line="360" w:lineRule="auto"/>
        <w:jc w:val="left"/>
        <w:rPr>
          <w:rFonts w:hint="eastAsia"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3.项目采购内容及服务要求</w:t>
      </w:r>
    </w:p>
    <w:tbl>
      <w:tblPr>
        <w:tblStyle w:val="27"/>
        <w:tblW w:w="8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6"/>
        <w:gridCol w:w="1578"/>
        <w:gridCol w:w="833"/>
        <w:gridCol w:w="800"/>
        <w:gridCol w:w="4565"/>
      </w:tblGrid>
      <w:tr w14:paraId="188DF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E5D95A7">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shd w:val="clear" w:color="auto" w:fill="auto"/>
            <w:vAlign w:val="center"/>
          </w:tcPr>
          <w:p w14:paraId="2742FF90">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采购内容</w:t>
            </w:r>
          </w:p>
        </w:tc>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14:paraId="5052ED43">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单位</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864F4CA">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数量</w:t>
            </w:r>
          </w:p>
        </w:tc>
        <w:tc>
          <w:tcPr>
            <w:tcW w:w="4565" w:type="dxa"/>
            <w:tcBorders>
              <w:top w:val="single" w:color="auto" w:sz="4" w:space="0"/>
              <w:left w:val="single" w:color="auto" w:sz="4" w:space="0"/>
              <w:bottom w:val="single" w:color="auto" w:sz="4" w:space="0"/>
              <w:right w:val="single" w:color="auto" w:sz="4" w:space="0"/>
            </w:tcBorders>
            <w:shd w:val="clear" w:color="auto" w:fill="auto"/>
            <w:vAlign w:val="center"/>
          </w:tcPr>
          <w:p w14:paraId="740FADDD">
            <w:pPr>
              <w:widowControl/>
              <w:autoSpaceDE w:val="0"/>
              <w:adjustRightInd w:val="0"/>
              <w:spacing w:line="360" w:lineRule="auto"/>
              <w:ind w:firstLine="480"/>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备注</w:t>
            </w:r>
          </w:p>
        </w:tc>
      </w:tr>
      <w:tr w14:paraId="31EC8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197906DE">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1</w:t>
            </w:r>
          </w:p>
        </w:tc>
        <w:tc>
          <w:tcPr>
            <w:tcW w:w="1578" w:type="dxa"/>
            <w:tcBorders>
              <w:top w:val="single" w:color="auto" w:sz="4" w:space="0"/>
              <w:left w:val="single" w:color="auto" w:sz="4" w:space="0"/>
              <w:bottom w:val="single" w:color="auto" w:sz="4" w:space="0"/>
              <w:right w:val="single" w:color="auto" w:sz="4" w:space="0"/>
            </w:tcBorders>
            <w:shd w:val="clear" w:color="auto" w:fill="auto"/>
            <w:vAlign w:val="center"/>
          </w:tcPr>
          <w:p w14:paraId="530929CB">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上虞区X波段相控阵雷达维护、抢修服务</w:t>
            </w:r>
          </w:p>
        </w:tc>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14:paraId="219544F6">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14:textFill>
                  <w14:solidFill>
                    <w14:schemeClr w14:val="tx1"/>
                  </w14:solidFill>
                </w14:textFill>
              </w:rPr>
              <w:t>项</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68360A3">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1</w:t>
            </w:r>
          </w:p>
        </w:tc>
        <w:tc>
          <w:tcPr>
            <w:tcW w:w="4565" w:type="dxa"/>
            <w:tcBorders>
              <w:top w:val="single" w:color="auto" w:sz="4" w:space="0"/>
              <w:left w:val="single" w:color="auto" w:sz="4" w:space="0"/>
              <w:bottom w:val="single" w:color="auto" w:sz="4" w:space="0"/>
              <w:right w:val="single" w:color="auto" w:sz="4" w:space="0"/>
            </w:tcBorders>
            <w:shd w:val="clear" w:color="auto" w:fill="auto"/>
            <w:vAlign w:val="center"/>
          </w:tcPr>
          <w:p w14:paraId="291F542A">
            <w:pPr>
              <w:widowControl/>
              <w:autoSpaceDE w:val="0"/>
              <w:adjustRightInd w:val="0"/>
              <w:spacing w:line="360" w:lineRule="auto"/>
              <w:jc w:val="left"/>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sz w:val="24"/>
                <w:szCs w:val="24"/>
                <w:lang w:bidi="ar"/>
                <w14:textFill>
                  <w14:solidFill>
                    <w14:schemeClr w14:val="tx1"/>
                  </w14:solidFill>
                </w14:textFill>
              </w:rPr>
              <w:t>X波段相控阵雷达整机维护、雷达发射功率维护、雷达运行状态维护、伺服系统维护及应急抢修服务；定标工作；雷达站机房、塔上设施维护、</w:t>
            </w:r>
            <w:r>
              <w:rPr>
                <w:rFonts w:hint="eastAsia" w:ascii="宋体" w:hAnsi="宋体" w:cs="宋体"/>
                <w:color w:val="000000" w:themeColor="text1"/>
                <w:sz w:val="24"/>
                <w:szCs w:val="24"/>
                <w:lang w:val="en-US" w:eastAsia="zh-CN" w:bidi="ar"/>
                <w14:textFill>
                  <w14:solidFill>
                    <w14:schemeClr w14:val="tx1"/>
                  </w14:solidFill>
                </w14:textFill>
              </w:rPr>
              <w:t>上山道路简易维护、</w:t>
            </w:r>
            <w:r>
              <w:rPr>
                <w:rFonts w:hint="eastAsia" w:ascii="宋体" w:hAnsi="宋体" w:cs="宋体"/>
                <w:color w:val="000000" w:themeColor="text1"/>
                <w:sz w:val="24"/>
                <w:szCs w:val="24"/>
                <w:lang w:bidi="ar"/>
                <w14:textFill>
                  <w14:solidFill>
                    <w14:schemeClr w14:val="tx1"/>
                  </w14:solidFill>
                </w14:textFill>
              </w:rPr>
              <w:t>站点周边除草；站点服务器性能与存储空间维护、站点控制平台升级更新、防雷检测和铁塔安全性检测等工作。</w:t>
            </w:r>
          </w:p>
        </w:tc>
      </w:tr>
    </w:tbl>
    <w:p w14:paraId="5A296EEA">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4.服务总体需求</w:t>
      </w:r>
    </w:p>
    <w:p w14:paraId="0290F2D5">
      <w:pPr>
        <w:widowControl/>
        <w:adjustRightInd w:val="0"/>
        <w:spacing w:line="360" w:lineRule="auto"/>
        <w:ind w:firstLine="480" w:firstLineChars="200"/>
        <w:jc w:val="left"/>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中标方须组建2人及以上的专业保障队伍，负责X波段相控阵雷达系统的巡检维护服务，</w:t>
      </w:r>
      <w:r>
        <w:rPr>
          <w:rFonts w:hint="eastAsia" w:ascii="宋体" w:hAnsi="宋体" w:cs="宋体"/>
          <w:color w:val="000000" w:themeColor="text1"/>
          <w:kern w:val="2"/>
          <w:sz w:val="24"/>
          <w:szCs w:val="24"/>
          <w:lang w:bidi="ar"/>
          <w14:textFill>
            <w14:solidFill>
              <w14:schemeClr w14:val="tx1"/>
            </w14:solidFill>
          </w14:textFill>
        </w:rPr>
        <w:t>定期开展日巡查、月维护、汛前巡检和年维护以及疏水涂层涂刷和软件系统、中心站维护</w:t>
      </w:r>
      <w:r>
        <w:rPr>
          <w:rFonts w:hint="eastAsia" w:ascii="宋体" w:hAnsi="宋体" w:cs="宋体"/>
          <w:color w:val="000000" w:themeColor="text1"/>
          <w:kern w:val="2"/>
          <w:sz w:val="24"/>
          <w:szCs w:val="24"/>
          <w:lang w:eastAsia="zh-CN" w:bidi="ar"/>
          <w14:textFill>
            <w14:solidFill>
              <w14:schemeClr w14:val="tx1"/>
            </w14:solidFill>
          </w14:textFill>
        </w:rPr>
        <w:t>，</w:t>
      </w:r>
      <w:r>
        <w:rPr>
          <w:rFonts w:hint="eastAsia" w:ascii="宋体" w:hAnsi="宋体" w:cs="宋体"/>
          <w:color w:val="000000" w:themeColor="text1"/>
          <w:kern w:val="2"/>
          <w:sz w:val="24"/>
          <w:szCs w:val="24"/>
          <w:lang w:bidi="ar"/>
          <w14:textFill>
            <w14:solidFill>
              <w14:schemeClr w14:val="tx1"/>
            </w14:solidFill>
          </w14:textFill>
        </w:rPr>
        <w:t>保障雷达稳定正常运行。服务期1年。</w:t>
      </w:r>
    </w:p>
    <w:p w14:paraId="0DC09778">
      <w:pPr>
        <w:widowControl/>
        <w:autoSpaceDE w:val="0"/>
        <w:adjustRightInd w:val="0"/>
        <w:spacing w:line="360" w:lineRule="auto"/>
        <w:ind w:firstLine="480" w:firstLineChars="200"/>
        <w:jc w:val="left"/>
        <w:rPr>
          <w:rFonts w:hint="eastAsia" w:ascii="宋体" w:hAnsi="宋体" w:cs="宋体"/>
          <w:color w:val="000000" w:themeColor="text1"/>
          <w:kern w:val="2"/>
          <w:sz w:val="24"/>
          <w:szCs w:val="24"/>
          <w:lang w:bidi="ar"/>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维护项目参照中国气象局综合观测司印发的《X波段天气雷达观测规范（试行）》和《X波段天气雷达标校业务规范(试行)》，具体内容如下：</w:t>
      </w:r>
    </w:p>
    <w:p w14:paraId="307F9204">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（1）每年开展X波段双偏振相控阵天气雷达月巡检维护标校不少于</w:t>
      </w:r>
      <w:r>
        <w:rPr>
          <w:rFonts w:hint="eastAsia" w:ascii="宋体" w:hAnsi="宋体" w:cs="宋体"/>
          <w:color w:val="000000" w:themeColor="text1"/>
          <w:sz w:val="24"/>
          <w:lang w:val="en-US" w:eastAsia="zh-CN"/>
          <w14:textFill>
            <w14:solidFill>
              <w14:schemeClr w14:val="tx1"/>
            </w14:solidFill>
          </w14:textFill>
        </w:rPr>
        <w:t>10</w:t>
      </w:r>
      <w:r>
        <w:rPr>
          <w:rFonts w:hint="eastAsia" w:ascii="宋体" w:hAnsi="宋体" w:cs="宋体"/>
          <w:color w:val="000000" w:themeColor="text1"/>
          <w:sz w:val="24"/>
          <w14:textFill>
            <w14:solidFill>
              <w14:schemeClr w14:val="tx1"/>
            </w14:solidFill>
          </w14:textFill>
        </w:rPr>
        <w:t>次；</w:t>
      </w:r>
    </w:p>
    <w:p w14:paraId="29116F82">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（2）雷达汛前巡检标校1次；</w:t>
      </w:r>
    </w:p>
    <w:p w14:paraId="1CEF8FB7">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（3）汛期后年维护</w:t>
      </w:r>
      <w:r>
        <w:rPr>
          <w:rFonts w:hint="eastAsia" w:ascii="宋体" w:hAnsi="宋体" w:cs="宋体"/>
          <w:color w:val="000000" w:themeColor="text1"/>
          <w:sz w:val="24"/>
          <w14:textFill>
            <w14:solidFill>
              <w14:schemeClr w14:val="tx1"/>
            </w14:solidFill>
          </w14:textFill>
        </w:rPr>
        <w:t>标校</w:t>
      </w:r>
      <w:r>
        <w:rPr>
          <w:rFonts w:hint="eastAsia" w:ascii="宋体" w:hAnsi="宋体" w:cs="宋体"/>
          <w:color w:val="000000" w:themeColor="text1"/>
          <w:sz w:val="24"/>
          <w14:textFill>
            <w14:solidFill>
              <w14:schemeClr w14:val="tx1"/>
            </w14:solidFill>
          </w14:textFill>
        </w:rPr>
        <w:t>1次；</w:t>
      </w:r>
    </w:p>
    <w:p w14:paraId="2D692FE1">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（4）配套设备巡检保养每季度1次；</w:t>
      </w:r>
    </w:p>
    <w:p w14:paraId="375EA0C2">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（5）天线罩疏水涂层保养每年一次更新；</w:t>
      </w:r>
    </w:p>
    <w:p w14:paraId="4449FA08">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（6）雷达站环境巡检每月1次；</w:t>
      </w:r>
    </w:p>
    <w:p w14:paraId="6509F0A7">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维护过程中的相关照片和巡查维护记录应及时报送采购方或采购方指定部门。X波段相控阵雷达系统维护服务过程中的一切安全责任由中标方自行承担，采购人概不负责。</w:t>
      </w:r>
    </w:p>
    <w:p w14:paraId="49621826">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2"/>
          <w:sz w:val="24"/>
          <w:szCs w:val="21"/>
          <w14:textFill>
            <w14:solidFill>
              <w14:schemeClr w14:val="tx1"/>
            </w14:solidFill>
          </w14:textFill>
        </w:rPr>
        <w:t>（7）</w:t>
      </w:r>
      <w:r>
        <w:rPr>
          <w:rFonts w:hint="eastAsia" w:ascii="宋体" w:hAnsi="宋体" w:cs="宋体"/>
          <w:color w:val="000000" w:themeColor="text1"/>
          <w:sz w:val="24"/>
          <w14:textFill>
            <w14:solidFill>
              <w14:schemeClr w14:val="tx1"/>
            </w14:solidFill>
          </w14:textFill>
        </w:rPr>
        <w:t>每年至少开展1次</w:t>
      </w:r>
      <w:r>
        <w:rPr>
          <w:rFonts w:hint="eastAsia" w:ascii="宋体" w:hAnsi="宋体" w:cs="宋体"/>
          <w:color w:val="000000" w:themeColor="text1"/>
          <w:sz w:val="24"/>
          <w:lang w:val="en-US" w:eastAsia="zh-CN"/>
          <w14:textFill>
            <w14:solidFill>
              <w14:schemeClr w14:val="tx1"/>
            </w14:solidFill>
          </w14:textFill>
        </w:rPr>
        <w:t>由</w:t>
      </w:r>
      <w:r>
        <w:rPr>
          <w:rFonts w:ascii="宋体" w:hAnsi="宋体" w:cs="宋体"/>
          <w:color w:val="000000" w:themeColor="text1"/>
          <w:sz w:val="24"/>
          <w:szCs w:val="24"/>
          <w14:textFill>
            <w14:solidFill>
              <w14:schemeClr w14:val="tx1"/>
            </w14:solidFill>
          </w14:textFill>
        </w:rPr>
        <w:t>第三方检测单位对</w:t>
      </w:r>
      <w:r>
        <w:rPr>
          <w:rFonts w:hint="eastAsia" w:ascii="宋体" w:hAnsi="宋体" w:cs="宋体"/>
          <w:color w:val="000000" w:themeColor="text1"/>
          <w:sz w:val="24"/>
          <w:szCs w:val="24"/>
          <w:lang w:val="en-US" w:eastAsia="zh-CN"/>
          <w14:textFill>
            <w14:solidFill>
              <w14:schemeClr w14:val="tx1"/>
            </w14:solidFill>
          </w14:textFill>
        </w:rPr>
        <w:t>雷达主机、塔体、变压器及塔上机房内设备等</w:t>
      </w:r>
      <w:r>
        <w:rPr>
          <w:rFonts w:ascii="宋体" w:hAnsi="宋体" w:cs="宋体"/>
          <w:color w:val="000000" w:themeColor="text1"/>
          <w:sz w:val="24"/>
          <w:szCs w:val="24"/>
          <w14:textFill>
            <w14:solidFill>
              <w14:schemeClr w14:val="tx1"/>
            </w14:solidFill>
          </w14:textFill>
        </w:rPr>
        <w:t>进行</w:t>
      </w:r>
      <w:r>
        <w:rPr>
          <w:rFonts w:hint="eastAsia" w:ascii="宋体" w:hAnsi="宋体" w:cs="宋体"/>
          <w:color w:val="000000" w:themeColor="text1"/>
          <w:sz w:val="24"/>
          <w:szCs w:val="24"/>
          <w:lang w:val="en-US" w:eastAsia="zh-CN"/>
          <w14:textFill>
            <w14:solidFill>
              <w14:schemeClr w14:val="tx1"/>
            </w14:solidFill>
          </w14:textFill>
        </w:rPr>
        <w:t>防雷</w:t>
      </w:r>
      <w:r>
        <w:rPr>
          <w:rFonts w:ascii="宋体" w:hAnsi="宋体" w:cs="宋体"/>
          <w:color w:val="000000" w:themeColor="text1"/>
          <w:sz w:val="24"/>
          <w:szCs w:val="24"/>
          <w14:textFill>
            <w14:solidFill>
              <w14:schemeClr w14:val="tx1"/>
            </w14:solidFill>
          </w14:textFill>
        </w:rPr>
        <w:t>检测</w:t>
      </w:r>
      <w:r>
        <w:rPr>
          <w:rFonts w:hint="eastAsia" w:ascii="宋体" w:hAnsi="宋体" w:cs="宋体"/>
          <w:color w:val="000000" w:themeColor="text1"/>
          <w:sz w:val="24"/>
          <w14:textFill>
            <w14:solidFill>
              <w14:schemeClr w14:val="tx1"/>
            </w14:solidFill>
          </w14:textFill>
        </w:rPr>
        <w:t>，出具相关检测报告，相关检测单位应具备相应资质，发现问题或隐患应及时整改</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整改费用由采购方承担</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w:t>
      </w:r>
    </w:p>
    <w:p w14:paraId="250FADCB">
      <w:pPr>
        <w:pStyle w:val="2"/>
        <w:autoSpaceDE w:val="0"/>
        <w:adjustRightInd w:val="0"/>
        <w:spacing w:line="360" w:lineRule="auto"/>
        <w:jc w:val="left"/>
        <w:rPr>
          <w:rFonts w:hint="eastAsia" w:ascii="宋体" w:hAnsi="宋体" w:cs="宋体"/>
          <w:color w:val="000000" w:themeColor="text1"/>
          <w:kern w:val="2"/>
          <w:sz w:val="24"/>
          <w:szCs w:val="24"/>
          <w:lang w:bidi="ar"/>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5.运维要求</w:t>
      </w:r>
    </w:p>
    <w:tbl>
      <w:tblPr>
        <w:tblStyle w:val="27"/>
        <w:tblW w:w="9664" w:type="dxa"/>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573"/>
        <w:gridCol w:w="787"/>
        <w:gridCol w:w="6619"/>
      </w:tblGrid>
      <w:tr w14:paraId="1D528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658B12D2">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序号</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235DE678">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内容</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45F5DD0">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次数</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399ED4B2">
            <w:pPr>
              <w:pStyle w:val="86"/>
              <w:spacing w:line="360" w:lineRule="auto"/>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备注</w:t>
            </w:r>
          </w:p>
        </w:tc>
      </w:tr>
      <w:tr w14:paraId="09CD6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02DA6591">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1</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0F770CA6">
            <w:pPr>
              <w:pStyle w:val="86"/>
              <w:spacing w:line="360" w:lineRule="auto"/>
              <w:rPr>
                <w:rFonts w:hint="eastAsia" w:eastAsia="宋体" w:cs="宋体"/>
                <w:color w:val="000000" w:themeColor="text1"/>
                <w:kern w:val="2"/>
                <w:sz w:val="24"/>
                <w:szCs w:val="24"/>
                <w:lang w:val="en-US" w:eastAsia="zh-CN"/>
                <w14:textFill>
                  <w14:solidFill>
                    <w14:schemeClr w14:val="tx1"/>
                  </w14:solidFill>
                </w14:textFill>
              </w:rPr>
            </w:pPr>
            <w:r>
              <w:rPr>
                <w:rFonts w:cs="宋体"/>
                <w:color w:val="000000" w:themeColor="text1"/>
                <w:sz w:val="24"/>
                <w:szCs w:val="24"/>
                <w14:textFill>
                  <w14:solidFill>
                    <w14:schemeClr w14:val="tx1"/>
                  </w14:solidFill>
                </w14:textFill>
              </w:rPr>
              <w:t>月巡检</w:t>
            </w:r>
            <w:r>
              <w:rPr>
                <w:rFonts w:hint="eastAsia" w:cs="宋体"/>
                <w:color w:val="000000" w:themeColor="text1"/>
                <w:sz w:val="24"/>
                <w:szCs w:val="24"/>
                <w:lang w:val="en-US" w:eastAsia="zh-CN"/>
                <w14:textFill>
                  <w14:solidFill>
                    <w14:schemeClr w14:val="tx1"/>
                  </w14:solidFill>
                </w14:textFill>
              </w:rPr>
              <w:t>标校</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52CECC9">
            <w:pPr>
              <w:pStyle w:val="86"/>
              <w:spacing w:line="360" w:lineRule="auto"/>
              <w:rPr>
                <w:rFonts w:hint="default" w:eastAsia="宋体" w:cs="宋体"/>
                <w:color w:val="000000" w:themeColor="text1"/>
                <w:kern w:val="2"/>
                <w:sz w:val="24"/>
                <w:szCs w:val="24"/>
                <w:lang w:val="en-US" w:eastAsia="zh-CN"/>
                <w14:textFill>
                  <w14:solidFill>
                    <w14:schemeClr w14:val="tx1"/>
                  </w14:solidFill>
                </w14:textFill>
              </w:rPr>
            </w:pPr>
            <w:r>
              <w:rPr>
                <w:rFonts w:hint="eastAsia" w:cs="宋体"/>
                <w:color w:val="000000" w:themeColor="text1"/>
                <w:sz w:val="24"/>
                <w:szCs w:val="24"/>
                <w:lang w:val="en-US" w:eastAsia="zh-CN"/>
                <w14:textFill>
                  <w14:solidFill>
                    <w14:schemeClr w14:val="tx1"/>
                  </w14:solidFill>
                </w14:textFill>
              </w:rPr>
              <w:t>10</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0784B982">
            <w:pPr>
              <w:pStyle w:val="86"/>
              <w:spacing w:line="360" w:lineRule="auto"/>
              <w:jc w:val="left"/>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安排2名专业技术人员进行巡检，每年开展十次，技术人员须到雷达站开展月维护。维护内容包括检查并清洁发射机通风滤网灰尘，清洁空调和除湿系统滤尘网，发电机运行检查，UPS充放电维护（3个月维护1次）和查看避雷针工作情况等，并</w:t>
            </w:r>
            <w:r>
              <w:rPr>
                <w:rFonts w:hint="eastAsia" w:cs="宋体"/>
                <w:color w:val="000000" w:themeColor="text1"/>
                <w:sz w:val="24"/>
                <w:szCs w:val="24"/>
                <w:lang w:val="en-US" w:eastAsia="zh-CN"/>
                <w14:textFill>
                  <w14:solidFill>
                    <w14:schemeClr w14:val="tx1"/>
                  </w14:solidFill>
                </w14:textFill>
              </w:rPr>
              <w:t>进行雷达标校及</w:t>
            </w:r>
            <w:r>
              <w:rPr>
                <w:rFonts w:cs="宋体"/>
                <w:color w:val="000000" w:themeColor="text1"/>
                <w:sz w:val="24"/>
                <w:szCs w:val="24"/>
                <w14:textFill>
                  <w14:solidFill>
                    <w14:schemeClr w14:val="tx1"/>
                  </w14:solidFill>
                </w14:textFill>
              </w:rPr>
              <w:t>出具月巡检报告。</w:t>
            </w:r>
          </w:p>
        </w:tc>
      </w:tr>
      <w:tr w14:paraId="500DF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27BE9ED5">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2</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56E01078">
            <w:pPr>
              <w:pStyle w:val="86"/>
              <w:spacing w:line="360" w:lineRule="auto"/>
              <w:rPr>
                <w:rFonts w:cs="宋体"/>
                <w:color w:val="000000" w:themeColor="text1"/>
                <w:kern w:val="2"/>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讯前巡检</w:t>
            </w:r>
            <w:r>
              <w:rPr>
                <w:rFonts w:hint="eastAsia" w:cs="宋体"/>
                <w:color w:val="000000" w:themeColor="text1"/>
                <w:sz w:val="24"/>
                <w:szCs w:val="24"/>
                <w:lang w:eastAsia="zh-CN"/>
                <w14:textFill>
                  <w14:solidFill>
                    <w14:schemeClr w14:val="tx1"/>
                  </w14:solidFill>
                </w14:textFill>
              </w:rPr>
              <w:t>标</w:t>
            </w:r>
            <w:r>
              <w:rPr>
                <w:rFonts w:hint="eastAsia" w:cs="宋体"/>
                <w:color w:val="000000" w:themeColor="text1"/>
                <w:sz w:val="24"/>
                <w:szCs w:val="24"/>
                <w14:textFill>
                  <w14:solidFill>
                    <w14:schemeClr w14:val="tx1"/>
                  </w14:solidFill>
                </w14:textFill>
              </w:rPr>
              <w:t>校及汛期后年维护</w:t>
            </w:r>
            <w:r>
              <w:rPr>
                <w:rFonts w:hint="eastAsia" w:cs="宋体"/>
                <w:color w:val="000000" w:themeColor="text1"/>
                <w:sz w:val="24"/>
                <w:szCs w:val="24"/>
                <w:lang w:eastAsia="zh-CN"/>
                <w14:textFill>
                  <w14:solidFill>
                    <w14:schemeClr w14:val="tx1"/>
                  </w14:solidFill>
                </w14:textFill>
              </w:rPr>
              <w:t>标校</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CE4A32F">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2</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1A5528E1">
            <w:pPr>
              <w:pStyle w:val="86"/>
              <w:spacing w:line="360" w:lineRule="auto"/>
              <w:jc w:val="left"/>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安排3名专业技术人员进行巡检，每年汛期前和汛期结束后，技术人员须分别开展一次汛前巡检和年维护。维护内容包括检查天线座和天线罩单元，对天线罩内进行清洁维护；检查和维护天线及伺服各机械部件；检查绝缘子、接线板、空气开关、交流接触器等接线松紧，并清洁灰尘；测量/记录各分机主要测试点的波形/参数，拆洗、维护空调机、除湿系统、风机等；进行雷达标校。</w:t>
            </w:r>
          </w:p>
        </w:tc>
      </w:tr>
      <w:tr w14:paraId="0A68B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436EC8AF">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3</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0C15CA41">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软件系统、中心站维护</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3AFCC993">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1</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0ECDDB74">
            <w:pPr>
              <w:pStyle w:val="86"/>
              <w:spacing w:line="360" w:lineRule="auto"/>
              <w:jc w:val="left"/>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1、系统软件产品优化完善。2、系统数据库运行检查与优化。3、数据质量跟踪并处理。4、案例分析。</w:t>
            </w:r>
          </w:p>
        </w:tc>
      </w:tr>
      <w:tr w14:paraId="338AC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6F20894C">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4</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4E400D9D">
            <w:pPr>
              <w:pStyle w:val="86"/>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防雷检测</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0A57142F">
            <w:pPr>
              <w:pStyle w:val="86"/>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49AE01E0">
            <w:pPr>
              <w:pStyle w:val="86"/>
              <w:jc w:val="left"/>
              <w:rPr>
                <w:rFonts w:cs="宋体"/>
                <w:color w:val="000000" w:themeColor="text1"/>
                <w:sz w:val="24"/>
                <w:szCs w:val="24"/>
                <w14:textFill>
                  <w14:solidFill>
                    <w14:schemeClr w14:val="tx1"/>
                  </w14:solidFill>
                </w14:textFill>
              </w:rPr>
            </w:pPr>
            <w:r>
              <w:rPr>
                <w:rFonts w:hint="default" w:cs="宋体"/>
                <w:color w:val="000000" w:themeColor="text1"/>
                <w:sz w:val="24"/>
                <w:szCs w:val="24"/>
                <w14:textFill>
                  <w14:solidFill>
                    <w14:schemeClr w14:val="tx1"/>
                  </w14:solidFill>
                </w14:textFill>
              </w:rPr>
              <w:t>第三方检测单位对</w:t>
            </w:r>
            <w:r>
              <w:rPr>
                <w:rFonts w:hint="eastAsia" w:ascii="宋体" w:hAnsi="宋体" w:cs="宋体"/>
                <w:color w:val="000000" w:themeColor="text1"/>
                <w:sz w:val="24"/>
                <w:szCs w:val="24"/>
                <w:lang w:val="en-US" w:eastAsia="zh-CN"/>
                <w14:textFill>
                  <w14:solidFill>
                    <w14:schemeClr w14:val="tx1"/>
                  </w14:solidFill>
                </w14:textFill>
              </w:rPr>
              <w:t>雷达主机、塔体、变压器及塔上机房内设备等</w:t>
            </w:r>
            <w:r>
              <w:rPr>
                <w:rFonts w:hint="default"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进行</w:t>
            </w:r>
            <w:r>
              <w:rPr>
                <w:rFonts w:hint="eastAsia" w:ascii="宋体" w:hAnsi="宋体" w:cs="宋体"/>
                <w:color w:val="000000" w:themeColor="text1"/>
                <w:sz w:val="24"/>
                <w:szCs w:val="24"/>
                <w:lang w:val="en-US" w:eastAsia="zh-CN"/>
                <w14:textFill>
                  <w14:solidFill>
                    <w14:schemeClr w14:val="tx1"/>
                  </w14:solidFill>
                </w14:textFill>
              </w:rPr>
              <w:t>防雷</w:t>
            </w:r>
            <w:r>
              <w:rPr>
                <w:rFonts w:ascii="宋体" w:hAnsi="宋体" w:cs="宋体"/>
                <w:color w:val="000000" w:themeColor="text1"/>
                <w:sz w:val="24"/>
                <w:szCs w:val="24"/>
                <w14:textFill>
                  <w14:solidFill>
                    <w14:schemeClr w14:val="tx1"/>
                  </w14:solidFill>
                </w14:textFill>
              </w:rPr>
              <w:t>检测</w:t>
            </w:r>
            <w:r>
              <w:rPr>
                <w:rFonts w:hint="eastAsia" w:ascii="宋体" w:hAnsi="宋体" w:cs="宋体"/>
                <w:color w:val="000000" w:themeColor="text1"/>
                <w:sz w:val="24"/>
                <w14:textFill>
                  <w14:solidFill>
                    <w14:schemeClr w14:val="tx1"/>
                  </w14:solidFill>
                </w14:textFill>
              </w:rPr>
              <w:t>，出具相关检测报告</w:t>
            </w:r>
            <w:r>
              <w:rPr>
                <w:rFonts w:hint="default" w:cs="宋体"/>
                <w:color w:val="000000" w:themeColor="text1"/>
                <w:sz w:val="24"/>
                <w:szCs w:val="24"/>
                <w14:textFill>
                  <w14:solidFill>
                    <w14:schemeClr w14:val="tx1"/>
                  </w14:solidFill>
                </w14:textFill>
              </w:rPr>
              <w:t>。</w:t>
            </w:r>
          </w:p>
        </w:tc>
      </w:tr>
      <w:tr w14:paraId="51FB5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097CE86B">
            <w:pPr>
              <w:pStyle w:val="86"/>
              <w:spacing w:line="360" w:lineRule="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cs="宋体"/>
                <w:color w:val="000000" w:themeColor="text1"/>
                <w:kern w:val="2"/>
                <w:sz w:val="24"/>
                <w:szCs w:val="24"/>
                <w14:textFill>
                  <w14:solidFill>
                    <w14:schemeClr w14:val="tx1"/>
                  </w14:solidFill>
                </w14:textFill>
              </w:rPr>
              <w:t>5</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308614AD">
            <w:pPr>
              <w:pStyle w:val="86"/>
              <w:rPr>
                <w:rFonts w:hint="eastAsia" w:ascii="宋体" w:hAnsi="宋体" w:eastAsia="宋体" w:cs="宋体"/>
                <w:color w:val="000000" w:themeColor="text1"/>
                <w:sz w:val="24"/>
                <w:szCs w:val="24"/>
                <w:lang w:val="en-US" w:eastAsia="zh-CN" w:bidi="ar-SA"/>
                <w14:textFill>
                  <w14:solidFill>
                    <w14:schemeClr w14:val="tx1"/>
                  </w14:solidFill>
                </w14:textFill>
              </w:rPr>
            </w:pPr>
            <w:r>
              <w:rPr>
                <w:rFonts w:cs="宋体"/>
                <w:color w:val="000000" w:themeColor="text1"/>
                <w:sz w:val="24"/>
                <w:szCs w:val="24"/>
                <w14:textFill>
                  <w14:solidFill>
                    <w14:schemeClr w14:val="tx1"/>
                  </w14:solidFill>
                </w14:textFill>
              </w:rPr>
              <w:t>铁塔检测</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1CD2D6FC">
            <w:pPr>
              <w:pStyle w:val="86"/>
              <w:rPr>
                <w:rFonts w:hint="eastAsia" w:ascii="宋体" w:hAnsi="宋体" w:eastAsia="宋体" w:cs="宋体"/>
                <w:color w:val="000000" w:themeColor="text1"/>
                <w:sz w:val="24"/>
                <w:szCs w:val="24"/>
                <w:lang w:val="en-US" w:eastAsia="zh-CN" w:bidi="ar-SA"/>
                <w14:textFill>
                  <w14:solidFill>
                    <w14:schemeClr w14:val="tx1"/>
                  </w14:solidFill>
                </w14:textFill>
              </w:rPr>
            </w:pPr>
            <w:r>
              <w:rPr>
                <w:rFonts w:cs="宋体"/>
                <w:color w:val="000000" w:themeColor="text1"/>
                <w:szCs w:val="24"/>
                <w14:textFill>
                  <w14:solidFill>
                    <w14:schemeClr w14:val="tx1"/>
                  </w14:solidFill>
                </w14:textFill>
              </w:rPr>
              <w:t>1</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19277679">
            <w:pPr>
              <w:pStyle w:val="86"/>
              <w:rPr>
                <w:rFonts w:hint="default" w:ascii="宋体" w:hAnsi="宋体" w:eastAsia="宋体" w:cs="宋体"/>
                <w:color w:val="000000" w:themeColor="text1"/>
                <w:sz w:val="24"/>
                <w:szCs w:val="24"/>
                <w:lang w:val="en-US" w:eastAsia="zh-CN" w:bidi="ar-SA"/>
                <w14:textFill>
                  <w14:solidFill>
                    <w14:schemeClr w14:val="tx1"/>
                  </w14:solidFill>
                </w14:textFill>
              </w:rPr>
            </w:pPr>
            <w:r>
              <w:rPr>
                <w:rFonts w:hint="default" w:cs="宋体"/>
                <w:color w:val="000000" w:themeColor="text1"/>
                <w:sz w:val="24"/>
                <w:szCs w:val="24"/>
                <w14:textFill>
                  <w14:solidFill>
                    <w14:schemeClr w14:val="tx1"/>
                  </w14:solidFill>
                </w14:textFill>
              </w:rPr>
              <w:t>第三方检测单位对</w:t>
            </w:r>
            <w:r>
              <w:rPr>
                <w:rFonts w:cs="宋体"/>
                <w:color w:val="000000" w:themeColor="text1"/>
                <w:sz w:val="24"/>
                <w:szCs w:val="24"/>
                <w14:textFill>
                  <w14:solidFill>
                    <w14:schemeClr w14:val="tx1"/>
                  </w14:solidFill>
                </w14:textFill>
              </w:rPr>
              <w:t>铁塔</w:t>
            </w:r>
            <w:r>
              <w:rPr>
                <w:rFonts w:hint="default" w:cs="宋体"/>
                <w:color w:val="000000" w:themeColor="text1"/>
                <w:sz w:val="24"/>
                <w:szCs w:val="24"/>
                <w14:textFill>
                  <w14:solidFill>
                    <w14:schemeClr w14:val="tx1"/>
                  </w14:solidFill>
                </w14:textFill>
              </w:rPr>
              <w:t>进行检测，并且出具第三方检测报告。</w:t>
            </w:r>
          </w:p>
        </w:tc>
      </w:tr>
    </w:tbl>
    <w:p w14:paraId="533F21DE">
      <w:pPr>
        <w:pStyle w:val="3"/>
        <w:spacing w:line="360" w:lineRule="auto"/>
        <w:rPr>
          <w:rFonts w:hint="eastAsia" w:hAnsi="宋体" w:eastAsia="宋体"/>
          <w:color w:val="000000" w:themeColor="text1"/>
          <w:sz w:val="24"/>
          <w:szCs w:val="24"/>
          <w:lang w:val="en-US" w:eastAsia="zh-CN"/>
          <w14:textFill>
            <w14:solidFill>
              <w14:schemeClr w14:val="tx1"/>
            </w14:solidFill>
          </w14:textFill>
        </w:rPr>
      </w:pPr>
      <w:r>
        <w:rPr>
          <w:rFonts w:hint="eastAsia" w:hAnsi="宋体"/>
          <w:color w:val="000000" w:themeColor="text1"/>
          <w:sz w:val="24"/>
          <w:szCs w:val="24"/>
          <w14:textFill>
            <w14:solidFill>
              <w14:schemeClr w14:val="tx1"/>
            </w14:solidFill>
          </w14:textFill>
        </w:rPr>
        <w:t>5.1月巡查</w:t>
      </w:r>
      <w:r>
        <w:rPr>
          <w:rFonts w:hint="eastAsia" w:hAnsi="宋体"/>
          <w:color w:val="000000" w:themeColor="text1"/>
          <w:sz w:val="24"/>
          <w:szCs w:val="24"/>
          <w:lang w:val="en-US" w:eastAsia="zh-CN"/>
          <w14:textFill>
            <w14:solidFill>
              <w14:schemeClr w14:val="tx1"/>
            </w14:solidFill>
          </w14:textFill>
        </w:rPr>
        <w:t>标校</w:t>
      </w:r>
    </w:p>
    <w:p w14:paraId="38031A4A">
      <w:pPr>
        <w:spacing w:line="360" w:lineRule="auto"/>
        <w:ind w:firstLine="480" w:firstLineChars="200"/>
        <w:rPr>
          <w:rFonts w:hint="eastAsia" w:ascii="宋体" w:hAnsi="宋体" w:cs="宋体"/>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维护期内，每年开展十次，技术人员须到雷达站开展月维护</w:t>
      </w:r>
      <w:r>
        <w:rPr>
          <w:rFonts w:hint="eastAsia" w:ascii="宋体" w:hAnsi="宋体" w:cs="宋体"/>
          <w:color w:val="000000" w:themeColor="text1"/>
          <w:sz w:val="24"/>
          <w:szCs w:val="24"/>
          <w:lang w:val="en-US" w:eastAsia="zh-CN"/>
          <w14:textFill>
            <w14:solidFill>
              <w14:schemeClr w14:val="tx1"/>
            </w14:solidFill>
          </w14:textFill>
        </w:rPr>
        <w:t>标校</w:t>
      </w:r>
      <w:r>
        <w:rPr>
          <w:rFonts w:hint="eastAsia" w:ascii="宋体" w:hAnsi="宋体" w:cs="宋体"/>
          <w:color w:val="000000" w:themeColor="text1"/>
          <w:sz w:val="24"/>
          <w:szCs w:val="24"/>
          <w14:textFill>
            <w14:solidFill>
              <w14:schemeClr w14:val="tx1"/>
            </w14:solidFill>
          </w14:textFill>
        </w:rPr>
        <w:t>。维护内容包括检查并清洁发射机通风滤网灰尘，清洁空调和除湿系统滤尘网，发电机运行检查，UPS充放电维护（3个月维护1次）和查看避雷针工作情况等</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并进行雷达标校及出具月巡检报告</w:t>
      </w:r>
      <w:r>
        <w:rPr>
          <w:rFonts w:hint="eastAsia" w:ascii="宋体" w:hAnsi="宋体" w:cs="宋体"/>
          <w:color w:val="000000" w:themeColor="text1"/>
          <w:sz w:val="24"/>
          <w:szCs w:val="24"/>
          <w14:textFill>
            <w14:solidFill>
              <w14:schemeClr w14:val="tx1"/>
            </w14:solidFill>
          </w14:textFill>
        </w:rPr>
        <w:t>。</w:t>
      </w:r>
    </w:p>
    <w:p w14:paraId="6A145E26">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5.2</w:t>
      </w:r>
      <w:r>
        <w:rPr>
          <w:rFonts w:hint="eastAsia" w:cs="宋体"/>
          <w:color w:val="000000" w:themeColor="text1"/>
          <w:sz w:val="24"/>
          <w:szCs w:val="24"/>
          <w14:textFill>
            <w14:solidFill>
              <w14:schemeClr w14:val="tx1"/>
            </w14:solidFill>
          </w14:textFill>
        </w:rPr>
        <w:t>讯前巡检</w:t>
      </w:r>
      <w:r>
        <w:rPr>
          <w:rFonts w:hint="eastAsia" w:cs="宋体"/>
          <w:color w:val="000000" w:themeColor="text1"/>
          <w:sz w:val="24"/>
          <w:szCs w:val="24"/>
          <w:lang w:eastAsia="zh-CN"/>
          <w14:textFill>
            <w14:solidFill>
              <w14:schemeClr w14:val="tx1"/>
            </w14:solidFill>
          </w14:textFill>
        </w:rPr>
        <w:t>标</w:t>
      </w:r>
      <w:r>
        <w:rPr>
          <w:rFonts w:hint="eastAsia" w:cs="宋体"/>
          <w:color w:val="000000" w:themeColor="text1"/>
          <w:sz w:val="24"/>
          <w:szCs w:val="24"/>
          <w14:textFill>
            <w14:solidFill>
              <w14:schemeClr w14:val="tx1"/>
            </w14:solidFill>
          </w14:textFill>
        </w:rPr>
        <w:t>校及汛期后年维护</w:t>
      </w:r>
      <w:r>
        <w:rPr>
          <w:rFonts w:hint="eastAsia" w:cs="宋体"/>
          <w:color w:val="000000" w:themeColor="text1"/>
          <w:sz w:val="24"/>
          <w:szCs w:val="24"/>
          <w:lang w:eastAsia="zh-CN"/>
          <w14:textFill>
            <w14:solidFill>
              <w14:schemeClr w14:val="tx1"/>
            </w14:solidFill>
          </w14:textFill>
        </w:rPr>
        <w:t>标校</w:t>
      </w:r>
    </w:p>
    <w:p w14:paraId="2A6CCCC5">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安排3名专业技术人员进行巡检，每年汛期前和汛期结束后，技术人员须分别开展一次汛前巡检和年维护。维护内容包括检查天线座和天线罩单元，对天线罩内进行清洁维护；检查和维护天线及伺服各机械部件；检查绝缘子、接线板、空气开关、交流接触器等接线松紧，并清洁灰尘；测量/记录各分机主要测试点的波形/参数，拆洗、维护空调机、除湿系统、风机等；进行雷达标校。</w:t>
      </w:r>
    </w:p>
    <w:p w14:paraId="2AF869CD">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5.3软件系统、中心站维护</w:t>
      </w:r>
    </w:p>
    <w:p w14:paraId="16FF94D9">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维护期内对软件系统和中心站服务器进行维护，维护内容包括：</w:t>
      </w:r>
    </w:p>
    <w:p w14:paraId="65FE0539">
      <w:pPr>
        <w:pStyle w:val="6"/>
        <w:numPr>
          <w:ilvl w:val="0"/>
          <w:numId w:val="0"/>
        </w:numPr>
        <w:spacing w:line="360" w:lineRule="auto"/>
        <w:ind w:firstLine="241" w:firstLineChars="1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5.3.1中心站服务器维护</w:t>
      </w:r>
    </w:p>
    <w:p w14:paraId="5D1B44FB">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5.3.1.1 存储服务器维护</w:t>
      </w:r>
    </w:p>
    <w:p w14:paraId="7A3232E3">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定期检查存储服务器的空间剩余量和节点剩余量；检查历史降水数据的转移和备份是否正常。</w:t>
      </w:r>
    </w:p>
    <w:p w14:paraId="72D72945">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5.3.1.2 业务服务器维护</w:t>
      </w:r>
    </w:p>
    <w:p w14:paraId="4357312E">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检查分布式任务运行状态，查看是否均正常运行；服务器资源检查，包括CPU、内存、带宽负载等的使用状况，查看是否有CPU和内存占用过高等异常情况；安装安全软件对服务器的文件进行安全扫描，定期杀毒；系统补丁更新，修复漏洞。</w:t>
      </w:r>
    </w:p>
    <w:p w14:paraId="030687F5">
      <w:pPr>
        <w:pStyle w:val="6"/>
        <w:numPr>
          <w:ilvl w:val="0"/>
          <w:numId w:val="0"/>
        </w:numPr>
        <w:spacing w:line="360" w:lineRule="auto"/>
        <w:ind w:firstLine="241" w:firstLineChars="1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5.3.2雷达软件平台维护</w:t>
      </w:r>
    </w:p>
    <w:p w14:paraId="2C9A781B">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5.3.2.1软件平台功能性检查和BUG检查</w:t>
      </w:r>
    </w:p>
    <w:p w14:paraId="3CFE5CD5">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对软件平台各功能项进行每日检查，确认各功能正常运行及显示，并且对系统出现的缺陷和问题进行详细登记，根据缺陷问题的严重程度按照采购人的要求进行修复。</w:t>
      </w:r>
    </w:p>
    <w:p w14:paraId="053C2AA1">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5.3.2.2 软件平台系统升级和更新</w:t>
      </w:r>
    </w:p>
    <w:p w14:paraId="703C0E65">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对软件系统进行升级更新和优化，确认软件正常工作，在升级前先向采购人进行汇报，并提供升级会产生的影响进行明确说明，得到采购人同意后再进行升级更新和优化。</w:t>
      </w:r>
    </w:p>
    <w:p w14:paraId="4B012377">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5.3.2.3 软件平台网络安全维护</w:t>
      </w:r>
    </w:p>
    <w:p w14:paraId="05BA5FEE">
      <w:pPr>
        <w:pStyle w:val="20"/>
        <w:spacing w:line="360" w:lineRule="auto"/>
        <w:ind w:left="0" w:leftChars="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对操作系统、数据库和应用程序等软件进行及时的补丁更新和漏洞修复，防止安全漏洞被攻击者利用。建立完善的访问控制机制，限制未经授权的用户对系统资源的访问。对系统日志进行定期检查和分析，及时发现和处理异常行为，确保系统的运行安全。</w:t>
      </w:r>
    </w:p>
    <w:p w14:paraId="59FEDCD0">
      <w:pPr>
        <w:pStyle w:val="3"/>
        <w:rPr>
          <w:color w:val="000000" w:themeColor="text1"/>
          <w14:textFill>
            <w14:solidFill>
              <w14:schemeClr w14:val="tx1"/>
            </w14:solidFill>
          </w14:textFill>
        </w:rPr>
      </w:pPr>
      <w:r>
        <w:rPr>
          <w:rFonts w:hint="eastAsia"/>
          <w:color w:val="000000" w:themeColor="text1"/>
          <w14:textFill>
            <w14:solidFill>
              <w14:schemeClr w14:val="tx1"/>
            </w14:solidFill>
          </w14:textFill>
        </w:rPr>
        <w:t>5.4防雷检测维护</w:t>
      </w:r>
    </w:p>
    <w:p w14:paraId="216A0FF9">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5.4.1防雷设施维护</w:t>
      </w:r>
    </w:p>
    <w:p w14:paraId="7CF39952">
      <w:pPr>
        <w:pStyle w:val="6"/>
        <w:numPr>
          <w:ilvl w:val="0"/>
          <w:numId w:val="0"/>
        </w:numPr>
        <w:spacing w:line="360" w:lineRule="auto"/>
        <w:ind w:firstLine="723" w:firstLineChars="3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4</w:t>
      </w: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1</w:t>
      </w:r>
      <w:r>
        <w:rPr>
          <w:rFonts w:hAnsi="宋体"/>
          <w:color w:val="000000" w:themeColor="text1"/>
          <w:sz w:val="24"/>
          <w:szCs w:val="24"/>
          <w14:textFill>
            <w14:solidFill>
              <w14:schemeClr w14:val="tx1"/>
            </w14:solidFill>
          </w14:textFill>
        </w:rPr>
        <w:t>避雷针和接闪器的维护</w:t>
      </w:r>
    </w:p>
    <w:p w14:paraId="284DE523">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定期检查避雷针和接闪器是否有损坏、锈蚀等现象，并及时进行修复或更换。</w:t>
      </w:r>
    </w:p>
    <w:p w14:paraId="4F5C3D6A">
      <w:pPr>
        <w:pStyle w:val="6"/>
        <w:numPr>
          <w:ilvl w:val="0"/>
          <w:numId w:val="0"/>
        </w:numPr>
        <w:spacing w:line="360" w:lineRule="auto"/>
        <w:ind w:firstLine="723" w:firstLineChars="3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4.1.2</w:t>
      </w:r>
      <w:r>
        <w:rPr>
          <w:rFonts w:hAnsi="宋体"/>
          <w:color w:val="000000" w:themeColor="text1"/>
          <w:sz w:val="24"/>
          <w:szCs w:val="24"/>
          <w14:textFill>
            <w14:solidFill>
              <w14:schemeClr w14:val="tx1"/>
            </w14:solidFill>
          </w14:textFill>
        </w:rPr>
        <w:t>引下线的维护</w:t>
      </w:r>
    </w:p>
    <w:p w14:paraId="20ACF336">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定期检查引下线的连接情况，确保其电气连续性良好。</w:t>
      </w:r>
    </w:p>
    <w:p w14:paraId="25FB2115">
      <w:pPr>
        <w:pStyle w:val="6"/>
        <w:numPr>
          <w:ilvl w:val="0"/>
          <w:numId w:val="0"/>
        </w:numPr>
        <w:spacing w:line="360" w:lineRule="auto"/>
        <w:ind w:firstLine="723" w:firstLineChars="3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4</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1</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3</w:t>
      </w:r>
      <w:r>
        <w:rPr>
          <w:rFonts w:hAnsi="宋体"/>
          <w:color w:val="000000" w:themeColor="text1"/>
          <w:sz w:val="24"/>
          <w:szCs w:val="24"/>
          <w14:textFill>
            <w14:solidFill>
              <w14:schemeClr w14:val="tx1"/>
            </w14:solidFill>
          </w14:textFill>
        </w:rPr>
        <w:t>接地装置的维护</w:t>
      </w:r>
    </w:p>
    <w:p w14:paraId="2E30DA87">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定期检查接地装置的完好性，如有必要，应及时修复或更换损坏的接地设施。</w:t>
      </w:r>
    </w:p>
    <w:p w14:paraId="233C33DA">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5.4.2</w:t>
      </w:r>
      <w:r>
        <w:rPr>
          <w:rFonts w:hAnsi="宋体"/>
          <w:color w:val="000000" w:themeColor="text1"/>
          <w:sz w:val="24"/>
          <w:szCs w:val="24"/>
          <w14:textFill>
            <w14:solidFill>
              <w14:schemeClr w14:val="tx1"/>
            </w14:solidFill>
          </w14:textFill>
        </w:rPr>
        <w:t>铁塔防雷设施的定期检查</w:t>
      </w:r>
    </w:p>
    <w:p w14:paraId="579DFE9F">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除了上述防雷设施的检测和维护外，还需要定期对铁塔的防雷设施进行检查，包括铁塔的接地电阻、铁塔与机房地网的连接情况等，以确保铁塔的防雷性能良好。</w:t>
      </w:r>
    </w:p>
    <w:p w14:paraId="633DFE17">
      <w:pPr>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总结来说，相控阵雷达铁塔的防雷检测维护内容涵盖了防雷设施的检测、维护以及铁塔防雷设施的定期检查等多个方面。通过这些措施的实施，可以有效提高雷达铁塔的防雷性能，保障雷达系统的正常运行。</w:t>
      </w:r>
    </w:p>
    <w:p w14:paraId="5C499A83">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5.4.3</w:t>
      </w:r>
      <w:r>
        <w:rPr>
          <w:rFonts w:hAnsi="宋体"/>
          <w:color w:val="000000" w:themeColor="text1"/>
          <w:sz w:val="24"/>
          <w:szCs w:val="24"/>
          <w14:textFill>
            <w14:solidFill>
              <w14:schemeClr w14:val="tx1"/>
            </w14:solidFill>
          </w14:textFill>
        </w:rPr>
        <w:t>防雷报告</w:t>
      </w:r>
    </w:p>
    <w:p w14:paraId="4FF0B115">
      <w:pPr>
        <w:spacing w:line="360" w:lineRule="auto"/>
        <w:ind w:firstLine="480" w:firstLineChars="200"/>
        <w:rPr>
          <w:color w:val="000000" w:themeColor="text1"/>
          <w14:textFill>
            <w14:solidFill>
              <w14:schemeClr w14:val="tx1"/>
            </w14:solidFill>
          </w14:textFill>
        </w:rPr>
      </w:pPr>
      <w:r>
        <w:rPr>
          <w:rFonts w:ascii="宋体" w:hAnsi="宋体" w:cs="宋体"/>
          <w:color w:val="000000" w:themeColor="text1"/>
          <w:sz w:val="24"/>
          <w:szCs w:val="24"/>
          <w14:textFill>
            <w14:solidFill>
              <w14:schemeClr w14:val="tx1"/>
            </w14:solidFill>
          </w14:textFill>
        </w:rPr>
        <w:t>邀请具有资质的第三方检测单位对防雷检测进行检测，并且出具第三方检测报告。</w:t>
      </w:r>
    </w:p>
    <w:p w14:paraId="6320ED15">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6.运维流程</w:t>
      </w:r>
    </w:p>
    <w:p w14:paraId="0134298E">
      <w:pPr>
        <w:pStyle w:val="3"/>
        <w:keepLines/>
        <w:autoSpaceDE w:val="0"/>
        <w:adjustRightInd w:val="0"/>
        <w:spacing w:line="360" w:lineRule="auto"/>
        <w:ind w:left="21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6.1制定运维计划</w:t>
      </w:r>
    </w:p>
    <w:p w14:paraId="492AE7C7">
      <w:pPr>
        <w:adjustRightInd w:val="0"/>
        <w:spacing w:line="360" w:lineRule="auto"/>
        <w:ind w:left="228" w:leftChars="114" w:firstLine="240" w:firstLineChars="100"/>
        <w:rPr>
          <w:rFonts w:hint="eastAsia" w:ascii="宋体" w:hAnsi="宋体" w:cs="宋体"/>
          <w:b/>
          <w:bCs/>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根据雷达设备的实际情况，制定详细的运维计划，包括巡检周期、维护内容等。</w:t>
      </w:r>
      <w:r>
        <w:rPr>
          <w:rFonts w:hint="eastAsia" w:ascii="宋体" w:hAnsi="宋体" w:cs="宋体"/>
          <w:b/>
          <w:bCs/>
          <w:color w:val="000000" w:themeColor="text1"/>
          <w:kern w:val="2"/>
          <w:sz w:val="24"/>
          <w:szCs w:val="24"/>
          <w:lang w:bidi="ar"/>
          <w14:textFill>
            <w14:solidFill>
              <w14:schemeClr w14:val="tx1"/>
            </w14:solidFill>
          </w14:textFill>
        </w:rPr>
        <w:t>6.2.</w:t>
      </w:r>
      <w:r>
        <w:rPr>
          <w:rFonts w:hint="eastAsia" w:ascii="宋体" w:hAnsi="宋体" w:cs="宋体"/>
          <w:b/>
          <w:bCs/>
          <w:color w:val="000000" w:themeColor="text1"/>
          <w:kern w:val="2"/>
          <w:sz w:val="24"/>
          <w:szCs w:val="24"/>
          <w14:textFill>
            <w14:solidFill>
              <w14:schemeClr w14:val="tx1"/>
            </w14:solidFill>
          </w14:textFill>
        </w:rPr>
        <w:t>执行运维任务</w:t>
      </w:r>
    </w:p>
    <w:p w14:paraId="0E0AAA2B">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按照运维计划，定期对气象雷达设备进行巡检、维护等任务。</w:t>
      </w:r>
    </w:p>
    <w:p w14:paraId="4A2EEFA3">
      <w:pPr>
        <w:pStyle w:val="3"/>
        <w:keepLines/>
        <w:autoSpaceDE w:val="0"/>
        <w:adjustRightInd w:val="0"/>
        <w:spacing w:line="360" w:lineRule="auto"/>
        <w:ind w:firstLine="241" w:firstLineChars="10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6.3故障处理</w:t>
      </w:r>
    </w:p>
    <w:p w14:paraId="05AC2D04">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当设备出现故障时，10分钟内响应，3小时内排除故障，如因市电、通信等外部原因导致的故障，协助电力、移动通讯等单位开展故障排除工作，确保设备尽快恢复正常运行。</w:t>
      </w:r>
    </w:p>
    <w:p w14:paraId="39479C0A">
      <w:pPr>
        <w:pStyle w:val="3"/>
        <w:keepLines/>
        <w:autoSpaceDE w:val="0"/>
        <w:adjustRightInd w:val="0"/>
        <w:spacing w:line="360" w:lineRule="auto"/>
        <w:ind w:firstLine="241" w:firstLineChars="10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6.4数据质量监控</w:t>
      </w:r>
    </w:p>
    <w:p w14:paraId="0B39FE35">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对气象雷达数据进行质量监控，及时发现并处理数据异常。</w:t>
      </w:r>
    </w:p>
    <w:p w14:paraId="4AD9F12C">
      <w:pPr>
        <w:pStyle w:val="3"/>
        <w:keepLines/>
        <w:autoSpaceDE w:val="0"/>
        <w:adjustRightInd w:val="0"/>
        <w:spacing w:line="360" w:lineRule="auto"/>
        <w:ind w:firstLine="241" w:firstLineChars="10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6.5备份与恢复</w:t>
      </w:r>
    </w:p>
    <w:p w14:paraId="26060E7C">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对重要数据进行备份，并建立数据恢复机制。</w:t>
      </w:r>
    </w:p>
    <w:p w14:paraId="51667B4B">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7.应急响应机制</w:t>
      </w:r>
    </w:p>
    <w:p w14:paraId="6394DAB0">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7.1应急预案制定：根据历史故障数据和可能的风险点，制定详细的应急预案，包括故障快速响应流程、备用设备替换计划等。</w:t>
      </w:r>
    </w:p>
    <w:p w14:paraId="60968819">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7.2故障快速响应：在设备出现故障时，按照应急预案迅速启动应急响应机制，确保设备尽快恢复正常工作。</w:t>
      </w:r>
    </w:p>
    <w:p w14:paraId="09F01215">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7.3重大活动或者天气过程保障：在具有重大活动或者天气过程，需提供保障服务。</w:t>
      </w:r>
    </w:p>
    <w:p w14:paraId="59F271CA">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8. 合规性与安全管理</w:t>
      </w:r>
    </w:p>
    <w:p w14:paraId="45043B22">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8.1合规性检查：确保雷达设备的运维工作符合国家和地方的相关法规和标准，避免因违规操作带来的法律风险。</w:t>
      </w:r>
    </w:p>
    <w:p w14:paraId="4E5D5EA4">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8.2安全管理：加强设备的安全管理，防止设备被盗、损坏或受到其他不良影响。同时，加强数据安全管理，确保数据不被非法获取或篡改。为专业保障人员配备必要的安全设施，购买人身意外险，做好日常安全生产教育。</w:t>
      </w:r>
    </w:p>
    <w:p w14:paraId="6F04AADE">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9.文档管理</w:t>
      </w:r>
    </w:p>
    <w:p w14:paraId="211BF911">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9.1运维文档编制：建立完整的运维文档体系，包括设备操作手册、故障排查指南、巡检记录等，方便团队成员查阅和学习。</w:t>
      </w:r>
    </w:p>
    <w:p w14:paraId="492EC2BD">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9.2文档更新与维护：随着设备和技术的更新，及时对运维文档进行更新和维护，确保文档的准确性和时效性。</w:t>
      </w:r>
    </w:p>
    <w:p w14:paraId="21F1A407">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10.服务考核</w:t>
      </w:r>
    </w:p>
    <w:p w14:paraId="4E2E7270">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中标方保证雷达维护期内稳定运行率不低于90%（由于市电故障、通信故障、巡检维护导致的雷达停机或数据停传不计入雷达稳定运行率的统计），否则将被扣罚合同总价的3%违约金。</w:t>
      </w:r>
    </w:p>
    <w:p w14:paraId="66E920FB">
      <w:pPr>
        <w:pStyle w:val="11"/>
        <w:ind w:firstLine="0"/>
        <w:rPr>
          <w:rFonts w:hint="eastAsia"/>
          <w:color w:val="000000" w:themeColor="text1"/>
          <w14:textFill>
            <w14:solidFill>
              <w14:schemeClr w14:val="tx1"/>
            </w14:solidFill>
          </w14:textFill>
        </w:rPr>
      </w:pPr>
    </w:p>
    <w:p w14:paraId="4EA820C8">
      <w:pPr>
        <w:pStyle w:val="3"/>
        <w:spacing w:line="336" w:lineRule="auto"/>
        <w:jc w:val="center"/>
        <w:rPr>
          <w:rFonts w:hint="eastAsia" w:hAnsi="Calibri"/>
          <w:color w:val="000000" w:themeColor="text1"/>
          <w14:textFill>
            <w14:solidFill>
              <w14:schemeClr w14:val="tx1"/>
            </w14:solidFill>
          </w14:textFill>
        </w:rPr>
      </w:pPr>
      <w:bookmarkStart w:id="69" w:name="_Toc12256"/>
      <w:bookmarkStart w:id="70" w:name="_Toc506107121"/>
      <w:bookmarkStart w:id="71" w:name="_Toc26642"/>
      <w:bookmarkStart w:id="72" w:name="_Toc22912"/>
      <w:bookmarkStart w:id="73" w:name="_Toc21027"/>
    </w:p>
    <w:p w14:paraId="18A32569">
      <w:pPr>
        <w:pStyle w:val="3"/>
        <w:spacing w:line="336" w:lineRule="auto"/>
        <w:jc w:val="center"/>
        <w:rPr>
          <w:rFonts w:hint="eastAsia" w:hAnsi="Calibri"/>
          <w:color w:val="000000" w:themeColor="text1"/>
          <w14:textFill>
            <w14:solidFill>
              <w14:schemeClr w14:val="tx1"/>
            </w14:solidFill>
          </w14:textFill>
        </w:rPr>
      </w:pPr>
      <w:r>
        <w:rPr>
          <w:rFonts w:hint="eastAsia" w:hAnsi="Calibri"/>
          <w:color w:val="000000" w:themeColor="text1"/>
          <w14:textFill>
            <w14:solidFill>
              <w14:schemeClr w14:val="tx1"/>
            </w14:solidFill>
          </w14:textFill>
        </w:rPr>
        <w:t>第二章 付款方式及要求</w:t>
      </w:r>
      <w:bookmarkEnd w:id="69"/>
      <w:bookmarkEnd w:id="70"/>
      <w:bookmarkEnd w:id="71"/>
      <w:bookmarkEnd w:id="72"/>
      <w:bookmarkEnd w:id="73"/>
    </w:p>
    <w:p w14:paraId="45DEFA05">
      <w:pPr>
        <w:spacing w:line="360" w:lineRule="auto"/>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一、付款方式：</w:t>
      </w:r>
    </w:p>
    <w:p w14:paraId="162A7998">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付款方式：</w:t>
      </w:r>
      <w:r>
        <w:rPr>
          <w:rFonts w:hint="eastAsia" w:ascii="宋体" w:hAnsi="宋体" w:cs="宋体"/>
          <w:color w:val="000000" w:themeColor="text1"/>
          <w:sz w:val="24"/>
          <w:szCs w:val="24"/>
          <w14:textFill>
            <w14:solidFill>
              <w14:schemeClr w14:val="tx1"/>
            </w14:solidFill>
          </w14:textFill>
        </w:rPr>
        <w:t>采购人在合同生效以及具备实施条件后7个工作日内向中标人支付合同总价的50%</w:t>
      </w:r>
      <w:r>
        <w:rPr>
          <w:rFonts w:hint="eastAsia" w:ascii="宋体" w:hAnsi="宋体" w:cs="宋体"/>
          <w:color w:val="000000" w:themeColor="text1"/>
          <w:sz w:val="24"/>
          <w14:textFill>
            <w14:solidFill>
              <w14:schemeClr w14:val="tx1"/>
            </w14:solidFill>
          </w14:textFill>
        </w:rPr>
        <w:t>；在乙方服务良好的情况下，</w:t>
      </w:r>
      <w:r>
        <w:rPr>
          <w:rFonts w:hint="eastAsia" w:ascii="宋体" w:hAnsi="宋体" w:cs="宋体"/>
          <w:color w:val="000000" w:themeColor="text1"/>
          <w:sz w:val="24"/>
          <w:lang w:val="en-US" w:eastAsia="zh-CN"/>
          <w14:textFill>
            <w14:solidFill>
              <w14:schemeClr w14:val="tx1"/>
            </w14:solidFill>
          </w14:textFill>
        </w:rPr>
        <w:t>服务3个月后</w:t>
      </w:r>
      <w:r>
        <w:rPr>
          <w:rFonts w:hint="eastAsia" w:ascii="宋体" w:hAnsi="宋体" w:cs="宋体"/>
          <w:color w:val="000000" w:themeColor="text1"/>
          <w:sz w:val="24"/>
          <w14:textFill>
            <w14:solidFill>
              <w14:schemeClr w14:val="tx1"/>
            </w14:solidFill>
          </w14:textFill>
        </w:rPr>
        <w:t>，甲方收到发票后7个工作日内支付剩余合同价款。</w:t>
      </w:r>
    </w:p>
    <w:p w14:paraId="768785A5">
      <w:pPr>
        <w:spacing w:line="360" w:lineRule="auto"/>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二、付款要求：</w:t>
      </w:r>
    </w:p>
    <w:p w14:paraId="481F0B71">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中标人在收款之前，应向采购人提供等额、合法、有效的发票，采购人凭发票付款。如中标人未按约定提供发票的，采购人有权拒绝付款，直至收到中标人提交的相应发票为止，在此情况下，采购人不承担逾期付款违约责任。</w:t>
      </w:r>
    </w:p>
    <w:p w14:paraId="6A06DBAB">
      <w:pPr>
        <w:spacing w:line="360" w:lineRule="auto"/>
        <w:ind w:firstLine="480" w:firstLineChars="200"/>
        <w:rPr>
          <w:rFonts w:hint="eastAsia" w:ascii="宋体" w:hAnsi="宋体" w:cs="宋体"/>
          <w:color w:val="000000" w:themeColor="text1"/>
          <w14:textFill>
            <w14:solidFill>
              <w14:schemeClr w14:val="tx1"/>
            </w14:solidFill>
          </w14:textFill>
        </w:rPr>
        <w:sectPr>
          <w:pgSz w:w="11906" w:h="16838"/>
          <w:pgMar w:top="1417" w:right="1417" w:bottom="1417" w:left="1587" w:header="851" w:footer="992" w:gutter="0"/>
          <w:cols w:space="720" w:num="1"/>
          <w:docGrid w:type="lines" w:linePitch="312" w:charSpace="0"/>
        </w:sectPr>
      </w:pPr>
      <w:r>
        <w:rPr>
          <w:rFonts w:hint="eastAsia" w:ascii="宋体" w:hAnsi="宋体" w:cs="宋体"/>
          <w:color w:val="000000" w:themeColor="text1"/>
          <w:sz w:val="24"/>
          <w14:textFill>
            <w14:solidFill>
              <w14:schemeClr w14:val="tx1"/>
            </w14:solidFill>
          </w14:textFill>
        </w:rPr>
        <w:br w:type="page"/>
      </w:r>
    </w:p>
    <w:p w14:paraId="2426255C">
      <w:pPr>
        <w:pStyle w:val="2"/>
        <w:jc w:val="center"/>
        <w:rPr>
          <w:rFonts w:cs="Times New Roman"/>
          <w:color w:val="000000" w:themeColor="text1"/>
          <w:sz w:val="36"/>
          <w:szCs w:val="36"/>
          <w14:textFill>
            <w14:solidFill>
              <w14:schemeClr w14:val="tx1"/>
            </w14:solidFill>
          </w14:textFill>
        </w:rPr>
      </w:pPr>
      <w:bookmarkStart w:id="74" w:name="_Toc3006"/>
      <w:r>
        <w:rPr>
          <w:rFonts w:hint="eastAsia" w:cs="宋体"/>
          <w:color w:val="000000" w:themeColor="text1"/>
          <w:sz w:val="36"/>
          <w:szCs w:val="36"/>
          <w14:textFill>
            <w14:solidFill>
              <w14:schemeClr w14:val="tx1"/>
            </w14:solidFill>
          </w14:textFill>
        </w:rPr>
        <w:t>第四部分 磋商原则及磋商方法</w:t>
      </w:r>
      <w:bookmarkEnd w:id="67"/>
      <w:bookmarkEnd w:id="74"/>
    </w:p>
    <w:p w14:paraId="66740606">
      <w:pPr>
        <w:pStyle w:val="3"/>
        <w:numPr>
          <w:ilvl w:val="0"/>
          <w:numId w:val="14"/>
        </w:numPr>
        <w:jc w:val="center"/>
        <w:rPr>
          <w:rFonts w:cs="Times New Roman"/>
          <w:color w:val="000000" w:themeColor="text1"/>
          <w14:textFill>
            <w14:solidFill>
              <w14:schemeClr w14:val="tx1"/>
            </w14:solidFill>
          </w14:textFill>
        </w:rPr>
      </w:pPr>
      <w:bookmarkStart w:id="75" w:name="_Toc1265"/>
      <w:r>
        <w:rPr>
          <w:rFonts w:hint="eastAsia"/>
          <w:color w:val="000000" w:themeColor="text1"/>
          <w14:textFill>
            <w14:solidFill>
              <w14:schemeClr w14:val="tx1"/>
            </w14:solidFill>
          </w14:textFill>
        </w:rPr>
        <w:t xml:space="preserve"> </w:t>
      </w:r>
      <w:bookmarkStart w:id="76" w:name="_Toc26638"/>
      <w:r>
        <w:rPr>
          <w:rFonts w:hint="eastAsia"/>
          <w:color w:val="000000" w:themeColor="text1"/>
          <w14:textFill>
            <w14:solidFill>
              <w14:schemeClr w14:val="tx1"/>
            </w14:solidFill>
          </w14:textFill>
        </w:rPr>
        <w:t>磋商原则</w:t>
      </w:r>
      <w:bookmarkEnd w:id="75"/>
      <w:bookmarkEnd w:id="76"/>
    </w:p>
    <w:p w14:paraId="0C17F896">
      <w:pPr>
        <w:pStyle w:val="4"/>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、本次竞争性磋商本着公平、公正、科学、择优的原则，邀请各磋商方参加报价。</w:t>
      </w:r>
    </w:p>
    <w:p w14:paraId="0EA85542">
      <w:pPr>
        <w:pStyle w:val="4"/>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、磋商小组将严格按照竞争性磋商文件的要求，对供应商的响应性文件进行认真评审；磋商小组对响应性文件的评审仅依据响应性文件本身，而不依据响应性文件以外的任何因素。</w:t>
      </w:r>
    </w:p>
    <w:p w14:paraId="6ADB7261">
      <w:pPr>
        <w:pStyle w:val="4"/>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、磋商小组按照统一的磋商原则和磋商方法，用同一标准对所有响应性文件进行评审。</w:t>
      </w:r>
    </w:p>
    <w:p w14:paraId="7FBFF649">
      <w:pPr>
        <w:pStyle w:val="13"/>
        <w:spacing w:line="336" w:lineRule="auto"/>
        <w:ind w:firstLine="482" w:firstLineChars="200"/>
        <w:rPr>
          <w:rFonts w:hint="eastAsia" w:hAnsi="宋体" w:cs="Times New Roman"/>
          <w:b/>
          <w:bCs/>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t>4</w:t>
      </w:r>
      <w:r>
        <w:rPr>
          <w:rFonts w:hint="eastAsia" w:hAnsi="宋体"/>
          <w:b/>
          <w:bCs/>
          <w:color w:val="000000" w:themeColor="text1"/>
          <w:sz w:val="24"/>
          <w:szCs w:val="24"/>
          <w14:textFill>
            <w14:solidFill>
              <w14:schemeClr w14:val="tx1"/>
            </w14:solidFill>
          </w14:textFill>
        </w:rPr>
        <w:t>、评审</w:t>
      </w:r>
    </w:p>
    <w:p w14:paraId="025842E3">
      <w:pPr>
        <w:pStyle w:val="13"/>
        <w:spacing w:line="336" w:lineRule="auto"/>
        <w:ind w:firstLine="480" w:firstLineChars="200"/>
        <w:rPr>
          <w:rFonts w:hint="eastAsia" w:hAnsi="宋体" w:cs="Times New Roman"/>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4.1</w:t>
      </w:r>
      <w:r>
        <w:rPr>
          <w:rFonts w:hint="eastAsia" w:hAnsi="宋体"/>
          <w:color w:val="000000" w:themeColor="text1"/>
          <w:sz w:val="24"/>
          <w:szCs w:val="24"/>
          <w14:textFill>
            <w14:solidFill>
              <w14:schemeClr w14:val="tx1"/>
            </w14:solidFill>
          </w14:textFill>
        </w:rPr>
        <w:t>在磋商响应截止时间前按规定提交响应文件的供应商在三家（含）以上的，由采购人或采购代理机构组织进行开标。</w:t>
      </w:r>
    </w:p>
    <w:p w14:paraId="0F0AB564">
      <w:pPr>
        <w:pStyle w:val="13"/>
        <w:spacing w:line="336" w:lineRule="auto"/>
        <w:ind w:firstLine="482" w:firstLineChars="200"/>
        <w:rPr>
          <w:rFonts w:hint="eastAsia" w:hAnsi="宋体" w:cs="Times New Roman"/>
          <w:color w:val="000000" w:themeColor="text1"/>
          <w:sz w:val="24"/>
          <w:szCs w:val="24"/>
          <w14:textFill>
            <w14:solidFill>
              <w14:schemeClr w14:val="tx1"/>
            </w14:solidFill>
          </w14:textFill>
        </w:rPr>
      </w:pPr>
      <w:r>
        <w:rPr>
          <w:rFonts w:hAnsi="宋体"/>
          <w:b/>
          <w:bCs/>
          <w:color w:val="000000" w:themeColor="text1"/>
          <w:sz w:val="24"/>
          <w:szCs w:val="24"/>
          <w14:textFill>
            <w14:solidFill>
              <w14:schemeClr w14:val="tx1"/>
            </w14:solidFill>
          </w14:textFill>
        </w:rPr>
        <w:t>4.2</w:t>
      </w:r>
      <w:r>
        <w:rPr>
          <w:rFonts w:hint="eastAsia" w:hAnsi="宋体"/>
          <w:b/>
          <w:bCs/>
          <w:color w:val="000000" w:themeColor="text1"/>
          <w:sz w:val="24"/>
          <w:szCs w:val="24"/>
          <w14:textFill>
            <w14:solidFill>
              <w14:schemeClr w14:val="tx1"/>
            </w14:solidFill>
          </w14:textFill>
        </w:rPr>
        <w:t>供应商登录政采云平台，用“项目采购</w:t>
      </w:r>
      <w:r>
        <w:rPr>
          <w:rFonts w:hAnsi="宋体"/>
          <w:b/>
          <w:bCs/>
          <w:color w:val="000000" w:themeColor="text1"/>
          <w:sz w:val="24"/>
          <w:szCs w:val="24"/>
          <w14:textFill>
            <w14:solidFill>
              <w14:schemeClr w14:val="tx1"/>
            </w14:solidFill>
          </w14:textFill>
        </w:rPr>
        <w:t>-</w:t>
      </w:r>
      <w:r>
        <w:rPr>
          <w:rFonts w:hint="eastAsia" w:hAnsi="宋体"/>
          <w:b/>
          <w:bCs/>
          <w:color w:val="000000" w:themeColor="text1"/>
          <w:sz w:val="24"/>
          <w:szCs w:val="24"/>
          <w14:textFill>
            <w14:solidFill>
              <w14:schemeClr w14:val="tx1"/>
            </w14:solidFill>
          </w14:textFill>
        </w:rPr>
        <w:t>开标评标”功能对电子磋商响应文件进行在线解密。在线解密电子磋商响应文件时间为开标时间起</w:t>
      </w:r>
      <w:r>
        <w:rPr>
          <w:rFonts w:hAnsi="宋体"/>
          <w:b/>
          <w:bCs/>
          <w:color w:val="000000" w:themeColor="text1"/>
          <w:sz w:val="24"/>
          <w:szCs w:val="24"/>
          <w14:textFill>
            <w14:solidFill>
              <w14:schemeClr w14:val="tx1"/>
            </w14:solidFill>
          </w14:textFill>
        </w:rPr>
        <w:t>30</w:t>
      </w:r>
      <w:r>
        <w:rPr>
          <w:rFonts w:hint="eastAsia" w:hAnsi="宋体"/>
          <w:b/>
          <w:bCs/>
          <w:color w:val="000000" w:themeColor="text1"/>
          <w:sz w:val="24"/>
          <w:szCs w:val="24"/>
          <w14:textFill>
            <w14:solidFill>
              <w14:schemeClr w14:val="tx1"/>
            </w14:solidFill>
          </w14:textFill>
        </w:rPr>
        <w:t>分钟内。若电子磋商响应文件解密失败，则由采购代理机构工作人员上传供应商提供的备份文件。</w:t>
      </w:r>
      <w:r>
        <w:rPr>
          <w:rFonts w:hint="eastAsia" w:hAnsi="宋体"/>
          <w:color w:val="000000" w:themeColor="text1"/>
          <w:sz w:val="24"/>
          <w:szCs w:val="24"/>
          <w14:textFill>
            <w14:solidFill>
              <w14:schemeClr w14:val="tx1"/>
            </w14:solidFill>
          </w14:textFill>
        </w:rPr>
        <w:t>备份文件（后缀名为</w:t>
      </w:r>
      <w:r>
        <w:rPr>
          <w:rFonts w:hAnsi="宋体"/>
          <w:color w:val="000000" w:themeColor="text1"/>
          <w:sz w:val="24"/>
          <w:szCs w:val="24"/>
          <w14:textFill>
            <w14:solidFill>
              <w14:schemeClr w14:val="tx1"/>
            </w14:solidFill>
          </w14:textFill>
        </w:rPr>
        <w:t>.bfbs</w:t>
      </w:r>
      <w:r>
        <w:rPr>
          <w:rFonts w:hint="eastAsia" w:hAnsi="宋体"/>
          <w:color w:val="000000" w:themeColor="text1"/>
          <w:sz w:val="24"/>
          <w:szCs w:val="24"/>
          <w14:textFill>
            <w14:solidFill>
              <w14:schemeClr w14:val="tx1"/>
            </w14:solidFill>
          </w14:textFill>
        </w:rPr>
        <w:t>）须存储在</w:t>
      </w:r>
      <w:r>
        <w:rPr>
          <w:rFonts w:hAnsi="宋体"/>
          <w:color w:val="000000" w:themeColor="text1"/>
          <w:sz w:val="24"/>
          <w:szCs w:val="24"/>
          <w14:textFill>
            <w14:solidFill>
              <w14:schemeClr w14:val="tx1"/>
            </w14:solidFill>
          </w14:textFill>
        </w:rPr>
        <w:t>U</w:t>
      </w:r>
      <w:r>
        <w:rPr>
          <w:rFonts w:hint="eastAsia" w:hAnsi="宋体"/>
          <w:color w:val="000000" w:themeColor="text1"/>
          <w:sz w:val="24"/>
          <w:szCs w:val="24"/>
          <w14:textFill>
            <w14:solidFill>
              <w14:schemeClr w14:val="tx1"/>
            </w14:solidFill>
          </w14:textFill>
        </w:rPr>
        <w:t>盘中，与上传的电子磋商响应文件一致，用信封进行密封并盖章</w:t>
      </w:r>
      <w:r>
        <w:rPr>
          <w:rFonts w:hint="eastAsia" w:hAnsi="宋体"/>
          <w:b/>
          <w:bCs/>
          <w:color w:val="000000" w:themeColor="text1"/>
          <w:sz w:val="24"/>
          <w:szCs w:val="24"/>
          <w14:textFill>
            <w14:solidFill>
              <w14:schemeClr w14:val="tx1"/>
            </w14:solidFill>
          </w14:textFill>
        </w:rPr>
        <w:t>（信封内仅需放入存储备份文件的</w:t>
      </w:r>
      <w:r>
        <w:rPr>
          <w:rFonts w:hAnsi="宋体"/>
          <w:b/>
          <w:bCs/>
          <w:color w:val="000000" w:themeColor="text1"/>
          <w:sz w:val="24"/>
          <w:szCs w:val="24"/>
          <w14:textFill>
            <w14:solidFill>
              <w14:schemeClr w14:val="tx1"/>
            </w14:solidFill>
          </w14:textFill>
        </w:rPr>
        <w:t>U</w:t>
      </w:r>
      <w:r>
        <w:rPr>
          <w:rFonts w:hint="eastAsia" w:hAnsi="宋体"/>
          <w:b/>
          <w:bCs/>
          <w:color w:val="000000" w:themeColor="text1"/>
          <w:sz w:val="24"/>
          <w:szCs w:val="24"/>
          <w14:textFill>
            <w14:solidFill>
              <w14:schemeClr w14:val="tx1"/>
            </w14:solidFill>
          </w14:textFill>
        </w:rPr>
        <w:t>盘）</w:t>
      </w:r>
      <w:r>
        <w:rPr>
          <w:rFonts w:hint="eastAsia" w:hAnsi="宋体"/>
          <w:color w:val="000000" w:themeColor="text1"/>
          <w:sz w:val="24"/>
          <w:szCs w:val="24"/>
          <w14:textFill>
            <w14:solidFill>
              <w14:schemeClr w14:val="tx1"/>
            </w14:solidFill>
          </w14:textFill>
        </w:rPr>
        <w:t>，由授权代表在磋商响应截止时间前递交至开标地点。</w:t>
      </w:r>
    </w:p>
    <w:p w14:paraId="28DD7647">
      <w:pPr>
        <w:pStyle w:val="13"/>
        <w:spacing w:line="336" w:lineRule="auto"/>
        <w:ind w:firstLine="480" w:firstLineChars="200"/>
        <w:rPr>
          <w:rFonts w:hint="eastAsia" w:hAnsi="宋体" w:cs="Times New Roman"/>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4.3</w:t>
      </w:r>
      <w:r>
        <w:rPr>
          <w:rFonts w:hint="eastAsia" w:hAnsi="宋体"/>
          <w:color w:val="000000" w:themeColor="text1"/>
          <w:sz w:val="24"/>
          <w:szCs w:val="24"/>
          <w14:textFill>
            <w14:solidFill>
              <w14:schemeClr w14:val="tx1"/>
            </w14:solidFill>
          </w14:textFill>
        </w:rPr>
        <w:t>采购人按磋商文件规定的时间、地点公开开标。开标仪式由采购人或采购代理机构主持及有关人员参加。</w:t>
      </w:r>
    </w:p>
    <w:p w14:paraId="530F4E12">
      <w:pPr>
        <w:pStyle w:val="52"/>
        <w:spacing w:before="0" w:line="336" w:lineRule="auto"/>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4.4</w:t>
      </w:r>
      <w:r>
        <w:rPr>
          <w:rFonts w:hint="eastAsia" w:ascii="宋体" w:hAnsi="宋体" w:cs="宋体"/>
          <w:color w:val="000000" w:themeColor="text1"/>
          <w14:textFill>
            <w14:solidFill>
              <w14:schemeClr w14:val="tx1"/>
            </w14:solidFill>
          </w14:textFill>
        </w:rPr>
        <w:t>本项目为电子投标项目，供应商一般不需要参加现场投标和开标，若供应商需要指派授权代表递交备份文件，则授权代表应随身携带法定代表人授权书原件于</w:t>
      </w:r>
      <w:r>
        <w:rPr>
          <w:rFonts w:hint="eastAsia" w:hAnsi="宋体" w:cs="宋体"/>
          <w:color w:val="000000" w:themeColor="text1"/>
          <w14:textFill>
            <w14:solidFill>
              <w14:schemeClr w14:val="tx1"/>
            </w14:solidFill>
          </w14:textFill>
        </w:rPr>
        <w:t>磋商响应</w:t>
      </w:r>
      <w:r>
        <w:rPr>
          <w:rFonts w:hint="eastAsia" w:ascii="宋体" w:hAnsi="宋体" w:cs="宋体"/>
          <w:color w:val="000000" w:themeColor="text1"/>
          <w14:textFill>
            <w14:solidFill>
              <w14:schemeClr w14:val="tx1"/>
            </w14:solidFill>
          </w14:textFill>
        </w:rPr>
        <w:t>截止时间前到达开标地点递交备份文件。若电子磋商响应文件正常解锁，则</w:t>
      </w:r>
      <w:r>
        <w:rPr>
          <w:rFonts w:ascii="宋体" w:hAnsi="宋体" w:cs="宋体"/>
          <w:color w:val="000000" w:themeColor="text1"/>
          <w14:textFill>
            <w14:solidFill>
              <w14:schemeClr w14:val="tx1"/>
            </w14:solidFill>
          </w14:textFill>
        </w:rPr>
        <w:t>U</w:t>
      </w:r>
      <w:r>
        <w:rPr>
          <w:rFonts w:hint="eastAsia" w:ascii="宋体" w:hAnsi="宋体" w:cs="宋体"/>
          <w:color w:val="000000" w:themeColor="text1"/>
          <w14:textFill>
            <w14:solidFill>
              <w14:schemeClr w14:val="tx1"/>
            </w14:solidFill>
          </w14:textFill>
        </w:rPr>
        <w:t>盘退还给供应商；若解锁失败，则由采购代理机构将</w:t>
      </w:r>
      <w:r>
        <w:rPr>
          <w:rFonts w:ascii="宋体" w:hAnsi="宋体" w:cs="宋体"/>
          <w:color w:val="000000" w:themeColor="text1"/>
          <w14:textFill>
            <w14:solidFill>
              <w14:schemeClr w14:val="tx1"/>
            </w14:solidFill>
          </w14:textFill>
        </w:rPr>
        <w:t>U</w:t>
      </w:r>
      <w:r>
        <w:rPr>
          <w:rFonts w:hint="eastAsia" w:ascii="宋体" w:hAnsi="宋体" w:cs="宋体"/>
          <w:color w:val="000000" w:themeColor="text1"/>
          <w14:textFill>
            <w14:solidFill>
              <w14:schemeClr w14:val="tx1"/>
            </w14:solidFill>
          </w14:textFill>
        </w:rPr>
        <w:t>盘中的备份文件上传，该</w:t>
      </w:r>
      <w:r>
        <w:rPr>
          <w:rFonts w:ascii="宋体" w:hAnsi="宋体" w:cs="宋体"/>
          <w:color w:val="000000" w:themeColor="text1"/>
          <w14:textFill>
            <w14:solidFill>
              <w14:schemeClr w14:val="tx1"/>
            </w14:solidFill>
          </w14:textFill>
        </w:rPr>
        <w:t>U</w:t>
      </w:r>
      <w:r>
        <w:rPr>
          <w:rFonts w:hint="eastAsia" w:ascii="宋体" w:hAnsi="宋体" w:cs="宋体"/>
          <w:color w:val="000000" w:themeColor="text1"/>
          <w14:textFill>
            <w14:solidFill>
              <w14:schemeClr w14:val="tx1"/>
            </w14:solidFill>
          </w14:textFill>
        </w:rPr>
        <w:t>盘将由采购代理机构保存。</w:t>
      </w:r>
    </w:p>
    <w:p w14:paraId="0D32DEEF">
      <w:pPr>
        <w:pStyle w:val="52"/>
        <w:spacing w:before="0" w:line="336" w:lineRule="auto"/>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4.5</w:t>
      </w:r>
      <w:r>
        <w:rPr>
          <w:rFonts w:hint="eastAsia" w:ascii="宋体" w:hAnsi="宋体" w:cs="宋体"/>
          <w:color w:val="000000" w:themeColor="text1"/>
          <w14:textFill>
            <w14:solidFill>
              <w14:schemeClr w14:val="tx1"/>
            </w14:solidFill>
          </w14:textFill>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39F3ADB">
      <w:pPr>
        <w:spacing w:line="336" w:lineRule="auto"/>
        <w:ind w:firstLine="48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、组建磋商小组</w:t>
      </w:r>
    </w:p>
    <w:p w14:paraId="3EA1E110">
      <w:pPr>
        <w:pStyle w:val="52"/>
        <w:spacing w:before="0" w:line="336" w:lineRule="auto"/>
        <w:ind w:firstLine="480"/>
        <w:rPr>
          <w:rFonts w:ascii="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5.1</w:t>
      </w:r>
      <w:r>
        <w:rPr>
          <w:rFonts w:hint="eastAsia" w:ascii="宋体" w:hAnsi="宋体" w:cs="宋体"/>
          <w:color w:val="000000" w:themeColor="text1"/>
          <w14:textFill>
            <w14:solidFill>
              <w14:schemeClr w14:val="tx1"/>
            </w14:solidFill>
          </w14:textFill>
        </w:rPr>
        <w:t>磋商小组由采购人代表和评审专家共</w:t>
      </w:r>
      <w:r>
        <w:rPr>
          <w:rFonts w:ascii="宋体" w:hAnsi="宋体" w:cs="宋体"/>
          <w:color w:val="000000" w:themeColor="text1"/>
          <w14:textFill>
            <w14:solidFill>
              <w14:schemeClr w14:val="tx1"/>
            </w14:solidFill>
          </w14:textFill>
        </w:rPr>
        <w:t>3</w:t>
      </w:r>
      <w:r>
        <w:rPr>
          <w:rFonts w:hint="eastAsia" w:ascii="宋体" w:hAnsi="宋体" w:cs="宋体"/>
          <w:color w:val="000000" w:themeColor="text1"/>
          <w14:textFill>
            <w14:solidFill>
              <w14:schemeClr w14:val="tx1"/>
            </w14:solidFill>
          </w14:textFill>
        </w:rPr>
        <w:t>人或以上单数组成，其中评审专家人数不少于磋商小组成员总数的</w:t>
      </w:r>
      <w:r>
        <w:rPr>
          <w:rFonts w:ascii="宋体" w:hAnsi="宋体" w:cs="宋体"/>
          <w:color w:val="000000" w:themeColor="text1"/>
          <w14:textFill>
            <w14:solidFill>
              <w14:schemeClr w14:val="tx1"/>
            </w14:solidFill>
          </w14:textFill>
        </w:rPr>
        <w:t>2/3</w:t>
      </w:r>
      <w:r>
        <w:rPr>
          <w:rFonts w:hint="eastAsia" w:ascii="宋体" w:hAnsi="宋体" w:cs="宋体"/>
          <w:color w:val="000000" w:themeColor="text1"/>
          <w14:textFill>
            <w14:solidFill>
              <w14:schemeClr w14:val="tx1"/>
            </w14:solidFill>
          </w14:textFill>
        </w:rPr>
        <w:t>。</w:t>
      </w:r>
    </w:p>
    <w:p w14:paraId="6344063E">
      <w:pPr>
        <w:pStyle w:val="52"/>
        <w:tabs>
          <w:tab w:val="left" w:pos="0"/>
        </w:tabs>
        <w:spacing w:before="0" w:line="336" w:lineRule="auto"/>
        <w:ind w:firstLine="480"/>
        <w:rPr>
          <w:rFonts w:ascii="宋体"/>
          <w:color w:val="000000" w:themeColor="text1"/>
          <w:lang w:val="zh-CN"/>
          <w14:textFill>
            <w14:solidFill>
              <w14:schemeClr w14:val="tx1"/>
            </w14:solidFill>
          </w14:textFill>
        </w:rPr>
      </w:pPr>
      <w:r>
        <w:rPr>
          <w:rFonts w:ascii="宋体" w:hAnsi="宋体" w:cs="宋体"/>
          <w:color w:val="000000" w:themeColor="text1"/>
          <w14:textFill>
            <w14:solidFill>
              <w14:schemeClr w14:val="tx1"/>
            </w14:solidFill>
          </w14:textFill>
        </w:rPr>
        <w:t>5.2</w:t>
      </w:r>
      <w:r>
        <w:rPr>
          <w:rFonts w:hint="eastAsia" w:ascii="宋体" w:hAnsi="宋体" w:cs="宋体"/>
          <w:color w:val="000000" w:themeColor="text1"/>
          <w:lang w:val="zh-CN"/>
          <w14:textFill>
            <w14:solidFill>
              <w14:schemeClr w14:val="tx1"/>
            </w14:solidFill>
          </w14:textFill>
        </w:rPr>
        <w:t>评标工作由评标委员会负责，并推选产生的组长主持；</w:t>
      </w:r>
    </w:p>
    <w:p w14:paraId="43B053C9">
      <w:pPr>
        <w:pStyle w:val="4"/>
        <w:spacing w:line="336"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5.3</w:t>
      </w:r>
      <w:r>
        <w:rPr>
          <w:rFonts w:hint="eastAsia" w:ascii="宋体" w:hAnsi="宋体" w:cs="宋体"/>
          <w:color w:val="000000" w:themeColor="text1"/>
          <w:sz w:val="24"/>
          <w:szCs w:val="24"/>
          <w:lang w:val="zh-CN"/>
          <w14:textFill>
            <w14:solidFill>
              <w14:schemeClr w14:val="tx1"/>
            </w14:solidFill>
          </w14:textFill>
        </w:rPr>
        <w:t>本次评标为在线评标。</w:t>
      </w:r>
    </w:p>
    <w:p w14:paraId="5E8B2900">
      <w:pPr>
        <w:pStyle w:val="3"/>
        <w:numPr>
          <w:ilvl w:val="0"/>
          <w:numId w:val="14"/>
        </w:numPr>
        <w:jc w:val="center"/>
        <w:rPr>
          <w:rFonts w:cs="Times New Roman"/>
          <w:color w:val="000000" w:themeColor="text1"/>
          <w14:textFill>
            <w14:solidFill>
              <w14:schemeClr w14:val="tx1"/>
            </w14:solidFill>
          </w14:textFill>
        </w:rPr>
      </w:pPr>
      <w:r>
        <w:rPr>
          <w:color w:val="000000" w:themeColor="text1"/>
          <w14:textFill>
            <w14:solidFill>
              <w14:schemeClr w14:val="tx1"/>
            </w14:solidFill>
          </w14:textFill>
        </w:rPr>
        <w:t xml:space="preserve"> </w:t>
      </w:r>
      <w:bookmarkStart w:id="77" w:name="_Toc10093"/>
      <w:bookmarkStart w:id="78" w:name="_Toc15047"/>
      <w:r>
        <w:rPr>
          <w:rFonts w:hint="eastAsia"/>
          <w:color w:val="000000" w:themeColor="text1"/>
          <w14:textFill>
            <w14:solidFill>
              <w14:schemeClr w14:val="tx1"/>
            </w14:solidFill>
          </w14:textFill>
        </w:rPr>
        <w:t>磋商程序</w:t>
      </w:r>
      <w:bookmarkEnd w:id="77"/>
      <w:bookmarkEnd w:id="78"/>
    </w:p>
    <w:p w14:paraId="1BB0BCD2">
      <w:pPr>
        <w:snapToGrid w:val="0"/>
        <w:spacing w:line="336" w:lineRule="auto"/>
        <w:ind w:firstLine="48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1、对所有响应文件的初审</w:t>
      </w:r>
    </w:p>
    <w:p w14:paraId="66487344">
      <w:pPr>
        <w:adjustRightInd w:val="0"/>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1.1资格审查</w:t>
      </w:r>
    </w:p>
    <w:p w14:paraId="047AF3A3">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（1）开标后，磋商小组将依法对供应商的资格进行审查。</w:t>
      </w:r>
    </w:p>
    <w:p w14:paraId="7BE17852">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（2）磋商小组依据法律法规和磋商文件的规定，对供应商的基本资格条件、特定资格条件进行审查。</w:t>
      </w:r>
    </w:p>
    <w:p w14:paraId="13D1E644">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（3）供应商未按照磋商文件要求提供与基本资格条件、特定资格条件相应的有效资格证明材料的，视为供应商不具备磋商文件中规定的资格要求，其磋商无效。并将无效原由告知相关供应商.</w:t>
      </w:r>
    </w:p>
    <w:p w14:paraId="767B7792">
      <w:pPr>
        <w:wordWrap w:val="0"/>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采购人或采购代理机构将通过“信用中国”网站(www.creditchina.gov.cn)、中国政府采购网(www.ccgp.gov.cn)渠道查询供应商磋商开标后评标前的信用记录，经查询供应商列入失信被执行人名单、重大税收违法案件当事人名单、政府采购严重违法失信行为记录名单的，其磋商无效。</w:t>
      </w:r>
    </w:p>
    <w:p w14:paraId="79A71711">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（5）磋商小组出具《供应商资格审查意见表》，供应商未按照磋商文件要求提供与基本资格条件、特定资格条件相应的有效资格证明材料的，视为供应商不具备磋商文件中规定的资格要求，其磋商无效。</w:t>
      </w:r>
    </w:p>
    <w:p w14:paraId="1A2CF145">
      <w:pPr>
        <w:adjustRightInd w:val="0"/>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1.2符合性审查：磋商小组依据磋商文件的规定，从响应文件的有效性、完整性和对磋商文件的响应程度进行审查，以确定是否对磋商文件的要求作出实质性响应。出现以下情况的，视为符合性不通过，磋商无效。</w:t>
      </w:r>
    </w:p>
    <w:p w14:paraId="4930B4EA">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（1）响应文件无法定代表人或其委托授权代表签名或盖章。</w:t>
      </w:r>
    </w:p>
    <w:p w14:paraId="6C994E78">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（2）响应文件内容虚假的。</w:t>
      </w:r>
    </w:p>
    <w:p w14:paraId="50644D26">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（3）响应文件有采购人不能接受的附加条件的。</w:t>
      </w:r>
    </w:p>
    <w:p w14:paraId="32F098E0">
      <w:pPr>
        <w:adjustRightInd w:val="0"/>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（4）磋商有效期、服务期等商务条款不能满足磋商文件要求的。</w:t>
      </w:r>
    </w:p>
    <w:p w14:paraId="53259CB2">
      <w:pPr>
        <w:widowControl/>
        <w:spacing w:line="336" w:lineRule="auto"/>
        <w:ind w:firstLine="482"/>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（5）投标价格超出预算或最高限价，导致采购单位无法支付的。</w:t>
      </w:r>
    </w:p>
    <w:p w14:paraId="64F931E7">
      <w:pPr>
        <w:widowControl/>
        <w:spacing w:line="336" w:lineRule="auto"/>
        <w:ind w:firstLine="482"/>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（6）磋商文件明确规定的其他无效条款的。</w:t>
      </w:r>
    </w:p>
    <w:p w14:paraId="46FC5192">
      <w:pPr>
        <w:adjustRightInd w:val="0"/>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1.3 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8D22208">
      <w:pPr>
        <w:pStyle w:val="52"/>
        <w:tabs>
          <w:tab w:val="left" w:pos="0"/>
        </w:tabs>
        <w:spacing w:before="0" w:line="336" w:lineRule="auto"/>
        <w:ind w:firstLine="480"/>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1.4磋商小组要求供应商澄清、说明或者更正响应文件应当以书面形式发出。供应商的澄清、说明或者更正应当由法定代表人或其授权代表签字或者加盖公章。由授权代表签字的，应当附法定代表人授权书。</w:t>
      </w:r>
    </w:p>
    <w:p w14:paraId="10707E80">
      <w:pPr>
        <w:snapToGrid w:val="0"/>
        <w:spacing w:line="336" w:lineRule="auto"/>
        <w:ind w:firstLine="480"/>
        <w:rPr>
          <w:rFonts w:hint="eastAsia" w:ascii="宋体" w:hAnsi="宋体" w:cs="宋体"/>
          <w:b/>
          <w:bCs/>
          <w:color w:val="000000" w:themeColor="text1"/>
          <w:sz w:val="24"/>
          <w:szCs w:val="24"/>
          <w:lang w:val="zh-CN"/>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2</w:t>
      </w:r>
      <w:r>
        <w:rPr>
          <w:rFonts w:hint="eastAsia" w:ascii="宋体" w:hAnsi="宋体" w:cs="宋体"/>
          <w:b/>
          <w:bCs/>
          <w:color w:val="000000" w:themeColor="text1"/>
          <w:sz w:val="24"/>
          <w:szCs w:val="24"/>
          <w:lang w:val="zh-CN"/>
          <w14:textFill>
            <w14:solidFill>
              <w14:schemeClr w14:val="tx1"/>
            </w14:solidFill>
          </w14:textFill>
        </w:rPr>
        <w:t>、磋商</w:t>
      </w:r>
    </w:p>
    <w:p w14:paraId="46B1B610">
      <w:pPr>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 初审合格的供应商进入下一步的磋商活动。</w:t>
      </w:r>
    </w:p>
    <w:p w14:paraId="2AA25B2E">
      <w:pPr>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 磋商小组所有成员应当集中与单一供应商分别进行磋商，并给予所有参加磋商的供应商平等的磋商机会。</w:t>
      </w:r>
    </w:p>
    <w:p w14:paraId="3190C59C">
      <w:pPr>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2.3 以递交响应文件的时间先后决定磋商顺序。磋商时先听取由供应商拟派的项目负责人就项目采购的重点内容进行磋商，磋商过程中由磋商小组成员提出相关问题，并由供应商拟派项目负责人进行回复与承诺。 </w:t>
      </w:r>
    </w:p>
    <w:p w14:paraId="19F9B99B">
      <w:pPr>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2.4 在磋商过程中，磋商小组可以根据磋商文件和磋商情况实质性变动采购需求中的技术、服务要求以及合同草案条款。实质性变动的内容，须经采购人代表确认。</w:t>
      </w:r>
    </w:p>
    <w:p w14:paraId="1C52312C">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2.5 磋商文件作出的实质性变动是磋商文件的有效组成部分，磋商小组应当及时以书面形式同时通知所有参加磋商的供应商。</w:t>
      </w:r>
    </w:p>
    <w:p w14:paraId="183531DD">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2.6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BC6ACB2">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2.7 符合《政府采购竞争性磋商采购方式管理暂行办法》（财库〔2014〕214号）第三条第四项即“市场竞争不充分的科研项目，以及需要扶持的科技成果转化项目”情形的，提交最后报价的供应商可以为2家。</w:t>
      </w:r>
    </w:p>
    <w:p w14:paraId="1FDC1876">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2.8 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59A31AA4">
      <w:pPr>
        <w:snapToGrid w:val="0"/>
        <w:spacing w:line="336" w:lineRule="auto"/>
        <w:ind w:firstLine="480"/>
        <w:rPr>
          <w:rFonts w:hint="eastAsia" w:ascii="宋体" w:hAnsi="宋体" w:cs="宋体"/>
          <w:b/>
          <w:bCs/>
          <w:color w:val="000000" w:themeColor="text1"/>
          <w:sz w:val="24"/>
          <w:szCs w:val="24"/>
          <w:lang w:val="zh-CN"/>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3</w:t>
      </w:r>
      <w:r>
        <w:rPr>
          <w:rFonts w:hint="eastAsia" w:ascii="宋体" w:hAnsi="宋体" w:cs="宋体"/>
          <w:b/>
          <w:bCs/>
          <w:color w:val="000000" w:themeColor="text1"/>
          <w:sz w:val="24"/>
          <w:szCs w:val="24"/>
          <w:lang w:val="zh-CN"/>
          <w14:textFill>
            <w14:solidFill>
              <w14:schemeClr w14:val="tx1"/>
            </w14:solidFill>
          </w14:textFill>
        </w:rPr>
        <w:t>、最后报价</w:t>
      </w:r>
    </w:p>
    <w:p w14:paraId="6141F31F">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3.1商务技术汇总后，供应商开启报价文件，磋商小组应当要求所有实质性响应的供应商在规定时间内提交最后报价。</w:t>
      </w:r>
    </w:p>
    <w:p w14:paraId="3A18DB88">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3.2最后报价是供应商响应文件的有效组成部分，若最后报价高于响应文件报价文件报价，则以第一次报价计入评分。</w:t>
      </w:r>
    </w:p>
    <w:p w14:paraId="66AAC021">
      <w:pPr>
        <w:snapToGrid w:val="0"/>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3.3已提交响应文件的供应商，在提交最后报价之前，若因磋商文件实质性变动导致供应商无法满足采购需求的，允许供应商退出磋商。</w:t>
      </w:r>
    </w:p>
    <w:p w14:paraId="3F999605">
      <w:pPr>
        <w:pStyle w:val="4"/>
        <w:spacing w:line="336" w:lineRule="auto"/>
        <w:ind w:firstLine="482" w:firstLineChars="2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4、电子评标</w:t>
      </w:r>
    </w:p>
    <w:p w14:paraId="021D041A">
      <w:pPr>
        <w:pStyle w:val="4"/>
        <w:spacing w:line="336" w:lineRule="auto"/>
        <w:ind w:firstLine="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4.1磋商活动由采购代理机构主持,磋商响应截止时间后,供应商登录政采云平台对电子响应文件进行在线解密；</w:t>
      </w:r>
    </w:p>
    <w:p w14:paraId="2E331B75">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4.2响应文件解密结束,开启响应文件,磋商小组对资格和商务技术响应文件进行资格审查和符合性审查；</w:t>
      </w:r>
    </w:p>
    <w:p w14:paraId="79B13251">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4.3供应商按递交磋商响应文件的前后顺序决定磋商的顺序,就价格、服务等认为需要磋商的内容进行磋商,供应商逐家回答磋商小组的提问,供应商作出最终承诺；</w:t>
      </w:r>
    </w:p>
    <w:p w14:paraId="1DE443F7">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4.4磋商小组对商务技术响应文件进行评审；</w:t>
      </w:r>
    </w:p>
    <w:p w14:paraId="59101BFE">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4.5商务技术汇总后，供应商开启报价文件，进行磋商二次报价（最终报价），</w:t>
      </w:r>
      <w:r>
        <w:rPr>
          <w:rFonts w:hint="eastAsia" w:ascii="宋体" w:hAnsi="宋体" w:cs="宋体"/>
          <w:b/>
          <w:bCs/>
          <w:color w:val="000000" w:themeColor="text1"/>
          <w:sz w:val="24"/>
          <w:szCs w:val="24"/>
          <w14:textFill>
            <w14:solidFill>
              <w14:schemeClr w14:val="tx1"/>
            </w14:solidFill>
          </w14:textFill>
        </w:rPr>
        <w:t>如果供应商在规定时间30分钟内未提交第二次报价，视该供应商放弃本次投标，作无效标处理</w:t>
      </w:r>
      <w:r>
        <w:rPr>
          <w:rFonts w:hint="eastAsia" w:ascii="宋体" w:hAnsi="宋体" w:cs="宋体"/>
          <w:color w:val="000000" w:themeColor="text1"/>
          <w:sz w:val="24"/>
          <w:szCs w:val="24"/>
          <w14:textFill>
            <w14:solidFill>
              <w14:schemeClr w14:val="tx1"/>
            </w14:solidFill>
          </w14:textFill>
        </w:rPr>
        <w:t>；</w:t>
      </w:r>
    </w:p>
    <w:p w14:paraId="5A0EC121">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4.6在系统上开启最终报价情况；</w:t>
      </w:r>
    </w:p>
    <w:p w14:paraId="0313F160">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4.7磋商小组对报价情况进行评审；</w:t>
      </w:r>
    </w:p>
    <w:p w14:paraId="2F1F8FF2">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4.8在系统上公开资格和商务技术评审结果；</w:t>
      </w:r>
    </w:p>
    <w:p w14:paraId="68E206DD">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4.9在系统上公布评审结果。</w:t>
      </w:r>
    </w:p>
    <w:p w14:paraId="422E35DC">
      <w:pPr>
        <w:pStyle w:val="4"/>
        <w:spacing w:line="336"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4.10开标会结束。</w:t>
      </w:r>
    </w:p>
    <w:p w14:paraId="01D51024">
      <w:pPr>
        <w:snapToGrid w:val="0"/>
        <w:spacing w:line="336" w:lineRule="auto"/>
        <w:ind w:firstLine="480" w:firstLineChars="2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特别说明:政采云如对电子化开标及评审程序有调整的,按调整后的程序操作。</w:t>
      </w:r>
    </w:p>
    <w:p w14:paraId="65D8F909">
      <w:pPr>
        <w:snapToGrid w:val="0"/>
        <w:spacing w:line="336" w:lineRule="auto"/>
        <w:ind w:firstLine="482" w:firstLineChars="2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5.综合评分</w:t>
      </w:r>
    </w:p>
    <w:p w14:paraId="4FD6C4CF">
      <w:pPr>
        <w:tabs>
          <w:tab w:val="left" w:pos="-1080"/>
          <w:tab w:val="left" w:pos="180"/>
          <w:tab w:val="left" w:pos="1080"/>
        </w:tabs>
        <w:snapToGrid w:val="0"/>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5.1本评标办法采用综合评标法，由商务技术分和报价分合计组成，其中商务技术分</w:t>
      </w:r>
      <w:r>
        <w:rPr>
          <w:rFonts w:hint="eastAsia" w:ascii="宋体" w:hAnsi="宋体" w:cs="宋体"/>
          <w:color w:val="000000" w:themeColor="text1"/>
          <w:sz w:val="24"/>
          <w:szCs w:val="24"/>
          <w:u w:val="single"/>
          <w14:textFill>
            <w14:solidFill>
              <w14:schemeClr w14:val="tx1"/>
            </w14:solidFill>
          </w14:textFill>
        </w:rPr>
        <w:t xml:space="preserve"> 80 </w:t>
      </w:r>
      <w:r>
        <w:rPr>
          <w:rFonts w:hint="eastAsia" w:ascii="宋体" w:hAnsi="宋体" w:cs="宋体"/>
          <w:color w:val="000000" w:themeColor="text1"/>
          <w:sz w:val="24"/>
          <w:szCs w:val="24"/>
          <w14:textFill>
            <w14:solidFill>
              <w14:schemeClr w14:val="tx1"/>
            </w14:solidFill>
          </w14:textFill>
        </w:rPr>
        <w:t>分、报价分</w:t>
      </w:r>
      <w:r>
        <w:rPr>
          <w:rFonts w:hint="eastAsia" w:ascii="宋体" w:hAnsi="宋体" w:cs="宋体"/>
          <w:color w:val="000000" w:themeColor="text1"/>
          <w:sz w:val="24"/>
          <w:szCs w:val="24"/>
          <w:u w:val="single"/>
          <w14:textFill>
            <w14:solidFill>
              <w14:schemeClr w14:val="tx1"/>
            </w14:solidFill>
          </w14:textFill>
        </w:rPr>
        <w:t xml:space="preserve"> 20 </w:t>
      </w:r>
      <w:r>
        <w:rPr>
          <w:rFonts w:hint="eastAsia" w:ascii="宋体" w:hAnsi="宋体" w:cs="宋体"/>
          <w:color w:val="000000" w:themeColor="text1"/>
          <w:sz w:val="24"/>
          <w:szCs w:val="24"/>
          <w14:textFill>
            <w14:solidFill>
              <w14:schemeClr w14:val="tx1"/>
            </w14:solidFill>
          </w14:textFill>
        </w:rPr>
        <w:t>分；满分为100分。</w:t>
      </w:r>
    </w:p>
    <w:p w14:paraId="7D491150">
      <w:pPr>
        <w:spacing w:line="336" w:lineRule="auto"/>
        <w:ind w:firstLine="48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5.2经初步评审合格的响应文件，磋商小组根据竞争性磋商文件确定的评审标准和方法，对其商务技术部分作进一步评审、比较、打分。</w:t>
      </w:r>
    </w:p>
    <w:p w14:paraId="772A1B47">
      <w:pPr>
        <w:pStyle w:val="13"/>
        <w:spacing w:line="336" w:lineRule="auto"/>
        <w:ind w:firstLine="480"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磋商小组成员首先分别对每个供应商商务技术部分进行评审打分，然后计算出算术平均值（保留2位小数），即为供应商的商务技术得分，后计算二次报价，计算公式：投标价格分=(最佳报价/投标报价)*价格权值*100。综合得分=商务技术分+报价分，以综合得分（保留2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14:paraId="25655E51">
      <w:pPr>
        <w:pStyle w:val="13"/>
        <w:spacing w:line="336" w:lineRule="auto"/>
        <w:ind w:left="400" w:leftChars="200"/>
        <w:rPr>
          <w:rFonts w:hint="eastAsia"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6、修正原则</w:t>
      </w:r>
    </w:p>
    <w:p w14:paraId="3CE01614">
      <w:pPr>
        <w:pStyle w:val="52"/>
        <w:spacing w:before="0" w:line="336" w:lineRule="auto"/>
        <w:ind w:left="400" w:leftChars="200" w:firstLine="0" w:firstLineChars="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响应</w:t>
      </w:r>
      <w:r>
        <w:rPr>
          <w:rFonts w:hint="eastAsia" w:ascii="宋体" w:hAnsi="宋体" w:cs="宋体"/>
          <w:color w:val="000000" w:themeColor="text1"/>
          <w:lang w:val="zh-CN"/>
          <w14:textFill>
            <w14:solidFill>
              <w14:schemeClr w14:val="tx1"/>
            </w14:solidFill>
          </w14:textFill>
        </w:rPr>
        <w:t>文件报价出现前后不一致的，按照下列规定修正：</w:t>
      </w:r>
    </w:p>
    <w:p w14:paraId="7BBBD022">
      <w:pPr>
        <w:pStyle w:val="52"/>
        <w:tabs>
          <w:tab w:val="left" w:pos="0"/>
        </w:tabs>
        <w:spacing w:before="0" w:line="336" w:lineRule="auto"/>
        <w:ind w:firstLine="48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6.1响应</w:t>
      </w:r>
      <w:r>
        <w:rPr>
          <w:rFonts w:hint="eastAsia" w:ascii="宋体" w:hAnsi="宋体" w:cs="宋体"/>
          <w:color w:val="000000" w:themeColor="text1"/>
          <w:lang w:val="zh-CN"/>
          <w14:textFill>
            <w14:solidFill>
              <w14:schemeClr w14:val="tx1"/>
            </w14:solidFill>
          </w14:textFill>
        </w:rPr>
        <w:t>文件中</w:t>
      </w:r>
      <w:r>
        <w:rPr>
          <w:rFonts w:hint="eastAsia" w:ascii="宋体" w:hAnsi="宋体" w:cs="宋体"/>
          <w:color w:val="000000" w:themeColor="text1"/>
          <w14:textFill>
            <w14:solidFill>
              <w14:schemeClr w14:val="tx1"/>
            </w14:solidFill>
          </w14:textFill>
        </w:rPr>
        <w:t>报价</w:t>
      </w:r>
      <w:r>
        <w:rPr>
          <w:rFonts w:hint="eastAsia" w:ascii="宋体" w:hAnsi="宋体" w:cs="宋体"/>
          <w:color w:val="000000" w:themeColor="text1"/>
          <w:lang w:val="zh-CN"/>
          <w14:textFill>
            <w14:solidFill>
              <w14:schemeClr w14:val="tx1"/>
            </w14:solidFill>
          </w14:textFill>
        </w:rPr>
        <w:t>一览表内容与</w:t>
      </w:r>
      <w:r>
        <w:rPr>
          <w:rFonts w:hint="eastAsia" w:ascii="宋体" w:hAnsi="宋体" w:cs="宋体"/>
          <w:color w:val="000000" w:themeColor="text1"/>
          <w14:textFill>
            <w14:solidFill>
              <w14:schemeClr w14:val="tx1"/>
            </w14:solidFill>
          </w14:textFill>
        </w:rPr>
        <w:t>响应</w:t>
      </w:r>
      <w:r>
        <w:rPr>
          <w:rFonts w:hint="eastAsia" w:ascii="宋体" w:hAnsi="宋体" w:cs="宋体"/>
          <w:color w:val="000000" w:themeColor="text1"/>
          <w:lang w:val="zh-CN"/>
          <w14:textFill>
            <w14:solidFill>
              <w14:schemeClr w14:val="tx1"/>
            </w14:solidFill>
          </w14:textFill>
        </w:rPr>
        <w:t>文件中相应内容不一致的，以</w:t>
      </w:r>
      <w:r>
        <w:rPr>
          <w:rFonts w:hint="eastAsia" w:ascii="宋体" w:hAnsi="宋体" w:cs="宋体"/>
          <w:color w:val="000000" w:themeColor="text1"/>
          <w14:textFill>
            <w14:solidFill>
              <w14:schemeClr w14:val="tx1"/>
            </w14:solidFill>
          </w14:textFill>
        </w:rPr>
        <w:t>报价</w:t>
      </w:r>
      <w:r>
        <w:rPr>
          <w:rFonts w:hint="eastAsia" w:ascii="宋体" w:hAnsi="宋体" w:cs="宋体"/>
          <w:color w:val="000000" w:themeColor="text1"/>
          <w:lang w:val="zh-CN"/>
          <w14:textFill>
            <w14:solidFill>
              <w14:schemeClr w14:val="tx1"/>
            </w14:solidFill>
          </w14:textFill>
        </w:rPr>
        <w:t>一览表为准；</w:t>
      </w:r>
    </w:p>
    <w:p w14:paraId="6F2CA481">
      <w:pPr>
        <w:pStyle w:val="52"/>
        <w:tabs>
          <w:tab w:val="left" w:pos="0"/>
        </w:tabs>
        <w:spacing w:before="0" w:line="336" w:lineRule="auto"/>
        <w:ind w:firstLine="48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6.2</w:t>
      </w:r>
      <w:r>
        <w:rPr>
          <w:rFonts w:hint="eastAsia" w:ascii="宋体" w:hAnsi="宋体" w:cs="宋体"/>
          <w:color w:val="000000" w:themeColor="text1"/>
          <w:lang w:val="zh-CN"/>
          <w14:textFill>
            <w14:solidFill>
              <w14:schemeClr w14:val="tx1"/>
            </w14:solidFill>
          </w14:textFill>
        </w:rPr>
        <w:t>大写金额和小写金额不一致的，以大写金额为准；</w:t>
      </w:r>
    </w:p>
    <w:p w14:paraId="1EAFE852">
      <w:pPr>
        <w:pStyle w:val="52"/>
        <w:tabs>
          <w:tab w:val="left" w:pos="0"/>
        </w:tabs>
        <w:spacing w:before="0" w:line="336" w:lineRule="auto"/>
        <w:ind w:firstLine="48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6.3</w:t>
      </w:r>
      <w:r>
        <w:rPr>
          <w:rFonts w:hint="eastAsia" w:ascii="宋体" w:hAnsi="宋体" w:cs="宋体"/>
          <w:color w:val="000000" w:themeColor="text1"/>
          <w:lang w:val="zh-CN"/>
          <w14:textFill>
            <w14:solidFill>
              <w14:schemeClr w14:val="tx1"/>
            </w14:solidFill>
          </w14:textFill>
        </w:rPr>
        <w:t>单价金额小数点或者百分比有明显错位的，以</w:t>
      </w:r>
      <w:r>
        <w:rPr>
          <w:rFonts w:hint="eastAsia" w:ascii="宋体" w:hAnsi="宋体" w:cs="宋体"/>
          <w:color w:val="000000" w:themeColor="text1"/>
          <w14:textFill>
            <w14:solidFill>
              <w14:schemeClr w14:val="tx1"/>
            </w14:solidFill>
          </w14:textFill>
        </w:rPr>
        <w:t>报价</w:t>
      </w:r>
      <w:r>
        <w:rPr>
          <w:rFonts w:hint="eastAsia" w:ascii="宋体" w:hAnsi="宋体" w:cs="宋体"/>
          <w:color w:val="000000" w:themeColor="text1"/>
          <w:lang w:val="zh-CN"/>
          <w14:textFill>
            <w14:solidFill>
              <w14:schemeClr w14:val="tx1"/>
            </w14:solidFill>
          </w14:textFill>
        </w:rPr>
        <w:t>一览表的总价为准，并修改单价；</w:t>
      </w:r>
    </w:p>
    <w:p w14:paraId="5D704437">
      <w:pPr>
        <w:pStyle w:val="52"/>
        <w:tabs>
          <w:tab w:val="left" w:pos="0"/>
        </w:tabs>
        <w:spacing w:before="0" w:line="336" w:lineRule="auto"/>
        <w:ind w:firstLine="48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6.4</w:t>
      </w:r>
      <w:r>
        <w:rPr>
          <w:rFonts w:hint="eastAsia" w:ascii="宋体" w:hAnsi="宋体" w:cs="宋体"/>
          <w:color w:val="000000" w:themeColor="text1"/>
          <w:lang w:val="zh-CN"/>
          <w14:textFill>
            <w14:solidFill>
              <w14:schemeClr w14:val="tx1"/>
            </w14:solidFill>
          </w14:textFill>
        </w:rPr>
        <w:t>总价金额与按单价汇总金额不一致的，以单价金额计算结果为准。</w:t>
      </w:r>
    </w:p>
    <w:p w14:paraId="36F5D530">
      <w:pPr>
        <w:pStyle w:val="52"/>
        <w:spacing w:before="0" w:line="336" w:lineRule="auto"/>
        <w:ind w:firstLine="48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lang w:val="zh-CN"/>
          <w14:textFill>
            <w14:solidFill>
              <w14:schemeClr w14:val="tx1"/>
            </w14:solidFill>
          </w14:textFill>
        </w:rPr>
        <w:t>同时出现两种以上不一致的，按照前款规定的顺序修正。修正后的报价按照财政部公布第87号令 《政府采购产品和服务招标投标管理办法》第五十一条第二款的规定经</w:t>
      </w:r>
      <w:r>
        <w:rPr>
          <w:rFonts w:hint="eastAsia" w:ascii="宋体" w:hAnsi="宋体" w:cs="宋体"/>
          <w:color w:val="000000" w:themeColor="text1"/>
          <w14:textFill>
            <w14:solidFill>
              <w14:schemeClr w14:val="tx1"/>
            </w14:solidFill>
          </w14:textFill>
        </w:rPr>
        <w:t>供应商</w:t>
      </w:r>
      <w:r>
        <w:rPr>
          <w:rFonts w:hint="eastAsia" w:ascii="宋体" w:hAnsi="宋体" w:cs="宋体"/>
          <w:color w:val="000000" w:themeColor="text1"/>
          <w:lang w:val="zh-CN"/>
          <w14:textFill>
            <w14:solidFill>
              <w14:schemeClr w14:val="tx1"/>
            </w14:solidFill>
          </w14:textFill>
        </w:rPr>
        <w:t>确认后产生约束力，</w:t>
      </w:r>
      <w:r>
        <w:rPr>
          <w:rFonts w:hint="eastAsia" w:ascii="宋体" w:hAnsi="宋体" w:cs="宋体"/>
          <w:color w:val="000000" w:themeColor="text1"/>
          <w14:textFill>
            <w14:solidFill>
              <w14:schemeClr w14:val="tx1"/>
            </w14:solidFill>
          </w14:textFill>
        </w:rPr>
        <w:t>供应商</w:t>
      </w:r>
      <w:r>
        <w:rPr>
          <w:rFonts w:hint="eastAsia" w:ascii="宋体" w:hAnsi="宋体" w:cs="宋体"/>
          <w:color w:val="000000" w:themeColor="text1"/>
          <w:lang w:val="zh-CN"/>
          <w14:textFill>
            <w14:solidFill>
              <w14:schemeClr w14:val="tx1"/>
            </w14:solidFill>
          </w14:textFill>
        </w:rPr>
        <w:t>不确认的，其</w:t>
      </w:r>
      <w:r>
        <w:rPr>
          <w:rFonts w:hint="eastAsia" w:ascii="宋体" w:hAnsi="宋体" w:cs="宋体"/>
          <w:color w:val="000000" w:themeColor="text1"/>
          <w14:textFill>
            <w14:solidFill>
              <w14:schemeClr w14:val="tx1"/>
            </w14:solidFill>
          </w14:textFill>
        </w:rPr>
        <w:t>磋商</w:t>
      </w:r>
      <w:r>
        <w:rPr>
          <w:rFonts w:hint="eastAsia" w:ascii="宋体" w:hAnsi="宋体" w:cs="宋体"/>
          <w:color w:val="000000" w:themeColor="text1"/>
          <w:lang w:val="zh-CN"/>
          <w14:textFill>
            <w14:solidFill>
              <w14:schemeClr w14:val="tx1"/>
            </w14:solidFill>
          </w14:textFill>
        </w:rPr>
        <w:t>无效。</w:t>
      </w:r>
    </w:p>
    <w:p w14:paraId="100058CC">
      <w:pPr>
        <w:pStyle w:val="13"/>
        <w:spacing w:line="336" w:lineRule="auto"/>
        <w:ind w:left="400" w:leftChars="200"/>
        <w:rPr>
          <w:rFonts w:hint="eastAsia" w:hAnsi="宋体"/>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7、响应文件的澄清</w:t>
      </w:r>
    </w:p>
    <w:p w14:paraId="785B5316">
      <w:pPr>
        <w:pStyle w:val="52"/>
        <w:tabs>
          <w:tab w:val="left" w:pos="0"/>
        </w:tabs>
        <w:spacing w:before="0" w:line="336" w:lineRule="auto"/>
        <w:ind w:firstLine="480"/>
        <w:rPr>
          <w:rFonts w:hint="eastAsia" w:ascii="宋体" w:hAnsi="宋体" w:cs="宋体"/>
          <w:color w:val="000000" w:themeColor="text1"/>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7.1</w:t>
      </w:r>
      <w:r>
        <w:rPr>
          <w:rFonts w:hint="eastAsia" w:ascii="宋体" w:hAnsi="宋体" w:cs="宋体"/>
          <w:color w:val="000000" w:themeColor="text1"/>
          <w:lang w:val="zh-CN"/>
          <w14:textFill>
            <w14:solidFill>
              <w14:schemeClr w14:val="tx1"/>
            </w14:solidFill>
          </w14:textFill>
        </w:rPr>
        <w:t>评审中因</w:t>
      </w:r>
      <w:r>
        <w:rPr>
          <w:rFonts w:hint="eastAsia" w:ascii="宋体" w:hAnsi="宋体" w:cs="宋体"/>
          <w:color w:val="000000" w:themeColor="text1"/>
          <w14:textFill>
            <w14:solidFill>
              <w14:schemeClr w14:val="tx1"/>
            </w14:solidFill>
          </w14:textFill>
        </w:rPr>
        <w:t>响应</w:t>
      </w:r>
      <w:r>
        <w:rPr>
          <w:rFonts w:hint="eastAsia" w:ascii="宋体" w:hAnsi="宋体" w:cs="宋体"/>
          <w:color w:val="000000" w:themeColor="text1"/>
          <w:lang w:val="zh-CN"/>
          <w14:textFill>
            <w14:solidFill>
              <w14:schemeClr w14:val="tx1"/>
            </w14:solidFill>
          </w14:textFill>
        </w:rPr>
        <w:t>文件含义不明、表述不一致或有明显计算错误等内容需要供应商作出澄清、说明或者补正的，</w:t>
      </w:r>
      <w:r>
        <w:rPr>
          <w:rFonts w:hint="eastAsia" w:ascii="宋体" w:hAnsi="宋体" w:cs="宋体"/>
          <w:color w:val="000000" w:themeColor="text1"/>
          <w14:textFill>
            <w14:solidFill>
              <w14:schemeClr w14:val="tx1"/>
            </w14:solidFill>
          </w14:textFill>
        </w:rPr>
        <w:t>磋商小组</w:t>
      </w:r>
      <w:r>
        <w:rPr>
          <w:rFonts w:hint="eastAsia" w:ascii="宋体" w:hAnsi="宋体" w:cs="宋体"/>
          <w:color w:val="000000" w:themeColor="text1"/>
          <w:lang w:val="zh-CN"/>
          <w14:textFill>
            <w14:solidFill>
              <w14:schemeClr w14:val="tx1"/>
            </w14:solidFill>
          </w14:textFill>
        </w:rPr>
        <w:t>和供应商应当通过政采云平台交换数据电文，给予供应商提交澄清说明或补正的时间不少于半小时，供应商已经明确表示澄清说明或补正完毕的除外。</w:t>
      </w:r>
    </w:p>
    <w:p w14:paraId="628F700C">
      <w:pPr>
        <w:spacing w:line="336"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供应商通过政采云平台交换的数据电文必须进行电子签章。</w:t>
      </w:r>
    </w:p>
    <w:p w14:paraId="33CA5C58">
      <w:pPr>
        <w:pStyle w:val="3"/>
        <w:numPr>
          <w:ilvl w:val="0"/>
          <w:numId w:val="14"/>
        </w:numPr>
        <w:jc w:val="center"/>
        <w:rPr>
          <w:rFonts w:cs="Times New Roman"/>
          <w:color w:val="000000" w:themeColor="text1"/>
          <w14:textFill>
            <w14:solidFill>
              <w14:schemeClr w14:val="tx1"/>
            </w14:solidFill>
          </w14:textFill>
        </w:rPr>
      </w:pPr>
      <w:r>
        <w:rPr>
          <w:color w:val="000000" w:themeColor="text1"/>
          <w14:textFill>
            <w14:solidFill>
              <w14:schemeClr w14:val="tx1"/>
            </w14:solidFill>
          </w14:textFill>
        </w:rPr>
        <w:t xml:space="preserve"> </w:t>
      </w:r>
      <w:bookmarkStart w:id="79" w:name="_Toc12816"/>
      <w:bookmarkStart w:id="80" w:name="_Toc7885"/>
      <w:r>
        <w:rPr>
          <w:rFonts w:hint="eastAsia"/>
          <w:color w:val="000000" w:themeColor="text1"/>
          <w14:textFill>
            <w14:solidFill>
              <w14:schemeClr w14:val="tx1"/>
            </w14:solidFill>
          </w14:textFill>
        </w:rPr>
        <w:t>注意事项</w:t>
      </w:r>
      <w:bookmarkEnd w:id="79"/>
      <w:bookmarkEnd w:id="80"/>
    </w:p>
    <w:p w14:paraId="75456997">
      <w:pPr>
        <w:pStyle w:val="4"/>
        <w:spacing w:line="336" w:lineRule="auto"/>
        <w:rPr>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14:paraId="02F0CCF5">
      <w:pPr>
        <w:pStyle w:val="3"/>
        <w:numPr>
          <w:ilvl w:val="0"/>
          <w:numId w:val="15"/>
        </w:numPr>
        <w:jc w:val="center"/>
        <w:rPr>
          <w:rFonts w:cs="Times New Roman"/>
          <w:color w:val="000000" w:themeColor="text1"/>
          <w14:textFill>
            <w14:solidFill>
              <w14:schemeClr w14:val="tx1"/>
            </w14:solidFill>
          </w14:textFill>
        </w:rPr>
      </w:pPr>
      <w:r>
        <w:rPr>
          <w:color w:val="000000" w:themeColor="text1"/>
          <w14:textFill>
            <w14:solidFill>
              <w14:schemeClr w14:val="tx1"/>
            </w14:solidFill>
          </w14:textFill>
        </w:rPr>
        <w:t xml:space="preserve"> </w:t>
      </w:r>
      <w:bookmarkStart w:id="81" w:name="_Toc13782"/>
      <w:bookmarkStart w:id="82" w:name="_Toc25757"/>
      <w:r>
        <w:rPr>
          <w:rFonts w:hint="eastAsia"/>
          <w:color w:val="000000" w:themeColor="text1"/>
          <w14:textFill>
            <w14:solidFill>
              <w14:schemeClr w14:val="tx1"/>
            </w14:solidFill>
          </w14:textFill>
        </w:rPr>
        <w:t>评分细则</w:t>
      </w:r>
      <w:bookmarkEnd w:id="81"/>
      <w:bookmarkEnd w:id="82"/>
    </w:p>
    <w:p w14:paraId="6AF3734C">
      <w:pPr>
        <w:spacing w:line="360" w:lineRule="auto"/>
        <w:ind w:firstLine="482" w:firstLineChars="200"/>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一、报价文件评分标准（</w:t>
      </w:r>
      <w:r>
        <w:rPr>
          <w:rFonts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b/>
          <w:bCs/>
          <w:color w:val="000000" w:themeColor="text1"/>
          <w:sz w:val="24"/>
          <w:szCs w:val="24"/>
          <w:u w:val="single"/>
          <w14:textFill>
            <w14:solidFill>
              <w14:schemeClr w14:val="tx1"/>
            </w14:solidFill>
          </w14:textFill>
        </w:rPr>
        <w:t>20</w:t>
      </w:r>
      <w:r>
        <w:rPr>
          <w:rFonts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b/>
          <w:bCs/>
          <w:color w:val="000000" w:themeColor="text1"/>
          <w:sz w:val="24"/>
          <w:szCs w:val="24"/>
          <w14:textFill>
            <w14:solidFill>
              <w14:schemeClr w14:val="tx1"/>
            </w14:solidFill>
          </w14:textFill>
        </w:rPr>
        <w:t>分）</w:t>
      </w:r>
    </w:p>
    <w:p w14:paraId="189B0F78">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报价文件主要是对供应商的有效报价进行评议，其评分标准及分值设置规则如下：</w:t>
      </w:r>
    </w:p>
    <w:p w14:paraId="0FAD2585">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、本次采购最高限价规定如下：</w:t>
      </w:r>
    </w:p>
    <w:p w14:paraId="00851844">
      <w:pPr>
        <w:wordWrap w:val="0"/>
        <w:spacing w:line="360" w:lineRule="auto"/>
        <w:ind w:firstLine="480" w:firstLineChars="200"/>
        <w:rPr>
          <w:rFonts w:ascii="宋体"/>
          <w:b/>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本项目投标报价的最高限价</w:t>
      </w:r>
      <w:r>
        <w:rPr>
          <w:rFonts w:hint="eastAsia" w:ascii="宋体" w:hAnsi="宋体" w:cs="宋体"/>
          <w:b/>
          <w:bCs/>
          <w:color w:val="000000" w:themeColor="text1"/>
          <w:sz w:val="24"/>
          <w:szCs w:val="24"/>
          <w14:textFill>
            <w14:solidFill>
              <w14:schemeClr w14:val="tx1"/>
            </w14:solidFill>
          </w14:textFill>
        </w:rPr>
        <w:t>为人民币</w:t>
      </w:r>
      <w:r>
        <w:rPr>
          <w:rFonts w:hint="eastAsia" w:ascii="宋体" w:hAnsi="宋体"/>
          <w:b/>
          <w:color w:val="000000" w:themeColor="text1"/>
          <w:sz w:val="24"/>
          <w:szCs w:val="21"/>
          <w:u w:val="single"/>
          <w14:textFill>
            <w14:solidFill>
              <w14:schemeClr w14:val="tx1"/>
            </w14:solidFill>
          </w14:textFill>
        </w:rPr>
        <w:t>伍拾万元整</w:t>
      </w:r>
      <w:r>
        <w:rPr>
          <w:rFonts w:hint="eastAsia" w:ascii="宋体" w:hAnsi="宋体" w:cs="宋体"/>
          <w:b/>
          <w:bCs/>
          <w:color w:val="000000" w:themeColor="text1"/>
          <w:sz w:val="24"/>
          <w:szCs w:val="24"/>
          <w14:textFill>
            <w14:solidFill>
              <w14:schemeClr w14:val="tx1"/>
            </w14:solidFill>
          </w14:textFill>
        </w:rPr>
        <w:t>（小写</w:t>
      </w:r>
      <w:r>
        <w:rPr>
          <w:rFonts w:hint="eastAsia" w:ascii="宋体" w:hAnsi="宋体"/>
          <w:b/>
          <w:color w:val="000000" w:themeColor="text1"/>
          <w:sz w:val="24"/>
          <w:szCs w:val="21"/>
          <w:u w:val="single"/>
          <w14:textFill>
            <w14:solidFill>
              <w14:schemeClr w14:val="tx1"/>
            </w14:solidFill>
          </w14:textFill>
        </w:rPr>
        <w:t>500000</w:t>
      </w:r>
      <w:r>
        <w:rPr>
          <w:rFonts w:ascii="宋体" w:hAnsi="宋体" w:cs="宋体"/>
          <w:b/>
          <w:bCs/>
          <w:color w:val="000000" w:themeColor="text1"/>
          <w:sz w:val="24"/>
          <w:szCs w:val="24"/>
          <w:u w:val="single"/>
          <w14:textFill>
            <w14:solidFill>
              <w14:schemeClr w14:val="tx1"/>
            </w14:solidFill>
          </w14:textFill>
        </w:rPr>
        <w:t xml:space="preserve">.00 </w:t>
      </w:r>
      <w:r>
        <w:rPr>
          <w:rFonts w:hint="eastAsia" w:ascii="宋体" w:hAnsi="宋体" w:cs="宋体"/>
          <w:b/>
          <w:bCs/>
          <w:color w:val="000000" w:themeColor="text1"/>
          <w:sz w:val="24"/>
          <w:szCs w:val="24"/>
          <w14:textFill>
            <w14:solidFill>
              <w14:schemeClr w14:val="tx1"/>
            </w14:solidFill>
          </w14:textFill>
        </w:rPr>
        <w:t>元）。最高限价由采购人根据市场价格的调查设定，并且不高于本项目财政预算。</w:t>
      </w:r>
    </w:p>
    <w:p w14:paraId="0D009DFB">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、供应商的报价在最高限价内的，为有效报价。</w:t>
      </w:r>
    </w:p>
    <w:p w14:paraId="6BB95F47">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、本次评标设有最佳报价。最佳报价确定方式：根据所有入围供应商有效报价中的最低报价作为最佳报价。</w:t>
      </w:r>
    </w:p>
    <w:p w14:paraId="41891BDE">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4</w:t>
      </w:r>
      <w:r>
        <w:rPr>
          <w:rFonts w:hint="eastAsia" w:ascii="宋体" w:hAnsi="宋体" w:cs="宋体"/>
          <w:color w:val="000000" w:themeColor="text1"/>
          <w:sz w:val="24"/>
          <w:szCs w:val="24"/>
          <w14:textFill>
            <w14:solidFill>
              <w14:schemeClr w14:val="tx1"/>
            </w14:solidFill>
          </w14:textFill>
        </w:rPr>
        <w:t>、最佳报价者的报价分为满分，其他供应商的有效报价与最佳报价相比，按下列方法计算其报价分：</w:t>
      </w:r>
    </w:p>
    <w:p w14:paraId="43FEF9A0">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投标价格分</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最佳报价</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投标报价</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价格权值</w:t>
      </w:r>
      <w:r>
        <w:rPr>
          <w:rFonts w:ascii="宋体" w:hAnsi="宋体" w:cs="宋体"/>
          <w:color w:val="000000" w:themeColor="text1"/>
          <w:sz w:val="24"/>
          <w:szCs w:val="24"/>
          <w14:textFill>
            <w14:solidFill>
              <w14:schemeClr w14:val="tx1"/>
            </w14:solidFill>
          </w14:textFill>
        </w:rPr>
        <w:t>*100</w:t>
      </w:r>
      <w:r>
        <w:rPr>
          <w:rFonts w:hint="eastAsia" w:ascii="宋体" w:hAnsi="宋体" w:cs="宋体"/>
          <w:color w:val="000000" w:themeColor="text1"/>
          <w:sz w:val="24"/>
          <w:szCs w:val="24"/>
          <w14:textFill>
            <w14:solidFill>
              <w14:schemeClr w14:val="tx1"/>
            </w14:solidFill>
          </w14:textFill>
        </w:rPr>
        <w:t>。</w:t>
      </w:r>
    </w:p>
    <w:p w14:paraId="27BB5122">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、当报价一览表与磋商报价明细表报价不一致时，以报价一览表为准，磋商报价明细表报价予以修正并由授权代表签字确认，拒绝修正或确认的，则做无效标处理。</w:t>
      </w:r>
    </w:p>
    <w:p w14:paraId="58244F4E">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w:t>
      </w:r>
      <w:r>
        <w:rPr>
          <w:rFonts w:hint="eastAsia" w:ascii="宋体" w:hAnsi="宋体" w:cs="宋体"/>
          <w:color w:val="000000" w:themeColor="text1"/>
          <w:sz w:val="24"/>
          <w:szCs w:val="24"/>
          <w14:textFill>
            <w14:solidFill>
              <w14:schemeClr w14:val="tx1"/>
            </w14:solidFill>
          </w14:textFill>
        </w:rPr>
        <w:t>、响应文件只允许有一个报价，磋商报价应按磋商文件中相关附表格式填报，该磋商报价应与明细报价汇总相等，且不允许出现报价优惠、赠送等字样（明细出现“</w:t>
      </w:r>
      <w:r>
        <w:rPr>
          <w:rFonts w:ascii="宋体" w:cs="宋体"/>
          <w:color w:val="000000" w:themeColor="text1"/>
          <w:sz w:val="24"/>
          <w:szCs w:val="24"/>
          <w14:textFill>
            <w14:solidFill>
              <w14:schemeClr w14:val="tx1"/>
            </w14:solidFill>
          </w14:textFill>
        </w:rPr>
        <w:t>0</w:t>
      </w:r>
      <w:r>
        <w:rPr>
          <w:rFonts w:hint="eastAsia" w:ascii="宋体" w:hAnsi="宋体" w:cs="宋体"/>
          <w:color w:val="000000" w:themeColor="text1"/>
          <w:sz w:val="24"/>
          <w:szCs w:val="24"/>
          <w14:textFill>
            <w14:solidFill>
              <w14:schemeClr w14:val="tx1"/>
            </w14:solidFill>
          </w14:textFill>
        </w:rPr>
        <w:t>”元，视同赠送）</w:t>
      </w:r>
      <w:r>
        <w:rPr>
          <w:rFonts w:asci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如出现则做</w:t>
      </w:r>
      <w:r>
        <w:rPr>
          <w:rFonts w:hint="eastAsia" w:ascii="宋体" w:hAnsi="宋体" w:cs="宋体"/>
          <w:b/>
          <w:bCs/>
          <w:color w:val="000000" w:themeColor="text1"/>
          <w:sz w:val="24"/>
          <w:szCs w:val="24"/>
          <w14:textFill>
            <w14:solidFill>
              <w14:schemeClr w14:val="tx1"/>
            </w14:solidFill>
          </w14:textFill>
        </w:rPr>
        <w:t>无效响应</w:t>
      </w:r>
      <w:r>
        <w:rPr>
          <w:rFonts w:hint="eastAsia" w:ascii="宋体" w:hAnsi="宋体" w:cs="宋体"/>
          <w:color w:val="000000" w:themeColor="text1"/>
          <w:sz w:val="24"/>
          <w:szCs w:val="24"/>
          <w14:textFill>
            <w14:solidFill>
              <w14:schemeClr w14:val="tx1"/>
            </w14:solidFill>
          </w14:textFill>
        </w:rPr>
        <w:t>处理。</w:t>
      </w:r>
    </w:p>
    <w:p w14:paraId="040347E5">
      <w:pPr>
        <w:autoSpaceDE w:val="0"/>
        <w:autoSpaceDN w:val="0"/>
        <w:spacing w:line="360" w:lineRule="auto"/>
        <w:ind w:firstLine="482"/>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w:t>
      </w:r>
      <w:r>
        <w:rPr>
          <w:rFonts w:hint="eastAsia" w:ascii="宋体" w:hAnsi="宋体" w:cs="宋体"/>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14:textFill>
            <w14:solidFill>
              <w14:schemeClr w14:val="tx1"/>
            </w14:solidFill>
          </w14:textFill>
        </w:rPr>
        <w:t>投标价格的合理性</w:t>
      </w:r>
      <w:r>
        <w:rPr>
          <w:rFonts w:hint="eastAsia" w:ascii="宋体" w:hAnsi="宋体" w:cs="宋体"/>
          <w:color w:val="000000" w:themeColor="text1"/>
          <w:sz w:val="24"/>
          <w:szCs w:val="24"/>
          <w14:textFill>
            <w14:solidFill>
              <w14:schemeClr w14:val="tx1"/>
            </w14:solidFill>
          </w14:textFill>
        </w:rPr>
        <w:t>：</w:t>
      </w:r>
      <w:r>
        <w:rPr>
          <w:rFonts w:hint="eastAsia" w:ascii="Arial" w:hAnsi="Arial" w:cs="宋体"/>
          <w:color w:val="000000" w:themeColor="text1"/>
          <w:sz w:val="24"/>
          <w:szCs w:val="24"/>
          <w14:textFill>
            <w14:solidFill>
              <w14:schemeClr w14:val="tx1"/>
            </w14:solidFill>
          </w14:textFill>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14:paraId="0CE9C688">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w:t>
      </w:r>
      <w:r>
        <w:rPr>
          <w:rFonts w:hint="eastAsia" w:ascii="宋体" w:hAnsi="宋体"/>
          <w:color w:val="000000" w:themeColor="text1"/>
          <w:sz w:val="24"/>
          <w:szCs w:val="21"/>
          <w14:textFill>
            <w14:solidFill>
              <w14:schemeClr w14:val="tx1"/>
            </w14:solidFill>
          </w14:textFill>
        </w:rPr>
        <w:t>价格扣除：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w:t>
      </w:r>
      <w:r>
        <w:rPr>
          <w:rFonts w:hint="eastAsia" w:ascii="宋体" w:hAnsi="宋体" w:cs="宋体"/>
          <w:color w:val="000000" w:themeColor="text1"/>
          <w:sz w:val="24"/>
          <w:szCs w:val="24"/>
          <w14:textFill>
            <w14:solidFill>
              <w14:schemeClr w14:val="tx1"/>
            </w14:solidFill>
          </w14:textFill>
        </w:rPr>
        <w:t>、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F71F491">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-20%给予扣除，用扣除后的价格参加评审；对于联合协议或者分包意向协议约定小微企业的合同份额占到合同总金额30%以上的，采购单位、采购代理机构应结合项目实际，对联合体或者大中型企业的报价按4%—6%给予扣除，用扣除后的价格参加评审。（中标价及合同价仍以其投标报价为准）。</w:t>
      </w:r>
    </w:p>
    <w:p w14:paraId="51C06279">
      <w:pPr>
        <w:spacing w:line="360" w:lineRule="auto"/>
        <w:ind w:firstLine="480" w:firstLineChars="200"/>
        <w:rPr>
          <w:rFonts w:ascii="Arial" w:hAnsi="Arial"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组成联合体或者接受分包的小微企业与联合体内其他企业、分包企业之间存在直接控股、管理关系的，不享受价格</w:t>
      </w:r>
      <w:r>
        <w:rPr>
          <w:rFonts w:hint="eastAsia" w:ascii="Arial" w:hAnsi="Arial" w:cs="宋体"/>
          <w:color w:val="000000" w:themeColor="text1"/>
          <w:sz w:val="24"/>
          <w:szCs w:val="24"/>
          <w14:textFill>
            <w14:solidFill>
              <w14:schemeClr w14:val="tx1"/>
            </w14:solidFill>
          </w14:textFill>
        </w:rPr>
        <w:t>扣除优惠政策。联合体各方均为小型、微型企业的，联合体视同为小型、微型企业。</w:t>
      </w:r>
    </w:p>
    <w:p w14:paraId="5C8EA947">
      <w:pPr>
        <w:spacing w:line="360" w:lineRule="auto"/>
        <w:ind w:firstLine="482" w:firstLineChars="200"/>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二、商务技术文件评标内容及标准（</w:t>
      </w:r>
      <w:r>
        <w:rPr>
          <w:rFonts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b/>
          <w:bCs/>
          <w:color w:val="000000" w:themeColor="text1"/>
          <w:sz w:val="24"/>
          <w:szCs w:val="24"/>
          <w:u w:val="single"/>
          <w14:textFill>
            <w14:solidFill>
              <w14:schemeClr w14:val="tx1"/>
            </w14:solidFill>
          </w14:textFill>
        </w:rPr>
        <w:t>80</w:t>
      </w:r>
      <w:r>
        <w:rPr>
          <w:rFonts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b/>
          <w:bCs/>
          <w:color w:val="000000" w:themeColor="text1"/>
          <w:sz w:val="24"/>
          <w:szCs w:val="24"/>
          <w14:textFill>
            <w14:solidFill>
              <w14:schemeClr w14:val="tx1"/>
            </w14:solidFill>
          </w14:textFill>
        </w:rPr>
        <w:t>分）</w:t>
      </w:r>
    </w:p>
    <w:p w14:paraId="6800E328">
      <w:pPr>
        <w:ind w:firstLine="482" w:firstLineChars="2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1、评分细则</w:t>
      </w:r>
    </w:p>
    <w:tbl>
      <w:tblPr>
        <w:tblStyle w:val="27"/>
        <w:tblW w:w="9548" w:type="dxa"/>
        <w:jc w:val="center"/>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1115"/>
        <w:gridCol w:w="1463"/>
        <w:gridCol w:w="5875"/>
        <w:gridCol w:w="1095"/>
      </w:tblGrid>
      <w:tr w14:paraId="67E26689">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2578" w:type="dxa"/>
            <w:gridSpan w:val="2"/>
            <w:tcBorders>
              <w:tl2br w:val="nil"/>
              <w:tr2bl w:val="nil"/>
            </w:tcBorders>
            <w:shd w:val="clear" w:color="auto" w:fill="FFFFFF"/>
            <w:vAlign w:val="center"/>
          </w:tcPr>
          <w:p w14:paraId="0517519F">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eastAsia="zh-TW"/>
                <w14:textFill>
                  <w14:solidFill>
                    <w14:schemeClr w14:val="tx1"/>
                  </w14:solidFill>
                </w14:textFill>
              </w:rPr>
              <w:t>评审内容</w:t>
            </w:r>
          </w:p>
        </w:tc>
        <w:tc>
          <w:tcPr>
            <w:tcW w:w="5875" w:type="dxa"/>
            <w:tcBorders>
              <w:tl2br w:val="nil"/>
              <w:tr2bl w:val="nil"/>
            </w:tcBorders>
            <w:shd w:val="clear" w:color="auto" w:fill="FFFFFF"/>
            <w:tcMar>
              <w:top w:w="80" w:type="dxa"/>
              <w:left w:w="80" w:type="dxa"/>
              <w:bottom w:w="80" w:type="dxa"/>
              <w:right w:w="80" w:type="dxa"/>
            </w:tcMar>
            <w:vAlign w:val="center"/>
          </w:tcPr>
          <w:p w14:paraId="6AA2FD4D">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eastAsia="zh-TW"/>
                <w14:textFill>
                  <w14:solidFill>
                    <w14:schemeClr w14:val="tx1"/>
                  </w14:solidFill>
                </w14:textFill>
              </w:rPr>
              <w:t>评分标准</w:t>
            </w:r>
          </w:p>
        </w:tc>
        <w:tc>
          <w:tcPr>
            <w:tcW w:w="1095" w:type="dxa"/>
            <w:tcBorders>
              <w:tl2br w:val="nil"/>
              <w:tr2bl w:val="nil"/>
            </w:tcBorders>
            <w:shd w:val="clear" w:color="auto" w:fill="FFFFFF"/>
            <w:tcMar>
              <w:top w:w="80" w:type="dxa"/>
              <w:left w:w="80" w:type="dxa"/>
              <w:bottom w:w="80" w:type="dxa"/>
              <w:right w:w="80" w:type="dxa"/>
            </w:tcMar>
            <w:vAlign w:val="center"/>
          </w:tcPr>
          <w:p w14:paraId="09DC6A30">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eastAsia="zh-TW"/>
                <w14:textFill>
                  <w14:solidFill>
                    <w14:schemeClr w14:val="tx1"/>
                  </w14:solidFill>
                </w14:textFill>
              </w:rPr>
              <w:t>分值</w:t>
            </w:r>
          </w:p>
        </w:tc>
      </w:tr>
      <w:tr w14:paraId="4CBD3411">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62" w:hRule="atLeast"/>
          <w:jc w:val="center"/>
        </w:trPr>
        <w:tc>
          <w:tcPr>
            <w:tcW w:w="1115" w:type="dxa"/>
            <w:vMerge w:val="restart"/>
            <w:tcBorders>
              <w:tl2br w:val="nil"/>
              <w:tr2bl w:val="nil"/>
            </w:tcBorders>
            <w:shd w:val="clear" w:color="auto" w:fill="FFFFFF"/>
            <w:tcMar>
              <w:top w:w="80" w:type="dxa"/>
              <w:left w:w="80" w:type="dxa"/>
              <w:bottom w:w="80" w:type="dxa"/>
              <w:right w:w="80" w:type="dxa"/>
            </w:tcMar>
            <w:vAlign w:val="center"/>
          </w:tcPr>
          <w:p w14:paraId="73849153">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技术</w:t>
            </w:r>
          </w:p>
          <w:p w14:paraId="3FC80B26">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（7</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cs="宋体"/>
                <w:color w:val="000000" w:themeColor="text1"/>
                <w:sz w:val="24"/>
                <w:szCs w:val="24"/>
                <w:highlight w:val="none"/>
                <w14:textFill>
                  <w14:solidFill>
                    <w14:schemeClr w14:val="tx1"/>
                  </w14:solidFill>
                </w14:textFill>
              </w:rPr>
              <w:t>分）</w:t>
            </w:r>
          </w:p>
        </w:tc>
        <w:tc>
          <w:tcPr>
            <w:tcW w:w="1463" w:type="dxa"/>
            <w:vMerge w:val="restart"/>
            <w:tcBorders>
              <w:tl2br w:val="nil"/>
              <w:tr2bl w:val="nil"/>
            </w:tcBorders>
            <w:shd w:val="clear" w:color="auto" w:fill="FFFFFF"/>
            <w:tcMar>
              <w:top w:w="80" w:type="dxa"/>
              <w:left w:w="80" w:type="dxa"/>
              <w:bottom w:w="80" w:type="dxa"/>
              <w:right w:w="80" w:type="dxa"/>
            </w:tcMar>
            <w:vAlign w:val="center"/>
          </w:tcPr>
          <w:p w14:paraId="78607D27">
            <w:pPr>
              <w:adjustRightInd w:val="0"/>
              <w:spacing w:line="360" w:lineRule="auto"/>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14:textFill>
                  <w14:solidFill>
                    <w14:schemeClr w14:val="tx1"/>
                  </w14:solidFill>
                </w14:textFill>
              </w:rPr>
              <w:t>项目</w:t>
            </w:r>
            <w:r>
              <w:rPr>
                <w:rFonts w:hint="eastAsia" w:ascii="宋体" w:hAnsi="宋体" w:cs="宋体"/>
                <w:color w:val="000000" w:themeColor="text1"/>
                <w:sz w:val="24"/>
                <w:szCs w:val="24"/>
                <w:highlight w:val="none"/>
                <w14:textFill>
                  <w14:solidFill>
                    <w14:schemeClr w14:val="tx1"/>
                  </w14:solidFill>
                </w14:textFill>
              </w:rPr>
              <w:t>理解</w:t>
            </w:r>
          </w:p>
        </w:tc>
        <w:tc>
          <w:tcPr>
            <w:tcW w:w="5875" w:type="dxa"/>
            <w:tcBorders>
              <w:tl2br w:val="nil"/>
              <w:tr2bl w:val="nil"/>
            </w:tcBorders>
            <w:shd w:val="clear" w:color="auto" w:fill="FFFFFF"/>
            <w:tcMar>
              <w:top w:w="80" w:type="dxa"/>
              <w:left w:w="80" w:type="dxa"/>
              <w:bottom w:w="80" w:type="dxa"/>
              <w:right w:w="80" w:type="dxa"/>
            </w:tcMar>
            <w:vAlign w:val="center"/>
          </w:tcPr>
          <w:p w14:paraId="28AE44E5">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eastAsia="zh-TW"/>
                <w14:textFill>
                  <w14:solidFill>
                    <w14:schemeClr w14:val="tx1"/>
                  </w14:solidFill>
                </w14:textFill>
              </w:rPr>
              <w:t>根据</w:t>
            </w:r>
            <w:r>
              <w:rPr>
                <w:rFonts w:hint="eastAsia" w:ascii="宋体" w:hAnsi="宋体" w:cs="宋体"/>
                <w:color w:val="000000" w:themeColor="text1"/>
                <w:sz w:val="24"/>
                <w:szCs w:val="24"/>
                <w:highlight w:val="none"/>
                <w14:textFill>
                  <w14:solidFill>
                    <w14:schemeClr w14:val="tx1"/>
                  </w14:solidFill>
                </w14:textFill>
              </w:rPr>
              <w:t>投标人针对</w:t>
            </w:r>
            <w:r>
              <w:rPr>
                <w:rFonts w:hint="eastAsia" w:ascii="宋体" w:hAnsi="宋体" w:cs="宋体"/>
                <w:color w:val="000000" w:themeColor="text1"/>
                <w:sz w:val="24"/>
                <w:szCs w:val="24"/>
                <w:highlight w:val="none"/>
                <w:lang w:val="zh-TW"/>
                <w14:textFill>
                  <w14:solidFill>
                    <w14:schemeClr w14:val="tx1"/>
                  </w14:solidFill>
                </w14:textFill>
              </w:rPr>
              <w:t>X波段相控阵雷达系统维护</w:t>
            </w:r>
            <w:r>
              <w:rPr>
                <w:rFonts w:hint="eastAsia" w:ascii="宋体" w:hAnsi="宋体" w:cs="宋体"/>
                <w:color w:val="000000" w:themeColor="text1"/>
                <w:sz w:val="24"/>
                <w:szCs w:val="24"/>
                <w:highlight w:val="none"/>
                <w14:textFill>
                  <w14:solidFill>
                    <w14:schemeClr w14:val="tx1"/>
                  </w14:solidFill>
                </w14:textFill>
              </w:rPr>
              <w:t>以确保雷达设备的稳定运行，数据的准确性和完整性等</w:t>
            </w:r>
            <w:r>
              <w:rPr>
                <w:rFonts w:hint="eastAsia" w:ascii="宋体" w:hAnsi="宋体" w:cs="宋体"/>
                <w:color w:val="000000" w:themeColor="text1"/>
                <w:sz w:val="24"/>
                <w:szCs w:val="24"/>
                <w:highlight w:val="none"/>
                <w:lang w:val="zh-TW"/>
                <w14:textFill>
                  <w14:solidFill>
                    <w14:schemeClr w14:val="tx1"/>
                  </w14:solidFill>
                </w14:textFill>
              </w:rPr>
              <w:t>工作目的是否理解充分进行</w:t>
            </w:r>
            <w:r>
              <w:rPr>
                <w:rFonts w:hint="eastAsia" w:ascii="宋体" w:hAnsi="宋体" w:cs="宋体"/>
                <w:color w:val="000000" w:themeColor="text1"/>
                <w:sz w:val="24"/>
                <w:szCs w:val="24"/>
                <w:highlight w:val="none"/>
                <w14:textFill>
                  <w14:solidFill>
                    <w14:schemeClr w14:val="tx1"/>
                  </w14:solidFill>
                </w14:textFill>
              </w:rPr>
              <w:t>综合</w:t>
            </w:r>
            <w:r>
              <w:rPr>
                <w:rFonts w:hint="eastAsia" w:ascii="宋体" w:hAnsi="宋体" w:cs="宋体"/>
                <w:color w:val="000000" w:themeColor="text1"/>
                <w:sz w:val="24"/>
                <w:szCs w:val="24"/>
                <w:highlight w:val="none"/>
                <w:lang w:val="zh-TW"/>
                <w14:textFill>
                  <w14:solidFill>
                    <w14:schemeClr w14:val="tx1"/>
                  </w14:solidFill>
                </w14:textFill>
              </w:rPr>
              <w:t>打分。</w:t>
            </w:r>
          </w:p>
        </w:tc>
        <w:tc>
          <w:tcPr>
            <w:tcW w:w="1095" w:type="dxa"/>
            <w:tcBorders>
              <w:tl2br w:val="nil"/>
              <w:tr2bl w:val="nil"/>
            </w:tcBorders>
            <w:shd w:val="clear" w:color="auto" w:fill="FFFFFF"/>
            <w:tcMar>
              <w:top w:w="80" w:type="dxa"/>
              <w:left w:w="80" w:type="dxa"/>
              <w:bottom w:w="80" w:type="dxa"/>
              <w:right w:w="80" w:type="dxa"/>
            </w:tcMar>
            <w:vAlign w:val="center"/>
          </w:tcPr>
          <w:p w14:paraId="4095C541">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1AF4FAC4">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16" w:hRule="atLeast"/>
          <w:jc w:val="center"/>
        </w:trPr>
        <w:tc>
          <w:tcPr>
            <w:tcW w:w="1115" w:type="dxa"/>
            <w:vMerge w:val="continue"/>
            <w:tcBorders>
              <w:tl2br w:val="nil"/>
              <w:tr2bl w:val="nil"/>
            </w:tcBorders>
            <w:shd w:val="clear" w:color="auto" w:fill="FFFFFF"/>
            <w:tcMar>
              <w:top w:w="80" w:type="dxa"/>
              <w:left w:w="80" w:type="dxa"/>
              <w:bottom w:w="80" w:type="dxa"/>
              <w:right w:w="80" w:type="dxa"/>
            </w:tcMar>
            <w:vAlign w:val="center"/>
          </w:tcPr>
          <w:p w14:paraId="118347C5">
            <w:pPr>
              <w:adjustRightInd w:val="0"/>
              <w:spacing w:line="360" w:lineRule="auto"/>
              <w:jc w:val="left"/>
              <w:rPr>
                <w:rFonts w:hint="eastAsia" w:ascii="宋体" w:hAnsi="宋体" w:cs="宋体"/>
                <w:color w:val="000000" w:themeColor="text1"/>
                <w:highlight w:val="none"/>
                <w14:textFill>
                  <w14:solidFill>
                    <w14:schemeClr w14:val="tx1"/>
                  </w14:solidFill>
                </w14:textFill>
              </w:rPr>
            </w:pPr>
          </w:p>
        </w:tc>
        <w:tc>
          <w:tcPr>
            <w:tcW w:w="1463" w:type="dxa"/>
            <w:vMerge w:val="continue"/>
            <w:tcBorders>
              <w:tl2br w:val="nil"/>
              <w:tr2bl w:val="nil"/>
            </w:tcBorders>
            <w:shd w:val="clear" w:color="auto" w:fill="FFFFFF"/>
            <w:tcMar>
              <w:top w:w="80" w:type="dxa"/>
              <w:left w:w="80" w:type="dxa"/>
              <w:bottom w:w="80" w:type="dxa"/>
              <w:right w:w="80" w:type="dxa"/>
            </w:tcMar>
            <w:vAlign w:val="center"/>
          </w:tcPr>
          <w:p w14:paraId="74651100">
            <w:pPr>
              <w:adjustRightInd w:val="0"/>
              <w:spacing w:line="360" w:lineRule="auto"/>
              <w:jc w:val="left"/>
              <w:rPr>
                <w:rFonts w:hint="eastAsia" w:ascii="宋体" w:hAnsi="宋体" w:cs="宋体"/>
                <w:color w:val="000000" w:themeColor="text1"/>
                <w:highlight w:val="none"/>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644A354B">
            <w:pPr>
              <w:adjustRightInd w:val="0"/>
              <w:spacing w:line="360" w:lineRule="auto"/>
              <w:ind w:firstLine="480" w:firstLineChars="200"/>
              <w:jc w:val="left"/>
              <w:rPr>
                <w:rFonts w:hint="eastAsia" w:ascii="宋体" w:hAnsi="宋体" w:cs="宋体"/>
                <w:color w:val="000000" w:themeColor="text1"/>
                <w:sz w:val="24"/>
                <w:szCs w:val="24"/>
                <w:highlight w:val="none"/>
                <w:lang w:val="zh-TW" w:eastAsia="zh-TW"/>
                <w14:textFill>
                  <w14:solidFill>
                    <w14:schemeClr w14:val="tx1"/>
                  </w14:solidFill>
                </w14:textFill>
              </w:rPr>
            </w:pPr>
            <w:r>
              <w:rPr>
                <w:rFonts w:hint="eastAsia" w:ascii="宋体" w:hAnsi="宋体" w:cs="宋体"/>
                <w:color w:val="000000" w:themeColor="text1"/>
                <w:sz w:val="24"/>
                <w:szCs w:val="24"/>
                <w:highlight w:val="none"/>
                <w:lang w:val="zh-TW" w:eastAsia="zh-TW"/>
                <w14:textFill>
                  <w14:solidFill>
                    <w14:schemeClr w14:val="tx1"/>
                  </w14:solidFill>
                </w14:textFill>
              </w:rPr>
              <w:t>根据</w:t>
            </w:r>
            <w:r>
              <w:rPr>
                <w:rFonts w:hint="eastAsia" w:ascii="宋体" w:hAnsi="宋体" w:cs="宋体"/>
                <w:color w:val="000000" w:themeColor="text1"/>
                <w:sz w:val="24"/>
                <w:szCs w:val="24"/>
                <w:highlight w:val="none"/>
                <w14:textFill>
                  <w14:solidFill>
                    <w14:schemeClr w14:val="tx1"/>
                  </w14:solidFill>
                </w14:textFill>
              </w:rPr>
              <w:t>投标人</w:t>
            </w:r>
            <w:r>
              <w:rPr>
                <w:rFonts w:hint="eastAsia" w:ascii="宋体" w:hAnsi="宋体" w:cs="宋体"/>
                <w:color w:val="000000" w:themeColor="text1"/>
                <w:sz w:val="24"/>
                <w:szCs w:val="24"/>
                <w:highlight w:val="none"/>
                <w:lang w:val="zh-TW"/>
                <w14:textFill>
                  <w14:solidFill>
                    <w14:schemeClr w14:val="tx1"/>
                  </w14:solidFill>
                </w14:textFill>
              </w:rPr>
              <w:t>对X波段相控阵雷达系统维护，</w:t>
            </w:r>
            <w:r>
              <w:rPr>
                <w:rFonts w:hint="eastAsia" w:ascii="宋体" w:hAnsi="宋体" w:cs="宋体"/>
                <w:color w:val="000000" w:themeColor="text1"/>
                <w:sz w:val="24"/>
                <w:szCs w:val="24"/>
                <w:highlight w:val="none"/>
                <w14:textFill>
                  <w14:solidFill>
                    <w14:schemeClr w14:val="tx1"/>
                  </w14:solidFill>
                </w14:textFill>
              </w:rPr>
              <w:t>包括雷达整机、雷达发射功率、运行状态、伺服系统等维护</w:t>
            </w:r>
            <w:r>
              <w:rPr>
                <w:rFonts w:hint="eastAsia" w:ascii="宋体" w:hAnsi="宋体" w:cs="宋体"/>
                <w:color w:val="000000" w:themeColor="text1"/>
                <w:sz w:val="24"/>
                <w:szCs w:val="24"/>
                <w:highlight w:val="none"/>
                <w:lang w:val="zh-TW"/>
                <w14:textFill>
                  <w14:solidFill>
                    <w14:schemeClr w14:val="tx1"/>
                  </w14:solidFill>
                </w14:textFill>
              </w:rPr>
              <w:t>的工作内容是否理解充分进行</w:t>
            </w:r>
            <w:r>
              <w:rPr>
                <w:rFonts w:hint="eastAsia" w:ascii="宋体" w:hAnsi="宋体" w:cs="宋体"/>
                <w:color w:val="000000" w:themeColor="text1"/>
                <w:sz w:val="24"/>
                <w:szCs w:val="24"/>
                <w:highlight w:val="none"/>
                <w14:textFill>
                  <w14:solidFill>
                    <w14:schemeClr w14:val="tx1"/>
                  </w14:solidFill>
                </w14:textFill>
              </w:rPr>
              <w:t>综合</w:t>
            </w:r>
            <w:r>
              <w:rPr>
                <w:rFonts w:hint="eastAsia" w:ascii="宋体" w:hAnsi="宋体" w:cs="宋体"/>
                <w:color w:val="000000" w:themeColor="text1"/>
                <w:sz w:val="24"/>
                <w:szCs w:val="24"/>
                <w:highlight w:val="none"/>
                <w:lang w:val="zh-TW"/>
                <w14:textFill>
                  <w14:solidFill>
                    <w14:schemeClr w14:val="tx1"/>
                  </w14:solidFill>
                </w14:textFill>
              </w:rPr>
              <w:t>打分。</w:t>
            </w:r>
          </w:p>
        </w:tc>
        <w:tc>
          <w:tcPr>
            <w:tcW w:w="1095" w:type="dxa"/>
            <w:tcBorders>
              <w:tl2br w:val="nil"/>
              <w:tr2bl w:val="nil"/>
            </w:tcBorders>
            <w:shd w:val="clear" w:color="auto" w:fill="FFFFFF"/>
            <w:tcMar>
              <w:top w:w="80" w:type="dxa"/>
              <w:left w:w="80" w:type="dxa"/>
              <w:bottom w:w="80" w:type="dxa"/>
              <w:right w:w="80" w:type="dxa"/>
            </w:tcMar>
            <w:vAlign w:val="center"/>
          </w:tcPr>
          <w:p w14:paraId="0DEB67AC">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0BAAA28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462" w:hRule="atLeast"/>
          <w:jc w:val="center"/>
        </w:trPr>
        <w:tc>
          <w:tcPr>
            <w:tcW w:w="1115" w:type="dxa"/>
            <w:vMerge w:val="continue"/>
            <w:tcBorders>
              <w:tl2br w:val="nil"/>
              <w:tr2bl w:val="nil"/>
            </w:tcBorders>
            <w:shd w:val="clear" w:color="auto" w:fill="FFFFFF"/>
            <w:tcMar>
              <w:top w:w="80" w:type="dxa"/>
              <w:left w:w="80" w:type="dxa"/>
              <w:bottom w:w="80" w:type="dxa"/>
              <w:right w:w="80" w:type="dxa"/>
            </w:tcMar>
            <w:vAlign w:val="center"/>
          </w:tcPr>
          <w:p w14:paraId="4344FD68">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p>
        </w:tc>
        <w:tc>
          <w:tcPr>
            <w:tcW w:w="1463" w:type="dxa"/>
            <w:tcBorders>
              <w:tl2br w:val="nil"/>
              <w:tr2bl w:val="nil"/>
            </w:tcBorders>
            <w:shd w:val="clear" w:color="auto" w:fill="FFFFFF"/>
            <w:tcMar>
              <w:top w:w="80" w:type="dxa"/>
              <w:left w:w="80" w:type="dxa"/>
              <w:bottom w:w="80" w:type="dxa"/>
              <w:right w:w="80" w:type="dxa"/>
            </w:tcMar>
            <w:vAlign w:val="center"/>
          </w:tcPr>
          <w:p w14:paraId="48BA4E34">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运维方案</w:t>
            </w:r>
          </w:p>
        </w:tc>
        <w:tc>
          <w:tcPr>
            <w:tcW w:w="5875" w:type="dxa"/>
            <w:tcBorders>
              <w:tl2br w:val="nil"/>
              <w:tr2bl w:val="nil"/>
            </w:tcBorders>
            <w:shd w:val="clear" w:color="auto" w:fill="FFFFFF"/>
            <w:tcMar>
              <w:top w:w="80" w:type="dxa"/>
              <w:left w:w="80" w:type="dxa"/>
              <w:bottom w:w="80" w:type="dxa"/>
              <w:right w:w="80" w:type="dxa"/>
            </w:tcMar>
            <w:vAlign w:val="center"/>
          </w:tcPr>
          <w:p w14:paraId="2E570F69">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根据投标人提供的运维方案包括月巡检、汛期前巡检标校、软件系统和中心站维护的全面性、科学性、合理性进行综合打分</w:t>
            </w:r>
            <w:r>
              <w:rPr>
                <w:rFonts w:hint="eastAsia" w:ascii="宋体" w:hAnsi="宋体" w:cs="宋体"/>
                <w:color w:val="000000" w:themeColor="text1"/>
                <w:sz w:val="24"/>
                <w:szCs w:val="24"/>
                <w:highlight w:val="none"/>
                <w:lang w:val="zh-TW"/>
                <w14:textFill>
                  <w14:solidFill>
                    <w14:schemeClr w14:val="tx1"/>
                  </w14:solidFill>
                </w14:textFill>
              </w:rPr>
              <w:t>。</w:t>
            </w:r>
          </w:p>
        </w:tc>
        <w:tc>
          <w:tcPr>
            <w:tcW w:w="1095" w:type="dxa"/>
            <w:tcBorders>
              <w:tl2br w:val="nil"/>
              <w:tr2bl w:val="nil"/>
            </w:tcBorders>
            <w:shd w:val="clear" w:color="auto" w:fill="FFFFFF"/>
            <w:tcMar>
              <w:top w:w="80" w:type="dxa"/>
              <w:left w:w="80" w:type="dxa"/>
              <w:bottom w:w="80" w:type="dxa"/>
              <w:right w:w="80" w:type="dxa"/>
            </w:tcMar>
            <w:vAlign w:val="center"/>
          </w:tcPr>
          <w:p w14:paraId="5CF705E9">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3BD8E28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07" w:hRule="atLeast"/>
          <w:jc w:val="center"/>
        </w:trPr>
        <w:tc>
          <w:tcPr>
            <w:tcW w:w="1115" w:type="dxa"/>
            <w:vMerge w:val="continue"/>
            <w:tcBorders>
              <w:tl2br w:val="nil"/>
              <w:tr2bl w:val="nil"/>
            </w:tcBorders>
            <w:shd w:val="clear" w:color="auto" w:fill="FFFFFF"/>
            <w:tcMar>
              <w:top w:w="80" w:type="dxa"/>
              <w:left w:w="80" w:type="dxa"/>
              <w:bottom w:w="80" w:type="dxa"/>
              <w:right w:w="80" w:type="dxa"/>
            </w:tcMar>
            <w:vAlign w:val="center"/>
          </w:tcPr>
          <w:p w14:paraId="2C29B138">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p>
        </w:tc>
        <w:tc>
          <w:tcPr>
            <w:tcW w:w="1463" w:type="dxa"/>
            <w:tcBorders>
              <w:tl2br w:val="nil"/>
              <w:tr2bl w:val="nil"/>
            </w:tcBorders>
            <w:shd w:val="clear" w:color="auto" w:fill="FFFFFF"/>
            <w:tcMar>
              <w:top w:w="80" w:type="dxa"/>
              <w:left w:w="80" w:type="dxa"/>
              <w:bottom w:w="80" w:type="dxa"/>
              <w:right w:w="80" w:type="dxa"/>
            </w:tcMar>
            <w:vAlign w:val="center"/>
          </w:tcPr>
          <w:p w14:paraId="56807035">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巡检方案</w:t>
            </w:r>
          </w:p>
        </w:tc>
        <w:tc>
          <w:tcPr>
            <w:tcW w:w="5875" w:type="dxa"/>
            <w:tcBorders>
              <w:tl2br w:val="nil"/>
              <w:tr2bl w:val="nil"/>
            </w:tcBorders>
            <w:shd w:val="clear" w:color="auto" w:fill="FFFFFF"/>
            <w:tcMar>
              <w:top w:w="80" w:type="dxa"/>
              <w:left w:w="80" w:type="dxa"/>
              <w:bottom w:w="80" w:type="dxa"/>
              <w:right w:w="80" w:type="dxa"/>
            </w:tcMar>
            <w:vAlign w:val="center"/>
          </w:tcPr>
          <w:p w14:paraId="185D8A4E">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14:textFill>
                  <w14:solidFill>
                    <w14:schemeClr w14:val="tx1"/>
                  </w14:solidFill>
                </w14:textFill>
              </w:rPr>
              <w:t>根据</w:t>
            </w:r>
            <w:r>
              <w:rPr>
                <w:rFonts w:hint="eastAsia" w:ascii="宋体" w:hAnsi="宋体" w:cs="宋体"/>
                <w:color w:val="000000" w:themeColor="text1"/>
                <w:sz w:val="24"/>
                <w:szCs w:val="24"/>
                <w:highlight w:val="none"/>
                <w14:textFill>
                  <w14:solidFill>
                    <w14:schemeClr w14:val="tx1"/>
                  </w14:solidFill>
                </w14:textFill>
              </w:rPr>
              <w:t>投标人提供的月巡检和汛期前巡检</w:t>
            </w:r>
            <w:r>
              <w:rPr>
                <w:rFonts w:hint="eastAsia" w:ascii="宋体" w:hAnsi="宋体" w:cs="宋体"/>
                <w:color w:val="000000" w:themeColor="text1"/>
                <w:sz w:val="24"/>
                <w:szCs w:val="24"/>
                <w:highlight w:val="none"/>
                <w:lang w:val="zh-TW"/>
                <w14:textFill>
                  <w14:solidFill>
                    <w14:schemeClr w14:val="tx1"/>
                  </w14:solidFill>
                </w14:textFill>
              </w:rPr>
              <w:t>方案，出具</w:t>
            </w:r>
            <w:r>
              <w:rPr>
                <w:rFonts w:hint="eastAsia" w:ascii="宋体" w:hAnsi="宋体" w:cs="宋体"/>
                <w:color w:val="000000" w:themeColor="text1"/>
                <w:sz w:val="24"/>
                <w:szCs w:val="24"/>
                <w:highlight w:val="none"/>
                <w14:textFill>
                  <w14:solidFill>
                    <w14:schemeClr w14:val="tx1"/>
                  </w14:solidFill>
                </w14:textFill>
              </w:rPr>
              <w:t>的</w:t>
            </w:r>
            <w:r>
              <w:rPr>
                <w:rFonts w:hint="eastAsia" w:ascii="宋体" w:hAnsi="宋体" w:cs="宋体"/>
                <w:color w:val="000000" w:themeColor="text1"/>
                <w:sz w:val="24"/>
                <w:szCs w:val="24"/>
                <w:highlight w:val="none"/>
                <w:lang w:val="zh-TW"/>
                <w14:textFill>
                  <w14:solidFill>
                    <w14:schemeClr w14:val="tx1"/>
                  </w14:solidFill>
                </w14:textFill>
              </w:rPr>
              <w:t>巡检和设备运行情况报告，进行综合打分。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578F9F23">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1C05CDC4">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70" w:hRule="atLeast"/>
          <w:jc w:val="center"/>
        </w:trPr>
        <w:tc>
          <w:tcPr>
            <w:tcW w:w="1115" w:type="dxa"/>
            <w:vMerge w:val="continue"/>
            <w:tcBorders>
              <w:tl2br w:val="nil"/>
              <w:tr2bl w:val="nil"/>
            </w:tcBorders>
            <w:shd w:val="clear" w:color="auto" w:fill="FFFFFF"/>
            <w:tcMar>
              <w:top w:w="80" w:type="dxa"/>
              <w:left w:w="80" w:type="dxa"/>
              <w:bottom w:w="80" w:type="dxa"/>
              <w:right w:w="80" w:type="dxa"/>
            </w:tcMar>
            <w:vAlign w:val="center"/>
          </w:tcPr>
          <w:p w14:paraId="0A76FC3C">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p>
        </w:tc>
        <w:tc>
          <w:tcPr>
            <w:tcW w:w="1463" w:type="dxa"/>
            <w:tcBorders>
              <w:tl2br w:val="nil"/>
              <w:tr2bl w:val="nil"/>
            </w:tcBorders>
            <w:shd w:val="clear" w:color="auto" w:fill="FFFFFF"/>
            <w:tcMar>
              <w:top w:w="80" w:type="dxa"/>
              <w:left w:w="80" w:type="dxa"/>
              <w:bottom w:w="80" w:type="dxa"/>
              <w:right w:w="80" w:type="dxa"/>
            </w:tcMar>
            <w:vAlign w:val="center"/>
          </w:tcPr>
          <w:p w14:paraId="11B73D33">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标校方案</w:t>
            </w:r>
          </w:p>
        </w:tc>
        <w:tc>
          <w:tcPr>
            <w:tcW w:w="5875" w:type="dxa"/>
            <w:tcBorders>
              <w:tl2br w:val="nil"/>
              <w:tr2bl w:val="nil"/>
            </w:tcBorders>
            <w:shd w:val="clear" w:color="auto" w:fill="FFFFFF"/>
            <w:tcMar>
              <w:top w:w="80" w:type="dxa"/>
              <w:left w:w="80" w:type="dxa"/>
              <w:bottom w:w="80" w:type="dxa"/>
              <w:right w:w="80" w:type="dxa"/>
            </w:tcMar>
            <w:vAlign w:val="center"/>
          </w:tcPr>
          <w:p w14:paraId="3DB3983B">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14:textFill>
                  <w14:solidFill>
                    <w14:schemeClr w14:val="tx1"/>
                  </w14:solidFill>
                </w14:textFill>
              </w:rPr>
              <w:t>根据</w:t>
            </w:r>
            <w:r>
              <w:rPr>
                <w:rFonts w:hint="eastAsia" w:ascii="宋体" w:hAnsi="宋体" w:cs="宋体"/>
                <w:color w:val="000000" w:themeColor="text1"/>
                <w:sz w:val="24"/>
                <w:szCs w:val="24"/>
                <w:highlight w:val="none"/>
                <w14:textFill>
                  <w14:solidFill>
                    <w14:schemeClr w14:val="tx1"/>
                  </w14:solidFill>
                </w14:textFill>
              </w:rPr>
              <w:t>投标人提供的雷达标校</w:t>
            </w:r>
            <w:r>
              <w:rPr>
                <w:rFonts w:hint="eastAsia" w:ascii="宋体" w:hAnsi="宋体" w:cs="宋体"/>
                <w:color w:val="000000" w:themeColor="text1"/>
                <w:sz w:val="24"/>
                <w:szCs w:val="24"/>
                <w:highlight w:val="none"/>
                <w:lang w:val="zh-TW"/>
                <w14:textFill>
                  <w14:solidFill>
                    <w14:schemeClr w14:val="tx1"/>
                  </w14:solidFill>
                </w14:textFill>
              </w:rPr>
              <w:t>方案的先</w:t>
            </w:r>
            <w:r>
              <w:rPr>
                <w:rFonts w:hint="eastAsia" w:ascii="宋体" w:hAnsi="宋体" w:cs="宋体"/>
                <w:color w:val="000000" w:themeColor="text1"/>
                <w:sz w:val="24"/>
                <w:szCs w:val="24"/>
                <w:highlight w:val="none"/>
                <w14:textFill>
                  <w14:solidFill>
                    <w14:schemeClr w14:val="tx1"/>
                  </w14:solidFill>
                </w14:textFill>
              </w:rPr>
              <w:t>进</w:t>
            </w:r>
            <w:r>
              <w:rPr>
                <w:rFonts w:hint="eastAsia" w:ascii="宋体" w:hAnsi="宋体" w:cs="宋体"/>
                <w:color w:val="000000" w:themeColor="text1"/>
                <w:sz w:val="24"/>
                <w:szCs w:val="24"/>
                <w:highlight w:val="none"/>
                <w:lang w:val="zh-TW"/>
                <w14:textFill>
                  <w14:solidFill>
                    <w14:schemeClr w14:val="tx1"/>
                  </w14:solidFill>
                </w14:textFill>
              </w:rPr>
              <w:t>性、规范性和可操作性，</w:t>
            </w:r>
            <w:r>
              <w:rPr>
                <w:rFonts w:hint="eastAsia" w:ascii="宋体" w:hAnsi="宋体" w:cs="宋体"/>
                <w:color w:val="000000" w:themeColor="text1"/>
                <w:sz w:val="24"/>
                <w:szCs w:val="24"/>
                <w:highlight w:val="none"/>
                <w14:textFill>
                  <w14:solidFill>
                    <w14:schemeClr w14:val="tx1"/>
                  </w14:solidFill>
                </w14:textFill>
              </w:rPr>
              <w:t>进行综合打分，包括</w:t>
            </w:r>
            <w:r>
              <w:rPr>
                <w:rFonts w:hint="eastAsia" w:ascii="宋体" w:hAnsi="宋体" w:cs="宋体"/>
                <w:color w:val="000000" w:themeColor="text1"/>
                <w:sz w:val="24"/>
                <w:highlight w:val="none"/>
                <w14:textFill>
                  <w14:solidFill>
                    <w14:schemeClr w14:val="tx1"/>
                  </w14:solidFill>
                </w14:textFill>
              </w:rPr>
              <w:t>人员设备部署、安全管理、验收方案等</w:t>
            </w:r>
            <w:r>
              <w:rPr>
                <w:rFonts w:hint="eastAsia" w:ascii="宋体" w:hAnsi="宋体" w:cs="宋体"/>
                <w:color w:val="000000" w:themeColor="text1"/>
                <w:sz w:val="24"/>
                <w:szCs w:val="24"/>
                <w:highlight w:val="none"/>
                <w:lang w:val="zh-TW"/>
                <w14:textFill>
                  <w14:solidFill>
                    <w14:schemeClr w14:val="tx1"/>
                  </w14:solidFill>
                </w14:textFill>
              </w:rPr>
              <w:t>。</w:t>
            </w:r>
          </w:p>
        </w:tc>
        <w:tc>
          <w:tcPr>
            <w:tcW w:w="1095" w:type="dxa"/>
            <w:tcBorders>
              <w:tl2br w:val="nil"/>
              <w:tr2bl w:val="nil"/>
            </w:tcBorders>
            <w:shd w:val="clear" w:color="auto" w:fill="FFFFFF"/>
            <w:tcMar>
              <w:top w:w="80" w:type="dxa"/>
              <w:left w:w="80" w:type="dxa"/>
              <w:bottom w:w="80" w:type="dxa"/>
              <w:right w:w="80" w:type="dxa"/>
            </w:tcMar>
            <w:vAlign w:val="center"/>
          </w:tcPr>
          <w:p w14:paraId="2DE3ECF2">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5CF477B9">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81" w:hRule="atLeast"/>
          <w:jc w:val="center"/>
        </w:trPr>
        <w:tc>
          <w:tcPr>
            <w:tcW w:w="1115" w:type="dxa"/>
            <w:vMerge w:val="continue"/>
            <w:tcBorders>
              <w:tl2br w:val="nil"/>
              <w:tr2bl w:val="nil"/>
            </w:tcBorders>
            <w:shd w:val="clear" w:color="auto" w:fill="FFFFFF"/>
            <w:tcMar>
              <w:top w:w="80" w:type="dxa"/>
              <w:left w:w="80" w:type="dxa"/>
              <w:bottom w:w="80" w:type="dxa"/>
              <w:right w:w="80" w:type="dxa"/>
            </w:tcMar>
            <w:vAlign w:val="center"/>
          </w:tcPr>
          <w:p w14:paraId="25B3A77B">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p>
        </w:tc>
        <w:tc>
          <w:tcPr>
            <w:tcW w:w="1463" w:type="dxa"/>
            <w:tcBorders>
              <w:tl2br w:val="nil"/>
              <w:tr2bl w:val="nil"/>
            </w:tcBorders>
            <w:shd w:val="clear" w:color="auto" w:fill="FFFFFF"/>
            <w:tcMar>
              <w:top w:w="80" w:type="dxa"/>
              <w:left w:w="80" w:type="dxa"/>
              <w:bottom w:w="80" w:type="dxa"/>
              <w:right w:w="80" w:type="dxa"/>
            </w:tcMar>
            <w:vAlign w:val="center"/>
          </w:tcPr>
          <w:p w14:paraId="782CD3E6">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故障处理方案</w:t>
            </w:r>
          </w:p>
        </w:tc>
        <w:tc>
          <w:tcPr>
            <w:tcW w:w="5875" w:type="dxa"/>
            <w:tcBorders>
              <w:tl2br w:val="nil"/>
              <w:tr2bl w:val="nil"/>
            </w:tcBorders>
            <w:shd w:val="clear" w:color="auto" w:fill="FFFFFF"/>
            <w:tcMar>
              <w:top w:w="80" w:type="dxa"/>
              <w:left w:w="80" w:type="dxa"/>
              <w:bottom w:w="80" w:type="dxa"/>
              <w:right w:w="80" w:type="dxa"/>
            </w:tcMar>
            <w:vAlign w:val="center"/>
          </w:tcPr>
          <w:p w14:paraId="6ACA23ED">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14:textFill>
                  <w14:solidFill>
                    <w14:schemeClr w14:val="tx1"/>
                  </w14:solidFill>
                </w14:textFill>
              </w:rPr>
              <w:t>根据</w:t>
            </w:r>
            <w:r>
              <w:rPr>
                <w:rFonts w:hint="eastAsia" w:ascii="宋体" w:hAnsi="宋体" w:cs="宋体"/>
                <w:color w:val="000000" w:themeColor="text1"/>
                <w:sz w:val="24"/>
                <w:szCs w:val="24"/>
                <w:highlight w:val="none"/>
                <w14:textFill>
                  <w14:solidFill>
                    <w14:schemeClr w14:val="tx1"/>
                  </w14:solidFill>
                </w14:textFill>
              </w:rPr>
              <w:t>投标人提供因设备故障或市电、通信等导致的</w:t>
            </w:r>
            <w:r>
              <w:rPr>
                <w:rFonts w:hint="eastAsia" w:ascii="宋体" w:hAnsi="宋体" w:cs="宋体"/>
                <w:color w:val="000000" w:themeColor="text1"/>
                <w:sz w:val="24"/>
                <w:szCs w:val="24"/>
                <w:highlight w:val="none"/>
                <w:lang w:val="zh-TW"/>
                <w14:textFill>
                  <w14:solidFill>
                    <w14:schemeClr w14:val="tx1"/>
                  </w14:solidFill>
                </w14:textFill>
              </w:rPr>
              <w:t>故障处理方案，</w:t>
            </w:r>
            <w:r>
              <w:rPr>
                <w:rFonts w:hint="eastAsia" w:ascii="宋体" w:hAnsi="宋体" w:cs="宋体"/>
                <w:color w:val="000000" w:themeColor="text1"/>
                <w:sz w:val="24"/>
                <w:szCs w:val="24"/>
                <w:highlight w:val="none"/>
                <w14:textFill>
                  <w14:solidFill>
                    <w14:schemeClr w14:val="tx1"/>
                  </w14:solidFill>
                </w14:textFill>
              </w:rPr>
              <w:t>对</w:t>
            </w:r>
            <w:r>
              <w:rPr>
                <w:rFonts w:hint="eastAsia" w:ascii="宋体" w:hAnsi="宋体" w:cs="宋体"/>
                <w:color w:val="000000" w:themeColor="text1"/>
                <w:sz w:val="24"/>
                <w:szCs w:val="24"/>
                <w:highlight w:val="none"/>
                <w:lang w:val="zh-TW"/>
                <w14:textFill>
                  <w14:solidFill>
                    <w14:schemeClr w14:val="tx1"/>
                  </w14:solidFill>
                </w14:textFill>
              </w:rPr>
              <w:t>使用的技术手段及软硬件故障响应能力和排除时效</w:t>
            </w:r>
            <w:r>
              <w:rPr>
                <w:rFonts w:hint="eastAsia" w:ascii="宋体" w:hAnsi="宋体" w:cs="宋体"/>
                <w:color w:val="000000" w:themeColor="text1"/>
                <w:sz w:val="24"/>
                <w:szCs w:val="24"/>
                <w:highlight w:val="none"/>
                <w14:textFill>
                  <w14:solidFill>
                    <w14:schemeClr w14:val="tx1"/>
                  </w14:solidFill>
                </w14:textFill>
              </w:rPr>
              <w:t>等应急处理</w:t>
            </w:r>
            <w:r>
              <w:rPr>
                <w:rFonts w:hint="eastAsia" w:ascii="宋体" w:hAnsi="宋体" w:cs="宋体"/>
                <w:color w:val="000000" w:themeColor="text1"/>
                <w:sz w:val="24"/>
                <w:szCs w:val="24"/>
                <w:highlight w:val="none"/>
                <w:lang w:val="zh-TW"/>
                <w14:textFill>
                  <w14:solidFill>
                    <w14:schemeClr w14:val="tx1"/>
                  </w14:solidFill>
                </w14:textFill>
              </w:rPr>
              <w:t>，进行综合打分。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67D12139">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72A26FEB">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14" w:hRule="atLeast"/>
          <w:jc w:val="center"/>
        </w:trPr>
        <w:tc>
          <w:tcPr>
            <w:tcW w:w="1115" w:type="dxa"/>
            <w:vMerge w:val="continue"/>
            <w:tcBorders>
              <w:tl2br w:val="nil"/>
              <w:tr2bl w:val="nil"/>
            </w:tcBorders>
            <w:shd w:val="clear" w:color="auto" w:fill="FFFFFF"/>
            <w:vAlign w:val="center"/>
          </w:tcPr>
          <w:p w14:paraId="29A1E341">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1463" w:type="dxa"/>
            <w:vMerge w:val="restart"/>
            <w:tcBorders>
              <w:tl2br w:val="nil"/>
              <w:tr2bl w:val="nil"/>
            </w:tcBorders>
            <w:shd w:val="clear" w:color="auto" w:fill="FFFFFF"/>
            <w:vAlign w:val="center"/>
          </w:tcPr>
          <w:p w14:paraId="4297EF6F">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14:textFill>
                  <w14:solidFill>
                    <w14:schemeClr w14:val="tx1"/>
                  </w14:solidFill>
                </w14:textFill>
              </w:rPr>
              <w:t>应急预案</w:t>
            </w:r>
          </w:p>
        </w:tc>
        <w:tc>
          <w:tcPr>
            <w:tcW w:w="5875" w:type="dxa"/>
            <w:tcBorders>
              <w:tl2br w:val="nil"/>
              <w:tr2bl w:val="nil"/>
            </w:tcBorders>
            <w:shd w:val="clear" w:color="auto" w:fill="FFFFFF"/>
            <w:tcMar>
              <w:top w:w="80" w:type="dxa"/>
              <w:left w:w="80" w:type="dxa"/>
              <w:bottom w:w="80" w:type="dxa"/>
              <w:right w:w="80" w:type="dxa"/>
            </w:tcMar>
            <w:vAlign w:val="center"/>
          </w:tcPr>
          <w:p w14:paraId="59C93F5A">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w:t>
            </w:r>
            <w:r>
              <w:rPr>
                <w:rFonts w:hint="eastAsia" w:ascii="宋体" w:hAnsi="宋体" w:cs="宋体"/>
                <w:color w:val="000000" w:themeColor="text1"/>
                <w:sz w:val="24"/>
                <w:szCs w:val="24"/>
                <w:highlight w:val="none"/>
                <w:lang w:val="zh-TW"/>
                <w14:textFill>
                  <w14:solidFill>
                    <w14:schemeClr w14:val="tx1"/>
                  </w14:solidFill>
                </w14:textFill>
              </w:rPr>
              <w:t>对</w:t>
            </w:r>
            <w:r>
              <w:rPr>
                <w:rFonts w:hint="eastAsia" w:ascii="宋体" w:hAnsi="宋体" w:cs="宋体"/>
                <w:color w:val="000000" w:themeColor="text1"/>
                <w:sz w:val="24"/>
                <w:szCs w:val="24"/>
                <w:highlight w:val="none"/>
                <w14:textFill>
                  <w14:solidFill>
                    <w14:schemeClr w14:val="tx1"/>
                  </w14:solidFill>
                </w14:textFill>
              </w:rPr>
              <w:t>项目</w:t>
            </w:r>
            <w:r>
              <w:rPr>
                <w:rFonts w:hint="eastAsia" w:ascii="宋体" w:hAnsi="宋体" w:cs="宋体"/>
                <w:color w:val="000000" w:themeColor="text1"/>
                <w:sz w:val="24"/>
                <w:szCs w:val="24"/>
                <w:highlight w:val="none"/>
                <w:lang w:val="zh-TW"/>
                <w14:textFill>
                  <w14:solidFill>
                    <w14:schemeClr w14:val="tx1"/>
                  </w14:solidFill>
                </w14:textFill>
              </w:rPr>
              <w:t>实施可能遇到的问题及其应对措施的考虑情况，建立</w:t>
            </w:r>
            <w:r>
              <w:rPr>
                <w:rFonts w:hint="eastAsia" w:ascii="宋体" w:hAnsi="宋体" w:cs="宋体"/>
                <w:color w:val="000000" w:themeColor="text1"/>
                <w:sz w:val="24"/>
                <w:szCs w:val="24"/>
                <w:highlight w:val="none"/>
                <w14:textFill>
                  <w14:solidFill>
                    <w14:schemeClr w14:val="tx1"/>
                  </w14:solidFill>
                </w14:textFill>
              </w:rPr>
              <w:t>的</w:t>
            </w:r>
            <w:r>
              <w:rPr>
                <w:rFonts w:hint="eastAsia" w:ascii="宋体" w:hAnsi="宋体" w:cs="宋体"/>
                <w:color w:val="000000" w:themeColor="text1"/>
                <w:sz w:val="24"/>
                <w:szCs w:val="24"/>
                <w:highlight w:val="none"/>
                <w:lang w:val="zh-TW"/>
                <w14:textFill>
                  <w14:solidFill>
                    <w14:schemeClr w14:val="tx1"/>
                  </w14:solidFill>
                </w14:textFill>
              </w:rPr>
              <w:t>运行服务保障应急预案，进行综合打分。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18904B38">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4B426B47">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48" w:hRule="atLeast"/>
          <w:jc w:val="center"/>
        </w:trPr>
        <w:tc>
          <w:tcPr>
            <w:tcW w:w="1115" w:type="dxa"/>
            <w:vMerge w:val="continue"/>
            <w:tcBorders>
              <w:tl2br w:val="nil"/>
              <w:tr2bl w:val="nil"/>
            </w:tcBorders>
            <w:shd w:val="clear" w:color="auto" w:fill="FFFFFF"/>
            <w:vAlign w:val="center"/>
          </w:tcPr>
          <w:p w14:paraId="5CAC7CA3">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1463" w:type="dxa"/>
            <w:vMerge w:val="continue"/>
            <w:tcBorders>
              <w:tl2br w:val="nil"/>
              <w:tr2bl w:val="nil"/>
            </w:tcBorders>
            <w:shd w:val="clear" w:color="auto" w:fill="FFFFFF"/>
            <w:vAlign w:val="center"/>
          </w:tcPr>
          <w:p w14:paraId="60365334">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1F22D180">
            <w:pPr>
              <w:adjustRightInd w:val="0"/>
              <w:spacing w:line="360" w:lineRule="auto"/>
              <w:ind w:firstLine="480" w:firstLineChars="200"/>
              <w:jc w:val="left"/>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w:t>
            </w:r>
            <w:r>
              <w:rPr>
                <w:rFonts w:hint="eastAsia" w:ascii="宋体" w:hAnsi="宋体" w:cs="宋体"/>
                <w:color w:val="000000" w:themeColor="text1"/>
                <w:sz w:val="24"/>
                <w:szCs w:val="24"/>
                <w:highlight w:val="none"/>
                <w:lang w:val="zh-TW"/>
                <w14:textFill>
                  <w14:solidFill>
                    <w14:schemeClr w14:val="tx1"/>
                  </w14:solidFill>
                </w14:textFill>
              </w:rPr>
              <w:t>在维保服务期间巡检、故障处理的组织和联系机制的合理性、有效性横向比较，进行综合打分。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15CBECA6">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32747F65">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5" w:type="dxa"/>
            <w:vMerge w:val="continue"/>
            <w:tcBorders>
              <w:tl2br w:val="nil"/>
              <w:tr2bl w:val="nil"/>
            </w:tcBorders>
            <w:shd w:val="clear" w:color="auto" w:fill="FFFFFF"/>
            <w:vAlign w:val="center"/>
          </w:tcPr>
          <w:p w14:paraId="0CA7B612">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1463" w:type="dxa"/>
            <w:tcBorders>
              <w:tl2br w:val="nil"/>
              <w:tr2bl w:val="nil"/>
            </w:tcBorders>
            <w:shd w:val="clear" w:color="auto" w:fill="FFFFFF"/>
            <w:vAlign w:val="center"/>
          </w:tcPr>
          <w:p w14:paraId="500828EE">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合理化建议</w:t>
            </w:r>
          </w:p>
        </w:tc>
        <w:tc>
          <w:tcPr>
            <w:tcW w:w="5875" w:type="dxa"/>
            <w:tcBorders>
              <w:tl2br w:val="nil"/>
              <w:tr2bl w:val="nil"/>
            </w:tcBorders>
            <w:shd w:val="clear" w:color="auto" w:fill="FFFFFF"/>
            <w:tcMar>
              <w:top w:w="80" w:type="dxa"/>
              <w:left w:w="80" w:type="dxa"/>
              <w:bottom w:w="80" w:type="dxa"/>
              <w:right w:w="80" w:type="dxa"/>
            </w:tcMar>
            <w:vAlign w:val="center"/>
          </w:tcPr>
          <w:p w14:paraId="52E45887">
            <w:pPr>
              <w:adjustRightInd w:val="0"/>
              <w:spacing w:line="360" w:lineRule="auto"/>
              <w:ind w:firstLine="480" w:firstLineChars="200"/>
              <w:jc w:val="left"/>
              <w:rPr>
                <w:rFonts w:hint="eastAsia" w:ascii="宋体" w:hAnsi="宋体" w:cs="宋体"/>
                <w:color w:val="000000" w:themeColor="text1"/>
                <w:sz w:val="24"/>
                <w:szCs w:val="24"/>
                <w:highlight w:val="none"/>
                <w14:textFill>
                  <w14:solidFill>
                    <w14:schemeClr w14:val="tx1"/>
                  </w14:solidFill>
                </w14:textFill>
              </w:rPr>
            </w:pPr>
            <w:bookmarkStart w:id="83" w:name="OLE_LINK29"/>
            <w:r>
              <w:rPr>
                <w:rFonts w:hint="eastAsia" w:ascii="宋体" w:hAnsi="宋体" w:cs="宋体"/>
                <w:color w:val="auto"/>
                <w:kern w:val="2"/>
                <w:sz w:val="24"/>
                <w:szCs w:val="24"/>
                <w:lang w:val="en-US" w:eastAsia="zh-CN" w:bidi="ar-SA"/>
              </w:rPr>
              <w:t>评委根据投标人</w:t>
            </w:r>
            <w:r>
              <w:rPr>
                <w:rFonts w:hint="eastAsia" w:ascii="宋体" w:hAnsi="宋体" w:cs="等线 Light"/>
                <w:color w:val="auto"/>
                <w:kern w:val="0"/>
                <w:sz w:val="24"/>
                <w:highlight w:val="none"/>
                <w:lang w:eastAsia="zh-CN"/>
              </w:rPr>
              <w:t>针对本项目提出的合理化建议</w:t>
            </w:r>
            <w:r>
              <w:rPr>
                <w:rFonts w:hint="eastAsia" w:ascii="宋体" w:hAnsi="宋体" w:cs="等线 Light"/>
                <w:color w:val="auto"/>
                <w:kern w:val="0"/>
                <w:sz w:val="24"/>
                <w:highlight w:val="none"/>
                <w:lang w:val="en-US" w:eastAsia="zh-CN"/>
              </w:rPr>
              <w:t>进行综合打分</w:t>
            </w:r>
            <w:r>
              <w:rPr>
                <w:rFonts w:hint="eastAsia" w:ascii="宋体" w:hAnsi="宋体" w:cs="等线 Light"/>
                <w:color w:val="auto"/>
                <w:kern w:val="0"/>
                <w:sz w:val="24"/>
                <w:highlight w:val="none"/>
                <w:lang w:eastAsia="zh-CN"/>
              </w:rPr>
              <w:t>。</w:t>
            </w:r>
            <w:bookmarkEnd w:id="83"/>
          </w:p>
        </w:tc>
        <w:tc>
          <w:tcPr>
            <w:tcW w:w="1095" w:type="dxa"/>
            <w:tcBorders>
              <w:tl2br w:val="nil"/>
              <w:tr2bl w:val="nil"/>
            </w:tcBorders>
            <w:shd w:val="clear" w:color="auto" w:fill="FFFFFF"/>
            <w:tcMar>
              <w:top w:w="80" w:type="dxa"/>
              <w:left w:w="80" w:type="dxa"/>
              <w:bottom w:w="80" w:type="dxa"/>
              <w:right w:w="80" w:type="dxa"/>
            </w:tcMar>
            <w:vAlign w:val="center"/>
          </w:tcPr>
          <w:p w14:paraId="793A14E1">
            <w:pPr>
              <w:adjustRightInd w:val="0"/>
              <w:spacing w:line="36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2分</w:t>
            </w:r>
          </w:p>
        </w:tc>
      </w:tr>
      <w:tr w14:paraId="08E09BFA">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234" w:hRule="atLeast"/>
          <w:jc w:val="center"/>
        </w:trPr>
        <w:tc>
          <w:tcPr>
            <w:tcW w:w="1115" w:type="dxa"/>
            <w:vMerge w:val="continue"/>
            <w:tcBorders>
              <w:tl2br w:val="nil"/>
              <w:tr2bl w:val="nil"/>
            </w:tcBorders>
            <w:shd w:val="clear" w:color="auto" w:fill="FFFFFF"/>
            <w:vAlign w:val="center"/>
          </w:tcPr>
          <w:p w14:paraId="1EB2B29D">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1463" w:type="dxa"/>
            <w:tcBorders>
              <w:tl2br w:val="nil"/>
              <w:tr2bl w:val="nil"/>
            </w:tcBorders>
            <w:shd w:val="clear" w:color="auto" w:fill="FFFFFF"/>
            <w:vAlign w:val="center"/>
          </w:tcPr>
          <w:p w14:paraId="66F5A6C7">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lang w:val="zh-TW"/>
                <w14:textFill>
                  <w14:solidFill>
                    <w14:schemeClr w14:val="tx1"/>
                  </w14:solidFill>
                </w14:textFill>
              </w:rPr>
              <w:t>服务承诺</w:t>
            </w:r>
          </w:p>
        </w:tc>
        <w:tc>
          <w:tcPr>
            <w:tcW w:w="5875" w:type="dxa"/>
            <w:tcBorders>
              <w:tl2br w:val="nil"/>
              <w:tr2bl w:val="nil"/>
            </w:tcBorders>
            <w:shd w:val="clear" w:color="auto" w:fill="FFFFFF"/>
            <w:tcMar>
              <w:top w:w="80" w:type="dxa"/>
              <w:left w:w="80" w:type="dxa"/>
              <w:bottom w:w="80" w:type="dxa"/>
              <w:right w:w="80" w:type="dxa"/>
            </w:tcMar>
            <w:vAlign w:val="center"/>
          </w:tcPr>
          <w:p w14:paraId="790C04EB">
            <w:pPr>
              <w:adjustRightInd w:val="0"/>
              <w:spacing w:line="360" w:lineRule="auto"/>
              <w:ind w:firstLine="480" w:firstLineChars="200"/>
              <w:rPr>
                <w:rFonts w:hint="eastAsia" w:ascii="宋体" w:hAnsi="宋体" w:cs="宋体"/>
                <w:color w:val="000000" w:themeColor="text1"/>
                <w:kern w:val="2"/>
                <w:sz w:val="24"/>
                <w:szCs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评委根据</w:t>
            </w:r>
            <w:r>
              <w:rPr>
                <w:rFonts w:hint="eastAsia" w:ascii="宋体" w:hAnsi="宋体" w:cs="宋体"/>
                <w:color w:val="000000" w:themeColor="text1"/>
                <w:sz w:val="24"/>
                <w:szCs w:val="24"/>
                <w:highlight w:val="none"/>
                <w14:textFill>
                  <w14:solidFill>
                    <w14:schemeClr w14:val="tx1"/>
                  </w14:solidFill>
                </w14:textFill>
              </w:rPr>
              <w:t>投标人</w:t>
            </w:r>
            <w:r>
              <w:rPr>
                <w:rFonts w:hint="eastAsia" w:ascii="宋体" w:hAnsi="宋体" w:cs="宋体"/>
                <w:color w:val="000000" w:themeColor="text1"/>
                <w:sz w:val="24"/>
                <w:highlight w:val="none"/>
                <w14:textFill>
                  <w14:solidFill>
                    <w14:schemeClr w14:val="tx1"/>
                  </w14:solidFill>
                </w14:textFill>
              </w:rPr>
              <w:t>的响应服务能力进行打分，是否有较强的专业技术队伍，能提供快速的服务响应。</w:t>
            </w:r>
          </w:p>
        </w:tc>
        <w:tc>
          <w:tcPr>
            <w:tcW w:w="1095" w:type="dxa"/>
            <w:tcBorders>
              <w:tl2br w:val="nil"/>
              <w:tr2bl w:val="nil"/>
            </w:tcBorders>
            <w:shd w:val="clear" w:color="auto" w:fill="FFFFFF"/>
            <w:tcMar>
              <w:top w:w="80" w:type="dxa"/>
              <w:left w:w="80" w:type="dxa"/>
              <w:bottom w:w="80" w:type="dxa"/>
              <w:right w:w="80" w:type="dxa"/>
            </w:tcMar>
            <w:vAlign w:val="center"/>
          </w:tcPr>
          <w:p w14:paraId="5D25A966">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67DC8700">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71" w:hRule="atLeast"/>
          <w:jc w:val="center"/>
        </w:trPr>
        <w:tc>
          <w:tcPr>
            <w:tcW w:w="1115" w:type="dxa"/>
            <w:vMerge w:val="continue"/>
            <w:tcBorders>
              <w:tl2br w:val="nil"/>
              <w:tr2bl w:val="nil"/>
            </w:tcBorders>
            <w:shd w:val="clear" w:color="auto" w:fill="auto"/>
            <w:vAlign w:val="center"/>
          </w:tcPr>
          <w:p w14:paraId="2BCC8B35">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1463" w:type="dxa"/>
            <w:vMerge w:val="restart"/>
            <w:tcBorders>
              <w:tl2br w:val="nil"/>
              <w:tr2bl w:val="nil"/>
            </w:tcBorders>
            <w:shd w:val="clear" w:color="auto" w:fill="auto"/>
            <w:vAlign w:val="center"/>
          </w:tcPr>
          <w:p w14:paraId="61052B5F">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拟投入设备、</w:t>
            </w:r>
            <w:r>
              <w:rPr>
                <w:rFonts w:hint="eastAsia" w:ascii="宋体" w:hAnsi="宋体" w:cs="宋体"/>
                <w:color w:val="000000" w:themeColor="text1"/>
                <w:sz w:val="24"/>
                <w:szCs w:val="24"/>
                <w:highlight w:val="none"/>
                <w:lang w:val="zh-TW"/>
                <w14:textFill>
                  <w14:solidFill>
                    <w14:schemeClr w14:val="tx1"/>
                  </w14:solidFill>
                </w14:textFill>
              </w:rPr>
              <w:t>系统保障</w:t>
            </w:r>
            <w:r>
              <w:rPr>
                <w:rFonts w:hint="eastAsia" w:ascii="宋体" w:hAnsi="宋体" w:cs="宋体"/>
                <w:color w:val="000000" w:themeColor="text1"/>
                <w:sz w:val="24"/>
                <w:szCs w:val="24"/>
                <w:highlight w:val="none"/>
                <w14:textFill>
                  <w14:solidFill>
                    <w14:schemeClr w14:val="tx1"/>
                  </w14:solidFill>
                </w14:textFill>
              </w:rPr>
              <w:t>及车辆</w:t>
            </w:r>
          </w:p>
        </w:tc>
        <w:tc>
          <w:tcPr>
            <w:tcW w:w="5875" w:type="dxa"/>
            <w:tcBorders>
              <w:tl2br w:val="nil"/>
              <w:tr2bl w:val="nil"/>
            </w:tcBorders>
            <w:shd w:val="clear" w:color="auto" w:fill="FFFFFF"/>
            <w:tcMar>
              <w:top w:w="80" w:type="dxa"/>
              <w:left w:w="80" w:type="dxa"/>
              <w:bottom w:w="80" w:type="dxa"/>
              <w:right w:w="80" w:type="dxa"/>
            </w:tcMar>
            <w:vAlign w:val="center"/>
          </w:tcPr>
          <w:p w14:paraId="0DD1DA8D">
            <w:pPr>
              <w:adjustRightInd w:val="0"/>
              <w:spacing w:line="360" w:lineRule="auto"/>
              <w:ind w:firstLine="480" w:firstLineChars="200"/>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根据投标人拟投入的雷达检测仪表装置是否具备完成特定任务所需的高精度和快速响应能力</w:t>
            </w:r>
            <w:r>
              <w:rPr>
                <w:rFonts w:hint="eastAsia" w:ascii="宋体" w:hAnsi="宋体" w:cs="宋体"/>
                <w:color w:val="000000" w:themeColor="text1"/>
                <w:sz w:val="24"/>
                <w:szCs w:val="24"/>
                <w:highlight w:val="none"/>
                <w:lang w:val="en-US" w:eastAsia="zh-CN"/>
                <w14:textFill>
                  <w14:solidFill>
                    <w14:schemeClr w14:val="tx1"/>
                  </w14:solidFill>
                </w14:textFill>
              </w:rPr>
              <w:t>和</w:t>
            </w:r>
            <w:r>
              <w:rPr>
                <w:rFonts w:hint="eastAsia" w:ascii="宋体" w:hAnsi="宋体" w:cs="宋体"/>
                <w:color w:val="000000" w:themeColor="text1"/>
                <w:sz w:val="24"/>
                <w:szCs w:val="24"/>
                <w:highlight w:val="none"/>
                <w14:textFill>
                  <w14:solidFill>
                    <w14:schemeClr w14:val="tx1"/>
                  </w14:solidFill>
                </w14:textFill>
              </w:rPr>
              <w:t>是否具备多种功能模块，如多频段信号处理、抗干扰能力强、可扩展性好等进行综合打分。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46B9FAEF">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67B3BDF1">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5" w:type="dxa"/>
            <w:vMerge w:val="continue"/>
            <w:tcBorders>
              <w:tl2br w:val="nil"/>
              <w:tr2bl w:val="nil"/>
            </w:tcBorders>
            <w:shd w:val="clear" w:color="auto" w:fill="auto"/>
            <w:vAlign w:val="center"/>
          </w:tcPr>
          <w:p w14:paraId="12340596">
            <w:pPr>
              <w:adjustRightInd w:val="0"/>
              <w:spacing w:line="360" w:lineRule="auto"/>
              <w:jc w:val="center"/>
              <w:rPr>
                <w:rFonts w:hint="eastAsia" w:ascii="宋体" w:hAnsi="宋体" w:cs="宋体"/>
                <w:color w:val="000000" w:themeColor="text1"/>
                <w:highlight w:val="none"/>
                <w14:textFill>
                  <w14:solidFill>
                    <w14:schemeClr w14:val="tx1"/>
                  </w14:solidFill>
                </w14:textFill>
              </w:rPr>
            </w:pPr>
          </w:p>
        </w:tc>
        <w:tc>
          <w:tcPr>
            <w:tcW w:w="1463" w:type="dxa"/>
            <w:vMerge w:val="continue"/>
            <w:tcBorders>
              <w:tl2br w:val="nil"/>
              <w:tr2bl w:val="nil"/>
            </w:tcBorders>
            <w:shd w:val="clear" w:color="auto" w:fill="auto"/>
            <w:vAlign w:val="center"/>
          </w:tcPr>
          <w:p w14:paraId="70C70542">
            <w:pPr>
              <w:adjustRightInd w:val="0"/>
              <w:spacing w:line="360" w:lineRule="auto"/>
              <w:jc w:val="center"/>
              <w:rPr>
                <w:rFonts w:hint="eastAsia" w:ascii="宋体" w:hAnsi="宋体" w:cs="宋体"/>
                <w:color w:val="000000" w:themeColor="text1"/>
                <w:highlight w:val="none"/>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0E729490">
            <w:pPr>
              <w:adjustRightInd w:val="0"/>
              <w:spacing w:line="360" w:lineRule="auto"/>
              <w:ind w:firstLine="480" w:firstLineChars="200"/>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根据投标人拟投入的专用标校装置</w:t>
            </w:r>
            <w:r>
              <w:rPr>
                <w:rFonts w:hint="eastAsia" w:ascii="宋体" w:hAnsi="宋体" w:cs="宋体"/>
                <w:color w:val="000000" w:themeColor="text1"/>
                <w:sz w:val="24"/>
                <w:szCs w:val="24"/>
                <w:highlight w:val="none"/>
                <w:lang w:val="en-US" w:eastAsia="zh-CN"/>
                <w14:textFill>
                  <w14:solidFill>
                    <w14:schemeClr w14:val="tx1"/>
                  </w14:solidFill>
                </w14:textFill>
              </w:rPr>
              <w:t>是否满足项目标校要求及针对本项目的具体实施方案可行性</w:t>
            </w:r>
            <w:r>
              <w:rPr>
                <w:rFonts w:hint="eastAsia" w:ascii="宋体" w:hAnsi="宋体" w:cs="宋体"/>
                <w:color w:val="000000" w:themeColor="text1"/>
                <w:sz w:val="24"/>
                <w:szCs w:val="24"/>
                <w:highlight w:val="none"/>
                <w14:textFill>
                  <w14:solidFill>
                    <w14:schemeClr w14:val="tx1"/>
                  </w14:solidFill>
                </w14:textFill>
              </w:rPr>
              <w:t>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5CBA0737">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3E6696DF">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427" w:hRule="atLeast"/>
          <w:jc w:val="center"/>
        </w:trPr>
        <w:tc>
          <w:tcPr>
            <w:tcW w:w="1115" w:type="dxa"/>
            <w:vMerge w:val="continue"/>
            <w:tcBorders>
              <w:tl2br w:val="nil"/>
              <w:tr2bl w:val="nil"/>
            </w:tcBorders>
            <w:shd w:val="clear" w:color="auto" w:fill="auto"/>
            <w:vAlign w:val="center"/>
          </w:tcPr>
          <w:p w14:paraId="758AB524">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p>
        </w:tc>
        <w:tc>
          <w:tcPr>
            <w:tcW w:w="1463" w:type="dxa"/>
            <w:vMerge w:val="continue"/>
            <w:tcBorders>
              <w:tl2br w:val="nil"/>
              <w:tr2bl w:val="nil"/>
            </w:tcBorders>
            <w:shd w:val="clear" w:color="auto" w:fill="auto"/>
            <w:vAlign w:val="center"/>
          </w:tcPr>
          <w:p w14:paraId="65542A2D">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68E2E32D">
            <w:pPr>
              <w:adjustRightInd w:val="0"/>
              <w:spacing w:line="360" w:lineRule="auto"/>
              <w:ind w:firstLine="480" w:firstLineChars="200"/>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根据投标人拟投入其他与本项目相关的专业装备</w:t>
            </w:r>
            <w:r>
              <w:rPr>
                <w:rFonts w:hint="eastAsia" w:ascii="宋体" w:hAnsi="宋体" w:cs="宋体"/>
                <w:color w:val="000000" w:themeColor="text1"/>
                <w:sz w:val="24"/>
                <w:szCs w:val="24"/>
                <w:highlight w:val="none"/>
                <w:lang w:val="en-US" w:eastAsia="zh-CN"/>
                <w14:textFill>
                  <w14:solidFill>
                    <w14:schemeClr w14:val="tx1"/>
                  </w14:solidFill>
                </w14:textFill>
              </w:rPr>
              <w:t>备货情况，响应时间等</w:t>
            </w:r>
            <w:r>
              <w:rPr>
                <w:rFonts w:hint="eastAsia" w:ascii="宋体" w:hAnsi="宋体" w:cs="宋体"/>
                <w:color w:val="000000" w:themeColor="text1"/>
                <w:sz w:val="24"/>
                <w:szCs w:val="24"/>
                <w:highlight w:val="none"/>
                <w14:textFill>
                  <w14:solidFill>
                    <w14:schemeClr w14:val="tx1"/>
                  </w14:solidFill>
                </w14:textFill>
              </w:rPr>
              <w:t>进行综合打分。</w:t>
            </w:r>
          </w:p>
          <w:p w14:paraId="63322597">
            <w:pPr>
              <w:adjustRightInd w:val="0"/>
              <w:spacing w:line="360" w:lineRule="auto"/>
              <w:ind w:firstLine="482" w:firstLineChars="200"/>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需提供购置合同</w:t>
            </w:r>
            <w:r>
              <w:rPr>
                <w:rFonts w:hint="eastAsia" w:ascii="宋体" w:hAnsi="宋体" w:cs="宋体"/>
                <w:b/>
                <w:bCs/>
                <w:color w:val="000000" w:themeColor="text1"/>
                <w:sz w:val="24"/>
                <w:szCs w:val="24"/>
                <w:highlight w:val="none"/>
                <w:lang w:eastAsia="zh-CN"/>
                <w14:textFill>
                  <w14:solidFill>
                    <w14:schemeClr w14:val="tx1"/>
                  </w14:solidFill>
                </w14:textFill>
              </w:rPr>
              <w:t>或租赁合同</w:t>
            </w:r>
            <w:r>
              <w:rPr>
                <w:rFonts w:hint="eastAsia" w:ascii="宋体" w:hAnsi="宋体" w:cs="宋体"/>
                <w:b/>
                <w:bCs/>
                <w:color w:val="000000" w:themeColor="text1"/>
                <w:sz w:val="24"/>
                <w:szCs w:val="24"/>
                <w:highlight w:val="none"/>
                <w14:textFill>
                  <w14:solidFill>
                    <w14:schemeClr w14:val="tx1"/>
                  </w14:solidFill>
                </w14:textFill>
              </w:rPr>
              <w:t>或发票的复印件以及设备照片复印件并加盖单位公章。</w:t>
            </w:r>
          </w:p>
        </w:tc>
        <w:tc>
          <w:tcPr>
            <w:tcW w:w="1095" w:type="dxa"/>
            <w:tcBorders>
              <w:tl2br w:val="nil"/>
              <w:tr2bl w:val="nil"/>
            </w:tcBorders>
            <w:shd w:val="clear" w:color="auto" w:fill="FFFFFF"/>
            <w:tcMar>
              <w:top w:w="80" w:type="dxa"/>
              <w:left w:w="80" w:type="dxa"/>
              <w:bottom w:w="80" w:type="dxa"/>
              <w:right w:w="80" w:type="dxa"/>
            </w:tcMar>
            <w:vAlign w:val="center"/>
          </w:tcPr>
          <w:p w14:paraId="15D8EF72">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5E29545D">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3" w:hRule="atLeast"/>
          <w:jc w:val="center"/>
        </w:trPr>
        <w:tc>
          <w:tcPr>
            <w:tcW w:w="1115" w:type="dxa"/>
            <w:vMerge w:val="continue"/>
            <w:tcBorders>
              <w:tl2br w:val="nil"/>
              <w:tr2bl w:val="nil"/>
            </w:tcBorders>
            <w:shd w:val="clear" w:color="auto" w:fill="auto"/>
            <w:vAlign w:val="center"/>
          </w:tcPr>
          <w:p w14:paraId="00B6B42B">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p>
        </w:tc>
        <w:tc>
          <w:tcPr>
            <w:tcW w:w="1463" w:type="dxa"/>
            <w:vMerge w:val="continue"/>
            <w:tcBorders>
              <w:tl2br w:val="nil"/>
              <w:tr2bl w:val="nil"/>
            </w:tcBorders>
            <w:shd w:val="clear" w:color="auto" w:fill="auto"/>
            <w:vAlign w:val="center"/>
          </w:tcPr>
          <w:p w14:paraId="7C2A9036">
            <w:pPr>
              <w:adjustRightInd w:val="0"/>
              <w:spacing w:line="360" w:lineRule="auto"/>
              <w:jc w:val="left"/>
              <w:rPr>
                <w:rFonts w:hint="eastAsia" w:ascii="宋体" w:hAnsi="宋体" w:cs="宋体"/>
                <w:color w:val="000000" w:themeColor="text1"/>
                <w:sz w:val="24"/>
                <w:szCs w:val="24"/>
                <w:highlight w:val="none"/>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07EB6979">
            <w:pPr>
              <w:adjustRightInd w:val="0"/>
              <w:spacing w:line="360" w:lineRule="auto"/>
              <w:ind w:firstLine="480" w:firstLineChars="200"/>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根据投标人拟投入数据信息资源维护状态监控软件是否存在，是否有实时监控、数据存储、报警提醒等功能</w:t>
            </w:r>
            <w:r>
              <w:rPr>
                <w:rFonts w:hint="eastAsia" w:ascii="宋体" w:hAnsi="宋体" w:cs="宋体"/>
                <w:color w:val="000000" w:themeColor="text1"/>
                <w:sz w:val="24"/>
                <w:szCs w:val="24"/>
                <w:highlight w:val="none"/>
                <w:lang w:val="en-US" w:eastAsia="zh-CN"/>
                <w14:textFill>
                  <w14:solidFill>
                    <w14:schemeClr w14:val="tx1"/>
                  </w14:solidFill>
                </w14:textFill>
              </w:rPr>
              <w:t>和</w:t>
            </w:r>
            <w:r>
              <w:rPr>
                <w:rFonts w:hint="eastAsia" w:ascii="宋体" w:hAnsi="宋体" w:cs="宋体"/>
                <w:color w:val="000000" w:themeColor="text1"/>
                <w:sz w:val="24"/>
                <w:szCs w:val="24"/>
                <w:highlight w:val="none"/>
                <w14:textFill>
                  <w14:solidFill>
                    <w14:schemeClr w14:val="tx1"/>
                  </w14:solidFill>
                </w14:textFill>
              </w:rPr>
              <w:t>是否支持多平台使用、易于操作、性能稳定等进行综合打分。</w:t>
            </w:r>
          </w:p>
        </w:tc>
        <w:tc>
          <w:tcPr>
            <w:tcW w:w="1095" w:type="dxa"/>
            <w:tcBorders>
              <w:tl2br w:val="nil"/>
              <w:tr2bl w:val="nil"/>
            </w:tcBorders>
            <w:shd w:val="clear" w:color="auto" w:fill="FFFFFF"/>
            <w:tcMar>
              <w:top w:w="80" w:type="dxa"/>
              <w:left w:w="80" w:type="dxa"/>
              <w:bottom w:w="80" w:type="dxa"/>
              <w:right w:w="80" w:type="dxa"/>
            </w:tcMar>
            <w:vAlign w:val="center"/>
          </w:tcPr>
          <w:p w14:paraId="64C7C04E">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35D33BDA">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3" w:hRule="atLeast"/>
          <w:jc w:val="center"/>
        </w:trPr>
        <w:tc>
          <w:tcPr>
            <w:tcW w:w="1115" w:type="dxa"/>
            <w:vMerge w:val="continue"/>
            <w:tcBorders>
              <w:tl2br w:val="nil"/>
              <w:tr2bl w:val="nil"/>
            </w:tcBorders>
            <w:shd w:val="clear" w:color="auto" w:fill="auto"/>
            <w:vAlign w:val="center"/>
          </w:tcPr>
          <w:p w14:paraId="7296606E">
            <w:pPr>
              <w:adjustRightInd w:val="0"/>
              <w:spacing w:line="360" w:lineRule="auto"/>
              <w:jc w:val="center"/>
              <w:rPr>
                <w:color w:val="000000" w:themeColor="text1"/>
                <w:highlight w:val="none"/>
                <w14:textFill>
                  <w14:solidFill>
                    <w14:schemeClr w14:val="tx1"/>
                  </w14:solidFill>
                </w14:textFill>
              </w:rPr>
            </w:pPr>
          </w:p>
        </w:tc>
        <w:tc>
          <w:tcPr>
            <w:tcW w:w="1463" w:type="dxa"/>
            <w:vMerge w:val="continue"/>
            <w:tcBorders>
              <w:tl2br w:val="nil"/>
              <w:tr2bl w:val="nil"/>
            </w:tcBorders>
            <w:shd w:val="clear" w:color="auto" w:fill="auto"/>
            <w:vAlign w:val="center"/>
          </w:tcPr>
          <w:p w14:paraId="0DFE4457">
            <w:pPr>
              <w:adjustRightInd w:val="0"/>
              <w:spacing w:line="360" w:lineRule="auto"/>
              <w:jc w:val="center"/>
              <w:rPr>
                <w:color w:val="000000" w:themeColor="text1"/>
                <w:highlight w:val="none"/>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6E907221">
            <w:pPr>
              <w:adjustRightInd w:val="0"/>
              <w:spacing w:line="360" w:lineRule="auto"/>
              <w:ind w:firstLine="480" w:firstLineChars="200"/>
              <w:jc w:val="left"/>
              <w:rPr>
                <w:rFonts w:hint="eastAsia"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根据投标人</w:t>
            </w:r>
            <w:r>
              <w:rPr>
                <w:rFonts w:hint="eastAsia" w:ascii="宋体" w:hAnsi="宋体" w:eastAsia="宋体" w:cs="宋体"/>
                <w:color w:val="000000" w:themeColor="text1"/>
                <w:sz w:val="24"/>
                <w:szCs w:val="24"/>
                <w:highlight w:val="none"/>
                <w14:textFill>
                  <w14:solidFill>
                    <w14:schemeClr w14:val="tx1"/>
                  </w14:solidFill>
                </w14:textFill>
              </w:rPr>
              <w:t>针对本项目</w:t>
            </w:r>
            <w:r>
              <w:rPr>
                <w:rFonts w:hint="eastAsia" w:ascii="宋体" w:hAnsi="宋体" w:eastAsia="宋体"/>
                <w:color w:val="000000" w:themeColor="text1"/>
                <w:sz w:val="24"/>
                <w:szCs w:val="24"/>
                <w:highlight w:val="none"/>
                <w:lang w:eastAsia="zh-CN"/>
                <w14:textFill>
                  <w14:solidFill>
                    <w14:schemeClr w14:val="tx1"/>
                  </w14:solidFill>
                </w14:textFill>
              </w:rPr>
              <w:t>从</w:t>
            </w:r>
            <w:r>
              <w:rPr>
                <w:rFonts w:hint="eastAsia" w:ascii="宋体" w:hAnsi="宋体"/>
                <w:color w:val="000000" w:themeColor="text1"/>
                <w:sz w:val="24"/>
                <w:szCs w:val="24"/>
                <w:highlight w:val="none"/>
                <w14:textFill>
                  <w14:solidFill>
                    <w14:schemeClr w14:val="tx1"/>
                  </w14:solidFill>
                </w14:textFill>
              </w:rPr>
              <w:t>车辆</w:t>
            </w:r>
            <w:r>
              <w:rPr>
                <w:rFonts w:hint="eastAsia" w:ascii="宋体" w:hAnsi="宋体"/>
                <w:color w:val="000000" w:themeColor="text1"/>
                <w:sz w:val="24"/>
                <w:szCs w:val="24"/>
                <w:highlight w:val="none"/>
                <w:lang w:val="en-US" w:eastAsia="zh-CN"/>
                <w14:textFill>
                  <w14:solidFill>
                    <w14:schemeClr w14:val="tx1"/>
                  </w14:solidFill>
                </w14:textFill>
              </w:rPr>
              <w:t>是否满足项目紧急情况下的快速响应方案可行</w:t>
            </w:r>
            <w:r>
              <w:rPr>
                <w:rFonts w:hint="eastAsia" w:ascii="宋体" w:hAnsi="宋体"/>
                <w:color w:val="000000" w:themeColor="text1"/>
                <w:sz w:val="24"/>
                <w:szCs w:val="24"/>
                <w:highlight w:val="none"/>
                <w14:textFill>
                  <w14:solidFill>
                    <w14:schemeClr w14:val="tx1"/>
                  </w14:solidFill>
                </w14:textFill>
              </w:rPr>
              <w:t>性进行综合打分。</w:t>
            </w:r>
          </w:p>
          <w:p w14:paraId="3677427E">
            <w:pPr>
              <w:adjustRightInd w:val="0"/>
              <w:spacing w:line="360" w:lineRule="auto"/>
              <w:ind w:firstLine="482" w:firstLineChars="200"/>
              <w:jc w:val="lef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b/>
                <w:bCs/>
                <w:color w:val="000000" w:themeColor="text1"/>
                <w:sz w:val="24"/>
                <w:szCs w:val="24"/>
                <w:highlight w:val="none"/>
                <w14:textFill>
                  <w14:solidFill>
                    <w14:schemeClr w14:val="tx1"/>
                  </w14:solidFill>
                </w14:textFill>
              </w:rPr>
              <w:t>需提供车辆行驶证、采购合同或租赁合同等相关证明文件复印件并加盖单位公章</w:t>
            </w:r>
            <w:r>
              <w:rPr>
                <w:rFonts w:hint="eastAsia" w:ascii="宋体" w:hAnsi="宋体" w:cs="宋体"/>
                <w:b/>
                <w:bCs/>
                <w:color w:val="000000" w:themeColor="text1"/>
                <w:sz w:val="24"/>
                <w:szCs w:val="24"/>
                <w:highlight w:val="none"/>
                <w14:textFill>
                  <w14:solidFill>
                    <w14:schemeClr w14:val="tx1"/>
                  </w14:solidFill>
                </w14:textFill>
              </w:rPr>
              <w:t>。</w:t>
            </w:r>
          </w:p>
        </w:tc>
        <w:tc>
          <w:tcPr>
            <w:tcW w:w="1095" w:type="dxa"/>
            <w:tcBorders>
              <w:tl2br w:val="nil"/>
              <w:tr2bl w:val="nil"/>
            </w:tcBorders>
            <w:shd w:val="clear" w:color="auto" w:fill="FFFFFF"/>
            <w:tcMar>
              <w:top w:w="80" w:type="dxa"/>
              <w:left w:w="80" w:type="dxa"/>
              <w:bottom w:w="80" w:type="dxa"/>
              <w:right w:w="80" w:type="dxa"/>
            </w:tcMar>
            <w:vAlign w:val="center"/>
          </w:tcPr>
          <w:p w14:paraId="183EA1D6">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5分</w:t>
            </w:r>
          </w:p>
        </w:tc>
      </w:tr>
      <w:tr w14:paraId="2ABC9C7B">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5" w:type="dxa"/>
            <w:vMerge w:val="restart"/>
            <w:tcBorders>
              <w:tl2br w:val="nil"/>
              <w:tr2bl w:val="nil"/>
            </w:tcBorders>
            <w:shd w:val="clear" w:color="auto" w:fill="auto"/>
            <w:vAlign w:val="center"/>
          </w:tcPr>
          <w:p w14:paraId="03ABDB03">
            <w:pPr>
              <w:spacing w:line="360" w:lineRule="auto"/>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商务</w:t>
            </w:r>
          </w:p>
          <w:p w14:paraId="72FDBA22">
            <w:pPr>
              <w:tabs>
                <w:tab w:val="left" w:pos="1080"/>
              </w:tabs>
              <w:spacing w:line="360" w:lineRule="auto"/>
              <w:jc w:val="center"/>
              <w:rPr>
                <w:rFonts w:hint="eastAsia" w:ascii="宋体" w:hAnsi="宋体" w:cs="宋体"/>
                <w:color w:val="000000" w:themeColor="text1"/>
                <w:kern w:val="2"/>
                <w:sz w:val="24"/>
                <w:szCs w:val="24"/>
                <w:highlight w:val="none"/>
                <w14:textFill>
                  <w14:solidFill>
                    <w14:schemeClr w14:val="tx1"/>
                  </w14:solidFill>
                </w14:textFill>
              </w:rPr>
            </w:pPr>
            <w:r>
              <w:rPr>
                <w:rFonts w:hint="eastAsia" w:ascii="宋体" w:hAnsi="宋体" w:cs="宋体"/>
                <w:color w:val="000000" w:themeColor="text1"/>
                <w:kern w:val="2"/>
                <w:sz w:val="24"/>
                <w:szCs w:val="24"/>
                <w:highlight w:val="none"/>
                <w14:textFill>
                  <w14:solidFill>
                    <w14:schemeClr w14:val="tx1"/>
                  </w14:solidFill>
                </w14:textFill>
              </w:rPr>
              <w:t>（</w:t>
            </w:r>
            <w:r>
              <w:rPr>
                <w:rFonts w:hint="eastAsia" w:ascii="宋体" w:hAnsi="宋体" w:cs="宋体"/>
                <w:color w:val="000000" w:themeColor="text1"/>
                <w:kern w:val="2"/>
                <w:sz w:val="24"/>
                <w:szCs w:val="24"/>
                <w:highlight w:val="none"/>
                <w:lang w:val="en-US" w:eastAsia="zh-CN"/>
                <w14:textFill>
                  <w14:solidFill>
                    <w14:schemeClr w14:val="tx1"/>
                  </w14:solidFill>
                </w14:textFill>
              </w:rPr>
              <w:t>8</w:t>
            </w:r>
            <w:r>
              <w:rPr>
                <w:rFonts w:hint="eastAsia" w:ascii="宋体" w:hAnsi="宋体" w:cs="宋体"/>
                <w:color w:val="000000" w:themeColor="text1"/>
                <w:kern w:val="2"/>
                <w:sz w:val="24"/>
                <w:szCs w:val="24"/>
                <w:highlight w:val="none"/>
                <w14:textFill>
                  <w14:solidFill>
                    <w14:schemeClr w14:val="tx1"/>
                  </w14:solidFill>
                </w14:textFill>
              </w:rPr>
              <w:t>分）</w:t>
            </w:r>
          </w:p>
        </w:tc>
        <w:tc>
          <w:tcPr>
            <w:tcW w:w="1463" w:type="dxa"/>
            <w:vMerge w:val="restart"/>
            <w:tcBorders>
              <w:tl2br w:val="nil"/>
              <w:tr2bl w:val="nil"/>
            </w:tcBorders>
            <w:shd w:val="clear" w:color="auto" w:fill="auto"/>
            <w:vAlign w:val="center"/>
          </w:tcPr>
          <w:p w14:paraId="0ADAA576">
            <w:pPr>
              <w:tabs>
                <w:tab w:val="left" w:pos="1080"/>
              </w:tabs>
              <w:spacing w:line="360" w:lineRule="auto"/>
              <w:jc w:val="center"/>
              <w:rPr>
                <w:rFonts w:hint="eastAsia" w:ascii="宋体" w:hAnsi="宋体" w:cs="宋体"/>
                <w:color w:val="000000" w:themeColor="text1"/>
                <w:kern w:val="2"/>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人员证书</w:t>
            </w:r>
          </w:p>
        </w:tc>
        <w:tc>
          <w:tcPr>
            <w:tcW w:w="5875" w:type="dxa"/>
            <w:tcBorders>
              <w:tl2br w:val="nil"/>
              <w:tr2bl w:val="nil"/>
            </w:tcBorders>
            <w:shd w:val="clear" w:color="auto" w:fill="FFFFFF"/>
            <w:tcMar>
              <w:top w:w="80" w:type="dxa"/>
              <w:left w:w="80" w:type="dxa"/>
              <w:bottom w:w="80" w:type="dxa"/>
              <w:right w:w="80" w:type="dxa"/>
            </w:tcMar>
            <w:vAlign w:val="center"/>
          </w:tcPr>
          <w:p w14:paraId="010A6422">
            <w:pPr>
              <w:adjustRightInd w:val="0"/>
              <w:spacing w:line="360" w:lineRule="auto"/>
              <w:ind w:firstLine="482" w:firstLineChars="200"/>
              <w:rPr>
                <w:rFonts w:hint="eastAsia" w:ascii="宋体" w:hAnsi="宋体" w:cs="宋体"/>
                <w:color w:val="000000" w:themeColor="text1"/>
                <w:sz w:val="24"/>
                <w:szCs w:val="24"/>
                <w:highlight w:val="none"/>
                <w14:textFill>
                  <w14:solidFill>
                    <w14:schemeClr w14:val="tx1"/>
                  </w14:solidFill>
                </w14:textFill>
              </w:rPr>
            </w:pPr>
            <w:r>
              <w:rPr>
                <w:b/>
                <w:bCs/>
                <w:color w:val="000000" w:themeColor="text1"/>
                <w:sz w:val="24"/>
                <w:szCs w:val="24"/>
                <w:highlight w:val="none"/>
                <w14:textFill>
                  <w14:solidFill>
                    <w14:schemeClr w14:val="tx1"/>
                  </w14:solidFill>
                </w14:textFill>
              </w:rPr>
              <w:t>详见商务要求表</w:t>
            </w:r>
          </w:p>
        </w:tc>
        <w:tc>
          <w:tcPr>
            <w:tcW w:w="1095" w:type="dxa"/>
            <w:tcBorders>
              <w:tl2br w:val="nil"/>
              <w:tr2bl w:val="nil"/>
            </w:tcBorders>
            <w:shd w:val="clear" w:color="auto" w:fill="FFFFFF"/>
            <w:tcMar>
              <w:top w:w="80" w:type="dxa"/>
              <w:left w:w="80" w:type="dxa"/>
              <w:bottom w:w="80" w:type="dxa"/>
              <w:right w:w="80" w:type="dxa"/>
            </w:tcMar>
            <w:vAlign w:val="center"/>
          </w:tcPr>
          <w:p w14:paraId="06B00BAD">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cs="宋体"/>
                <w:color w:val="000000" w:themeColor="text1"/>
                <w:sz w:val="24"/>
                <w:szCs w:val="24"/>
                <w:highlight w:val="none"/>
                <w14:textFill>
                  <w14:solidFill>
                    <w14:schemeClr w14:val="tx1"/>
                  </w14:solidFill>
                </w14:textFill>
              </w:rPr>
              <w:t>分</w:t>
            </w:r>
          </w:p>
        </w:tc>
      </w:tr>
      <w:tr w14:paraId="0AA82D9C">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5" w:type="dxa"/>
            <w:vMerge w:val="continue"/>
            <w:tcBorders>
              <w:tl2br w:val="nil"/>
              <w:tr2bl w:val="nil"/>
            </w:tcBorders>
            <w:shd w:val="clear" w:color="auto" w:fill="auto"/>
            <w:vAlign w:val="center"/>
          </w:tcPr>
          <w:p w14:paraId="20CBD53E">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1463" w:type="dxa"/>
            <w:vMerge w:val="continue"/>
            <w:tcBorders>
              <w:tl2br w:val="nil"/>
              <w:tr2bl w:val="nil"/>
            </w:tcBorders>
            <w:shd w:val="clear" w:color="auto" w:fill="auto"/>
            <w:vAlign w:val="center"/>
          </w:tcPr>
          <w:p w14:paraId="46C07058">
            <w:pPr>
              <w:adjustRightInd w:val="0"/>
              <w:spacing w:line="360" w:lineRule="auto"/>
              <w:jc w:val="center"/>
              <w:rPr>
                <w:rFonts w:hint="eastAsia" w:ascii="宋体" w:hAnsi="宋体" w:cs="宋体"/>
                <w:color w:val="000000" w:themeColor="text1"/>
                <w:sz w:val="24"/>
                <w:szCs w:val="24"/>
                <w:highlight w:val="none"/>
                <w:lang w:val="zh-TW"/>
                <w14:textFill>
                  <w14:solidFill>
                    <w14:schemeClr w14:val="tx1"/>
                  </w14:solidFill>
                </w14:textFill>
              </w:rPr>
            </w:pPr>
          </w:p>
        </w:tc>
        <w:tc>
          <w:tcPr>
            <w:tcW w:w="5875" w:type="dxa"/>
            <w:tcBorders>
              <w:tl2br w:val="nil"/>
              <w:tr2bl w:val="nil"/>
            </w:tcBorders>
            <w:shd w:val="clear" w:color="auto" w:fill="FFFFFF"/>
            <w:tcMar>
              <w:top w:w="80" w:type="dxa"/>
              <w:left w:w="80" w:type="dxa"/>
              <w:bottom w:w="80" w:type="dxa"/>
              <w:right w:w="80" w:type="dxa"/>
            </w:tcMar>
            <w:vAlign w:val="center"/>
          </w:tcPr>
          <w:p w14:paraId="5FA2C6BB">
            <w:pPr>
              <w:adjustRightInd w:val="0"/>
              <w:spacing w:line="360" w:lineRule="auto"/>
              <w:ind w:firstLine="482" w:firstLineChars="200"/>
              <w:rPr>
                <w:rFonts w:hint="eastAsia" w:ascii="宋体" w:hAnsi="宋体" w:cs="宋体"/>
                <w:color w:val="000000" w:themeColor="text1"/>
                <w:sz w:val="24"/>
                <w:szCs w:val="24"/>
                <w:highlight w:val="none"/>
                <w14:textFill>
                  <w14:solidFill>
                    <w14:schemeClr w14:val="tx1"/>
                  </w14:solidFill>
                </w14:textFill>
              </w:rPr>
            </w:pPr>
            <w:r>
              <w:rPr>
                <w:b/>
                <w:bCs/>
                <w:color w:val="000000" w:themeColor="text1"/>
                <w:sz w:val="24"/>
                <w:szCs w:val="24"/>
                <w:highlight w:val="none"/>
                <w14:textFill>
                  <w14:solidFill>
                    <w14:schemeClr w14:val="tx1"/>
                  </w14:solidFill>
                </w14:textFill>
              </w:rPr>
              <w:t>详见商务要求表</w:t>
            </w:r>
          </w:p>
        </w:tc>
        <w:tc>
          <w:tcPr>
            <w:tcW w:w="1095" w:type="dxa"/>
            <w:tcBorders>
              <w:tl2br w:val="nil"/>
              <w:tr2bl w:val="nil"/>
            </w:tcBorders>
            <w:shd w:val="clear" w:color="auto" w:fill="FFFFFF"/>
            <w:tcMar>
              <w:top w:w="80" w:type="dxa"/>
              <w:left w:w="80" w:type="dxa"/>
              <w:bottom w:w="80" w:type="dxa"/>
              <w:right w:w="80" w:type="dxa"/>
            </w:tcMar>
            <w:vAlign w:val="center"/>
          </w:tcPr>
          <w:p w14:paraId="02AEE587">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2分</w:t>
            </w:r>
          </w:p>
        </w:tc>
      </w:tr>
      <w:tr w14:paraId="65F5E1B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1115" w:type="dxa"/>
            <w:vMerge w:val="continue"/>
            <w:tcBorders>
              <w:tl2br w:val="nil"/>
              <w:tr2bl w:val="nil"/>
            </w:tcBorders>
            <w:shd w:val="clear" w:color="auto" w:fill="auto"/>
            <w:vAlign w:val="center"/>
          </w:tcPr>
          <w:p w14:paraId="70EA6AAD">
            <w:pPr>
              <w:tabs>
                <w:tab w:val="left" w:pos="1080"/>
              </w:tabs>
              <w:spacing w:line="360" w:lineRule="auto"/>
              <w:jc w:val="center"/>
              <w:rPr>
                <w:rFonts w:hint="eastAsia" w:ascii="宋体" w:hAnsi="宋体" w:cs="宋体"/>
                <w:color w:val="000000" w:themeColor="text1"/>
                <w:kern w:val="2"/>
                <w:sz w:val="24"/>
                <w:szCs w:val="24"/>
                <w:highlight w:val="none"/>
                <w:lang w:val="zh-TW"/>
                <w14:textFill>
                  <w14:solidFill>
                    <w14:schemeClr w14:val="tx1"/>
                  </w14:solidFill>
                </w14:textFill>
              </w:rPr>
            </w:pPr>
          </w:p>
        </w:tc>
        <w:tc>
          <w:tcPr>
            <w:tcW w:w="1463" w:type="dxa"/>
            <w:tcBorders>
              <w:tl2br w:val="nil"/>
              <w:tr2bl w:val="nil"/>
            </w:tcBorders>
            <w:shd w:val="clear" w:color="auto" w:fill="auto"/>
            <w:vAlign w:val="center"/>
          </w:tcPr>
          <w:p w14:paraId="6C0B57BC">
            <w:pPr>
              <w:tabs>
                <w:tab w:val="left" w:pos="301"/>
                <w:tab w:val="left" w:pos="1080"/>
              </w:tabs>
              <w:spacing w:line="360" w:lineRule="auto"/>
              <w:jc w:val="center"/>
              <w:rPr>
                <w:rFonts w:hint="eastAsia" w:ascii="宋体" w:hAnsi="宋体" w:cs="宋体"/>
                <w:color w:val="000000" w:themeColor="text1"/>
                <w:kern w:val="2"/>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认证证书</w:t>
            </w:r>
          </w:p>
        </w:tc>
        <w:tc>
          <w:tcPr>
            <w:tcW w:w="5875" w:type="dxa"/>
            <w:tcBorders>
              <w:tl2br w:val="nil"/>
              <w:tr2bl w:val="nil"/>
            </w:tcBorders>
            <w:shd w:val="clear" w:color="auto" w:fill="FFFFFF"/>
            <w:tcMar>
              <w:top w:w="80" w:type="dxa"/>
              <w:left w:w="80" w:type="dxa"/>
              <w:bottom w:w="80" w:type="dxa"/>
              <w:right w:w="80" w:type="dxa"/>
            </w:tcMar>
            <w:vAlign w:val="center"/>
          </w:tcPr>
          <w:p w14:paraId="0A31C3C2">
            <w:pPr>
              <w:spacing w:line="360" w:lineRule="auto"/>
              <w:ind w:firstLine="482" w:firstLineChars="200"/>
              <w:rPr>
                <w:rFonts w:hint="eastAsia" w:ascii="宋体" w:hAnsi="宋体" w:cs="宋体"/>
                <w:color w:val="000000" w:themeColor="text1"/>
                <w:kern w:val="2"/>
                <w:sz w:val="24"/>
                <w:szCs w:val="24"/>
                <w:highlight w:val="none"/>
                <w14:textFill>
                  <w14:solidFill>
                    <w14:schemeClr w14:val="tx1"/>
                  </w14:solidFill>
                </w14:textFill>
              </w:rPr>
            </w:pPr>
            <w:r>
              <w:rPr>
                <w:b/>
                <w:bCs/>
                <w:color w:val="000000" w:themeColor="text1"/>
                <w:sz w:val="24"/>
                <w:szCs w:val="24"/>
                <w:highlight w:val="none"/>
                <w14:textFill>
                  <w14:solidFill>
                    <w14:schemeClr w14:val="tx1"/>
                  </w14:solidFill>
                </w14:textFill>
              </w:rPr>
              <w:t>详见商务要求表</w:t>
            </w:r>
          </w:p>
        </w:tc>
        <w:tc>
          <w:tcPr>
            <w:tcW w:w="1095" w:type="dxa"/>
            <w:tcBorders>
              <w:tl2br w:val="nil"/>
              <w:tr2bl w:val="nil"/>
            </w:tcBorders>
            <w:shd w:val="clear" w:color="auto" w:fill="FFFFFF"/>
            <w:tcMar>
              <w:top w:w="80" w:type="dxa"/>
              <w:left w:w="80" w:type="dxa"/>
              <w:bottom w:w="80" w:type="dxa"/>
              <w:right w:w="80" w:type="dxa"/>
            </w:tcMar>
            <w:vAlign w:val="center"/>
          </w:tcPr>
          <w:p w14:paraId="322F91B7">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2分</w:t>
            </w:r>
          </w:p>
        </w:tc>
      </w:tr>
      <w:tr w14:paraId="1E9B04E8">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115" w:type="dxa"/>
            <w:vMerge w:val="continue"/>
            <w:tcBorders>
              <w:tl2br w:val="nil"/>
              <w:tr2bl w:val="nil"/>
            </w:tcBorders>
            <w:shd w:val="clear" w:color="auto" w:fill="auto"/>
            <w:vAlign w:val="center"/>
          </w:tcPr>
          <w:p w14:paraId="24E0E0DB">
            <w:pPr>
              <w:tabs>
                <w:tab w:val="left" w:pos="1080"/>
              </w:tabs>
              <w:spacing w:line="360" w:lineRule="auto"/>
              <w:jc w:val="center"/>
              <w:rPr>
                <w:rFonts w:hint="eastAsia" w:ascii="宋体" w:hAnsi="宋体" w:cs="宋体"/>
                <w:color w:val="000000" w:themeColor="text1"/>
                <w:kern w:val="2"/>
                <w:sz w:val="24"/>
                <w:szCs w:val="24"/>
                <w:highlight w:val="none"/>
                <w:lang w:val="zh-TW"/>
                <w14:textFill>
                  <w14:solidFill>
                    <w14:schemeClr w14:val="tx1"/>
                  </w14:solidFill>
                </w14:textFill>
              </w:rPr>
            </w:pPr>
          </w:p>
        </w:tc>
        <w:tc>
          <w:tcPr>
            <w:tcW w:w="1463" w:type="dxa"/>
            <w:tcBorders>
              <w:tl2br w:val="nil"/>
              <w:tr2bl w:val="nil"/>
            </w:tcBorders>
            <w:shd w:val="clear" w:color="auto" w:fill="auto"/>
            <w:vAlign w:val="center"/>
          </w:tcPr>
          <w:p w14:paraId="621EEDF3">
            <w:pPr>
              <w:tabs>
                <w:tab w:val="left" w:pos="1080"/>
              </w:tabs>
              <w:spacing w:line="360" w:lineRule="auto"/>
              <w:jc w:val="center"/>
              <w:rPr>
                <w:rFonts w:hint="eastAsia" w:ascii="宋体" w:hAnsi="宋体" w:cs="宋体"/>
                <w:color w:val="000000" w:themeColor="text1"/>
                <w:kern w:val="2"/>
                <w:sz w:val="24"/>
                <w:szCs w:val="24"/>
                <w:highlight w:val="none"/>
                <w:lang w:val="zh-TW"/>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类似</w:t>
            </w:r>
            <w:r>
              <w:rPr>
                <w:rFonts w:hint="eastAsia" w:ascii="宋体" w:hAnsi="宋体" w:cs="宋体"/>
                <w:color w:val="000000" w:themeColor="text1"/>
                <w:sz w:val="24"/>
                <w:szCs w:val="24"/>
                <w:highlight w:val="none"/>
                <w:lang w:val="zh-TW"/>
                <w14:textFill>
                  <w14:solidFill>
                    <w14:schemeClr w14:val="tx1"/>
                  </w14:solidFill>
                </w14:textFill>
              </w:rPr>
              <w:t>业绩</w:t>
            </w:r>
          </w:p>
        </w:tc>
        <w:tc>
          <w:tcPr>
            <w:tcW w:w="5875" w:type="dxa"/>
            <w:tcBorders>
              <w:tl2br w:val="nil"/>
              <w:tr2bl w:val="nil"/>
            </w:tcBorders>
            <w:shd w:val="clear" w:color="auto" w:fill="FFFFFF"/>
            <w:tcMar>
              <w:top w:w="80" w:type="dxa"/>
              <w:left w:w="80" w:type="dxa"/>
              <w:bottom w:w="80" w:type="dxa"/>
              <w:right w:w="80" w:type="dxa"/>
            </w:tcMar>
            <w:vAlign w:val="center"/>
          </w:tcPr>
          <w:p w14:paraId="579B6C8D">
            <w:pPr>
              <w:spacing w:line="360" w:lineRule="auto"/>
              <w:ind w:firstLine="482" w:firstLineChars="200"/>
              <w:rPr>
                <w:rFonts w:hint="eastAsia" w:ascii="宋体" w:hAnsi="宋体" w:cs="宋体"/>
                <w:color w:val="000000" w:themeColor="text1"/>
                <w:kern w:val="2"/>
                <w:sz w:val="24"/>
                <w:szCs w:val="24"/>
                <w:highlight w:val="none"/>
                <w14:textFill>
                  <w14:solidFill>
                    <w14:schemeClr w14:val="tx1"/>
                  </w14:solidFill>
                </w14:textFill>
              </w:rPr>
            </w:pPr>
            <w:r>
              <w:rPr>
                <w:b/>
                <w:bCs/>
                <w:color w:val="000000" w:themeColor="text1"/>
                <w:sz w:val="24"/>
                <w:szCs w:val="24"/>
                <w:highlight w:val="none"/>
                <w14:textFill>
                  <w14:solidFill>
                    <w14:schemeClr w14:val="tx1"/>
                  </w14:solidFill>
                </w14:textFill>
              </w:rPr>
              <w:t>详见商务要求表</w:t>
            </w:r>
          </w:p>
        </w:tc>
        <w:tc>
          <w:tcPr>
            <w:tcW w:w="1095" w:type="dxa"/>
            <w:tcBorders>
              <w:tl2br w:val="nil"/>
              <w:tr2bl w:val="nil"/>
            </w:tcBorders>
            <w:shd w:val="clear" w:color="auto" w:fill="FFFFFF"/>
            <w:tcMar>
              <w:top w:w="80" w:type="dxa"/>
              <w:left w:w="80" w:type="dxa"/>
              <w:bottom w:w="80" w:type="dxa"/>
              <w:right w:w="80" w:type="dxa"/>
            </w:tcMar>
            <w:vAlign w:val="center"/>
          </w:tcPr>
          <w:p w14:paraId="00A03EEF">
            <w:pPr>
              <w:adjustRightInd w:val="0"/>
              <w:spacing w:line="360" w:lineRule="auto"/>
              <w:jc w:val="cente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2分</w:t>
            </w:r>
          </w:p>
        </w:tc>
      </w:tr>
    </w:tbl>
    <w:p w14:paraId="3C1806F5">
      <w:pPr>
        <w:ind w:firstLine="482" w:firstLineChars="200"/>
        <w:rPr>
          <w:rFonts w:hint="eastAsia" w:ascii="宋体" w:hAnsi="宋体" w:cs="宋体"/>
          <w:b/>
          <w:bCs/>
          <w:color w:val="000000" w:themeColor="text1"/>
          <w:sz w:val="24"/>
          <w14:textFill>
            <w14:solidFill>
              <w14:schemeClr w14:val="tx1"/>
            </w14:solidFill>
          </w14:textFill>
        </w:rPr>
      </w:pPr>
    </w:p>
    <w:p w14:paraId="00CFBFB5">
      <w:pPr>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2、商务要求表</w:t>
      </w:r>
      <w:r>
        <w:rPr>
          <w:rFonts w:hint="eastAsia" w:ascii="宋体" w:hAnsi="宋体" w:cs="宋体"/>
          <w:color w:val="000000" w:themeColor="text1"/>
          <w:sz w:val="24"/>
          <w14:textFill>
            <w14:solidFill>
              <w14:schemeClr w14:val="tx1"/>
            </w14:solidFill>
          </w14:textFill>
        </w:rPr>
        <w:t>（对应评分标准）</w:t>
      </w:r>
    </w:p>
    <w:tbl>
      <w:tblPr>
        <w:tblStyle w:val="27"/>
        <w:tblW w:w="9523" w:type="dxa"/>
        <w:jc w:val="center"/>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1027"/>
        <w:gridCol w:w="740"/>
        <w:gridCol w:w="6821"/>
        <w:gridCol w:w="935"/>
      </w:tblGrid>
      <w:tr w14:paraId="764FA619">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701" w:hRule="atLeast"/>
          <w:jc w:val="center"/>
        </w:trPr>
        <w:tc>
          <w:tcPr>
            <w:tcW w:w="1767" w:type="dxa"/>
            <w:gridSpan w:val="2"/>
            <w:tcBorders>
              <w:tl2br w:val="nil"/>
              <w:tr2bl w:val="nil"/>
            </w:tcBorders>
            <w:shd w:val="clear" w:color="auto" w:fill="FFFFFF"/>
            <w:tcMar>
              <w:top w:w="80" w:type="dxa"/>
              <w:left w:w="80" w:type="dxa"/>
              <w:bottom w:w="80" w:type="dxa"/>
              <w:right w:w="80" w:type="dxa"/>
            </w:tcMar>
            <w:vAlign w:val="center"/>
          </w:tcPr>
          <w:p w14:paraId="3CFA44B1">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TW" w:eastAsia="zh-TW"/>
                <w14:textFill>
                  <w14:solidFill>
                    <w14:schemeClr w14:val="tx1"/>
                  </w14:solidFill>
                </w14:textFill>
              </w:rPr>
              <w:t>评审内容</w:t>
            </w:r>
          </w:p>
        </w:tc>
        <w:tc>
          <w:tcPr>
            <w:tcW w:w="6821" w:type="dxa"/>
            <w:tcBorders>
              <w:tl2br w:val="nil"/>
              <w:tr2bl w:val="nil"/>
            </w:tcBorders>
            <w:shd w:val="clear" w:color="auto" w:fill="FFFFFF"/>
            <w:tcMar>
              <w:top w:w="80" w:type="dxa"/>
              <w:left w:w="80" w:type="dxa"/>
              <w:bottom w:w="80" w:type="dxa"/>
              <w:right w:w="80" w:type="dxa"/>
            </w:tcMar>
            <w:vAlign w:val="center"/>
          </w:tcPr>
          <w:p w14:paraId="682A0E25">
            <w:pPr>
              <w:adjustRightInd w:val="0"/>
              <w:spacing w:line="360" w:lineRule="auto"/>
              <w:jc w:val="center"/>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color w:val="000000" w:themeColor="text1"/>
                <w:sz w:val="24"/>
                <w:szCs w:val="24"/>
                <w:lang w:val="zh-TW" w:eastAsia="zh-TW"/>
                <w14:textFill>
                  <w14:solidFill>
                    <w14:schemeClr w14:val="tx1"/>
                  </w14:solidFill>
                </w14:textFill>
              </w:rPr>
              <w:t>评分标准</w:t>
            </w:r>
          </w:p>
        </w:tc>
        <w:tc>
          <w:tcPr>
            <w:tcW w:w="935" w:type="dxa"/>
            <w:tcBorders>
              <w:tl2br w:val="nil"/>
              <w:tr2bl w:val="nil"/>
            </w:tcBorders>
            <w:shd w:val="clear" w:color="auto" w:fill="FFFFFF"/>
            <w:tcMar>
              <w:top w:w="80" w:type="dxa"/>
              <w:left w:w="80" w:type="dxa"/>
              <w:bottom w:w="80" w:type="dxa"/>
              <w:right w:w="80" w:type="dxa"/>
            </w:tcMar>
            <w:vAlign w:val="center"/>
          </w:tcPr>
          <w:p w14:paraId="306D9090">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TW" w:eastAsia="zh-TW"/>
                <w14:textFill>
                  <w14:solidFill>
                    <w14:schemeClr w14:val="tx1"/>
                  </w14:solidFill>
                </w14:textFill>
              </w:rPr>
              <w:t>分值</w:t>
            </w:r>
          </w:p>
        </w:tc>
      </w:tr>
      <w:tr w14:paraId="266CFDF0">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55" w:hRule="atLeast"/>
          <w:jc w:val="center"/>
        </w:trPr>
        <w:tc>
          <w:tcPr>
            <w:tcW w:w="1027" w:type="dxa"/>
            <w:vMerge w:val="restart"/>
            <w:tcBorders>
              <w:tl2br w:val="nil"/>
              <w:tr2bl w:val="nil"/>
            </w:tcBorders>
            <w:shd w:val="clear" w:color="auto" w:fill="FFFFFF"/>
            <w:tcMar>
              <w:top w:w="80" w:type="dxa"/>
              <w:left w:w="80" w:type="dxa"/>
              <w:bottom w:w="80" w:type="dxa"/>
              <w:right w:w="80" w:type="dxa"/>
            </w:tcMar>
            <w:vAlign w:val="center"/>
          </w:tcPr>
          <w:p w14:paraId="68A3F95A">
            <w:pPr>
              <w:adjustRightInd w:val="0"/>
              <w:spacing w:line="360" w:lineRule="auto"/>
              <w:jc w:val="cente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商务</w:t>
            </w:r>
          </w:p>
          <w:p w14:paraId="75A1DDAA">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w:t>
            </w:r>
            <w:r>
              <w:rPr>
                <w:rFonts w:hint="eastAsia"/>
                <w:color w:val="000000" w:themeColor="text1"/>
                <w:sz w:val="24"/>
                <w:szCs w:val="24"/>
                <w:lang w:val="en-US" w:eastAsia="zh-CN"/>
                <w14:textFill>
                  <w14:solidFill>
                    <w14:schemeClr w14:val="tx1"/>
                  </w14:solidFill>
                </w14:textFill>
              </w:rPr>
              <w:t>8</w:t>
            </w:r>
            <w:r>
              <w:rPr>
                <w:rFonts w:hint="eastAsia"/>
                <w:color w:val="000000" w:themeColor="text1"/>
                <w:sz w:val="24"/>
                <w:szCs w:val="24"/>
                <w14:textFill>
                  <w14:solidFill>
                    <w14:schemeClr w14:val="tx1"/>
                  </w14:solidFill>
                </w14:textFill>
              </w:rPr>
              <w:t>分）</w:t>
            </w:r>
          </w:p>
        </w:tc>
        <w:tc>
          <w:tcPr>
            <w:tcW w:w="740" w:type="dxa"/>
            <w:vMerge w:val="restart"/>
            <w:tcBorders>
              <w:tl2br w:val="nil"/>
              <w:tr2bl w:val="nil"/>
            </w:tcBorders>
            <w:shd w:val="clear" w:color="auto" w:fill="FFFFFF"/>
            <w:tcMar>
              <w:top w:w="80" w:type="dxa"/>
              <w:left w:w="80" w:type="dxa"/>
              <w:bottom w:w="80" w:type="dxa"/>
              <w:right w:w="80" w:type="dxa"/>
            </w:tcMar>
            <w:vAlign w:val="center"/>
          </w:tcPr>
          <w:p w14:paraId="5DC1B925">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人员证书</w:t>
            </w:r>
          </w:p>
        </w:tc>
        <w:tc>
          <w:tcPr>
            <w:tcW w:w="6821" w:type="dxa"/>
            <w:tcBorders>
              <w:tl2br w:val="nil"/>
              <w:tr2bl w:val="nil"/>
            </w:tcBorders>
            <w:shd w:val="clear" w:color="auto" w:fill="FFFFFF"/>
            <w:tcMar>
              <w:top w:w="80" w:type="dxa"/>
              <w:left w:w="80" w:type="dxa"/>
              <w:bottom w:w="80" w:type="dxa"/>
              <w:right w:w="80" w:type="dxa"/>
            </w:tcMar>
            <w:vAlign w:val="center"/>
          </w:tcPr>
          <w:p w14:paraId="6BE899FA">
            <w:pPr>
              <w:adjustRightInd w:val="0"/>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投标人拟派项目负责人具备气象或电子类高级工程师职称得</w:t>
            </w: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分，中级工程师职称得</w:t>
            </w:r>
            <w:r>
              <w:rPr>
                <w:rFonts w:hint="eastAsia" w:ascii="宋体" w:hAnsi="宋体" w:cs="宋体"/>
                <w:color w:val="000000" w:themeColor="text1"/>
                <w:sz w:val="24"/>
                <w:szCs w:val="24"/>
                <w:lang w:val="en-US" w:eastAsia="zh-CN"/>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分。</w:t>
            </w:r>
          </w:p>
          <w:p w14:paraId="55680E58">
            <w:pPr>
              <w:adjustRightInd w:val="0"/>
              <w:spacing w:line="360" w:lineRule="auto"/>
              <w:ind w:firstLine="482" w:firstLineChars="200"/>
              <w:jc w:val="left"/>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需提供证书扫描件和</w:t>
            </w:r>
            <w:r>
              <w:rPr>
                <w:rFonts w:hint="eastAsia" w:ascii="宋体" w:hAnsi="宋体" w:cs="宋体"/>
                <w:b/>
                <w:bCs/>
                <w:color w:val="000000" w:themeColor="text1"/>
                <w:sz w:val="24"/>
                <w:szCs w:val="24"/>
                <w:lang w:eastAsia="zh-CN"/>
                <w14:textFill>
                  <w14:solidFill>
                    <w14:schemeClr w14:val="tx1"/>
                  </w14:solidFill>
                </w14:textFill>
              </w:rPr>
              <w:t>本单位</w:t>
            </w:r>
            <w:r>
              <w:rPr>
                <w:rFonts w:hint="eastAsia" w:ascii="宋体" w:hAnsi="宋体" w:cs="宋体"/>
                <w:b/>
                <w:bCs/>
                <w:color w:val="000000" w:themeColor="text1"/>
                <w:sz w:val="24"/>
                <w:szCs w:val="24"/>
                <w14:textFill>
                  <w14:solidFill>
                    <w14:schemeClr w14:val="tx1"/>
                  </w14:solidFill>
                </w14:textFill>
              </w:rPr>
              <w:t>社保缴纳证明扫描件，退休返聘人员需提供退休证明或聘用劳动合同扫描件，须加盖单位公章。</w:t>
            </w:r>
          </w:p>
        </w:tc>
        <w:tc>
          <w:tcPr>
            <w:tcW w:w="935" w:type="dxa"/>
            <w:tcBorders>
              <w:tl2br w:val="nil"/>
              <w:tr2bl w:val="nil"/>
            </w:tcBorders>
            <w:shd w:val="clear" w:color="auto" w:fill="FFFFFF"/>
            <w:tcMar>
              <w:top w:w="80" w:type="dxa"/>
              <w:left w:w="80" w:type="dxa"/>
              <w:bottom w:w="80" w:type="dxa"/>
              <w:right w:w="80" w:type="dxa"/>
            </w:tcMar>
            <w:vAlign w:val="center"/>
          </w:tcPr>
          <w:p w14:paraId="13FB2FFF">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分</w:t>
            </w:r>
          </w:p>
        </w:tc>
      </w:tr>
      <w:tr w14:paraId="601491C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55" w:hRule="atLeast"/>
          <w:jc w:val="center"/>
        </w:trPr>
        <w:tc>
          <w:tcPr>
            <w:tcW w:w="1027" w:type="dxa"/>
            <w:vMerge w:val="continue"/>
            <w:tcBorders>
              <w:tl2br w:val="nil"/>
              <w:tr2bl w:val="nil"/>
            </w:tcBorders>
            <w:shd w:val="clear" w:color="auto" w:fill="FFFFFF"/>
            <w:tcMar>
              <w:top w:w="80" w:type="dxa"/>
              <w:left w:w="80" w:type="dxa"/>
              <w:bottom w:w="80" w:type="dxa"/>
              <w:right w:w="80" w:type="dxa"/>
            </w:tcMar>
            <w:vAlign w:val="center"/>
          </w:tcPr>
          <w:p w14:paraId="3E56B1C9">
            <w:pPr>
              <w:adjustRightInd w:val="0"/>
              <w:spacing w:line="360" w:lineRule="auto"/>
              <w:jc w:val="left"/>
              <w:rPr>
                <w:color w:val="000000" w:themeColor="text1"/>
                <w14:textFill>
                  <w14:solidFill>
                    <w14:schemeClr w14:val="tx1"/>
                  </w14:solidFill>
                </w14:textFill>
              </w:rPr>
            </w:pPr>
          </w:p>
        </w:tc>
        <w:tc>
          <w:tcPr>
            <w:tcW w:w="740" w:type="dxa"/>
            <w:vMerge w:val="continue"/>
            <w:tcBorders>
              <w:tl2br w:val="nil"/>
              <w:tr2bl w:val="nil"/>
            </w:tcBorders>
            <w:shd w:val="clear" w:color="auto" w:fill="FFFFFF"/>
            <w:tcMar>
              <w:top w:w="80" w:type="dxa"/>
              <w:left w:w="80" w:type="dxa"/>
              <w:bottom w:w="80" w:type="dxa"/>
              <w:right w:w="80" w:type="dxa"/>
            </w:tcMar>
            <w:vAlign w:val="center"/>
          </w:tcPr>
          <w:p w14:paraId="1EEF3E71">
            <w:pPr>
              <w:adjustRightInd w:val="0"/>
              <w:spacing w:line="360" w:lineRule="auto"/>
              <w:jc w:val="left"/>
              <w:rPr>
                <w:color w:val="000000" w:themeColor="text1"/>
                <w14:textFill>
                  <w14:solidFill>
                    <w14:schemeClr w14:val="tx1"/>
                  </w14:solidFill>
                </w14:textFill>
              </w:rPr>
            </w:pPr>
          </w:p>
        </w:tc>
        <w:tc>
          <w:tcPr>
            <w:tcW w:w="6821" w:type="dxa"/>
            <w:tcBorders>
              <w:tl2br w:val="nil"/>
              <w:tr2bl w:val="nil"/>
            </w:tcBorders>
            <w:shd w:val="clear" w:color="auto" w:fill="FFFFFF"/>
            <w:tcMar>
              <w:top w:w="80" w:type="dxa"/>
              <w:left w:w="80" w:type="dxa"/>
              <w:bottom w:w="80" w:type="dxa"/>
              <w:right w:w="80" w:type="dxa"/>
            </w:tcMar>
            <w:vAlign w:val="center"/>
          </w:tcPr>
          <w:p w14:paraId="5B3B4765">
            <w:pPr>
              <w:adjustRightInd w:val="0"/>
              <w:spacing w:line="360" w:lineRule="auto"/>
              <w:ind w:firstLine="480"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投标人拟派项目组成员（除项目负责人外）具备气象或电子类工程师及以上职称的，每提供一人得1分，最高得2分。</w:t>
            </w:r>
          </w:p>
          <w:p w14:paraId="0C2EDF70">
            <w:pPr>
              <w:adjustRightInd w:val="0"/>
              <w:spacing w:line="360" w:lineRule="auto"/>
              <w:ind w:firstLine="482" w:firstLineChars="200"/>
              <w:jc w:val="left"/>
              <w:rPr>
                <w:rFonts w:hint="eastAsia"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需提供证书扫描件和本单位社保缴纳证明扫描件，退休返聘人员需提供退休证明或聘用劳动合同扫描件，并加盖单位公章。</w:t>
            </w:r>
          </w:p>
        </w:tc>
        <w:tc>
          <w:tcPr>
            <w:tcW w:w="935" w:type="dxa"/>
            <w:tcBorders>
              <w:tl2br w:val="nil"/>
              <w:tr2bl w:val="nil"/>
            </w:tcBorders>
            <w:shd w:val="clear" w:color="auto" w:fill="FFFFFF"/>
            <w:tcMar>
              <w:top w:w="80" w:type="dxa"/>
              <w:left w:w="80" w:type="dxa"/>
              <w:bottom w:w="80" w:type="dxa"/>
              <w:right w:w="80" w:type="dxa"/>
            </w:tcMar>
            <w:vAlign w:val="center"/>
          </w:tcPr>
          <w:p w14:paraId="7D3E74D2">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2分</w:t>
            </w:r>
          </w:p>
        </w:tc>
      </w:tr>
      <w:tr w14:paraId="41DB5A77">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701" w:hRule="atLeast"/>
          <w:jc w:val="center"/>
        </w:trPr>
        <w:tc>
          <w:tcPr>
            <w:tcW w:w="1027" w:type="dxa"/>
            <w:vMerge w:val="continue"/>
            <w:tcBorders>
              <w:tl2br w:val="nil"/>
              <w:tr2bl w:val="nil"/>
            </w:tcBorders>
            <w:shd w:val="clear" w:color="auto" w:fill="FFFFFF"/>
            <w:tcMar>
              <w:top w:w="80" w:type="dxa"/>
              <w:left w:w="80" w:type="dxa"/>
              <w:bottom w:w="80" w:type="dxa"/>
              <w:right w:w="80" w:type="dxa"/>
            </w:tcMar>
            <w:vAlign w:val="center"/>
          </w:tcPr>
          <w:p w14:paraId="102951F1">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p>
        </w:tc>
        <w:tc>
          <w:tcPr>
            <w:tcW w:w="740" w:type="dxa"/>
            <w:tcBorders>
              <w:tl2br w:val="nil"/>
              <w:tr2bl w:val="nil"/>
            </w:tcBorders>
            <w:shd w:val="clear" w:color="auto" w:fill="FFFFFF"/>
            <w:tcMar>
              <w:top w:w="80" w:type="dxa"/>
              <w:left w:w="80" w:type="dxa"/>
              <w:bottom w:w="80" w:type="dxa"/>
              <w:right w:w="80" w:type="dxa"/>
            </w:tcMar>
            <w:vAlign w:val="center"/>
          </w:tcPr>
          <w:p w14:paraId="1C394B71">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认证证书</w:t>
            </w:r>
          </w:p>
        </w:tc>
        <w:tc>
          <w:tcPr>
            <w:tcW w:w="6821" w:type="dxa"/>
            <w:tcBorders>
              <w:tl2br w:val="nil"/>
              <w:tr2bl w:val="nil"/>
            </w:tcBorders>
            <w:shd w:val="clear" w:color="auto" w:fill="FFFFFF"/>
            <w:tcMar>
              <w:top w:w="80" w:type="dxa"/>
              <w:left w:w="80" w:type="dxa"/>
              <w:bottom w:w="80" w:type="dxa"/>
              <w:right w:w="80" w:type="dxa"/>
            </w:tcMar>
            <w:vAlign w:val="center"/>
          </w:tcPr>
          <w:p w14:paraId="5D0FED10">
            <w:pPr>
              <w:adjustRightInd w:val="0"/>
              <w:spacing w:line="360" w:lineRule="auto"/>
              <w:ind w:firstLine="480" w:firstLineChars="200"/>
              <w:jc w:val="left"/>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w:t>
            </w:r>
            <w:r>
              <w:rPr>
                <w:rFonts w:hint="eastAsia" w:ascii="宋体" w:hAnsi="宋体" w:cs="宋体"/>
                <w:color w:val="000000" w:themeColor="text1"/>
                <w:sz w:val="24"/>
                <w:szCs w:val="24"/>
                <w:lang w:val="zh-TW"/>
                <w14:textFill>
                  <w14:solidFill>
                    <w14:schemeClr w14:val="tx1"/>
                  </w14:solidFill>
                </w14:textFill>
              </w:rPr>
              <w:t>具有</w:t>
            </w:r>
            <w:r>
              <w:rPr>
                <w:rStyle w:val="87"/>
                <w:rFonts w:hint="eastAsia" w:ascii="宋体" w:hAnsi="宋体" w:cs="宋体"/>
                <w:snapToGrid w:val="0"/>
                <w:color w:val="000000" w:themeColor="text1"/>
                <w:sz w:val="24"/>
                <w:szCs w:val="24"/>
                <w14:textFill>
                  <w14:solidFill>
                    <w14:schemeClr w14:val="tx1"/>
                  </w14:solidFill>
                </w14:textFill>
              </w:rPr>
              <w:t>在有效期内的</w:t>
            </w:r>
            <w:r>
              <w:rPr>
                <w:rFonts w:hint="eastAsia" w:ascii="宋体" w:hAnsi="宋体" w:cs="宋体"/>
                <w:color w:val="000000" w:themeColor="text1"/>
                <w:sz w:val="24"/>
                <w:szCs w:val="24"/>
                <w:lang w:val="zh-TW"/>
                <w14:textFill>
                  <w14:solidFill>
                    <w14:schemeClr w14:val="tx1"/>
                  </w14:solidFill>
                </w14:textFill>
              </w:rPr>
              <w:t>质量管理体系认证、信息技术服务管理体系认证的，每提供1个得</w:t>
            </w:r>
            <w:r>
              <w:rPr>
                <w:rFonts w:hint="eastAsia"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lang w:val="zh-TW"/>
                <w14:textFill>
                  <w14:solidFill>
                    <w14:schemeClr w14:val="tx1"/>
                  </w14:solidFill>
                </w14:textFill>
              </w:rPr>
              <w:t>分，最</w:t>
            </w:r>
            <w:r>
              <w:rPr>
                <w:rFonts w:hint="eastAsia" w:ascii="宋体" w:hAnsi="宋体" w:cs="宋体"/>
                <w:color w:val="000000" w:themeColor="text1"/>
                <w:sz w:val="24"/>
                <w:szCs w:val="24"/>
                <w:lang w:val="zh-TW" w:eastAsia="zh-CN"/>
                <w14:textFill>
                  <w14:solidFill>
                    <w14:schemeClr w14:val="tx1"/>
                  </w14:solidFill>
                </w14:textFill>
              </w:rPr>
              <w:t>高</w:t>
            </w:r>
            <w:r>
              <w:rPr>
                <w:rFonts w:hint="eastAsia" w:ascii="宋体" w:hAnsi="宋体" w:cs="宋体"/>
                <w:color w:val="000000" w:themeColor="text1"/>
                <w:sz w:val="24"/>
                <w:szCs w:val="24"/>
                <w:lang w:val="zh-TW"/>
                <w14:textFill>
                  <w14:solidFill>
                    <w14:schemeClr w14:val="tx1"/>
                  </w14:solidFill>
                </w14:textFill>
              </w:rPr>
              <w:t>得</w:t>
            </w: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TW"/>
                <w14:textFill>
                  <w14:solidFill>
                    <w14:schemeClr w14:val="tx1"/>
                  </w14:solidFill>
                </w14:textFill>
              </w:rPr>
              <w:t>分。</w:t>
            </w:r>
          </w:p>
          <w:p w14:paraId="470675CC">
            <w:pPr>
              <w:adjustRightInd w:val="0"/>
              <w:spacing w:line="360" w:lineRule="auto"/>
              <w:ind w:firstLine="482" w:firstLineChars="200"/>
              <w:jc w:val="left"/>
              <w:rPr>
                <w:rFonts w:hint="eastAsia" w:ascii="宋体" w:hAnsi="宋体" w:cs="宋体"/>
                <w:color w:val="000000" w:themeColor="text1"/>
                <w:sz w:val="24"/>
                <w:szCs w:val="24"/>
                <w:lang w:val="zh-TW" w:eastAsia="zh-TW"/>
                <w14:textFill>
                  <w14:solidFill>
                    <w14:schemeClr w14:val="tx1"/>
                  </w14:solidFill>
                </w14:textFill>
              </w:rPr>
            </w:pPr>
            <w:r>
              <w:rPr>
                <w:rFonts w:hint="eastAsia" w:ascii="宋体" w:hAnsi="宋体" w:cs="宋体"/>
                <w:b/>
                <w:bCs/>
                <w:color w:val="000000" w:themeColor="text1"/>
                <w:sz w:val="24"/>
                <w:szCs w:val="24"/>
                <w:lang w:val="zh-TW"/>
                <w14:textFill>
                  <w14:solidFill>
                    <w14:schemeClr w14:val="tx1"/>
                  </w14:solidFill>
                </w14:textFill>
              </w:rPr>
              <w:t>需提供证书扫描件</w:t>
            </w:r>
            <w:r>
              <w:rPr>
                <w:rFonts w:hint="eastAsia" w:ascii="宋体" w:hAnsi="宋体" w:cs="宋体"/>
                <w:b/>
                <w:bCs/>
                <w:color w:val="000000" w:themeColor="text1"/>
                <w:sz w:val="24"/>
                <w:szCs w:val="24"/>
                <w14:textFill>
                  <w14:solidFill>
                    <w14:schemeClr w14:val="tx1"/>
                  </w14:solidFill>
                </w14:textFill>
              </w:rPr>
              <w:t>并加盖单位公章</w:t>
            </w:r>
            <w:r>
              <w:rPr>
                <w:rFonts w:hint="eastAsia" w:ascii="宋体" w:hAnsi="宋体" w:cs="宋体"/>
                <w:b/>
                <w:bCs/>
                <w:color w:val="000000" w:themeColor="text1"/>
                <w:sz w:val="24"/>
                <w:szCs w:val="24"/>
                <w:lang w:val="zh-TW"/>
                <w14:textFill>
                  <w14:solidFill>
                    <w14:schemeClr w14:val="tx1"/>
                  </w14:solidFill>
                </w14:textFill>
              </w:rPr>
              <w:t>。</w:t>
            </w:r>
            <w:r>
              <w:rPr>
                <w:rFonts w:hint="eastAsia" w:ascii="宋体" w:hAnsi="宋体" w:cs="宋体"/>
                <w:color w:val="000000" w:themeColor="text1"/>
                <w:sz w:val="24"/>
                <w:szCs w:val="24"/>
                <w:lang w:val="zh-TW"/>
                <w14:textFill>
                  <w14:solidFill>
                    <w14:schemeClr w14:val="tx1"/>
                  </w14:solidFill>
                </w14:textFill>
              </w:rPr>
              <w:tab/>
            </w:r>
          </w:p>
        </w:tc>
        <w:tc>
          <w:tcPr>
            <w:tcW w:w="935" w:type="dxa"/>
            <w:tcBorders>
              <w:tl2br w:val="nil"/>
              <w:tr2bl w:val="nil"/>
            </w:tcBorders>
            <w:shd w:val="clear" w:color="auto" w:fill="FFFFFF"/>
            <w:tcMar>
              <w:top w:w="80" w:type="dxa"/>
              <w:left w:w="80" w:type="dxa"/>
              <w:bottom w:w="80" w:type="dxa"/>
              <w:right w:w="80" w:type="dxa"/>
            </w:tcMar>
            <w:vAlign w:val="center"/>
          </w:tcPr>
          <w:p w14:paraId="5DE1FE08">
            <w:pPr>
              <w:adjustRightInd w:val="0"/>
              <w:spacing w:line="360" w:lineRule="auto"/>
              <w:jc w:val="center"/>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2分</w:t>
            </w:r>
          </w:p>
        </w:tc>
      </w:tr>
      <w:tr w14:paraId="04135CA1">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122" w:hRule="atLeast"/>
          <w:jc w:val="center"/>
        </w:trPr>
        <w:tc>
          <w:tcPr>
            <w:tcW w:w="1027" w:type="dxa"/>
            <w:vMerge w:val="continue"/>
            <w:tcBorders>
              <w:tl2br w:val="nil"/>
              <w:tr2bl w:val="nil"/>
            </w:tcBorders>
            <w:shd w:val="clear" w:color="auto" w:fill="FFFFFF"/>
            <w:tcMar>
              <w:top w:w="80" w:type="dxa"/>
              <w:left w:w="80" w:type="dxa"/>
              <w:bottom w:w="80" w:type="dxa"/>
              <w:right w:w="80" w:type="dxa"/>
            </w:tcMar>
            <w:vAlign w:val="center"/>
          </w:tcPr>
          <w:p w14:paraId="172A4DBE">
            <w:pPr>
              <w:adjustRightInd w:val="0"/>
              <w:spacing w:line="360" w:lineRule="auto"/>
              <w:jc w:val="center"/>
              <w:rPr>
                <w:rFonts w:hint="eastAsia" w:ascii="宋体" w:hAnsi="宋体" w:cs="宋体"/>
                <w:color w:val="000000" w:themeColor="text1"/>
                <w:sz w:val="24"/>
                <w:szCs w:val="24"/>
                <w:lang w:val="zh-TW"/>
                <w14:textFill>
                  <w14:solidFill>
                    <w14:schemeClr w14:val="tx1"/>
                  </w14:solidFill>
                </w14:textFill>
              </w:rPr>
            </w:pPr>
          </w:p>
        </w:tc>
        <w:tc>
          <w:tcPr>
            <w:tcW w:w="740" w:type="dxa"/>
            <w:tcBorders>
              <w:tl2br w:val="nil"/>
              <w:tr2bl w:val="nil"/>
            </w:tcBorders>
            <w:shd w:val="clear" w:color="auto" w:fill="FFFFFF"/>
            <w:tcMar>
              <w:top w:w="80" w:type="dxa"/>
              <w:left w:w="80" w:type="dxa"/>
              <w:bottom w:w="80" w:type="dxa"/>
              <w:right w:w="80" w:type="dxa"/>
            </w:tcMar>
            <w:vAlign w:val="center"/>
          </w:tcPr>
          <w:p w14:paraId="4CF52294">
            <w:pPr>
              <w:adjustRightInd w:val="0"/>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类似</w:t>
            </w:r>
            <w:r>
              <w:rPr>
                <w:rFonts w:hint="eastAsia" w:ascii="宋体" w:hAnsi="宋体" w:cs="宋体"/>
                <w:color w:val="000000" w:themeColor="text1"/>
                <w:sz w:val="24"/>
                <w:szCs w:val="24"/>
                <w:lang w:val="zh-TW"/>
                <w14:textFill>
                  <w14:solidFill>
                    <w14:schemeClr w14:val="tx1"/>
                  </w14:solidFill>
                </w14:textFill>
              </w:rPr>
              <w:t>业绩</w:t>
            </w:r>
          </w:p>
        </w:tc>
        <w:tc>
          <w:tcPr>
            <w:tcW w:w="6821" w:type="dxa"/>
            <w:tcBorders>
              <w:tl2br w:val="nil"/>
              <w:tr2bl w:val="nil"/>
            </w:tcBorders>
            <w:shd w:val="clear" w:color="auto" w:fill="FFFFFF"/>
            <w:tcMar>
              <w:top w:w="80" w:type="dxa"/>
              <w:left w:w="80" w:type="dxa"/>
              <w:bottom w:w="80" w:type="dxa"/>
              <w:right w:w="80" w:type="dxa"/>
            </w:tcMar>
            <w:vAlign w:val="center"/>
          </w:tcPr>
          <w:p w14:paraId="733C5636">
            <w:pPr>
              <w:adjustRightInd w:val="0"/>
              <w:spacing w:line="360" w:lineRule="auto"/>
              <w:ind w:firstLine="480" w:firstLineChars="200"/>
              <w:jc w:val="left"/>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投标人自</w:t>
            </w:r>
            <w:r>
              <w:rPr>
                <w:rFonts w:hint="eastAsia" w:ascii="宋体" w:hAnsi="宋体" w:cs="宋体"/>
                <w:color w:val="000000" w:themeColor="text1"/>
                <w:sz w:val="24"/>
                <w:szCs w:val="24"/>
                <w:lang w:val="zh-TW"/>
                <w14:textFill>
                  <w14:solidFill>
                    <w14:schemeClr w14:val="tx1"/>
                  </w14:solidFill>
                </w14:textFill>
              </w:rPr>
              <w:t>20</w:t>
            </w:r>
            <w:r>
              <w:rPr>
                <w:rFonts w:hint="eastAsia" w:ascii="宋体" w:hAnsi="宋体" w:cs="宋体"/>
                <w:color w:val="000000" w:themeColor="text1"/>
                <w:sz w:val="24"/>
                <w:szCs w:val="24"/>
                <w14:textFill>
                  <w14:solidFill>
                    <w14:schemeClr w14:val="tx1"/>
                  </w14:solidFill>
                </w14:textFill>
              </w:rPr>
              <w:t>22</w:t>
            </w:r>
            <w:r>
              <w:rPr>
                <w:rFonts w:hint="eastAsia" w:ascii="宋体" w:hAnsi="宋体" w:cs="宋体"/>
                <w:color w:val="000000" w:themeColor="text1"/>
                <w:sz w:val="24"/>
                <w:szCs w:val="24"/>
                <w:lang w:val="zh-TW"/>
                <w14:textFill>
                  <w14:solidFill>
                    <w14:schemeClr w14:val="tx1"/>
                  </w14:solidFill>
                </w14:textFill>
              </w:rPr>
              <w:t>年1</w:t>
            </w:r>
            <w:r>
              <w:rPr>
                <w:rFonts w:hint="eastAsia" w:ascii="宋体" w:hAnsi="宋体" w:cs="宋体"/>
                <w:color w:val="000000" w:themeColor="text1"/>
                <w:sz w:val="24"/>
                <w:szCs w:val="24"/>
                <w14:textFill>
                  <w14:solidFill>
                    <w14:schemeClr w14:val="tx1"/>
                  </w14:solidFill>
                </w14:textFill>
              </w:rPr>
              <w:t>月1日</w:t>
            </w:r>
            <w:r>
              <w:rPr>
                <w:rFonts w:hint="eastAsia" w:ascii="宋体" w:hAnsi="宋体" w:cs="宋体"/>
                <w:color w:val="000000" w:themeColor="text1"/>
                <w:sz w:val="24"/>
                <w:szCs w:val="24"/>
                <w:lang w:val="zh-TW"/>
                <w14:textFill>
                  <w14:solidFill>
                    <w14:schemeClr w14:val="tx1"/>
                  </w14:solidFill>
                </w14:textFill>
              </w:rPr>
              <w:t>（以合同签订时间为准）以来</w:t>
            </w:r>
            <w:r>
              <w:rPr>
                <w:rFonts w:hint="eastAsia" w:ascii="宋体" w:hAnsi="宋体" w:cs="宋体"/>
                <w:color w:val="000000" w:themeColor="text1"/>
                <w:sz w:val="24"/>
                <w:szCs w:val="24"/>
                <w14:textFill>
                  <w14:solidFill>
                    <w14:schemeClr w14:val="tx1"/>
                  </w14:solidFill>
                </w14:textFill>
              </w:rPr>
              <w:t>完成类似</w:t>
            </w:r>
            <w:r>
              <w:rPr>
                <w:rFonts w:hint="eastAsia" w:ascii="宋体" w:hAnsi="宋体" w:cs="宋体"/>
                <w:color w:val="000000" w:themeColor="text1"/>
                <w:sz w:val="24"/>
                <w:szCs w:val="24"/>
                <w:lang w:val="zh-TW"/>
                <w14:textFill>
                  <w14:solidFill>
                    <w14:schemeClr w14:val="tx1"/>
                  </w14:solidFill>
                </w14:textFill>
              </w:rPr>
              <w:t>业绩的，每</w:t>
            </w:r>
            <w:r>
              <w:rPr>
                <w:rFonts w:hint="eastAsia" w:ascii="宋体" w:hAnsi="宋体" w:cs="宋体"/>
                <w:color w:val="000000" w:themeColor="text1"/>
                <w:sz w:val="24"/>
                <w:szCs w:val="24"/>
                <w14:textFill>
                  <w14:solidFill>
                    <w14:schemeClr w14:val="tx1"/>
                  </w14:solidFill>
                </w14:textFill>
              </w:rPr>
              <w:t>个</w:t>
            </w:r>
            <w:r>
              <w:rPr>
                <w:rFonts w:hint="eastAsia" w:ascii="宋体" w:hAnsi="宋体" w:cs="宋体"/>
                <w:color w:val="000000" w:themeColor="text1"/>
                <w:sz w:val="24"/>
                <w:szCs w:val="24"/>
                <w:lang w:val="zh-TW"/>
                <w14:textFill>
                  <w14:solidFill>
                    <w14:schemeClr w14:val="tx1"/>
                  </w14:solidFill>
                </w14:textFill>
              </w:rPr>
              <w:t>得</w:t>
            </w:r>
            <w:r>
              <w:rPr>
                <w:rFonts w:hint="eastAsia"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lang w:val="zh-TW"/>
                <w14:textFill>
                  <w14:solidFill>
                    <w14:schemeClr w14:val="tx1"/>
                  </w14:solidFill>
                </w14:textFill>
              </w:rPr>
              <w:t>分，最高得</w:t>
            </w: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TW"/>
                <w14:textFill>
                  <w14:solidFill>
                    <w14:schemeClr w14:val="tx1"/>
                  </w14:solidFill>
                </w14:textFill>
              </w:rPr>
              <w:t>分。</w:t>
            </w:r>
          </w:p>
          <w:p w14:paraId="6CC45CA3">
            <w:pPr>
              <w:adjustRightInd w:val="0"/>
              <w:spacing w:line="360" w:lineRule="auto"/>
              <w:ind w:firstLine="482" w:firstLineChars="200"/>
              <w:jc w:val="left"/>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需</w:t>
            </w:r>
            <w:r>
              <w:rPr>
                <w:rFonts w:hint="eastAsia" w:ascii="宋体" w:hAnsi="宋体" w:cs="宋体"/>
                <w:b/>
                <w:bCs/>
                <w:color w:val="000000" w:themeColor="text1"/>
                <w:sz w:val="24"/>
                <w:szCs w:val="24"/>
                <w:lang w:val="zh-TW"/>
                <w14:textFill>
                  <w14:solidFill>
                    <w14:schemeClr w14:val="tx1"/>
                  </w14:solidFill>
                </w14:textFill>
              </w:rPr>
              <w:t>提供合同复印件</w:t>
            </w:r>
            <w:r>
              <w:rPr>
                <w:rFonts w:hint="eastAsia" w:ascii="宋体" w:hAnsi="宋体" w:cs="宋体"/>
                <w:b/>
                <w:bCs/>
                <w:color w:val="000000" w:themeColor="text1"/>
                <w:sz w:val="24"/>
                <w:szCs w:val="24"/>
                <w14:textFill>
                  <w14:solidFill>
                    <w14:schemeClr w14:val="tx1"/>
                  </w14:solidFill>
                </w14:textFill>
              </w:rPr>
              <w:t>并加盖单位公章</w:t>
            </w:r>
            <w:r>
              <w:rPr>
                <w:rFonts w:hint="eastAsia" w:ascii="宋体" w:hAnsi="宋体" w:cs="宋体"/>
                <w:b/>
                <w:bCs/>
                <w:color w:val="000000" w:themeColor="text1"/>
                <w:sz w:val="24"/>
                <w:szCs w:val="24"/>
                <w:lang w:val="zh-TW"/>
                <w14:textFill>
                  <w14:solidFill>
                    <w14:schemeClr w14:val="tx1"/>
                  </w14:solidFill>
                </w14:textFill>
              </w:rPr>
              <w:t>。</w:t>
            </w:r>
          </w:p>
        </w:tc>
        <w:tc>
          <w:tcPr>
            <w:tcW w:w="935" w:type="dxa"/>
            <w:tcBorders>
              <w:tl2br w:val="nil"/>
              <w:tr2bl w:val="nil"/>
            </w:tcBorders>
            <w:shd w:val="clear" w:color="auto" w:fill="FFFFFF"/>
            <w:tcMar>
              <w:top w:w="80" w:type="dxa"/>
              <w:left w:w="80" w:type="dxa"/>
              <w:bottom w:w="80" w:type="dxa"/>
              <w:right w:w="80" w:type="dxa"/>
            </w:tcMar>
            <w:vAlign w:val="center"/>
          </w:tcPr>
          <w:p w14:paraId="4422BF58">
            <w:pPr>
              <w:adjustRightInd w:val="0"/>
              <w:spacing w:line="360" w:lineRule="auto"/>
              <w:jc w:val="center"/>
              <w:rPr>
                <w:rFonts w:hint="eastAsia" w:ascii="宋体" w:hAnsi="宋体" w:cs="宋体"/>
                <w:color w:val="000000" w:themeColor="text1"/>
                <w:sz w:val="24"/>
                <w:szCs w:val="24"/>
                <w:lang w:val="zh-TW"/>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2分</w:t>
            </w:r>
          </w:p>
        </w:tc>
      </w:tr>
    </w:tbl>
    <w:p w14:paraId="75D52ECD">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w:t>
      </w:r>
    </w:p>
    <w:p w14:paraId="0E717605">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、评标委员会各成员应当独立对每个供应商的响应文件进行评价，并汇总每个供应商的得分。资信分为客观分，也需独立进行评价并核对分值，最终分值需一致。</w:t>
      </w:r>
    </w:p>
    <w:p w14:paraId="31C967EC">
      <w:pPr>
        <w:spacing w:line="360" w:lineRule="auto"/>
        <w:ind w:firstLine="480" w:firstLineChars="200"/>
        <w:rPr>
          <w:color w:val="000000" w:themeColor="text1"/>
          <w14:textFill>
            <w14:solidFill>
              <w14:schemeClr w14:val="tx1"/>
            </w14:solidFill>
          </w14:textFill>
        </w:rPr>
      </w:pP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、所有文件、合同、证书、资质等需要真实有效。成交供应商在中标后签订合同时需提供以上证明文件原件，若发现资料作假的取消中标资格。</w:t>
      </w:r>
    </w:p>
    <w:p w14:paraId="16A494DD">
      <w:pPr>
        <w:rPr>
          <w:rFonts w:cs="宋体"/>
          <w:color w:val="000000" w:themeColor="text1"/>
          <w:sz w:val="36"/>
          <w:szCs w:val="36"/>
          <w14:textFill>
            <w14:solidFill>
              <w14:schemeClr w14:val="tx1"/>
            </w14:solidFill>
          </w14:textFill>
        </w:rPr>
      </w:pPr>
      <w:bookmarkStart w:id="84" w:name="_Toc8033"/>
      <w:bookmarkStart w:id="85" w:name="_Toc4517"/>
    </w:p>
    <w:p w14:paraId="42EFAABE">
      <w:pPr>
        <w:rPr>
          <w:rFonts w:cs="宋体"/>
          <w:color w:val="000000" w:themeColor="text1"/>
          <w:sz w:val="36"/>
          <w:szCs w:val="36"/>
          <w14:textFill>
            <w14:solidFill>
              <w14:schemeClr w14:val="tx1"/>
            </w14:solidFill>
          </w14:textFill>
        </w:rPr>
      </w:pPr>
    </w:p>
    <w:p w14:paraId="7F76074C">
      <w:pPr>
        <w:rPr>
          <w:rFonts w:cs="宋体"/>
          <w:color w:val="000000" w:themeColor="text1"/>
          <w:sz w:val="36"/>
          <w:szCs w:val="36"/>
          <w14:textFill>
            <w14:solidFill>
              <w14:schemeClr w14:val="tx1"/>
            </w14:solidFill>
          </w14:textFill>
        </w:rPr>
      </w:pPr>
    </w:p>
    <w:p w14:paraId="6E02EB5D">
      <w:pPr>
        <w:rPr>
          <w:rFonts w:cs="宋体"/>
          <w:color w:val="000000" w:themeColor="text1"/>
          <w:sz w:val="36"/>
          <w:szCs w:val="36"/>
          <w14:textFill>
            <w14:solidFill>
              <w14:schemeClr w14:val="tx1"/>
            </w14:solidFill>
          </w14:textFill>
        </w:rPr>
      </w:pPr>
    </w:p>
    <w:p w14:paraId="010C3943">
      <w:pPr>
        <w:pStyle w:val="2"/>
        <w:jc w:val="center"/>
        <w:rPr>
          <w:rFonts w:cs="宋体"/>
          <w:color w:val="000000" w:themeColor="text1"/>
          <w:sz w:val="36"/>
          <w:szCs w:val="36"/>
          <w14:textFill>
            <w14:solidFill>
              <w14:schemeClr w14:val="tx1"/>
            </w14:solidFill>
          </w14:textFill>
        </w:rPr>
      </w:pPr>
      <w:r>
        <w:rPr>
          <w:rFonts w:hint="eastAsia" w:cs="宋体"/>
          <w:color w:val="000000" w:themeColor="text1"/>
          <w:sz w:val="36"/>
          <w:szCs w:val="36"/>
          <w14:textFill>
            <w14:solidFill>
              <w14:schemeClr w14:val="tx1"/>
            </w14:solidFill>
          </w14:textFill>
        </w:rPr>
        <w:t xml:space="preserve">  </w:t>
      </w:r>
    </w:p>
    <w:p w14:paraId="4CFD7729">
      <w:pPr>
        <w:rPr>
          <w:rFonts w:cs="宋体"/>
          <w:color w:val="000000" w:themeColor="text1"/>
          <w:sz w:val="36"/>
          <w:szCs w:val="36"/>
          <w14:textFill>
            <w14:solidFill>
              <w14:schemeClr w14:val="tx1"/>
            </w14:solidFill>
          </w14:textFill>
        </w:rPr>
      </w:pPr>
      <w:r>
        <w:rPr>
          <w:rFonts w:hint="eastAsia" w:cs="宋体"/>
          <w:color w:val="000000" w:themeColor="text1"/>
          <w:sz w:val="36"/>
          <w:szCs w:val="36"/>
          <w14:textFill>
            <w14:solidFill>
              <w14:schemeClr w14:val="tx1"/>
            </w14:solidFill>
          </w14:textFill>
        </w:rPr>
        <w:br w:type="page"/>
      </w:r>
    </w:p>
    <w:p w14:paraId="32D14619">
      <w:pPr>
        <w:pStyle w:val="2"/>
        <w:jc w:val="center"/>
        <w:rPr>
          <w:rFonts w:ascii="宋体" w:cs="Times New Roman"/>
          <w:color w:val="000000" w:themeColor="text1"/>
          <w14:textFill>
            <w14:solidFill>
              <w14:schemeClr w14:val="tx1"/>
            </w14:solidFill>
          </w14:textFill>
        </w:rPr>
      </w:pPr>
      <w:r>
        <w:rPr>
          <w:rFonts w:hint="eastAsia" w:cs="宋体"/>
          <w:color w:val="000000" w:themeColor="text1"/>
          <w:sz w:val="36"/>
          <w:szCs w:val="36"/>
          <w14:textFill>
            <w14:solidFill>
              <w14:schemeClr w14:val="tx1"/>
            </w14:solidFill>
          </w14:textFill>
        </w:rPr>
        <w:t xml:space="preserve">   </w:t>
      </w:r>
      <w:bookmarkStart w:id="86" w:name="_Toc27186"/>
      <w:r>
        <w:rPr>
          <w:rFonts w:hint="eastAsia" w:cs="宋体"/>
          <w:color w:val="000000" w:themeColor="text1"/>
          <w:sz w:val="36"/>
          <w:szCs w:val="36"/>
          <w14:textFill>
            <w14:solidFill>
              <w14:schemeClr w14:val="tx1"/>
            </w14:solidFill>
          </w14:textFill>
        </w:rPr>
        <w:t>第五部分</w:t>
      </w:r>
      <w:r>
        <w:rPr>
          <w:color w:val="000000" w:themeColor="text1"/>
          <w:sz w:val="36"/>
          <w:szCs w:val="36"/>
          <w14:textFill>
            <w14:solidFill>
              <w14:schemeClr w14:val="tx1"/>
            </w14:solidFill>
          </w14:textFill>
        </w:rPr>
        <w:t xml:space="preserve"> </w:t>
      </w:r>
      <w:r>
        <w:rPr>
          <w:rFonts w:hint="eastAsia" w:cs="宋体"/>
          <w:color w:val="000000" w:themeColor="text1"/>
          <w:sz w:val="36"/>
          <w:szCs w:val="36"/>
          <w14:textFill>
            <w14:solidFill>
              <w14:schemeClr w14:val="tx1"/>
            </w14:solidFill>
          </w14:textFill>
        </w:rPr>
        <w:t>采购合同</w:t>
      </w:r>
      <w:bookmarkEnd w:id="84"/>
      <w:bookmarkEnd w:id="85"/>
      <w:bookmarkEnd w:id="86"/>
    </w:p>
    <w:p w14:paraId="217B0919">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合同编号：（2025）第</w:t>
      </w:r>
      <w:r>
        <w:rPr>
          <w:rFonts w:hint="eastAsia" w:ascii="宋体" w:hAnsi="宋体" w:cs="宋体"/>
          <w:color w:val="000000" w:themeColor="text1"/>
          <w:sz w:val="24"/>
          <w:u w:val="single"/>
          <w14:textFill>
            <w14:solidFill>
              <w14:schemeClr w14:val="tx1"/>
            </w14:solidFill>
          </w14:textFill>
        </w:rPr>
        <w:t>　　</w:t>
      </w:r>
      <w:r>
        <w:rPr>
          <w:rFonts w:hint="eastAsia" w:ascii="宋体" w:hAnsi="宋体" w:cs="宋体"/>
          <w:color w:val="000000" w:themeColor="text1"/>
          <w:sz w:val="24"/>
          <w14:textFill>
            <w14:solidFill>
              <w14:schemeClr w14:val="tx1"/>
            </w14:solidFill>
          </w14:textFill>
        </w:rPr>
        <w:t>号</w:t>
      </w:r>
    </w:p>
    <w:p w14:paraId="0818B9A9">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签订日期：</w:t>
      </w:r>
      <w:r>
        <w:rPr>
          <w:rFonts w:hint="eastAsia" w:ascii="宋体" w:hAnsi="宋体" w:cs="宋体"/>
          <w:color w:val="000000" w:themeColor="text1"/>
          <w:sz w:val="24"/>
          <w:u w:val="single"/>
          <w14:textFill>
            <w14:solidFill>
              <w14:schemeClr w14:val="tx1"/>
            </w14:solidFill>
          </w14:textFill>
        </w:rPr>
        <w:t>2025</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single"/>
          <w14:textFill>
            <w14:solidFill>
              <w14:schemeClr w14:val="tx1"/>
            </w14:solidFill>
          </w14:textFill>
        </w:rPr>
        <w:t>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single"/>
          <w14:textFill>
            <w14:solidFill>
              <w14:schemeClr w14:val="tx1"/>
            </w14:solidFill>
          </w14:textFill>
        </w:rPr>
        <w:t>　　</w:t>
      </w:r>
      <w:r>
        <w:rPr>
          <w:rFonts w:hint="eastAsia" w:ascii="宋体" w:hAnsi="宋体" w:cs="宋体"/>
          <w:color w:val="000000" w:themeColor="text1"/>
          <w:sz w:val="24"/>
          <w14:textFill>
            <w14:solidFill>
              <w14:schemeClr w14:val="tx1"/>
            </w14:solidFill>
          </w14:textFill>
        </w:rPr>
        <w:t>日</w:t>
      </w:r>
    </w:p>
    <w:p w14:paraId="37973700">
      <w:pPr>
        <w:spacing w:line="360" w:lineRule="auto"/>
        <w:ind w:firstLine="480" w:firstLineChars="200"/>
        <w:rPr>
          <w:rFonts w:hint="eastAsia" w:ascii="宋体" w:hAnsi="宋体" w:cs="宋体"/>
          <w:color w:val="000000" w:themeColor="text1"/>
          <w:sz w:val="28"/>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　甲方</w:t>
      </w:r>
      <w:r>
        <w:rPr>
          <w:rFonts w:hint="eastAsia" w:ascii="宋体" w:hAnsi="宋体" w:cs="宋体"/>
          <w:color w:val="000000" w:themeColor="text1"/>
          <w:sz w:val="28"/>
          <w14:textFill>
            <w14:solidFill>
              <w14:schemeClr w14:val="tx1"/>
            </w14:solidFill>
          </w14:textFill>
        </w:rPr>
        <w:t>：</w:t>
      </w:r>
      <w:r>
        <w:rPr>
          <w:rFonts w:hint="eastAsia" w:ascii="宋体" w:hAnsi="宋体" w:cs="宋体"/>
          <w:color w:val="000000" w:themeColor="text1"/>
          <w:sz w:val="28"/>
          <w:u w:val="single"/>
          <w14:textFill>
            <w14:solidFill>
              <w14:schemeClr w14:val="tx1"/>
            </w14:solidFill>
          </w14:textFill>
        </w:rPr>
        <w:t>　　　　　　　　　　　　　　　　　　　　　　　　　</w:t>
      </w:r>
    </w:p>
    <w:p w14:paraId="3F25D417">
      <w:pPr>
        <w:spacing w:line="360" w:lineRule="auto"/>
        <w:ind w:firstLine="720" w:firstLineChars="300"/>
        <w:jc w:val="left"/>
        <w:rPr>
          <w:rFonts w:hint="eastAsia" w:ascii="宋体" w:hAnsi="宋体" w:cs="宋体"/>
          <w:color w:val="000000" w:themeColor="text1"/>
          <w:sz w:val="28"/>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乙方</w:t>
      </w:r>
      <w:r>
        <w:rPr>
          <w:rFonts w:hint="eastAsia" w:ascii="宋体" w:hAnsi="宋体" w:cs="宋体"/>
          <w:color w:val="000000" w:themeColor="text1"/>
          <w:sz w:val="28"/>
          <w14:textFill>
            <w14:solidFill>
              <w14:schemeClr w14:val="tx1"/>
            </w14:solidFill>
          </w14:textFill>
        </w:rPr>
        <w:t>：</w:t>
      </w:r>
      <w:r>
        <w:rPr>
          <w:rFonts w:hint="eastAsia" w:ascii="宋体" w:hAnsi="宋体" w:cs="宋体"/>
          <w:color w:val="000000" w:themeColor="text1"/>
          <w:sz w:val="28"/>
          <w:u w:val="single"/>
          <w14:textFill>
            <w14:solidFill>
              <w14:schemeClr w14:val="tx1"/>
            </w14:solidFill>
          </w14:textFill>
        </w:rPr>
        <w:t>　　　　　　　　　　　　　　　　　　　　　　　　　</w:t>
      </w:r>
    </w:p>
    <w:p w14:paraId="29464F13">
      <w:pPr>
        <w:spacing w:line="360" w:lineRule="auto"/>
        <w:ind w:firstLine="480" w:firstLineChars="200"/>
        <w:jc w:val="left"/>
        <w:rPr>
          <w:rFonts w:hint="eastAsia" w:ascii="宋体" w:hAnsi="宋体" w:cs="宋体"/>
          <w:b/>
          <w:bCs/>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根据《中华人民共和国民法典》、政府采购编号为</w:t>
      </w:r>
      <w:r>
        <w:rPr>
          <w:rFonts w:hint="eastAsia" w:ascii="宋体" w:hAnsi="宋体" w:cs="宋体"/>
          <w:color w:val="000000" w:themeColor="text1"/>
          <w:sz w:val="24"/>
          <w:u w:val="single"/>
          <w14:textFill>
            <w14:solidFill>
              <w14:schemeClr w14:val="tx1"/>
            </w14:solidFill>
          </w14:textFill>
        </w:rPr>
        <w:t xml:space="preserve"> ZW202509 </w:t>
      </w:r>
      <w:r>
        <w:rPr>
          <w:rFonts w:hint="eastAsia" w:ascii="宋体" w:hAnsi="宋体" w:cs="宋体"/>
          <w:color w:val="000000" w:themeColor="text1"/>
          <w:sz w:val="24"/>
          <w14:textFill>
            <w14:solidFill>
              <w14:schemeClr w14:val="tx1"/>
            </w14:solidFill>
          </w14:textFill>
        </w:rPr>
        <w:t>招标文件、乙方响应文件的规定，经竞争性磋商采购，签订本合同。</w:t>
      </w:r>
      <w:r>
        <w:rPr>
          <w:rFonts w:hint="eastAsia" w:ascii="宋体" w:hAnsi="宋体" w:cs="宋体"/>
          <w:b/>
          <w:bCs/>
          <w:color w:val="000000" w:themeColor="text1"/>
          <w:sz w:val="24"/>
          <w14:textFill>
            <w14:solidFill>
              <w14:schemeClr w14:val="tx1"/>
            </w14:solidFill>
          </w14:textFill>
        </w:rPr>
        <w:t xml:space="preserve"> </w:t>
      </w:r>
    </w:p>
    <w:p w14:paraId="095441C8">
      <w:pPr>
        <w:spacing w:line="360" w:lineRule="auto"/>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1、项目背景</w:t>
      </w:r>
    </w:p>
    <w:p w14:paraId="006C39C7">
      <w:pPr>
        <w:pStyle w:val="3"/>
        <w:spacing w:line="360" w:lineRule="auto"/>
        <w:ind w:firstLine="480" w:firstLineChars="200"/>
        <w:rPr>
          <w:rFonts w:hint="eastAsia" w:hAnsi="宋体"/>
          <w:b w:val="0"/>
          <w:bCs w:val="0"/>
          <w:color w:val="000000" w:themeColor="text1"/>
          <w:sz w:val="24"/>
          <w:szCs w:val="24"/>
          <w14:textFill>
            <w14:solidFill>
              <w14:schemeClr w14:val="tx1"/>
            </w14:solidFill>
          </w14:textFill>
        </w:rPr>
      </w:pPr>
      <w:r>
        <w:rPr>
          <w:rFonts w:hint="eastAsia" w:hAnsi="宋体"/>
          <w:b w:val="0"/>
          <w:bCs w:val="0"/>
          <w:color w:val="000000" w:themeColor="text1"/>
          <w:sz w:val="24"/>
          <w:szCs w:val="24"/>
          <w14:textFill>
            <w14:solidFill>
              <w14:schemeClr w14:val="tx1"/>
            </w14:solidFill>
          </w14:textFill>
        </w:rPr>
        <w:t>X波段相控阵天气雷达系统作为气象观测和预警的重要设备，对于提高气象预报的准确性和时效性具有重要意义。为了确保气象雷达设备的稳定运行和数据质量，需要定期开展科学有效的技术保障和保养工作。</w:t>
      </w:r>
    </w:p>
    <w:p w14:paraId="52F12989">
      <w:pPr>
        <w:pStyle w:val="2"/>
        <w:tabs>
          <w:tab w:val="left" w:pos="0"/>
        </w:tabs>
        <w:adjustRightInd w:val="0"/>
        <w:spacing w:line="360" w:lineRule="auto"/>
        <w:ind w:left="442" w:hanging="442"/>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2.技术保障目标</w:t>
      </w:r>
    </w:p>
    <w:p w14:paraId="08D346FD">
      <w:pPr>
        <w:pStyle w:val="84"/>
        <w:spacing w:line="36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（1）确保气象雷达设备的稳定运行，降低故障率；</w:t>
      </w:r>
    </w:p>
    <w:p w14:paraId="2C570B2A">
      <w:pPr>
        <w:pStyle w:val="85"/>
        <w:spacing w:line="360" w:lineRule="auto"/>
        <w:ind w:left="0"/>
        <w:rPr>
          <w:rFonts w:hint="eastAsia" w:eastAsia="宋体" w:cs="宋体"/>
          <w:color w:val="000000" w:themeColor="text1"/>
          <w:sz w:val="24"/>
          <w:szCs w:val="24"/>
          <w14:textFill>
            <w14:solidFill>
              <w14:schemeClr w14:val="tx1"/>
            </w14:solidFill>
          </w14:textFill>
        </w:rPr>
      </w:pPr>
      <w:r>
        <w:rPr>
          <w:rFonts w:hint="eastAsia" w:eastAsia="宋体" w:cs="宋体"/>
          <w:color w:val="000000" w:themeColor="text1"/>
          <w:sz w:val="24"/>
          <w:szCs w:val="24"/>
          <w14:textFill>
            <w14:solidFill>
              <w14:schemeClr w14:val="tx1"/>
            </w14:solidFill>
          </w14:textFill>
        </w:rPr>
        <w:t>（2）提高数据质量，确保数据的准确性和完整性；</w:t>
      </w:r>
    </w:p>
    <w:p w14:paraId="22540707">
      <w:pPr>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（3）优化运维流程，提高运维效率；</w:t>
      </w:r>
    </w:p>
    <w:p w14:paraId="0C9E56F0">
      <w:pPr>
        <w:pStyle w:val="84"/>
        <w:spacing w:line="360" w:lineRule="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（4）加强设备维护，延长设备使用寿命。</w:t>
      </w:r>
    </w:p>
    <w:p w14:paraId="3179DBED">
      <w:pPr>
        <w:spacing w:line="360" w:lineRule="auto"/>
        <w:jc w:val="left"/>
        <w:rPr>
          <w:rFonts w:hint="eastAsia"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3.项目采购内容及服务要求</w:t>
      </w:r>
    </w:p>
    <w:tbl>
      <w:tblPr>
        <w:tblStyle w:val="27"/>
        <w:tblW w:w="8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6"/>
        <w:gridCol w:w="1578"/>
        <w:gridCol w:w="833"/>
        <w:gridCol w:w="800"/>
        <w:gridCol w:w="4565"/>
      </w:tblGrid>
      <w:tr w14:paraId="2A4F4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AF6E96B">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shd w:val="clear" w:color="auto" w:fill="auto"/>
            <w:vAlign w:val="center"/>
          </w:tcPr>
          <w:p w14:paraId="5D656AF0">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采购内容</w:t>
            </w:r>
          </w:p>
        </w:tc>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14:paraId="16C45474">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单位</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4E8A2C3">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数量</w:t>
            </w:r>
          </w:p>
        </w:tc>
        <w:tc>
          <w:tcPr>
            <w:tcW w:w="4565" w:type="dxa"/>
            <w:tcBorders>
              <w:top w:val="single" w:color="auto" w:sz="4" w:space="0"/>
              <w:left w:val="single" w:color="auto" w:sz="4" w:space="0"/>
              <w:bottom w:val="single" w:color="auto" w:sz="4" w:space="0"/>
              <w:right w:val="single" w:color="auto" w:sz="4" w:space="0"/>
            </w:tcBorders>
            <w:shd w:val="clear" w:color="auto" w:fill="auto"/>
            <w:vAlign w:val="center"/>
          </w:tcPr>
          <w:p w14:paraId="6BB8C44A">
            <w:pPr>
              <w:widowControl/>
              <w:autoSpaceDE w:val="0"/>
              <w:adjustRightInd w:val="0"/>
              <w:spacing w:line="360" w:lineRule="auto"/>
              <w:ind w:firstLine="480"/>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备注</w:t>
            </w:r>
          </w:p>
        </w:tc>
      </w:tr>
      <w:tr w14:paraId="348A7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E53E480">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1</w:t>
            </w:r>
          </w:p>
        </w:tc>
        <w:tc>
          <w:tcPr>
            <w:tcW w:w="1578" w:type="dxa"/>
            <w:tcBorders>
              <w:top w:val="single" w:color="auto" w:sz="4" w:space="0"/>
              <w:left w:val="single" w:color="auto" w:sz="4" w:space="0"/>
              <w:bottom w:val="single" w:color="auto" w:sz="4" w:space="0"/>
              <w:right w:val="single" w:color="auto" w:sz="4" w:space="0"/>
            </w:tcBorders>
            <w:shd w:val="clear" w:color="auto" w:fill="auto"/>
            <w:vAlign w:val="center"/>
          </w:tcPr>
          <w:p w14:paraId="3371CD94">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上虞区X波段相控阵雷达维护、抢修服务</w:t>
            </w:r>
          </w:p>
        </w:tc>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14:paraId="2FE880C1">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highlight w:val="none"/>
                <w14:textFill>
                  <w14:solidFill>
                    <w14:schemeClr w14:val="tx1"/>
                  </w14:solidFill>
                </w14:textFill>
              </w:rPr>
              <w:t>项</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5A04BBA">
            <w:pPr>
              <w:widowControl/>
              <w:autoSpaceDE w:val="0"/>
              <w:adjustRightInd w:val="0"/>
              <w:spacing w:line="360" w:lineRule="auto"/>
              <w:jc w:val="center"/>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1</w:t>
            </w:r>
          </w:p>
        </w:tc>
        <w:tc>
          <w:tcPr>
            <w:tcW w:w="4565" w:type="dxa"/>
            <w:tcBorders>
              <w:top w:val="single" w:color="auto" w:sz="4" w:space="0"/>
              <w:left w:val="single" w:color="auto" w:sz="4" w:space="0"/>
              <w:bottom w:val="single" w:color="auto" w:sz="4" w:space="0"/>
              <w:right w:val="single" w:color="auto" w:sz="4" w:space="0"/>
            </w:tcBorders>
            <w:shd w:val="clear" w:color="auto" w:fill="auto"/>
            <w:vAlign w:val="center"/>
          </w:tcPr>
          <w:p w14:paraId="7185C95A">
            <w:pPr>
              <w:widowControl/>
              <w:autoSpaceDE w:val="0"/>
              <w:adjustRightInd w:val="0"/>
              <w:spacing w:line="360" w:lineRule="auto"/>
              <w:jc w:val="left"/>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sz w:val="24"/>
                <w:szCs w:val="24"/>
                <w:lang w:bidi="ar"/>
                <w14:textFill>
                  <w14:solidFill>
                    <w14:schemeClr w14:val="tx1"/>
                  </w14:solidFill>
                </w14:textFill>
              </w:rPr>
              <w:t>X波段相控阵雷达整机维护、雷达发射功率维护、雷达运行状态维护、伺服系统维护及应急抢修服务；定标工作；雷达站机房、塔上设施维护、</w:t>
            </w:r>
            <w:r>
              <w:rPr>
                <w:rFonts w:hint="eastAsia" w:ascii="宋体" w:hAnsi="宋体" w:cs="宋体"/>
                <w:color w:val="000000" w:themeColor="text1"/>
                <w:sz w:val="24"/>
                <w:szCs w:val="24"/>
                <w:lang w:val="en-US" w:eastAsia="zh-CN" w:bidi="ar"/>
                <w14:textFill>
                  <w14:solidFill>
                    <w14:schemeClr w14:val="tx1"/>
                  </w14:solidFill>
                </w14:textFill>
              </w:rPr>
              <w:t>上山道路简易维护、</w:t>
            </w:r>
            <w:r>
              <w:rPr>
                <w:rFonts w:hint="eastAsia" w:ascii="宋体" w:hAnsi="宋体" w:cs="宋体"/>
                <w:color w:val="000000" w:themeColor="text1"/>
                <w:sz w:val="24"/>
                <w:szCs w:val="24"/>
                <w:lang w:bidi="ar"/>
                <w14:textFill>
                  <w14:solidFill>
                    <w14:schemeClr w14:val="tx1"/>
                  </w14:solidFill>
                </w14:textFill>
              </w:rPr>
              <w:t>站点周边除草；站点服务器性能与存储空间维护、站点控制平台升级更新、防雷检测和铁塔安全性检测等工作。</w:t>
            </w:r>
          </w:p>
        </w:tc>
      </w:tr>
    </w:tbl>
    <w:p w14:paraId="3F055921">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4.服务总体需求</w:t>
      </w:r>
    </w:p>
    <w:p w14:paraId="4B391E0E">
      <w:pPr>
        <w:widowControl/>
        <w:adjustRightInd w:val="0"/>
        <w:spacing w:line="360" w:lineRule="auto"/>
        <w:ind w:firstLine="480" w:firstLineChars="200"/>
        <w:jc w:val="left"/>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eastAsia="zh-CN" w:bidi="ar"/>
          <w14:textFill>
            <w14:solidFill>
              <w14:schemeClr w14:val="tx1"/>
            </w14:solidFill>
          </w14:textFill>
        </w:rPr>
        <w:t>乙</w:t>
      </w:r>
      <w:r>
        <w:rPr>
          <w:rFonts w:hint="eastAsia" w:ascii="宋体" w:hAnsi="宋体" w:cs="宋体"/>
          <w:color w:val="000000" w:themeColor="text1"/>
          <w:kern w:val="2"/>
          <w:sz w:val="24"/>
          <w:szCs w:val="24"/>
          <w:lang w:bidi="ar"/>
          <w14:textFill>
            <w14:solidFill>
              <w14:schemeClr w14:val="tx1"/>
            </w14:solidFill>
          </w14:textFill>
        </w:rPr>
        <w:t>方须组建2人及以上的专业保障队伍，负责X波段相控阵雷达系统的巡检维护抢修服务，定期开展日巡查、月维护、汛前巡检和年维护以及疏水涂层涂刷和软件系统、中心站维护，保障雷达稳定正常运行。服务期1年。</w:t>
      </w:r>
    </w:p>
    <w:p w14:paraId="6942DB78">
      <w:pPr>
        <w:widowControl/>
        <w:autoSpaceDE w:val="0"/>
        <w:adjustRightInd w:val="0"/>
        <w:spacing w:line="360" w:lineRule="auto"/>
        <w:ind w:firstLine="480" w:firstLineChars="200"/>
        <w:jc w:val="left"/>
        <w:rPr>
          <w:rFonts w:hint="eastAsia" w:ascii="宋体" w:hAnsi="宋体" w:cs="宋体"/>
          <w:color w:val="000000" w:themeColor="text1"/>
          <w:kern w:val="2"/>
          <w:sz w:val="24"/>
          <w:szCs w:val="24"/>
          <w:lang w:bidi="ar"/>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维护项目参照中国气象局综合观测司印发的《X波段天气雷达观测规范（试行）》和《X波段天气雷达标校业务规范(试行)》，具体内容如下：</w:t>
      </w:r>
    </w:p>
    <w:p w14:paraId="44EA895F">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（1）每年开展X波段双偏振相控阵天气雷达月巡检维护标校不少于</w:t>
      </w:r>
      <w:r>
        <w:rPr>
          <w:rFonts w:hint="eastAsia" w:ascii="宋体" w:hAnsi="宋体" w:cs="宋体"/>
          <w:color w:val="000000" w:themeColor="text1"/>
          <w:sz w:val="24"/>
          <w:lang w:val="en-US" w:eastAsia="zh-CN"/>
          <w14:textFill>
            <w14:solidFill>
              <w14:schemeClr w14:val="tx1"/>
            </w14:solidFill>
          </w14:textFill>
        </w:rPr>
        <w:t>10</w:t>
      </w:r>
      <w:r>
        <w:rPr>
          <w:rFonts w:hint="eastAsia" w:ascii="宋体" w:hAnsi="宋体" w:cs="宋体"/>
          <w:color w:val="000000" w:themeColor="text1"/>
          <w:sz w:val="24"/>
          <w14:textFill>
            <w14:solidFill>
              <w14:schemeClr w14:val="tx1"/>
            </w14:solidFill>
          </w14:textFill>
        </w:rPr>
        <w:t>次；</w:t>
      </w:r>
    </w:p>
    <w:p w14:paraId="74A4E83C">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（2）雷达汛前巡检标校1次；</w:t>
      </w:r>
    </w:p>
    <w:p w14:paraId="756E471F">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（3）汛期后年维护</w:t>
      </w:r>
      <w:r>
        <w:rPr>
          <w:rFonts w:hint="eastAsia" w:ascii="宋体" w:hAnsi="宋体" w:cs="宋体"/>
          <w:color w:val="000000" w:themeColor="text1"/>
          <w:sz w:val="24"/>
          <w:lang w:eastAsia="zh-CN"/>
          <w14:textFill>
            <w14:solidFill>
              <w14:schemeClr w14:val="tx1"/>
            </w14:solidFill>
          </w14:textFill>
        </w:rPr>
        <w:t>标校</w:t>
      </w:r>
      <w:r>
        <w:rPr>
          <w:rFonts w:hint="eastAsia" w:ascii="宋体" w:hAnsi="宋体" w:cs="宋体"/>
          <w:color w:val="000000" w:themeColor="text1"/>
          <w:sz w:val="24"/>
          <w14:textFill>
            <w14:solidFill>
              <w14:schemeClr w14:val="tx1"/>
            </w14:solidFill>
          </w14:textFill>
        </w:rPr>
        <w:t>1次；</w:t>
      </w:r>
    </w:p>
    <w:p w14:paraId="22AB5DE2">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（4）配套设备巡检保养每季度1次；</w:t>
      </w:r>
    </w:p>
    <w:p w14:paraId="233D770D">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（5）天线罩疏水涂层保养每年一次更新；</w:t>
      </w:r>
    </w:p>
    <w:p w14:paraId="080D004C">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（6）雷达站环境巡检每月1次；</w:t>
      </w:r>
    </w:p>
    <w:p w14:paraId="75D11D87">
      <w:pPr>
        <w:widowControl/>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维护过程中的相关照片和巡查维护记录应及时报送</w:t>
      </w:r>
      <w:r>
        <w:rPr>
          <w:rFonts w:hint="eastAsia" w:ascii="宋体" w:hAnsi="宋体" w:cs="宋体"/>
          <w:color w:val="000000" w:themeColor="text1"/>
          <w:sz w:val="24"/>
          <w:lang w:eastAsia="zh-CN"/>
          <w14:textFill>
            <w14:solidFill>
              <w14:schemeClr w14:val="tx1"/>
            </w14:solidFill>
          </w14:textFill>
        </w:rPr>
        <w:t>甲</w:t>
      </w:r>
      <w:r>
        <w:rPr>
          <w:rFonts w:hint="eastAsia" w:ascii="宋体" w:hAnsi="宋体" w:cs="宋体"/>
          <w:color w:val="000000" w:themeColor="text1"/>
          <w:sz w:val="24"/>
          <w14:textFill>
            <w14:solidFill>
              <w14:schemeClr w14:val="tx1"/>
            </w14:solidFill>
          </w14:textFill>
        </w:rPr>
        <w:t>方或</w:t>
      </w:r>
      <w:r>
        <w:rPr>
          <w:rFonts w:hint="eastAsia" w:ascii="宋体" w:hAnsi="宋体" w:cs="宋体"/>
          <w:color w:val="000000" w:themeColor="text1"/>
          <w:sz w:val="24"/>
          <w:lang w:eastAsia="zh-CN"/>
          <w14:textFill>
            <w14:solidFill>
              <w14:schemeClr w14:val="tx1"/>
            </w14:solidFill>
          </w14:textFill>
        </w:rPr>
        <w:t>甲</w:t>
      </w:r>
      <w:r>
        <w:rPr>
          <w:rFonts w:hint="eastAsia" w:ascii="宋体" w:hAnsi="宋体" w:cs="宋体"/>
          <w:color w:val="000000" w:themeColor="text1"/>
          <w:sz w:val="24"/>
          <w14:textFill>
            <w14:solidFill>
              <w14:schemeClr w14:val="tx1"/>
            </w14:solidFill>
          </w14:textFill>
        </w:rPr>
        <w:t>方指定部门。X波段相控阵雷达系统维护服务过程中的一切安全责任由</w:t>
      </w:r>
      <w:r>
        <w:rPr>
          <w:rFonts w:hint="eastAsia" w:ascii="宋体" w:hAnsi="宋体" w:cs="宋体"/>
          <w:color w:val="000000" w:themeColor="text1"/>
          <w:sz w:val="24"/>
          <w:lang w:eastAsia="zh-CN"/>
          <w14:textFill>
            <w14:solidFill>
              <w14:schemeClr w14:val="tx1"/>
            </w14:solidFill>
          </w14:textFill>
        </w:rPr>
        <w:t>乙</w:t>
      </w:r>
      <w:r>
        <w:rPr>
          <w:rFonts w:hint="eastAsia" w:ascii="宋体" w:hAnsi="宋体" w:cs="宋体"/>
          <w:color w:val="000000" w:themeColor="text1"/>
          <w:sz w:val="24"/>
          <w14:textFill>
            <w14:solidFill>
              <w14:schemeClr w14:val="tx1"/>
            </w14:solidFill>
          </w14:textFill>
        </w:rPr>
        <w:t>方自行承担，</w:t>
      </w:r>
      <w:r>
        <w:rPr>
          <w:rFonts w:hint="eastAsia" w:ascii="宋体" w:hAnsi="宋体" w:cs="宋体"/>
          <w:color w:val="000000" w:themeColor="text1"/>
          <w:sz w:val="24"/>
          <w:lang w:eastAsia="zh-CN"/>
          <w14:textFill>
            <w14:solidFill>
              <w14:schemeClr w14:val="tx1"/>
            </w14:solidFill>
          </w14:textFill>
        </w:rPr>
        <w:t>甲方</w:t>
      </w:r>
      <w:r>
        <w:rPr>
          <w:rFonts w:hint="eastAsia" w:ascii="宋体" w:hAnsi="宋体" w:cs="宋体"/>
          <w:color w:val="000000" w:themeColor="text1"/>
          <w:sz w:val="24"/>
          <w14:textFill>
            <w14:solidFill>
              <w14:schemeClr w14:val="tx1"/>
            </w14:solidFill>
          </w14:textFill>
        </w:rPr>
        <w:t>概不负责。</w:t>
      </w:r>
    </w:p>
    <w:p w14:paraId="7266AD8A">
      <w:pPr>
        <w:widowControl/>
        <w:spacing w:line="360" w:lineRule="auto"/>
        <w:ind w:firstLine="480" w:firstLineChars="200"/>
        <w:jc w:val="left"/>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kern w:val="2"/>
          <w:sz w:val="24"/>
          <w:szCs w:val="21"/>
          <w14:textFill>
            <w14:solidFill>
              <w14:schemeClr w14:val="tx1"/>
            </w14:solidFill>
          </w14:textFill>
        </w:rPr>
        <w:t>（7）</w:t>
      </w:r>
      <w:r>
        <w:rPr>
          <w:rFonts w:hint="eastAsia" w:ascii="宋体" w:hAnsi="宋体" w:cs="宋体"/>
          <w:color w:val="000000" w:themeColor="text1"/>
          <w:sz w:val="24"/>
          <w14:textFill>
            <w14:solidFill>
              <w14:schemeClr w14:val="tx1"/>
            </w14:solidFill>
          </w14:textFill>
        </w:rPr>
        <w:t>每年至少开展1次</w:t>
      </w:r>
      <w:r>
        <w:rPr>
          <w:rFonts w:hint="eastAsia" w:ascii="宋体" w:hAnsi="宋体" w:cs="宋体"/>
          <w:color w:val="000000" w:themeColor="text1"/>
          <w:sz w:val="24"/>
          <w:lang w:eastAsia="zh-CN"/>
          <w14:textFill>
            <w14:solidFill>
              <w14:schemeClr w14:val="tx1"/>
            </w14:solidFill>
          </w14:textFill>
        </w:rPr>
        <w:t>由</w:t>
      </w:r>
      <w:r>
        <w:rPr>
          <w:rFonts w:ascii="宋体" w:hAnsi="宋体" w:cs="宋体"/>
          <w:color w:val="000000" w:themeColor="text1"/>
          <w:sz w:val="24"/>
          <w:szCs w:val="24"/>
          <w14:textFill>
            <w14:solidFill>
              <w14:schemeClr w14:val="tx1"/>
            </w14:solidFill>
          </w14:textFill>
        </w:rPr>
        <w:t>第三方检测单位对</w:t>
      </w:r>
      <w:r>
        <w:rPr>
          <w:rFonts w:hint="eastAsia" w:ascii="宋体" w:hAnsi="宋体" w:cs="宋体"/>
          <w:color w:val="000000" w:themeColor="text1"/>
          <w:sz w:val="24"/>
          <w:szCs w:val="24"/>
          <w:lang w:val="en-US" w:eastAsia="zh-CN"/>
          <w14:textFill>
            <w14:solidFill>
              <w14:schemeClr w14:val="tx1"/>
            </w14:solidFill>
          </w14:textFill>
        </w:rPr>
        <w:t>雷达主机、塔体、变压器及塔上机房内设备等</w:t>
      </w:r>
      <w:r>
        <w:rPr>
          <w:rFonts w:ascii="宋体" w:hAnsi="宋体" w:cs="宋体"/>
          <w:color w:val="000000" w:themeColor="text1"/>
          <w:sz w:val="24"/>
          <w:szCs w:val="24"/>
          <w14:textFill>
            <w14:solidFill>
              <w14:schemeClr w14:val="tx1"/>
            </w14:solidFill>
          </w14:textFill>
        </w:rPr>
        <w:t>进行</w:t>
      </w:r>
      <w:r>
        <w:rPr>
          <w:rFonts w:hint="eastAsia" w:ascii="宋体" w:hAnsi="宋体" w:cs="宋体"/>
          <w:color w:val="000000" w:themeColor="text1"/>
          <w:sz w:val="24"/>
          <w:szCs w:val="24"/>
          <w:lang w:eastAsia="zh-CN"/>
          <w14:textFill>
            <w14:solidFill>
              <w14:schemeClr w14:val="tx1"/>
            </w14:solidFill>
          </w14:textFill>
        </w:rPr>
        <w:t>防雷</w:t>
      </w:r>
      <w:r>
        <w:rPr>
          <w:rFonts w:ascii="宋体" w:hAnsi="宋体" w:cs="宋体"/>
          <w:color w:val="000000" w:themeColor="text1"/>
          <w:sz w:val="24"/>
          <w:szCs w:val="24"/>
          <w14:textFill>
            <w14:solidFill>
              <w14:schemeClr w14:val="tx1"/>
            </w14:solidFill>
          </w14:textFill>
        </w:rPr>
        <w:t>检测</w:t>
      </w:r>
      <w:r>
        <w:rPr>
          <w:rFonts w:hint="eastAsia" w:ascii="宋体" w:hAnsi="宋体" w:cs="宋体"/>
          <w:color w:val="000000" w:themeColor="text1"/>
          <w:sz w:val="24"/>
          <w14:textFill>
            <w14:solidFill>
              <w14:schemeClr w14:val="tx1"/>
            </w14:solidFill>
          </w14:textFill>
        </w:rPr>
        <w:t>，出具相关检测报告，相关检测单位应具备相应资质，发现问题或隐患应及时整改。</w:t>
      </w:r>
      <w:r>
        <w:rPr>
          <w:rFonts w:hint="eastAsia" w:ascii="宋体" w:hAnsi="宋体" w:cs="宋体"/>
          <w:color w:val="000000" w:themeColor="text1"/>
          <w:sz w:val="24"/>
          <w:lang w:eastAsia="zh-CN"/>
          <w14:textFill>
            <w14:solidFill>
              <w14:schemeClr w14:val="tx1"/>
            </w14:solidFill>
          </w14:textFill>
        </w:rPr>
        <w:t>（整改费用由甲方承担）</w:t>
      </w:r>
    </w:p>
    <w:p w14:paraId="2810D08B">
      <w:pPr>
        <w:pStyle w:val="2"/>
        <w:autoSpaceDE w:val="0"/>
        <w:adjustRightInd w:val="0"/>
        <w:spacing w:line="360" w:lineRule="auto"/>
        <w:jc w:val="left"/>
        <w:rPr>
          <w:rFonts w:hint="eastAsia" w:ascii="宋体" w:hAnsi="宋体" w:cs="宋体"/>
          <w:color w:val="000000" w:themeColor="text1"/>
          <w:kern w:val="2"/>
          <w:sz w:val="24"/>
          <w:szCs w:val="24"/>
          <w:lang w:bidi="ar"/>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5.运维要求</w:t>
      </w:r>
    </w:p>
    <w:tbl>
      <w:tblPr>
        <w:tblStyle w:val="27"/>
        <w:tblW w:w="9664" w:type="dxa"/>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573"/>
        <w:gridCol w:w="787"/>
        <w:gridCol w:w="6619"/>
      </w:tblGrid>
      <w:tr w14:paraId="1A464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281D3B44">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序号</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04776038">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内容</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72B306E1">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次数</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591BCAF7">
            <w:pPr>
              <w:pStyle w:val="86"/>
              <w:spacing w:line="360" w:lineRule="auto"/>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备注</w:t>
            </w:r>
          </w:p>
        </w:tc>
      </w:tr>
      <w:tr w14:paraId="3FCD5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164BFB55">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1</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7BF5A233">
            <w:pPr>
              <w:pStyle w:val="86"/>
              <w:spacing w:line="360" w:lineRule="auto"/>
              <w:rPr>
                <w:rFonts w:hint="eastAsia" w:eastAsia="宋体" w:cs="宋体"/>
                <w:color w:val="000000" w:themeColor="text1"/>
                <w:kern w:val="2"/>
                <w:sz w:val="24"/>
                <w:szCs w:val="24"/>
                <w:lang w:eastAsia="zh-CN"/>
                <w14:textFill>
                  <w14:solidFill>
                    <w14:schemeClr w14:val="tx1"/>
                  </w14:solidFill>
                </w14:textFill>
              </w:rPr>
            </w:pPr>
            <w:r>
              <w:rPr>
                <w:rFonts w:cs="宋体"/>
                <w:color w:val="000000" w:themeColor="text1"/>
                <w:sz w:val="24"/>
                <w:szCs w:val="24"/>
                <w14:textFill>
                  <w14:solidFill>
                    <w14:schemeClr w14:val="tx1"/>
                  </w14:solidFill>
                </w14:textFill>
              </w:rPr>
              <w:t>月巡检</w:t>
            </w:r>
            <w:r>
              <w:rPr>
                <w:rFonts w:hint="eastAsia" w:cs="宋体"/>
                <w:color w:val="000000" w:themeColor="text1"/>
                <w:sz w:val="24"/>
                <w:szCs w:val="24"/>
                <w:lang w:eastAsia="zh-CN"/>
                <w14:textFill>
                  <w14:solidFill>
                    <w14:schemeClr w14:val="tx1"/>
                  </w14:solidFill>
                </w14:textFill>
              </w:rPr>
              <w:t>标校</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195C72D2">
            <w:pPr>
              <w:pStyle w:val="86"/>
              <w:spacing w:line="360" w:lineRule="auto"/>
              <w:rPr>
                <w:rFonts w:hint="default" w:eastAsia="宋体" w:cs="宋体"/>
                <w:color w:val="000000" w:themeColor="text1"/>
                <w:kern w:val="2"/>
                <w:sz w:val="24"/>
                <w:szCs w:val="24"/>
                <w:lang w:val="en-US" w:eastAsia="zh-CN"/>
                <w14:textFill>
                  <w14:solidFill>
                    <w14:schemeClr w14:val="tx1"/>
                  </w14:solidFill>
                </w14:textFill>
              </w:rPr>
            </w:pPr>
            <w:r>
              <w:rPr>
                <w:rFonts w:hint="eastAsia" w:cs="宋体"/>
                <w:color w:val="000000" w:themeColor="text1"/>
                <w:sz w:val="24"/>
                <w:szCs w:val="24"/>
                <w:lang w:val="en-US" w:eastAsia="zh-CN"/>
                <w14:textFill>
                  <w14:solidFill>
                    <w14:schemeClr w14:val="tx1"/>
                  </w14:solidFill>
                </w14:textFill>
              </w:rPr>
              <w:t>10</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0AAD922C">
            <w:pPr>
              <w:pStyle w:val="86"/>
              <w:spacing w:line="360" w:lineRule="auto"/>
              <w:jc w:val="left"/>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安排2名专业技术人员进行巡检，每年开展十次，技术人员须到雷达站开展月维护。维护内容包括检查并清洁发射机通风滤网灰尘，清洁空调和除湿系统滤尘网，发电机运行检查，UPS充放电维护（3个月维护1次）和查看避雷针工作情况等，并</w:t>
            </w:r>
            <w:r>
              <w:rPr>
                <w:rFonts w:hint="eastAsia" w:cs="宋体"/>
                <w:color w:val="000000" w:themeColor="text1"/>
                <w:sz w:val="24"/>
                <w:szCs w:val="24"/>
                <w:lang w:eastAsia="zh-CN"/>
                <w14:textFill>
                  <w14:solidFill>
                    <w14:schemeClr w14:val="tx1"/>
                  </w14:solidFill>
                </w14:textFill>
              </w:rPr>
              <w:t>进行雷达标校及</w:t>
            </w:r>
            <w:r>
              <w:rPr>
                <w:rFonts w:cs="宋体"/>
                <w:color w:val="000000" w:themeColor="text1"/>
                <w:sz w:val="24"/>
                <w:szCs w:val="24"/>
                <w14:textFill>
                  <w14:solidFill>
                    <w14:schemeClr w14:val="tx1"/>
                  </w14:solidFill>
                </w14:textFill>
              </w:rPr>
              <w:t>出具月巡检报告。</w:t>
            </w:r>
          </w:p>
        </w:tc>
      </w:tr>
      <w:tr w14:paraId="2B65E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43B8FD03">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2</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2ACF3EB2">
            <w:pPr>
              <w:pStyle w:val="86"/>
              <w:spacing w:line="360" w:lineRule="auto"/>
              <w:rPr>
                <w:rFonts w:cs="宋体"/>
                <w:color w:val="000000" w:themeColor="text1"/>
                <w:kern w:val="2"/>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讯前巡检</w:t>
            </w:r>
            <w:r>
              <w:rPr>
                <w:rFonts w:hint="eastAsia" w:cs="宋体"/>
                <w:color w:val="000000" w:themeColor="text1"/>
                <w:sz w:val="24"/>
                <w:szCs w:val="24"/>
                <w:lang w:eastAsia="zh-CN"/>
                <w14:textFill>
                  <w14:solidFill>
                    <w14:schemeClr w14:val="tx1"/>
                  </w14:solidFill>
                </w14:textFill>
              </w:rPr>
              <w:t>标</w:t>
            </w:r>
            <w:r>
              <w:rPr>
                <w:rFonts w:hint="eastAsia" w:cs="宋体"/>
                <w:color w:val="000000" w:themeColor="text1"/>
                <w:sz w:val="24"/>
                <w:szCs w:val="24"/>
                <w14:textFill>
                  <w14:solidFill>
                    <w14:schemeClr w14:val="tx1"/>
                  </w14:solidFill>
                </w14:textFill>
              </w:rPr>
              <w:t>校及汛期后年维护</w:t>
            </w:r>
            <w:r>
              <w:rPr>
                <w:rFonts w:hint="eastAsia" w:cs="宋体"/>
                <w:color w:val="000000" w:themeColor="text1"/>
                <w:sz w:val="24"/>
                <w:szCs w:val="24"/>
                <w:lang w:eastAsia="zh-CN"/>
                <w14:textFill>
                  <w14:solidFill>
                    <w14:schemeClr w14:val="tx1"/>
                  </w14:solidFill>
                </w14:textFill>
              </w:rPr>
              <w:t>标校</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6BA50E00">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2</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3616FFF3">
            <w:pPr>
              <w:pStyle w:val="86"/>
              <w:spacing w:line="360" w:lineRule="auto"/>
              <w:jc w:val="left"/>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安排3名专业技术人员进行巡检，每年汛期前和汛期结束后，技术人员须分别开展一次汛前巡检和年维护。维护内容包括检查天线座和天线罩单元，对天线罩内进行清洁维护；检查和维护天线及伺服各机械部件；检查绝缘子、接线板、空气开关、交流接触器等接线松紧，并清洁灰尘；测量/记录各分机主要测试点的波形/参数，拆洗、维护空调机、除湿系统、风机等；进行雷达标校。</w:t>
            </w:r>
          </w:p>
        </w:tc>
      </w:tr>
      <w:tr w14:paraId="63227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7E7A45EA">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3</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33D9122D">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软件系统、中心站维护</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299B1F0B">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sz w:val="24"/>
                <w:szCs w:val="24"/>
                <w14:textFill>
                  <w14:solidFill>
                    <w14:schemeClr w14:val="tx1"/>
                  </w14:solidFill>
                </w14:textFill>
              </w:rPr>
              <w:t>1</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3F02A28B">
            <w:pPr>
              <w:pStyle w:val="86"/>
              <w:spacing w:line="360" w:lineRule="auto"/>
              <w:jc w:val="left"/>
              <w:rPr>
                <w:rFonts w:cs="宋体"/>
                <w:color w:val="000000" w:themeColor="text1"/>
                <w:kern w:val="2"/>
                <w:sz w:val="24"/>
                <w:szCs w:val="24"/>
                <w:lang w:bidi="ar"/>
                <w14:textFill>
                  <w14:solidFill>
                    <w14:schemeClr w14:val="tx1"/>
                  </w14:solidFill>
                </w14:textFill>
              </w:rPr>
            </w:pPr>
            <w:r>
              <w:rPr>
                <w:rFonts w:cs="宋体"/>
                <w:color w:val="000000" w:themeColor="text1"/>
                <w:sz w:val="24"/>
                <w:szCs w:val="24"/>
                <w14:textFill>
                  <w14:solidFill>
                    <w14:schemeClr w14:val="tx1"/>
                  </w14:solidFill>
                </w14:textFill>
              </w:rPr>
              <w:t>1、系统软件产品优化完善。2、系统数据库运行检查与优化。3、数据质量跟踪并处理。4、案例分析。</w:t>
            </w:r>
          </w:p>
        </w:tc>
      </w:tr>
      <w:tr w14:paraId="1AA4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3BF53E06">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4</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4A593263">
            <w:pPr>
              <w:pStyle w:val="86"/>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防雷检测</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5AEEE15F">
            <w:pPr>
              <w:pStyle w:val="86"/>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1948D873">
            <w:pPr>
              <w:pStyle w:val="86"/>
              <w:rPr>
                <w:rFonts w:cs="宋体"/>
                <w:color w:val="000000" w:themeColor="text1"/>
                <w:sz w:val="24"/>
                <w:szCs w:val="24"/>
                <w14:textFill>
                  <w14:solidFill>
                    <w14:schemeClr w14:val="tx1"/>
                  </w14:solidFill>
                </w14:textFill>
              </w:rPr>
            </w:pPr>
            <w:r>
              <w:rPr>
                <w:rFonts w:hint="default" w:cs="宋体"/>
                <w:color w:val="000000" w:themeColor="text1"/>
                <w:sz w:val="24"/>
                <w:szCs w:val="24"/>
                <w14:textFill>
                  <w14:solidFill>
                    <w14:schemeClr w14:val="tx1"/>
                  </w14:solidFill>
                </w14:textFill>
              </w:rPr>
              <w:t>第三方检测单位对</w:t>
            </w:r>
            <w:r>
              <w:rPr>
                <w:rFonts w:hint="eastAsia" w:ascii="宋体" w:hAnsi="宋体" w:cs="宋体"/>
                <w:color w:val="000000" w:themeColor="text1"/>
                <w:sz w:val="24"/>
                <w:szCs w:val="24"/>
                <w:lang w:val="en-US" w:eastAsia="zh-CN"/>
                <w14:textFill>
                  <w14:solidFill>
                    <w14:schemeClr w14:val="tx1"/>
                  </w14:solidFill>
                </w14:textFill>
              </w:rPr>
              <w:t>雷达主机、塔体、变压器及塔上机房内设备等</w:t>
            </w:r>
            <w:r>
              <w:rPr>
                <w:rFonts w:hint="default"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进行</w:t>
            </w:r>
            <w:r>
              <w:rPr>
                <w:rFonts w:hint="eastAsia" w:ascii="宋体" w:hAnsi="宋体" w:cs="宋体"/>
                <w:color w:val="000000" w:themeColor="text1"/>
                <w:sz w:val="24"/>
                <w:szCs w:val="24"/>
                <w:lang w:val="en-US" w:eastAsia="zh-CN"/>
                <w14:textFill>
                  <w14:solidFill>
                    <w14:schemeClr w14:val="tx1"/>
                  </w14:solidFill>
                </w14:textFill>
              </w:rPr>
              <w:t>防雷</w:t>
            </w:r>
            <w:r>
              <w:rPr>
                <w:rFonts w:ascii="宋体" w:hAnsi="宋体" w:cs="宋体"/>
                <w:color w:val="000000" w:themeColor="text1"/>
                <w:sz w:val="24"/>
                <w:szCs w:val="24"/>
                <w14:textFill>
                  <w14:solidFill>
                    <w14:schemeClr w14:val="tx1"/>
                  </w14:solidFill>
                </w14:textFill>
              </w:rPr>
              <w:t>检测</w:t>
            </w:r>
            <w:r>
              <w:rPr>
                <w:rFonts w:hint="eastAsia" w:ascii="宋体" w:hAnsi="宋体" w:cs="宋体"/>
                <w:color w:val="000000" w:themeColor="text1"/>
                <w:sz w:val="24"/>
                <w14:textFill>
                  <w14:solidFill>
                    <w14:schemeClr w14:val="tx1"/>
                  </w14:solidFill>
                </w14:textFill>
              </w:rPr>
              <w:t>，出具相关检测报告</w:t>
            </w:r>
          </w:p>
        </w:tc>
      </w:tr>
      <w:tr w14:paraId="06EDD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85" w:type="dxa"/>
            <w:tcBorders>
              <w:top w:val="single" w:color="auto" w:sz="4" w:space="0"/>
              <w:left w:val="single" w:color="auto" w:sz="4" w:space="0"/>
              <w:bottom w:val="single" w:color="auto" w:sz="4" w:space="0"/>
              <w:right w:val="single" w:color="auto" w:sz="4" w:space="0"/>
            </w:tcBorders>
            <w:shd w:val="clear" w:color="auto" w:fill="auto"/>
            <w:vAlign w:val="center"/>
          </w:tcPr>
          <w:p w14:paraId="30E6111B">
            <w:pPr>
              <w:pStyle w:val="86"/>
              <w:spacing w:line="360" w:lineRule="auto"/>
              <w:rPr>
                <w:rFonts w:cs="宋体"/>
                <w:color w:val="000000" w:themeColor="text1"/>
                <w:kern w:val="2"/>
                <w:sz w:val="24"/>
                <w:szCs w:val="24"/>
                <w14:textFill>
                  <w14:solidFill>
                    <w14:schemeClr w14:val="tx1"/>
                  </w14:solidFill>
                </w14:textFill>
              </w:rPr>
            </w:pPr>
            <w:r>
              <w:rPr>
                <w:rFonts w:cs="宋体"/>
                <w:color w:val="000000" w:themeColor="text1"/>
                <w:kern w:val="2"/>
                <w:sz w:val="24"/>
                <w:szCs w:val="24"/>
                <w14:textFill>
                  <w14:solidFill>
                    <w14:schemeClr w14:val="tx1"/>
                  </w14:solidFill>
                </w14:textFill>
              </w:rPr>
              <w:t>5</w:t>
            </w:r>
          </w:p>
        </w:tc>
        <w:tc>
          <w:tcPr>
            <w:tcW w:w="1573" w:type="dxa"/>
            <w:tcBorders>
              <w:top w:val="single" w:color="auto" w:sz="4" w:space="0"/>
              <w:left w:val="single" w:color="auto" w:sz="4" w:space="0"/>
              <w:bottom w:val="single" w:color="auto" w:sz="4" w:space="0"/>
              <w:right w:val="single" w:color="auto" w:sz="4" w:space="0"/>
            </w:tcBorders>
            <w:shd w:val="clear" w:color="auto" w:fill="auto"/>
            <w:vAlign w:val="center"/>
          </w:tcPr>
          <w:p w14:paraId="052AFA26">
            <w:pPr>
              <w:pStyle w:val="86"/>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铁塔检测</w:t>
            </w:r>
          </w:p>
        </w:tc>
        <w:tc>
          <w:tcPr>
            <w:tcW w:w="787" w:type="dxa"/>
            <w:tcBorders>
              <w:top w:val="single" w:color="auto" w:sz="4" w:space="0"/>
              <w:left w:val="single" w:color="auto" w:sz="4" w:space="0"/>
              <w:bottom w:val="single" w:color="auto" w:sz="4" w:space="0"/>
              <w:right w:val="single" w:color="auto" w:sz="4" w:space="0"/>
            </w:tcBorders>
            <w:shd w:val="clear" w:color="auto" w:fill="auto"/>
            <w:vAlign w:val="center"/>
          </w:tcPr>
          <w:p w14:paraId="5CCB4644">
            <w:pPr>
              <w:pStyle w:val="86"/>
              <w:rPr>
                <w:rFonts w:cs="宋体"/>
                <w:color w:val="000000" w:themeColor="text1"/>
                <w:sz w:val="24"/>
                <w:szCs w:val="24"/>
                <w14:textFill>
                  <w14:solidFill>
                    <w14:schemeClr w14:val="tx1"/>
                  </w14:solidFill>
                </w14:textFill>
              </w:rPr>
            </w:pPr>
            <w:r>
              <w:rPr>
                <w:rFonts w:cs="宋体"/>
                <w:color w:val="000000" w:themeColor="text1"/>
                <w:szCs w:val="24"/>
                <w14:textFill>
                  <w14:solidFill>
                    <w14:schemeClr w14:val="tx1"/>
                  </w14:solidFill>
                </w14:textFill>
              </w:rPr>
              <w:t>1</w:t>
            </w:r>
          </w:p>
        </w:tc>
        <w:tc>
          <w:tcPr>
            <w:tcW w:w="6619" w:type="dxa"/>
            <w:tcBorders>
              <w:top w:val="single" w:color="auto" w:sz="4" w:space="0"/>
              <w:left w:val="single" w:color="auto" w:sz="4" w:space="0"/>
              <w:bottom w:val="single" w:color="auto" w:sz="4" w:space="0"/>
              <w:right w:val="single" w:color="auto" w:sz="4" w:space="0"/>
            </w:tcBorders>
            <w:shd w:val="clear" w:color="auto" w:fill="auto"/>
            <w:vAlign w:val="center"/>
          </w:tcPr>
          <w:p w14:paraId="7D537CF6">
            <w:pPr>
              <w:pStyle w:val="86"/>
              <w:rPr>
                <w:rFonts w:cs="宋体"/>
                <w:color w:val="000000" w:themeColor="text1"/>
                <w:sz w:val="24"/>
                <w:szCs w:val="24"/>
                <w14:textFill>
                  <w14:solidFill>
                    <w14:schemeClr w14:val="tx1"/>
                  </w14:solidFill>
                </w14:textFill>
              </w:rPr>
            </w:pPr>
            <w:r>
              <w:rPr>
                <w:rFonts w:hint="default" w:cs="宋体"/>
                <w:color w:val="000000" w:themeColor="text1"/>
                <w:sz w:val="24"/>
                <w:szCs w:val="24"/>
                <w14:textFill>
                  <w14:solidFill>
                    <w14:schemeClr w14:val="tx1"/>
                  </w14:solidFill>
                </w14:textFill>
              </w:rPr>
              <w:t>第三方检测单位对</w:t>
            </w:r>
            <w:r>
              <w:rPr>
                <w:rFonts w:cs="宋体"/>
                <w:color w:val="000000" w:themeColor="text1"/>
                <w:sz w:val="24"/>
                <w:szCs w:val="24"/>
                <w14:textFill>
                  <w14:solidFill>
                    <w14:schemeClr w14:val="tx1"/>
                  </w14:solidFill>
                </w14:textFill>
              </w:rPr>
              <w:t>铁塔</w:t>
            </w:r>
            <w:r>
              <w:rPr>
                <w:rFonts w:hint="default" w:cs="宋体"/>
                <w:color w:val="000000" w:themeColor="text1"/>
                <w:sz w:val="24"/>
                <w:szCs w:val="24"/>
                <w14:textFill>
                  <w14:solidFill>
                    <w14:schemeClr w14:val="tx1"/>
                  </w14:solidFill>
                </w14:textFill>
              </w:rPr>
              <w:t>进行检测，并且出具第三方检测报告。</w:t>
            </w:r>
          </w:p>
        </w:tc>
      </w:tr>
    </w:tbl>
    <w:p w14:paraId="6D4C38A2">
      <w:pPr>
        <w:pStyle w:val="3"/>
        <w:spacing w:line="360" w:lineRule="auto"/>
        <w:rPr>
          <w:rFonts w:hint="eastAsia" w:hAnsi="宋体" w:eastAsia="宋体"/>
          <w:color w:val="000000" w:themeColor="text1"/>
          <w:sz w:val="24"/>
          <w:szCs w:val="24"/>
          <w:lang w:eastAsia="zh-CN"/>
          <w14:textFill>
            <w14:solidFill>
              <w14:schemeClr w14:val="tx1"/>
            </w14:solidFill>
          </w14:textFill>
        </w:rPr>
      </w:pPr>
      <w:r>
        <w:rPr>
          <w:rFonts w:hint="eastAsia" w:hAnsi="宋体"/>
          <w:color w:val="000000" w:themeColor="text1"/>
          <w:sz w:val="24"/>
          <w:szCs w:val="24"/>
          <w14:textFill>
            <w14:solidFill>
              <w14:schemeClr w14:val="tx1"/>
            </w14:solidFill>
          </w14:textFill>
        </w:rPr>
        <w:t>5.1月巡查</w:t>
      </w:r>
      <w:r>
        <w:rPr>
          <w:rFonts w:hint="eastAsia" w:hAnsi="宋体"/>
          <w:color w:val="000000" w:themeColor="text1"/>
          <w:sz w:val="24"/>
          <w:szCs w:val="24"/>
          <w:lang w:eastAsia="zh-CN"/>
          <w14:textFill>
            <w14:solidFill>
              <w14:schemeClr w14:val="tx1"/>
            </w14:solidFill>
          </w14:textFill>
        </w:rPr>
        <w:t>标校</w:t>
      </w:r>
    </w:p>
    <w:p w14:paraId="20258A27">
      <w:pPr>
        <w:spacing w:line="360" w:lineRule="auto"/>
        <w:ind w:firstLine="480" w:firstLineChars="200"/>
        <w:rPr>
          <w:rFonts w:hint="eastAsia" w:ascii="宋体" w:hAnsi="宋体" w:cs="宋体"/>
          <w:bCs/>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维护期内，每年开展十次，技术人员须到雷达站开展月维护</w:t>
      </w:r>
      <w:r>
        <w:rPr>
          <w:rFonts w:hint="eastAsia" w:ascii="宋体" w:hAnsi="宋体" w:cs="宋体"/>
          <w:color w:val="000000" w:themeColor="text1"/>
          <w:sz w:val="24"/>
          <w:szCs w:val="24"/>
          <w:lang w:eastAsia="zh-CN"/>
          <w14:textFill>
            <w14:solidFill>
              <w14:schemeClr w14:val="tx1"/>
            </w14:solidFill>
          </w14:textFill>
        </w:rPr>
        <w:t>标校</w:t>
      </w:r>
      <w:r>
        <w:rPr>
          <w:rFonts w:hint="eastAsia" w:ascii="宋体" w:hAnsi="宋体" w:cs="宋体"/>
          <w:color w:val="000000" w:themeColor="text1"/>
          <w:sz w:val="24"/>
          <w:szCs w:val="24"/>
          <w14:textFill>
            <w14:solidFill>
              <w14:schemeClr w14:val="tx1"/>
            </w14:solidFill>
          </w14:textFill>
        </w:rPr>
        <w:t>。维护内容包括检查并清洁发射机通风滤网灰尘，清洁空调和除湿系统滤尘网，发电机运行检查，UPS充放电维护（3个月维护1次）和查看避雷针工作情况等</w:t>
      </w:r>
      <w:r>
        <w:rPr>
          <w:rFonts w:hint="eastAsia" w:ascii="宋体" w:hAnsi="宋体" w:cs="宋体"/>
          <w:color w:val="000000" w:themeColor="text1"/>
          <w:sz w:val="24"/>
          <w:szCs w:val="24"/>
          <w:lang w:eastAsia="zh-CN"/>
          <w14:textFill>
            <w14:solidFill>
              <w14:schemeClr w14:val="tx1"/>
            </w14:solidFill>
          </w14:textFill>
        </w:rPr>
        <w:t>，并进行雷达标校及出具月巡检报告。</w:t>
      </w:r>
    </w:p>
    <w:p w14:paraId="5B31B1D7">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5.2</w:t>
      </w:r>
      <w:r>
        <w:rPr>
          <w:rFonts w:hint="eastAsia" w:cs="宋体"/>
          <w:color w:val="000000" w:themeColor="text1"/>
          <w:sz w:val="24"/>
          <w:szCs w:val="24"/>
          <w14:textFill>
            <w14:solidFill>
              <w14:schemeClr w14:val="tx1"/>
            </w14:solidFill>
          </w14:textFill>
        </w:rPr>
        <w:t>讯前巡检</w:t>
      </w:r>
      <w:r>
        <w:rPr>
          <w:rFonts w:hint="eastAsia" w:cs="宋体"/>
          <w:color w:val="000000" w:themeColor="text1"/>
          <w:sz w:val="24"/>
          <w:szCs w:val="24"/>
          <w:lang w:eastAsia="zh-CN"/>
          <w14:textFill>
            <w14:solidFill>
              <w14:schemeClr w14:val="tx1"/>
            </w14:solidFill>
          </w14:textFill>
        </w:rPr>
        <w:t>标</w:t>
      </w:r>
      <w:r>
        <w:rPr>
          <w:rFonts w:hint="eastAsia" w:cs="宋体"/>
          <w:color w:val="000000" w:themeColor="text1"/>
          <w:sz w:val="24"/>
          <w:szCs w:val="24"/>
          <w14:textFill>
            <w14:solidFill>
              <w14:schemeClr w14:val="tx1"/>
            </w14:solidFill>
          </w14:textFill>
        </w:rPr>
        <w:t>校及汛期后年维护</w:t>
      </w:r>
      <w:r>
        <w:rPr>
          <w:rFonts w:hint="eastAsia" w:cs="宋体"/>
          <w:color w:val="000000" w:themeColor="text1"/>
          <w:sz w:val="24"/>
          <w:szCs w:val="24"/>
          <w:lang w:eastAsia="zh-CN"/>
          <w14:textFill>
            <w14:solidFill>
              <w14:schemeClr w14:val="tx1"/>
            </w14:solidFill>
          </w14:textFill>
        </w:rPr>
        <w:t>标校</w:t>
      </w:r>
    </w:p>
    <w:p w14:paraId="1C805D60">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安排3名专业技术人员进行巡检，每年汛期前和汛期结束后，技术人员须分别开展一次汛前巡检和年维护。维护内容包括检查天线座和天线罩单元，对天线罩内进行清洁维护；检查和维护天线及伺服各机械部件；检查绝缘子、接线板、空气开关、交流接触器等接线松紧，并清洁灰尘；测量/记录各分机主要测试点的波形/参数，拆洗、维护空调机、除湿系统、风机等；进行雷达标校。</w:t>
      </w:r>
    </w:p>
    <w:p w14:paraId="038ADE4E">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5.3软件系统、中心站维护</w:t>
      </w:r>
    </w:p>
    <w:p w14:paraId="017F132F">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维护期内对软件系统和中心站服务器进行维护，维护内容包括：</w:t>
      </w:r>
    </w:p>
    <w:p w14:paraId="030F9213">
      <w:pPr>
        <w:pStyle w:val="6"/>
        <w:numPr>
          <w:ilvl w:val="0"/>
          <w:numId w:val="0"/>
        </w:numPr>
        <w:spacing w:line="360" w:lineRule="auto"/>
        <w:ind w:firstLine="241" w:firstLineChars="1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5.3.1中心站服务器维护</w:t>
      </w:r>
    </w:p>
    <w:p w14:paraId="07638586">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5.3.1.1 存储服务器维护</w:t>
      </w:r>
    </w:p>
    <w:p w14:paraId="10062183">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定期检查存储服务器的空间剩余量和节点剩余量；检查历史降水数据的转移和备份是否正常。</w:t>
      </w:r>
    </w:p>
    <w:p w14:paraId="56404FCA">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5.3.1.2 业务服务器维护</w:t>
      </w:r>
    </w:p>
    <w:p w14:paraId="7C41D7C3">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检查分布式任务运行状态，查看是否均正常运行；服务器资源检查，包括CPU、内存、带宽负载等的使用状况，查看是否有CPU和内存占用过高等异常情况；安装安全软件对服务器的文件进行安全扫描，定期杀毒；系统补丁更新，修复漏洞。</w:t>
      </w:r>
    </w:p>
    <w:p w14:paraId="04FF5CD0">
      <w:pPr>
        <w:pStyle w:val="6"/>
        <w:numPr>
          <w:ilvl w:val="0"/>
          <w:numId w:val="0"/>
        </w:numPr>
        <w:spacing w:line="360" w:lineRule="auto"/>
        <w:ind w:firstLine="241" w:firstLineChars="1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5.3.2雷达软件平台维护</w:t>
      </w:r>
    </w:p>
    <w:p w14:paraId="53984C89">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5.3.2.1软件平台功能性检查和BUG检查</w:t>
      </w:r>
    </w:p>
    <w:p w14:paraId="14BD0DB9">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对软件平台各功能项进行每日检查，确认各功能正常运行及显示，并且对系统出现的缺陷和问题进行详细登记，根据缺陷问题的严重程度按照采购人的要求进行修复。</w:t>
      </w:r>
    </w:p>
    <w:p w14:paraId="33C41F8A">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5.3.2.2 软件平台系统升级和更新</w:t>
      </w:r>
    </w:p>
    <w:p w14:paraId="05FAC6DB">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对软件系统进行升级更新和优化，确认软件正常工作，在升级前先向采购人进行汇报，并提供升级会产生的影响进行明确说明，得到采购人同意后再进行升级更新和优化。</w:t>
      </w:r>
    </w:p>
    <w:p w14:paraId="00AB6B3F">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5.3.2.3 软件平台网络安全维护</w:t>
      </w:r>
    </w:p>
    <w:p w14:paraId="4B3DFF64">
      <w:pPr>
        <w:pStyle w:val="20"/>
        <w:spacing w:line="360" w:lineRule="auto"/>
        <w:ind w:left="0" w:leftChars="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对操作系统、数据库和应用程序等软件进行及时的补丁更新和漏洞修复，防止安全漏洞被攻击者利用。建立完善的访问控制机制，限制未经授权的用户对系统资源的访问。对系统日志进行定期检查和分析，及时发现和处理异常行为，确保系统的运行安全。</w:t>
      </w:r>
    </w:p>
    <w:p w14:paraId="247B7F50">
      <w:pPr>
        <w:pStyle w:val="3"/>
        <w:rPr>
          <w:color w:val="000000" w:themeColor="text1"/>
          <w14:textFill>
            <w14:solidFill>
              <w14:schemeClr w14:val="tx1"/>
            </w14:solidFill>
          </w14:textFill>
        </w:rPr>
      </w:pPr>
      <w:r>
        <w:rPr>
          <w:rFonts w:hint="eastAsia"/>
          <w:color w:val="000000" w:themeColor="text1"/>
          <w14:textFill>
            <w14:solidFill>
              <w14:schemeClr w14:val="tx1"/>
            </w14:solidFill>
          </w14:textFill>
        </w:rPr>
        <w:t>5.4</w:t>
      </w:r>
      <w:r>
        <w:rPr>
          <w:rFonts w:hint="eastAsia"/>
          <w:color w:val="000000" w:themeColor="text1"/>
          <w:highlight w:val="none"/>
          <w14:textFill>
            <w14:solidFill>
              <w14:schemeClr w14:val="tx1"/>
            </w14:solidFill>
          </w14:textFill>
        </w:rPr>
        <w:t>防雷检测维护</w:t>
      </w:r>
    </w:p>
    <w:p w14:paraId="30CFF927">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5.4.1防雷设施维护</w:t>
      </w:r>
    </w:p>
    <w:p w14:paraId="359625E2">
      <w:pPr>
        <w:pStyle w:val="6"/>
        <w:numPr>
          <w:ilvl w:val="0"/>
          <w:numId w:val="0"/>
        </w:numPr>
        <w:spacing w:line="360" w:lineRule="auto"/>
        <w:ind w:firstLine="723" w:firstLineChars="3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4</w:t>
      </w: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1</w:t>
      </w:r>
      <w:r>
        <w:rPr>
          <w:rFonts w:hAnsi="宋体"/>
          <w:color w:val="000000" w:themeColor="text1"/>
          <w:sz w:val="24"/>
          <w:szCs w:val="24"/>
          <w14:textFill>
            <w14:solidFill>
              <w14:schemeClr w14:val="tx1"/>
            </w14:solidFill>
          </w14:textFill>
        </w:rPr>
        <w:t>避雷针和接闪器的维护</w:t>
      </w:r>
    </w:p>
    <w:p w14:paraId="5C382B56">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定期检查避雷针和接闪器是否有损坏、锈蚀等现象，并及时进行修复或更换。</w:t>
      </w:r>
    </w:p>
    <w:p w14:paraId="71E37315">
      <w:pPr>
        <w:pStyle w:val="6"/>
        <w:numPr>
          <w:ilvl w:val="0"/>
          <w:numId w:val="0"/>
        </w:numPr>
        <w:spacing w:line="360" w:lineRule="auto"/>
        <w:ind w:firstLine="723" w:firstLineChars="3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4.1.2</w:t>
      </w:r>
      <w:r>
        <w:rPr>
          <w:rFonts w:hAnsi="宋体"/>
          <w:color w:val="000000" w:themeColor="text1"/>
          <w:sz w:val="24"/>
          <w:szCs w:val="24"/>
          <w14:textFill>
            <w14:solidFill>
              <w14:schemeClr w14:val="tx1"/>
            </w14:solidFill>
          </w14:textFill>
        </w:rPr>
        <w:t>引下线的维护</w:t>
      </w:r>
    </w:p>
    <w:p w14:paraId="3DC2DB99">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定期检查引下线的连接情况，确保其电气连续性良好。</w:t>
      </w:r>
    </w:p>
    <w:p w14:paraId="776F56DE">
      <w:pPr>
        <w:pStyle w:val="6"/>
        <w:numPr>
          <w:ilvl w:val="0"/>
          <w:numId w:val="0"/>
        </w:numPr>
        <w:spacing w:line="360" w:lineRule="auto"/>
        <w:ind w:firstLine="723" w:firstLineChars="3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4</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1</w:t>
      </w:r>
      <w:r>
        <w:rPr>
          <w:rFonts w:hAnsi="宋体"/>
          <w:color w:val="000000" w:themeColor="text1"/>
          <w:sz w:val="24"/>
          <w:szCs w:val="24"/>
          <w14:textFill>
            <w14:solidFill>
              <w14:schemeClr w14:val="tx1"/>
            </w14:solidFill>
          </w14:textFill>
        </w:rPr>
        <w:t>.</w:t>
      </w:r>
      <w:r>
        <w:rPr>
          <w:rFonts w:hint="eastAsia" w:hAnsi="宋体"/>
          <w:color w:val="000000" w:themeColor="text1"/>
          <w:sz w:val="24"/>
          <w:szCs w:val="24"/>
          <w14:textFill>
            <w14:solidFill>
              <w14:schemeClr w14:val="tx1"/>
            </w14:solidFill>
          </w14:textFill>
        </w:rPr>
        <w:t>3</w:t>
      </w:r>
      <w:r>
        <w:rPr>
          <w:rFonts w:hAnsi="宋体"/>
          <w:color w:val="000000" w:themeColor="text1"/>
          <w:sz w:val="24"/>
          <w:szCs w:val="24"/>
          <w14:textFill>
            <w14:solidFill>
              <w14:schemeClr w14:val="tx1"/>
            </w14:solidFill>
          </w14:textFill>
        </w:rPr>
        <w:t>接地装置的维护</w:t>
      </w:r>
    </w:p>
    <w:p w14:paraId="05647E22">
      <w:pPr>
        <w:spacing w:line="360" w:lineRule="auto"/>
        <w:ind w:firstLine="720" w:firstLineChars="300"/>
        <w:rPr>
          <w:rFonts w:hint="eastAsia"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定期检查接地装置的完好性，如有必要，应及时修复或更换损坏的接地设施。</w:t>
      </w:r>
    </w:p>
    <w:p w14:paraId="7B479F03">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5.4.2</w:t>
      </w:r>
      <w:r>
        <w:rPr>
          <w:rFonts w:hAnsi="宋体"/>
          <w:color w:val="000000" w:themeColor="text1"/>
          <w:sz w:val="24"/>
          <w:szCs w:val="24"/>
          <w14:textFill>
            <w14:solidFill>
              <w14:schemeClr w14:val="tx1"/>
            </w14:solidFill>
          </w14:textFill>
        </w:rPr>
        <w:t>铁塔防雷设施的定期检查</w:t>
      </w:r>
    </w:p>
    <w:p w14:paraId="05AC2CEE">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除了上述防雷设施的检测和维护外，还需要定期对铁塔的防雷设施进行检查，包括铁塔的接地电阻、铁塔与机房地网的连接情况等，以确保铁塔的防雷性能良好。</w:t>
      </w:r>
    </w:p>
    <w:p w14:paraId="39445D3C">
      <w:pPr>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总结来说，相控阵雷达铁塔的防雷检测维护内容涵盖了防雷设施的检测、维护以及铁塔防雷设施的定期检查等多个方面。通过这些措施的实施，可以有效提高雷达铁塔的防雷性能，保障雷达系统的正常运行。</w:t>
      </w:r>
    </w:p>
    <w:p w14:paraId="0EB9982C">
      <w:pPr>
        <w:pStyle w:val="6"/>
        <w:numPr>
          <w:ilvl w:val="0"/>
          <w:numId w:val="0"/>
        </w:numPr>
        <w:spacing w:line="360" w:lineRule="auto"/>
        <w:ind w:firstLine="482" w:firstLineChars="200"/>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5.4.3</w:t>
      </w:r>
      <w:r>
        <w:rPr>
          <w:rFonts w:hAnsi="宋体"/>
          <w:color w:val="000000" w:themeColor="text1"/>
          <w:sz w:val="24"/>
          <w:szCs w:val="24"/>
          <w14:textFill>
            <w14:solidFill>
              <w14:schemeClr w14:val="tx1"/>
            </w14:solidFill>
          </w14:textFill>
        </w:rPr>
        <w:t>防雷报告</w:t>
      </w:r>
    </w:p>
    <w:p w14:paraId="5983007A">
      <w:pPr>
        <w:spacing w:line="360" w:lineRule="auto"/>
        <w:ind w:firstLine="480" w:firstLineChars="200"/>
        <w:rPr>
          <w:rFonts w:hint="default" w:cs="宋体"/>
          <w:color w:val="000000" w:themeColor="text1"/>
          <w:sz w:val="24"/>
          <w:szCs w:val="24"/>
          <w14:textFill>
            <w14:solidFill>
              <w14:schemeClr w14:val="tx1"/>
            </w14:solidFill>
          </w14:textFill>
        </w:rPr>
      </w:pPr>
      <w:r>
        <w:rPr>
          <w:rFonts w:hint="default" w:cs="宋体"/>
          <w:color w:val="000000" w:themeColor="text1"/>
          <w:sz w:val="24"/>
          <w:szCs w:val="24"/>
          <w14:textFill>
            <w14:solidFill>
              <w14:schemeClr w14:val="tx1"/>
            </w14:solidFill>
          </w14:textFill>
        </w:rPr>
        <w:t>第三方检测单位对</w:t>
      </w:r>
      <w:r>
        <w:rPr>
          <w:rFonts w:hint="eastAsia" w:ascii="宋体" w:hAnsi="宋体" w:cs="宋体"/>
          <w:color w:val="000000" w:themeColor="text1"/>
          <w:sz w:val="24"/>
          <w:szCs w:val="24"/>
          <w:lang w:val="en-US" w:eastAsia="zh-CN"/>
          <w14:textFill>
            <w14:solidFill>
              <w14:schemeClr w14:val="tx1"/>
            </w14:solidFill>
          </w14:textFill>
        </w:rPr>
        <w:t>雷达主机、塔体、变压器及塔上机房内设备等</w:t>
      </w:r>
      <w:r>
        <w:rPr>
          <w:rFonts w:hint="default"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进行</w:t>
      </w:r>
      <w:r>
        <w:rPr>
          <w:rFonts w:hint="eastAsia" w:ascii="宋体" w:hAnsi="宋体" w:cs="宋体"/>
          <w:color w:val="000000" w:themeColor="text1"/>
          <w:sz w:val="24"/>
          <w:szCs w:val="24"/>
          <w:lang w:val="en-US" w:eastAsia="zh-CN"/>
          <w14:textFill>
            <w14:solidFill>
              <w14:schemeClr w14:val="tx1"/>
            </w14:solidFill>
          </w14:textFill>
        </w:rPr>
        <w:t>防雷</w:t>
      </w:r>
      <w:r>
        <w:rPr>
          <w:rFonts w:ascii="宋体" w:hAnsi="宋体" w:cs="宋体"/>
          <w:color w:val="000000" w:themeColor="text1"/>
          <w:sz w:val="24"/>
          <w:szCs w:val="24"/>
          <w14:textFill>
            <w14:solidFill>
              <w14:schemeClr w14:val="tx1"/>
            </w14:solidFill>
          </w14:textFill>
        </w:rPr>
        <w:t>检测</w:t>
      </w:r>
      <w:r>
        <w:rPr>
          <w:rFonts w:hint="eastAsia" w:ascii="宋体" w:hAnsi="宋体" w:cs="宋体"/>
          <w:color w:val="000000" w:themeColor="text1"/>
          <w:sz w:val="24"/>
          <w14:textFill>
            <w14:solidFill>
              <w14:schemeClr w14:val="tx1"/>
            </w14:solidFill>
          </w14:textFill>
        </w:rPr>
        <w:t>，出具相关检测报告</w:t>
      </w:r>
      <w:r>
        <w:rPr>
          <w:rFonts w:hint="default" w:cs="宋体"/>
          <w:color w:val="000000" w:themeColor="text1"/>
          <w:sz w:val="24"/>
          <w:szCs w:val="24"/>
          <w14:textFill>
            <w14:solidFill>
              <w14:schemeClr w14:val="tx1"/>
            </w14:solidFill>
          </w14:textFill>
        </w:rPr>
        <w:t>。</w:t>
      </w:r>
    </w:p>
    <w:p w14:paraId="4CB44635">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6.运维流程</w:t>
      </w:r>
    </w:p>
    <w:p w14:paraId="3AF64FDF">
      <w:pPr>
        <w:pStyle w:val="3"/>
        <w:keepLines/>
        <w:autoSpaceDE w:val="0"/>
        <w:adjustRightInd w:val="0"/>
        <w:spacing w:line="360" w:lineRule="auto"/>
        <w:ind w:left="21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6.1制定运维计划</w:t>
      </w:r>
    </w:p>
    <w:p w14:paraId="1663038B">
      <w:pPr>
        <w:adjustRightInd w:val="0"/>
        <w:spacing w:line="360" w:lineRule="auto"/>
        <w:ind w:left="228" w:leftChars="114" w:firstLine="240" w:firstLineChars="100"/>
        <w:rPr>
          <w:rFonts w:hint="eastAsia" w:ascii="宋体" w:hAnsi="宋体" w:cs="宋体"/>
          <w:b/>
          <w:bCs/>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根据雷达设备的实际情况，制定详细的运维计划，包括巡检周期、维护内容等。</w:t>
      </w:r>
      <w:r>
        <w:rPr>
          <w:rFonts w:hint="eastAsia" w:ascii="宋体" w:hAnsi="宋体" w:cs="宋体"/>
          <w:b/>
          <w:bCs/>
          <w:color w:val="000000" w:themeColor="text1"/>
          <w:kern w:val="2"/>
          <w:sz w:val="24"/>
          <w:szCs w:val="24"/>
          <w:lang w:bidi="ar"/>
          <w14:textFill>
            <w14:solidFill>
              <w14:schemeClr w14:val="tx1"/>
            </w14:solidFill>
          </w14:textFill>
        </w:rPr>
        <w:t>6.2.</w:t>
      </w:r>
      <w:r>
        <w:rPr>
          <w:rFonts w:hint="eastAsia" w:ascii="宋体" w:hAnsi="宋体" w:cs="宋体"/>
          <w:b/>
          <w:bCs/>
          <w:color w:val="000000" w:themeColor="text1"/>
          <w:kern w:val="2"/>
          <w:sz w:val="24"/>
          <w:szCs w:val="24"/>
          <w14:textFill>
            <w14:solidFill>
              <w14:schemeClr w14:val="tx1"/>
            </w14:solidFill>
          </w14:textFill>
        </w:rPr>
        <w:t>执行运维任务</w:t>
      </w:r>
    </w:p>
    <w:p w14:paraId="6F8BA3B1">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按照运维计划，定期对气象雷达设备进行巡检、维护等任务。</w:t>
      </w:r>
    </w:p>
    <w:p w14:paraId="5B139FFB">
      <w:pPr>
        <w:pStyle w:val="3"/>
        <w:keepLines/>
        <w:autoSpaceDE w:val="0"/>
        <w:adjustRightInd w:val="0"/>
        <w:spacing w:line="360" w:lineRule="auto"/>
        <w:ind w:firstLine="241" w:firstLineChars="10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6.3故障处理</w:t>
      </w:r>
    </w:p>
    <w:p w14:paraId="1AED4291">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当设备出现故障时，10分钟内响应，3小时内排除故障，如因市电、通信等外部原因导致的故障，协助电力、移动通讯等单位开展故障排除工作，确保设备尽快恢复正常运行。</w:t>
      </w:r>
    </w:p>
    <w:p w14:paraId="1B1F7B1C">
      <w:pPr>
        <w:pStyle w:val="3"/>
        <w:keepLines/>
        <w:autoSpaceDE w:val="0"/>
        <w:adjustRightInd w:val="0"/>
        <w:spacing w:line="360" w:lineRule="auto"/>
        <w:ind w:firstLine="241" w:firstLineChars="10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6.4数据质量监控</w:t>
      </w:r>
    </w:p>
    <w:p w14:paraId="21C2B11F">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对气象雷达数据进行质量监控，及时发现并处理数据异常。</w:t>
      </w:r>
    </w:p>
    <w:p w14:paraId="4511C4D5">
      <w:pPr>
        <w:pStyle w:val="3"/>
        <w:keepLines/>
        <w:autoSpaceDE w:val="0"/>
        <w:adjustRightInd w:val="0"/>
        <w:spacing w:line="360" w:lineRule="auto"/>
        <w:ind w:firstLine="241" w:firstLineChars="100"/>
        <w:rPr>
          <w:rFonts w:hint="eastAsia" w:hAnsi="宋体"/>
          <w:color w:val="000000" w:themeColor="text1"/>
          <w:kern w:val="2"/>
          <w:sz w:val="24"/>
          <w:szCs w:val="24"/>
          <w14:textFill>
            <w14:solidFill>
              <w14:schemeClr w14:val="tx1"/>
            </w14:solidFill>
          </w14:textFill>
        </w:rPr>
      </w:pPr>
      <w:r>
        <w:rPr>
          <w:rFonts w:hint="eastAsia" w:hAnsi="宋体"/>
          <w:color w:val="000000" w:themeColor="text1"/>
          <w:kern w:val="2"/>
          <w:sz w:val="24"/>
          <w:szCs w:val="24"/>
          <w14:textFill>
            <w14:solidFill>
              <w14:schemeClr w14:val="tx1"/>
            </w14:solidFill>
          </w14:textFill>
        </w:rPr>
        <w:t>6.5备份与恢复</w:t>
      </w:r>
    </w:p>
    <w:p w14:paraId="55B8FFA9">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对重要数据进行备份，并建立数据恢复机制。</w:t>
      </w:r>
    </w:p>
    <w:p w14:paraId="3534DFE5">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7.应急响应机制</w:t>
      </w:r>
    </w:p>
    <w:p w14:paraId="487E2470">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7.1应急预案制定：根据历史故障数据和可能的风险点，制定详细的应急预案，包括故障快速响应流程、备用设备替换计划等。</w:t>
      </w:r>
    </w:p>
    <w:p w14:paraId="2A48CB22">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7.2故障快速响应：在设备出现故障时，按照应急预案迅速启动应急响应机制，确保设备尽快恢复正常工作。</w:t>
      </w:r>
    </w:p>
    <w:p w14:paraId="45A5A726">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7.3重大活动或者天气过程保障：在具有重大活动或者天气过程，需提供保障服务。</w:t>
      </w:r>
    </w:p>
    <w:p w14:paraId="7F0A47CC">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8. 合规性与安全管理</w:t>
      </w:r>
    </w:p>
    <w:p w14:paraId="48716BFF">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8.1合规性检查：确保雷达设备的运维工作符合国家和地方的相关法规和标准，避免因违规操作带来的法律风险。</w:t>
      </w:r>
    </w:p>
    <w:p w14:paraId="4248FE76">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8.2安全管理：加强设备的安全管理，防止设备被盗、损坏或受到其他不良影响。同时，加强数据安全管理，确保数据不被非法获取或篡改。为专业保障人员配备必要的安全设施，购买人身意外险，做好日常安全生产教育。</w:t>
      </w:r>
    </w:p>
    <w:p w14:paraId="0556D322">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9.文档管理</w:t>
      </w:r>
    </w:p>
    <w:p w14:paraId="6EEE5FCB">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9.1运维文档编制：建立完整的运维文档体系，包括设备操作手册、故障排查指南、巡检记录等，方便团队成员查阅和学习。</w:t>
      </w:r>
    </w:p>
    <w:p w14:paraId="49DDE189">
      <w:pPr>
        <w:adjustRightInd w:val="0"/>
        <w:spacing w:line="360" w:lineRule="auto"/>
        <w:ind w:firstLine="240" w:firstLineChars="1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9.2文档更新与维护：随着设备和技术的更新，及时对运维文档进行更新和维护，确保文档的准确性和时效性。</w:t>
      </w:r>
    </w:p>
    <w:p w14:paraId="60222919">
      <w:pPr>
        <w:pStyle w:val="2"/>
        <w:autoSpaceDE w:val="0"/>
        <w:adjustRightInd w:val="0"/>
        <w:spacing w:line="360" w:lineRule="auto"/>
        <w:rPr>
          <w:rFonts w:hint="eastAsia" w:ascii="宋体" w:hAnsi="宋体" w:cs="宋体"/>
          <w:bCs w:val="0"/>
          <w:color w:val="000000" w:themeColor="text1"/>
          <w:sz w:val="24"/>
          <w:szCs w:val="24"/>
          <w14:textFill>
            <w14:solidFill>
              <w14:schemeClr w14:val="tx1"/>
            </w14:solidFill>
          </w14:textFill>
        </w:rPr>
      </w:pPr>
      <w:r>
        <w:rPr>
          <w:rFonts w:hint="eastAsia" w:ascii="宋体" w:hAnsi="宋体" w:cs="宋体"/>
          <w:bCs w:val="0"/>
          <w:color w:val="000000" w:themeColor="text1"/>
          <w:sz w:val="24"/>
          <w:szCs w:val="24"/>
          <w14:textFill>
            <w14:solidFill>
              <w14:schemeClr w14:val="tx1"/>
            </w14:solidFill>
          </w14:textFill>
        </w:rPr>
        <w:t>10.服务考核</w:t>
      </w:r>
    </w:p>
    <w:p w14:paraId="198F863E">
      <w:pPr>
        <w:adjustRightInd w:val="0"/>
        <w:spacing w:line="360" w:lineRule="auto"/>
        <w:ind w:firstLine="480" w:firstLineChars="200"/>
        <w:rPr>
          <w:rFonts w:hint="eastAsia" w:ascii="宋体" w:hAnsi="宋体" w:cs="宋体"/>
          <w:color w:val="000000" w:themeColor="text1"/>
          <w:kern w:val="2"/>
          <w:sz w:val="24"/>
          <w:szCs w:val="24"/>
          <w14:textFill>
            <w14:solidFill>
              <w14:schemeClr w14:val="tx1"/>
            </w14:solidFill>
          </w14:textFill>
        </w:rPr>
      </w:pPr>
      <w:r>
        <w:rPr>
          <w:rFonts w:hint="eastAsia" w:ascii="宋体" w:hAnsi="宋体" w:cs="宋体"/>
          <w:color w:val="000000" w:themeColor="text1"/>
          <w:kern w:val="2"/>
          <w:sz w:val="24"/>
          <w:szCs w:val="24"/>
          <w:lang w:bidi="ar"/>
          <w14:textFill>
            <w14:solidFill>
              <w14:schemeClr w14:val="tx1"/>
            </w14:solidFill>
          </w14:textFill>
        </w:rPr>
        <w:t>中标方保证雷达维护期内稳定运行率不低于90%（由于市电故障、通信故障、巡检维护导致的雷达停机或数据停传不计入雷达稳定运行率的统计），否则将被扣罚合同总价的3%违约金。</w:t>
      </w:r>
    </w:p>
    <w:p w14:paraId="321DAA0D">
      <w:pPr>
        <w:pStyle w:val="13"/>
        <w:spacing w:line="360" w:lineRule="auto"/>
        <w:ind w:firstLine="241" w:firstLineChars="100"/>
        <w:rPr>
          <w:rFonts w:hint="eastAsia" w:hAnsi="宋体"/>
          <w:b/>
          <w:color w:val="000000" w:themeColor="text1"/>
          <w:sz w:val="24"/>
          <w:szCs w:val="24"/>
          <w14:textFill>
            <w14:solidFill>
              <w14:schemeClr w14:val="tx1"/>
            </w14:solidFill>
          </w14:textFill>
        </w:rPr>
      </w:pPr>
      <w:r>
        <w:rPr>
          <w:rFonts w:hint="eastAsia" w:hAnsi="宋体"/>
          <w:b/>
          <w:color w:val="000000" w:themeColor="text1"/>
          <w:kern w:val="44"/>
          <w:sz w:val="24"/>
          <w:szCs w:val="24"/>
          <w14:textFill>
            <w14:solidFill>
              <w14:schemeClr w14:val="tx1"/>
            </w14:solidFill>
          </w14:textFill>
        </w:rPr>
        <w:t>11、</w:t>
      </w:r>
      <w:r>
        <w:rPr>
          <w:rFonts w:hint="eastAsia" w:hAnsi="宋体"/>
          <w:b/>
          <w:bCs/>
          <w:color w:val="000000" w:themeColor="text1"/>
          <w:sz w:val="24"/>
          <w:szCs w:val="24"/>
          <w14:textFill>
            <w14:solidFill>
              <w14:schemeClr w14:val="tx1"/>
            </w14:solidFill>
          </w14:textFill>
        </w:rPr>
        <w:t>履约</w:t>
      </w:r>
      <w:r>
        <w:rPr>
          <w:rFonts w:hint="eastAsia" w:hAnsi="宋体"/>
          <w:b/>
          <w:color w:val="000000" w:themeColor="text1"/>
          <w:sz w:val="24"/>
          <w:szCs w:val="24"/>
          <w14:textFill>
            <w14:solidFill>
              <w14:schemeClr w14:val="tx1"/>
            </w14:solidFill>
          </w14:textFill>
        </w:rPr>
        <w:t>验收</w:t>
      </w:r>
    </w:p>
    <w:p w14:paraId="37119109">
      <w:pPr>
        <w:pStyle w:val="52"/>
        <w:tabs>
          <w:tab w:val="left" w:pos="0"/>
        </w:tabs>
        <w:spacing w:before="0" w:after="0"/>
        <w:ind w:firstLine="480"/>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甲方组织对乙方履约的验收，大型或者复杂的政府采购项目，应当邀请国家认可的质量检测机构参加验收工作。验收方成员应当在验收书上签字，并承担相应的法律责任。如果发现与合同中要求不符，乙方须承担由此发生的一切损失和费用，并接受相应的处理。</w:t>
      </w:r>
    </w:p>
    <w:p w14:paraId="37F5D7B8">
      <w:pPr>
        <w:pStyle w:val="52"/>
        <w:tabs>
          <w:tab w:val="left" w:pos="0"/>
        </w:tabs>
        <w:spacing w:before="0" w:after="0"/>
        <w:ind w:firstLine="480"/>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2甲方应当及时对采购项目进行验收，甲方可以邀请参加本项目的其他投标人或者第三方机构参与验收，参与验收的投标人或者第三方机构的意见作为验收书的参考资料一并存档。</w:t>
      </w:r>
    </w:p>
    <w:p w14:paraId="6D617253">
      <w:pPr>
        <w:pStyle w:val="52"/>
        <w:tabs>
          <w:tab w:val="left" w:pos="0"/>
        </w:tabs>
        <w:spacing w:before="0" w:after="0"/>
        <w:ind w:firstLine="480"/>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3甲方负责加强对乙方的履约管理，并按照采购合同约定，及时向乙方支付采购资金。对于乙方违反采购合同约定的行为，甲方应当及时处理，依法追究其违约责任。</w:t>
      </w:r>
    </w:p>
    <w:p w14:paraId="4E6BDB1A">
      <w:pPr>
        <w:adjustRightInd w:val="0"/>
        <w:spacing w:line="360" w:lineRule="auto"/>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12.</w:t>
      </w:r>
      <w:r>
        <w:rPr>
          <w:rFonts w:hint="eastAsia" w:ascii="宋体" w:hAnsi="宋体" w:cs="宋体"/>
          <w:b/>
          <w:color w:val="000000" w:themeColor="text1"/>
          <w:sz w:val="24"/>
          <w:lang w:eastAsia="zh-CN"/>
          <w14:textFill>
            <w14:solidFill>
              <w14:schemeClr w14:val="tx1"/>
            </w14:solidFill>
          </w14:textFill>
        </w:rPr>
        <w:t>合同</w:t>
      </w:r>
      <w:r>
        <w:rPr>
          <w:rFonts w:hint="eastAsia" w:ascii="宋体" w:hAnsi="宋体" w:cs="宋体"/>
          <w:b/>
          <w:color w:val="000000" w:themeColor="text1"/>
          <w:sz w:val="24"/>
          <w14:textFill>
            <w14:solidFill>
              <w14:schemeClr w14:val="tx1"/>
            </w14:solidFill>
          </w14:textFill>
        </w:rPr>
        <w:t>价</w:t>
      </w:r>
    </w:p>
    <w:p w14:paraId="21CB7BFD">
      <w:pPr>
        <w:pStyle w:val="52"/>
        <w:tabs>
          <w:tab w:val="left" w:pos="0"/>
        </w:tabs>
        <w:adjustRightInd w:val="0"/>
        <w:spacing w:line="336"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11.1 合同价为人民币</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元（大写:          元），</w:t>
      </w:r>
      <w:r>
        <w:rPr>
          <w:rFonts w:hint="eastAsia" w:ascii="宋体" w:hAnsi="宋体" w:cs="宋体"/>
          <w:color w:val="000000" w:themeColor="text1"/>
          <w14:textFill>
            <w14:solidFill>
              <w14:schemeClr w14:val="tx1"/>
            </w14:solidFill>
          </w14:textFill>
        </w:rPr>
        <w:t>包括人工成本费、保险、调研费、检测分析费、设施设备、工具、编制费、刊登费、差旅费、管理费、利润、税费、招标代理费等项目所需一切费用。凡投标人在报价中未列明但又为本次采购所必备的项目或遗漏项目，采购方将一律视为已包括在合同价中，在合同执行中将不予考虑。</w:t>
      </w:r>
    </w:p>
    <w:p w14:paraId="0860301B">
      <w:pPr>
        <w:adjustRightInd w:val="0"/>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11.2 付款方式</w:t>
      </w:r>
    </w:p>
    <w:p w14:paraId="6D22234B">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付款方式：</w:t>
      </w:r>
      <w:r>
        <w:rPr>
          <w:rFonts w:hint="eastAsia" w:ascii="宋体" w:hAnsi="宋体" w:cs="宋体"/>
          <w:color w:val="000000" w:themeColor="text1"/>
          <w:sz w:val="24"/>
          <w:szCs w:val="24"/>
          <w14:textFill>
            <w14:solidFill>
              <w14:schemeClr w14:val="tx1"/>
            </w14:solidFill>
          </w14:textFill>
        </w:rPr>
        <w:t>采购人在合同生效以及具备实施条件后7个工作日内向中标人支付合同总价的50%</w:t>
      </w:r>
      <w:r>
        <w:rPr>
          <w:rFonts w:hint="eastAsia" w:ascii="宋体" w:hAnsi="宋体" w:cs="宋体"/>
          <w:color w:val="000000" w:themeColor="text1"/>
          <w:sz w:val="24"/>
          <w14:textFill>
            <w14:solidFill>
              <w14:schemeClr w14:val="tx1"/>
            </w14:solidFill>
          </w14:textFill>
        </w:rPr>
        <w:t>；在乙方服务良好的情况下，</w:t>
      </w:r>
      <w:r>
        <w:rPr>
          <w:rFonts w:hint="eastAsia" w:ascii="宋体" w:hAnsi="宋体" w:cs="宋体"/>
          <w:color w:val="000000" w:themeColor="text1"/>
          <w:sz w:val="24"/>
          <w:lang w:eastAsia="zh-CN"/>
          <w14:textFill>
            <w14:solidFill>
              <w14:schemeClr w14:val="tx1"/>
            </w14:solidFill>
          </w14:textFill>
        </w:rPr>
        <w:t>服务</w:t>
      </w:r>
      <w:r>
        <w:rPr>
          <w:rFonts w:hint="eastAsia" w:ascii="宋体" w:hAnsi="宋体" w:cs="宋体"/>
          <w:color w:val="000000" w:themeColor="text1"/>
          <w:sz w:val="24"/>
          <w:lang w:val="en-US" w:eastAsia="zh-CN"/>
          <w14:textFill>
            <w14:solidFill>
              <w14:schemeClr w14:val="tx1"/>
            </w14:solidFill>
          </w14:textFill>
        </w:rPr>
        <w:t>3个月后</w:t>
      </w:r>
      <w:r>
        <w:rPr>
          <w:rFonts w:hint="eastAsia" w:ascii="宋体" w:hAnsi="宋体" w:cs="宋体"/>
          <w:color w:val="000000" w:themeColor="text1"/>
          <w:sz w:val="24"/>
          <w14:textFill>
            <w14:solidFill>
              <w14:schemeClr w14:val="tx1"/>
            </w14:solidFill>
          </w14:textFill>
        </w:rPr>
        <w:t>，甲方收到发票后7个工作日内支付剩余合同价款。</w:t>
      </w:r>
    </w:p>
    <w:p w14:paraId="51B0E9E2">
      <w:pPr>
        <w:spacing w:line="360" w:lineRule="auto"/>
        <w:ind w:firstLine="480" w:firstLineChars="200"/>
        <w:rPr>
          <w:rFonts w:hint="eastAsia" w:ascii="宋体" w:hAnsi="宋体" w:cs="宋体"/>
          <w:b/>
          <w:bCs/>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11.3</w:t>
      </w:r>
      <w:r>
        <w:rPr>
          <w:rFonts w:hint="eastAsia" w:ascii="宋体" w:hAnsi="宋体" w:cs="宋体"/>
          <w:b/>
          <w:bCs/>
          <w:color w:val="000000" w:themeColor="text1"/>
          <w:sz w:val="24"/>
          <w:szCs w:val="24"/>
          <w14:textFill>
            <w14:solidFill>
              <w14:schemeClr w14:val="tx1"/>
            </w14:solidFill>
          </w14:textFill>
        </w:rPr>
        <w:t>付款要求：</w:t>
      </w:r>
    </w:p>
    <w:p w14:paraId="0B0963D6">
      <w:pPr>
        <w:pStyle w:val="3"/>
        <w:spacing w:line="360" w:lineRule="auto"/>
        <w:rPr>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中标人在收款之前，应向采购人提供等额、合法、有效的发票，采购人凭发票付款。如中标人未按约定提供发票的，采购人有权拒绝付款，直至收到中标人提交的相应发票为止，在此情况下，采购人不承担逾期付款违约责任。</w:t>
      </w:r>
    </w:p>
    <w:p w14:paraId="0247CF54">
      <w:pPr>
        <w:spacing w:line="360" w:lineRule="auto"/>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13、转包或分包</w:t>
      </w:r>
    </w:p>
    <w:p w14:paraId="17E9810A">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1、不允许转包。</w:t>
      </w:r>
    </w:p>
    <w:p w14:paraId="740826F6">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2、不允许分包。</w:t>
      </w:r>
    </w:p>
    <w:p w14:paraId="77CBA366">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3、如乙方将项目转包或将不允许分包部分进行了分包，甲方有权解除合同，并追究乙方的违约责任。</w:t>
      </w:r>
    </w:p>
    <w:p w14:paraId="5A487FF5">
      <w:pPr>
        <w:spacing w:line="360" w:lineRule="auto"/>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14、违约责任</w:t>
      </w:r>
    </w:p>
    <w:p w14:paraId="2A61B63E">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除合同规定的不可抗力外，如果乙方没有按照合同规定的时间提供服务，甲方可要求乙方支付违约金。违约金按合同款的</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%计收。但违约金的最高限额为合同价的</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%。一周按 7 天计算，不足 7 天按一周计算。如果达到最高限额，甲方有权解除合同。</w:t>
      </w:r>
    </w:p>
    <w:p w14:paraId="01993302">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项目结束时·不合格，乙方应在收到甲方通知后 7 日内退还甲方已支付的合同款，逾期退还合同款的，每日按未退还金额的</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%支付违约金。</w:t>
      </w:r>
    </w:p>
    <w:p w14:paraId="6D4675F7">
      <w:pPr>
        <w:spacing w:line="360" w:lineRule="auto"/>
        <w:ind w:firstLine="480" w:firstLineChars="200"/>
        <w:rPr>
          <w:rFonts w:hint="eastAsia"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其他违约条款双方协商确定：</w:t>
      </w:r>
      <w:r>
        <w:rPr>
          <w:rFonts w:hint="eastAsia" w:ascii="宋体" w:hAnsi="宋体" w:cs="宋体"/>
          <w:bCs/>
          <w:color w:val="000000" w:themeColor="text1"/>
          <w:sz w:val="24"/>
          <w:szCs w:val="24"/>
          <w14:textFill>
            <w14:solidFill>
              <w14:schemeClr w14:val="tx1"/>
            </w14:solidFill>
          </w14:textFill>
        </w:rPr>
        <w:t xml:space="preserve">  </w:t>
      </w:r>
    </w:p>
    <w:p w14:paraId="4328854F">
      <w:pPr>
        <w:adjustRightInd w:val="0"/>
        <w:spacing w:line="360" w:lineRule="auto"/>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15 、违约解除合同</w:t>
      </w:r>
    </w:p>
    <w:p w14:paraId="048F0164">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1.在乙方违约的情况下，甲方可向乙方发出书面通知，部分或全部终止合同,同时保留向乙方追诉的权利：</w:t>
      </w:r>
    </w:p>
    <w:p w14:paraId="7D351D0F">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乙方未能在合同规定的限期或甲方同意延长的限期内，提供全部或部分标的物的；</w:t>
      </w:r>
    </w:p>
    <w:p w14:paraId="79A8D071">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乙方未能履行合同规定的其它主要义务的；</w:t>
      </w:r>
    </w:p>
    <w:p w14:paraId="5C5172F7">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甲方认为乙方在本合同履行过程中有腐败和欺诈等行为的。</w:t>
      </w:r>
    </w:p>
    <w:p w14:paraId="3BB44792">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2.甲方解除合同的，合同于甲方发出书面解除合同通知书送达乙方之日起解除。乙方应在合同解除后</w:t>
      </w:r>
      <w:r>
        <w:rPr>
          <w:rFonts w:hint="eastAsia" w:ascii="宋体" w:hAnsi="宋体" w:cs="宋体"/>
          <w:color w:val="000000" w:themeColor="text1"/>
          <w:sz w:val="24"/>
          <w:szCs w:val="24"/>
          <w:u w:val="single"/>
          <w14:textFill>
            <w14:solidFill>
              <w14:schemeClr w14:val="tx1"/>
            </w14:solidFill>
          </w14:textFill>
        </w:rPr>
        <w:t xml:space="preserve"> 7 </w:t>
      </w:r>
      <w:r>
        <w:rPr>
          <w:rFonts w:hint="eastAsia" w:ascii="宋体" w:hAnsi="宋体" w:cs="宋体"/>
          <w:color w:val="000000" w:themeColor="text1"/>
          <w:sz w:val="24"/>
          <w:szCs w:val="24"/>
          <w14:textFill>
            <w14:solidFill>
              <w14:schemeClr w14:val="tx1"/>
            </w14:solidFill>
          </w14:textFill>
        </w:rPr>
        <w:t>日内退还甲方已支付的合同款，逾期退还合同款的，每日按未退还金额的</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%支付违约金。</w:t>
      </w:r>
    </w:p>
    <w:p w14:paraId="0E2A7DB7">
      <w:pPr>
        <w:adjustRightInd w:val="0"/>
        <w:spacing w:line="360" w:lineRule="auto"/>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16、破产终止合同</w:t>
      </w:r>
    </w:p>
    <w:p w14:paraId="0F258883">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2DF2B174">
      <w:pPr>
        <w:adjustRightInd w:val="0"/>
        <w:spacing w:line="360" w:lineRule="auto"/>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17、计量单位</w:t>
      </w:r>
    </w:p>
    <w:p w14:paraId="528E7AE4">
      <w:pPr>
        <w:adjustRightInd w:val="0"/>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除技术规范中另有规定外，计量单位均使用国家法定计量单位。</w:t>
      </w:r>
    </w:p>
    <w:p w14:paraId="3F0D6F2B">
      <w:pPr>
        <w:adjustRightInd w:val="0"/>
        <w:spacing w:line="360" w:lineRule="auto"/>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18、</w:t>
      </w:r>
      <w:r>
        <w:rPr>
          <w:rFonts w:hint="eastAsia" w:ascii="宋体" w:hAnsi="宋体" w:cs="宋体"/>
          <w:b/>
          <w:bCs/>
          <w:color w:val="000000" w:themeColor="text1"/>
          <w:sz w:val="24"/>
          <w:szCs w:val="24"/>
          <w14:textFill>
            <w14:solidFill>
              <w14:schemeClr w14:val="tx1"/>
            </w14:solidFill>
          </w14:textFill>
        </w:rPr>
        <w:t>不可抗力</w:t>
      </w:r>
      <w:r>
        <w:rPr>
          <w:rFonts w:hint="eastAsia" w:ascii="宋体" w:hAnsi="宋体" w:cs="宋体"/>
          <w:b/>
          <w:color w:val="000000" w:themeColor="text1"/>
          <w:sz w:val="24"/>
          <w14:textFill>
            <w14:solidFill>
              <w14:schemeClr w14:val="tx1"/>
            </w14:solidFill>
          </w14:textFill>
        </w:rPr>
        <w:t>事件处理</w:t>
      </w:r>
    </w:p>
    <w:p w14:paraId="016EA582">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1.在合同有效期内，任何一方因不可抗力事件导致不能履行合同，则合同履行期可延长，其延长期与不可抗力影响期相同。</w:t>
      </w:r>
    </w:p>
    <w:p w14:paraId="0CD01A63">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2.不可抗力事件发生后，应立即通知对方，并寄送有关权威机构出具的证明。</w:t>
      </w:r>
    </w:p>
    <w:p w14:paraId="2690F73F">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3.不可抗力事件延续120天以上，双方应通过友好协商，确定是否继续履行合同。</w:t>
      </w:r>
    </w:p>
    <w:p w14:paraId="226A0278">
      <w:pPr>
        <w:tabs>
          <w:tab w:val="left" w:pos="840"/>
          <w:tab w:val="left" w:pos="1020"/>
        </w:tabs>
        <w:spacing w:line="360" w:lineRule="auto"/>
        <w:jc w:val="left"/>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19、解决争议的方法</w:t>
      </w:r>
    </w:p>
    <w:p w14:paraId="57ED77DE">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 因本合同及合同有关事项发生的争议，由甲乙双方友好协商解决。协商不成时，可以向有关组织申请调解。合同一方或双方不愿调解或调解不成的，可以通过仲裁或诉讼的方式解决争议。</w:t>
      </w:r>
    </w:p>
    <w:p w14:paraId="4C1C5FAB">
      <w:pPr>
        <w:autoSpaceDE w:val="0"/>
        <w:autoSpaceDN w:val="0"/>
        <w:adjustRightInd w:val="0"/>
        <w:snapToGrid w:val="0"/>
        <w:spacing w:line="360" w:lineRule="auto"/>
        <w:ind w:firstLine="480" w:firstLineChars="200"/>
        <w:jc w:val="left"/>
        <w:rPr>
          <w:rFonts w:hint="eastAsia" w:ascii="宋体" w:hAnsi="宋体" w:cs="宋体"/>
          <w:iCs/>
          <w:color w:val="000000" w:themeColor="text1"/>
          <w:kern w:val="2"/>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iCs/>
          <w:color w:val="000000" w:themeColor="text1"/>
          <w:kern w:val="2"/>
          <w:sz w:val="24"/>
          <w:szCs w:val="24"/>
          <w14:textFill>
            <w14:solidFill>
              <w14:schemeClr w14:val="tx1"/>
            </w14:solidFill>
          </w14:textFill>
        </w:rPr>
        <w:t>因本合同及合同有关事项发生的争议，按下列第</w:t>
      </w:r>
      <w:r>
        <w:rPr>
          <w:rFonts w:hint="eastAsia" w:ascii="宋体" w:hAnsi="宋体" w:cs="宋体"/>
          <w:iCs/>
          <w:color w:val="000000" w:themeColor="text1"/>
          <w:kern w:val="2"/>
          <w:sz w:val="24"/>
          <w:szCs w:val="24"/>
          <w:u w:val="single"/>
          <w14:textFill>
            <w14:solidFill>
              <w14:schemeClr w14:val="tx1"/>
            </w14:solidFill>
          </w14:textFill>
        </w:rPr>
        <w:t>（2）</w:t>
      </w:r>
      <w:r>
        <w:rPr>
          <w:rFonts w:hint="eastAsia" w:ascii="宋体" w:hAnsi="宋体" w:cs="宋体"/>
          <w:iCs/>
          <w:color w:val="000000" w:themeColor="text1"/>
          <w:kern w:val="2"/>
          <w:sz w:val="24"/>
          <w:szCs w:val="24"/>
          <w14:textFill>
            <w14:solidFill>
              <w14:schemeClr w14:val="tx1"/>
            </w14:solidFill>
          </w14:textFill>
        </w:rPr>
        <w:t>种方式解决：</w:t>
      </w:r>
    </w:p>
    <w:p w14:paraId="778F075F">
      <w:pPr>
        <w:autoSpaceDE w:val="0"/>
        <w:autoSpaceDN w:val="0"/>
        <w:adjustRightInd w:val="0"/>
        <w:snapToGrid w:val="0"/>
        <w:spacing w:line="360" w:lineRule="auto"/>
        <w:ind w:firstLine="480" w:firstLineChars="200"/>
        <w:jc w:val="left"/>
        <w:rPr>
          <w:rFonts w:hint="eastAsia" w:ascii="宋体" w:hAnsi="宋体" w:cs="宋体"/>
          <w:iCs/>
          <w:color w:val="000000" w:themeColor="text1"/>
          <w:kern w:val="2"/>
          <w:sz w:val="24"/>
          <w:szCs w:val="24"/>
          <w14:textFill>
            <w14:solidFill>
              <w14:schemeClr w14:val="tx1"/>
            </w14:solidFill>
          </w14:textFill>
        </w:rPr>
      </w:pPr>
      <w:r>
        <w:rPr>
          <w:rFonts w:hint="eastAsia" w:ascii="宋体" w:hAnsi="宋体" w:cs="宋体"/>
          <w:iCs/>
          <w:color w:val="000000" w:themeColor="text1"/>
          <w:kern w:val="2"/>
          <w:sz w:val="24"/>
          <w:szCs w:val="24"/>
          <w14:textFill>
            <w14:solidFill>
              <w14:schemeClr w14:val="tx1"/>
            </w14:solidFill>
          </w14:textFill>
        </w:rPr>
        <w:t>（1）向</w:t>
      </w:r>
      <w:r>
        <w:rPr>
          <w:rFonts w:hint="eastAsia" w:ascii="宋体" w:hAnsi="宋体" w:cs="宋体"/>
          <w:iCs/>
          <w:color w:val="000000" w:themeColor="text1"/>
          <w:kern w:val="2"/>
          <w:sz w:val="24"/>
          <w:szCs w:val="24"/>
          <w:u w:val="single"/>
          <w14:textFill>
            <w14:solidFill>
              <w14:schemeClr w14:val="tx1"/>
            </w14:solidFill>
          </w14:textFill>
        </w:rPr>
        <w:t xml:space="preserve"> 绍兴市  </w:t>
      </w:r>
      <w:r>
        <w:rPr>
          <w:rFonts w:hint="eastAsia" w:ascii="宋体" w:hAnsi="宋体" w:cs="宋体"/>
          <w:iCs/>
          <w:color w:val="000000" w:themeColor="text1"/>
          <w:kern w:val="2"/>
          <w:sz w:val="24"/>
          <w:szCs w:val="24"/>
          <w14:textFill>
            <w14:solidFill>
              <w14:schemeClr w14:val="tx1"/>
            </w14:solidFill>
          </w14:textFill>
        </w:rPr>
        <w:t>仲裁委员会申请仲裁，仲裁地点为</w:t>
      </w:r>
      <w:r>
        <w:rPr>
          <w:rFonts w:hint="eastAsia" w:ascii="宋体" w:hAnsi="宋体" w:cs="宋体"/>
          <w:iCs/>
          <w:color w:val="000000" w:themeColor="text1"/>
          <w:kern w:val="2"/>
          <w:sz w:val="24"/>
          <w:szCs w:val="24"/>
          <w:u w:val="single"/>
          <w14:textFill>
            <w14:solidFill>
              <w14:schemeClr w14:val="tx1"/>
            </w14:solidFill>
          </w14:textFill>
        </w:rPr>
        <w:t xml:space="preserve">      号</w:t>
      </w:r>
      <w:r>
        <w:rPr>
          <w:rFonts w:hint="eastAsia" w:ascii="宋体" w:hAnsi="宋体" w:cs="宋体"/>
          <w:iCs/>
          <w:color w:val="000000" w:themeColor="text1"/>
          <w:kern w:val="2"/>
          <w:sz w:val="24"/>
          <w:szCs w:val="24"/>
          <w14:textFill>
            <w14:solidFill>
              <w14:schemeClr w14:val="tx1"/>
            </w14:solidFill>
          </w14:textFill>
        </w:rPr>
        <w:t>；</w:t>
      </w:r>
    </w:p>
    <w:p w14:paraId="451AC910">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iCs/>
          <w:color w:val="000000" w:themeColor="text1"/>
          <w:kern w:val="2"/>
          <w:sz w:val="24"/>
          <w:szCs w:val="24"/>
          <w14:textFill>
            <w14:solidFill>
              <w14:schemeClr w14:val="tx1"/>
            </w14:solidFill>
          </w14:textFill>
        </w:rPr>
        <w:t>（2）向</w:t>
      </w:r>
      <w:r>
        <w:rPr>
          <w:rFonts w:hint="eastAsia" w:ascii="宋体" w:hAnsi="宋体" w:cs="宋体"/>
          <w:iCs/>
          <w:color w:val="000000" w:themeColor="text1"/>
          <w:kern w:val="2"/>
          <w:sz w:val="24"/>
          <w:szCs w:val="24"/>
          <w:u w:val="single"/>
          <w14:textFill>
            <w14:solidFill>
              <w14:schemeClr w14:val="tx1"/>
            </w14:solidFill>
          </w14:textFill>
        </w:rPr>
        <w:t xml:space="preserve">  </w:t>
      </w:r>
      <w:r>
        <w:rPr>
          <w:rFonts w:hint="eastAsia" w:ascii="宋体" w:hAnsi="宋体"/>
          <w:color w:val="000000" w:themeColor="text1"/>
          <w:sz w:val="24"/>
          <w:szCs w:val="24"/>
          <w:u w:val="single"/>
          <w14:textFill>
            <w14:solidFill>
              <w14:schemeClr w14:val="tx1"/>
            </w14:solidFill>
          </w14:textFill>
        </w:rPr>
        <w:t>绍兴市上虞区</w:t>
      </w:r>
      <w:r>
        <w:rPr>
          <w:rFonts w:hint="eastAsia" w:ascii="宋体" w:hAnsi="宋体" w:cs="宋体"/>
          <w:iCs/>
          <w:color w:val="000000" w:themeColor="text1"/>
          <w:kern w:val="2"/>
          <w:sz w:val="24"/>
          <w:szCs w:val="24"/>
          <w:u w:val="single"/>
          <w14:textFill>
            <w14:solidFill>
              <w14:schemeClr w14:val="tx1"/>
            </w14:solidFill>
          </w14:textFill>
        </w:rPr>
        <w:t xml:space="preserve"> </w:t>
      </w:r>
      <w:r>
        <w:rPr>
          <w:rFonts w:hint="eastAsia" w:ascii="宋体" w:hAnsi="宋体" w:cs="宋体"/>
          <w:iCs/>
          <w:color w:val="000000" w:themeColor="text1"/>
          <w:kern w:val="2"/>
          <w:sz w:val="24"/>
          <w:szCs w:val="24"/>
          <w14:textFill>
            <w14:solidFill>
              <w14:schemeClr w14:val="tx1"/>
            </w14:solidFill>
          </w14:textFill>
        </w:rPr>
        <w:t>人民法院起诉。</w:t>
      </w:r>
    </w:p>
    <w:p w14:paraId="2FA046E7">
      <w:pPr>
        <w:pStyle w:val="88"/>
        <w:spacing w:line="360" w:lineRule="auto"/>
        <w:ind w:firstLine="480"/>
        <w:jc w:val="both"/>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 如甲乙双方有争议的事项不影响合同其他部分的履行，在争议解决期间，合同其他部分应当继续履行。</w:t>
      </w:r>
      <w:r>
        <w:rPr>
          <w:rFonts w:hint="eastAsia" w:ascii="宋体" w:hAnsi="宋体" w:eastAsia="宋体" w:cs="宋体"/>
          <w:bCs/>
          <w:color w:val="000000" w:themeColor="text1"/>
          <w:sz w:val="24"/>
          <w14:textFill>
            <w14:solidFill>
              <w14:schemeClr w14:val="tx1"/>
            </w14:solidFill>
          </w14:textFill>
        </w:rPr>
        <w:t xml:space="preserve">  </w:t>
      </w:r>
    </w:p>
    <w:p w14:paraId="32CCC876">
      <w:pPr>
        <w:spacing w:line="360" w:lineRule="auto"/>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20、</w:t>
      </w:r>
      <w:r>
        <w:rPr>
          <w:rFonts w:hint="eastAsia" w:ascii="宋体" w:hAnsi="宋体" w:cs="宋体"/>
          <w:b/>
          <w:bCs/>
          <w:color w:val="000000" w:themeColor="text1"/>
          <w:sz w:val="24"/>
          <w:szCs w:val="24"/>
          <w14:textFill>
            <w14:solidFill>
              <w14:schemeClr w14:val="tx1"/>
            </w14:solidFill>
          </w14:textFill>
        </w:rPr>
        <w:t>合同</w:t>
      </w:r>
      <w:r>
        <w:rPr>
          <w:rFonts w:hint="eastAsia" w:ascii="宋体" w:hAnsi="宋体" w:cs="宋体"/>
          <w:b/>
          <w:color w:val="000000" w:themeColor="text1"/>
          <w:sz w:val="24"/>
          <w14:textFill>
            <w14:solidFill>
              <w14:schemeClr w14:val="tx1"/>
            </w14:solidFill>
          </w14:textFill>
        </w:rPr>
        <w:t>生效及其他</w:t>
      </w:r>
    </w:p>
    <w:p w14:paraId="753327B6">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1.合同经甲、乙双方签名并加盖单位公章后生效。</w:t>
      </w:r>
    </w:p>
    <w:p w14:paraId="468770F2">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2.采购文件、投标文件与本合同具有同等法律效力。</w:t>
      </w:r>
    </w:p>
    <w:p w14:paraId="5504C942">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3.本合同未尽事宜，由双方协商决定。</w:t>
      </w:r>
    </w:p>
    <w:p w14:paraId="33A9BE8C">
      <w:pPr>
        <w:tabs>
          <w:tab w:val="left" w:pos="840"/>
          <w:tab w:val="left" w:pos="1020"/>
        </w:tabs>
        <w:spacing w:line="360" w:lineRule="auto"/>
        <w:ind w:firstLine="480" w:firstLineChars="200"/>
        <w:jc w:val="left"/>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4.本项目货物如涉及柴油动力移动源，柴油动力移动源应当符合低排放要求。</w:t>
      </w:r>
    </w:p>
    <w:p w14:paraId="11FFC4F9">
      <w:pPr>
        <w:spacing w:line="360" w:lineRule="auto"/>
        <w:ind w:firstLine="482"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5.本合同一式</w:t>
      </w:r>
      <w:r>
        <w:rPr>
          <w:rFonts w:hint="eastAsia" w:ascii="宋体" w:hAnsi="宋体" w:cs="宋体"/>
          <w:b/>
          <w:bCs/>
          <w:color w:val="000000" w:themeColor="text1"/>
          <w:sz w:val="24"/>
          <w:szCs w:val="24"/>
          <w:u w:val="single"/>
          <w14:textFill>
            <w14:solidFill>
              <w14:schemeClr w14:val="tx1"/>
            </w14:solidFill>
          </w14:textFill>
        </w:rPr>
        <w:t xml:space="preserve">　  </w:t>
      </w:r>
      <w:r>
        <w:rPr>
          <w:rFonts w:hint="eastAsia" w:ascii="宋体" w:hAnsi="宋体" w:cs="宋体"/>
          <w:b/>
          <w:bCs/>
          <w:color w:val="000000" w:themeColor="text1"/>
          <w:sz w:val="24"/>
          <w:szCs w:val="24"/>
          <w14:textFill>
            <w14:solidFill>
              <w14:schemeClr w14:val="tx1"/>
            </w14:solidFill>
          </w14:textFill>
        </w:rPr>
        <w:t>份，甲方和乙方各执  份，并由甲方在30日内做好政采云平台网上合同创建及备案</w:t>
      </w:r>
      <w:r>
        <w:rPr>
          <w:rFonts w:hint="eastAsia" w:ascii="宋体" w:hAnsi="宋体" w:cs="宋体"/>
          <w:color w:val="000000" w:themeColor="text1"/>
          <w:sz w:val="24"/>
          <w14:textFill>
            <w14:solidFill>
              <w14:schemeClr w14:val="tx1"/>
            </w14:solidFill>
          </w14:textFill>
        </w:rPr>
        <w:t>。</w:t>
      </w:r>
    </w:p>
    <w:p w14:paraId="1C343C35">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p>
    <w:tbl>
      <w:tblPr>
        <w:tblStyle w:val="27"/>
        <w:tblpPr w:leftFromText="180" w:rightFromText="180" w:vertAnchor="text" w:horzAnchor="page" w:tblpX="2077" w:tblpY="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3"/>
        <w:gridCol w:w="2362"/>
        <w:gridCol w:w="1636"/>
        <w:gridCol w:w="2726"/>
      </w:tblGrid>
      <w:tr w14:paraId="25010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1453" w:type="dxa"/>
            <w:vAlign w:val="center"/>
          </w:tcPr>
          <w:p w14:paraId="1AF67621">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甲方单位</w:t>
            </w:r>
          </w:p>
        </w:tc>
        <w:tc>
          <w:tcPr>
            <w:tcW w:w="2362" w:type="dxa"/>
            <w:vAlign w:val="center"/>
          </w:tcPr>
          <w:p w14:paraId="7C1E7E4A">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（盖章）</w:t>
            </w:r>
          </w:p>
        </w:tc>
        <w:tc>
          <w:tcPr>
            <w:tcW w:w="1636" w:type="dxa"/>
            <w:vAlign w:val="center"/>
          </w:tcPr>
          <w:p w14:paraId="38DFE6D4">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乙方单位</w:t>
            </w:r>
          </w:p>
        </w:tc>
        <w:tc>
          <w:tcPr>
            <w:tcW w:w="2726" w:type="dxa"/>
            <w:vAlign w:val="center"/>
          </w:tcPr>
          <w:p w14:paraId="00A715EE">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（盖章）</w:t>
            </w:r>
          </w:p>
        </w:tc>
      </w:tr>
      <w:tr w14:paraId="7DD53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1453" w:type="dxa"/>
            <w:vAlign w:val="center"/>
          </w:tcPr>
          <w:p w14:paraId="336EE148">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代表签名</w:t>
            </w:r>
          </w:p>
        </w:tc>
        <w:tc>
          <w:tcPr>
            <w:tcW w:w="2362" w:type="dxa"/>
            <w:vAlign w:val="center"/>
          </w:tcPr>
          <w:p w14:paraId="3FC56155">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c>
          <w:tcPr>
            <w:tcW w:w="1636" w:type="dxa"/>
            <w:vAlign w:val="center"/>
          </w:tcPr>
          <w:p w14:paraId="1233D7BB">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代表签名</w:t>
            </w:r>
          </w:p>
        </w:tc>
        <w:tc>
          <w:tcPr>
            <w:tcW w:w="2726" w:type="dxa"/>
            <w:vAlign w:val="center"/>
          </w:tcPr>
          <w:p w14:paraId="69E7D4A2">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r>
      <w:tr w14:paraId="461DC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1453" w:type="dxa"/>
            <w:vAlign w:val="center"/>
          </w:tcPr>
          <w:p w14:paraId="76D615FC">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地址</w:t>
            </w:r>
          </w:p>
        </w:tc>
        <w:tc>
          <w:tcPr>
            <w:tcW w:w="2362" w:type="dxa"/>
            <w:vAlign w:val="center"/>
          </w:tcPr>
          <w:p w14:paraId="0E165A43">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c>
          <w:tcPr>
            <w:tcW w:w="1636" w:type="dxa"/>
            <w:vAlign w:val="center"/>
          </w:tcPr>
          <w:p w14:paraId="0A917D9B">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地址</w:t>
            </w:r>
          </w:p>
        </w:tc>
        <w:tc>
          <w:tcPr>
            <w:tcW w:w="2726" w:type="dxa"/>
            <w:vAlign w:val="center"/>
          </w:tcPr>
          <w:p w14:paraId="0A8C5ECE">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r>
      <w:tr w14:paraId="5C6AA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1453" w:type="dxa"/>
            <w:vAlign w:val="center"/>
          </w:tcPr>
          <w:p w14:paraId="7E7C57FD">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电话</w:t>
            </w:r>
          </w:p>
        </w:tc>
        <w:tc>
          <w:tcPr>
            <w:tcW w:w="2362" w:type="dxa"/>
            <w:vAlign w:val="center"/>
          </w:tcPr>
          <w:p w14:paraId="03487B3A">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c>
          <w:tcPr>
            <w:tcW w:w="1636" w:type="dxa"/>
            <w:vAlign w:val="center"/>
          </w:tcPr>
          <w:p w14:paraId="0EAC0C5B">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电话</w:t>
            </w:r>
          </w:p>
        </w:tc>
        <w:tc>
          <w:tcPr>
            <w:tcW w:w="2726" w:type="dxa"/>
            <w:vAlign w:val="center"/>
          </w:tcPr>
          <w:p w14:paraId="7962BFF2">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r>
      <w:tr w14:paraId="0A49D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1453" w:type="dxa"/>
            <w:vAlign w:val="center"/>
          </w:tcPr>
          <w:p w14:paraId="0207622C">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开户银行</w:t>
            </w:r>
          </w:p>
        </w:tc>
        <w:tc>
          <w:tcPr>
            <w:tcW w:w="2362" w:type="dxa"/>
            <w:vAlign w:val="center"/>
          </w:tcPr>
          <w:p w14:paraId="704DD101">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c>
          <w:tcPr>
            <w:tcW w:w="1636" w:type="dxa"/>
            <w:vAlign w:val="center"/>
          </w:tcPr>
          <w:p w14:paraId="7457F4D8">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开户银行</w:t>
            </w:r>
          </w:p>
        </w:tc>
        <w:tc>
          <w:tcPr>
            <w:tcW w:w="2726" w:type="dxa"/>
            <w:vAlign w:val="center"/>
          </w:tcPr>
          <w:p w14:paraId="6D58FF5F">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r>
      <w:tr w14:paraId="46821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1453" w:type="dxa"/>
            <w:vAlign w:val="center"/>
          </w:tcPr>
          <w:p w14:paraId="4DED4EAD">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账号</w:t>
            </w:r>
          </w:p>
        </w:tc>
        <w:tc>
          <w:tcPr>
            <w:tcW w:w="2362" w:type="dxa"/>
            <w:vAlign w:val="center"/>
          </w:tcPr>
          <w:p w14:paraId="23F029CD">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c>
          <w:tcPr>
            <w:tcW w:w="1636" w:type="dxa"/>
            <w:vAlign w:val="center"/>
          </w:tcPr>
          <w:p w14:paraId="4F8066FA">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账号</w:t>
            </w:r>
          </w:p>
        </w:tc>
        <w:tc>
          <w:tcPr>
            <w:tcW w:w="2726" w:type="dxa"/>
            <w:vAlign w:val="center"/>
          </w:tcPr>
          <w:p w14:paraId="0BFB65EE">
            <w:pPr>
              <w:snapToGrid w:val="0"/>
              <w:spacing w:line="360" w:lineRule="auto"/>
              <w:jc w:val="center"/>
              <w:rPr>
                <w:rFonts w:hint="eastAsia" w:ascii="宋体" w:hAnsi="宋体" w:cs="宋体"/>
                <w:snapToGrid w:val="0"/>
                <w:color w:val="000000" w:themeColor="text1"/>
                <w:sz w:val="24"/>
                <w14:textFill>
                  <w14:solidFill>
                    <w14:schemeClr w14:val="tx1"/>
                  </w14:solidFill>
                </w14:textFill>
              </w:rPr>
            </w:pPr>
          </w:p>
        </w:tc>
      </w:tr>
    </w:tbl>
    <w:p w14:paraId="08D9C3F7">
      <w:pPr>
        <w:spacing w:line="360" w:lineRule="auto"/>
        <w:rPr>
          <w:rFonts w:hint="eastAsia"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br w:type="page"/>
      </w:r>
    </w:p>
    <w:p w14:paraId="253F8092">
      <w:pPr>
        <w:pStyle w:val="2"/>
        <w:spacing w:line="360" w:lineRule="auto"/>
        <w:jc w:val="cente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附录</w:t>
      </w:r>
    </w:p>
    <w:p w14:paraId="10343077">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附录1</w:t>
      </w:r>
    </w:p>
    <w:p w14:paraId="3D340D63">
      <w:pPr>
        <w:spacing w:line="360" w:lineRule="auto"/>
        <w:jc w:val="center"/>
        <w:rPr>
          <w:rFonts w:hint="eastAsia" w:ascii="宋体" w:hAnsi="宋体" w:cs="宋体"/>
          <w:b/>
          <w:bCs/>
          <w:color w:val="000000" w:themeColor="text1"/>
          <w:sz w:val="24"/>
          <w:szCs w:val="24"/>
          <w14:textFill>
            <w14:solidFill>
              <w14:schemeClr w14:val="tx1"/>
            </w14:solidFill>
          </w14:textFill>
        </w:rPr>
      </w:pPr>
      <w:bookmarkStart w:id="87" w:name="_Toc21977"/>
      <w:bookmarkStart w:id="88" w:name="_Toc28964"/>
      <w:r>
        <w:rPr>
          <w:rFonts w:hint="eastAsia" w:ascii="宋体" w:hAnsi="宋体" w:cs="宋体"/>
          <w:b/>
          <w:bCs/>
          <w:color w:val="000000" w:themeColor="text1"/>
          <w:sz w:val="24"/>
          <w:szCs w:val="24"/>
          <w14:textFill>
            <w14:solidFill>
              <w14:schemeClr w14:val="tx1"/>
            </w14:solidFill>
          </w14:textFill>
        </w:rPr>
        <w:t>X波段天气雷达月维护标校记录表</w:t>
      </w:r>
    </w:p>
    <w:p w14:paraId="10F265BC">
      <w:pPr>
        <w:tabs>
          <w:tab w:val="left" w:pos="0"/>
        </w:tabs>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雷达站名：</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站号：</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日期：</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年</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日</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3"/>
        <w:gridCol w:w="1498"/>
        <w:gridCol w:w="1290"/>
        <w:gridCol w:w="1462"/>
        <w:gridCol w:w="2505"/>
        <w:gridCol w:w="1211"/>
      </w:tblGrid>
      <w:tr w14:paraId="6BA7A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 w:type="pct"/>
            <w:vAlign w:val="center"/>
          </w:tcPr>
          <w:p w14:paraId="3E359DD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序号</w:t>
            </w:r>
          </w:p>
        </w:tc>
        <w:tc>
          <w:tcPr>
            <w:tcW w:w="1636" w:type="pct"/>
            <w:gridSpan w:val="2"/>
            <w:vAlign w:val="center"/>
          </w:tcPr>
          <w:p w14:paraId="29F3F71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检查维护内容</w:t>
            </w:r>
          </w:p>
        </w:tc>
        <w:tc>
          <w:tcPr>
            <w:tcW w:w="858" w:type="pct"/>
            <w:vAlign w:val="center"/>
          </w:tcPr>
          <w:p w14:paraId="0F5B5F5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检查维护</w:t>
            </w:r>
          </w:p>
          <w:p w14:paraId="3F6442C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结果</w:t>
            </w:r>
          </w:p>
        </w:tc>
        <w:tc>
          <w:tcPr>
            <w:tcW w:w="1470" w:type="pct"/>
            <w:vAlign w:val="center"/>
          </w:tcPr>
          <w:p w14:paraId="04618C8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填写说明</w:t>
            </w:r>
          </w:p>
        </w:tc>
        <w:tc>
          <w:tcPr>
            <w:tcW w:w="709" w:type="pct"/>
            <w:vAlign w:val="center"/>
          </w:tcPr>
          <w:p w14:paraId="2D59DE0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备注</w:t>
            </w:r>
          </w:p>
        </w:tc>
      </w:tr>
      <w:tr w14:paraId="601C8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325" w:type="pct"/>
            <w:vMerge w:val="restart"/>
            <w:vAlign w:val="center"/>
          </w:tcPr>
          <w:p w14:paraId="19A9B04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w:t>
            </w:r>
          </w:p>
        </w:tc>
        <w:tc>
          <w:tcPr>
            <w:tcW w:w="879" w:type="pct"/>
            <w:vMerge w:val="restart"/>
            <w:vAlign w:val="center"/>
          </w:tcPr>
          <w:p w14:paraId="1DDC11E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天线控制精度最大误差(°)</w:t>
            </w:r>
          </w:p>
        </w:tc>
        <w:tc>
          <w:tcPr>
            <w:tcW w:w="757" w:type="pct"/>
            <w:vAlign w:val="center"/>
          </w:tcPr>
          <w:p w14:paraId="1EA84FD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方位</w:t>
            </w:r>
          </w:p>
        </w:tc>
        <w:tc>
          <w:tcPr>
            <w:tcW w:w="858" w:type="pct"/>
            <w:vAlign w:val="center"/>
          </w:tcPr>
          <w:p w14:paraId="3A0AF0E6">
            <w:pPr>
              <w:pStyle w:val="86"/>
              <w:spacing w:line="360" w:lineRule="auto"/>
              <w:rPr>
                <w:rFonts w:cs="宋体"/>
                <w:color w:val="000000" w:themeColor="text1"/>
                <w:sz w:val="24"/>
                <w:szCs w:val="24"/>
                <w14:textFill>
                  <w14:solidFill>
                    <w14:schemeClr w14:val="tx1"/>
                  </w14:solidFill>
                </w14:textFill>
              </w:rPr>
            </w:pPr>
          </w:p>
        </w:tc>
        <w:tc>
          <w:tcPr>
            <w:tcW w:w="1470" w:type="pct"/>
            <w:vMerge w:val="restart"/>
            <w:vAlign w:val="center"/>
          </w:tcPr>
          <w:p w14:paraId="50C8779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709" w:type="pct"/>
            <w:vMerge w:val="restart"/>
            <w:vAlign w:val="center"/>
          </w:tcPr>
          <w:p w14:paraId="35A0424E">
            <w:pPr>
              <w:pStyle w:val="86"/>
              <w:spacing w:line="360" w:lineRule="auto"/>
              <w:rPr>
                <w:rFonts w:cs="宋体"/>
                <w:color w:val="000000" w:themeColor="text1"/>
                <w:sz w:val="24"/>
                <w:szCs w:val="24"/>
                <w14:textFill>
                  <w14:solidFill>
                    <w14:schemeClr w14:val="tx1"/>
                  </w14:solidFill>
                </w14:textFill>
              </w:rPr>
            </w:pPr>
          </w:p>
        </w:tc>
      </w:tr>
      <w:tr w14:paraId="4803A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jc w:val="center"/>
        </w:trPr>
        <w:tc>
          <w:tcPr>
            <w:tcW w:w="325" w:type="pct"/>
            <w:vMerge w:val="continue"/>
            <w:vAlign w:val="center"/>
          </w:tcPr>
          <w:p w14:paraId="4160A003">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32E75FD1">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7153AEC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俯仰</w:t>
            </w:r>
          </w:p>
        </w:tc>
        <w:tc>
          <w:tcPr>
            <w:tcW w:w="858" w:type="pct"/>
            <w:vAlign w:val="center"/>
          </w:tcPr>
          <w:p w14:paraId="326466E0">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50CB78EA">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28EA852C">
            <w:pPr>
              <w:pStyle w:val="86"/>
              <w:spacing w:line="360" w:lineRule="auto"/>
              <w:rPr>
                <w:rFonts w:cs="宋体"/>
                <w:color w:val="000000" w:themeColor="text1"/>
                <w:sz w:val="24"/>
                <w:szCs w:val="24"/>
                <w14:textFill>
                  <w14:solidFill>
                    <w14:schemeClr w14:val="tx1"/>
                  </w14:solidFill>
                </w14:textFill>
              </w:rPr>
            </w:pPr>
          </w:p>
        </w:tc>
      </w:tr>
      <w:tr w14:paraId="3F9EF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25" w:type="pct"/>
            <w:vMerge w:val="restart"/>
            <w:vAlign w:val="center"/>
          </w:tcPr>
          <w:p w14:paraId="4FFD50D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w:t>
            </w:r>
          </w:p>
        </w:tc>
        <w:tc>
          <w:tcPr>
            <w:tcW w:w="879" w:type="pct"/>
            <w:vMerge w:val="restart"/>
            <w:vAlign w:val="center"/>
          </w:tcPr>
          <w:p w14:paraId="4414082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天线波束指向最大误差(°)</w:t>
            </w:r>
          </w:p>
        </w:tc>
        <w:tc>
          <w:tcPr>
            <w:tcW w:w="757" w:type="pct"/>
            <w:vAlign w:val="center"/>
          </w:tcPr>
          <w:p w14:paraId="4F88854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方位</w:t>
            </w:r>
          </w:p>
        </w:tc>
        <w:tc>
          <w:tcPr>
            <w:tcW w:w="858" w:type="pct"/>
            <w:vAlign w:val="center"/>
          </w:tcPr>
          <w:p w14:paraId="436E8E00">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034A643B">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57F3D0D2">
            <w:pPr>
              <w:pStyle w:val="86"/>
              <w:spacing w:line="360" w:lineRule="auto"/>
              <w:rPr>
                <w:rFonts w:cs="宋体"/>
                <w:color w:val="000000" w:themeColor="text1"/>
                <w:sz w:val="24"/>
                <w:szCs w:val="24"/>
                <w14:textFill>
                  <w14:solidFill>
                    <w14:schemeClr w14:val="tx1"/>
                  </w14:solidFill>
                </w14:textFill>
              </w:rPr>
            </w:pPr>
          </w:p>
        </w:tc>
      </w:tr>
      <w:tr w14:paraId="6E293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325" w:type="pct"/>
            <w:vMerge w:val="continue"/>
            <w:vAlign w:val="center"/>
          </w:tcPr>
          <w:p w14:paraId="5101EA5F">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51893054">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170FDCF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俯仰</w:t>
            </w:r>
          </w:p>
        </w:tc>
        <w:tc>
          <w:tcPr>
            <w:tcW w:w="858" w:type="pct"/>
            <w:vAlign w:val="center"/>
          </w:tcPr>
          <w:p w14:paraId="569D7A8D">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7273463E">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4B5A9C41">
            <w:pPr>
              <w:pStyle w:val="86"/>
              <w:spacing w:line="360" w:lineRule="auto"/>
              <w:rPr>
                <w:rFonts w:cs="宋体"/>
                <w:color w:val="000000" w:themeColor="text1"/>
                <w:sz w:val="24"/>
                <w:szCs w:val="24"/>
                <w14:textFill>
                  <w14:solidFill>
                    <w14:schemeClr w14:val="tx1"/>
                  </w14:solidFill>
                </w14:textFill>
              </w:rPr>
            </w:pPr>
          </w:p>
        </w:tc>
      </w:tr>
      <w:tr w14:paraId="4E96F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325" w:type="pct"/>
            <w:vMerge w:val="restart"/>
            <w:vAlign w:val="center"/>
          </w:tcPr>
          <w:p w14:paraId="3EB49A5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3</w:t>
            </w:r>
          </w:p>
        </w:tc>
        <w:tc>
          <w:tcPr>
            <w:tcW w:w="879" w:type="pct"/>
            <w:vMerge w:val="restart"/>
            <w:vAlign w:val="center"/>
          </w:tcPr>
          <w:p w14:paraId="3191843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发射机脉冲宽度(μs)</w:t>
            </w:r>
          </w:p>
        </w:tc>
        <w:tc>
          <w:tcPr>
            <w:tcW w:w="757" w:type="pct"/>
            <w:vAlign w:val="center"/>
          </w:tcPr>
          <w:p w14:paraId="368A544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vAlign w:val="center"/>
          </w:tcPr>
          <w:p w14:paraId="73CFEBE6">
            <w:pPr>
              <w:pStyle w:val="86"/>
              <w:spacing w:line="360" w:lineRule="auto"/>
              <w:rPr>
                <w:rFonts w:cs="宋体"/>
                <w:color w:val="000000" w:themeColor="text1"/>
                <w:sz w:val="24"/>
                <w:szCs w:val="24"/>
                <w14:textFill>
                  <w14:solidFill>
                    <w14:schemeClr w14:val="tx1"/>
                  </w14:solidFill>
                </w14:textFill>
              </w:rPr>
            </w:pPr>
          </w:p>
        </w:tc>
        <w:tc>
          <w:tcPr>
            <w:tcW w:w="1470" w:type="pct"/>
            <w:vMerge w:val="restart"/>
            <w:vAlign w:val="center"/>
          </w:tcPr>
          <w:p w14:paraId="0A99DB0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709" w:type="pct"/>
            <w:vMerge w:val="restart"/>
            <w:vAlign w:val="center"/>
          </w:tcPr>
          <w:p w14:paraId="4B747AC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2EADC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325" w:type="pct"/>
            <w:vMerge w:val="continue"/>
            <w:vAlign w:val="center"/>
          </w:tcPr>
          <w:p w14:paraId="10D9D8F3">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1064A51E">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001F244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45BF69FF">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5B5229F0">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7A1FBD4B">
            <w:pPr>
              <w:pStyle w:val="86"/>
              <w:spacing w:line="360" w:lineRule="auto"/>
              <w:rPr>
                <w:rFonts w:cs="宋体"/>
                <w:color w:val="000000" w:themeColor="text1"/>
                <w:sz w:val="24"/>
                <w:szCs w:val="24"/>
                <w14:textFill>
                  <w14:solidFill>
                    <w14:schemeClr w14:val="tx1"/>
                  </w14:solidFill>
                </w14:textFill>
              </w:rPr>
            </w:pPr>
          </w:p>
        </w:tc>
      </w:tr>
      <w:tr w14:paraId="5548F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325" w:type="pct"/>
            <w:vMerge w:val="restart"/>
            <w:vAlign w:val="center"/>
          </w:tcPr>
          <w:p w14:paraId="5D04C2D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4</w:t>
            </w:r>
          </w:p>
        </w:tc>
        <w:tc>
          <w:tcPr>
            <w:tcW w:w="879" w:type="pct"/>
            <w:vMerge w:val="restart"/>
            <w:vAlign w:val="center"/>
          </w:tcPr>
          <w:p w14:paraId="1AB3854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发射机输出峰值功率(W)</w:t>
            </w:r>
          </w:p>
        </w:tc>
        <w:tc>
          <w:tcPr>
            <w:tcW w:w="757" w:type="pct"/>
            <w:vAlign w:val="center"/>
          </w:tcPr>
          <w:p w14:paraId="740CC01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2832479D">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2BF22548">
            <w:pPr>
              <w:pStyle w:val="86"/>
              <w:spacing w:line="360" w:lineRule="auto"/>
              <w:rPr>
                <w:rFonts w:cs="宋体"/>
                <w:color w:val="000000" w:themeColor="text1"/>
                <w:sz w:val="24"/>
                <w:szCs w:val="24"/>
                <w14:textFill>
                  <w14:solidFill>
                    <w14:schemeClr w14:val="tx1"/>
                  </w14:solidFill>
                </w14:textFill>
              </w:rPr>
            </w:pPr>
          </w:p>
        </w:tc>
        <w:tc>
          <w:tcPr>
            <w:tcW w:w="709" w:type="pct"/>
            <w:vMerge w:val="restart"/>
            <w:vAlign w:val="center"/>
          </w:tcPr>
          <w:p w14:paraId="038D0D6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机内/机外</w:t>
            </w:r>
          </w:p>
        </w:tc>
      </w:tr>
      <w:tr w14:paraId="4B1D4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325" w:type="pct"/>
            <w:vMerge w:val="continue"/>
            <w:vAlign w:val="center"/>
          </w:tcPr>
          <w:p w14:paraId="6B938521">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1567381B">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33E013B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36602366">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213ADF71">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6A9AAE4A">
            <w:pPr>
              <w:pStyle w:val="86"/>
              <w:spacing w:line="360" w:lineRule="auto"/>
              <w:rPr>
                <w:rFonts w:cs="宋体"/>
                <w:color w:val="000000" w:themeColor="text1"/>
                <w:sz w:val="24"/>
                <w:szCs w:val="24"/>
                <w14:textFill>
                  <w14:solidFill>
                    <w14:schemeClr w14:val="tx1"/>
                  </w14:solidFill>
                </w14:textFill>
              </w:rPr>
            </w:pPr>
          </w:p>
        </w:tc>
      </w:tr>
      <w:tr w14:paraId="14AFC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325" w:type="pct"/>
            <w:vMerge w:val="continue"/>
            <w:vAlign w:val="center"/>
          </w:tcPr>
          <w:p w14:paraId="3E5C9414">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00A996F7">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0511311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7F94EB09">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0F09C000">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041780AB">
            <w:pPr>
              <w:pStyle w:val="86"/>
              <w:spacing w:line="360" w:lineRule="auto"/>
              <w:rPr>
                <w:rFonts w:cs="宋体"/>
                <w:color w:val="000000" w:themeColor="text1"/>
                <w:sz w:val="24"/>
                <w:szCs w:val="24"/>
                <w14:textFill>
                  <w14:solidFill>
                    <w14:schemeClr w14:val="tx1"/>
                  </w14:solidFill>
                </w14:textFill>
              </w:rPr>
            </w:pPr>
          </w:p>
        </w:tc>
      </w:tr>
      <w:tr w14:paraId="75815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325" w:type="pct"/>
            <w:vMerge w:val="continue"/>
            <w:vAlign w:val="center"/>
          </w:tcPr>
          <w:p w14:paraId="36EE166C">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66DEF0AB">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11C3BC3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1D19747C">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74968A57">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4E462EE1">
            <w:pPr>
              <w:pStyle w:val="86"/>
              <w:spacing w:line="360" w:lineRule="auto"/>
              <w:rPr>
                <w:rFonts w:cs="宋体"/>
                <w:color w:val="000000" w:themeColor="text1"/>
                <w:sz w:val="24"/>
                <w:szCs w:val="24"/>
                <w14:textFill>
                  <w14:solidFill>
                    <w14:schemeClr w14:val="tx1"/>
                  </w14:solidFill>
                </w14:textFill>
              </w:rPr>
            </w:pPr>
          </w:p>
        </w:tc>
      </w:tr>
      <w:tr w14:paraId="27682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325" w:type="pct"/>
            <w:vMerge w:val="restart"/>
            <w:vAlign w:val="center"/>
          </w:tcPr>
          <w:p w14:paraId="7CFCBAE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5</w:t>
            </w:r>
          </w:p>
        </w:tc>
        <w:tc>
          <w:tcPr>
            <w:tcW w:w="879" w:type="pct"/>
            <w:vMerge w:val="restart"/>
            <w:vAlign w:val="center"/>
          </w:tcPr>
          <w:p w14:paraId="069BA71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接收机噪声系数(dB)</w:t>
            </w:r>
          </w:p>
        </w:tc>
        <w:tc>
          <w:tcPr>
            <w:tcW w:w="757" w:type="pct"/>
            <w:vAlign w:val="center"/>
          </w:tcPr>
          <w:p w14:paraId="1C6699A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2720F276">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36025017">
            <w:pPr>
              <w:pStyle w:val="86"/>
              <w:spacing w:line="360" w:lineRule="auto"/>
              <w:rPr>
                <w:rFonts w:cs="宋体"/>
                <w:color w:val="000000" w:themeColor="text1"/>
                <w:sz w:val="24"/>
                <w:szCs w:val="24"/>
                <w14:textFill>
                  <w14:solidFill>
                    <w14:schemeClr w14:val="tx1"/>
                  </w14:solidFill>
                </w14:textFill>
              </w:rPr>
            </w:pPr>
          </w:p>
        </w:tc>
        <w:tc>
          <w:tcPr>
            <w:tcW w:w="709" w:type="pct"/>
            <w:vMerge w:val="restart"/>
            <w:vAlign w:val="center"/>
          </w:tcPr>
          <w:p w14:paraId="11C7572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7B8E3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25" w:type="pct"/>
            <w:vMerge w:val="continue"/>
            <w:vAlign w:val="center"/>
          </w:tcPr>
          <w:p w14:paraId="614D2375">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67561AFD">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6D5653C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23D98490">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6ABF5EDA">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4AA6C988">
            <w:pPr>
              <w:pStyle w:val="86"/>
              <w:spacing w:line="360" w:lineRule="auto"/>
              <w:rPr>
                <w:rFonts w:cs="宋体"/>
                <w:color w:val="000000" w:themeColor="text1"/>
                <w:sz w:val="24"/>
                <w:szCs w:val="24"/>
                <w14:textFill>
                  <w14:solidFill>
                    <w14:schemeClr w14:val="tx1"/>
                  </w14:solidFill>
                </w14:textFill>
              </w:rPr>
            </w:pPr>
          </w:p>
        </w:tc>
      </w:tr>
      <w:tr w14:paraId="49FE5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325" w:type="pct"/>
            <w:vMerge w:val="restart"/>
            <w:vAlign w:val="center"/>
          </w:tcPr>
          <w:p w14:paraId="199FD57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6</w:t>
            </w:r>
          </w:p>
        </w:tc>
        <w:tc>
          <w:tcPr>
            <w:tcW w:w="879" w:type="pct"/>
            <w:vMerge w:val="restart"/>
            <w:vAlign w:val="center"/>
          </w:tcPr>
          <w:p w14:paraId="23CC1D4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接收机线性动态范围(dB)</w:t>
            </w:r>
          </w:p>
        </w:tc>
        <w:tc>
          <w:tcPr>
            <w:tcW w:w="757" w:type="pct"/>
            <w:vAlign w:val="center"/>
          </w:tcPr>
          <w:p w14:paraId="688CF73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02F54743">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16BB8AFE">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33CFE7DA">
            <w:pPr>
              <w:pStyle w:val="86"/>
              <w:spacing w:line="360" w:lineRule="auto"/>
              <w:rPr>
                <w:rFonts w:cs="宋体"/>
                <w:color w:val="000000" w:themeColor="text1"/>
                <w:sz w:val="24"/>
                <w:szCs w:val="24"/>
                <w14:textFill>
                  <w14:solidFill>
                    <w14:schemeClr w14:val="tx1"/>
                  </w14:solidFill>
                </w14:textFill>
              </w:rPr>
            </w:pPr>
          </w:p>
        </w:tc>
      </w:tr>
      <w:tr w14:paraId="3B59C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25" w:type="pct"/>
            <w:vMerge w:val="continue"/>
            <w:vAlign w:val="center"/>
          </w:tcPr>
          <w:p w14:paraId="3E14BDDC">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3CC47A76">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589ADD0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481E3F6B">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4B73B899">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317D9F6C">
            <w:pPr>
              <w:pStyle w:val="86"/>
              <w:spacing w:line="360" w:lineRule="auto"/>
              <w:rPr>
                <w:rFonts w:cs="宋体"/>
                <w:color w:val="000000" w:themeColor="text1"/>
                <w:sz w:val="24"/>
                <w:szCs w:val="24"/>
                <w14:textFill>
                  <w14:solidFill>
                    <w14:schemeClr w14:val="tx1"/>
                  </w14:solidFill>
                </w14:textFill>
              </w:rPr>
            </w:pPr>
          </w:p>
        </w:tc>
      </w:tr>
      <w:tr w14:paraId="0D1B2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25" w:type="pct"/>
            <w:vMerge w:val="restart"/>
            <w:vAlign w:val="center"/>
          </w:tcPr>
          <w:p w14:paraId="7DBD74A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7</w:t>
            </w:r>
          </w:p>
        </w:tc>
        <w:tc>
          <w:tcPr>
            <w:tcW w:w="879" w:type="pct"/>
            <w:vMerge w:val="restart"/>
            <w:vAlign w:val="center"/>
          </w:tcPr>
          <w:p w14:paraId="6831B8B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系统相位噪声(°)</w:t>
            </w:r>
          </w:p>
        </w:tc>
        <w:tc>
          <w:tcPr>
            <w:tcW w:w="757" w:type="pct"/>
            <w:vAlign w:val="center"/>
          </w:tcPr>
          <w:p w14:paraId="5687E9D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3723DBFD">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75BB59CA">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2F709544">
            <w:pPr>
              <w:pStyle w:val="86"/>
              <w:spacing w:line="360" w:lineRule="auto"/>
              <w:rPr>
                <w:rFonts w:cs="宋体"/>
                <w:color w:val="000000" w:themeColor="text1"/>
                <w:sz w:val="24"/>
                <w:szCs w:val="24"/>
                <w14:textFill>
                  <w14:solidFill>
                    <w14:schemeClr w14:val="tx1"/>
                  </w14:solidFill>
                </w14:textFill>
              </w:rPr>
            </w:pPr>
          </w:p>
        </w:tc>
      </w:tr>
      <w:tr w14:paraId="6E660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25" w:type="pct"/>
            <w:vMerge w:val="continue"/>
            <w:vAlign w:val="center"/>
          </w:tcPr>
          <w:p w14:paraId="65C14C68">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439D3222">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009921F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0DB8AB85">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0098B5EF">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7D883BAB">
            <w:pPr>
              <w:pStyle w:val="86"/>
              <w:spacing w:line="360" w:lineRule="auto"/>
              <w:rPr>
                <w:rFonts w:cs="宋体"/>
                <w:color w:val="000000" w:themeColor="text1"/>
                <w:sz w:val="24"/>
                <w:szCs w:val="24"/>
                <w14:textFill>
                  <w14:solidFill>
                    <w14:schemeClr w14:val="tx1"/>
                  </w14:solidFill>
                </w14:textFill>
              </w:rPr>
            </w:pPr>
          </w:p>
        </w:tc>
      </w:tr>
      <w:tr w14:paraId="1BC7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325" w:type="pct"/>
            <w:vMerge w:val="restart"/>
            <w:vAlign w:val="center"/>
          </w:tcPr>
          <w:p w14:paraId="5C17B3F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8</w:t>
            </w:r>
          </w:p>
        </w:tc>
        <w:tc>
          <w:tcPr>
            <w:tcW w:w="879" w:type="pct"/>
            <w:vMerge w:val="restart"/>
            <w:vAlign w:val="center"/>
          </w:tcPr>
          <w:p w14:paraId="145F982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强度定标检验(dB)</w:t>
            </w:r>
          </w:p>
        </w:tc>
        <w:tc>
          <w:tcPr>
            <w:tcW w:w="757" w:type="pct"/>
            <w:vAlign w:val="center"/>
          </w:tcPr>
          <w:p w14:paraId="325C8AA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233EE508">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3EE533A1">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79FA8B84">
            <w:pPr>
              <w:pStyle w:val="86"/>
              <w:spacing w:line="360" w:lineRule="auto"/>
              <w:rPr>
                <w:rFonts w:cs="宋体"/>
                <w:color w:val="000000" w:themeColor="text1"/>
                <w:sz w:val="24"/>
                <w:szCs w:val="24"/>
                <w14:textFill>
                  <w14:solidFill>
                    <w14:schemeClr w14:val="tx1"/>
                  </w14:solidFill>
                </w14:textFill>
              </w:rPr>
            </w:pPr>
          </w:p>
        </w:tc>
      </w:tr>
      <w:tr w14:paraId="0B6F6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325" w:type="pct"/>
            <w:vMerge w:val="continue"/>
            <w:vAlign w:val="center"/>
          </w:tcPr>
          <w:p w14:paraId="44135D1B">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35E7BD8F">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165FEE3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79438B73">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2F49AD32">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388618BA">
            <w:pPr>
              <w:pStyle w:val="86"/>
              <w:spacing w:line="360" w:lineRule="auto"/>
              <w:rPr>
                <w:rFonts w:cs="宋体"/>
                <w:color w:val="000000" w:themeColor="text1"/>
                <w:sz w:val="24"/>
                <w:szCs w:val="24"/>
                <w14:textFill>
                  <w14:solidFill>
                    <w14:schemeClr w14:val="tx1"/>
                  </w14:solidFill>
                </w14:textFill>
              </w:rPr>
            </w:pPr>
          </w:p>
        </w:tc>
      </w:tr>
      <w:tr w14:paraId="068E9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325" w:type="pct"/>
            <w:vMerge w:val="restart"/>
            <w:vAlign w:val="center"/>
          </w:tcPr>
          <w:p w14:paraId="4CFFBF1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9</w:t>
            </w:r>
          </w:p>
        </w:tc>
        <w:tc>
          <w:tcPr>
            <w:tcW w:w="879" w:type="pct"/>
            <w:vMerge w:val="restart"/>
            <w:vAlign w:val="center"/>
          </w:tcPr>
          <w:p w14:paraId="0A5276E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径向速度测量检验最大偏差</w:t>
            </w:r>
          </w:p>
        </w:tc>
        <w:tc>
          <w:tcPr>
            <w:tcW w:w="757" w:type="pct"/>
            <w:vAlign w:val="center"/>
          </w:tcPr>
          <w:p w14:paraId="18A923F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8" w:type="pct"/>
          </w:tcPr>
          <w:p w14:paraId="2BD5613F">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34006F4D">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0FBAA668">
            <w:pPr>
              <w:pStyle w:val="86"/>
              <w:spacing w:line="360" w:lineRule="auto"/>
              <w:rPr>
                <w:rFonts w:cs="宋体"/>
                <w:color w:val="000000" w:themeColor="text1"/>
                <w:sz w:val="24"/>
                <w:szCs w:val="24"/>
                <w14:textFill>
                  <w14:solidFill>
                    <w14:schemeClr w14:val="tx1"/>
                  </w14:solidFill>
                </w14:textFill>
              </w:rPr>
            </w:pPr>
          </w:p>
        </w:tc>
      </w:tr>
      <w:tr w14:paraId="438EA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325" w:type="pct"/>
            <w:vMerge w:val="continue"/>
            <w:vAlign w:val="center"/>
          </w:tcPr>
          <w:p w14:paraId="27591022">
            <w:pPr>
              <w:pStyle w:val="86"/>
              <w:spacing w:line="360" w:lineRule="auto"/>
              <w:rPr>
                <w:rFonts w:cs="宋体"/>
                <w:color w:val="000000" w:themeColor="text1"/>
                <w:sz w:val="24"/>
                <w:szCs w:val="24"/>
                <w14:textFill>
                  <w14:solidFill>
                    <w14:schemeClr w14:val="tx1"/>
                  </w14:solidFill>
                </w14:textFill>
              </w:rPr>
            </w:pPr>
          </w:p>
        </w:tc>
        <w:tc>
          <w:tcPr>
            <w:tcW w:w="879" w:type="pct"/>
            <w:vMerge w:val="continue"/>
            <w:vAlign w:val="center"/>
          </w:tcPr>
          <w:p w14:paraId="1ECCB142">
            <w:pPr>
              <w:pStyle w:val="86"/>
              <w:spacing w:line="360" w:lineRule="auto"/>
              <w:rPr>
                <w:rFonts w:cs="宋体"/>
                <w:color w:val="000000" w:themeColor="text1"/>
                <w:sz w:val="24"/>
                <w:szCs w:val="24"/>
                <w14:textFill>
                  <w14:solidFill>
                    <w14:schemeClr w14:val="tx1"/>
                  </w14:solidFill>
                </w14:textFill>
              </w:rPr>
            </w:pPr>
          </w:p>
        </w:tc>
        <w:tc>
          <w:tcPr>
            <w:tcW w:w="757" w:type="pct"/>
            <w:vAlign w:val="center"/>
          </w:tcPr>
          <w:p w14:paraId="2DB900B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8" w:type="pct"/>
          </w:tcPr>
          <w:p w14:paraId="2D5CB70F">
            <w:pPr>
              <w:pStyle w:val="86"/>
              <w:spacing w:line="360" w:lineRule="auto"/>
              <w:rPr>
                <w:rFonts w:cs="宋体"/>
                <w:color w:val="000000" w:themeColor="text1"/>
                <w:sz w:val="24"/>
                <w:szCs w:val="24"/>
                <w14:textFill>
                  <w14:solidFill>
                    <w14:schemeClr w14:val="tx1"/>
                  </w14:solidFill>
                </w14:textFill>
              </w:rPr>
            </w:pPr>
          </w:p>
        </w:tc>
        <w:tc>
          <w:tcPr>
            <w:tcW w:w="1470" w:type="pct"/>
            <w:vMerge w:val="continue"/>
            <w:vAlign w:val="center"/>
          </w:tcPr>
          <w:p w14:paraId="58E780BB">
            <w:pPr>
              <w:pStyle w:val="86"/>
              <w:spacing w:line="360" w:lineRule="auto"/>
              <w:rPr>
                <w:rFonts w:cs="宋体"/>
                <w:color w:val="000000" w:themeColor="text1"/>
                <w:sz w:val="24"/>
                <w:szCs w:val="24"/>
                <w14:textFill>
                  <w14:solidFill>
                    <w14:schemeClr w14:val="tx1"/>
                  </w14:solidFill>
                </w14:textFill>
              </w:rPr>
            </w:pPr>
          </w:p>
        </w:tc>
        <w:tc>
          <w:tcPr>
            <w:tcW w:w="709" w:type="pct"/>
            <w:vMerge w:val="continue"/>
            <w:vAlign w:val="center"/>
          </w:tcPr>
          <w:p w14:paraId="44426E4F">
            <w:pPr>
              <w:pStyle w:val="86"/>
              <w:spacing w:line="360" w:lineRule="auto"/>
              <w:rPr>
                <w:rFonts w:cs="宋体"/>
                <w:color w:val="000000" w:themeColor="text1"/>
                <w:sz w:val="24"/>
                <w:szCs w:val="24"/>
                <w14:textFill>
                  <w14:solidFill>
                    <w14:schemeClr w14:val="tx1"/>
                  </w14:solidFill>
                </w14:textFill>
              </w:rPr>
            </w:pPr>
          </w:p>
        </w:tc>
      </w:tr>
      <w:tr w14:paraId="69D13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 w:type="pct"/>
            <w:vAlign w:val="center"/>
          </w:tcPr>
          <w:p w14:paraId="52BD2C1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10</w:t>
            </w:r>
          </w:p>
        </w:tc>
        <w:tc>
          <w:tcPr>
            <w:tcW w:w="1636" w:type="pct"/>
            <w:gridSpan w:val="2"/>
            <w:vAlign w:val="center"/>
          </w:tcPr>
          <w:p w14:paraId="3E5291C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清洁天线罩内和机房内空调（除湿系统）滤尘网</w:t>
            </w:r>
          </w:p>
        </w:tc>
        <w:tc>
          <w:tcPr>
            <w:tcW w:w="858" w:type="pct"/>
            <w:vAlign w:val="center"/>
          </w:tcPr>
          <w:p w14:paraId="00B05EF0">
            <w:pPr>
              <w:pStyle w:val="86"/>
              <w:spacing w:line="360" w:lineRule="auto"/>
              <w:rPr>
                <w:rFonts w:cs="宋体"/>
                <w:color w:val="000000" w:themeColor="text1"/>
                <w:sz w:val="24"/>
                <w:szCs w:val="24"/>
                <w14:textFill>
                  <w14:solidFill>
                    <w14:schemeClr w14:val="tx1"/>
                  </w14:solidFill>
                </w14:textFill>
              </w:rPr>
            </w:pPr>
          </w:p>
        </w:tc>
        <w:tc>
          <w:tcPr>
            <w:tcW w:w="1470" w:type="pct"/>
            <w:vAlign w:val="center"/>
          </w:tcPr>
          <w:p w14:paraId="0936BB2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（完成√ 未完成×）</w:t>
            </w:r>
          </w:p>
        </w:tc>
        <w:tc>
          <w:tcPr>
            <w:tcW w:w="709" w:type="pct"/>
            <w:vAlign w:val="center"/>
          </w:tcPr>
          <w:p w14:paraId="13B6E08D">
            <w:pPr>
              <w:pStyle w:val="86"/>
              <w:spacing w:line="360" w:lineRule="auto"/>
              <w:rPr>
                <w:rFonts w:cs="宋体"/>
                <w:color w:val="000000" w:themeColor="text1"/>
                <w:sz w:val="24"/>
                <w:szCs w:val="24"/>
                <w14:textFill>
                  <w14:solidFill>
                    <w14:schemeClr w14:val="tx1"/>
                  </w14:solidFill>
                </w14:textFill>
              </w:rPr>
            </w:pPr>
          </w:p>
        </w:tc>
      </w:tr>
      <w:tr w14:paraId="1AC97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325" w:type="pct"/>
            <w:vAlign w:val="center"/>
          </w:tcPr>
          <w:p w14:paraId="1A8D70E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11</w:t>
            </w:r>
          </w:p>
        </w:tc>
        <w:tc>
          <w:tcPr>
            <w:tcW w:w="1636" w:type="pct"/>
            <w:gridSpan w:val="2"/>
            <w:vAlign w:val="center"/>
          </w:tcPr>
          <w:p w14:paraId="3F301AD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发电机维护运行检查</w:t>
            </w:r>
          </w:p>
        </w:tc>
        <w:tc>
          <w:tcPr>
            <w:tcW w:w="858" w:type="pct"/>
            <w:vAlign w:val="center"/>
          </w:tcPr>
          <w:p w14:paraId="33827F4D">
            <w:pPr>
              <w:pStyle w:val="86"/>
              <w:spacing w:line="360" w:lineRule="auto"/>
              <w:rPr>
                <w:rFonts w:cs="宋体"/>
                <w:color w:val="000000" w:themeColor="text1"/>
                <w:sz w:val="24"/>
                <w:szCs w:val="24"/>
                <w14:textFill>
                  <w14:solidFill>
                    <w14:schemeClr w14:val="tx1"/>
                  </w14:solidFill>
                </w14:textFill>
              </w:rPr>
            </w:pPr>
          </w:p>
        </w:tc>
        <w:tc>
          <w:tcPr>
            <w:tcW w:w="1470" w:type="pct"/>
            <w:vAlign w:val="center"/>
          </w:tcPr>
          <w:p w14:paraId="305A749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（正常√ 不正常×）</w:t>
            </w:r>
          </w:p>
        </w:tc>
        <w:tc>
          <w:tcPr>
            <w:tcW w:w="709" w:type="pct"/>
            <w:vAlign w:val="center"/>
          </w:tcPr>
          <w:p w14:paraId="19382AA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自备发电机台站填写</w:t>
            </w:r>
          </w:p>
        </w:tc>
      </w:tr>
      <w:tr w14:paraId="15215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 w:type="pct"/>
            <w:vAlign w:val="center"/>
          </w:tcPr>
          <w:p w14:paraId="3D443C6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12</w:t>
            </w:r>
          </w:p>
        </w:tc>
        <w:tc>
          <w:tcPr>
            <w:tcW w:w="1636" w:type="pct"/>
            <w:gridSpan w:val="2"/>
            <w:vAlign w:val="center"/>
          </w:tcPr>
          <w:p w14:paraId="7DCD9FD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UPS充放电</w:t>
            </w:r>
          </w:p>
        </w:tc>
        <w:tc>
          <w:tcPr>
            <w:tcW w:w="858" w:type="pct"/>
            <w:vAlign w:val="center"/>
          </w:tcPr>
          <w:p w14:paraId="547A014D">
            <w:pPr>
              <w:pStyle w:val="86"/>
              <w:spacing w:line="360" w:lineRule="auto"/>
              <w:rPr>
                <w:rFonts w:cs="宋体"/>
                <w:color w:val="000000" w:themeColor="text1"/>
                <w:sz w:val="24"/>
                <w:szCs w:val="24"/>
                <w14:textFill>
                  <w14:solidFill>
                    <w14:schemeClr w14:val="tx1"/>
                  </w14:solidFill>
                </w14:textFill>
              </w:rPr>
            </w:pPr>
          </w:p>
        </w:tc>
        <w:tc>
          <w:tcPr>
            <w:tcW w:w="1470" w:type="pct"/>
            <w:vAlign w:val="center"/>
          </w:tcPr>
          <w:p w14:paraId="6790CD1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（完成√ 未完成×）</w:t>
            </w:r>
          </w:p>
        </w:tc>
        <w:tc>
          <w:tcPr>
            <w:tcW w:w="709" w:type="pct"/>
            <w:vAlign w:val="center"/>
          </w:tcPr>
          <w:p w14:paraId="3919280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三个月一次</w:t>
            </w:r>
          </w:p>
        </w:tc>
      </w:tr>
      <w:tr w14:paraId="0696B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 w:type="pct"/>
            <w:vAlign w:val="center"/>
          </w:tcPr>
          <w:p w14:paraId="3AF6E0E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13</w:t>
            </w:r>
          </w:p>
        </w:tc>
        <w:tc>
          <w:tcPr>
            <w:tcW w:w="1636" w:type="pct"/>
            <w:gridSpan w:val="2"/>
            <w:vAlign w:val="center"/>
          </w:tcPr>
          <w:p w14:paraId="2C1F610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避雷器工作情况检查</w:t>
            </w:r>
          </w:p>
        </w:tc>
        <w:tc>
          <w:tcPr>
            <w:tcW w:w="858" w:type="pct"/>
            <w:vAlign w:val="center"/>
          </w:tcPr>
          <w:p w14:paraId="4ADA1239">
            <w:pPr>
              <w:pStyle w:val="86"/>
              <w:spacing w:line="360" w:lineRule="auto"/>
              <w:rPr>
                <w:rFonts w:cs="宋体"/>
                <w:color w:val="000000" w:themeColor="text1"/>
                <w:sz w:val="24"/>
                <w:szCs w:val="24"/>
                <w14:textFill>
                  <w14:solidFill>
                    <w14:schemeClr w14:val="tx1"/>
                  </w14:solidFill>
                </w14:textFill>
              </w:rPr>
            </w:pPr>
          </w:p>
        </w:tc>
        <w:tc>
          <w:tcPr>
            <w:tcW w:w="1470" w:type="pct"/>
            <w:vAlign w:val="center"/>
          </w:tcPr>
          <w:p w14:paraId="2AF9F5E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（正常√ 不正常×）</w:t>
            </w:r>
          </w:p>
        </w:tc>
        <w:tc>
          <w:tcPr>
            <w:tcW w:w="709" w:type="pct"/>
            <w:vAlign w:val="center"/>
          </w:tcPr>
          <w:p w14:paraId="525AF5DB">
            <w:pPr>
              <w:pStyle w:val="86"/>
              <w:spacing w:line="360" w:lineRule="auto"/>
              <w:rPr>
                <w:rFonts w:cs="宋体"/>
                <w:color w:val="000000" w:themeColor="text1"/>
                <w:sz w:val="24"/>
                <w:szCs w:val="24"/>
                <w14:textFill>
                  <w14:solidFill>
                    <w14:schemeClr w14:val="tx1"/>
                  </w14:solidFill>
                </w14:textFill>
              </w:rPr>
            </w:pPr>
          </w:p>
        </w:tc>
      </w:tr>
      <w:tr w14:paraId="0CBBE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 w:type="pct"/>
            <w:vAlign w:val="center"/>
          </w:tcPr>
          <w:p w14:paraId="6006F83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14</w:t>
            </w:r>
          </w:p>
        </w:tc>
        <w:tc>
          <w:tcPr>
            <w:tcW w:w="1636" w:type="pct"/>
            <w:gridSpan w:val="2"/>
            <w:vAlign w:val="center"/>
          </w:tcPr>
          <w:p w14:paraId="066CD52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对计算机内冗余的垃圾文件进行处理</w:t>
            </w:r>
          </w:p>
        </w:tc>
        <w:tc>
          <w:tcPr>
            <w:tcW w:w="858" w:type="pct"/>
            <w:vAlign w:val="center"/>
          </w:tcPr>
          <w:p w14:paraId="183A3973">
            <w:pPr>
              <w:pStyle w:val="86"/>
              <w:spacing w:line="360" w:lineRule="auto"/>
              <w:rPr>
                <w:rFonts w:cs="宋体"/>
                <w:color w:val="000000" w:themeColor="text1"/>
                <w:sz w:val="24"/>
                <w:szCs w:val="24"/>
                <w14:textFill>
                  <w14:solidFill>
                    <w14:schemeClr w14:val="tx1"/>
                  </w14:solidFill>
                </w14:textFill>
              </w:rPr>
            </w:pPr>
          </w:p>
        </w:tc>
        <w:tc>
          <w:tcPr>
            <w:tcW w:w="1470" w:type="pct"/>
            <w:vAlign w:val="center"/>
          </w:tcPr>
          <w:p w14:paraId="0CBAA30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（完成√ 未完成×）</w:t>
            </w:r>
          </w:p>
        </w:tc>
        <w:tc>
          <w:tcPr>
            <w:tcW w:w="709" w:type="pct"/>
            <w:vAlign w:val="center"/>
          </w:tcPr>
          <w:p w14:paraId="6F0E255A">
            <w:pPr>
              <w:pStyle w:val="86"/>
              <w:spacing w:line="360" w:lineRule="auto"/>
              <w:rPr>
                <w:rFonts w:cs="宋体"/>
                <w:color w:val="000000" w:themeColor="text1"/>
                <w:sz w:val="24"/>
                <w:szCs w:val="24"/>
                <w14:textFill>
                  <w14:solidFill>
                    <w14:schemeClr w14:val="tx1"/>
                  </w14:solidFill>
                </w14:textFill>
              </w:rPr>
            </w:pPr>
          </w:p>
        </w:tc>
      </w:tr>
      <w:tr w14:paraId="147A3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 w:type="pct"/>
            <w:vAlign w:val="center"/>
          </w:tcPr>
          <w:p w14:paraId="1EF335B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15</w:t>
            </w:r>
          </w:p>
        </w:tc>
        <w:tc>
          <w:tcPr>
            <w:tcW w:w="1636" w:type="pct"/>
            <w:gridSpan w:val="2"/>
            <w:vAlign w:val="center"/>
          </w:tcPr>
          <w:p w14:paraId="735FF8B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对计算机硬盘进行碎片整理</w:t>
            </w:r>
          </w:p>
        </w:tc>
        <w:tc>
          <w:tcPr>
            <w:tcW w:w="858" w:type="pct"/>
            <w:vAlign w:val="center"/>
          </w:tcPr>
          <w:p w14:paraId="43D5FC91">
            <w:pPr>
              <w:pStyle w:val="86"/>
              <w:spacing w:line="360" w:lineRule="auto"/>
              <w:rPr>
                <w:rFonts w:cs="宋体"/>
                <w:color w:val="000000" w:themeColor="text1"/>
                <w:sz w:val="24"/>
                <w:szCs w:val="24"/>
                <w14:textFill>
                  <w14:solidFill>
                    <w14:schemeClr w14:val="tx1"/>
                  </w14:solidFill>
                </w14:textFill>
              </w:rPr>
            </w:pPr>
          </w:p>
        </w:tc>
        <w:tc>
          <w:tcPr>
            <w:tcW w:w="1470" w:type="pct"/>
            <w:vAlign w:val="center"/>
          </w:tcPr>
          <w:p w14:paraId="0347306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（完成√ 未完成×）</w:t>
            </w:r>
          </w:p>
        </w:tc>
        <w:tc>
          <w:tcPr>
            <w:tcW w:w="709" w:type="pct"/>
            <w:vAlign w:val="center"/>
          </w:tcPr>
          <w:p w14:paraId="5D189E35">
            <w:pPr>
              <w:pStyle w:val="86"/>
              <w:spacing w:line="360" w:lineRule="auto"/>
              <w:rPr>
                <w:rFonts w:cs="宋体"/>
                <w:color w:val="000000" w:themeColor="text1"/>
                <w:sz w:val="24"/>
                <w:szCs w:val="24"/>
                <w14:textFill>
                  <w14:solidFill>
                    <w14:schemeClr w14:val="tx1"/>
                  </w14:solidFill>
                </w14:textFill>
              </w:rPr>
            </w:pPr>
          </w:p>
        </w:tc>
      </w:tr>
      <w:tr w14:paraId="002F6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5000" w:type="pct"/>
            <w:gridSpan w:val="6"/>
          </w:tcPr>
          <w:p w14:paraId="2FF6802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检查中发现的问题及处理情况：</w:t>
            </w:r>
          </w:p>
          <w:p w14:paraId="1E9FC8FD">
            <w:pPr>
              <w:pStyle w:val="86"/>
              <w:spacing w:line="360" w:lineRule="auto"/>
              <w:rPr>
                <w:rFonts w:cs="宋体"/>
                <w:color w:val="000000" w:themeColor="text1"/>
                <w:sz w:val="24"/>
                <w:szCs w:val="24"/>
                <w14:textFill>
                  <w14:solidFill>
                    <w14:schemeClr w14:val="tx1"/>
                  </w14:solidFill>
                </w14:textFill>
              </w:rPr>
            </w:pPr>
          </w:p>
          <w:p w14:paraId="72EE63CE">
            <w:pPr>
              <w:pStyle w:val="86"/>
              <w:spacing w:line="360" w:lineRule="auto"/>
              <w:rPr>
                <w:rFonts w:cs="宋体"/>
                <w:color w:val="000000" w:themeColor="text1"/>
                <w:sz w:val="24"/>
                <w:szCs w:val="24"/>
                <w14:textFill>
                  <w14:solidFill>
                    <w14:schemeClr w14:val="tx1"/>
                  </w14:solidFill>
                </w14:textFill>
              </w:rPr>
            </w:pPr>
          </w:p>
          <w:p w14:paraId="3E77C421">
            <w:pPr>
              <w:pStyle w:val="86"/>
              <w:spacing w:line="360" w:lineRule="auto"/>
              <w:rPr>
                <w:rFonts w:cs="宋体"/>
                <w:color w:val="000000" w:themeColor="text1"/>
                <w:sz w:val="24"/>
                <w:szCs w:val="24"/>
                <w14:textFill>
                  <w14:solidFill>
                    <w14:schemeClr w14:val="tx1"/>
                  </w14:solidFill>
                </w14:textFill>
              </w:rPr>
            </w:pPr>
          </w:p>
          <w:p w14:paraId="13AC0E37">
            <w:pPr>
              <w:pStyle w:val="86"/>
              <w:spacing w:line="360" w:lineRule="auto"/>
              <w:rPr>
                <w:rFonts w:cs="宋体"/>
                <w:color w:val="000000" w:themeColor="text1"/>
                <w:sz w:val="24"/>
                <w:szCs w:val="24"/>
                <w14:textFill>
                  <w14:solidFill>
                    <w14:schemeClr w14:val="tx1"/>
                  </w14:solidFill>
                </w14:textFill>
              </w:rPr>
            </w:pPr>
          </w:p>
          <w:p w14:paraId="4AAA20DB">
            <w:pPr>
              <w:pStyle w:val="86"/>
              <w:spacing w:line="360" w:lineRule="auto"/>
              <w:rPr>
                <w:rFonts w:cs="宋体"/>
                <w:color w:val="000000" w:themeColor="text1"/>
                <w:sz w:val="24"/>
                <w:szCs w:val="24"/>
                <w14:textFill>
                  <w14:solidFill>
                    <w14:schemeClr w14:val="tx1"/>
                  </w14:solidFill>
                </w14:textFill>
              </w:rPr>
            </w:pPr>
          </w:p>
          <w:p w14:paraId="7BBB5955">
            <w:pPr>
              <w:pStyle w:val="86"/>
              <w:spacing w:line="360" w:lineRule="auto"/>
              <w:rPr>
                <w:rFonts w:cs="宋体"/>
                <w:color w:val="000000" w:themeColor="text1"/>
                <w:sz w:val="24"/>
                <w:szCs w:val="24"/>
                <w14:textFill>
                  <w14:solidFill>
                    <w14:schemeClr w14:val="tx1"/>
                  </w14:solidFill>
                </w14:textFill>
              </w:rPr>
            </w:pPr>
          </w:p>
          <w:p w14:paraId="5D5F01AC">
            <w:pPr>
              <w:pStyle w:val="86"/>
              <w:spacing w:line="360" w:lineRule="auto"/>
              <w:rPr>
                <w:rFonts w:cs="宋体"/>
                <w:color w:val="000000" w:themeColor="text1"/>
                <w:sz w:val="24"/>
                <w:szCs w:val="24"/>
                <w14:textFill>
                  <w14:solidFill>
                    <w14:schemeClr w14:val="tx1"/>
                  </w14:solidFill>
                </w14:textFill>
              </w:rPr>
            </w:pPr>
          </w:p>
          <w:p w14:paraId="20CFFDA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 xml:space="preserve">维护人员签名：                    </w:t>
            </w:r>
          </w:p>
          <w:p w14:paraId="6641AA4E">
            <w:pPr>
              <w:pStyle w:val="86"/>
              <w:spacing w:line="360" w:lineRule="auto"/>
              <w:rPr>
                <w:rFonts w:cs="宋体"/>
                <w:color w:val="000000" w:themeColor="text1"/>
                <w:sz w:val="24"/>
                <w:szCs w:val="24"/>
                <w14:textFill>
                  <w14:solidFill>
                    <w14:schemeClr w14:val="tx1"/>
                  </w14:solidFill>
                </w14:textFill>
              </w:rPr>
            </w:pPr>
          </w:p>
        </w:tc>
      </w:tr>
    </w:tbl>
    <w:p w14:paraId="34C04709">
      <w:pP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br w:type="page"/>
      </w:r>
    </w:p>
    <w:p w14:paraId="4F71E1F0">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附录</w:t>
      </w:r>
      <w:r>
        <w:rPr>
          <w:rFonts w:hint="eastAsia"/>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 xml:space="preserve"> </w:t>
      </w:r>
      <w:bookmarkEnd w:id="87"/>
    </w:p>
    <w:p w14:paraId="5EF588DB">
      <w:pPr>
        <w:spacing w:line="360" w:lineRule="auto"/>
        <w:jc w:val="center"/>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X波段天气雷达汛前巡检标校记录表</w:t>
      </w:r>
    </w:p>
    <w:p w14:paraId="0C901D24">
      <w:pPr>
        <w:tabs>
          <w:tab w:val="left" w:pos="0"/>
        </w:tabs>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雷达站名：</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站号：</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日期：</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年</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日</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9"/>
        <w:gridCol w:w="14"/>
        <w:gridCol w:w="910"/>
        <w:gridCol w:w="688"/>
        <w:gridCol w:w="26"/>
        <w:gridCol w:w="1029"/>
        <w:gridCol w:w="1102"/>
        <w:gridCol w:w="1452"/>
        <w:gridCol w:w="1331"/>
        <w:gridCol w:w="1438"/>
      </w:tblGrid>
      <w:tr w14:paraId="522F6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0FBAB0E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序号</w:t>
            </w:r>
          </w:p>
        </w:tc>
        <w:tc>
          <w:tcPr>
            <w:tcW w:w="2212" w:type="pct"/>
            <w:gridSpan w:val="6"/>
            <w:vAlign w:val="center"/>
          </w:tcPr>
          <w:p w14:paraId="0821DBC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检查维护内容</w:t>
            </w:r>
          </w:p>
        </w:tc>
        <w:tc>
          <w:tcPr>
            <w:tcW w:w="852" w:type="pct"/>
            <w:vAlign w:val="center"/>
          </w:tcPr>
          <w:p w14:paraId="15F806F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检查维护结果</w:t>
            </w:r>
          </w:p>
        </w:tc>
        <w:tc>
          <w:tcPr>
            <w:tcW w:w="781" w:type="pct"/>
            <w:vAlign w:val="center"/>
          </w:tcPr>
          <w:p w14:paraId="672F8CF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填写说明</w:t>
            </w:r>
          </w:p>
        </w:tc>
        <w:tc>
          <w:tcPr>
            <w:tcW w:w="844" w:type="pct"/>
            <w:vAlign w:val="center"/>
          </w:tcPr>
          <w:p w14:paraId="263ECC4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备注</w:t>
            </w:r>
          </w:p>
        </w:tc>
      </w:tr>
      <w:tr w14:paraId="5CA7B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10"/>
            <w:vAlign w:val="center"/>
          </w:tcPr>
          <w:p w14:paraId="7EB40EC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馈线系统</w:t>
            </w:r>
          </w:p>
        </w:tc>
      </w:tr>
      <w:tr w14:paraId="1B4EF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9" w:type="pct"/>
            <w:gridSpan w:val="2"/>
            <w:vMerge w:val="restart"/>
            <w:vAlign w:val="center"/>
          </w:tcPr>
          <w:p w14:paraId="297C335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w:t>
            </w:r>
          </w:p>
        </w:tc>
        <w:tc>
          <w:tcPr>
            <w:tcW w:w="534" w:type="pct"/>
            <w:vMerge w:val="restart"/>
            <w:vAlign w:val="center"/>
          </w:tcPr>
          <w:p w14:paraId="1CCB245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收发支路损耗(dB)</w:t>
            </w:r>
          </w:p>
        </w:tc>
        <w:tc>
          <w:tcPr>
            <w:tcW w:w="419" w:type="pct"/>
            <w:gridSpan w:val="2"/>
            <w:vMerge w:val="restart"/>
            <w:vAlign w:val="center"/>
          </w:tcPr>
          <w:p w14:paraId="383E083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单发单收</w:t>
            </w:r>
          </w:p>
        </w:tc>
        <w:tc>
          <w:tcPr>
            <w:tcW w:w="604" w:type="pct"/>
            <w:vMerge w:val="restart"/>
            <w:vAlign w:val="center"/>
          </w:tcPr>
          <w:p w14:paraId="3ECE851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13D5A6E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发射支路</w:t>
            </w:r>
          </w:p>
        </w:tc>
        <w:tc>
          <w:tcPr>
            <w:tcW w:w="852" w:type="pct"/>
            <w:vAlign w:val="center"/>
          </w:tcPr>
          <w:p w14:paraId="06704E40">
            <w:pPr>
              <w:pStyle w:val="86"/>
              <w:spacing w:line="360" w:lineRule="auto"/>
              <w:rPr>
                <w:rFonts w:cs="宋体"/>
                <w:color w:val="000000" w:themeColor="text1"/>
                <w:sz w:val="24"/>
                <w:szCs w:val="24"/>
                <w14:textFill>
                  <w14:solidFill>
                    <w14:schemeClr w14:val="tx1"/>
                  </w14:solidFill>
                </w14:textFill>
              </w:rPr>
            </w:pPr>
          </w:p>
        </w:tc>
        <w:tc>
          <w:tcPr>
            <w:tcW w:w="781" w:type="pct"/>
            <w:vMerge w:val="restart"/>
            <w:vAlign w:val="center"/>
          </w:tcPr>
          <w:p w14:paraId="1D76A36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844" w:type="pct"/>
            <w:vMerge w:val="restart"/>
            <w:vAlign w:val="center"/>
          </w:tcPr>
          <w:p w14:paraId="6B684C9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巡检标校时按需开展</w:t>
            </w:r>
          </w:p>
        </w:tc>
      </w:tr>
      <w:tr w14:paraId="2DA7E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319" w:type="pct"/>
            <w:gridSpan w:val="2"/>
            <w:vMerge w:val="continue"/>
            <w:vAlign w:val="center"/>
          </w:tcPr>
          <w:p w14:paraId="3F18F69C">
            <w:pPr>
              <w:pStyle w:val="86"/>
              <w:spacing w:line="360" w:lineRule="auto"/>
              <w:rPr>
                <w:rFonts w:cs="宋体"/>
                <w:color w:val="000000" w:themeColor="text1"/>
                <w:sz w:val="24"/>
                <w:szCs w:val="24"/>
                <w14:textFill>
                  <w14:solidFill>
                    <w14:schemeClr w14:val="tx1"/>
                  </w14:solidFill>
                </w14:textFill>
              </w:rPr>
            </w:pPr>
          </w:p>
        </w:tc>
        <w:tc>
          <w:tcPr>
            <w:tcW w:w="534" w:type="pct"/>
            <w:vMerge w:val="continue"/>
            <w:vAlign w:val="center"/>
          </w:tcPr>
          <w:p w14:paraId="3BB985B4">
            <w:pPr>
              <w:pStyle w:val="86"/>
              <w:spacing w:line="360" w:lineRule="auto"/>
              <w:rPr>
                <w:rFonts w:cs="宋体"/>
                <w:color w:val="000000" w:themeColor="text1"/>
                <w:sz w:val="24"/>
                <w:szCs w:val="24"/>
                <w14:textFill>
                  <w14:solidFill>
                    <w14:schemeClr w14:val="tx1"/>
                  </w14:solidFill>
                </w14:textFill>
              </w:rPr>
            </w:pPr>
          </w:p>
        </w:tc>
        <w:tc>
          <w:tcPr>
            <w:tcW w:w="419" w:type="pct"/>
            <w:gridSpan w:val="2"/>
            <w:vMerge w:val="continue"/>
            <w:vAlign w:val="center"/>
          </w:tcPr>
          <w:p w14:paraId="574B2BB9">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79D9302B">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1C19EB4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接收支路</w:t>
            </w:r>
          </w:p>
        </w:tc>
        <w:tc>
          <w:tcPr>
            <w:tcW w:w="852" w:type="pct"/>
          </w:tcPr>
          <w:p w14:paraId="29635D1B">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3F7A0A2">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2DDA6029">
            <w:pPr>
              <w:pStyle w:val="86"/>
              <w:spacing w:line="360" w:lineRule="auto"/>
              <w:rPr>
                <w:rFonts w:cs="宋体"/>
                <w:color w:val="000000" w:themeColor="text1"/>
                <w:sz w:val="24"/>
                <w:szCs w:val="24"/>
                <w14:textFill>
                  <w14:solidFill>
                    <w14:schemeClr w14:val="tx1"/>
                  </w14:solidFill>
                </w14:textFill>
              </w:rPr>
            </w:pPr>
          </w:p>
        </w:tc>
      </w:tr>
      <w:tr w14:paraId="16E5D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9" w:type="pct"/>
            <w:gridSpan w:val="2"/>
            <w:vMerge w:val="continue"/>
            <w:vAlign w:val="center"/>
          </w:tcPr>
          <w:p w14:paraId="1C88BEED">
            <w:pPr>
              <w:pStyle w:val="86"/>
              <w:spacing w:line="360" w:lineRule="auto"/>
              <w:rPr>
                <w:rFonts w:cs="宋体"/>
                <w:color w:val="000000" w:themeColor="text1"/>
                <w:sz w:val="24"/>
                <w:szCs w:val="24"/>
                <w14:textFill>
                  <w14:solidFill>
                    <w14:schemeClr w14:val="tx1"/>
                  </w14:solidFill>
                </w14:textFill>
              </w:rPr>
            </w:pPr>
          </w:p>
        </w:tc>
        <w:tc>
          <w:tcPr>
            <w:tcW w:w="534" w:type="pct"/>
            <w:vMerge w:val="continue"/>
            <w:vAlign w:val="center"/>
          </w:tcPr>
          <w:p w14:paraId="45115C38">
            <w:pPr>
              <w:pStyle w:val="86"/>
              <w:spacing w:line="360" w:lineRule="auto"/>
              <w:rPr>
                <w:rFonts w:cs="宋体"/>
                <w:color w:val="000000" w:themeColor="text1"/>
                <w:sz w:val="24"/>
                <w:szCs w:val="24"/>
                <w14:textFill>
                  <w14:solidFill>
                    <w14:schemeClr w14:val="tx1"/>
                  </w14:solidFill>
                </w14:textFill>
              </w:rPr>
            </w:pPr>
          </w:p>
        </w:tc>
        <w:tc>
          <w:tcPr>
            <w:tcW w:w="419" w:type="pct"/>
            <w:gridSpan w:val="2"/>
            <w:vMerge w:val="restart"/>
            <w:vAlign w:val="center"/>
          </w:tcPr>
          <w:p w14:paraId="460BAD2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双发双收</w:t>
            </w:r>
          </w:p>
        </w:tc>
        <w:tc>
          <w:tcPr>
            <w:tcW w:w="604" w:type="pct"/>
            <w:vMerge w:val="restart"/>
            <w:vAlign w:val="center"/>
          </w:tcPr>
          <w:p w14:paraId="48FF999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10B36A6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发射支路</w:t>
            </w:r>
          </w:p>
        </w:tc>
        <w:tc>
          <w:tcPr>
            <w:tcW w:w="852" w:type="pct"/>
          </w:tcPr>
          <w:p w14:paraId="4E05CEA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781" w:type="pct"/>
            <w:vMerge w:val="continue"/>
            <w:vAlign w:val="center"/>
          </w:tcPr>
          <w:p w14:paraId="4FD4CED4">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320F7AC6">
            <w:pPr>
              <w:pStyle w:val="86"/>
              <w:spacing w:line="360" w:lineRule="auto"/>
              <w:rPr>
                <w:rFonts w:cs="宋体"/>
                <w:color w:val="000000" w:themeColor="text1"/>
                <w:sz w:val="24"/>
                <w:szCs w:val="24"/>
                <w14:textFill>
                  <w14:solidFill>
                    <w14:schemeClr w14:val="tx1"/>
                  </w14:solidFill>
                </w14:textFill>
              </w:rPr>
            </w:pPr>
          </w:p>
        </w:tc>
      </w:tr>
      <w:tr w14:paraId="302BB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9" w:type="pct"/>
            <w:gridSpan w:val="2"/>
            <w:vMerge w:val="continue"/>
            <w:vAlign w:val="center"/>
          </w:tcPr>
          <w:p w14:paraId="0B5CA930">
            <w:pPr>
              <w:pStyle w:val="86"/>
              <w:spacing w:line="360" w:lineRule="auto"/>
              <w:rPr>
                <w:rFonts w:cs="宋体"/>
                <w:color w:val="000000" w:themeColor="text1"/>
                <w:sz w:val="24"/>
                <w:szCs w:val="24"/>
                <w14:textFill>
                  <w14:solidFill>
                    <w14:schemeClr w14:val="tx1"/>
                  </w14:solidFill>
                </w14:textFill>
              </w:rPr>
            </w:pPr>
          </w:p>
        </w:tc>
        <w:tc>
          <w:tcPr>
            <w:tcW w:w="534" w:type="pct"/>
            <w:vMerge w:val="continue"/>
            <w:vAlign w:val="center"/>
          </w:tcPr>
          <w:p w14:paraId="7CD35BE5">
            <w:pPr>
              <w:pStyle w:val="86"/>
              <w:spacing w:line="360" w:lineRule="auto"/>
              <w:rPr>
                <w:rFonts w:cs="宋体"/>
                <w:color w:val="000000" w:themeColor="text1"/>
                <w:sz w:val="24"/>
                <w:szCs w:val="24"/>
                <w14:textFill>
                  <w14:solidFill>
                    <w14:schemeClr w14:val="tx1"/>
                  </w14:solidFill>
                </w14:textFill>
              </w:rPr>
            </w:pPr>
          </w:p>
        </w:tc>
        <w:tc>
          <w:tcPr>
            <w:tcW w:w="419" w:type="pct"/>
            <w:gridSpan w:val="2"/>
            <w:vMerge w:val="continue"/>
            <w:vAlign w:val="center"/>
          </w:tcPr>
          <w:p w14:paraId="537948A4">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6EE49D82">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537B6D9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接收支路</w:t>
            </w:r>
          </w:p>
        </w:tc>
        <w:tc>
          <w:tcPr>
            <w:tcW w:w="852" w:type="pct"/>
          </w:tcPr>
          <w:p w14:paraId="4127893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781" w:type="pct"/>
            <w:vMerge w:val="continue"/>
            <w:vAlign w:val="center"/>
          </w:tcPr>
          <w:p w14:paraId="24C85455">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345807B0">
            <w:pPr>
              <w:pStyle w:val="86"/>
              <w:spacing w:line="360" w:lineRule="auto"/>
              <w:rPr>
                <w:rFonts w:cs="宋体"/>
                <w:color w:val="000000" w:themeColor="text1"/>
                <w:sz w:val="24"/>
                <w:szCs w:val="24"/>
                <w14:textFill>
                  <w14:solidFill>
                    <w14:schemeClr w14:val="tx1"/>
                  </w14:solidFill>
                </w14:textFill>
              </w:rPr>
            </w:pPr>
          </w:p>
        </w:tc>
      </w:tr>
      <w:tr w14:paraId="76709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9" w:type="pct"/>
            <w:gridSpan w:val="2"/>
            <w:vMerge w:val="continue"/>
            <w:vAlign w:val="center"/>
          </w:tcPr>
          <w:p w14:paraId="18264F1E">
            <w:pPr>
              <w:pStyle w:val="86"/>
              <w:spacing w:line="360" w:lineRule="auto"/>
              <w:rPr>
                <w:rFonts w:cs="宋体"/>
                <w:color w:val="000000" w:themeColor="text1"/>
                <w:sz w:val="24"/>
                <w:szCs w:val="24"/>
                <w14:textFill>
                  <w14:solidFill>
                    <w14:schemeClr w14:val="tx1"/>
                  </w14:solidFill>
                </w14:textFill>
              </w:rPr>
            </w:pPr>
          </w:p>
        </w:tc>
        <w:tc>
          <w:tcPr>
            <w:tcW w:w="534" w:type="pct"/>
            <w:vMerge w:val="continue"/>
            <w:vAlign w:val="center"/>
          </w:tcPr>
          <w:p w14:paraId="10B5EDB2">
            <w:pPr>
              <w:pStyle w:val="86"/>
              <w:spacing w:line="360" w:lineRule="auto"/>
              <w:rPr>
                <w:rFonts w:cs="宋体"/>
                <w:color w:val="000000" w:themeColor="text1"/>
                <w:sz w:val="24"/>
                <w:szCs w:val="24"/>
                <w14:textFill>
                  <w14:solidFill>
                    <w14:schemeClr w14:val="tx1"/>
                  </w14:solidFill>
                </w14:textFill>
              </w:rPr>
            </w:pPr>
          </w:p>
        </w:tc>
        <w:tc>
          <w:tcPr>
            <w:tcW w:w="419" w:type="pct"/>
            <w:gridSpan w:val="2"/>
            <w:vMerge w:val="continue"/>
            <w:vAlign w:val="center"/>
          </w:tcPr>
          <w:p w14:paraId="2E6C7731">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12256F1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41247CF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发射支路</w:t>
            </w:r>
          </w:p>
        </w:tc>
        <w:tc>
          <w:tcPr>
            <w:tcW w:w="852" w:type="pct"/>
          </w:tcPr>
          <w:p w14:paraId="2FDB940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781" w:type="pct"/>
            <w:vMerge w:val="continue"/>
            <w:vAlign w:val="center"/>
          </w:tcPr>
          <w:p w14:paraId="15CAD17F">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20D3BFC4">
            <w:pPr>
              <w:pStyle w:val="86"/>
              <w:spacing w:line="360" w:lineRule="auto"/>
              <w:rPr>
                <w:rFonts w:cs="宋体"/>
                <w:color w:val="000000" w:themeColor="text1"/>
                <w:sz w:val="24"/>
                <w:szCs w:val="24"/>
                <w14:textFill>
                  <w14:solidFill>
                    <w14:schemeClr w14:val="tx1"/>
                  </w14:solidFill>
                </w14:textFill>
              </w:rPr>
            </w:pPr>
          </w:p>
        </w:tc>
      </w:tr>
      <w:tr w14:paraId="7BD80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9" w:type="pct"/>
            <w:gridSpan w:val="2"/>
            <w:vMerge w:val="continue"/>
            <w:vAlign w:val="center"/>
          </w:tcPr>
          <w:p w14:paraId="58A0A95B">
            <w:pPr>
              <w:pStyle w:val="86"/>
              <w:spacing w:line="360" w:lineRule="auto"/>
              <w:rPr>
                <w:rFonts w:cs="宋体"/>
                <w:color w:val="000000" w:themeColor="text1"/>
                <w:sz w:val="24"/>
                <w:szCs w:val="24"/>
                <w14:textFill>
                  <w14:solidFill>
                    <w14:schemeClr w14:val="tx1"/>
                  </w14:solidFill>
                </w14:textFill>
              </w:rPr>
            </w:pPr>
          </w:p>
        </w:tc>
        <w:tc>
          <w:tcPr>
            <w:tcW w:w="534" w:type="pct"/>
            <w:vMerge w:val="continue"/>
            <w:vAlign w:val="center"/>
          </w:tcPr>
          <w:p w14:paraId="268DFD79">
            <w:pPr>
              <w:pStyle w:val="86"/>
              <w:spacing w:line="360" w:lineRule="auto"/>
              <w:rPr>
                <w:rFonts w:cs="宋体"/>
                <w:color w:val="000000" w:themeColor="text1"/>
                <w:sz w:val="24"/>
                <w:szCs w:val="24"/>
                <w14:textFill>
                  <w14:solidFill>
                    <w14:schemeClr w14:val="tx1"/>
                  </w14:solidFill>
                </w14:textFill>
              </w:rPr>
            </w:pPr>
          </w:p>
        </w:tc>
        <w:tc>
          <w:tcPr>
            <w:tcW w:w="419" w:type="pct"/>
            <w:gridSpan w:val="2"/>
            <w:vMerge w:val="continue"/>
            <w:vAlign w:val="center"/>
          </w:tcPr>
          <w:p w14:paraId="3041D6A3">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68D3F039">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25B39FB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接收支路</w:t>
            </w:r>
          </w:p>
        </w:tc>
        <w:tc>
          <w:tcPr>
            <w:tcW w:w="852" w:type="pct"/>
          </w:tcPr>
          <w:p w14:paraId="7702DD4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781" w:type="pct"/>
            <w:vMerge w:val="continue"/>
            <w:vAlign w:val="center"/>
          </w:tcPr>
          <w:p w14:paraId="43EF2C81">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498B30B2">
            <w:pPr>
              <w:pStyle w:val="86"/>
              <w:spacing w:line="360" w:lineRule="auto"/>
              <w:rPr>
                <w:rFonts w:cs="宋体"/>
                <w:color w:val="000000" w:themeColor="text1"/>
                <w:sz w:val="24"/>
                <w:szCs w:val="24"/>
                <w14:textFill>
                  <w14:solidFill>
                    <w14:schemeClr w14:val="tx1"/>
                  </w14:solidFill>
                </w14:textFill>
              </w:rPr>
            </w:pPr>
          </w:p>
        </w:tc>
      </w:tr>
      <w:tr w14:paraId="2976C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10"/>
            <w:vAlign w:val="center"/>
          </w:tcPr>
          <w:p w14:paraId="28ED0F7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伺服系统</w:t>
            </w:r>
          </w:p>
        </w:tc>
      </w:tr>
      <w:tr w14:paraId="38DA8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311" w:type="pct"/>
            <w:vMerge w:val="restart"/>
            <w:vAlign w:val="center"/>
          </w:tcPr>
          <w:p w14:paraId="4BE6C50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w:t>
            </w:r>
          </w:p>
        </w:tc>
        <w:tc>
          <w:tcPr>
            <w:tcW w:w="961" w:type="pct"/>
            <w:gridSpan w:val="4"/>
            <w:vMerge w:val="restart"/>
            <w:vAlign w:val="center"/>
          </w:tcPr>
          <w:p w14:paraId="6F22000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天线控制精度最大误差(°)</w:t>
            </w:r>
          </w:p>
        </w:tc>
        <w:tc>
          <w:tcPr>
            <w:tcW w:w="1251" w:type="pct"/>
            <w:gridSpan w:val="2"/>
            <w:vAlign w:val="center"/>
          </w:tcPr>
          <w:p w14:paraId="0668D06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方位</w:t>
            </w:r>
          </w:p>
        </w:tc>
        <w:tc>
          <w:tcPr>
            <w:tcW w:w="852" w:type="pct"/>
            <w:vAlign w:val="center"/>
          </w:tcPr>
          <w:p w14:paraId="7E0F1B89">
            <w:pPr>
              <w:pStyle w:val="86"/>
              <w:spacing w:line="360" w:lineRule="auto"/>
              <w:rPr>
                <w:rFonts w:cs="宋体"/>
                <w:color w:val="000000" w:themeColor="text1"/>
                <w:sz w:val="24"/>
                <w:szCs w:val="24"/>
                <w14:textFill>
                  <w14:solidFill>
                    <w14:schemeClr w14:val="tx1"/>
                  </w14:solidFill>
                </w14:textFill>
              </w:rPr>
            </w:pPr>
          </w:p>
        </w:tc>
        <w:tc>
          <w:tcPr>
            <w:tcW w:w="781" w:type="pct"/>
            <w:vMerge w:val="restart"/>
            <w:vAlign w:val="center"/>
          </w:tcPr>
          <w:p w14:paraId="24A0521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844" w:type="pct"/>
            <w:vMerge w:val="restart"/>
            <w:vAlign w:val="center"/>
          </w:tcPr>
          <w:p w14:paraId="357A88B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426D6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jc w:val="center"/>
        </w:trPr>
        <w:tc>
          <w:tcPr>
            <w:tcW w:w="311" w:type="pct"/>
            <w:vMerge w:val="continue"/>
            <w:vAlign w:val="center"/>
          </w:tcPr>
          <w:p w14:paraId="32A8ED11">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159B7068">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0734075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俯仰</w:t>
            </w:r>
          </w:p>
        </w:tc>
        <w:tc>
          <w:tcPr>
            <w:tcW w:w="852" w:type="pct"/>
            <w:vAlign w:val="center"/>
          </w:tcPr>
          <w:p w14:paraId="720A925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A9CBF24">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0A5D9016">
            <w:pPr>
              <w:pStyle w:val="86"/>
              <w:spacing w:line="360" w:lineRule="auto"/>
              <w:rPr>
                <w:rFonts w:cs="宋体"/>
                <w:color w:val="000000" w:themeColor="text1"/>
                <w:sz w:val="24"/>
                <w:szCs w:val="24"/>
                <w14:textFill>
                  <w14:solidFill>
                    <w14:schemeClr w14:val="tx1"/>
                  </w14:solidFill>
                </w14:textFill>
              </w:rPr>
            </w:pPr>
          </w:p>
        </w:tc>
      </w:tr>
      <w:tr w14:paraId="1A22E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11" w:type="pct"/>
            <w:vMerge w:val="restart"/>
            <w:vAlign w:val="center"/>
          </w:tcPr>
          <w:p w14:paraId="79C1BB6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3</w:t>
            </w:r>
          </w:p>
        </w:tc>
        <w:tc>
          <w:tcPr>
            <w:tcW w:w="961" w:type="pct"/>
            <w:gridSpan w:val="4"/>
            <w:vMerge w:val="restart"/>
            <w:vAlign w:val="center"/>
          </w:tcPr>
          <w:p w14:paraId="183F6CE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天线波束指向最大误差(°)</w:t>
            </w:r>
          </w:p>
        </w:tc>
        <w:tc>
          <w:tcPr>
            <w:tcW w:w="1251" w:type="pct"/>
            <w:gridSpan w:val="2"/>
            <w:vAlign w:val="center"/>
          </w:tcPr>
          <w:p w14:paraId="5442D2E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方位</w:t>
            </w:r>
          </w:p>
        </w:tc>
        <w:tc>
          <w:tcPr>
            <w:tcW w:w="852" w:type="pct"/>
            <w:vAlign w:val="center"/>
          </w:tcPr>
          <w:p w14:paraId="22A0FB93">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4DFF738">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6F1BD763">
            <w:pPr>
              <w:pStyle w:val="86"/>
              <w:spacing w:line="360" w:lineRule="auto"/>
              <w:rPr>
                <w:rFonts w:cs="宋体"/>
                <w:color w:val="000000" w:themeColor="text1"/>
                <w:sz w:val="24"/>
                <w:szCs w:val="24"/>
                <w14:textFill>
                  <w14:solidFill>
                    <w14:schemeClr w14:val="tx1"/>
                  </w14:solidFill>
                </w14:textFill>
              </w:rPr>
            </w:pPr>
          </w:p>
        </w:tc>
      </w:tr>
      <w:tr w14:paraId="4AA50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311" w:type="pct"/>
            <w:vMerge w:val="continue"/>
            <w:vAlign w:val="center"/>
          </w:tcPr>
          <w:p w14:paraId="48C75929">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2B465F1">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7DB7A58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俯仰</w:t>
            </w:r>
          </w:p>
        </w:tc>
        <w:tc>
          <w:tcPr>
            <w:tcW w:w="852" w:type="pct"/>
            <w:vAlign w:val="center"/>
          </w:tcPr>
          <w:p w14:paraId="09569AEB">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5A81DF8B">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4369BDD9">
            <w:pPr>
              <w:pStyle w:val="86"/>
              <w:spacing w:line="360" w:lineRule="auto"/>
              <w:rPr>
                <w:rFonts w:cs="宋体"/>
                <w:color w:val="000000" w:themeColor="text1"/>
                <w:sz w:val="24"/>
                <w:szCs w:val="24"/>
                <w14:textFill>
                  <w14:solidFill>
                    <w14:schemeClr w14:val="tx1"/>
                  </w14:solidFill>
                </w14:textFill>
              </w:rPr>
            </w:pPr>
          </w:p>
        </w:tc>
      </w:tr>
      <w:tr w14:paraId="678F1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311" w:type="pct"/>
            <w:vAlign w:val="center"/>
          </w:tcPr>
          <w:p w14:paraId="38D65B2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4</w:t>
            </w:r>
          </w:p>
        </w:tc>
        <w:tc>
          <w:tcPr>
            <w:tcW w:w="2212" w:type="pct"/>
            <w:gridSpan w:val="6"/>
            <w:vAlign w:val="center"/>
          </w:tcPr>
          <w:p w14:paraId="1273342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天线座水平度(″)</w:t>
            </w:r>
          </w:p>
        </w:tc>
        <w:tc>
          <w:tcPr>
            <w:tcW w:w="852" w:type="pct"/>
            <w:vAlign w:val="center"/>
          </w:tcPr>
          <w:p w14:paraId="68A42E87">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D99EEFE">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1572937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03995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5000" w:type="pct"/>
            <w:gridSpan w:val="10"/>
            <w:vAlign w:val="center"/>
          </w:tcPr>
          <w:p w14:paraId="76A3C3B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w:t>
            </w:r>
          </w:p>
        </w:tc>
      </w:tr>
      <w:tr w14:paraId="68EC9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311" w:type="pct"/>
            <w:vMerge w:val="restart"/>
            <w:vAlign w:val="center"/>
          </w:tcPr>
          <w:p w14:paraId="2DE0B93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5</w:t>
            </w:r>
          </w:p>
        </w:tc>
        <w:tc>
          <w:tcPr>
            <w:tcW w:w="961" w:type="pct"/>
            <w:gridSpan w:val="4"/>
            <w:vMerge w:val="restart"/>
            <w:vAlign w:val="center"/>
          </w:tcPr>
          <w:p w14:paraId="212E22A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发射机脉冲宽度(μs)</w:t>
            </w:r>
          </w:p>
        </w:tc>
        <w:tc>
          <w:tcPr>
            <w:tcW w:w="1251" w:type="pct"/>
            <w:gridSpan w:val="2"/>
            <w:vAlign w:val="center"/>
          </w:tcPr>
          <w:p w14:paraId="01F38EC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vAlign w:val="center"/>
          </w:tcPr>
          <w:p w14:paraId="77B9074F">
            <w:pPr>
              <w:pStyle w:val="86"/>
              <w:spacing w:line="360" w:lineRule="auto"/>
              <w:rPr>
                <w:rFonts w:cs="宋体"/>
                <w:color w:val="000000" w:themeColor="text1"/>
                <w:sz w:val="24"/>
                <w:szCs w:val="24"/>
                <w14:textFill>
                  <w14:solidFill>
                    <w14:schemeClr w14:val="tx1"/>
                  </w14:solidFill>
                </w14:textFill>
              </w:rPr>
            </w:pPr>
          </w:p>
        </w:tc>
        <w:tc>
          <w:tcPr>
            <w:tcW w:w="781" w:type="pct"/>
            <w:vMerge w:val="restart"/>
            <w:vAlign w:val="center"/>
          </w:tcPr>
          <w:p w14:paraId="105A698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844" w:type="pct"/>
            <w:vMerge w:val="restart"/>
            <w:vAlign w:val="center"/>
          </w:tcPr>
          <w:p w14:paraId="778FF66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5CB2D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311" w:type="pct"/>
            <w:vMerge w:val="continue"/>
            <w:vAlign w:val="center"/>
          </w:tcPr>
          <w:p w14:paraId="58AB8E60">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4881EAEA">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3B1DFE6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08B4B43F">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77382AC">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4568B349">
            <w:pPr>
              <w:pStyle w:val="86"/>
              <w:spacing w:line="360" w:lineRule="auto"/>
              <w:rPr>
                <w:rFonts w:cs="宋体"/>
                <w:color w:val="000000" w:themeColor="text1"/>
                <w:sz w:val="24"/>
                <w:szCs w:val="24"/>
                <w14:textFill>
                  <w14:solidFill>
                    <w14:schemeClr w14:val="tx1"/>
                  </w14:solidFill>
                </w14:textFill>
              </w:rPr>
            </w:pPr>
          </w:p>
        </w:tc>
      </w:tr>
      <w:tr w14:paraId="6BFD6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311" w:type="pct"/>
            <w:vMerge w:val="restart"/>
            <w:vAlign w:val="center"/>
          </w:tcPr>
          <w:p w14:paraId="53F6BE0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6</w:t>
            </w:r>
          </w:p>
        </w:tc>
        <w:tc>
          <w:tcPr>
            <w:tcW w:w="961" w:type="pct"/>
            <w:gridSpan w:val="4"/>
            <w:vMerge w:val="restart"/>
            <w:vAlign w:val="center"/>
          </w:tcPr>
          <w:p w14:paraId="3BE41D9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发射机输出峰值功率(W)</w:t>
            </w:r>
          </w:p>
        </w:tc>
        <w:tc>
          <w:tcPr>
            <w:tcW w:w="1251" w:type="pct"/>
            <w:gridSpan w:val="2"/>
            <w:vAlign w:val="center"/>
          </w:tcPr>
          <w:p w14:paraId="394FA23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tcPr>
          <w:p w14:paraId="3F0EDD97">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3857B9E1">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1882C64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机内/机外</w:t>
            </w:r>
          </w:p>
        </w:tc>
      </w:tr>
      <w:tr w14:paraId="12E0E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311" w:type="pct"/>
            <w:vMerge w:val="continue"/>
            <w:vAlign w:val="center"/>
          </w:tcPr>
          <w:p w14:paraId="74701383">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AA97BC2">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22FD7BF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718ABA27">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214662C">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13A09781">
            <w:pPr>
              <w:pStyle w:val="86"/>
              <w:spacing w:line="360" w:lineRule="auto"/>
              <w:rPr>
                <w:rFonts w:cs="宋体"/>
                <w:color w:val="000000" w:themeColor="text1"/>
                <w:sz w:val="24"/>
                <w:szCs w:val="24"/>
                <w14:textFill>
                  <w14:solidFill>
                    <w14:schemeClr w14:val="tx1"/>
                  </w14:solidFill>
                </w14:textFill>
              </w:rPr>
            </w:pPr>
          </w:p>
        </w:tc>
      </w:tr>
      <w:tr w14:paraId="0CEB8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311" w:type="pct"/>
            <w:vMerge w:val="continue"/>
            <w:vAlign w:val="center"/>
          </w:tcPr>
          <w:p w14:paraId="599245DC">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5B8EFCAF">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1780B7C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tcPr>
          <w:p w14:paraId="4016AD26">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0FD6791">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547AFA92">
            <w:pPr>
              <w:pStyle w:val="86"/>
              <w:spacing w:line="360" w:lineRule="auto"/>
              <w:rPr>
                <w:rFonts w:cs="宋体"/>
                <w:color w:val="000000" w:themeColor="text1"/>
                <w:sz w:val="24"/>
                <w:szCs w:val="24"/>
                <w14:textFill>
                  <w14:solidFill>
                    <w14:schemeClr w14:val="tx1"/>
                  </w14:solidFill>
                </w14:textFill>
              </w:rPr>
            </w:pPr>
          </w:p>
        </w:tc>
      </w:tr>
      <w:tr w14:paraId="5FF07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11" w:type="pct"/>
            <w:vMerge w:val="continue"/>
            <w:vAlign w:val="center"/>
          </w:tcPr>
          <w:p w14:paraId="426052BB">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452ABCD">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72957F1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6C3A3261">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FABB1F2">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48D64A62">
            <w:pPr>
              <w:pStyle w:val="86"/>
              <w:spacing w:line="360" w:lineRule="auto"/>
              <w:rPr>
                <w:rFonts w:cs="宋体"/>
                <w:color w:val="000000" w:themeColor="text1"/>
                <w:sz w:val="24"/>
                <w:szCs w:val="24"/>
                <w14:textFill>
                  <w14:solidFill>
                    <w14:schemeClr w14:val="tx1"/>
                  </w14:solidFill>
                </w14:textFill>
              </w:rPr>
            </w:pPr>
          </w:p>
        </w:tc>
      </w:tr>
      <w:tr w14:paraId="31ED9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11" w:type="pct"/>
            <w:vMerge w:val="restart"/>
            <w:vAlign w:val="center"/>
          </w:tcPr>
          <w:p w14:paraId="272B2AA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7</w:t>
            </w:r>
          </w:p>
        </w:tc>
        <w:tc>
          <w:tcPr>
            <w:tcW w:w="961" w:type="pct"/>
            <w:gridSpan w:val="4"/>
            <w:vMerge w:val="restart"/>
            <w:vAlign w:val="center"/>
          </w:tcPr>
          <w:p w14:paraId="3E0FC1C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发射机谱宽特性(MHz)</w:t>
            </w:r>
          </w:p>
        </w:tc>
        <w:tc>
          <w:tcPr>
            <w:tcW w:w="604" w:type="pct"/>
            <w:vMerge w:val="restart"/>
            <w:vAlign w:val="center"/>
          </w:tcPr>
          <w:p w14:paraId="7D89ADD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左频偏</w:t>
            </w:r>
          </w:p>
        </w:tc>
        <w:tc>
          <w:tcPr>
            <w:tcW w:w="647" w:type="pct"/>
            <w:vAlign w:val="center"/>
          </w:tcPr>
          <w:p w14:paraId="25DF9E1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≤1MHz</w:t>
            </w:r>
          </w:p>
        </w:tc>
        <w:tc>
          <w:tcPr>
            <w:tcW w:w="852" w:type="pct"/>
          </w:tcPr>
          <w:p w14:paraId="0EC1028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D8A6F33">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62D8CAE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距中心频率频谱线衰减量-40dB处，机外</w:t>
            </w:r>
          </w:p>
        </w:tc>
      </w:tr>
      <w:tr w14:paraId="39158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041DC316">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4D1D101">
            <w:pPr>
              <w:pStyle w:val="86"/>
              <w:spacing w:line="360" w:lineRule="auto"/>
              <w:rPr>
                <w:rFonts w:cs="宋体"/>
                <w:color w:val="000000" w:themeColor="text1"/>
                <w:sz w:val="24"/>
                <w:szCs w:val="24"/>
                <w14:textFill>
                  <w14:solidFill>
                    <w14:schemeClr w14:val="tx1"/>
                  </w14:solidFill>
                </w14:textFill>
              </w:rPr>
            </w:pPr>
          </w:p>
        </w:tc>
        <w:tc>
          <w:tcPr>
            <w:tcW w:w="604" w:type="pct"/>
            <w:vMerge w:val="continue"/>
          </w:tcPr>
          <w:p w14:paraId="004BB4B6">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73605712">
            <w:pPr>
              <w:pStyle w:val="86"/>
              <w:spacing w:line="360" w:lineRule="auto"/>
              <w:rPr>
                <w:rFonts w:cs="宋体"/>
                <w:color w:val="000000" w:themeColor="text1"/>
                <w:sz w:val="24"/>
                <w:szCs w:val="24"/>
                <w14:textFill>
                  <w14:solidFill>
                    <w14:schemeClr w14:val="tx1"/>
                  </w14:solidFill>
                </w14:textFill>
              </w:rPr>
            </w:pPr>
          </w:p>
        </w:tc>
        <w:tc>
          <w:tcPr>
            <w:tcW w:w="852" w:type="pct"/>
          </w:tcPr>
          <w:p w14:paraId="51F94D2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4115330">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07B154F9">
            <w:pPr>
              <w:pStyle w:val="86"/>
              <w:spacing w:line="360" w:lineRule="auto"/>
              <w:rPr>
                <w:rFonts w:cs="宋体"/>
                <w:color w:val="000000" w:themeColor="text1"/>
                <w:sz w:val="24"/>
                <w:szCs w:val="24"/>
                <w14:textFill>
                  <w14:solidFill>
                    <w14:schemeClr w14:val="tx1"/>
                  </w14:solidFill>
                </w14:textFill>
              </w:rPr>
            </w:pPr>
          </w:p>
        </w:tc>
      </w:tr>
      <w:tr w14:paraId="2D51D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0965F500">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774BCDF">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447E6F8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右频偏</w:t>
            </w:r>
          </w:p>
        </w:tc>
        <w:tc>
          <w:tcPr>
            <w:tcW w:w="647" w:type="pct"/>
            <w:vAlign w:val="center"/>
          </w:tcPr>
          <w:p w14:paraId="4188A66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≤1MHz</w:t>
            </w:r>
          </w:p>
        </w:tc>
        <w:tc>
          <w:tcPr>
            <w:tcW w:w="852" w:type="pct"/>
          </w:tcPr>
          <w:p w14:paraId="326528B2">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DD6F5A0">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6A99E778">
            <w:pPr>
              <w:pStyle w:val="86"/>
              <w:spacing w:line="360" w:lineRule="auto"/>
              <w:rPr>
                <w:rFonts w:cs="宋体"/>
                <w:color w:val="000000" w:themeColor="text1"/>
                <w:sz w:val="24"/>
                <w:szCs w:val="24"/>
                <w14:textFill>
                  <w14:solidFill>
                    <w14:schemeClr w14:val="tx1"/>
                  </w14:solidFill>
                </w14:textFill>
              </w:rPr>
            </w:pPr>
          </w:p>
        </w:tc>
      </w:tr>
      <w:tr w14:paraId="3A570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3816088B">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4052924A">
            <w:pPr>
              <w:pStyle w:val="86"/>
              <w:spacing w:line="360" w:lineRule="auto"/>
              <w:rPr>
                <w:rFonts w:cs="宋体"/>
                <w:color w:val="000000" w:themeColor="text1"/>
                <w:sz w:val="24"/>
                <w:szCs w:val="24"/>
                <w14:textFill>
                  <w14:solidFill>
                    <w14:schemeClr w14:val="tx1"/>
                  </w14:solidFill>
                </w14:textFill>
              </w:rPr>
            </w:pPr>
          </w:p>
        </w:tc>
        <w:tc>
          <w:tcPr>
            <w:tcW w:w="604" w:type="pct"/>
            <w:vMerge w:val="continue"/>
          </w:tcPr>
          <w:p w14:paraId="3AC2F9E6">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64F9BE4D">
            <w:pPr>
              <w:pStyle w:val="86"/>
              <w:spacing w:line="360" w:lineRule="auto"/>
              <w:rPr>
                <w:rFonts w:cs="宋体"/>
                <w:color w:val="000000" w:themeColor="text1"/>
                <w:sz w:val="24"/>
                <w:szCs w:val="24"/>
                <w14:textFill>
                  <w14:solidFill>
                    <w14:schemeClr w14:val="tx1"/>
                  </w14:solidFill>
                </w14:textFill>
              </w:rPr>
            </w:pPr>
          </w:p>
        </w:tc>
        <w:tc>
          <w:tcPr>
            <w:tcW w:w="852" w:type="pct"/>
          </w:tcPr>
          <w:p w14:paraId="5C067054">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E1036FB">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4F1A2DAC">
            <w:pPr>
              <w:pStyle w:val="86"/>
              <w:spacing w:line="360" w:lineRule="auto"/>
              <w:rPr>
                <w:rFonts w:cs="宋体"/>
                <w:color w:val="000000" w:themeColor="text1"/>
                <w:sz w:val="24"/>
                <w:szCs w:val="24"/>
                <w14:textFill>
                  <w14:solidFill>
                    <w14:schemeClr w14:val="tx1"/>
                  </w14:solidFill>
                </w14:textFill>
              </w:rPr>
            </w:pPr>
          </w:p>
        </w:tc>
      </w:tr>
      <w:tr w14:paraId="75EEC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11" w:type="pct"/>
            <w:vMerge w:val="restart"/>
            <w:vAlign w:val="center"/>
          </w:tcPr>
          <w:p w14:paraId="38CC929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8</w:t>
            </w:r>
          </w:p>
        </w:tc>
        <w:tc>
          <w:tcPr>
            <w:tcW w:w="961" w:type="pct"/>
            <w:gridSpan w:val="4"/>
            <w:vMerge w:val="restart"/>
            <w:vAlign w:val="center"/>
          </w:tcPr>
          <w:p w14:paraId="1B21676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发射机输出极限改善因子和信噪比(dB)</w:t>
            </w:r>
          </w:p>
        </w:tc>
        <w:tc>
          <w:tcPr>
            <w:tcW w:w="1251" w:type="pct"/>
            <w:gridSpan w:val="2"/>
            <w:vAlign w:val="center"/>
          </w:tcPr>
          <w:p w14:paraId="6B89AAF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频谱仪分析带宽10Hz</w:t>
            </w:r>
          </w:p>
        </w:tc>
        <w:tc>
          <w:tcPr>
            <w:tcW w:w="852" w:type="pct"/>
            <w:vMerge w:val="restart"/>
          </w:tcPr>
          <w:p w14:paraId="1B71CFC8">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83CE8B8">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53B8DC7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1F1B9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11" w:type="pct"/>
            <w:vMerge w:val="continue"/>
            <w:vAlign w:val="center"/>
          </w:tcPr>
          <w:p w14:paraId="64E400F5">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1A05AA9F">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666F53A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重复频率3120Hz</w:t>
            </w:r>
          </w:p>
        </w:tc>
        <w:tc>
          <w:tcPr>
            <w:tcW w:w="852" w:type="pct"/>
            <w:vMerge w:val="continue"/>
          </w:tcPr>
          <w:p w14:paraId="57E908DB">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2059593">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4B47DDFA">
            <w:pPr>
              <w:pStyle w:val="86"/>
              <w:spacing w:line="360" w:lineRule="auto"/>
              <w:rPr>
                <w:rFonts w:cs="宋体"/>
                <w:color w:val="000000" w:themeColor="text1"/>
                <w:sz w:val="24"/>
                <w:szCs w:val="24"/>
                <w14:textFill>
                  <w14:solidFill>
                    <w14:schemeClr w14:val="tx1"/>
                  </w14:solidFill>
                </w14:textFill>
              </w:rPr>
            </w:pPr>
          </w:p>
        </w:tc>
      </w:tr>
      <w:tr w14:paraId="361EB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11" w:type="pct"/>
            <w:vMerge w:val="continue"/>
            <w:vAlign w:val="center"/>
          </w:tcPr>
          <w:p w14:paraId="0027E27A">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152814AD">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3DADE6B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信噪比≥85dB</w:t>
            </w:r>
          </w:p>
        </w:tc>
        <w:tc>
          <w:tcPr>
            <w:tcW w:w="852" w:type="pct"/>
            <w:vMerge w:val="continue"/>
            <w:vAlign w:val="center"/>
          </w:tcPr>
          <w:p w14:paraId="5379200D">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8CF84C3">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7C251835">
            <w:pPr>
              <w:pStyle w:val="86"/>
              <w:spacing w:line="360" w:lineRule="auto"/>
              <w:rPr>
                <w:rFonts w:cs="宋体"/>
                <w:color w:val="000000" w:themeColor="text1"/>
                <w:sz w:val="24"/>
                <w:szCs w:val="24"/>
                <w14:textFill>
                  <w14:solidFill>
                    <w14:schemeClr w14:val="tx1"/>
                  </w14:solidFill>
                </w14:textFill>
              </w:rPr>
            </w:pPr>
          </w:p>
        </w:tc>
      </w:tr>
      <w:tr w14:paraId="5D499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5000" w:type="pct"/>
            <w:gridSpan w:val="10"/>
            <w:vAlign w:val="center"/>
          </w:tcPr>
          <w:p w14:paraId="53040BE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接收机</w:t>
            </w:r>
          </w:p>
        </w:tc>
      </w:tr>
      <w:tr w14:paraId="79DCA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restart"/>
            <w:vAlign w:val="center"/>
          </w:tcPr>
          <w:p w14:paraId="6C03A11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9</w:t>
            </w:r>
          </w:p>
        </w:tc>
        <w:tc>
          <w:tcPr>
            <w:tcW w:w="961" w:type="pct"/>
            <w:gridSpan w:val="4"/>
            <w:vMerge w:val="restart"/>
            <w:vAlign w:val="center"/>
          </w:tcPr>
          <w:p w14:paraId="6248143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接收机噪声系数(dB)</w:t>
            </w:r>
          </w:p>
        </w:tc>
        <w:tc>
          <w:tcPr>
            <w:tcW w:w="604" w:type="pct"/>
            <w:vMerge w:val="restart"/>
            <w:vAlign w:val="center"/>
          </w:tcPr>
          <w:p w14:paraId="023BB36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475D7BA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≤3dB</w:t>
            </w:r>
          </w:p>
        </w:tc>
        <w:tc>
          <w:tcPr>
            <w:tcW w:w="852" w:type="pct"/>
          </w:tcPr>
          <w:p w14:paraId="685ED48C">
            <w:pPr>
              <w:pStyle w:val="86"/>
              <w:spacing w:line="360" w:lineRule="auto"/>
              <w:rPr>
                <w:rFonts w:cs="宋体"/>
                <w:color w:val="000000" w:themeColor="text1"/>
                <w:sz w:val="24"/>
                <w:szCs w:val="24"/>
                <w14:textFill>
                  <w14:solidFill>
                    <w14:schemeClr w14:val="tx1"/>
                  </w14:solidFill>
                </w14:textFill>
              </w:rPr>
            </w:pPr>
          </w:p>
        </w:tc>
        <w:tc>
          <w:tcPr>
            <w:tcW w:w="781" w:type="pct"/>
            <w:vMerge w:val="restart"/>
            <w:vAlign w:val="center"/>
          </w:tcPr>
          <w:p w14:paraId="190CE5E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844" w:type="pct"/>
            <w:vMerge w:val="restart"/>
            <w:vAlign w:val="center"/>
          </w:tcPr>
          <w:p w14:paraId="1EDC05F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1C019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20B972C9">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5754EC8">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005C0642">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6568BCE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7E24138E">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90F1FCD">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6443E6FE">
            <w:pPr>
              <w:pStyle w:val="86"/>
              <w:spacing w:line="360" w:lineRule="auto"/>
              <w:rPr>
                <w:rFonts w:cs="宋体"/>
                <w:color w:val="000000" w:themeColor="text1"/>
                <w:sz w:val="24"/>
                <w:szCs w:val="24"/>
                <w14:textFill>
                  <w14:solidFill>
                    <w14:schemeClr w14:val="tx1"/>
                  </w14:solidFill>
                </w14:textFill>
              </w:rPr>
            </w:pPr>
          </w:p>
        </w:tc>
      </w:tr>
      <w:tr w14:paraId="61D7C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032CB6E3">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6570D603">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34CF301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0B74F4F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≤3dB</w:t>
            </w:r>
          </w:p>
        </w:tc>
        <w:tc>
          <w:tcPr>
            <w:tcW w:w="852" w:type="pct"/>
          </w:tcPr>
          <w:p w14:paraId="20E779CF">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B38C341">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7BA77245">
            <w:pPr>
              <w:pStyle w:val="86"/>
              <w:spacing w:line="360" w:lineRule="auto"/>
              <w:rPr>
                <w:rFonts w:cs="宋体"/>
                <w:color w:val="000000" w:themeColor="text1"/>
                <w:sz w:val="24"/>
                <w:szCs w:val="24"/>
                <w14:textFill>
                  <w14:solidFill>
                    <w14:schemeClr w14:val="tx1"/>
                  </w14:solidFill>
                </w14:textFill>
              </w:rPr>
            </w:pPr>
          </w:p>
        </w:tc>
      </w:tr>
      <w:tr w14:paraId="03035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2D6EC232">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D1CB1DD">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20E01985">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503FB99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37BEB6A2">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A713F37">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5592FD11">
            <w:pPr>
              <w:pStyle w:val="86"/>
              <w:spacing w:line="360" w:lineRule="auto"/>
              <w:rPr>
                <w:rFonts w:cs="宋体"/>
                <w:color w:val="000000" w:themeColor="text1"/>
                <w:sz w:val="24"/>
                <w:szCs w:val="24"/>
                <w14:textFill>
                  <w14:solidFill>
                    <w14:schemeClr w14:val="tx1"/>
                  </w14:solidFill>
                </w14:textFill>
              </w:rPr>
            </w:pPr>
          </w:p>
        </w:tc>
      </w:tr>
      <w:tr w14:paraId="68B9A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3256EE7A">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4C0797C9">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5A56E63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52CAB0E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≤3dB</w:t>
            </w:r>
          </w:p>
        </w:tc>
        <w:tc>
          <w:tcPr>
            <w:tcW w:w="852" w:type="pct"/>
          </w:tcPr>
          <w:p w14:paraId="44F1A7D2">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5C00094">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31E2E6B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637A6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36985E93">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E70F09E">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1DCB8E41">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251D179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681E3293">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98718E0">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7ED243A8">
            <w:pPr>
              <w:pStyle w:val="86"/>
              <w:spacing w:line="360" w:lineRule="auto"/>
              <w:rPr>
                <w:rFonts w:cs="宋体"/>
                <w:color w:val="000000" w:themeColor="text1"/>
                <w:sz w:val="24"/>
                <w:szCs w:val="24"/>
                <w14:textFill>
                  <w14:solidFill>
                    <w14:schemeClr w14:val="tx1"/>
                  </w14:solidFill>
                </w14:textFill>
              </w:rPr>
            </w:pPr>
          </w:p>
        </w:tc>
      </w:tr>
      <w:tr w14:paraId="7C298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6AF3E8CA">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A366B58">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04C0E06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766E2D5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≤3dB</w:t>
            </w:r>
          </w:p>
        </w:tc>
        <w:tc>
          <w:tcPr>
            <w:tcW w:w="852" w:type="pct"/>
          </w:tcPr>
          <w:p w14:paraId="7BCED6A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90D6902">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22824F50">
            <w:pPr>
              <w:pStyle w:val="86"/>
              <w:spacing w:line="360" w:lineRule="auto"/>
              <w:rPr>
                <w:rFonts w:cs="宋体"/>
                <w:color w:val="000000" w:themeColor="text1"/>
                <w:sz w:val="24"/>
                <w:szCs w:val="24"/>
                <w14:textFill>
                  <w14:solidFill>
                    <w14:schemeClr w14:val="tx1"/>
                  </w14:solidFill>
                </w14:textFill>
              </w:rPr>
            </w:pPr>
          </w:p>
        </w:tc>
      </w:tr>
      <w:tr w14:paraId="15990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5FDB9D41">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72CA7A6">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57284765">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3F47E17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43A1115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522BCD4">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70B2C769">
            <w:pPr>
              <w:pStyle w:val="86"/>
              <w:spacing w:line="360" w:lineRule="auto"/>
              <w:rPr>
                <w:rFonts w:cs="宋体"/>
                <w:color w:val="000000" w:themeColor="text1"/>
                <w:sz w:val="24"/>
                <w:szCs w:val="24"/>
                <w14:textFill>
                  <w14:solidFill>
                    <w14:schemeClr w14:val="tx1"/>
                  </w14:solidFill>
                </w14:textFill>
              </w:rPr>
            </w:pPr>
          </w:p>
        </w:tc>
      </w:tr>
      <w:tr w14:paraId="7988E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restart"/>
            <w:vAlign w:val="center"/>
          </w:tcPr>
          <w:p w14:paraId="29FDFB9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10</w:t>
            </w:r>
          </w:p>
        </w:tc>
        <w:tc>
          <w:tcPr>
            <w:tcW w:w="961" w:type="pct"/>
            <w:gridSpan w:val="4"/>
            <w:vMerge w:val="restart"/>
            <w:vAlign w:val="center"/>
          </w:tcPr>
          <w:p w14:paraId="0FAA99D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接收机线性动态范围(dB)</w:t>
            </w:r>
          </w:p>
        </w:tc>
        <w:tc>
          <w:tcPr>
            <w:tcW w:w="604" w:type="pct"/>
            <w:vAlign w:val="center"/>
          </w:tcPr>
          <w:p w14:paraId="1EDCA4D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11ACE73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≥95dB</w:t>
            </w:r>
          </w:p>
        </w:tc>
        <w:tc>
          <w:tcPr>
            <w:tcW w:w="852" w:type="pct"/>
          </w:tcPr>
          <w:p w14:paraId="312EB5F2">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806C8A6">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674C69E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15670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1478F18E">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7ED7A37B">
            <w:pPr>
              <w:pStyle w:val="86"/>
              <w:spacing w:line="360" w:lineRule="auto"/>
              <w:rPr>
                <w:rFonts w:cs="宋体"/>
                <w:color w:val="000000" w:themeColor="text1"/>
                <w:sz w:val="24"/>
                <w:szCs w:val="24"/>
                <w14:textFill>
                  <w14:solidFill>
                    <w14:schemeClr w14:val="tx1"/>
                  </w14:solidFill>
                </w14:textFill>
              </w:rPr>
            </w:pPr>
          </w:p>
        </w:tc>
        <w:tc>
          <w:tcPr>
            <w:tcW w:w="604" w:type="pct"/>
            <w:vAlign w:val="center"/>
          </w:tcPr>
          <w:p w14:paraId="31A7B02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091D956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≥95dB</w:t>
            </w:r>
          </w:p>
        </w:tc>
        <w:tc>
          <w:tcPr>
            <w:tcW w:w="852" w:type="pct"/>
          </w:tcPr>
          <w:p w14:paraId="4EFA0E20">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9FCBCCF">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1FE45394">
            <w:pPr>
              <w:pStyle w:val="86"/>
              <w:spacing w:line="360" w:lineRule="auto"/>
              <w:rPr>
                <w:rFonts w:cs="宋体"/>
                <w:color w:val="000000" w:themeColor="text1"/>
                <w:sz w:val="24"/>
                <w:szCs w:val="24"/>
                <w14:textFill>
                  <w14:solidFill>
                    <w14:schemeClr w14:val="tx1"/>
                  </w14:solidFill>
                </w14:textFill>
              </w:rPr>
            </w:pPr>
          </w:p>
        </w:tc>
      </w:tr>
      <w:tr w14:paraId="5C826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2D048093">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0C5607F">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4F139A7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3E1A89A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≥95dB</w:t>
            </w:r>
          </w:p>
        </w:tc>
        <w:tc>
          <w:tcPr>
            <w:tcW w:w="852" w:type="pct"/>
          </w:tcPr>
          <w:p w14:paraId="1B1F6FC9">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0103AA1">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29A5E65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11D24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11868844">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7126426F">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63CFA331">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2FB48D3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3C99EE24">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851A448">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6F1849C0">
            <w:pPr>
              <w:pStyle w:val="86"/>
              <w:spacing w:line="360" w:lineRule="auto"/>
              <w:rPr>
                <w:rFonts w:cs="宋体"/>
                <w:color w:val="000000" w:themeColor="text1"/>
                <w:sz w:val="24"/>
                <w:szCs w:val="24"/>
                <w14:textFill>
                  <w14:solidFill>
                    <w14:schemeClr w14:val="tx1"/>
                  </w14:solidFill>
                </w14:textFill>
              </w:rPr>
            </w:pPr>
          </w:p>
        </w:tc>
      </w:tr>
      <w:tr w14:paraId="79F7C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4AA0CF40">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163BAB83">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0A2F6B3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5831511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≥95dB</w:t>
            </w:r>
          </w:p>
        </w:tc>
        <w:tc>
          <w:tcPr>
            <w:tcW w:w="852" w:type="pct"/>
          </w:tcPr>
          <w:p w14:paraId="77016C1F">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C9DD002">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1D41A230">
            <w:pPr>
              <w:pStyle w:val="86"/>
              <w:spacing w:line="360" w:lineRule="auto"/>
              <w:rPr>
                <w:rFonts w:cs="宋体"/>
                <w:color w:val="000000" w:themeColor="text1"/>
                <w:sz w:val="24"/>
                <w:szCs w:val="24"/>
                <w14:textFill>
                  <w14:solidFill>
                    <w14:schemeClr w14:val="tx1"/>
                  </w14:solidFill>
                </w14:textFill>
              </w:rPr>
            </w:pPr>
          </w:p>
        </w:tc>
      </w:tr>
      <w:tr w14:paraId="6B211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32946F76">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384DD5C">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1B2CBD95">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1E71C89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0E28D299">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F240296">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33840784">
            <w:pPr>
              <w:pStyle w:val="86"/>
              <w:spacing w:line="360" w:lineRule="auto"/>
              <w:rPr>
                <w:rFonts w:cs="宋体"/>
                <w:color w:val="000000" w:themeColor="text1"/>
                <w:sz w:val="24"/>
                <w:szCs w:val="24"/>
                <w14:textFill>
                  <w14:solidFill>
                    <w14:schemeClr w14:val="tx1"/>
                  </w14:solidFill>
                </w14:textFill>
              </w:rPr>
            </w:pPr>
          </w:p>
        </w:tc>
      </w:tr>
      <w:tr w14:paraId="76374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restart"/>
            <w:vAlign w:val="center"/>
          </w:tcPr>
          <w:p w14:paraId="6E7BEA8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11</w:t>
            </w:r>
          </w:p>
        </w:tc>
        <w:tc>
          <w:tcPr>
            <w:tcW w:w="961" w:type="pct"/>
            <w:gridSpan w:val="4"/>
            <w:vMerge w:val="restart"/>
            <w:vAlign w:val="center"/>
          </w:tcPr>
          <w:p w14:paraId="22E268F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最小可测功率(dBm)</w:t>
            </w:r>
          </w:p>
        </w:tc>
        <w:tc>
          <w:tcPr>
            <w:tcW w:w="604" w:type="pct"/>
            <w:vMerge w:val="restart"/>
            <w:vAlign w:val="center"/>
          </w:tcPr>
          <w:p w14:paraId="62E1665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7C1F90D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≤-110dBm（带宽 1MHz）</w:t>
            </w:r>
          </w:p>
        </w:tc>
        <w:tc>
          <w:tcPr>
            <w:tcW w:w="852" w:type="pct"/>
          </w:tcPr>
          <w:p w14:paraId="62053AC9">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DAD1C63">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75270D5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7B9F5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421FA16B">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52806C99">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23D3048C">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716235F7">
            <w:pPr>
              <w:pStyle w:val="86"/>
              <w:spacing w:line="360" w:lineRule="auto"/>
              <w:rPr>
                <w:rFonts w:cs="宋体"/>
                <w:color w:val="000000" w:themeColor="text1"/>
                <w:sz w:val="24"/>
                <w:szCs w:val="24"/>
                <w14:textFill>
                  <w14:solidFill>
                    <w14:schemeClr w14:val="tx1"/>
                  </w14:solidFill>
                </w14:textFill>
              </w:rPr>
            </w:pPr>
          </w:p>
        </w:tc>
        <w:tc>
          <w:tcPr>
            <w:tcW w:w="852" w:type="pct"/>
          </w:tcPr>
          <w:p w14:paraId="5FBD2D07">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7755FBF">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6CE72C67">
            <w:pPr>
              <w:pStyle w:val="86"/>
              <w:spacing w:line="360" w:lineRule="auto"/>
              <w:rPr>
                <w:rFonts w:cs="宋体"/>
                <w:color w:val="000000" w:themeColor="text1"/>
                <w:sz w:val="24"/>
                <w:szCs w:val="24"/>
                <w14:textFill>
                  <w14:solidFill>
                    <w14:schemeClr w14:val="tx1"/>
                  </w14:solidFill>
                </w14:textFill>
              </w:rPr>
            </w:pPr>
          </w:p>
        </w:tc>
      </w:tr>
      <w:tr w14:paraId="749B9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2B8F1FED">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CC89ED7">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27826C7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5188845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≤-110dBm（带宽 1MHz）</w:t>
            </w:r>
          </w:p>
        </w:tc>
        <w:tc>
          <w:tcPr>
            <w:tcW w:w="852" w:type="pct"/>
          </w:tcPr>
          <w:p w14:paraId="7D4B1A9B">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548B44E">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1139E1E4">
            <w:pPr>
              <w:pStyle w:val="86"/>
              <w:spacing w:line="360" w:lineRule="auto"/>
              <w:rPr>
                <w:rFonts w:cs="宋体"/>
                <w:color w:val="000000" w:themeColor="text1"/>
                <w:sz w:val="24"/>
                <w:szCs w:val="24"/>
                <w14:textFill>
                  <w14:solidFill>
                    <w14:schemeClr w14:val="tx1"/>
                  </w14:solidFill>
                </w14:textFill>
              </w:rPr>
            </w:pPr>
          </w:p>
        </w:tc>
      </w:tr>
      <w:tr w14:paraId="61C71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109EF124">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3C95A94D">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548CC3CA">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37400DE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2F621183">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046AA13">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11F792CA">
            <w:pPr>
              <w:pStyle w:val="86"/>
              <w:spacing w:line="360" w:lineRule="auto"/>
              <w:rPr>
                <w:rFonts w:cs="宋体"/>
                <w:color w:val="000000" w:themeColor="text1"/>
                <w:sz w:val="24"/>
                <w:szCs w:val="24"/>
                <w14:textFill>
                  <w14:solidFill>
                    <w14:schemeClr w14:val="tx1"/>
                  </w14:solidFill>
                </w14:textFill>
              </w:rPr>
            </w:pPr>
          </w:p>
        </w:tc>
      </w:tr>
      <w:tr w14:paraId="46BD7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restart"/>
            <w:vAlign w:val="center"/>
          </w:tcPr>
          <w:p w14:paraId="2E5D5A3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12</w:t>
            </w:r>
          </w:p>
        </w:tc>
        <w:tc>
          <w:tcPr>
            <w:tcW w:w="961" w:type="pct"/>
            <w:gridSpan w:val="4"/>
            <w:vMerge w:val="restart"/>
            <w:vAlign w:val="center"/>
          </w:tcPr>
          <w:p w14:paraId="4E5A949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脉冲压缩主副瓣比(dB)</w:t>
            </w:r>
          </w:p>
        </w:tc>
        <w:tc>
          <w:tcPr>
            <w:tcW w:w="1251" w:type="pct"/>
            <w:gridSpan w:val="2"/>
            <w:vAlign w:val="center"/>
          </w:tcPr>
          <w:p w14:paraId="04046AC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38815E63">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560ECCBD">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10D1412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05071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311" w:type="pct"/>
            <w:vMerge w:val="continue"/>
            <w:vAlign w:val="center"/>
          </w:tcPr>
          <w:p w14:paraId="6D387016">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930F23B">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55C98D2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脉压比≥40dB</w:t>
            </w:r>
          </w:p>
        </w:tc>
        <w:tc>
          <w:tcPr>
            <w:tcW w:w="852" w:type="pct"/>
          </w:tcPr>
          <w:p w14:paraId="303A366B">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4466164">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5B130DD9">
            <w:pPr>
              <w:pStyle w:val="86"/>
              <w:spacing w:line="360" w:lineRule="auto"/>
              <w:rPr>
                <w:rFonts w:cs="宋体"/>
                <w:color w:val="000000" w:themeColor="text1"/>
                <w:sz w:val="24"/>
                <w:szCs w:val="24"/>
                <w14:textFill>
                  <w14:solidFill>
                    <w14:schemeClr w14:val="tx1"/>
                  </w14:solidFill>
                </w14:textFill>
              </w:rPr>
            </w:pPr>
          </w:p>
        </w:tc>
      </w:tr>
      <w:tr w14:paraId="6ACCF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5000" w:type="pct"/>
            <w:gridSpan w:val="10"/>
            <w:vAlign w:val="center"/>
          </w:tcPr>
          <w:p w14:paraId="7B82FA6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系统指标</w:t>
            </w:r>
          </w:p>
        </w:tc>
      </w:tr>
      <w:tr w14:paraId="556D4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311" w:type="pct"/>
            <w:vMerge w:val="restart"/>
            <w:vAlign w:val="center"/>
          </w:tcPr>
          <w:p w14:paraId="53E186A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13</w:t>
            </w:r>
          </w:p>
        </w:tc>
        <w:tc>
          <w:tcPr>
            <w:tcW w:w="961" w:type="pct"/>
            <w:gridSpan w:val="4"/>
            <w:vMerge w:val="restart"/>
            <w:vAlign w:val="center"/>
          </w:tcPr>
          <w:p w14:paraId="0DF8996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双偏振参数检验</w:t>
            </w:r>
          </w:p>
        </w:tc>
        <w:tc>
          <w:tcPr>
            <w:tcW w:w="1251" w:type="pct"/>
            <w:gridSpan w:val="2"/>
            <w:vMerge w:val="restart"/>
            <w:vAlign w:val="center"/>
          </w:tcPr>
          <w:p w14:paraId="1521D63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差分反射率标准差(dB)</w:t>
            </w:r>
          </w:p>
        </w:tc>
        <w:tc>
          <w:tcPr>
            <w:tcW w:w="852" w:type="pct"/>
          </w:tcPr>
          <w:p w14:paraId="4E24C97C">
            <w:pPr>
              <w:pStyle w:val="86"/>
              <w:spacing w:line="360" w:lineRule="auto"/>
              <w:rPr>
                <w:rFonts w:cs="宋体"/>
                <w:color w:val="000000" w:themeColor="text1"/>
                <w:sz w:val="24"/>
                <w:szCs w:val="24"/>
                <w14:textFill>
                  <w14:solidFill>
                    <w14:schemeClr w14:val="tx1"/>
                  </w14:solidFill>
                </w14:textFill>
              </w:rPr>
            </w:pPr>
          </w:p>
        </w:tc>
        <w:tc>
          <w:tcPr>
            <w:tcW w:w="781" w:type="pct"/>
            <w:vMerge w:val="restart"/>
            <w:vAlign w:val="center"/>
          </w:tcPr>
          <w:p w14:paraId="7452866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（填数值）</w:t>
            </w:r>
          </w:p>
        </w:tc>
        <w:tc>
          <w:tcPr>
            <w:tcW w:w="844" w:type="pct"/>
            <w:vAlign w:val="center"/>
          </w:tcPr>
          <w:p w14:paraId="1CFA9D3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4352A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5D1018FC">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4D9B760E">
            <w:pPr>
              <w:pStyle w:val="86"/>
              <w:spacing w:line="360" w:lineRule="auto"/>
              <w:rPr>
                <w:rFonts w:cs="宋体"/>
                <w:color w:val="000000" w:themeColor="text1"/>
                <w:sz w:val="24"/>
                <w:szCs w:val="24"/>
                <w14:textFill>
                  <w14:solidFill>
                    <w14:schemeClr w14:val="tx1"/>
                  </w14:solidFill>
                </w14:textFill>
              </w:rPr>
            </w:pPr>
          </w:p>
        </w:tc>
        <w:tc>
          <w:tcPr>
            <w:tcW w:w="1251" w:type="pct"/>
            <w:gridSpan w:val="2"/>
            <w:vMerge w:val="continue"/>
            <w:vAlign w:val="center"/>
          </w:tcPr>
          <w:p w14:paraId="600CD040">
            <w:pPr>
              <w:pStyle w:val="86"/>
              <w:spacing w:line="360" w:lineRule="auto"/>
              <w:rPr>
                <w:rFonts w:cs="宋体"/>
                <w:color w:val="000000" w:themeColor="text1"/>
                <w:sz w:val="24"/>
                <w:szCs w:val="24"/>
                <w14:textFill>
                  <w14:solidFill>
                    <w14:schemeClr w14:val="tx1"/>
                  </w14:solidFill>
                </w14:textFill>
              </w:rPr>
            </w:pPr>
          </w:p>
        </w:tc>
        <w:tc>
          <w:tcPr>
            <w:tcW w:w="852" w:type="pct"/>
          </w:tcPr>
          <w:p w14:paraId="669E06EE">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577CD6F0">
            <w:pPr>
              <w:pStyle w:val="86"/>
              <w:spacing w:line="360" w:lineRule="auto"/>
              <w:rPr>
                <w:rFonts w:cs="宋体"/>
                <w:color w:val="000000" w:themeColor="text1"/>
                <w:sz w:val="24"/>
                <w:szCs w:val="24"/>
                <w14:textFill>
                  <w14:solidFill>
                    <w14:schemeClr w14:val="tx1"/>
                  </w14:solidFill>
                </w14:textFill>
              </w:rPr>
            </w:pPr>
          </w:p>
        </w:tc>
        <w:tc>
          <w:tcPr>
            <w:tcW w:w="844" w:type="pct"/>
          </w:tcPr>
          <w:p w14:paraId="6B4EA66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6CF13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55251268">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A3FFDBF">
            <w:pPr>
              <w:pStyle w:val="86"/>
              <w:spacing w:line="360" w:lineRule="auto"/>
              <w:rPr>
                <w:rFonts w:cs="宋体"/>
                <w:color w:val="000000" w:themeColor="text1"/>
                <w:sz w:val="24"/>
                <w:szCs w:val="24"/>
                <w14:textFill>
                  <w14:solidFill>
                    <w14:schemeClr w14:val="tx1"/>
                  </w14:solidFill>
                </w14:textFill>
              </w:rPr>
            </w:pPr>
          </w:p>
        </w:tc>
        <w:tc>
          <w:tcPr>
            <w:tcW w:w="1251" w:type="pct"/>
            <w:gridSpan w:val="2"/>
            <w:vMerge w:val="restart"/>
            <w:vAlign w:val="center"/>
          </w:tcPr>
          <w:p w14:paraId="53F6335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差分传播相移标准差(°)</w:t>
            </w:r>
          </w:p>
        </w:tc>
        <w:tc>
          <w:tcPr>
            <w:tcW w:w="852" w:type="pct"/>
          </w:tcPr>
          <w:p w14:paraId="271BADB4">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6BE38EDB">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13EC57C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05511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7BF9A102">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32A2B327">
            <w:pPr>
              <w:pStyle w:val="86"/>
              <w:spacing w:line="360" w:lineRule="auto"/>
              <w:rPr>
                <w:rFonts w:cs="宋体"/>
                <w:color w:val="000000" w:themeColor="text1"/>
                <w:sz w:val="24"/>
                <w:szCs w:val="24"/>
                <w14:textFill>
                  <w14:solidFill>
                    <w14:schemeClr w14:val="tx1"/>
                  </w14:solidFill>
                </w14:textFill>
              </w:rPr>
            </w:pPr>
          </w:p>
        </w:tc>
        <w:tc>
          <w:tcPr>
            <w:tcW w:w="1251" w:type="pct"/>
            <w:gridSpan w:val="2"/>
            <w:vMerge w:val="continue"/>
            <w:vAlign w:val="center"/>
          </w:tcPr>
          <w:p w14:paraId="26BFA886">
            <w:pPr>
              <w:pStyle w:val="86"/>
              <w:spacing w:line="360" w:lineRule="auto"/>
              <w:rPr>
                <w:rFonts w:cs="宋体"/>
                <w:color w:val="000000" w:themeColor="text1"/>
                <w:sz w:val="24"/>
                <w:szCs w:val="24"/>
                <w14:textFill>
                  <w14:solidFill>
                    <w14:schemeClr w14:val="tx1"/>
                  </w14:solidFill>
                </w14:textFill>
              </w:rPr>
            </w:pPr>
          </w:p>
        </w:tc>
        <w:tc>
          <w:tcPr>
            <w:tcW w:w="852" w:type="pct"/>
          </w:tcPr>
          <w:p w14:paraId="21B0EFDA">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BEE4980">
            <w:pPr>
              <w:pStyle w:val="86"/>
              <w:spacing w:line="360" w:lineRule="auto"/>
              <w:rPr>
                <w:rFonts w:cs="宋体"/>
                <w:color w:val="000000" w:themeColor="text1"/>
                <w:sz w:val="24"/>
                <w:szCs w:val="24"/>
                <w14:textFill>
                  <w14:solidFill>
                    <w14:schemeClr w14:val="tx1"/>
                  </w14:solidFill>
                </w14:textFill>
              </w:rPr>
            </w:pPr>
          </w:p>
        </w:tc>
        <w:tc>
          <w:tcPr>
            <w:tcW w:w="844" w:type="pct"/>
          </w:tcPr>
          <w:p w14:paraId="1F867C0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34D3B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restart"/>
            <w:vAlign w:val="center"/>
          </w:tcPr>
          <w:p w14:paraId="1232347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14</w:t>
            </w:r>
          </w:p>
        </w:tc>
        <w:tc>
          <w:tcPr>
            <w:tcW w:w="961" w:type="pct"/>
            <w:gridSpan w:val="4"/>
            <w:vMerge w:val="restart"/>
            <w:vAlign w:val="center"/>
          </w:tcPr>
          <w:p w14:paraId="2B12977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强度定标检验</w:t>
            </w:r>
          </w:p>
          <w:p w14:paraId="03495D7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（单发单收，dB）</w:t>
            </w:r>
          </w:p>
        </w:tc>
        <w:tc>
          <w:tcPr>
            <w:tcW w:w="604" w:type="pct"/>
            <w:vMerge w:val="restart"/>
            <w:vAlign w:val="center"/>
          </w:tcPr>
          <w:p w14:paraId="3094532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4547221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≤1dB</w:t>
            </w:r>
          </w:p>
        </w:tc>
        <w:tc>
          <w:tcPr>
            <w:tcW w:w="852" w:type="pct"/>
          </w:tcPr>
          <w:p w14:paraId="54F2AC4F">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CC92D22">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4CD57AC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02B50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390D2BA9">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4950C018">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39E6406C">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514231B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737957EC">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12EE5E8">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4F36C1C8">
            <w:pPr>
              <w:pStyle w:val="86"/>
              <w:spacing w:line="360" w:lineRule="auto"/>
              <w:rPr>
                <w:rFonts w:cs="宋体"/>
                <w:color w:val="000000" w:themeColor="text1"/>
                <w:sz w:val="24"/>
                <w:szCs w:val="24"/>
                <w14:textFill>
                  <w14:solidFill>
                    <w14:schemeClr w14:val="tx1"/>
                  </w14:solidFill>
                </w14:textFill>
              </w:rPr>
            </w:pPr>
          </w:p>
        </w:tc>
      </w:tr>
      <w:tr w14:paraId="37A53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74F26EAC">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138CBB1E">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18F3376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45A14B8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≤1dB</w:t>
            </w:r>
          </w:p>
        </w:tc>
        <w:tc>
          <w:tcPr>
            <w:tcW w:w="852" w:type="pct"/>
          </w:tcPr>
          <w:p w14:paraId="57DB3D1A">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0C3FE17">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49F7848F">
            <w:pPr>
              <w:pStyle w:val="86"/>
              <w:spacing w:line="360" w:lineRule="auto"/>
              <w:rPr>
                <w:rFonts w:cs="宋体"/>
                <w:color w:val="000000" w:themeColor="text1"/>
                <w:sz w:val="24"/>
                <w:szCs w:val="24"/>
                <w14:textFill>
                  <w14:solidFill>
                    <w14:schemeClr w14:val="tx1"/>
                  </w14:solidFill>
                </w14:textFill>
              </w:rPr>
            </w:pPr>
          </w:p>
        </w:tc>
      </w:tr>
      <w:tr w14:paraId="5C310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5763F808">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312F21AD">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782BAA5C">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3E33745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57025304">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F37A982">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656E86AA">
            <w:pPr>
              <w:pStyle w:val="86"/>
              <w:spacing w:line="360" w:lineRule="auto"/>
              <w:rPr>
                <w:rFonts w:cs="宋体"/>
                <w:color w:val="000000" w:themeColor="text1"/>
                <w:sz w:val="24"/>
                <w:szCs w:val="24"/>
                <w14:textFill>
                  <w14:solidFill>
                    <w14:schemeClr w14:val="tx1"/>
                  </w14:solidFill>
                </w14:textFill>
              </w:rPr>
            </w:pPr>
          </w:p>
        </w:tc>
      </w:tr>
      <w:tr w14:paraId="312C1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6022703A">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4383AD6">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1C35EE7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5C0968E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≤1dB</w:t>
            </w:r>
          </w:p>
        </w:tc>
        <w:tc>
          <w:tcPr>
            <w:tcW w:w="852" w:type="pct"/>
          </w:tcPr>
          <w:p w14:paraId="700B19F2">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4EF4E8C">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1BA557F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2902C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03BAF041">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359F8D75">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4502A2E9">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1130A39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120043ED">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F3AA8CD">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786A81CF">
            <w:pPr>
              <w:pStyle w:val="86"/>
              <w:spacing w:line="360" w:lineRule="auto"/>
              <w:rPr>
                <w:rFonts w:cs="宋体"/>
                <w:color w:val="000000" w:themeColor="text1"/>
                <w:sz w:val="24"/>
                <w:szCs w:val="24"/>
                <w14:textFill>
                  <w14:solidFill>
                    <w14:schemeClr w14:val="tx1"/>
                  </w14:solidFill>
                </w14:textFill>
              </w:rPr>
            </w:pPr>
          </w:p>
        </w:tc>
      </w:tr>
      <w:tr w14:paraId="01553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6B338383">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32492CBB">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3C45CA6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5C722A9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≤1dB</w:t>
            </w:r>
          </w:p>
        </w:tc>
        <w:tc>
          <w:tcPr>
            <w:tcW w:w="852" w:type="pct"/>
          </w:tcPr>
          <w:p w14:paraId="22D952B4">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646876E">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5AC637BD">
            <w:pPr>
              <w:pStyle w:val="86"/>
              <w:spacing w:line="360" w:lineRule="auto"/>
              <w:rPr>
                <w:rFonts w:cs="宋体"/>
                <w:color w:val="000000" w:themeColor="text1"/>
                <w:sz w:val="24"/>
                <w:szCs w:val="24"/>
                <w14:textFill>
                  <w14:solidFill>
                    <w14:schemeClr w14:val="tx1"/>
                  </w14:solidFill>
                </w14:textFill>
              </w:rPr>
            </w:pPr>
          </w:p>
        </w:tc>
      </w:tr>
      <w:tr w14:paraId="112D6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3C463ABF">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6D48987D">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150ED652">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7540B24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w:t>
            </w:r>
          </w:p>
        </w:tc>
        <w:tc>
          <w:tcPr>
            <w:tcW w:w="852" w:type="pct"/>
          </w:tcPr>
          <w:p w14:paraId="4E0400E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AA3268A">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300A2B57">
            <w:pPr>
              <w:pStyle w:val="86"/>
              <w:spacing w:line="360" w:lineRule="auto"/>
              <w:rPr>
                <w:rFonts w:cs="宋体"/>
                <w:color w:val="000000" w:themeColor="text1"/>
                <w:sz w:val="24"/>
                <w:szCs w:val="24"/>
                <w14:textFill>
                  <w14:solidFill>
                    <w14:schemeClr w14:val="tx1"/>
                  </w14:solidFill>
                </w14:textFill>
              </w:rPr>
            </w:pPr>
          </w:p>
        </w:tc>
      </w:tr>
      <w:tr w14:paraId="301FA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311" w:type="pct"/>
            <w:vMerge w:val="restart"/>
            <w:vAlign w:val="center"/>
          </w:tcPr>
          <w:p w14:paraId="16B0869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15</w:t>
            </w:r>
          </w:p>
        </w:tc>
        <w:tc>
          <w:tcPr>
            <w:tcW w:w="961" w:type="pct"/>
            <w:gridSpan w:val="4"/>
            <w:vMerge w:val="restart"/>
            <w:vAlign w:val="center"/>
          </w:tcPr>
          <w:p w14:paraId="0D282E18">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径向速度测量检验最大偏差(m/s)</w:t>
            </w:r>
          </w:p>
        </w:tc>
        <w:tc>
          <w:tcPr>
            <w:tcW w:w="604" w:type="pct"/>
            <w:vMerge w:val="restart"/>
            <w:vAlign w:val="center"/>
          </w:tcPr>
          <w:p w14:paraId="597CFD0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单重频</w:t>
            </w:r>
          </w:p>
        </w:tc>
        <w:tc>
          <w:tcPr>
            <w:tcW w:w="647" w:type="pct"/>
            <w:vAlign w:val="center"/>
          </w:tcPr>
          <w:p w14:paraId="2B03B2C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tcPr>
          <w:p w14:paraId="47EDA5AD">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2F9B897">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412B2B0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机外</w:t>
            </w:r>
          </w:p>
        </w:tc>
      </w:tr>
      <w:tr w14:paraId="7336C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311" w:type="pct"/>
            <w:vMerge w:val="continue"/>
            <w:vAlign w:val="center"/>
          </w:tcPr>
          <w:p w14:paraId="4A332B79">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817A61D">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2E4C6241">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43622889">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27B9F034">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340CBF7">
            <w:pPr>
              <w:pStyle w:val="86"/>
              <w:spacing w:line="360" w:lineRule="auto"/>
              <w:rPr>
                <w:rFonts w:cs="宋体"/>
                <w:color w:val="000000" w:themeColor="text1"/>
                <w:sz w:val="24"/>
                <w:szCs w:val="24"/>
                <w14:textFill>
                  <w14:solidFill>
                    <w14:schemeClr w14:val="tx1"/>
                  </w14:solidFill>
                </w14:textFill>
              </w:rPr>
            </w:pPr>
          </w:p>
          <w:p w14:paraId="07DD8AB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≤1m/s</w:t>
            </w:r>
          </w:p>
          <w:p w14:paraId="59203D7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≤1m/s</w:t>
            </w:r>
          </w:p>
        </w:tc>
        <w:tc>
          <w:tcPr>
            <w:tcW w:w="844" w:type="pct"/>
            <w:vMerge w:val="continue"/>
            <w:vAlign w:val="center"/>
          </w:tcPr>
          <w:p w14:paraId="44E3D387">
            <w:pPr>
              <w:pStyle w:val="86"/>
              <w:spacing w:line="360" w:lineRule="auto"/>
              <w:rPr>
                <w:rFonts w:cs="宋体"/>
                <w:color w:val="000000" w:themeColor="text1"/>
                <w:sz w:val="24"/>
                <w:szCs w:val="24"/>
                <w14:textFill>
                  <w14:solidFill>
                    <w14:schemeClr w14:val="tx1"/>
                  </w14:solidFill>
                </w14:textFill>
              </w:rPr>
            </w:pPr>
          </w:p>
        </w:tc>
      </w:tr>
      <w:tr w14:paraId="69F3D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311" w:type="pct"/>
            <w:vMerge w:val="continue"/>
            <w:vAlign w:val="center"/>
          </w:tcPr>
          <w:p w14:paraId="17F7A613">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12AAEC84">
            <w:pPr>
              <w:pStyle w:val="86"/>
              <w:spacing w:line="360" w:lineRule="auto"/>
              <w:rPr>
                <w:rFonts w:cs="宋体"/>
                <w:color w:val="000000" w:themeColor="text1"/>
                <w:sz w:val="24"/>
                <w:szCs w:val="24"/>
                <w14:textFill>
                  <w14:solidFill>
                    <w14:schemeClr w14:val="tx1"/>
                  </w14:solidFill>
                </w14:textFill>
              </w:rPr>
            </w:pPr>
          </w:p>
        </w:tc>
        <w:tc>
          <w:tcPr>
            <w:tcW w:w="604" w:type="pct"/>
            <w:vMerge w:val="restart"/>
            <w:vAlign w:val="center"/>
          </w:tcPr>
          <w:p w14:paraId="42402D9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双重频</w:t>
            </w:r>
          </w:p>
        </w:tc>
        <w:tc>
          <w:tcPr>
            <w:tcW w:w="647" w:type="pct"/>
            <w:vAlign w:val="center"/>
          </w:tcPr>
          <w:p w14:paraId="3322B99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tcPr>
          <w:p w14:paraId="56361890">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7459362F">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1D809C2B">
            <w:pPr>
              <w:pStyle w:val="86"/>
              <w:spacing w:line="360" w:lineRule="auto"/>
              <w:rPr>
                <w:rFonts w:cs="宋体"/>
                <w:color w:val="000000" w:themeColor="text1"/>
                <w:sz w:val="24"/>
                <w:szCs w:val="24"/>
                <w14:textFill>
                  <w14:solidFill>
                    <w14:schemeClr w14:val="tx1"/>
                  </w14:solidFill>
                </w14:textFill>
              </w:rPr>
            </w:pPr>
          </w:p>
        </w:tc>
      </w:tr>
      <w:tr w14:paraId="01823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311" w:type="pct"/>
            <w:vMerge w:val="continue"/>
            <w:vAlign w:val="center"/>
          </w:tcPr>
          <w:p w14:paraId="49A97DC1">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064A2E82">
            <w:pPr>
              <w:pStyle w:val="86"/>
              <w:spacing w:line="360" w:lineRule="auto"/>
              <w:rPr>
                <w:rFonts w:cs="宋体"/>
                <w:color w:val="000000" w:themeColor="text1"/>
                <w:sz w:val="24"/>
                <w:szCs w:val="24"/>
                <w14:textFill>
                  <w14:solidFill>
                    <w14:schemeClr w14:val="tx1"/>
                  </w14:solidFill>
                </w14:textFill>
              </w:rPr>
            </w:pPr>
          </w:p>
        </w:tc>
        <w:tc>
          <w:tcPr>
            <w:tcW w:w="604" w:type="pct"/>
            <w:vMerge w:val="continue"/>
            <w:vAlign w:val="center"/>
          </w:tcPr>
          <w:p w14:paraId="66E6D916">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4123131C">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79A0E525">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C83C3B0">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55F70B88">
            <w:pPr>
              <w:pStyle w:val="86"/>
              <w:spacing w:line="360" w:lineRule="auto"/>
              <w:rPr>
                <w:rFonts w:cs="宋体"/>
                <w:color w:val="000000" w:themeColor="text1"/>
                <w:sz w:val="24"/>
                <w:szCs w:val="24"/>
                <w14:textFill>
                  <w14:solidFill>
                    <w14:schemeClr w14:val="tx1"/>
                  </w14:solidFill>
                </w14:textFill>
              </w:rPr>
            </w:pPr>
          </w:p>
        </w:tc>
      </w:tr>
      <w:tr w14:paraId="361DF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311" w:type="pct"/>
            <w:vMerge w:val="continue"/>
            <w:vAlign w:val="center"/>
          </w:tcPr>
          <w:p w14:paraId="7C6BAFC5">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4A43194B">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0B2E39E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tcPr>
          <w:p w14:paraId="076F01DF">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48A78407">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5D80ED5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523DA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311" w:type="pct"/>
            <w:vMerge w:val="continue"/>
            <w:vAlign w:val="center"/>
          </w:tcPr>
          <w:p w14:paraId="35EF0428">
            <w:pPr>
              <w:pStyle w:val="86"/>
              <w:spacing w:line="360" w:lineRule="auto"/>
              <w:rPr>
                <w:rFonts w:cs="宋体"/>
                <w:color w:val="000000" w:themeColor="text1"/>
                <w:sz w:val="24"/>
                <w:szCs w:val="24"/>
                <w14:textFill>
                  <w14:solidFill>
                    <w14:schemeClr w14:val="tx1"/>
                  </w14:solidFill>
                </w14:textFill>
              </w:rPr>
            </w:pPr>
          </w:p>
        </w:tc>
        <w:tc>
          <w:tcPr>
            <w:tcW w:w="961" w:type="pct"/>
            <w:gridSpan w:val="4"/>
            <w:vMerge w:val="continue"/>
            <w:vAlign w:val="center"/>
          </w:tcPr>
          <w:p w14:paraId="2D7F52D1">
            <w:pPr>
              <w:pStyle w:val="86"/>
              <w:spacing w:line="360" w:lineRule="auto"/>
              <w:rPr>
                <w:rFonts w:cs="宋体"/>
                <w:color w:val="000000" w:themeColor="text1"/>
                <w:sz w:val="24"/>
                <w:szCs w:val="24"/>
                <w14:textFill>
                  <w14:solidFill>
                    <w14:schemeClr w14:val="tx1"/>
                  </w14:solidFill>
                </w14:textFill>
              </w:rPr>
            </w:pPr>
          </w:p>
        </w:tc>
        <w:tc>
          <w:tcPr>
            <w:tcW w:w="1251" w:type="pct"/>
            <w:gridSpan w:val="2"/>
            <w:vAlign w:val="center"/>
          </w:tcPr>
          <w:p w14:paraId="0898DF11">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6BB2390F">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F43E2E5">
            <w:pPr>
              <w:pStyle w:val="86"/>
              <w:spacing w:line="360" w:lineRule="auto"/>
              <w:rPr>
                <w:rFonts w:cs="宋体"/>
                <w:color w:val="000000" w:themeColor="text1"/>
                <w:sz w:val="24"/>
                <w:szCs w:val="24"/>
                <w14:textFill>
                  <w14:solidFill>
                    <w14:schemeClr w14:val="tx1"/>
                  </w14:solidFill>
                </w14:textFill>
              </w:rPr>
            </w:pPr>
          </w:p>
        </w:tc>
        <w:tc>
          <w:tcPr>
            <w:tcW w:w="844" w:type="pct"/>
            <w:vMerge w:val="continue"/>
            <w:vAlign w:val="center"/>
          </w:tcPr>
          <w:p w14:paraId="5A643B23">
            <w:pPr>
              <w:pStyle w:val="86"/>
              <w:spacing w:line="360" w:lineRule="auto"/>
              <w:rPr>
                <w:rFonts w:cs="宋体"/>
                <w:color w:val="000000" w:themeColor="text1"/>
                <w:sz w:val="24"/>
                <w:szCs w:val="24"/>
                <w14:textFill>
                  <w14:solidFill>
                    <w14:schemeClr w14:val="tx1"/>
                  </w14:solidFill>
                </w14:textFill>
              </w:rPr>
            </w:pPr>
          </w:p>
        </w:tc>
      </w:tr>
      <w:tr w14:paraId="07AB6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restart"/>
            <w:vAlign w:val="center"/>
          </w:tcPr>
          <w:p w14:paraId="222F0E9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16</w:t>
            </w:r>
          </w:p>
        </w:tc>
        <w:tc>
          <w:tcPr>
            <w:tcW w:w="1565" w:type="pct"/>
            <w:gridSpan w:val="5"/>
            <w:vMerge w:val="restart"/>
            <w:vAlign w:val="center"/>
          </w:tcPr>
          <w:p w14:paraId="024F79F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系统相位噪声(°)</w:t>
            </w:r>
          </w:p>
        </w:tc>
        <w:tc>
          <w:tcPr>
            <w:tcW w:w="647" w:type="pct"/>
            <w:vAlign w:val="center"/>
          </w:tcPr>
          <w:p w14:paraId="3E07D586">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852" w:type="pct"/>
          </w:tcPr>
          <w:p w14:paraId="4D973DC3">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3E2948A4">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50D49D82">
            <w:pPr>
              <w:pStyle w:val="86"/>
              <w:spacing w:line="360" w:lineRule="auto"/>
              <w:rPr>
                <w:rFonts w:cs="宋体"/>
                <w:color w:val="000000" w:themeColor="text1"/>
                <w:sz w:val="24"/>
                <w:szCs w:val="24"/>
                <w14:textFill>
                  <w14:solidFill>
                    <w14:schemeClr w14:val="tx1"/>
                  </w14:solidFill>
                </w14:textFill>
              </w:rPr>
            </w:pPr>
          </w:p>
        </w:tc>
      </w:tr>
      <w:tr w14:paraId="5032F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56978913">
            <w:pPr>
              <w:pStyle w:val="86"/>
              <w:spacing w:line="360" w:lineRule="auto"/>
              <w:rPr>
                <w:rFonts w:cs="宋体"/>
                <w:color w:val="000000" w:themeColor="text1"/>
                <w:sz w:val="24"/>
                <w:szCs w:val="24"/>
                <w14:textFill>
                  <w14:solidFill>
                    <w14:schemeClr w14:val="tx1"/>
                  </w14:solidFill>
                </w14:textFill>
              </w:rPr>
            </w:pPr>
          </w:p>
        </w:tc>
        <w:tc>
          <w:tcPr>
            <w:tcW w:w="1565" w:type="pct"/>
            <w:gridSpan w:val="5"/>
            <w:vMerge w:val="continue"/>
            <w:vAlign w:val="center"/>
          </w:tcPr>
          <w:p w14:paraId="0E729498">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5CBB33E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852" w:type="pct"/>
          </w:tcPr>
          <w:p w14:paraId="14C316F6">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1B54A061">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189967E2">
            <w:pPr>
              <w:pStyle w:val="86"/>
              <w:spacing w:line="360" w:lineRule="auto"/>
              <w:rPr>
                <w:rFonts w:cs="宋体"/>
                <w:color w:val="000000" w:themeColor="text1"/>
                <w:sz w:val="24"/>
                <w:szCs w:val="24"/>
                <w14:textFill>
                  <w14:solidFill>
                    <w14:schemeClr w14:val="tx1"/>
                  </w14:solidFill>
                </w14:textFill>
              </w:rPr>
            </w:pPr>
          </w:p>
        </w:tc>
      </w:tr>
      <w:tr w14:paraId="63184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restart"/>
            <w:vAlign w:val="center"/>
          </w:tcPr>
          <w:p w14:paraId="4E36154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17</w:t>
            </w:r>
          </w:p>
        </w:tc>
        <w:tc>
          <w:tcPr>
            <w:tcW w:w="946" w:type="pct"/>
            <w:gridSpan w:val="3"/>
            <w:vMerge w:val="restart"/>
            <w:vAlign w:val="center"/>
          </w:tcPr>
          <w:p w14:paraId="0BDAB16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地物对消能力(dB)</w:t>
            </w:r>
          </w:p>
        </w:tc>
        <w:tc>
          <w:tcPr>
            <w:tcW w:w="619" w:type="pct"/>
            <w:gridSpan w:val="2"/>
            <w:vMerge w:val="restart"/>
            <w:vAlign w:val="center"/>
          </w:tcPr>
          <w:p w14:paraId="5FD3FB1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水平</w:t>
            </w:r>
          </w:p>
        </w:tc>
        <w:tc>
          <w:tcPr>
            <w:tcW w:w="647" w:type="pct"/>
            <w:vAlign w:val="center"/>
          </w:tcPr>
          <w:p w14:paraId="62541F7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滤波前</w:t>
            </w:r>
          </w:p>
        </w:tc>
        <w:tc>
          <w:tcPr>
            <w:tcW w:w="852" w:type="pct"/>
          </w:tcPr>
          <w:p w14:paraId="50489D21">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CC0E6F7">
            <w:pPr>
              <w:pStyle w:val="86"/>
              <w:spacing w:line="360" w:lineRule="auto"/>
              <w:rPr>
                <w:rFonts w:cs="宋体"/>
                <w:color w:val="000000" w:themeColor="text1"/>
                <w:sz w:val="24"/>
                <w:szCs w:val="24"/>
                <w14:textFill>
                  <w14:solidFill>
                    <w14:schemeClr w14:val="tx1"/>
                  </w14:solidFill>
                </w14:textFill>
              </w:rPr>
            </w:pPr>
          </w:p>
        </w:tc>
        <w:tc>
          <w:tcPr>
            <w:tcW w:w="844" w:type="pct"/>
            <w:vMerge w:val="restart"/>
            <w:vAlign w:val="center"/>
          </w:tcPr>
          <w:p w14:paraId="5F693B6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机内</w:t>
            </w:r>
          </w:p>
        </w:tc>
      </w:tr>
      <w:tr w14:paraId="76B6C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3516D4D0">
            <w:pPr>
              <w:pStyle w:val="86"/>
              <w:spacing w:line="360" w:lineRule="auto"/>
              <w:rPr>
                <w:rFonts w:cs="宋体"/>
                <w:color w:val="000000" w:themeColor="text1"/>
                <w:sz w:val="24"/>
                <w:szCs w:val="24"/>
                <w14:textFill>
                  <w14:solidFill>
                    <w14:schemeClr w14:val="tx1"/>
                  </w14:solidFill>
                </w14:textFill>
              </w:rPr>
            </w:pPr>
          </w:p>
        </w:tc>
        <w:tc>
          <w:tcPr>
            <w:tcW w:w="946" w:type="pct"/>
            <w:gridSpan w:val="3"/>
            <w:vMerge w:val="continue"/>
            <w:vAlign w:val="center"/>
          </w:tcPr>
          <w:p w14:paraId="47EEF313">
            <w:pPr>
              <w:pStyle w:val="86"/>
              <w:spacing w:line="360" w:lineRule="auto"/>
              <w:rPr>
                <w:rFonts w:cs="宋体"/>
                <w:color w:val="000000" w:themeColor="text1"/>
                <w:sz w:val="24"/>
                <w:szCs w:val="24"/>
                <w14:textFill>
                  <w14:solidFill>
                    <w14:schemeClr w14:val="tx1"/>
                  </w14:solidFill>
                </w14:textFill>
              </w:rPr>
            </w:pPr>
          </w:p>
        </w:tc>
        <w:tc>
          <w:tcPr>
            <w:tcW w:w="619" w:type="pct"/>
            <w:gridSpan w:val="2"/>
            <w:vMerge w:val="continue"/>
            <w:vAlign w:val="center"/>
          </w:tcPr>
          <w:p w14:paraId="34EFECA1">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7355B65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滤波后</w:t>
            </w:r>
          </w:p>
        </w:tc>
        <w:tc>
          <w:tcPr>
            <w:tcW w:w="852" w:type="pct"/>
          </w:tcPr>
          <w:p w14:paraId="3A408630">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5868B8FA">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448D2AFB">
            <w:pPr>
              <w:pStyle w:val="86"/>
              <w:spacing w:line="360" w:lineRule="auto"/>
              <w:rPr>
                <w:rFonts w:cs="宋体"/>
                <w:color w:val="000000" w:themeColor="text1"/>
                <w:sz w:val="24"/>
                <w:szCs w:val="24"/>
                <w14:textFill>
                  <w14:solidFill>
                    <w14:schemeClr w14:val="tx1"/>
                  </w14:solidFill>
                </w14:textFill>
              </w:rPr>
            </w:pPr>
          </w:p>
        </w:tc>
      </w:tr>
      <w:tr w14:paraId="311C9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5D4C112D">
            <w:pPr>
              <w:pStyle w:val="86"/>
              <w:spacing w:line="360" w:lineRule="auto"/>
              <w:rPr>
                <w:rFonts w:cs="宋体"/>
                <w:color w:val="000000" w:themeColor="text1"/>
                <w:sz w:val="24"/>
                <w:szCs w:val="24"/>
                <w14:textFill>
                  <w14:solidFill>
                    <w14:schemeClr w14:val="tx1"/>
                  </w14:solidFill>
                </w14:textFill>
              </w:rPr>
            </w:pPr>
          </w:p>
        </w:tc>
        <w:tc>
          <w:tcPr>
            <w:tcW w:w="946" w:type="pct"/>
            <w:gridSpan w:val="3"/>
            <w:vMerge w:val="continue"/>
            <w:vAlign w:val="center"/>
          </w:tcPr>
          <w:p w14:paraId="4A3BC530">
            <w:pPr>
              <w:pStyle w:val="86"/>
              <w:spacing w:line="360" w:lineRule="auto"/>
              <w:rPr>
                <w:rFonts w:cs="宋体"/>
                <w:color w:val="000000" w:themeColor="text1"/>
                <w:sz w:val="24"/>
                <w:szCs w:val="24"/>
                <w14:textFill>
                  <w14:solidFill>
                    <w14:schemeClr w14:val="tx1"/>
                  </w14:solidFill>
                </w14:textFill>
              </w:rPr>
            </w:pPr>
          </w:p>
        </w:tc>
        <w:tc>
          <w:tcPr>
            <w:tcW w:w="619" w:type="pct"/>
            <w:gridSpan w:val="2"/>
            <w:vMerge w:val="restart"/>
            <w:vAlign w:val="center"/>
          </w:tcPr>
          <w:p w14:paraId="7208941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垂直</w:t>
            </w:r>
          </w:p>
        </w:tc>
        <w:tc>
          <w:tcPr>
            <w:tcW w:w="647" w:type="pct"/>
            <w:vAlign w:val="center"/>
          </w:tcPr>
          <w:p w14:paraId="4E26CF9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滤波前</w:t>
            </w:r>
          </w:p>
        </w:tc>
        <w:tc>
          <w:tcPr>
            <w:tcW w:w="852" w:type="pct"/>
          </w:tcPr>
          <w:p w14:paraId="41F5959D">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05797AC3">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20672C56">
            <w:pPr>
              <w:pStyle w:val="86"/>
              <w:spacing w:line="360" w:lineRule="auto"/>
              <w:rPr>
                <w:rFonts w:cs="宋体"/>
                <w:color w:val="000000" w:themeColor="text1"/>
                <w:sz w:val="24"/>
                <w:szCs w:val="24"/>
                <w14:textFill>
                  <w14:solidFill>
                    <w14:schemeClr w14:val="tx1"/>
                  </w14:solidFill>
                </w14:textFill>
              </w:rPr>
            </w:pPr>
          </w:p>
        </w:tc>
      </w:tr>
      <w:tr w14:paraId="294BC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311" w:type="pct"/>
            <w:vMerge w:val="continue"/>
            <w:vAlign w:val="center"/>
          </w:tcPr>
          <w:p w14:paraId="315201B7">
            <w:pPr>
              <w:pStyle w:val="86"/>
              <w:spacing w:line="360" w:lineRule="auto"/>
              <w:rPr>
                <w:rFonts w:cs="宋体"/>
                <w:color w:val="000000" w:themeColor="text1"/>
                <w:sz w:val="24"/>
                <w:szCs w:val="24"/>
                <w14:textFill>
                  <w14:solidFill>
                    <w14:schemeClr w14:val="tx1"/>
                  </w14:solidFill>
                </w14:textFill>
              </w:rPr>
            </w:pPr>
          </w:p>
        </w:tc>
        <w:tc>
          <w:tcPr>
            <w:tcW w:w="946" w:type="pct"/>
            <w:gridSpan w:val="3"/>
            <w:vMerge w:val="continue"/>
            <w:vAlign w:val="center"/>
          </w:tcPr>
          <w:p w14:paraId="32188A85">
            <w:pPr>
              <w:pStyle w:val="86"/>
              <w:spacing w:line="360" w:lineRule="auto"/>
              <w:rPr>
                <w:rFonts w:cs="宋体"/>
                <w:color w:val="000000" w:themeColor="text1"/>
                <w:sz w:val="24"/>
                <w:szCs w:val="24"/>
                <w14:textFill>
                  <w14:solidFill>
                    <w14:schemeClr w14:val="tx1"/>
                  </w14:solidFill>
                </w14:textFill>
              </w:rPr>
            </w:pPr>
          </w:p>
        </w:tc>
        <w:tc>
          <w:tcPr>
            <w:tcW w:w="619" w:type="pct"/>
            <w:gridSpan w:val="2"/>
            <w:vMerge w:val="continue"/>
            <w:vAlign w:val="center"/>
          </w:tcPr>
          <w:p w14:paraId="7286DD44">
            <w:pPr>
              <w:pStyle w:val="86"/>
              <w:spacing w:line="360" w:lineRule="auto"/>
              <w:rPr>
                <w:rFonts w:cs="宋体"/>
                <w:color w:val="000000" w:themeColor="text1"/>
                <w:sz w:val="24"/>
                <w:szCs w:val="24"/>
                <w14:textFill>
                  <w14:solidFill>
                    <w14:schemeClr w14:val="tx1"/>
                  </w14:solidFill>
                </w14:textFill>
              </w:rPr>
            </w:pPr>
          </w:p>
        </w:tc>
        <w:tc>
          <w:tcPr>
            <w:tcW w:w="647" w:type="pct"/>
            <w:vAlign w:val="center"/>
          </w:tcPr>
          <w:p w14:paraId="3AE36873">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滤波后</w:t>
            </w:r>
          </w:p>
        </w:tc>
        <w:tc>
          <w:tcPr>
            <w:tcW w:w="852" w:type="pct"/>
          </w:tcPr>
          <w:p w14:paraId="412AC93C">
            <w:pPr>
              <w:pStyle w:val="86"/>
              <w:spacing w:line="360" w:lineRule="auto"/>
              <w:rPr>
                <w:rFonts w:cs="宋体"/>
                <w:color w:val="000000" w:themeColor="text1"/>
                <w:sz w:val="24"/>
                <w:szCs w:val="24"/>
                <w14:textFill>
                  <w14:solidFill>
                    <w14:schemeClr w14:val="tx1"/>
                  </w14:solidFill>
                </w14:textFill>
              </w:rPr>
            </w:pPr>
          </w:p>
        </w:tc>
        <w:tc>
          <w:tcPr>
            <w:tcW w:w="781" w:type="pct"/>
            <w:vMerge w:val="continue"/>
            <w:vAlign w:val="center"/>
          </w:tcPr>
          <w:p w14:paraId="2176EB40">
            <w:pPr>
              <w:pStyle w:val="86"/>
              <w:spacing w:line="360" w:lineRule="auto"/>
              <w:rPr>
                <w:rFonts w:cs="宋体"/>
                <w:color w:val="000000" w:themeColor="text1"/>
                <w:sz w:val="24"/>
                <w:szCs w:val="24"/>
                <w14:textFill>
                  <w14:solidFill>
                    <w14:schemeClr w14:val="tx1"/>
                  </w14:solidFill>
                </w14:textFill>
              </w:rPr>
            </w:pPr>
          </w:p>
        </w:tc>
        <w:tc>
          <w:tcPr>
            <w:tcW w:w="844" w:type="pct"/>
            <w:vMerge w:val="continue"/>
          </w:tcPr>
          <w:p w14:paraId="6A2BB1AA">
            <w:pPr>
              <w:pStyle w:val="86"/>
              <w:spacing w:line="360" w:lineRule="auto"/>
              <w:rPr>
                <w:rFonts w:cs="宋体"/>
                <w:color w:val="000000" w:themeColor="text1"/>
                <w:sz w:val="24"/>
                <w:szCs w:val="24"/>
                <w14:textFill>
                  <w14:solidFill>
                    <w14:schemeClr w14:val="tx1"/>
                  </w14:solidFill>
                </w14:textFill>
              </w:rPr>
            </w:pPr>
          </w:p>
        </w:tc>
      </w:tr>
      <w:tr w14:paraId="7F881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000" w:type="pct"/>
            <w:gridSpan w:val="10"/>
            <w:vAlign w:val="center"/>
          </w:tcPr>
          <w:p w14:paraId="5B58FA5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维护检查项</w:t>
            </w:r>
          </w:p>
        </w:tc>
      </w:tr>
      <w:tr w14:paraId="52582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221CE2A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18</w:t>
            </w:r>
          </w:p>
        </w:tc>
        <w:tc>
          <w:tcPr>
            <w:tcW w:w="2212" w:type="pct"/>
            <w:gridSpan w:val="6"/>
            <w:vAlign w:val="center"/>
          </w:tcPr>
          <w:p w14:paraId="4930625B">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检查天线座和天线罩</w:t>
            </w:r>
          </w:p>
        </w:tc>
        <w:tc>
          <w:tcPr>
            <w:tcW w:w="852" w:type="pct"/>
            <w:vAlign w:val="center"/>
          </w:tcPr>
          <w:p w14:paraId="603A2BA7">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32A98368">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2C22E92D">
            <w:pPr>
              <w:pStyle w:val="86"/>
              <w:spacing w:line="360" w:lineRule="auto"/>
              <w:rPr>
                <w:rFonts w:cs="宋体"/>
                <w:color w:val="000000" w:themeColor="text1"/>
                <w:sz w:val="24"/>
                <w:szCs w:val="24"/>
                <w14:textFill>
                  <w14:solidFill>
                    <w14:schemeClr w14:val="tx1"/>
                  </w14:solidFill>
                </w14:textFill>
              </w:rPr>
            </w:pPr>
          </w:p>
        </w:tc>
      </w:tr>
      <w:tr w14:paraId="534A5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11" w:type="pct"/>
            <w:vAlign w:val="center"/>
          </w:tcPr>
          <w:p w14:paraId="1AC093B0">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19</w:t>
            </w:r>
          </w:p>
        </w:tc>
        <w:tc>
          <w:tcPr>
            <w:tcW w:w="2212" w:type="pct"/>
            <w:gridSpan w:val="6"/>
            <w:vAlign w:val="center"/>
          </w:tcPr>
          <w:p w14:paraId="68EE750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检查维护天线及伺服各机械部件</w:t>
            </w:r>
          </w:p>
        </w:tc>
        <w:tc>
          <w:tcPr>
            <w:tcW w:w="852" w:type="pct"/>
            <w:vAlign w:val="center"/>
          </w:tcPr>
          <w:p w14:paraId="1F0C0F7E">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2CBB23F9">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225FE113">
            <w:pPr>
              <w:pStyle w:val="86"/>
              <w:spacing w:line="360" w:lineRule="auto"/>
              <w:rPr>
                <w:rFonts w:cs="宋体"/>
                <w:color w:val="000000" w:themeColor="text1"/>
                <w:sz w:val="24"/>
                <w:szCs w:val="24"/>
                <w14:textFill>
                  <w14:solidFill>
                    <w14:schemeClr w14:val="tx1"/>
                  </w14:solidFill>
                </w14:textFill>
              </w:rPr>
            </w:pPr>
          </w:p>
        </w:tc>
      </w:tr>
      <w:tr w14:paraId="33251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311" w:type="pct"/>
            <w:vAlign w:val="center"/>
          </w:tcPr>
          <w:p w14:paraId="65524FDF">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20</w:t>
            </w:r>
          </w:p>
        </w:tc>
        <w:tc>
          <w:tcPr>
            <w:tcW w:w="2212" w:type="pct"/>
            <w:gridSpan w:val="6"/>
            <w:vAlign w:val="center"/>
          </w:tcPr>
          <w:p w14:paraId="21CF117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天线方位/俯仰齿轮箱换油维护</w:t>
            </w:r>
          </w:p>
        </w:tc>
        <w:tc>
          <w:tcPr>
            <w:tcW w:w="852" w:type="pct"/>
            <w:vAlign w:val="center"/>
          </w:tcPr>
          <w:p w14:paraId="1FDE4BA4">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2E088FA5">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197B8835">
            <w:pPr>
              <w:pStyle w:val="86"/>
              <w:spacing w:line="360" w:lineRule="auto"/>
              <w:rPr>
                <w:rFonts w:cs="宋体"/>
                <w:color w:val="000000" w:themeColor="text1"/>
                <w:sz w:val="24"/>
                <w:szCs w:val="24"/>
                <w14:textFill>
                  <w14:solidFill>
                    <w14:schemeClr w14:val="tx1"/>
                  </w14:solidFill>
                </w14:textFill>
              </w:rPr>
            </w:pPr>
          </w:p>
        </w:tc>
      </w:tr>
      <w:tr w14:paraId="0DD3C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30C4E3D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21</w:t>
            </w:r>
          </w:p>
        </w:tc>
        <w:tc>
          <w:tcPr>
            <w:tcW w:w="2212" w:type="pct"/>
            <w:gridSpan w:val="6"/>
            <w:vAlign w:val="center"/>
          </w:tcPr>
          <w:p w14:paraId="0C65115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检查天线连接紧固件是否有松动</w:t>
            </w:r>
          </w:p>
        </w:tc>
        <w:tc>
          <w:tcPr>
            <w:tcW w:w="852" w:type="pct"/>
            <w:vAlign w:val="center"/>
          </w:tcPr>
          <w:p w14:paraId="1C57CBFE">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6F399361">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0ED7F4B7">
            <w:pPr>
              <w:pStyle w:val="86"/>
              <w:spacing w:line="360" w:lineRule="auto"/>
              <w:rPr>
                <w:rFonts w:cs="宋体"/>
                <w:color w:val="000000" w:themeColor="text1"/>
                <w:sz w:val="24"/>
                <w:szCs w:val="24"/>
                <w14:textFill>
                  <w14:solidFill>
                    <w14:schemeClr w14:val="tx1"/>
                  </w14:solidFill>
                </w14:textFill>
              </w:rPr>
            </w:pPr>
          </w:p>
        </w:tc>
      </w:tr>
      <w:tr w14:paraId="3CDA2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10E0565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22</w:t>
            </w:r>
          </w:p>
        </w:tc>
        <w:tc>
          <w:tcPr>
            <w:tcW w:w="2212" w:type="pct"/>
            <w:gridSpan w:val="6"/>
            <w:vAlign w:val="center"/>
          </w:tcPr>
          <w:p w14:paraId="095E115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天线方位/俯仰轴承齿轮润滑维护</w:t>
            </w:r>
          </w:p>
        </w:tc>
        <w:tc>
          <w:tcPr>
            <w:tcW w:w="852" w:type="pct"/>
            <w:vAlign w:val="center"/>
          </w:tcPr>
          <w:p w14:paraId="78CD05FB">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6C6B6F48">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70991C28">
            <w:pPr>
              <w:pStyle w:val="86"/>
              <w:spacing w:line="360" w:lineRule="auto"/>
              <w:rPr>
                <w:rFonts w:cs="宋体"/>
                <w:color w:val="000000" w:themeColor="text1"/>
                <w:sz w:val="24"/>
                <w:szCs w:val="24"/>
                <w14:textFill>
                  <w14:solidFill>
                    <w14:schemeClr w14:val="tx1"/>
                  </w14:solidFill>
                </w14:textFill>
              </w:rPr>
            </w:pPr>
          </w:p>
        </w:tc>
      </w:tr>
      <w:tr w14:paraId="530F2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17F9C7C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23</w:t>
            </w:r>
          </w:p>
        </w:tc>
        <w:tc>
          <w:tcPr>
            <w:tcW w:w="2212" w:type="pct"/>
            <w:gridSpan w:val="6"/>
            <w:vAlign w:val="center"/>
          </w:tcPr>
          <w:p w14:paraId="6472F4E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检查波导旋转关节处的磨损状况，是否松动</w:t>
            </w:r>
          </w:p>
        </w:tc>
        <w:tc>
          <w:tcPr>
            <w:tcW w:w="852" w:type="pct"/>
            <w:vAlign w:val="center"/>
          </w:tcPr>
          <w:p w14:paraId="292A8F00">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60BCAC3E">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4128BE09">
            <w:pPr>
              <w:pStyle w:val="86"/>
              <w:spacing w:line="360" w:lineRule="auto"/>
              <w:rPr>
                <w:rFonts w:cs="宋体"/>
                <w:color w:val="000000" w:themeColor="text1"/>
                <w:sz w:val="24"/>
                <w:szCs w:val="24"/>
                <w14:textFill>
                  <w14:solidFill>
                    <w14:schemeClr w14:val="tx1"/>
                  </w14:solidFill>
                </w14:textFill>
              </w:rPr>
            </w:pPr>
          </w:p>
        </w:tc>
      </w:tr>
      <w:tr w14:paraId="59C7E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086DEB9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24</w:t>
            </w:r>
          </w:p>
        </w:tc>
        <w:tc>
          <w:tcPr>
            <w:tcW w:w="2212" w:type="pct"/>
            <w:gridSpan w:val="6"/>
            <w:vAlign w:val="center"/>
          </w:tcPr>
          <w:p w14:paraId="7BF415B5">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检查运动部件处的电缆是否有磨损</w:t>
            </w:r>
          </w:p>
        </w:tc>
        <w:tc>
          <w:tcPr>
            <w:tcW w:w="852" w:type="pct"/>
            <w:vAlign w:val="center"/>
          </w:tcPr>
          <w:p w14:paraId="5DF1CBBF">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20223621">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5B835E5D">
            <w:pPr>
              <w:pStyle w:val="86"/>
              <w:spacing w:line="360" w:lineRule="auto"/>
              <w:rPr>
                <w:rFonts w:cs="宋体"/>
                <w:color w:val="000000" w:themeColor="text1"/>
                <w:sz w:val="24"/>
                <w:szCs w:val="24"/>
                <w14:textFill>
                  <w14:solidFill>
                    <w14:schemeClr w14:val="tx1"/>
                  </w14:solidFill>
                </w14:textFill>
              </w:rPr>
            </w:pPr>
          </w:p>
        </w:tc>
      </w:tr>
      <w:tr w14:paraId="478EC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663ADF0E">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25</w:t>
            </w:r>
          </w:p>
        </w:tc>
        <w:tc>
          <w:tcPr>
            <w:tcW w:w="2212" w:type="pct"/>
            <w:gridSpan w:val="6"/>
            <w:vAlign w:val="center"/>
          </w:tcPr>
          <w:p w14:paraId="7B8BFDB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检查绝缘子、接线板、空气开关、交流接触器等接线松紧</w:t>
            </w:r>
          </w:p>
        </w:tc>
        <w:tc>
          <w:tcPr>
            <w:tcW w:w="852" w:type="pct"/>
            <w:vAlign w:val="center"/>
          </w:tcPr>
          <w:p w14:paraId="44914952">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14B6A1BD">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3D67860F">
            <w:pPr>
              <w:pStyle w:val="86"/>
              <w:spacing w:line="360" w:lineRule="auto"/>
              <w:rPr>
                <w:rFonts w:cs="宋体"/>
                <w:color w:val="000000" w:themeColor="text1"/>
                <w:sz w:val="24"/>
                <w:szCs w:val="24"/>
                <w14:textFill>
                  <w14:solidFill>
                    <w14:schemeClr w14:val="tx1"/>
                  </w14:solidFill>
                </w14:textFill>
              </w:rPr>
            </w:pPr>
          </w:p>
        </w:tc>
      </w:tr>
      <w:tr w14:paraId="70C91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4AC27C1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26</w:t>
            </w:r>
          </w:p>
        </w:tc>
        <w:tc>
          <w:tcPr>
            <w:tcW w:w="2212" w:type="pct"/>
            <w:gridSpan w:val="6"/>
            <w:vAlign w:val="center"/>
          </w:tcPr>
          <w:p w14:paraId="221F5B32">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天线罩内和机房内卫生清洁</w:t>
            </w:r>
          </w:p>
        </w:tc>
        <w:tc>
          <w:tcPr>
            <w:tcW w:w="852" w:type="pct"/>
            <w:vAlign w:val="center"/>
          </w:tcPr>
          <w:p w14:paraId="27FA42AA">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46DC41C2">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0AD38CB1">
            <w:pPr>
              <w:pStyle w:val="86"/>
              <w:spacing w:line="360" w:lineRule="auto"/>
              <w:rPr>
                <w:rFonts w:cs="宋体"/>
                <w:color w:val="000000" w:themeColor="text1"/>
                <w:sz w:val="24"/>
                <w:szCs w:val="24"/>
                <w14:textFill>
                  <w14:solidFill>
                    <w14:schemeClr w14:val="tx1"/>
                  </w14:solidFill>
                </w14:textFill>
              </w:rPr>
            </w:pPr>
          </w:p>
        </w:tc>
      </w:tr>
      <w:tr w14:paraId="6879D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6D1BC78D">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27</w:t>
            </w:r>
          </w:p>
        </w:tc>
        <w:tc>
          <w:tcPr>
            <w:tcW w:w="2212" w:type="pct"/>
            <w:gridSpan w:val="6"/>
            <w:vAlign w:val="center"/>
          </w:tcPr>
          <w:p w14:paraId="5DC34B7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拆洗滤尘网，维护空调机、除湿系统、风机等设备</w:t>
            </w:r>
          </w:p>
        </w:tc>
        <w:tc>
          <w:tcPr>
            <w:tcW w:w="852" w:type="pct"/>
            <w:vAlign w:val="center"/>
          </w:tcPr>
          <w:p w14:paraId="28329C40">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38A1076F">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14A71268">
            <w:pPr>
              <w:pStyle w:val="86"/>
              <w:spacing w:line="360" w:lineRule="auto"/>
              <w:rPr>
                <w:rFonts w:cs="宋体"/>
                <w:color w:val="000000" w:themeColor="text1"/>
                <w:sz w:val="24"/>
                <w:szCs w:val="24"/>
                <w14:textFill>
                  <w14:solidFill>
                    <w14:schemeClr w14:val="tx1"/>
                  </w14:solidFill>
                </w14:textFill>
              </w:rPr>
            </w:pPr>
          </w:p>
        </w:tc>
      </w:tr>
      <w:tr w14:paraId="61090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1" w:type="pct"/>
            <w:vAlign w:val="center"/>
          </w:tcPr>
          <w:p w14:paraId="24DB3A7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28</w:t>
            </w:r>
          </w:p>
        </w:tc>
        <w:tc>
          <w:tcPr>
            <w:tcW w:w="2212" w:type="pct"/>
            <w:gridSpan w:val="6"/>
            <w:vAlign w:val="center"/>
          </w:tcPr>
          <w:p w14:paraId="095E2DD7">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形成测试报告并提交</w:t>
            </w:r>
          </w:p>
        </w:tc>
        <w:tc>
          <w:tcPr>
            <w:tcW w:w="852" w:type="pct"/>
            <w:vAlign w:val="center"/>
          </w:tcPr>
          <w:p w14:paraId="7D113F55">
            <w:pPr>
              <w:pStyle w:val="86"/>
              <w:spacing w:line="360" w:lineRule="auto"/>
              <w:rPr>
                <w:rFonts w:cs="宋体"/>
                <w:color w:val="000000" w:themeColor="text1"/>
                <w:sz w:val="24"/>
                <w:szCs w:val="24"/>
                <w14:textFill>
                  <w14:solidFill>
                    <w14:schemeClr w14:val="tx1"/>
                  </w14:solidFill>
                </w14:textFill>
              </w:rPr>
            </w:pPr>
          </w:p>
        </w:tc>
        <w:tc>
          <w:tcPr>
            <w:tcW w:w="781" w:type="pct"/>
            <w:vAlign w:val="center"/>
          </w:tcPr>
          <w:p w14:paraId="19B7A2DB">
            <w:pPr>
              <w:pStyle w:val="86"/>
              <w:spacing w:line="360" w:lineRule="auto"/>
              <w:rPr>
                <w:rFonts w:cs="宋体"/>
                <w:color w:val="000000" w:themeColor="text1"/>
                <w:sz w:val="24"/>
                <w:szCs w:val="24"/>
                <w14:textFill>
                  <w14:solidFill>
                    <w14:schemeClr w14:val="tx1"/>
                  </w14:solidFill>
                </w14:textFill>
              </w:rPr>
            </w:pPr>
          </w:p>
        </w:tc>
        <w:tc>
          <w:tcPr>
            <w:tcW w:w="844" w:type="pct"/>
            <w:vAlign w:val="center"/>
          </w:tcPr>
          <w:p w14:paraId="34EF7284">
            <w:pPr>
              <w:pStyle w:val="86"/>
              <w:spacing w:line="360" w:lineRule="auto"/>
              <w:rPr>
                <w:rFonts w:cs="宋体"/>
                <w:color w:val="000000" w:themeColor="text1"/>
                <w:sz w:val="24"/>
                <w:szCs w:val="24"/>
                <w14:textFill>
                  <w14:solidFill>
                    <w14:schemeClr w14:val="tx1"/>
                  </w14:solidFill>
                </w14:textFill>
              </w:rPr>
            </w:pPr>
          </w:p>
        </w:tc>
      </w:tr>
      <w:tr w14:paraId="766C9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6" w:hRule="atLeast"/>
          <w:jc w:val="center"/>
        </w:trPr>
        <w:tc>
          <w:tcPr>
            <w:tcW w:w="5000" w:type="pct"/>
            <w:gridSpan w:val="10"/>
          </w:tcPr>
          <w:p w14:paraId="332A5B84">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检查中发现的问题及处理情况：</w:t>
            </w:r>
          </w:p>
          <w:p w14:paraId="7B05937E">
            <w:pPr>
              <w:pStyle w:val="86"/>
              <w:spacing w:line="360" w:lineRule="auto"/>
              <w:rPr>
                <w:rFonts w:cs="宋体"/>
                <w:color w:val="000000" w:themeColor="text1"/>
                <w:sz w:val="24"/>
                <w:szCs w:val="24"/>
                <w14:textFill>
                  <w14:solidFill>
                    <w14:schemeClr w14:val="tx1"/>
                  </w14:solidFill>
                </w14:textFill>
              </w:rPr>
            </w:pPr>
          </w:p>
          <w:p w14:paraId="1FF83FFD">
            <w:pPr>
              <w:pStyle w:val="86"/>
              <w:spacing w:line="360" w:lineRule="auto"/>
              <w:rPr>
                <w:rFonts w:cs="宋体"/>
                <w:color w:val="000000" w:themeColor="text1"/>
                <w:sz w:val="24"/>
                <w:szCs w:val="24"/>
                <w14:textFill>
                  <w14:solidFill>
                    <w14:schemeClr w14:val="tx1"/>
                  </w14:solidFill>
                </w14:textFill>
              </w:rPr>
            </w:pPr>
          </w:p>
          <w:p w14:paraId="11BB8017">
            <w:pPr>
              <w:pStyle w:val="86"/>
              <w:spacing w:line="360" w:lineRule="auto"/>
              <w:rPr>
                <w:rFonts w:cs="宋体"/>
                <w:color w:val="000000" w:themeColor="text1"/>
                <w:sz w:val="24"/>
                <w:szCs w:val="24"/>
                <w14:textFill>
                  <w14:solidFill>
                    <w14:schemeClr w14:val="tx1"/>
                  </w14:solidFill>
                </w14:textFill>
              </w:rPr>
            </w:pPr>
          </w:p>
          <w:p w14:paraId="612DA827">
            <w:pPr>
              <w:pStyle w:val="86"/>
              <w:spacing w:line="360" w:lineRule="auto"/>
              <w:rPr>
                <w:rFonts w:cs="宋体"/>
                <w:color w:val="000000" w:themeColor="text1"/>
                <w:sz w:val="24"/>
                <w:szCs w:val="24"/>
                <w14:textFill>
                  <w14:solidFill>
                    <w14:schemeClr w14:val="tx1"/>
                  </w14:solidFill>
                </w14:textFill>
              </w:rPr>
            </w:pPr>
          </w:p>
          <w:p w14:paraId="2F98CA0B">
            <w:pPr>
              <w:pStyle w:val="86"/>
              <w:spacing w:line="360" w:lineRule="auto"/>
              <w:rPr>
                <w:rFonts w:cs="宋体"/>
                <w:color w:val="000000" w:themeColor="text1"/>
                <w:sz w:val="24"/>
                <w:szCs w:val="24"/>
                <w14:textFill>
                  <w14:solidFill>
                    <w14:schemeClr w14:val="tx1"/>
                  </w14:solidFill>
                </w14:textFill>
              </w:rPr>
            </w:pPr>
          </w:p>
          <w:p w14:paraId="138BD4BA">
            <w:pPr>
              <w:pStyle w:val="86"/>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 xml:space="preserve">维护人员签名：                            </w:t>
            </w:r>
          </w:p>
        </w:tc>
      </w:tr>
      <w:bookmarkEnd w:id="88"/>
    </w:tbl>
    <w:p w14:paraId="3EEB7908">
      <w:pPr>
        <w:pStyle w:val="3"/>
        <w:spacing w:line="360" w:lineRule="auto"/>
        <w:rPr>
          <w:rFonts w:hint="eastAsia"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附录</w:t>
      </w:r>
      <w:r>
        <w:rPr>
          <w:rFonts w:hint="eastAsia"/>
          <w:color w:val="000000" w:themeColor="text1"/>
          <w:sz w:val="24"/>
          <w:szCs w:val="24"/>
          <w14:textFill>
            <w14:solidFill>
              <w14:schemeClr w14:val="tx1"/>
            </w14:solidFill>
          </w14:textFill>
        </w:rPr>
        <w:t>3</w:t>
      </w:r>
    </w:p>
    <w:p w14:paraId="6A8F0171">
      <w:pPr>
        <w:spacing w:line="360" w:lineRule="auto"/>
        <w:jc w:val="center"/>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X波段天气雷达软件平台维护记录表</w:t>
      </w:r>
    </w:p>
    <w:tbl>
      <w:tblPr>
        <w:tblStyle w:val="28"/>
        <w:tblpPr w:leftFromText="180" w:rightFromText="180" w:vertAnchor="text" w:horzAnchor="page" w:tblpX="1545" w:tblpY="614"/>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82"/>
        <w:gridCol w:w="5088"/>
        <w:gridCol w:w="1849"/>
      </w:tblGrid>
      <w:tr w14:paraId="0DA53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929" w:type="pct"/>
            <w:vAlign w:val="center"/>
          </w:tcPr>
          <w:p w14:paraId="0B374E94">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设备地址</w:t>
            </w:r>
          </w:p>
        </w:tc>
        <w:tc>
          <w:tcPr>
            <w:tcW w:w="2986" w:type="pct"/>
            <w:vAlign w:val="center"/>
          </w:tcPr>
          <w:p w14:paraId="63CE4746">
            <w:pPr>
              <w:pStyle w:val="86"/>
              <w:autoSpaceDE/>
              <w:autoSpaceDN/>
              <w:adjustRightInd w:val="0"/>
              <w:spacing w:line="360" w:lineRule="auto"/>
              <w:rPr>
                <w:rFonts w:cs="宋体"/>
                <w:color w:val="000000" w:themeColor="text1"/>
                <w:sz w:val="24"/>
                <w:szCs w:val="24"/>
                <w14:textFill>
                  <w14:solidFill>
                    <w14:schemeClr w14:val="tx1"/>
                  </w14:solidFill>
                </w14:textFill>
              </w:rPr>
            </w:pPr>
          </w:p>
        </w:tc>
        <w:tc>
          <w:tcPr>
            <w:tcW w:w="1083" w:type="pct"/>
            <w:vAlign w:val="center"/>
          </w:tcPr>
          <w:p w14:paraId="7B913B84">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时间：</w:t>
            </w:r>
          </w:p>
        </w:tc>
      </w:tr>
      <w:tr w14:paraId="79B3B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29" w:type="pct"/>
            <w:vAlign w:val="center"/>
          </w:tcPr>
          <w:p w14:paraId="1641CB48">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设备名称</w:t>
            </w:r>
          </w:p>
        </w:tc>
        <w:tc>
          <w:tcPr>
            <w:tcW w:w="2986" w:type="pct"/>
            <w:vAlign w:val="center"/>
          </w:tcPr>
          <w:p w14:paraId="75204326">
            <w:pPr>
              <w:pStyle w:val="86"/>
              <w:autoSpaceDE/>
              <w:autoSpaceDN/>
              <w:adjustRightInd w:val="0"/>
              <w:spacing w:line="360" w:lineRule="auto"/>
              <w:rPr>
                <w:rFonts w:cs="宋体"/>
                <w:color w:val="000000" w:themeColor="text1"/>
                <w:sz w:val="24"/>
                <w:szCs w:val="24"/>
                <w14:textFill>
                  <w14:solidFill>
                    <w14:schemeClr w14:val="tx1"/>
                  </w14:solidFill>
                </w14:textFill>
              </w:rPr>
            </w:pPr>
          </w:p>
        </w:tc>
        <w:tc>
          <w:tcPr>
            <w:tcW w:w="1083" w:type="pct"/>
            <w:vAlign w:val="center"/>
          </w:tcPr>
          <w:p w14:paraId="71BCF945">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巡检人：</w:t>
            </w:r>
          </w:p>
        </w:tc>
      </w:tr>
      <w:tr w14:paraId="31AA5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trPr>
        <w:tc>
          <w:tcPr>
            <w:tcW w:w="929" w:type="pct"/>
            <w:vAlign w:val="center"/>
          </w:tcPr>
          <w:p w14:paraId="7FA51C59">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巡查项</w:t>
            </w:r>
          </w:p>
        </w:tc>
        <w:tc>
          <w:tcPr>
            <w:tcW w:w="2986" w:type="pct"/>
            <w:vAlign w:val="center"/>
          </w:tcPr>
          <w:p w14:paraId="7C3D77E4">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巡查内容</w:t>
            </w:r>
          </w:p>
        </w:tc>
        <w:tc>
          <w:tcPr>
            <w:tcW w:w="1083" w:type="pct"/>
            <w:vAlign w:val="center"/>
          </w:tcPr>
          <w:p w14:paraId="5D2D65E1">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检查结果（正常/遗留问题）</w:t>
            </w:r>
          </w:p>
        </w:tc>
      </w:tr>
      <w:tr w14:paraId="4E987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9" w:type="pct"/>
            <w:vAlign w:val="center"/>
          </w:tcPr>
          <w:p w14:paraId="6E3B9D3E">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存储服务器维护</w:t>
            </w:r>
          </w:p>
        </w:tc>
        <w:tc>
          <w:tcPr>
            <w:tcW w:w="2986" w:type="pct"/>
            <w:vAlign w:val="center"/>
          </w:tcPr>
          <w:p w14:paraId="000C433F">
            <w:pPr>
              <w:pStyle w:val="86"/>
              <w:autoSpaceDE/>
              <w:autoSpaceDN/>
              <w:adjustRightInd w:val="0"/>
              <w:spacing w:line="360" w:lineRule="auto"/>
              <w:jc w:val="left"/>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定期检查存储服务器的空间剩余量和节点剩余量；检查历史降水数据的转移和备份是否正常；</w:t>
            </w:r>
          </w:p>
        </w:tc>
        <w:tc>
          <w:tcPr>
            <w:tcW w:w="1083" w:type="pct"/>
            <w:vAlign w:val="center"/>
          </w:tcPr>
          <w:p w14:paraId="717C74C4">
            <w:pPr>
              <w:pStyle w:val="86"/>
              <w:autoSpaceDE/>
              <w:autoSpaceDN/>
              <w:adjustRightInd w:val="0"/>
              <w:spacing w:line="360" w:lineRule="auto"/>
              <w:rPr>
                <w:rFonts w:cs="宋体"/>
                <w:color w:val="000000" w:themeColor="text1"/>
                <w:sz w:val="24"/>
                <w:szCs w:val="24"/>
                <w14:textFill>
                  <w14:solidFill>
                    <w14:schemeClr w14:val="tx1"/>
                  </w14:solidFill>
                </w14:textFill>
              </w:rPr>
            </w:pPr>
          </w:p>
        </w:tc>
      </w:tr>
      <w:tr w14:paraId="4A1B1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9" w:type="pct"/>
            <w:vAlign w:val="center"/>
          </w:tcPr>
          <w:p w14:paraId="4AD3B94D">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业务服务器维护</w:t>
            </w:r>
          </w:p>
        </w:tc>
        <w:tc>
          <w:tcPr>
            <w:tcW w:w="2986" w:type="pct"/>
            <w:vAlign w:val="center"/>
          </w:tcPr>
          <w:p w14:paraId="3778A2C7">
            <w:pPr>
              <w:pStyle w:val="86"/>
              <w:autoSpaceDE/>
              <w:autoSpaceDN/>
              <w:adjustRightInd w:val="0"/>
              <w:spacing w:line="360" w:lineRule="auto"/>
              <w:jc w:val="left"/>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检查分布式任务运行状态，查看是否均正常运行；服务器资源检查，包括CPU、内存、带宽负载等的使用状况，查看是否有CPU和内存占用过高等异常情况；安装安全软件对服务器的文件进行安全扫描，定期杀毒；系统补丁更新，修复漏洞；</w:t>
            </w:r>
          </w:p>
        </w:tc>
        <w:tc>
          <w:tcPr>
            <w:tcW w:w="1083" w:type="pct"/>
            <w:vAlign w:val="center"/>
          </w:tcPr>
          <w:p w14:paraId="2A098409">
            <w:pPr>
              <w:pStyle w:val="86"/>
              <w:autoSpaceDE/>
              <w:autoSpaceDN/>
              <w:adjustRightInd w:val="0"/>
              <w:spacing w:line="360" w:lineRule="auto"/>
              <w:rPr>
                <w:rFonts w:cs="宋体"/>
                <w:color w:val="000000" w:themeColor="text1"/>
                <w:sz w:val="24"/>
                <w:szCs w:val="24"/>
                <w14:textFill>
                  <w14:solidFill>
                    <w14:schemeClr w14:val="tx1"/>
                  </w14:solidFill>
                </w14:textFill>
              </w:rPr>
            </w:pPr>
          </w:p>
        </w:tc>
      </w:tr>
      <w:tr w14:paraId="289AC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9" w:type="pct"/>
            <w:vAlign w:val="center"/>
          </w:tcPr>
          <w:p w14:paraId="0D0062A2">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软件平台功能性检查和BUG检查</w:t>
            </w:r>
          </w:p>
        </w:tc>
        <w:tc>
          <w:tcPr>
            <w:tcW w:w="2986" w:type="pct"/>
            <w:vAlign w:val="center"/>
          </w:tcPr>
          <w:p w14:paraId="62D4A496">
            <w:pPr>
              <w:pStyle w:val="86"/>
              <w:autoSpaceDE/>
              <w:autoSpaceDN/>
              <w:adjustRightInd w:val="0"/>
              <w:spacing w:line="360" w:lineRule="auto"/>
              <w:jc w:val="left"/>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对软件各功能项进行每日检查，确认各功能正常运行及显示，并且对系统出现的缺陷和问题进行详细登记，根据缺陷问题的严重程度按照采购人的要求进行修复；</w:t>
            </w:r>
          </w:p>
        </w:tc>
        <w:tc>
          <w:tcPr>
            <w:tcW w:w="1083" w:type="pct"/>
            <w:vAlign w:val="center"/>
          </w:tcPr>
          <w:p w14:paraId="12BAF020">
            <w:pPr>
              <w:pStyle w:val="86"/>
              <w:autoSpaceDE/>
              <w:autoSpaceDN/>
              <w:adjustRightInd w:val="0"/>
              <w:spacing w:line="360" w:lineRule="auto"/>
              <w:rPr>
                <w:rFonts w:cs="宋体"/>
                <w:color w:val="000000" w:themeColor="text1"/>
                <w:sz w:val="24"/>
                <w:szCs w:val="24"/>
                <w14:textFill>
                  <w14:solidFill>
                    <w14:schemeClr w14:val="tx1"/>
                  </w14:solidFill>
                </w14:textFill>
              </w:rPr>
            </w:pPr>
          </w:p>
        </w:tc>
      </w:tr>
      <w:tr w14:paraId="5F54A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9" w:type="pct"/>
            <w:vAlign w:val="center"/>
          </w:tcPr>
          <w:p w14:paraId="5521BD3D">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软件平台系统升级和更新</w:t>
            </w:r>
          </w:p>
        </w:tc>
        <w:tc>
          <w:tcPr>
            <w:tcW w:w="2986" w:type="pct"/>
            <w:vAlign w:val="center"/>
          </w:tcPr>
          <w:p w14:paraId="0A65C25A">
            <w:pPr>
              <w:pStyle w:val="86"/>
              <w:autoSpaceDE/>
              <w:autoSpaceDN/>
              <w:adjustRightInd w:val="0"/>
              <w:spacing w:line="360" w:lineRule="auto"/>
              <w:jc w:val="left"/>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对软件系统进行升级更新和优化，确认软件正常工作，在升级前先向采购人进行汇报，并提供升级会产生的影响进行明确说明，得到采购人同意后再进行升级更新和优化；</w:t>
            </w:r>
          </w:p>
        </w:tc>
        <w:tc>
          <w:tcPr>
            <w:tcW w:w="1083" w:type="pct"/>
            <w:vAlign w:val="center"/>
          </w:tcPr>
          <w:p w14:paraId="7CDDAD77">
            <w:pPr>
              <w:pStyle w:val="86"/>
              <w:autoSpaceDE/>
              <w:autoSpaceDN/>
              <w:adjustRightInd w:val="0"/>
              <w:spacing w:line="360" w:lineRule="auto"/>
              <w:rPr>
                <w:rFonts w:cs="宋体"/>
                <w:color w:val="000000" w:themeColor="text1"/>
                <w:sz w:val="24"/>
                <w:szCs w:val="24"/>
                <w14:textFill>
                  <w14:solidFill>
                    <w14:schemeClr w14:val="tx1"/>
                  </w14:solidFill>
                </w14:textFill>
              </w:rPr>
            </w:pPr>
          </w:p>
        </w:tc>
      </w:tr>
      <w:tr w14:paraId="2074E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3"/>
            <w:vAlign w:val="center"/>
          </w:tcPr>
          <w:p w14:paraId="4D6FD8C2">
            <w:pPr>
              <w:pStyle w:val="86"/>
              <w:autoSpaceDE/>
              <w:autoSpaceDN/>
              <w:adjustRightInd w:val="0"/>
              <w:spacing w:line="360" w:lineRule="auto"/>
              <w:rPr>
                <w:rFonts w:cs="宋体"/>
                <w:color w:val="000000" w:themeColor="text1"/>
                <w:sz w:val="24"/>
                <w:szCs w:val="24"/>
                <w14:textFill>
                  <w14:solidFill>
                    <w14:schemeClr w14:val="tx1"/>
                  </w14:solidFill>
                </w14:textFill>
              </w:rPr>
            </w:pPr>
          </w:p>
          <w:p w14:paraId="56DB771F">
            <w:pPr>
              <w:pStyle w:val="86"/>
              <w:autoSpaceDE/>
              <w:autoSpaceDN/>
              <w:adjustRightInd w:val="0"/>
              <w:spacing w:line="360" w:lineRule="auto"/>
              <w:rPr>
                <w:rFonts w:cs="宋体"/>
                <w:color w:val="000000" w:themeColor="text1"/>
                <w:sz w:val="24"/>
                <w:szCs w:val="24"/>
                <w14:textFill>
                  <w14:solidFill>
                    <w14:schemeClr w14:val="tx1"/>
                  </w14:solidFill>
                </w14:textFill>
              </w:rPr>
            </w:pPr>
          </w:p>
          <w:p w14:paraId="0615B3E2">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 xml:space="preserve">  </w:t>
            </w:r>
          </w:p>
          <w:p w14:paraId="256B1C14">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 xml:space="preserve">                                       维护人员签字：</w:t>
            </w:r>
          </w:p>
          <w:p w14:paraId="1920F573">
            <w:pPr>
              <w:pStyle w:val="86"/>
              <w:autoSpaceDE/>
              <w:autoSpaceDN/>
              <w:adjustRightInd w:val="0"/>
              <w:spacing w:line="360" w:lineRule="auto"/>
              <w:rPr>
                <w:rFonts w:cs="宋体"/>
                <w:color w:val="000000" w:themeColor="text1"/>
                <w:sz w:val="24"/>
                <w:szCs w:val="24"/>
                <w14:textFill>
                  <w14:solidFill>
                    <w14:schemeClr w14:val="tx1"/>
                  </w14:solidFill>
                </w14:textFill>
              </w:rPr>
            </w:pPr>
            <w:r>
              <w:rPr>
                <w:rFonts w:cs="宋体"/>
                <w:color w:val="000000" w:themeColor="text1"/>
                <w:sz w:val="24"/>
                <w:szCs w:val="24"/>
                <w14:textFill>
                  <w14:solidFill>
                    <w14:schemeClr w14:val="tx1"/>
                  </w14:solidFill>
                </w14:textFill>
              </w:rPr>
              <w:t xml:space="preserve">                                           年       月          日</w:t>
            </w:r>
          </w:p>
        </w:tc>
      </w:tr>
    </w:tbl>
    <w:p w14:paraId="3FA926A9">
      <w:pPr>
        <w:spacing w:line="360" w:lineRule="auto"/>
        <w:rPr>
          <w:rFonts w:hint="eastAsia" w:ascii="宋体" w:hAnsi="宋体" w:cs="宋体"/>
          <w:color w:val="000000" w:themeColor="text1"/>
          <w:sz w:val="36"/>
          <w:szCs w:val="36"/>
          <w14:textFill>
            <w14:solidFill>
              <w14:schemeClr w14:val="tx1"/>
            </w14:solidFill>
          </w14:textFill>
        </w:rPr>
      </w:pPr>
    </w:p>
    <w:p w14:paraId="2DAD0C3F">
      <w:pPr>
        <w:ind w:firstLine="1446" w:firstLineChars="400"/>
        <w:jc w:val="center"/>
        <w:rPr>
          <w:rFonts w:cs="Times New Roman"/>
          <w:b/>
          <w:bCs/>
          <w:color w:val="000000" w:themeColor="text1"/>
          <w:sz w:val="36"/>
          <w:szCs w:val="36"/>
          <w14:textFill>
            <w14:solidFill>
              <w14:schemeClr w14:val="tx1"/>
            </w14:solidFill>
          </w14:textFill>
        </w:rPr>
      </w:pPr>
      <w:bookmarkStart w:id="89" w:name="_Toc4669"/>
      <w:bookmarkStart w:id="90" w:name="_Toc3666"/>
      <w:bookmarkStart w:id="91" w:name="_Toc7690"/>
      <w:r>
        <w:rPr>
          <w:rFonts w:hint="eastAsia" w:cs="宋体"/>
          <w:b/>
          <w:bCs/>
          <w:color w:val="000000" w:themeColor="text1"/>
          <w:sz w:val="36"/>
          <w:szCs w:val="36"/>
          <w14:textFill>
            <w14:solidFill>
              <w14:schemeClr w14:val="tx1"/>
            </w14:solidFill>
          </w14:textFill>
        </w:rPr>
        <w:t>第六部分</w:t>
      </w:r>
      <w:r>
        <w:rPr>
          <w:b/>
          <w:bCs/>
          <w:color w:val="000000" w:themeColor="text1"/>
          <w:sz w:val="36"/>
          <w:szCs w:val="36"/>
          <w14:textFill>
            <w14:solidFill>
              <w14:schemeClr w14:val="tx1"/>
            </w14:solidFill>
          </w14:textFill>
        </w:rPr>
        <w:t xml:space="preserve"> </w:t>
      </w:r>
      <w:r>
        <w:rPr>
          <w:rFonts w:hint="eastAsia" w:cs="宋体"/>
          <w:b/>
          <w:bCs/>
          <w:color w:val="000000" w:themeColor="text1"/>
          <w:sz w:val="36"/>
          <w:szCs w:val="36"/>
          <w14:textFill>
            <w14:solidFill>
              <w14:schemeClr w14:val="tx1"/>
            </w14:solidFill>
          </w14:textFill>
        </w:rPr>
        <w:t>应提交的有关格式范例</w:t>
      </w:r>
      <w:bookmarkEnd w:id="89"/>
      <w:bookmarkEnd w:id="90"/>
      <w:bookmarkEnd w:id="91"/>
    </w:p>
    <w:p w14:paraId="02323DF3">
      <w:pPr>
        <w:spacing w:line="360" w:lineRule="auto"/>
        <w:ind w:firstLine="480" w:firstLineChars="200"/>
        <w:outlineLvl w:val="0"/>
        <w:rPr>
          <w:rFonts w:ascii="宋体"/>
          <w:color w:val="000000" w:themeColor="text1"/>
          <w:sz w:val="24"/>
          <w:szCs w:val="24"/>
          <w14:textFill>
            <w14:solidFill>
              <w14:schemeClr w14:val="tx1"/>
            </w14:solidFill>
          </w14:textFill>
        </w:rPr>
      </w:pPr>
    </w:p>
    <w:p w14:paraId="5C7F3931">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供应商按照以下格式编制响应文件，</w:t>
      </w:r>
      <w:r>
        <w:rPr>
          <w:rFonts w:hint="eastAsia" w:ascii="宋体" w:hAnsi="宋体" w:cs="宋体"/>
          <w:b/>
          <w:bCs/>
          <w:color w:val="000000" w:themeColor="text1"/>
          <w:sz w:val="24"/>
          <w:szCs w:val="24"/>
          <w14:textFill>
            <w14:solidFill>
              <w14:schemeClr w14:val="tx1"/>
            </w14:solidFill>
          </w14:textFill>
        </w:rPr>
        <w:t>“资格文件”、“商务技术文件”、“报价文件”须分</w:t>
      </w:r>
      <w:r>
        <w:rPr>
          <w:rFonts w:ascii="宋体" w:hAnsi="宋体" w:cs="宋体"/>
          <w:b/>
          <w:bCs/>
          <w:color w:val="000000" w:themeColor="text1"/>
          <w:sz w:val="24"/>
          <w:szCs w:val="24"/>
          <w14:textFill>
            <w14:solidFill>
              <w14:schemeClr w14:val="tx1"/>
            </w14:solidFill>
          </w14:textFill>
        </w:rPr>
        <w:t>3</w:t>
      </w:r>
      <w:r>
        <w:rPr>
          <w:rFonts w:hint="eastAsia" w:ascii="宋体" w:hAnsi="宋体" w:cs="宋体"/>
          <w:b/>
          <w:bCs/>
          <w:color w:val="000000" w:themeColor="text1"/>
          <w:sz w:val="24"/>
          <w:szCs w:val="24"/>
          <w14:textFill>
            <w14:solidFill>
              <w14:schemeClr w14:val="tx1"/>
            </w14:solidFill>
          </w14:textFill>
        </w:rPr>
        <w:t>个</w:t>
      </w:r>
      <w:r>
        <w:rPr>
          <w:rFonts w:ascii="宋体" w:hAnsi="宋体" w:cs="宋体"/>
          <w:b/>
          <w:bCs/>
          <w:color w:val="000000" w:themeColor="text1"/>
          <w:sz w:val="24"/>
          <w:szCs w:val="24"/>
          <w14:textFill>
            <w14:solidFill>
              <w14:schemeClr w14:val="tx1"/>
            </w14:solidFill>
          </w14:textFill>
        </w:rPr>
        <w:t>PDF</w:t>
      </w:r>
      <w:r>
        <w:rPr>
          <w:rFonts w:hint="eastAsia" w:ascii="宋体" w:hAnsi="宋体" w:cs="宋体"/>
          <w:b/>
          <w:bCs/>
          <w:color w:val="000000" w:themeColor="text1"/>
          <w:sz w:val="24"/>
          <w:szCs w:val="24"/>
          <w14:textFill>
            <w14:solidFill>
              <w14:schemeClr w14:val="tx1"/>
            </w14:solidFill>
          </w14:textFill>
        </w:rPr>
        <w:t>格式分别导入。</w:t>
      </w:r>
    </w:p>
    <w:p w14:paraId="17C1E333">
      <w:pPr>
        <w:spacing w:line="360" w:lineRule="auto"/>
        <w:ind w:firstLine="482" w:firstLineChars="200"/>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此格式内容仅为参考模板，具体内容供应商应根据磋商文件要求进行调整。未按以下格式编制响应文件或因格式不规范、页码不清等原因引发的一切后果由供应商自行承担。</w:t>
      </w:r>
    </w:p>
    <w:p w14:paraId="0435D035">
      <w:pPr>
        <w:spacing w:line="360" w:lineRule="auto"/>
        <w:jc w:val="center"/>
        <w:rPr>
          <w:rFonts w:ascii="宋体"/>
          <w:b/>
          <w:bCs/>
          <w:color w:val="000000" w:themeColor="text1"/>
          <w:sz w:val="36"/>
          <w:szCs w:val="36"/>
          <w14:textFill>
            <w14:solidFill>
              <w14:schemeClr w14:val="tx1"/>
            </w14:solidFill>
          </w14:textFill>
        </w:rPr>
      </w:pPr>
      <w:r>
        <w:rPr>
          <w:rFonts w:ascii="宋体"/>
          <w:b/>
          <w:bCs/>
          <w:color w:val="000000" w:themeColor="text1"/>
          <w:sz w:val="24"/>
          <w:szCs w:val="24"/>
          <w14:textFill>
            <w14:solidFill>
              <w14:schemeClr w14:val="tx1"/>
            </w14:solidFill>
          </w14:textFill>
        </w:rPr>
        <w:br w:type="page"/>
      </w:r>
      <w:r>
        <w:rPr>
          <w:rFonts w:hint="eastAsia" w:ascii="宋体" w:hAnsi="宋体" w:cs="宋体"/>
          <w:b/>
          <w:bCs/>
          <w:color w:val="000000" w:themeColor="text1"/>
          <w:sz w:val="36"/>
          <w:szCs w:val="36"/>
          <w14:textFill>
            <w14:solidFill>
              <w14:schemeClr w14:val="tx1"/>
            </w14:solidFill>
          </w14:textFill>
        </w:rPr>
        <w:t>资格文件部分</w:t>
      </w:r>
    </w:p>
    <w:p w14:paraId="1F8128F8">
      <w:pPr>
        <w:spacing w:line="360" w:lineRule="auto"/>
        <w:jc w:val="center"/>
        <w:rPr>
          <w:rFonts w:ascii="宋体"/>
          <w:b/>
          <w:bCs/>
          <w:color w:val="000000" w:themeColor="text1"/>
          <w:sz w:val="36"/>
          <w:szCs w:val="36"/>
          <w14:textFill>
            <w14:solidFill>
              <w14:schemeClr w14:val="tx1"/>
            </w14:solidFill>
          </w14:textFill>
        </w:rPr>
      </w:pPr>
    </w:p>
    <w:p w14:paraId="390D6FE9">
      <w:pPr>
        <w:spacing w:line="360" w:lineRule="auto"/>
        <w:jc w:val="center"/>
        <w:rPr>
          <w:rFonts w:ascii="宋体"/>
          <w:b/>
          <w:bCs/>
          <w:color w:val="000000" w:themeColor="text1"/>
          <w:sz w:val="36"/>
          <w:szCs w:val="36"/>
          <w14:textFill>
            <w14:solidFill>
              <w14:schemeClr w14:val="tx1"/>
            </w14:solidFill>
          </w14:textFill>
        </w:rPr>
      </w:pPr>
      <w:r>
        <w:rPr>
          <w:rFonts w:hint="eastAsia" w:ascii="宋体" w:hAnsi="宋体" w:cs="宋体"/>
          <w:b/>
          <w:bCs/>
          <w:color w:val="000000" w:themeColor="text1"/>
          <w:sz w:val="36"/>
          <w:szCs w:val="36"/>
          <w14:textFill>
            <w14:solidFill>
              <w14:schemeClr w14:val="tx1"/>
            </w14:solidFill>
          </w14:textFill>
        </w:rPr>
        <w:t>目录</w:t>
      </w:r>
    </w:p>
    <w:p w14:paraId="538B11DD">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）法定代表人授权书；（格式见附件）</w:t>
      </w:r>
    </w:p>
    <w:p w14:paraId="19392B6C">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）营业执照</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或事业法人登记证或其他工商等登记证明材料</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复印件、税务登记证</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或其它缴纳证明材料</w:t>
      </w:r>
      <w:r>
        <w:rPr>
          <w:rFonts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4143836F">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561611D0">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）具有履行合同所必需的产品和专业技术能力的承诺函；</w:t>
      </w:r>
    </w:p>
    <w:p w14:paraId="27B64642">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4</w:t>
      </w:r>
      <w:r>
        <w:rPr>
          <w:rFonts w:hint="eastAsia" w:ascii="宋体" w:hAnsi="宋体" w:cs="宋体"/>
          <w:color w:val="000000" w:themeColor="text1"/>
          <w:sz w:val="24"/>
          <w:szCs w:val="24"/>
          <w14:textFill>
            <w14:solidFill>
              <w14:schemeClr w14:val="tx1"/>
            </w14:solidFill>
          </w14:textFill>
        </w:rPr>
        <w:t>）投标人承诺函；</w:t>
      </w:r>
    </w:p>
    <w:p w14:paraId="16B228D2">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）中小企业声明函（格式见附件）；</w:t>
      </w:r>
    </w:p>
    <w:p w14:paraId="4BD4C7C5">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（6）残疾人福利性单位声明函(如有)（格式见附件）；</w:t>
      </w:r>
    </w:p>
    <w:p w14:paraId="3D00B558">
      <w:p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（7）监狱企业证明文件(如有)（格式见附件）。</w:t>
      </w:r>
    </w:p>
    <w:p w14:paraId="5F39D692">
      <w:pPr>
        <w:pStyle w:val="11"/>
        <w:ind w:firstLine="486"/>
        <w:rPr>
          <w:rFonts w:hint="eastAsia" w:cs="Times New Roman"/>
          <w:color w:val="000000" w:themeColor="text1"/>
          <w14:textFill>
            <w14:solidFill>
              <w14:schemeClr w14:val="tx1"/>
            </w14:solidFill>
          </w14:textFill>
        </w:rPr>
      </w:pPr>
    </w:p>
    <w:p w14:paraId="48E98491">
      <w:pPr>
        <w:pStyle w:val="11"/>
        <w:ind w:firstLine="486"/>
        <w:rPr>
          <w:rFonts w:hint="eastAsia" w:cs="Times New Roman"/>
          <w:color w:val="000000" w:themeColor="text1"/>
          <w14:textFill>
            <w14:solidFill>
              <w14:schemeClr w14:val="tx1"/>
            </w14:solidFill>
          </w14:textFill>
        </w:rPr>
      </w:pPr>
    </w:p>
    <w:p w14:paraId="418F8D3C">
      <w:pPr>
        <w:rPr>
          <w:rFonts w:ascii="宋体"/>
          <w:color w:val="000000" w:themeColor="text1"/>
          <w14:textFill>
            <w14:solidFill>
              <w14:schemeClr w14:val="tx1"/>
            </w14:solidFill>
          </w14:textFill>
        </w:rPr>
      </w:pPr>
      <w:r>
        <w:rPr>
          <w:rFonts w:ascii="宋体"/>
          <w:color w:val="000000" w:themeColor="text1"/>
          <w14:textFill>
            <w14:solidFill>
              <w14:schemeClr w14:val="tx1"/>
            </w14:solidFill>
          </w14:textFill>
        </w:rPr>
        <w:br w:type="page"/>
      </w:r>
      <w:bookmarkStart w:id="92" w:name="_Toc24699"/>
    </w:p>
    <w:p w14:paraId="3B2A197A">
      <w:pPr>
        <w:rPr>
          <w:b/>
          <w:bCs/>
          <w:color w:val="000000" w:themeColor="text1"/>
          <w14:textFill>
            <w14:solidFill>
              <w14:schemeClr w14:val="tx1"/>
            </w14:solidFill>
          </w14:textFill>
        </w:rPr>
      </w:pPr>
      <w:r>
        <w:rPr>
          <w:rFonts w:hint="eastAsia" w:cs="宋体"/>
          <w:b/>
          <w:bCs/>
          <w:color w:val="000000" w:themeColor="text1"/>
          <w14:textFill>
            <w14:solidFill>
              <w14:schemeClr w14:val="tx1"/>
            </w14:solidFill>
          </w14:textFill>
        </w:rPr>
        <w:t>附件一：</w:t>
      </w:r>
    </w:p>
    <w:p w14:paraId="59203FA0">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法定代表人授权书</w:t>
      </w:r>
      <w:bookmarkEnd w:id="92"/>
    </w:p>
    <w:p w14:paraId="4535C2F4">
      <w:pPr>
        <w:pStyle w:val="4"/>
        <w:spacing w:line="360" w:lineRule="auto"/>
        <w:rPr>
          <w:rFonts w:ascii="宋体"/>
          <w:color w:val="000000" w:themeColor="text1"/>
          <w14:textFill>
            <w14:solidFill>
              <w14:schemeClr w14:val="tx1"/>
            </w14:solidFill>
          </w14:textFill>
        </w:rPr>
      </w:pPr>
    </w:p>
    <w:p w14:paraId="3A84DEB6">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绍兴市上虞区气象局：</w:t>
      </w:r>
    </w:p>
    <w:p w14:paraId="1660BE51">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中纬工程管理咨询有限公司：</w:t>
      </w:r>
    </w:p>
    <w:p w14:paraId="1871E6DF">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（供应商全称）</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法定代表人</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授权</w:t>
      </w:r>
      <w:r>
        <w:rPr>
          <w:rFonts w:hint="eastAsia" w:ascii="宋体" w:hAnsi="宋体" w:cs="宋体"/>
          <w:color w:val="000000" w:themeColor="text1"/>
          <w:sz w:val="24"/>
          <w:szCs w:val="24"/>
          <w:u w:val="single"/>
          <w14:textFill>
            <w14:solidFill>
              <w14:schemeClr w14:val="tx1"/>
            </w14:solidFill>
          </w14:textFill>
        </w:rPr>
        <w:t>（授权代表名称）</w:t>
      </w:r>
      <w:r>
        <w:rPr>
          <w:rFonts w:hint="eastAsia" w:ascii="宋体" w:hAnsi="宋体" w:cs="宋体"/>
          <w:color w:val="000000" w:themeColor="text1"/>
          <w:sz w:val="24"/>
          <w:szCs w:val="24"/>
          <w14:textFill>
            <w14:solidFill>
              <w14:schemeClr w14:val="tx1"/>
            </w14:solidFill>
          </w14:textFill>
        </w:rPr>
        <w:t>为授权代表，参加贵处组织的</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项目</w:t>
      </w:r>
      <w:r>
        <w:rPr>
          <w:rFonts w:hint="eastAsia" w:ascii="宋体" w:hAnsi="宋体" w:cs="宋体"/>
          <w:color w:val="000000" w:themeColor="text1"/>
          <w:sz w:val="24"/>
          <w:szCs w:val="24"/>
          <w:u w:val="single"/>
          <w14:textFill>
            <w14:solidFill>
              <w14:schemeClr w14:val="tx1"/>
            </w14:solidFill>
          </w14:textFill>
        </w:rPr>
        <w:t>（括号内填写招标编号）</w:t>
      </w:r>
      <w:r>
        <w:rPr>
          <w:rFonts w:hint="eastAsia" w:ascii="宋体" w:hAnsi="宋体" w:cs="宋体"/>
          <w:color w:val="000000" w:themeColor="text1"/>
          <w:sz w:val="24"/>
          <w:szCs w:val="24"/>
          <w14:textFill>
            <w14:solidFill>
              <w14:schemeClr w14:val="tx1"/>
            </w14:solidFill>
          </w14:textFill>
        </w:rPr>
        <w:t>，授权处理招投标活动中的一切事宜。</w:t>
      </w:r>
    </w:p>
    <w:p w14:paraId="64B2AA63">
      <w:pPr>
        <w:spacing w:line="360" w:lineRule="auto"/>
        <w:ind w:firstLine="480" w:firstLineChars="200"/>
        <w:rPr>
          <w:rFonts w:ascii="宋体"/>
          <w:color w:val="000000" w:themeColor="text1"/>
          <w:sz w:val="24"/>
          <w:szCs w:val="24"/>
          <w14:textFill>
            <w14:solidFill>
              <w14:schemeClr w14:val="tx1"/>
            </w14:solidFill>
          </w14:textFill>
        </w:rPr>
      </w:pPr>
    </w:p>
    <w:p w14:paraId="353F8CB4">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法定代表人签字：</w:t>
      </w:r>
    </w:p>
    <w:p w14:paraId="6205AF14">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供应商全称：（盖章）</w:t>
      </w:r>
    </w:p>
    <w:p w14:paraId="0F1A7C5E">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日期：</w:t>
      </w:r>
    </w:p>
    <w:p w14:paraId="0621DD6C">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附：</w:t>
      </w:r>
    </w:p>
    <w:p w14:paraId="5C381F58">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授权代表姓名：</w:t>
      </w:r>
    </w:p>
    <w:p w14:paraId="70176C20">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职务：</w:t>
      </w:r>
    </w:p>
    <w:p w14:paraId="4D9BFCD0">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详细通讯地址：</w:t>
      </w:r>
    </w:p>
    <w:p w14:paraId="743E94B2">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传真：</w:t>
      </w:r>
    </w:p>
    <w:p w14:paraId="1FDB6867">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电话：</w:t>
      </w:r>
    </w:p>
    <w:p w14:paraId="3F40F516">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邮政编码：</w:t>
      </w:r>
    </w:p>
    <w:p w14:paraId="3A071347">
      <w:pPr>
        <w:pStyle w:val="13"/>
        <w:snapToGrid w:val="0"/>
        <w:spacing w:line="360" w:lineRule="auto"/>
        <w:rPr>
          <w:rFonts w:hint="eastAsia" w:hAnsi="宋体" w:cs="Times New Roman"/>
          <w:color w:val="000000" w:themeColor="text1"/>
          <w:sz w:val="24"/>
          <w:szCs w:val="24"/>
          <w14:textFill>
            <w14:solidFill>
              <w14:schemeClr w14:val="tx1"/>
            </w14:solidFill>
          </w14:textFill>
        </w:rPr>
      </w:pPr>
    </w:p>
    <w:p w14:paraId="3C7B4CCE">
      <w:pPr>
        <w:pStyle w:val="13"/>
        <w:snapToGrid w:val="0"/>
        <w:spacing w:line="360" w:lineRule="auto"/>
        <w:rPr>
          <w:rFonts w:hint="eastAsia" w:hAnsi="宋体" w:cs="Times New Roman"/>
          <w:color w:val="000000" w:themeColor="text1"/>
          <w:sz w:val="24"/>
          <w:szCs w:val="24"/>
          <w14:textFill>
            <w14:solidFill>
              <w14:schemeClr w14:val="tx1"/>
            </w14:solidFill>
          </w14:textFill>
        </w:rPr>
      </w:pPr>
    </w:p>
    <w:p w14:paraId="613E55A6">
      <w:pPr>
        <w:pStyle w:val="13"/>
        <w:snapToGrid w:val="0"/>
        <w:spacing w:line="360" w:lineRule="auto"/>
        <w:rPr>
          <w:rFonts w:hint="eastAsia" w:hAnsi="宋体" w:cs="Times New Roman"/>
          <w:color w:val="000000" w:themeColor="text1"/>
          <w:sz w:val="24"/>
          <w:szCs w:val="24"/>
          <w14:textFill>
            <w14:solidFill>
              <w14:schemeClr w14:val="tx1"/>
            </w14:solidFill>
          </w14:textFill>
        </w:rPr>
      </w:pPr>
    </w:p>
    <w:p w14:paraId="2F68A0D7">
      <w:pPr>
        <w:spacing w:line="360" w:lineRule="auto"/>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附：授权代表身份证复印件（正反面）</w:t>
      </w:r>
    </w:p>
    <w:p w14:paraId="5BEF2248">
      <w:pPr>
        <w:spacing w:line="360" w:lineRule="auto"/>
        <w:rPr>
          <w:rFonts w:ascii="宋体"/>
          <w:b/>
          <w:bCs/>
          <w:color w:val="000000" w:themeColor="text1"/>
          <w:sz w:val="24"/>
          <w:szCs w:val="24"/>
          <w14:textFill>
            <w14:solidFill>
              <w14:schemeClr w14:val="tx1"/>
            </w14:solidFill>
          </w14:textFill>
        </w:rPr>
      </w:pPr>
    </w:p>
    <w:p w14:paraId="00031D9F">
      <w:pPr>
        <w:pStyle w:val="11"/>
        <w:ind w:firstLine="486"/>
        <w:rPr>
          <w:rFonts w:hint="eastAsia" w:cs="Times New Roman"/>
          <w:color w:val="000000" w:themeColor="text1"/>
          <w14:textFill>
            <w14:solidFill>
              <w14:schemeClr w14:val="tx1"/>
            </w14:solidFill>
          </w14:textFill>
        </w:rPr>
      </w:pPr>
    </w:p>
    <w:p w14:paraId="1293FABC">
      <w:pPr>
        <w:snapToGrid w:val="0"/>
        <w:spacing w:before="50" w:after="156" w:afterLines="50"/>
        <w:jc w:val="left"/>
        <w:rPr>
          <w:rFonts w:ascii="宋体"/>
          <w:b/>
          <w:bCs/>
          <w:color w:val="000000" w:themeColor="text1"/>
          <w:sz w:val="24"/>
          <w:szCs w:val="24"/>
          <w:lang w:val="zh-CN"/>
          <w14:textFill>
            <w14:solidFill>
              <w14:schemeClr w14:val="tx1"/>
            </w14:solidFill>
          </w14:textFill>
        </w:rPr>
      </w:pPr>
      <w:r>
        <w:rPr>
          <w:rFonts w:ascii="宋体"/>
          <w:b/>
          <w:bCs/>
          <w:color w:val="000000" w:themeColor="text1"/>
          <w:sz w:val="24"/>
          <w:szCs w:val="24"/>
          <w14:textFill>
            <w14:solidFill>
              <w14:schemeClr w14:val="tx1"/>
            </w14:solidFill>
          </w14:textFill>
        </w:rPr>
        <w:br w:type="page"/>
      </w:r>
      <w:r>
        <w:rPr>
          <w:rFonts w:hint="eastAsia" w:ascii="宋体" w:hAnsi="宋体" w:cs="宋体"/>
          <w:b/>
          <w:bCs/>
          <w:color w:val="000000" w:themeColor="text1"/>
          <w:sz w:val="24"/>
          <w:szCs w:val="24"/>
          <w:lang w:val="zh-CN"/>
          <w14:textFill>
            <w14:solidFill>
              <w14:schemeClr w14:val="tx1"/>
            </w14:solidFill>
          </w14:textFill>
        </w:rPr>
        <w:t>附件二：</w:t>
      </w:r>
    </w:p>
    <w:p w14:paraId="5206CAF3">
      <w:pPr>
        <w:spacing w:line="360" w:lineRule="auto"/>
        <w:jc w:val="center"/>
        <w:rPr>
          <w:rFonts w:hint="eastAsia"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投 标 人 承 诺 函</w:t>
      </w:r>
    </w:p>
    <w:p w14:paraId="69A4ACF8">
      <w:pPr>
        <w:rPr>
          <w:color w:val="000000" w:themeColor="text1"/>
          <w14:textFill>
            <w14:solidFill>
              <w14:schemeClr w14:val="tx1"/>
            </w14:solidFill>
          </w14:textFill>
        </w:rPr>
      </w:pPr>
    </w:p>
    <w:p w14:paraId="6D8CA2C6">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绍兴市上虞区气象局</w:t>
      </w:r>
      <w:r>
        <w:rPr>
          <w:rFonts w:hint="eastAsia" w:ascii="宋体" w:hAnsi="宋体" w:cs="宋体"/>
          <w:color w:val="000000" w:themeColor="text1"/>
          <w:sz w:val="24"/>
          <w14:textFill>
            <w14:solidFill>
              <w14:schemeClr w14:val="tx1"/>
            </w14:solidFill>
          </w14:textFill>
        </w:rPr>
        <w:t>：</w:t>
      </w:r>
    </w:p>
    <w:p w14:paraId="474D695C">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中纬工程管理咨询有限公司：</w:t>
      </w:r>
    </w:p>
    <w:p w14:paraId="7FCFC9C2">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（投标人名称）</w:t>
      </w:r>
      <w:r>
        <w:rPr>
          <w:rFonts w:hint="eastAsia" w:ascii="宋体" w:hAnsi="宋体" w:cs="宋体"/>
          <w:color w:val="000000" w:themeColor="text1"/>
          <w:sz w:val="24"/>
          <w14:textFill>
            <w14:solidFill>
              <w14:schemeClr w14:val="tx1"/>
            </w14:solidFill>
          </w14:textFill>
        </w:rPr>
        <w:t>系中华人民共和国合法企业，经营地址。</w:t>
      </w:r>
    </w:p>
    <w:p w14:paraId="617C016C">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w:t>
      </w:r>
      <w:r>
        <w:rPr>
          <w:rFonts w:hint="eastAsia" w:ascii="宋体" w:hAnsi="宋体" w:cs="宋体"/>
          <w:color w:val="000000" w:themeColor="text1"/>
          <w:sz w:val="24"/>
          <w:u w:val="single"/>
          <w14:textFill>
            <w14:solidFill>
              <w14:schemeClr w14:val="tx1"/>
            </w14:solidFill>
          </w14:textFill>
        </w:rPr>
        <w:t>（姓名）</w:t>
      </w:r>
      <w:r>
        <w:rPr>
          <w:rFonts w:hint="eastAsia" w:ascii="宋体" w:hAnsi="宋体" w:cs="宋体"/>
          <w:color w:val="000000" w:themeColor="text1"/>
          <w:sz w:val="24"/>
          <w14:textFill>
            <w14:solidFill>
              <w14:schemeClr w14:val="tx1"/>
            </w14:solidFill>
          </w14:textFill>
        </w:rPr>
        <w:t>系</w:t>
      </w:r>
      <w:r>
        <w:rPr>
          <w:rFonts w:hint="eastAsia" w:ascii="宋体" w:hAnsi="宋体" w:cs="宋体"/>
          <w:color w:val="000000" w:themeColor="text1"/>
          <w:sz w:val="24"/>
          <w:u w:val="single"/>
          <w14:textFill>
            <w14:solidFill>
              <w14:schemeClr w14:val="tx1"/>
            </w14:solidFill>
          </w14:textFill>
        </w:rPr>
        <w:t>（投标人名称）</w:t>
      </w:r>
      <w:r>
        <w:rPr>
          <w:rFonts w:hint="eastAsia" w:ascii="宋体" w:hAnsi="宋体" w:cs="宋体"/>
          <w:color w:val="000000" w:themeColor="text1"/>
          <w:sz w:val="24"/>
          <w14:textFill>
            <w14:solidFill>
              <w14:schemeClr w14:val="tx1"/>
            </w14:solidFill>
          </w14:textFill>
        </w:rPr>
        <w:t>的法定代表人，我方愿意参加贵方组织的</w:t>
      </w:r>
      <w:r>
        <w:rPr>
          <w:rFonts w:hint="eastAsia" w:ascii="宋体" w:hAnsi="宋体" w:cs="宋体"/>
          <w:color w:val="000000" w:themeColor="text1"/>
          <w:sz w:val="24"/>
          <w:u w:val="single"/>
          <w14:textFill>
            <w14:solidFill>
              <w14:schemeClr w14:val="tx1"/>
            </w14:solidFill>
          </w14:textFill>
        </w:rPr>
        <w:t>（招标项目名称）（编号为）</w:t>
      </w:r>
      <w:r>
        <w:rPr>
          <w:rFonts w:hint="eastAsia" w:ascii="宋体" w:hAnsi="宋体" w:cs="宋体"/>
          <w:color w:val="000000" w:themeColor="text1"/>
          <w:sz w:val="24"/>
          <w14:textFill>
            <w14:solidFill>
              <w14:schemeClr w14:val="tx1"/>
            </w14:solidFill>
          </w14:textFill>
        </w:rPr>
        <w:t>的投标，为此，我方就本次投标有关事项郑重承诺如下：</w:t>
      </w:r>
    </w:p>
    <w:p w14:paraId="6D4F8671">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1、我方已详细审查全部招标文件，同意招标文件的各项要求。</w:t>
      </w:r>
    </w:p>
    <w:p w14:paraId="1EE580B5">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2、我方向贵方提交的所有投标文件、资料都是准确的和真实的。</w:t>
      </w:r>
    </w:p>
    <w:p w14:paraId="658769B5">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3、若中标，我方将按招标文件规定履行合同责任和义务。</w:t>
      </w:r>
    </w:p>
    <w:p w14:paraId="16EF294F">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4、我方不是采购人的附属机构；在获知本项目采购信息后，与采购人聘请的为此项目提供咨询服务的公司及其附属机构没有任何联系。</w:t>
      </w:r>
    </w:p>
    <w:p w14:paraId="70108C65">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5、投标文件自开标日起有效期为90天。</w:t>
      </w:r>
    </w:p>
    <w:p w14:paraId="45E6F095">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6、我方参与本项目前3年内的经营活动中没有重大违法记录；</w:t>
      </w:r>
    </w:p>
    <w:p w14:paraId="47A86190">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7、我方通过“信用中国”网站（www.creditchina.gov.cn）、中国政府采购网（www.ccgp.gov.cn）查询，未被列入失信被执行人、重大税收违法案件当事人名单、政府采购严重违法失信行为记录名单。</w:t>
      </w:r>
    </w:p>
    <w:p w14:paraId="21B3BE8F">
      <w:pPr>
        <w:pStyle w:val="52"/>
        <w:spacing w:before="0"/>
        <w:ind w:firstLine="480"/>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8、具有良好的商业信誉和健全的财务会计制度；</w:t>
      </w:r>
    </w:p>
    <w:p w14:paraId="07A24759">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9、具有依法缴纳税收和社会保障资金的良好记录；</w:t>
      </w:r>
    </w:p>
    <w:p w14:paraId="7797DB2C">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10、以上事项如有虚假或隐瞒，我方愿意承担一切后果，并不再寻求任何旨在减轻或免除法律责任的辩解。</w:t>
      </w:r>
    </w:p>
    <w:p w14:paraId="17C02FE2">
      <w:pPr>
        <w:spacing w:line="360" w:lineRule="auto"/>
        <w:ind w:firstLine="480" w:firstLineChars="200"/>
        <w:rPr>
          <w:rFonts w:hint="eastAsia" w:ascii="宋体" w:hAnsi="宋体" w:cs="宋体"/>
          <w:color w:val="000000" w:themeColor="text1"/>
          <w:sz w:val="24"/>
          <w14:textFill>
            <w14:solidFill>
              <w14:schemeClr w14:val="tx1"/>
            </w14:solidFill>
          </w14:textFill>
        </w:rPr>
      </w:pPr>
    </w:p>
    <w:p w14:paraId="42F99F2F">
      <w:pPr>
        <w:pStyle w:val="11"/>
        <w:ind w:left="5000"/>
        <w:rPr>
          <w:rFonts w:hint="eastAsia"/>
          <w:color w:val="000000" w:themeColor="text1"/>
          <w14:textFill>
            <w14:solidFill>
              <w14:schemeClr w14:val="tx1"/>
            </w14:solidFill>
          </w14:textFill>
        </w:rPr>
      </w:pPr>
    </w:p>
    <w:p w14:paraId="7D5C9CBF">
      <w:pPr>
        <w:spacing w:line="360" w:lineRule="auto"/>
        <w:ind w:left="3600" w:leftChars="180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法定代表人签名（或签名章）：                       </w:t>
      </w:r>
    </w:p>
    <w:p w14:paraId="64F640F3">
      <w:pPr>
        <w:spacing w:line="360" w:lineRule="auto"/>
        <w:ind w:left="3600" w:leftChars="180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p>
    <w:p w14:paraId="562683F7">
      <w:pPr>
        <w:spacing w:line="360" w:lineRule="auto"/>
        <w:ind w:left="3600" w:leftChars="180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投标人全称（公章）：</w:t>
      </w:r>
    </w:p>
    <w:p w14:paraId="1EA184D5">
      <w:pPr>
        <w:pStyle w:val="4"/>
        <w:rPr>
          <w:rFonts w:ascii="宋体"/>
          <w:color w:val="000000" w:themeColor="text1"/>
          <w14:textFill>
            <w14:solidFill>
              <w14:schemeClr w14:val="tx1"/>
            </w14:solidFill>
          </w14:textFill>
        </w:rPr>
      </w:pPr>
    </w:p>
    <w:p w14:paraId="35719AA6">
      <w:pPr>
        <w:spacing w:line="360" w:lineRule="auto"/>
        <w:rPr>
          <w:rFonts w:ascii="宋体"/>
          <w:b/>
          <w:bCs/>
          <w:color w:val="000000" w:themeColor="text1"/>
          <w:sz w:val="36"/>
          <w:szCs w:val="36"/>
          <w14:textFill>
            <w14:solidFill>
              <w14:schemeClr w14:val="tx1"/>
            </w14:solidFill>
          </w14:textFill>
        </w:rPr>
      </w:pPr>
    </w:p>
    <w:p w14:paraId="62469FC7">
      <w:pPr>
        <w:spacing w:line="360" w:lineRule="auto"/>
        <w:jc w:val="left"/>
        <w:rPr>
          <w:rFonts w:hint="eastAsia" w:ascii="宋体" w:hAnsi="宋体" w:cs="宋体"/>
          <w:b/>
          <w:color w:val="000000" w:themeColor="text1"/>
          <w:sz w:val="30"/>
          <w:szCs w:val="30"/>
          <w14:textFill>
            <w14:solidFill>
              <w14:schemeClr w14:val="tx1"/>
            </w14:solidFill>
          </w14:textFill>
        </w:rPr>
      </w:pPr>
      <w:r>
        <w:rPr>
          <w:rFonts w:hint="eastAsia" w:ascii="宋体" w:hAnsi="宋体" w:cs="宋体"/>
          <w:b/>
          <w:bCs/>
          <w:color w:val="000000" w:themeColor="text1"/>
          <w:sz w:val="24"/>
          <w:szCs w:val="24"/>
          <w:lang w:val="zh-CN"/>
          <w14:textFill>
            <w14:solidFill>
              <w14:schemeClr w14:val="tx1"/>
            </w14:solidFill>
          </w14:textFill>
        </w:rPr>
        <w:t>附件三：</w:t>
      </w:r>
    </w:p>
    <w:p w14:paraId="4A6C8E74">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中小企业声明函</w:t>
      </w:r>
    </w:p>
    <w:p w14:paraId="41A1C6F7">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本公司（联合体）郑重声明，根据《政府采购促进中小企业发展管理办法》 （财库﹝2020﹞46 号）的规定，本公司（联合体）参加</w:t>
      </w:r>
      <w:r>
        <w:rPr>
          <w:rFonts w:hint="eastAsia" w:ascii="宋体" w:hAnsi="宋体" w:cs="宋体"/>
          <w:color w:val="000000" w:themeColor="text1"/>
          <w:sz w:val="24"/>
          <w:u w:val="single"/>
          <w14:textFill>
            <w14:solidFill>
              <w14:schemeClr w14:val="tx1"/>
            </w14:solidFill>
          </w14:textFill>
        </w:rPr>
        <w:t xml:space="preserve"> （采购人名称） </w:t>
      </w:r>
      <w:r>
        <w:rPr>
          <w:rFonts w:hint="eastAsia" w:ascii="宋体" w:hAnsi="宋体" w:cs="宋体"/>
          <w:color w:val="000000" w:themeColor="text1"/>
          <w:sz w:val="24"/>
          <w14:textFill>
            <w14:solidFill>
              <w14:schemeClr w14:val="tx1"/>
            </w14:solidFill>
          </w14:textFill>
        </w:rPr>
        <w:t>的</w:t>
      </w:r>
      <w:r>
        <w:rPr>
          <w:rFonts w:hint="eastAsia" w:ascii="宋体" w:hAnsi="宋体" w:cs="宋体"/>
          <w:color w:val="000000" w:themeColor="text1"/>
          <w:sz w:val="24"/>
          <w:u w:val="single"/>
          <w14:textFill>
            <w14:solidFill>
              <w14:schemeClr w14:val="tx1"/>
            </w14:solidFill>
          </w14:textFill>
        </w:rPr>
        <w:t xml:space="preserve"> （项目名称）     </w:t>
      </w:r>
      <w:r>
        <w:rPr>
          <w:rFonts w:hint="eastAsia" w:ascii="宋体" w:hAnsi="宋体" w:cs="宋体"/>
          <w:color w:val="000000" w:themeColor="text1"/>
          <w:sz w:val="24"/>
          <w14:textFill>
            <w14:solidFill>
              <w14:schemeClr w14:val="tx1"/>
            </w14:solidFill>
          </w14:textFill>
        </w:rPr>
        <w:t>采购活动，</w:t>
      </w:r>
      <w:r>
        <w:rPr>
          <w:rFonts w:hint="eastAsia" w:ascii="宋体" w:hAnsi="宋体" w:cs="宋体"/>
          <w:b/>
          <w:bCs/>
          <w:color w:val="000000" w:themeColor="text1"/>
          <w:sz w:val="24"/>
          <w14:textFill>
            <w14:solidFill>
              <w14:schemeClr w14:val="tx1"/>
            </w14:solidFill>
          </w14:textFill>
        </w:rPr>
        <w:t>服务全部由符合政策要求的中小企业承接。</w:t>
      </w:r>
      <w:r>
        <w:rPr>
          <w:rFonts w:hint="eastAsia" w:ascii="宋体" w:hAnsi="宋体" w:cs="宋体"/>
          <w:color w:val="000000" w:themeColor="text1"/>
          <w:sz w:val="24"/>
          <w14:textFill>
            <w14:solidFill>
              <w14:schemeClr w14:val="tx1"/>
            </w14:solidFill>
          </w14:textFill>
        </w:rPr>
        <w:t>相关企业（含联合体中的中小企业、签订分包意向协议的中小企业）的具体情况如下：</w:t>
      </w:r>
    </w:p>
    <w:p w14:paraId="765ACEDD">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u w:val="single"/>
          <w14:textFill>
            <w14:solidFill>
              <w14:schemeClr w14:val="tx1"/>
            </w14:solidFill>
          </w14:textFill>
        </w:rPr>
        <w:t xml:space="preserve"> （项目名称）</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 xml:space="preserve"> 其他未列明 </w:t>
      </w:r>
      <w:r>
        <w:rPr>
          <w:rFonts w:hint="eastAsia" w:ascii="宋体" w:hAnsi="宋体" w:cs="宋体"/>
          <w:color w:val="000000" w:themeColor="text1"/>
          <w:sz w:val="24"/>
          <w14:textFill>
            <w14:solidFill>
              <w14:schemeClr w14:val="tx1"/>
            </w14:solidFill>
          </w14:textFill>
        </w:rPr>
        <w:t>行业 ；承接企业为</w:t>
      </w:r>
      <w:r>
        <w:rPr>
          <w:rFonts w:hint="eastAsia" w:ascii="宋体" w:hAnsi="宋体" w:cs="宋体"/>
          <w:color w:val="000000" w:themeColor="text1"/>
          <w:sz w:val="24"/>
          <w:u w:val="single"/>
          <w14:textFill>
            <w14:solidFill>
              <w14:schemeClr w14:val="tx1"/>
            </w14:solidFill>
          </w14:textFill>
        </w:rPr>
        <w:t xml:space="preserve"> （企业名称） </w:t>
      </w:r>
      <w:r>
        <w:rPr>
          <w:rFonts w:hint="eastAsia" w:ascii="宋体" w:hAnsi="宋体" w:cs="宋体"/>
          <w:color w:val="000000" w:themeColor="text1"/>
          <w:sz w:val="24"/>
          <w14:textFill>
            <w14:solidFill>
              <w14:schemeClr w14:val="tx1"/>
            </w14:solidFill>
          </w14:textFill>
        </w:rPr>
        <w:t>，从业人员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 ，属于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14BEEC06">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s="宋体"/>
          <w:color w:val="000000" w:themeColor="text1"/>
          <w:sz w:val="24"/>
          <w:u w:val="single"/>
          <w14:textFill>
            <w14:solidFill>
              <w14:schemeClr w14:val="tx1"/>
            </w14:solidFill>
          </w14:textFill>
        </w:rPr>
        <w:t xml:space="preserve"> （项目名称）</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 xml:space="preserve"> 其他未列明 </w:t>
      </w:r>
      <w:r>
        <w:rPr>
          <w:rFonts w:hint="eastAsia" w:ascii="宋体" w:hAnsi="宋体" w:cs="宋体"/>
          <w:color w:val="000000" w:themeColor="text1"/>
          <w:sz w:val="24"/>
          <w14:textFill>
            <w14:solidFill>
              <w14:schemeClr w14:val="tx1"/>
            </w14:solidFill>
          </w14:textFill>
        </w:rPr>
        <w:t>行业 ；承接企业为</w:t>
      </w:r>
      <w:r>
        <w:rPr>
          <w:rFonts w:hint="eastAsia" w:ascii="宋体" w:hAnsi="宋体" w:cs="宋体"/>
          <w:color w:val="000000" w:themeColor="text1"/>
          <w:sz w:val="24"/>
          <w:u w:val="single"/>
          <w14:textFill>
            <w14:solidFill>
              <w14:schemeClr w14:val="tx1"/>
            </w14:solidFill>
          </w14:textFill>
        </w:rPr>
        <w:t xml:space="preserve">  （企业名称） </w:t>
      </w:r>
      <w:r>
        <w:rPr>
          <w:rFonts w:hint="eastAsia" w:ascii="宋体" w:hAnsi="宋体" w:cs="宋体"/>
          <w:color w:val="000000" w:themeColor="text1"/>
          <w:sz w:val="24"/>
          <w14:textFill>
            <w14:solidFill>
              <w14:schemeClr w14:val="tx1"/>
            </w14:solidFill>
          </w14:textFill>
        </w:rPr>
        <w:t>，从业人员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 ，属于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7B715FD8">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p w14:paraId="4776CE1D">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14:paraId="33CE1710">
      <w:pPr>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本企业对上述声明内容的真实性负责。如有虚假，将依法承担相应责任。</w:t>
      </w:r>
    </w:p>
    <w:p w14:paraId="04578334">
      <w:pPr>
        <w:spacing w:line="288" w:lineRule="auto"/>
        <w:ind w:right="420" w:firstLine="4320" w:firstLineChars="1800"/>
        <w:rPr>
          <w:rFonts w:hint="eastAsia" w:ascii="宋体" w:hAnsi="宋体" w:cs="宋体"/>
          <w:color w:val="000000" w:themeColor="text1"/>
          <w:sz w:val="24"/>
          <w14:textFill>
            <w14:solidFill>
              <w14:schemeClr w14:val="tx1"/>
            </w14:solidFill>
          </w14:textFill>
        </w:rPr>
      </w:pPr>
    </w:p>
    <w:p w14:paraId="2C5112D2">
      <w:pPr>
        <w:spacing w:line="288" w:lineRule="auto"/>
        <w:ind w:right="420" w:firstLine="4320" w:firstLineChars="1800"/>
        <w:rPr>
          <w:rFonts w:hint="eastAsia" w:ascii="宋体" w:hAnsi="宋体" w:cs="宋体"/>
          <w:color w:val="000000" w:themeColor="text1"/>
          <w:sz w:val="24"/>
          <w14:textFill>
            <w14:solidFill>
              <w14:schemeClr w14:val="tx1"/>
            </w14:solidFill>
          </w14:textFill>
        </w:rPr>
      </w:pPr>
    </w:p>
    <w:p w14:paraId="3D4BCD38">
      <w:pPr>
        <w:spacing w:line="288" w:lineRule="auto"/>
        <w:ind w:right="420" w:firstLine="4800" w:firstLineChars="20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企业名称（盖章）： </w:t>
      </w:r>
    </w:p>
    <w:p w14:paraId="200CA966">
      <w:pPr>
        <w:spacing w:line="288" w:lineRule="auto"/>
        <w:ind w:left="3600" w:leftChars="1800" w:firstLine="960" w:firstLineChars="4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日期：   年     月     日</w:t>
      </w:r>
    </w:p>
    <w:p w14:paraId="20CB6F8B">
      <w:pPr>
        <w:pStyle w:val="4"/>
        <w:spacing w:line="288" w:lineRule="auto"/>
        <w:rPr>
          <w:rFonts w:hint="eastAsia" w:ascii="宋体" w:hAnsi="宋体" w:cs="宋体"/>
          <w:color w:val="000000" w:themeColor="text1"/>
          <w:sz w:val="24"/>
          <w:szCs w:val="24"/>
          <w14:textFill>
            <w14:solidFill>
              <w14:schemeClr w14:val="tx1"/>
            </w14:solidFill>
          </w14:textFill>
        </w:rPr>
      </w:pPr>
    </w:p>
    <w:p w14:paraId="3782F7E5">
      <w:pPr>
        <w:spacing w:line="288" w:lineRule="auto"/>
        <w:ind w:firstLine="480" w:firstLineChars="200"/>
        <w:jc w:val="left"/>
        <w:rPr>
          <w:rFonts w:hint="eastAsia" w:ascii="宋体" w:hAnsi="宋体" w:cs="宋体"/>
          <w:color w:val="000000" w:themeColor="text1"/>
          <w:sz w:val="24"/>
          <w14:textFill>
            <w14:solidFill>
              <w14:schemeClr w14:val="tx1"/>
            </w14:solidFill>
          </w14:textFill>
        </w:rPr>
      </w:pPr>
    </w:p>
    <w:p w14:paraId="366CE236">
      <w:pPr>
        <w:spacing w:line="288" w:lineRule="auto"/>
        <w:ind w:firstLine="480" w:firstLineChars="200"/>
        <w:jc w:val="left"/>
        <w:rPr>
          <w:rFonts w:hint="eastAsia" w:ascii="宋体" w:hAnsi="宋体" w:cs="宋体"/>
          <w:color w:val="000000" w:themeColor="text1"/>
          <w:sz w:val="24"/>
          <w14:textFill>
            <w14:solidFill>
              <w14:schemeClr w14:val="tx1"/>
            </w14:solidFill>
          </w14:textFill>
        </w:rPr>
      </w:pPr>
    </w:p>
    <w:p w14:paraId="0A2EF92D">
      <w:pPr>
        <w:spacing w:line="288" w:lineRule="auto"/>
        <w:ind w:firstLine="480" w:firstLineChars="200"/>
        <w:jc w:val="left"/>
        <w:rPr>
          <w:rFonts w:hint="eastAsia" w:ascii="宋体" w:hAnsi="宋体" w:cs="宋体"/>
          <w:color w:val="000000" w:themeColor="text1"/>
          <w:sz w:val="24"/>
          <w14:textFill>
            <w14:solidFill>
              <w14:schemeClr w14:val="tx1"/>
            </w14:solidFill>
          </w14:textFill>
        </w:rPr>
      </w:pPr>
    </w:p>
    <w:p w14:paraId="4719F8BB">
      <w:pPr>
        <w:spacing w:line="288"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注：从业人员、营业收入、资产总额填报上一年度数据，无上一年度数据的新成立企业可不填报。</w:t>
      </w:r>
    </w:p>
    <w:p w14:paraId="4A67FF6A">
      <w:pPr>
        <w:jc w:val="center"/>
        <w:rPr>
          <w:color w:val="000000" w:themeColor="text1"/>
          <w:lang w:val="zh-CN"/>
          <w14:textFill>
            <w14:solidFill>
              <w14:schemeClr w14:val="tx1"/>
            </w14:solidFill>
          </w14:textFill>
        </w:rPr>
      </w:pPr>
    </w:p>
    <w:p w14:paraId="12BE6B6A">
      <w:pPr>
        <w:pStyle w:val="3"/>
        <w:spacing w:line="360" w:lineRule="auto"/>
        <w:jc w:val="center"/>
        <w:rPr>
          <w:rFonts w:hint="eastAsia" w:hAnsi="宋体" w:cs="Times New Roman"/>
          <w:color w:val="000000" w:themeColor="text1"/>
          <w:sz w:val="24"/>
          <w:szCs w:val="24"/>
          <w14:textFill>
            <w14:solidFill>
              <w14:schemeClr w14:val="tx1"/>
            </w14:solidFill>
          </w14:textFill>
        </w:rPr>
      </w:pPr>
    </w:p>
    <w:p w14:paraId="2E2B762F">
      <w:pPr>
        <w:jc w:val="center"/>
        <w:rPr>
          <w:color w:val="000000" w:themeColor="text1"/>
          <w:lang w:val="zh-CN"/>
          <w14:textFill>
            <w14:solidFill>
              <w14:schemeClr w14:val="tx1"/>
            </w14:solidFill>
          </w14:textFill>
        </w:rPr>
      </w:pPr>
      <w:bookmarkStart w:id="93" w:name="_Toc30916"/>
      <w:bookmarkStart w:id="94" w:name="_Toc2071"/>
      <w:bookmarkStart w:id="95" w:name="_Toc3295"/>
      <w:r>
        <w:rPr>
          <w:rFonts w:hAnsi="宋体"/>
          <w:color w:val="000000" w:themeColor="text1"/>
          <w14:textFill>
            <w14:solidFill>
              <w14:schemeClr w14:val="tx1"/>
            </w14:solidFill>
          </w14:textFill>
        </w:rPr>
        <w:br w:type="page"/>
      </w:r>
      <w:bookmarkEnd w:id="93"/>
      <w:bookmarkEnd w:id="94"/>
      <w:bookmarkEnd w:id="95"/>
    </w:p>
    <w:p w14:paraId="5461B726">
      <w:pPr>
        <w:rPr>
          <w:b/>
          <w:bCs/>
          <w:color w:val="000000" w:themeColor="text1"/>
          <w:sz w:val="24"/>
          <w:szCs w:val="24"/>
          <w:lang w:val="zh-CN"/>
          <w14:textFill>
            <w14:solidFill>
              <w14:schemeClr w14:val="tx1"/>
            </w14:solidFill>
          </w14:textFill>
        </w:rPr>
      </w:pPr>
      <w:bookmarkStart w:id="96" w:name="_Toc16150"/>
      <w:bookmarkStart w:id="97" w:name="_Toc25017"/>
      <w:bookmarkStart w:id="98" w:name="_Toc9715"/>
      <w:bookmarkStart w:id="99" w:name="_Toc31472"/>
      <w:r>
        <w:rPr>
          <w:rFonts w:hint="eastAsia" w:cs="宋体"/>
          <w:b/>
          <w:bCs/>
          <w:color w:val="000000" w:themeColor="text1"/>
          <w:sz w:val="24"/>
          <w:szCs w:val="24"/>
          <w:lang w:val="zh-CN"/>
          <w14:textFill>
            <w14:solidFill>
              <w14:schemeClr w14:val="tx1"/>
            </w14:solidFill>
          </w14:textFill>
        </w:rPr>
        <w:t>附件四</w:t>
      </w:r>
      <w:r>
        <w:rPr>
          <w:rFonts w:hint="eastAsia" w:cs="宋体"/>
          <w:b/>
          <w:bCs/>
          <w:color w:val="000000" w:themeColor="text1"/>
          <w:sz w:val="24"/>
          <w:szCs w:val="24"/>
          <w14:textFill>
            <w14:solidFill>
              <w14:schemeClr w14:val="tx1"/>
            </w14:solidFill>
          </w14:textFill>
        </w:rPr>
        <w:t>：</w:t>
      </w:r>
    </w:p>
    <w:p w14:paraId="43BC10FC">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残疾人福利性单位声明函</w:t>
      </w:r>
      <w:bookmarkEnd w:id="96"/>
      <w:bookmarkEnd w:id="97"/>
      <w:bookmarkEnd w:id="98"/>
      <w:bookmarkEnd w:id="99"/>
    </w:p>
    <w:p w14:paraId="20E467C5">
      <w:pPr>
        <w:widowControl/>
        <w:snapToGrid w:val="0"/>
        <w:spacing w:line="324" w:lineRule="auto"/>
        <w:ind w:firstLine="480" w:firstLineChars="20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【不属于残疾人福利性单位的无需填写、递交】</w:t>
      </w:r>
    </w:p>
    <w:p w14:paraId="756DAA55">
      <w:pPr>
        <w:spacing w:line="588" w:lineRule="exact"/>
        <w:rPr>
          <w:rFonts w:ascii="宋体"/>
          <w:b/>
          <w:bCs/>
          <w:color w:val="000000" w:themeColor="text1"/>
          <w:spacing w:val="6"/>
          <w:sz w:val="30"/>
          <w:szCs w:val="30"/>
          <w14:textFill>
            <w14:solidFill>
              <w14:schemeClr w14:val="tx1"/>
            </w14:solidFill>
          </w14:textFill>
        </w:rPr>
      </w:pPr>
    </w:p>
    <w:p w14:paraId="0B2C80CF">
      <w:pPr>
        <w:spacing w:line="588" w:lineRule="exact"/>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本单位郑重声明，根据《财政部</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民政部</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中国残疾人联合会关于促进残疾人就业政府采购政策的通知》（财库〔</w:t>
      </w:r>
      <w:r>
        <w:rPr>
          <w:rFonts w:ascii="宋体" w:hAnsi="宋体" w:cs="宋体"/>
          <w:color w:val="000000" w:themeColor="text1"/>
          <w:sz w:val="24"/>
          <w:szCs w:val="24"/>
          <w14:textFill>
            <w14:solidFill>
              <w14:schemeClr w14:val="tx1"/>
            </w14:solidFill>
          </w14:textFill>
        </w:rPr>
        <w:t>2017</w:t>
      </w: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 xml:space="preserve"> 141</w:t>
      </w:r>
      <w:r>
        <w:rPr>
          <w:rFonts w:hint="eastAsia" w:ascii="宋体" w:hAnsi="宋体" w:cs="宋体"/>
          <w:color w:val="000000" w:themeColor="text1"/>
          <w:sz w:val="24"/>
          <w:szCs w:val="24"/>
          <w14:textFill>
            <w14:solidFill>
              <w14:schemeClr w14:val="tx1"/>
            </w14:solidFill>
          </w14:textFill>
        </w:rPr>
        <w:t>号）的规定，本单位为符合条件的残疾人福利性单位，且本单位参加</w:t>
      </w:r>
      <w:r>
        <w:rPr>
          <w:rFonts w:ascii="宋体" w:hAnsi="宋体" w:cs="宋体"/>
          <w:color w:val="000000" w:themeColor="text1"/>
          <w:sz w:val="24"/>
          <w:szCs w:val="24"/>
          <w14:textFill>
            <w14:solidFill>
              <w14:schemeClr w14:val="tx1"/>
            </w14:solidFill>
          </w14:textFill>
        </w:rPr>
        <w:t>______</w:t>
      </w:r>
      <w:r>
        <w:rPr>
          <w:rFonts w:hint="eastAsia" w:ascii="宋体" w:hAnsi="宋体" w:cs="宋体"/>
          <w:color w:val="000000" w:themeColor="text1"/>
          <w:sz w:val="24"/>
          <w:szCs w:val="24"/>
          <w14:textFill>
            <w14:solidFill>
              <w14:schemeClr w14:val="tx1"/>
            </w14:solidFill>
          </w14:textFill>
        </w:rPr>
        <w:t>单位的</w:t>
      </w:r>
      <w:r>
        <w:rPr>
          <w:rFonts w:ascii="宋体" w:hAnsi="宋体" w:cs="宋体"/>
          <w:color w:val="000000" w:themeColor="text1"/>
          <w:sz w:val="24"/>
          <w:szCs w:val="24"/>
          <w14:textFill>
            <w14:solidFill>
              <w14:schemeClr w14:val="tx1"/>
            </w14:solidFill>
          </w14:textFill>
        </w:rPr>
        <w:t>______</w:t>
      </w:r>
      <w:r>
        <w:rPr>
          <w:rFonts w:hint="eastAsia" w:ascii="宋体" w:hAnsi="宋体" w:cs="宋体"/>
          <w:color w:val="000000" w:themeColor="text1"/>
          <w:sz w:val="24"/>
          <w:szCs w:val="24"/>
          <w14:textFill>
            <w14:solidFill>
              <w14:schemeClr w14:val="tx1"/>
            </w14:solidFill>
          </w14:textFill>
        </w:rPr>
        <w:t>项目采购活动提供本单位服务，或者提供其他残疾人福利性单位提供的服务。本单位对上述声明的真实性负责。如有虚假，将依法承担相应责任。</w:t>
      </w:r>
    </w:p>
    <w:p w14:paraId="4556377A">
      <w:pPr>
        <w:pStyle w:val="3"/>
        <w:rPr>
          <w:rFonts w:cs="Times New Roman"/>
          <w:color w:val="000000" w:themeColor="text1"/>
          <w14:textFill>
            <w14:solidFill>
              <w14:schemeClr w14:val="tx1"/>
            </w14:solidFill>
          </w14:textFill>
        </w:rPr>
      </w:pPr>
    </w:p>
    <w:p w14:paraId="179B1897">
      <w:pPr>
        <w:pStyle w:val="4"/>
        <w:rPr>
          <w:color w:val="000000" w:themeColor="text1"/>
          <w14:textFill>
            <w14:solidFill>
              <w14:schemeClr w14:val="tx1"/>
            </w14:solidFill>
          </w14:textFill>
        </w:rPr>
      </w:pPr>
    </w:p>
    <w:p w14:paraId="340B2775">
      <w:pPr>
        <w:spacing w:line="588" w:lineRule="exact"/>
        <w:rPr>
          <w:rFonts w:ascii="宋体"/>
          <w:color w:val="000000" w:themeColor="text1"/>
          <w:sz w:val="24"/>
          <w:szCs w:val="24"/>
          <w14:textFill>
            <w14:solidFill>
              <w14:schemeClr w14:val="tx1"/>
            </w14:solidFill>
          </w14:textFill>
        </w:rPr>
      </w:pPr>
    </w:p>
    <w:p w14:paraId="2AF57BBD">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2698B909">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4BFF4AA9">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1BE01EAC">
      <w:pPr>
        <w:rPr>
          <w:b/>
          <w:bCs/>
          <w:color w:val="000000" w:themeColor="text1"/>
          <w:sz w:val="24"/>
          <w:szCs w:val="24"/>
          <w:lang w:val="zh-CN"/>
          <w14:textFill>
            <w14:solidFill>
              <w14:schemeClr w14:val="tx1"/>
            </w14:solidFill>
          </w14:textFill>
        </w:rPr>
      </w:pPr>
      <w:bookmarkStart w:id="100" w:name="_Toc15966"/>
      <w:bookmarkStart w:id="101" w:name="_Toc2386"/>
      <w:bookmarkStart w:id="102" w:name="_Toc24"/>
      <w:bookmarkStart w:id="103" w:name="_Toc5441"/>
      <w:r>
        <w:rPr>
          <w:color w:val="000000" w:themeColor="text1"/>
          <w:sz w:val="24"/>
          <w:szCs w:val="24"/>
          <w:lang w:val="zh-CN"/>
          <w14:textFill>
            <w14:solidFill>
              <w14:schemeClr w14:val="tx1"/>
            </w14:solidFill>
          </w14:textFill>
        </w:rPr>
        <w:br w:type="page"/>
      </w:r>
      <w:r>
        <w:rPr>
          <w:rFonts w:hint="eastAsia" w:cs="宋体"/>
          <w:b/>
          <w:bCs/>
          <w:color w:val="000000" w:themeColor="text1"/>
          <w:sz w:val="24"/>
          <w:szCs w:val="24"/>
          <w:lang w:val="zh-CN"/>
          <w14:textFill>
            <w14:solidFill>
              <w14:schemeClr w14:val="tx1"/>
            </w14:solidFill>
          </w14:textFill>
        </w:rPr>
        <w:t>附件五</w:t>
      </w:r>
      <w:r>
        <w:rPr>
          <w:rFonts w:hint="eastAsia" w:cs="宋体"/>
          <w:b/>
          <w:bCs/>
          <w:color w:val="000000" w:themeColor="text1"/>
          <w:sz w:val="24"/>
          <w:szCs w:val="24"/>
          <w14:textFill>
            <w14:solidFill>
              <w14:schemeClr w14:val="tx1"/>
            </w14:solidFill>
          </w14:textFill>
        </w:rPr>
        <w:t>：</w:t>
      </w:r>
    </w:p>
    <w:p w14:paraId="000567D5">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监狱企业证明文件</w:t>
      </w:r>
      <w:bookmarkEnd w:id="100"/>
      <w:bookmarkEnd w:id="101"/>
      <w:bookmarkEnd w:id="102"/>
      <w:bookmarkEnd w:id="103"/>
    </w:p>
    <w:p w14:paraId="6A6D0475">
      <w:pPr>
        <w:widowControl/>
        <w:snapToGrid w:val="0"/>
        <w:spacing w:line="360" w:lineRule="auto"/>
        <w:jc w:val="center"/>
        <w:rPr>
          <w:rFonts w:ascii="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【不属于监狱企业的无需填写、递交】</w:t>
      </w:r>
    </w:p>
    <w:p w14:paraId="7350F18A">
      <w:pPr>
        <w:widowControl/>
        <w:snapToGrid w:val="0"/>
        <w:spacing w:line="324" w:lineRule="auto"/>
        <w:jc w:val="center"/>
        <w:rPr>
          <w:rFonts w:ascii="宋体"/>
          <w:color w:val="000000" w:themeColor="text1"/>
          <w:sz w:val="24"/>
          <w:szCs w:val="24"/>
          <w14:textFill>
            <w14:solidFill>
              <w14:schemeClr w14:val="tx1"/>
            </w14:solidFill>
          </w14:textFill>
        </w:rPr>
      </w:pPr>
    </w:p>
    <w:p w14:paraId="034F3E90">
      <w:pPr>
        <w:spacing w:line="588" w:lineRule="exact"/>
        <w:ind w:firstLine="480" w:firstLineChars="200"/>
        <w:rPr>
          <w:rFonts w:ascii="宋体"/>
          <w:color w:val="000000" w:themeColor="text1"/>
          <w:sz w:val="24"/>
          <w:szCs w:val="24"/>
          <w14:textFill>
            <w14:solidFill>
              <w14:schemeClr w14:val="tx1"/>
            </w14:solidFill>
          </w14:textFill>
        </w:rPr>
      </w:pPr>
    </w:p>
    <w:p w14:paraId="121FBE82">
      <w:pPr>
        <w:adjustRightInd w:val="0"/>
        <w:snapToGrid w:val="0"/>
        <w:spacing w:before="156" w:beforeLines="50"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监狱企业需提供省级以上的监狱管理局、戒毒管理局（含新疆生产建设兵团）出具的属于监狱企业的证明文件。</w:t>
      </w:r>
      <w:r>
        <w:rPr>
          <w:rFonts w:ascii="宋体" w:hAnsi="宋体" w:cs="宋体"/>
          <w:color w:val="000000" w:themeColor="text1"/>
          <w:sz w:val="24"/>
          <w:szCs w:val="24"/>
          <w14:textFill>
            <w14:solidFill>
              <w14:schemeClr w14:val="tx1"/>
            </w14:solidFill>
          </w14:textFill>
        </w:rPr>
        <w:t xml:space="preserve">  </w:t>
      </w:r>
    </w:p>
    <w:p w14:paraId="66DC2A70">
      <w:pPr>
        <w:pStyle w:val="3"/>
        <w:rPr>
          <w:rFonts w:cs="Times New Roman"/>
          <w:color w:val="000000" w:themeColor="text1"/>
          <w14:textFill>
            <w14:solidFill>
              <w14:schemeClr w14:val="tx1"/>
            </w14:solidFill>
          </w14:textFill>
        </w:rPr>
      </w:pPr>
    </w:p>
    <w:p w14:paraId="2754F7C9">
      <w:pPr>
        <w:pStyle w:val="4"/>
        <w:rPr>
          <w:color w:val="000000" w:themeColor="text1"/>
          <w14:textFill>
            <w14:solidFill>
              <w14:schemeClr w14:val="tx1"/>
            </w14:solidFill>
          </w14:textFill>
        </w:rPr>
      </w:pPr>
    </w:p>
    <w:p w14:paraId="01B29F7B">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3C9CF3C5">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6C40AE59">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086D7EC0">
      <w:pPr>
        <w:spacing w:line="360" w:lineRule="auto"/>
        <w:jc w:val="center"/>
        <w:rPr>
          <w:rFonts w:ascii="宋体"/>
          <w:b/>
          <w:bCs/>
          <w:color w:val="000000" w:themeColor="text1"/>
          <w:sz w:val="24"/>
          <w:szCs w:val="24"/>
          <w14:textFill>
            <w14:solidFill>
              <w14:schemeClr w14:val="tx1"/>
            </w14:solidFill>
          </w14:textFill>
        </w:rPr>
      </w:pPr>
    </w:p>
    <w:p w14:paraId="6BA44D4F">
      <w:pPr>
        <w:spacing w:line="360" w:lineRule="auto"/>
        <w:rPr>
          <w:color w:val="000000" w:themeColor="text1"/>
          <w:sz w:val="36"/>
          <w:szCs w:val="36"/>
          <w14:textFill>
            <w14:solidFill>
              <w14:schemeClr w14:val="tx1"/>
            </w14:solidFill>
          </w14:textFill>
        </w:rPr>
      </w:pPr>
    </w:p>
    <w:p w14:paraId="1936CD6E">
      <w:pPr>
        <w:spacing w:line="360" w:lineRule="auto"/>
        <w:rPr>
          <w:color w:val="000000" w:themeColor="text1"/>
          <w:sz w:val="36"/>
          <w:szCs w:val="36"/>
          <w14:textFill>
            <w14:solidFill>
              <w14:schemeClr w14:val="tx1"/>
            </w14:solidFill>
          </w14:textFill>
        </w:rPr>
      </w:pPr>
    </w:p>
    <w:p w14:paraId="6673C701">
      <w:pPr>
        <w:spacing w:line="360" w:lineRule="auto"/>
        <w:rPr>
          <w:color w:val="000000" w:themeColor="text1"/>
          <w:sz w:val="36"/>
          <w:szCs w:val="36"/>
          <w14:textFill>
            <w14:solidFill>
              <w14:schemeClr w14:val="tx1"/>
            </w14:solidFill>
          </w14:textFill>
        </w:rPr>
      </w:pPr>
    </w:p>
    <w:p w14:paraId="02A66D99">
      <w:pPr>
        <w:spacing w:line="360" w:lineRule="auto"/>
        <w:rPr>
          <w:color w:val="000000" w:themeColor="text1"/>
          <w:sz w:val="36"/>
          <w:szCs w:val="36"/>
          <w14:textFill>
            <w14:solidFill>
              <w14:schemeClr w14:val="tx1"/>
            </w14:solidFill>
          </w14:textFill>
        </w:rPr>
      </w:pPr>
    </w:p>
    <w:p w14:paraId="45C74034">
      <w:pPr>
        <w:spacing w:line="360" w:lineRule="auto"/>
        <w:rPr>
          <w:color w:val="000000" w:themeColor="text1"/>
          <w:sz w:val="36"/>
          <w:szCs w:val="36"/>
          <w14:textFill>
            <w14:solidFill>
              <w14:schemeClr w14:val="tx1"/>
            </w14:solidFill>
          </w14:textFill>
        </w:rPr>
      </w:pPr>
    </w:p>
    <w:p w14:paraId="07F6D886">
      <w:pPr>
        <w:spacing w:line="360" w:lineRule="auto"/>
        <w:rPr>
          <w:color w:val="000000" w:themeColor="text1"/>
          <w:sz w:val="36"/>
          <w:szCs w:val="36"/>
          <w14:textFill>
            <w14:solidFill>
              <w14:schemeClr w14:val="tx1"/>
            </w14:solidFill>
          </w14:textFill>
        </w:rPr>
      </w:pPr>
    </w:p>
    <w:p w14:paraId="23DD37B1">
      <w:pPr>
        <w:spacing w:line="360" w:lineRule="auto"/>
        <w:rPr>
          <w:color w:val="000000" w:themeColor="text1"/>
          <w:sz w:val="36"/>
          <w:szCs w:val="36"/>
          <w14:textFill>
            <w14:solidFill>
              <w14:schemeClr w14:val="tx1"/>
            </w14:solidFill>
          </w14:textFill>
        </w:rPr>
      </w:pPr>
    </w:p>
    <w:p w14:paraId="78AE3ED0">
      <w:pPr>
        <w:spacing w:line="360" w:lineRule="auto"/>
        <w:rPr>
          <w:color w:val="000000" w:themeColor="text1"/>
          <w:sz w:val="36"/>
          <w:szCs w:val="36"/>
          <w14:textFill>
            <w14:solidFill>
              <w14:schemeClr w14:val="tx1"/>
            </w14:solidFill>
          </w14:textFill>
        </w:rPr>
      </w:pPr>
    </w:p>
    <w:p w14:paraId="4FACB6A2">
      <w:pPr>
        <w:spacing w:line="360" w:lineRule="auto"/>
        <w:rPr>
          <w:color w:val="000000" w:themeColor="text1"/>
          <w:sz w:val="36"/>
          <w:szCs w:val="36"/>
          <w14:textFill>
            <w14:solidFill>
              <w14:schemeClr w14:val="tx1"/>
            </w14:solidFill>
          </w14:textFill>
        </w:rPr>
      </w:pPr>
    </w:p>
    <w:p w14:paraId="2FE75578">
      <w:pPr>
        <w:spacing w:line="360" w:lineRule="auto"/>
        <w:rPr>
          <w:color w:val="000000" w:themeColor="text1"/>
          <w:sz w:val="36"/>
          <w:szCs w:val="36"/>
          <w14:textFill>
            <w14:solidFill>
              <w14:schemeClr w14:val="tx1"/>
            </w14:solidFill>
          </w14:textFill>
        </w:rPr>
      </w:pPr>
    </w:p>
    <w:p w14:paraId="58C6B6A8">
      <w:pPr>
        <w:spacing w:line="360" w:lineRule="auto"/>
        <w:rPr>
          <w:color w:val="000000" w:themeColor="text1"/>
          <w:sz w:val="36"/>
          <w:szCs w:val="36"/>
          <w14:textFill>
            <w14:solidFill>
              <w14:schemeClr w14:val="tx1"/>
            </w14:solidFill>
          </w14:textFill>
        </w:rPr>
      </w:pPr>
    </w:p>
    <w:p w14:paraId="5A5A319B">
      <w:pPr>
        <w:pStyle w:val="25"/>
        <w:ind w:firstLine="200"/>
        <w:rPr>
          <w:color w:val="000000" w:themeColor="text1"/>
          <w14:textFill>
            <w14:solidFill>
              <w14:schemeClr w14:val="tx1"/>
            </w14:solidFill>
          </w14:textFill>
        </w:rPr>
      </w:pPr>
    </w:p>
    <w:p w14:paraId="512DFAB3">
      <w:pPr>
        <w:widowControl/>
        <w:jc w:val="left"/>
        <w:rPr>
          <w:rFonts w:ascii="宋体"/>
          <w:b/>
          <w:bCs/>
          <w:color w:val="000000" w:themeColor="text1"/>
          <w:sz w:val="24"/>
          <w:szCs w:val="24"/>
          <w14:textFill>
            <w14:solidFill>
              <w14:schemeClr w14:val="tx1"/>
            </w14:solidFill>
          </w14:textFill>
        </w:rPr>
      </w:pPr>
    </w:p>
    <w:p w14:paraId="6BF77460">
      <w:pPr>
        <w:spacing w:line="360" w:lineRule="auto"/>
        <w:jc w:val="center"/>
        <w:rPr>
          <w:rFonts w:ascii="宋体"/>
          <w:b/>
          <w:bCs/>
          <w:color w:val="000000" w:themeColor="text1"/>
          <w:sz w:val="36"/>
          <w:szCs w:val="36"/>
          <w14:textFill>
            <w14:solidFill>
              <w14:schemeClr w14:val="tx1"/>
            </w14:solidFill>
          </w14:textFill>
        </w:rPr>
      </w:pPr>
      <w:r>
        <w:rPr>
          <w:rFonts w:hint="eastAsia" w:ascii="宋体" w:hAnsi="宋体" w:cs="宋体"/>
          <w:b/>
          <w:bCs/>
          <w:color w:val="000000" w:themeColor="text1"/>
          <w:sz w:val="36"/>
          <w:szCs w:val="36"/>
          <w14:textFill>
            <w14:solidFill>
              <w14:schemeClr w14:val="tx1"/>
            </w14:solidFill>
          </w14:textFill>
        </w:rPr>
        <w:t>商务技术文件</w:t>
      </w:r>
    </w:p>
    <w:p w14:paraId="0F386E6E">
      <w:pPr>
        <w:spacing w:line="360" w:lineRule="auto"/>
        <w:jc w:val="center"/>
        <w:rPr>
          <w:rFonts w:ascii="宋体"/>
          <w:b/>
          <w:bCs/>
          <w:color w:val="000000" w:themeColor="text1"/>
          <w:sz w:val="36"/>
          <w:szCs w:val="36"/>
          <w14:textFill>
            <w14:solidFill>
              <w14:schemeClr w14:val="tx1"/>
            </w14:solidFill>
          </w14:textFill>
        </w:rPr>
      </w:pPr>
    </w:p>
    <w:p w14:paraId="02F126A4">
      <w:pPr>
        <w:spacing w:line="360" w:lineRule="auto"/>
        <w:jc w:val="center"/>
        <w:rPr>
          <w:rFonts w:ascii="宋体"/>
          <w:b/>
          <w:bCs/>
          <w:color w:val="000000" w:themeColor="text1"/>
          <w:sz w:val="36"/>
          <w:szCs w:val="36"/>
          <w14:textFill>
            <w14:solidFill>
              <w14:schemeClr w14:val="tx1"/>
            </w14:solidFill>
          </w14:textFill>
        </w:rPr>
      </w:pPr>
      <w:r>
        <w:rPr>
          <w:rFonts w:hint="eastAsia" w:ascii="宋体" w:hAnsi="宋体" w:cs="宋体"/>
          <w:b/>
          <w:bCs/>
          <w:color w:val="000000" w:themeColor="text1"/>
          <w:sz w:val="36"/>
          <w:szCs w:val="36"/>
          <w14:textFill>
            <w14:solidFill>
              <w14:schemeClr w14:val="tx1"/>
            </w14:solidFill>
          </w14:textFill>
        </w:rPr>
        <w:t>目录</w:t>
      </w:r>
    </w:p>
    <w:p w14:paraId="78640949">
      <w:pPr>
        <w:pStyle w:val="11"/>
        <w:ind w:left="426" w:firstLine="486"/>
        <w:rPr>
          <w:rFonts w:hint="eastAsia" w:cs="Times New Roman"/>
          <w:color w:val="000000" w:themeColor="text1"/>
          <w14:textFill>
            <w14:solidFill>
              <w14:schemeClr w14:val="tx1"/>
            </w14:solidFill>
          </w14:textFill>
        </w:rPr>
      </w:pPr>
    </w:p>
    <w:p w14:paraId="30C54011">
      <w:pPr>
        <w:numPr>
          <w:ilvl w:val="0"/>
          <w:numId w:val="16"/>
        </w:num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评分对应表（格式见附件，主要用于评委对应评分内容）</w:t>
      </w:r>
    </w:p>
    <w:p w14:paraId="1A37910A">
      <w:pPr>
        <w:numPr>
          <w:ilvl w:val="0"/>
          <w:numId w:val="16"/>
        </w:num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供应商商务技术文件中资信分自评表（格式见附件）；</w:t>
      </w:r>
    </w:p>
    <w:p w14:paraId="60C3DD56">
      <w:pPr>
        <w:numPr>
          <w:ilvl w:val="0"/>
          <w:numId w:val="16"/>
        </w:num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项目明细清单（格式见附件）；</w:t>
      </w:r>
    </w:p>
    <w:p w14:paraId="550F08A1">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技术响应及建议表（格式见附件）；</w:t>
      </w:r>
    </w:p>
    <w:p w14:paraId="3CCAE0E7">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商务响应表（格式见附件）；</w:t>
      </w:r>
    </w:p>
    <w:p w14:paraId="50AFED02">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项目组人员清单（格式见附件）</w:t>
      </w:r>
      <w:r>
        <w:rPr>
          <w:rFonts w:hint="eastAsia" w:ascii="宋体" w:hAnsi="宋体" w:cs="宋体"/>
          <w:color w:val="000000" w:themeColor="text1"/>
          <w:sz w:val="24"/>
          <w:szCs w:val="24"/>
          <w14:textFill>
            <w14:solidFill>
              <w14:schemeClr w14:val="tx1"/>
            </w14:solidFill>
          </w14:textFill>
        </w:rPr>
        <w:t>；</w:t>
      </w:r>
    </w:p>
    <w:p w14:paraId="4E22E4A5">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项目理解；</w:t>
      </w:r>
    </w:p>
    <w:p w14:paraId="2BAA68E8">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运维方案；</w:t>
      </w:r>
    </w:p>
    <w:p w14:paraId="43875363">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巡检方案；</w:t>
      </w:r>
    </w:p>
    <w:p w14:paraId="3996E544">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标校方案；</w:t>
      </w:r>
    </w:p>
    <w:p w14:paraId="6CE6358C">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故障处理方案；</w:t>
      </w:r>
    </w:p>
    <w:p w14:paraId="56A11F83">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应急预案；</w:t>
      </w:r>
    </w:p>
    <w:p w14:paraId="48455F0D">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合理化建议；</w:t>
      </w:r>
    </w:p>
    <w:p w14:paraId="7E42D4E7">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服务承诺；</w:t>
      </w:r>
    </w:p>
    <w:p w14:paraId="64EEACD5">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拟投入设备、系统保障及车辆；</w:t>
      </w:r>
    </w:p>
    <w:p w14:paraId="33695E97">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人员证书；</w:t>
      </w:r>
    </w:p>
    <w:p w14:paraId="6C5EA051">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认证证书；</w:t>
      </w:r>
    </w:p>
    <w:p w14:paraId="05393EFD">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类似业绩；</w:t>
      </w:r>
    </w:p>
    <w:p w14:paraId="00321142">
      <w:pPr>
        <w:numPr>
          <w:ilvl w:val="0"/>
          <w:numId w:val="16"/>
        </w:numPr>
        <w:spacing w:line="360" w:lineRule="auto"/>
        <w:ind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供应商认为需要的其他文件资料。 </w:t>
      </w:r>
    </w:p>
    <w:p w14:paraId="1BCCBDF0">
      <w:pPr>
        <w:pStyle w:val="13"/>
        <w:spacing w:line="500" w:lineRule="exact"/>
        <w:ind w:firstLine="480" w:firstLineChars="200"/>
        <w:rPr>
          <w:rFonts w:hint="eastAsia" w:hAnsi="宋体" w:cs="Times New Roman"/>
          <w:color w:val="000000" w:themeColor="text1"/>
          <w:sz w:val="24"/>
          <w:szCs w:val="24"/>
          <w14:textFill>
            <w14:solidFill>
              <w14:schemeClr w14:val="tx1"/>
            </w14:solidFill>
          </w14:textFill>
        </w:rPr>
      </w:pPr>
    </w:p>
    <w:p w14:paraId="189F5311">
      <w:pPr>
        <w:rPr>
          <w:rFonts w:ascii="宋体"/>
          <w:color w:val="000000" w:themeColor="text1"/>
          <w:sz w:val="28"/>
          <w:szCs w:val="28"/>
          <w14:textFill>
            <w14:solidFill>
              <w14:schemeClr w14:val="tx1"/>
            </w14:solidFill>
          </w14:textFill>
        </w:rPr>
      </w:pPr>
    </w:p>
    <w:p w14:paraId="334281DA">
      <w:pPr>
        <w:rPr>
          <w:rFonts w:ascii="宋体"/>
          <w:color w:val="000000" w:themeColor="text1"/>
          <w:sz w:val="28"/>
          <w:szCs w:val="28"/>
          <w14:textFill>
            <w14:solidFill>
              <w14:schemeClr w14:val="tx1"/>
            </w14:solidFill>
          </w14:textFill>
        </w:rPr>
      </w:pPr>
    </w:p>
    <w:p w14:paraId="197C5766">
      <w:pPr>
        <w:rPr>
          <w:rFonts w:ascii="宋体"/>
          <w:color w:val="000000" w:themeColor="text1"/>
          <w:sz w:val="28"/>
          <w:szCs w:val="28"/>
          <w14:textFill>
            <w14:solidFill>
              <w14:schemeClr w14:val="tx1"/>
            </w14:solidFill>
          </w14:textFill>
        </w:rPr>
      </w:pPr>
    </w:p>
    <w:p w14:paraId="5231974E">
      <w:pPr>
        <w:pStyle w:val="7"/>
        <w:rPr>
          <w:color w:val="000000" w:themeColor="text1"/>
          <w14:textFill>
            <w14:solidFill>
              <w14:schemeClr w14:val="tx1"/>
            </w14:solidFill>
          </w14:textFill>
        </w:rPr>
      </w:pPr>
    </w:p>
    <w:p w14:paraId="53866E77">
      <w:pPr>
        <w:rPr>
          <w:rFonts w:ascii="宋体"/>
          <w:color w:val="000000" w:themeColor="text1"/>
          <w:sz w:val="28"/>
          <w:szCs w:val="28"/>
          <w14:textFill>
            <w14:solidFill>
              <w14:schemeClr w14:val="tx1"/>
            </w14:solidFill>
          </w14:textFill>
        </w:rPr>
      </w:pPr>
    </w:p>
    <w:p w14:paraId="6748B0FB">
      <w:pPr>
        <w:snapToGrid w:val="0"/>
        <w:spacing w:before="50" w:after="50"/>
        <w:jc w:val="left"/>
        <w:rPr>
          <w:rFonts w:ascii="宋体"/>
          <w:b/>
          <w:bCs/>
          <w:color w:val="000000" w:themeColor="text1"/>
          <w:sz w:val="24"/>
          <w:szCs w:val="24"/>
          <w:lang w:val="zh-CN"/>
          <w14:textFill>
            <w14:solidFill>
              <w14:schemeClr w14:val="tx1"/>
            </w14:solidFill>
          </w14:textFill>
        </w:rPr>
      </w:pPr>
      <w:bookmarkStart w:id="104" w:name="_Toc10131"/>
      <w:r>
        <w:rPr>
          <w:rFonts w:hint="eastAsia" w:ascii="宋体" w:hAnsi="宋体" w:cs="宋体"/>
          <w:b/>
          <w:bCs/>
          <w:color w:val="000000" w:themeColor="text1"/>
          <w:sz w:val="24"/>
          <w:szCs w:val="24"/>
          <w:lang w:val="zh-CN"/>
          <w14:textFill>
            <w14:solidFill>
              <w14:schemeClr w14:val="tx1"/>
            </w14:solidFill>
          </w14:textFill>
        </w:rPr>
        <w:t>附件六：</w:t>
      </w:r>
    </w:p>
    <w:p w14:paraId="6ABA80A5">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评分对应表</w:t>
      </w:r>
    </w:p>
    <w:p w14:paraId="0FE636A0">
      <w:pPr>
        <w:snapToGrid w:val="0"/>
        <w:spacing w:before="50"/>
        <w:jc w:val="center"/>
        <w:rPr>
          <w:rFonts w:ascii="宋体"/>
          <w:b/>
          <w:bCs/>
          <w:color w:val="000000" w:themeColor="text1"/>
          <w:sz w:val="32"/>
          <w:szCs w:val="32"/>
          <w14:textFill>
            <w14:solidFill>
              <w14:schemeClr w14:val="tx1"/>
            </w14:solidFill>
          </w14:textFill>
        </w:rPr>
      </w:pPr>
    </w:p>
    <w:p w14:paraId="0DCA5532">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26331411">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p>
    <w:tbl>
      <w:tblPr>
        <w:tblStyle w:val="27"/>
        <w:tblW w:w="89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14:paraId="60F67E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10958CCC">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54471F90">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响应文件对应资料</w:t>
            </w:r>
          </w:p>
        </w:tc>
        <w:tc>
          <w:tcPr>
            <w:tcW w:w="1977" w:type="dxa"/>
            <w:tcBorders>
              <w:top w:val="single" w:color="auto" w:sz="4" w:space="0"/>
              <w:left w:val="single" w:color="auto" w:sz="4" w:space="0"/>
              <w:bottom w:val="single" w:color="auto" w:sz="4" w:space="0"/>
            </w:tcBorders>
            <w:vAlign w:val="center"/>
          </w:tcPr>
          <w:p w14:paraId="4792ACA8">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响应文件页码</w:t>
            </w:r>
          </w:p>
        </w:tc>
      </w:tr>
      <w:tr w14:paraId="1D7BF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6B639E0E">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对应评分办法及评分标准</w:t>
            </w:r>
          </w:p>
          <w:p w14:paraId="67B35D32">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（报价除外）</w:t>
            </w:r>
          </w:p>
        </w:tc>
        <w:tc>
          <w:tcPr>
            <w:tcW w:w="3060" w:type="dxa"/>
            <w:tcBorders>
              <w:top w:val="single" w:color="auto" w:sz="4" w:space="0"/>
              <w:left w:val="single" w:color="auto" w:sz="4" w:space="0"/>
              <w:bottom w:val="single" w:color="auto" w:sz="4" w:space="0"/>
              <w:right w:val="single" w:color="auto" w:sz="4" w:space="0"/>
            </w:tcBorders>
            <w:vAlign w:val="center"/>
          </w:tcPr>
          <w:p w14:paraId="670B2665">
            <w:pPr>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31CCEBBA">
            <w:pPr>
              <w:jc w:val="center"/>
              <w:rPr>
                <w:rFonts w:ascii="宋体"/>
                <w:color w:val="000000" w:themeColor="text1"/>
                <w:sz w:val="24"/>
                <w:szCs w:val="24"/>
                <w14:textFill>
                  <w14:solidFill>
                    <w14:schemeClr w14:val="tx1"/>
                  </w14:solidFill>
                </w14:textFill>
              </w:rPr>
            </w:pPr>
          </w:p>
        </w:tc>
      </w:tr>
      <w:tr w14:paraId="56151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38773738">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p>
        </w:tc>
        <w:tc>
          <w:tcPr>
            <w:tcW w:w="3060" w:type="dxa"/>
            <w:tcBorders>
              <w:top w:val="single" w:color="auto" w:sz="4" w:space="0"/>
              <w:left w:val="single" w:color="auto" w:sz="4" w:space="0"/>
              <w:bottom w:val="single" w:color="auto" w:sz="4" w:space="0"/>
              <w:right w:val="single" w:color="auto" w:sz="4" w:space="0"/>
            </w:tcBorders>
            <w:vAlign w:val="center"/>
          </w:tcPr>
          <w:p w14:paraId="508E3A15">
            <w:pPr>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7B571031">
            <w:pPr>
              <w:jc w:val="center"/>
              <w:rPr>
                <w:rFonts w:ascii="宋体"/>
                <w:color w:val="000000" w:themeColor="text1"/>
                <w:sz w:val="24"/>
                <w:szCs w:val="24"/>
                <w14:textFill>
                  <w14:solidFill>
                    <w14:schemeClr w14:val="tx1"/>
                  </w14:solidFill>
                </w14:textFill>
              </w:rPr>
            </w:pPr>
          </w:p>
        </w:tc>
      </w:tr>
      <w:tr w14:paraId="09DD36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02F1D408">
            <w:pPr>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125FDF5F">
            <w:pPr>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0308F64A">
            <w:pPr>
              <w:jc w:val="center"/>
              <w:rPr>
                <w:rFonts w:ascii="宋体"/>
                <w:color w:val="000000" w:themeColor="text1"/>
                <w:sz w:val="24"/>
                <w:szCs w:val="24"/>
                <w14:textFill>
                  <w14:solidFill>
                    <w14:schemeClr w14:val="tx1"/>
                  </w14:solidFill>
                </w14:textFill>
              </w:rPr>
            </w:pPr>
          </w:p>
        </w:tc>
      </w:tr>
      <w:tr w14:paraId="392AAA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068FCA03">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55457EE4">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6621C90B">
            <w:pPr>
              <w:spacing w:line="360" w:lineRule="auto"/>
              <w:ind w:firstLine="480" w:firstLineChars="200"/>
              <w:jc w:val="center"/>
              <w:rPr>
                <w:rFonts w:ascii="宋体"/>
                <w:color w:val="000000" w:themeColor="text1"/>
                <w:sz w:val="24"/>
                <w:szCs w:val="24"/>
                <w14:textFill>
                  <w14:solidFill>
                    <w14:schemeClr w14:val="tx1"/>
                  </w14:solidFill>
                </w14:textFill>
              </w:rPr>
            </w:pPr>
          </w:p>
        </w:tc>
      </w:tr>
      <w:tr w14:paraId="09E4DD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34DF963C">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00934FCC">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2E68E9FA">
            <w:pPr>
              <w:spacing w:line="360" w:lineRule="auto"/>
              <w:ind w:firstLine="480" w:firstLineChars="200"/>
              <w:jc w:val="center"/>
              <w:rPr>
                <w:rFonts w:ascii="宋体"/>
                <w:color w:val="000000" w:themeColor="text1"/>
                <w:sz w:val="24"/>
                <w:szCs w:val="24"/>
                <w14:textFill>
                  <w14:solidFill>
                    <w14:schemeClr w14:val="tx1"/>
                  </w14:solidFill>
                </w14:textFill>
              </w:rPr>
            </w:pPr>
          </w:p>
        </w:tc>
      </w:tr>
      <w:tr w14:paraId="0B696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2C0DDB79">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2AA96B24">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40800C6C">
            <w:pPr>
              <w:spacing w:line="360" w:lineRule="auto"/>
              <w:ind w:firstLine="480" w:firstLineChars="200"/>
              <w:jc w:val="center"/>
              <w:rPr>
                <w:rFonts w:ascii="宋体"/>
                <w:color w:val="000000" w:themeColor="text1"/>
                <w:sz w:val="24"/>
                <w:szCs w:val="24"/>
                <w14:textFill>
                  <w14:solidFill>
                    <w14:schemeClr w14:val="tx1"/>
                  </w14:solidFill>
                </w14:textFill>
              </w:rPr>
            </w:pPr>
          </w:p>
        </w:tc>
      </w:tr>
      <w:tr w14:paraId="630A5D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649DF3F4">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1AA4B1C8">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3B450CD7">
            <w:pPr>
              <w:spacing w:line="360" w:lineRule="auto"/>
              <w:ind w:firstLine="480" w:firstLineChars="200"/>
              <w:jc w:val="center"/>
              <w:rPr>
                <w:rFonts w:ascii="宋体"/>
                <w:color w:val="000000" w:themeColor="text1"/>
                <w:sz w:val="24"/>
                <w:szCs w:val="24"/>
                <w14:textFill>
                  <w14:solidFill>
                    <w14:schemeClr w14:val="tx1"/>
                  </w14:solidFill>
                </w14:textFill>
              </w:rPr>
            </w:pPr>
          </w:p>
        </w:tc>
      </w:tr>
      <w:tr w14:paraId="3B564D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1F9F0BD1">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33950E98">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785DA380">
            <w:pPr>
              <w:spacing w:line="360" w:lineRule="auto"/>
              <w:ind w:firstLine="480" w:firstLineChars="200"/>
              <w:jc w:val="center"/>
              <w:rPr>
                <w:rFonts w:ascii="宋体"/>
                <w:color w:val="000000" w:themeColor="text1"/>
                <w:sz w:val="24"/>
                <w:szCs w:val="24"/>
                <w14:textFill>
                  <w14:solidFill>
                    <w14:schemeClr w14:val="tx1"/>
                  </w14:solidFill>
                </w14:textFill>
              </w:rPr>
            </w:pPr>
          </w:p>
        </w:tc>
      </w:tr>
      <w:tr w14:paraId="0CC98B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78F66543">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vAlign w:val="center"/>
          </w:tcPr>
          <w:p w14:paraId="1F97A1D8">
            <w:pPr>
              <w:spacing w:line="360" w:lineRule="auto"/>
              <w:ind w:firstLine="480" w:firstLineChars="200"/>
              <w:jc w:val="center"/>
              <w:rPr>
                <w:rFonts w:ascii="宋体"/>
                <w:color w:val="000000" w:themeColor="text1"/>
                <w:sz w:val="24"/>
                <w:szCs w:val="24"/>
                <w14:textFill>
                  <w14:solidFill>
                    <w14:schemeClr w14:val="tx1"/>
                  </w14:solidFill>
                </w14:textFill>
              </w:rPr>
            </w:pPr>
          </w:p>
        </w:tc>
        <w:tc>
          <w:tcPr>
            <w:tcW w:w="1977" w:type="dxa"/>
            <w:tcBorders>
              <w:top w:val="single" w:color="auto" w:sz="4" w:space="0"/>
              <w:left w:val="single" w:color="auto" w:sz="4" w:space="0"/>
              <w:bottom w:val="single" w:color="auto" w:sz="4" w:space="0"/>
            </w:tcBorders>
            <w:vAlign w:val="center"/>
          </w:tcPr>
          <w:p w14:paraId="1728A188">
            <w:pPr>
              <w:spacing w:line="360" w:lineRule="auto"/>
              <w:ind w:firstLine="480" w:firstLineChars="200"/>
              <w:jc w:val="center"/>
              <w:rPr>
                <w:rFonts w:ascii="宋体"/>
                <w:color w:val="000000" w:themeColor="text1"/>
                <w:sz w:val="24"/>
                <w:szCs w:val="24"/>
                <w14:textFill>
                  <w14:solidFill>
                    <w14:schemeClr w14:val="tx1"/>
                  </w14:solidFill>
                </w14:textFill>
              </w:rPr>
            </w:pPr>
          </w:p>
        </w:tc>
      </w:tr>
    </w:tbl>
    <w:p w14:paraId="2AFA07C5">
      <w:pPr>
        <w:spacing w:line="360" w:lineRule="auto"/>
        <w:ind w:firstLine="480" w:firstLineChars="200"/>
        <w:rPr>
          <w:rFonts w:ascii="宋体"/>
          <w:color w:val="000000" w:themeColor="text1"/>
          <w:sz w:val="24"/>
          <w:szCs w:val="24"/>
          <w14:textFill>
            <w14:solidFill>
              <w14:schemeClr w14:val="tx1"/>
            </w14:solidFill>
          </w14:textFill>
        </w:rPr>
      </w:pPr>
    </w:p>
    <w:p w14:paraId="5508C89D">
      <w:pPr>
        <w:spacing w:line="360" w:lineRule="auto"/>
        <w:ind w:left="3600" w:leftChars="1800" w:firstLine="480" w:firstLineChars="200"/>
        <w:rPr>
          <w:rFonts w:ascii="宋体"/>
          <w:color w:val="000000" w:themeColor="text1"/>
          <w:sz w:val="24"/>
          <w:szCs w:val="24"/>
          <w14:textFill>
            <w14:solidFill>
              <w14:schemeClr w14:val="tx1"/>
            </w14:solidFill>
          </w14:textFill>
        </w:rPr>
      </w:pPr>
    </w:p>
    <w:p w14:paraId="4D0503C7">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546ED3D7">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3AC1C42F">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36901A30">
      <w:pPr>
        <w:rPr>
          <w:color w:val="000000" w:themeColor="text1"/>
          <w:lang w:val="zh-CN"/>
          <w14:textFill>
            <w14:solidFill>
              <w14:schemeClr w14:val="tx1"/>
            </w14:solidFill>
          </w14:textFill>
        </w:rPr>
      </w:pPr>
    </w:p>
    <w:p w14:paraId="5149787B">
      <w:pPr>
        <w:rPr>
          <w:b/>
          <w:bCs/>
          <w:color w:val="000000" w:themeColor="text1"/>
          <w:sz w:val="24"/>
          <w:szCs w:val="24"/>
          <w:lang w:val="zh-CN"/>
          <w14:textFill>
            <w14:solidFill>
              <w14:schemeClr w14:val="tx1"/>
            </w14:solidFill>
          </w14:textFill>
        </w:rPr>
      </w:pPr>
      <w:r>
        <w:rPr>
          <w:rFonts w:hint="eastAsia" w:cs="宋体"/>
          <w:b/>
          <w:bCs/>
          <w:color w:val="000000" w:themeColor="text1"/>
          <w:sz w:val="24"/>
          <w:szCs w:val="24"/>
          <w:lang w:val="zh-CN"/>
          <w14:textFill>
            <w14:solidFill>
              <w14:schemeClr w14:val="tx1"/>
            </w14:solidFill>
          </w14:textFill>
        </w:rPr>
        <w:t>附件</w:t>
      </w:r>
      <w:r>
        <w:rPr>
          <w:rFonts w:hint="eastAsia" w:cs="宋体"/>
          <w:b/>
          <w:bCs/>
          <w:color w:val="000000" w:themeColor="text1"/>
          <w:sz w:val="24"/>
          <w:szCs w:val="24"/>
          <w14:textFill>
            <w14:solidFill>
              <w14:schemeClr w14:val="tx1"/>
            </w14:solidFill>
          </w14:textFill>
        </w:rPr>
        <w:t>七：</w:t>
      </w:r>
    </w:p>
    <w:p w14:paraId="0A9FE6BF">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供应商商务技术文件中资信分自评表</w:t>
      </w:r>
      <w:bookmarkEnd w:id="104"/>
    </w:p>
    <w:p w14:paraId="3363DB9E">
      <w:pPr>
        <w:snapToGrid w:val="0"/>
        <w:spacing w:before="50"/>
        <w:jc w:val="center"/>
        <w:rPr>
          <w:rFonts w:ascii="宋体"/>
          <w:b/>
          <w:bCs/>
          <w:color w:val="000000" w:themeColor="text1"/>
          <w:sz w:val="32"/>
          <w:szCs w:val="32"/>
          <w14:textFill>
            <w14:solidFill>
              <w14:schemeClr w14:val="tx1"/>
            </w14:solidFill>
          </w14:textFill>
        </w:rPr>
      </w:pPr>
    </w:p>
    <w:p w14:paraId="18ED1903">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5AE54F0C">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p>
    <w:tbl>
      <w:tblPr>
        <w:tblStyle w:val="27"/>
        <w:tblW w:w="899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14:paraId="4C06B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A1659B9">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序号</w:t>
            </w:r>
          </w:p>
        </w:tc>
        <w:tc>
          <w:tcPr>
            <w:tcW w:w="2387" w:type="dxa"/>
            <w:vAlign w:val="center"/>
          </w:tcPr>
          <w:p w14:paraId="367CEA4B">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资信分内容</w:t>
            </w:r>
          </w:p>
        </w:tc>
        <w:tc>
          <w:tcPr>
            <w:tcW w:w="1462" w:type="dxa"/>
            <w:vAlign w:val="center"/>
          </w:tcPr>
          <w:p w14:paraId="71352226">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自评得分</w:t>
            </w:r>
          </w:p>
        </w:tc>
        <w:tc>
          <w:tcPr>
            <w:tcW w:w="2415" w:type="dxa"/>
            <w:tcBorders>
              <w:right w:val="single" w:color="auto" w:sz="4" w:space="0"/>
            </w:tcBorders>
            <w:vAlign w:val="center"/>
          </w:tcPr>
          <w:p w14:paraId="1E6C0305">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响应文件对应资料</w:t>
            </w:r>
          </w:p>
        </w:tc>
        <w:tc>
          <w:tcPr>
            <w:tcW w:w="1746" w:type="dxa"/>
            <w:tcBorders>
              <w:left w:val="single" w:color="auto" w:sz="4" w:space="0"/>
            </w:tcBorders>
            <w:vAlign w:val="center"/>
          </w:tcPr>
          <w:p w14:paraId="30BC89FE">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响应文件页码</w:t>
            </w:r>
          </w:p>
        </w:tc>
      </w:tr>
      <w:tr w14:paraId="0455F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37D1D933">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1</w:t>
            </w:r>
          </w:p>
        </w:tc>
        <w:tc>
          <w:tcPr>
            <w:tcW w:w="2387" w:type="dxa"/>
          </w:tcPr>
          <w:p w14:paraId="08864642">
            <w:pPr>
              <w:jc w:val="center"/>
              <w:rPr>
                <w:rFonts w:ascii="宋体"/>
                <w:color w:val="000000" w:themeColor="text1"/>
                <w:sz w:val="24"/>
                <w:szCs w:val="24"/>
                <w14:textFill>
                  <w14:solidFill>
                    <w14:schemeClr w14:val="tx1"/>
                  </w14:solidFill>
                </w14:textFill>
              </w:rPr>
            </w:pPr>
          </w:p>
        </w:tc>
        <w:tc>
          <w:tcPr>
            <w:tcW w:w="1462" w:type="dxa"/>
          </w:tcPr>
          <w:p w14:paraId="22420574">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59D804D0">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4F3D78F4">
            <w:pPr>
              <w:jc w:val="center"/>
              <w:rPr>
                <w:rFonts w:ascii="宋体"/>
                <w:color w:val="000000" w:themeColor="text1"/>
                <w:sz w:val="24"/>
                <w:szCs w:val="24"/>
                <w14:textFill>
                  <w14:solidFill>
                    <w14:schemeClr w14:val="tx1"/>
                  </w14:solidFill>
                </w14:textFill>
              </w:rPr>
            </w:pPr>
          </w:p>
        </w:tc>
      </w:tr>
      <w:tr w14:paraId="49323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70EC6E66">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2</w:t>
            </w:r>
          </w:p>
        </w:tc>
        <w:tc>
          <w:tcPr>
            <w:tcW w:w="2387" w:type="dxa"/>
          </w:tcPr>
          <w:p w14:paraId="39543165">
            <w:pPr>
              <w:jc w:val="center"/>
              <w:rPr>
                <w:rFonts w:ascii="宋体"/>
                <w:color w:val="000000" w:themeColor="text1"/>
                <w:sz w:val="24"/>
                <w:szCs w:val="24"/>
                <w14:textFill>
                  <w14:solidFill>
                    <w14:schemeClr w14:val="tx1"/>
                  </w14:solidFill>
                </w14:textFill>
              </w:rPr>
            </w:pPr>
          </w:p>
        </w:tc>
        <w:tc>
          <w:tcPr>
            <w:tcW w:w="1462" w:type="dxa"/>
          </w:tcPr>
          <w:p w14:paraId="6DF7D0B9">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570F2BA9">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7C0AE64E">
            <w:pPr>
              <w:jc w:val="center"/>
              <w:rPr>
                <w:rFonts w:ascii="宋体"/>
                <w:color w:val="000000" w:themeColor="text1"/>
                <w:sz w:val="24"/>
                <w:szCs w:val="24"/>
                <w14:textFill>
                  <w14:solidFill>
                    <w14:schemeClr w14:val="tx1"/>
                  </w14:solidFill>
                </w14:textFill>
              </w:rPr>
            </w:pPr>
          </w:p>
        </w:tc>
      </w:tr>
      <w:tr w14:paraId="2FF509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7932616">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3</w:t>
            </w:r>
          </w:p>
        </w:tc>
        <w:tc>
          <w:tcPr>
            <w:tcW w:w="2387" w:type="dxa"/>
          </w:tcPr>
          <w:p w14:paraId="5328DF13">
            <w:pPr>
              <w:jc w:val="center"/>
              <w:rPr>
                <w:rFonts w:ascii="宋体"/>
                <w:color w:val="000000" w:themeColor="text1"/>
                <w:sz w:val="24"/>
                <w:szCs w:val="24"/>
                <w14:textFill>
                  <w14:solidFill>
                    <w14:schemeClr w14:val="tx1"/>
                  </w14:solidFill>
                </w14:textFill>
              </w:rPr>
            </w:pPr>
          </w:p>
        </w:tc>
        <w:tc>
          <w:tcPr>
            <w:tcW w:w="1462" w:type="dxa"/>
          </w:tcPr>
          <w:p w14:paraId="6202C7DF">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1FBAAC67">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57749E98">
            <w:pPr>
              <w:jc w:val="center"/>
              <w:rPr>
                <w:rFonts w:ascii="宋体"/>
                <w:color w:val="000000" w:themeColor="text1"/>
                <w:sz w:val="24"/>
                <w:szCs w:val="24"/>
                <w14:textFill>
                  <w14:solidFill>
                    <w14:schemeClr w14:val="tx1"/>
                  </w14:solidFill>
                </w14:textFill>
              </w:rPr>
            </w:pPr>
          </w:p>
        </w:tc>
      </w:tr>
      <w:tr w14:paraId="76CB2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6675B81C">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4</w:t>
            </w:r>
          </w:p>
        </w:tc>
        <w:tc>
          <w:tcPr>
            <w:tcW w:w="2387" w:type="dxa"/>
          </w:tcPr>
          <w:p w14:paraId="4D24FD43">
            <w:pPr>
              <w:jc w:val="center"/>
              <w:rPr>
                <w:rFonts w:ascii="宋体"/>
                <w:color w:val="000000" w:themeColor="text1"/>
                <w:sz w:val="24"/>
                <w:szCs w:val="24"/>
                <w14:textFill>
                  <w14:solidFill>
                    <w14:schemeClr w14:val="tx1"/>
                  </w14:solidFill>
                </w14:textFill>
              </w:rPr>
            </w:pPr>
          </w:p>
        </w:tc>
        <w:tc>
          <w:tcPr>
            <w:tcW w:w="1462" w:type="dxa"/>
          </w:tcPr>
          <w:p w14:paraId="1F14CD2E">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7C102F61">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13F69BFE">
            <w:pPr>
              <w:jc w:val="center"/>
              <w:rPr>
                <w:rFonts w:ascii="宋体"/>
                <w:color w:val="000000" w:themeColor="text1"/>
                <w:sz w:val="24"/>
                <w:szCs w:val="24"/>
                <w14:textFill>
                  <w14:solidFill>
                    <w14:schemeClr w14:val="tx1"/>
                  </w14:solidFill>
                </w14:textFill>
              </w:rPr>
            </w:pPr>
          </w:p>
        </w:tc>
      </w:tr>
      <w:tr w14:paraId="133B4E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6BA0331F">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5</w:t>
            </w:r>
          </w:p>
        </w:tc>
        <w:tc>
          <w:tcPr>
            <w:tcW w:w="2387" w:type="dxa"/>
          </w:tcPr>
          <w:p w14:paraId="7BD61A7A">
            <w:pPr>
              <w:jc w:val="center"/>
              <w:rPr>
                <w:rFonts w:ascii="宋体"/>
                <w:color w:val="000000" w:themeColor="text1"/>
                <w:sz w:val="24"/>
                <w:szCs w:val="24"/>
                <w14:textFill>
                  <w14:solidFill>
                    <w14:schemeClr w14:val="tx1"/>
                  </w14:solidFill>
                </w14:textFill>
              </w:rPr>
            </w:pPr>
          </w:p>
        </w:tc>
        <w:tc>
          <w:tcPr>
            <w:tcW w:w="1462" w:type="dxa"/>
          </w:tcPr>
          <w:p w14:paraId="5FC2C204">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4D99EB7E">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24EC2B06">
            <w:pPr>
              <w:jc w:val="center"/>
              <w:rPr>
                <w:rFonts w:ascii="宋体"/>
                <w:color w:val="000000" w:themeColor="text1"/>
                <w:sz w:val="24"/>
                <w:szCs w:val="24"/>
                <w14:textFill>
                  <w14:solidFill>
                    <w14:schemeClr w14:val="tx1"/>
                  </w14:solidFill>
                </w14:textFill>
              </w:rPr>
            </w:pPr>
          </w:p>
        </w:tc>
      </w:tr>
      <w:tr w14:paraId="676DBD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653AF132">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w:t>
            </w:r>
          </w:p>
        </w:tc>
        <w:tc>
          <w:tcPr>
            <w:tcW w:w="2387" w:type="dxa"/>
          </w:tcPr>
          <w:p w14:paraId="21440513">
            <w:pPr>
              <w:jc w:val="center"/>
              <w:rPr>
                <w:rFonts w:ascii="宋体"/>
                <w:color w:val="000000" w:themeColor="text1"/>
                <w:sz w:val="24"/>
                <w:szCs w:val="24"/>
                <w14:textFill>
                  <w14:solidFill>
                    <w14:schemeClr w14:val="tx1"/>
                  </w14:solidFill>
                </w14:textFill>
              </w:rPr>
            </w:pPr>
          </w:p>
        </w:tc>
        <w:tc>
          <w:tcPr>
            <w:tcW w:w="1462" w:type="dxa"/>
          </w:tcPr>
          <w:p w14:paraId="498371AF">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52AD20DD">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56D29367">
            <w:pPr>
              <w:jc w:val="center"/>
              <w:rPr>
                <w:rFonts w:ascii="宋体"/>
                <w:color w:val="000000" w:themeColor="text1"/>
                <w:sz w:val="24"/>
                <w:szCs w:val="24"/>
                <w14:textFill>
                  <w14:solidFill>
                    <w14:schemeClr w14:val="tx1"/>
                  </w14:solidFill>
                </w14:textFill>
              </w:rPr>
            </w:pPr>
          </w:p>
        </w:tc>
      </w:tr>
      <w:tr w14:paraId="30994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78098EE2">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7</w:t>
            </w:r>
          </w:p>
        </w:tc>
        <w:tc>
          <w:tcPr>
            <w:tcW w:w="2387" w:type="dxa"/>
          </w:tcPr>
          <w:p w14:paraId="21BB7774">
            <w:pPr>
              <w:jc w:val="center"/>
              <w:rPr>
                <w:rFonts w:ascii="宋体"/>
                <w:color w:val="000000" w:themeColor="text1"/>
                <w:sz w:val="24"/>
                <w:szCs w:val="24"/>
                <w14:textFill>
                  <w14:solidFill>
                    <w14:schemeClr w14:val="tx1"/>
                  </w14:solidFill>
                </w14:textFill>
              </w:rPr>
            </w:pPr>
          </w:p>
        </w:tc>
        <w:tc>
          <w:tcPr>
            <w:tcW w:w="1462" w:type="dxa"/>
          </w:tcPr>
          <w:p w14:paraId="2FE260A7">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1AA2B366">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6EC90387">
            <w:pPr>
              <w:jc w:val="center"/>
              <w:rPr>
                <w:rFonts w:ascii="宋体"/>
                <w:color w:val="000000" w:themeColor="text1"/>
                <w:sz w:val="24"/>
                <w:szCs w:val="24"/>
                <w14:textFill>
                  <w14:solidFill>
                    <w14:schemeClr w14:val="tx1"/>
                  </w14:solidFill>
                </w14:textFill>
              </w:rPr>
            </w:pPr>
          </w:p>
        </w:tc>
      </w:tr>
      <w:tr w14:paraId="1550F5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03BBBACF">
            <w:pPr>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8</w:t>
            </w:r>
          </w:p>
        </w:tc>
        <w:tc>
          <w:tcPr>
            <w:tcW w:w="2387" w:type="dxa"/>
          </w:tcPr>
          <w:p w14:paraId="53FA4CFF">
            <w:pPr>
              <w:jc w:val="center"/>
              <w:rPr>
                <w:rFonts w:ascii="宋体"/>
                <w:color w:val="000000" w:themeColor="text1"/>
                <w:sz w:val="24"/>
                <w:szCs w:val="24"/>
                <w14:textFill>
                  <w14:solidFill>
                    <w14:schemeClr w14:val="tx1"/>
                  </w14:solidFill>
                </w14:textFill>
              </w:rPr>
            </w:pPr>
          </w:p>
        </w:tc>
        <w:tc>
          <w:tcPr>
            <w:tcW w:w="1462" w:type="dxa"/>
          </w:tcPr>
          <w:p w14:paraId="4468BC83">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0114BA52">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133C8F45">
            <w:pPr>
              <w:jc w:val="center"/>
              <w:rPr>
                <w:rFonts w:ascii="宋体"/>
                <w:color w:val="000000" w:themeColor="text1"/>
                <w:sz w:val="24"/>
                <w:szCs w:val="24"/>
                <w14:textFill>
                  <w14:solidFill>
                    <w14:schemeClr w14:val="tx1"/>
                  </w14:solidFill>
                </w14:textFill>
              </w:rPr>
            </w:pPr>
          </w:p>
        </w:tc>
      </w:tr>
      <w:tr w14:paraId="4BC8E0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5DE248C4">
            <w:pPr>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合计</w:t>
            </w:r>
          </w:p>
        </w:tc>
        <w:tc>
          <w:tcPr>
            <w:tcW w:w="2387" w:type="dxa"/>
          </w:tcPr>
          <w:p w14:paraId="4D0E6414">
            <w:pPr>
              <w:jc w:val="center"/>
              <w:rPr>
                <w:rFonts w:ascii="宋体"/>
                <w:color w:val="000000" w:themeColor="text1"/>
                <w:sz w:val="24"/>
                <w:szCs w:val="24"/>
                <w14:textFill>
                  <w14:solidFill>
                    <w14:schemeClr w14:val="tx1"/>
                  </w14:solidFill>
                </w14:textFill>
              </w:rPr>
            </w:pPr>
          </w:p>
        </w:tc>
        <w:tc>
          <w:tcPr>
            <w:tcW w:w="1462" w:type="dxa"/>
          </w:tcPr>
          <w:p w14:paraId="3C221F65">
            <w:pPr>
              <w:jc w:val="center"/>
              <w:rPr>
                <w:rFonts w:ascii="宋体"/>
                <w:color w:val="000000" w:themeColor="text1"/>
                <w:sz w:val="24"/>
                <w:szCs w:val="24"/>
                <w14:textFill>
                  <w14:solidFill>
                    <w14:schemeClr w14:val="tx1"/>
                  </w14:solidFill>
                </w14:textFill>
              </w:rPr>
            </w:pPr>
          </w:p>
        </w:tc>
        <w:tc>
          <w:tcPr>
            <w:tcW w:w="2415" w:type="dxa"/>
            <w:tcBorders>
              <w:right w:val="single" w:color="auto" w:sz="4" w:space="0"/>
            </w:tcBorders>
          </w:tcPr>
          <w:p w14:paraId="041B2E27">
            <w:pPr>
              <w:jc w:val="center"/>
              <w:rPr>
                <w:rFonts w:ascii="宋体"/>
                <w:color w:val="000000" w:themeColor="text1"/>
                <w:sz w:val="24"/>
                <w:szCs w:val="24"/>
                <w14:textFill>
                  <w14:solidFill>
                    <w14:schemeClr w14:val="tx1"/>
                  </w14:solidFill>
                </w14:textFill>
              </w:rPr>
            </w:pPr>
          </w:p>
        </w:tc>
        <w:tc>
          <w:tcPr>
            <w:tcW w:w="1746" w:type="dxa"/>
            <w:tcBorders>
              <w:left w:val="single" w:color="auto" w:sz="4" w:space="0"/>
            </w:tcBorders>
          </w:tcPr>
          <w:p w14:paraId="21C63415">
            <w:pPr>
              <w:jc w:val="center"/>
              <w:rPr>
                <w:rFonts w:ascii="宋体"/>
                <w:color w:val="000000" w:themeColor="text1"/>
                <w:sz w:val="24"/>
                <w:szCs w:val="24"/>
                <w14:textFill>
                  <w14:solidFill>
                    <w14:schemeClr w14:val="tx1"/>
                  </w14:solidFill>
                </w14:textFill>
              </w:rPr>
            </w:pPr>
          </w:p>
        </w:tc>
      </w:tr>
    </w:tbl>
    <w:p w14:paraId="74470A36">
      <w:pPr>
        <w:spacing w:line="360" w:lineRule="auto"/>
        <w:ind w:firstLine="480" w:firstLineChars="200"/>
        <w:rPr>
          <w:rFonts w:ascii="宋体"/>
          <w:color w:val="000000" w:themeColor="text1"/>
          <w:sz w:val="24"/>
          <w:szCs w:val="24"/>
          <w14:textFill>
            <w14:solidFill>
              <w14:schemeClr w14:val="tx1"/>
            </w14:solidFill>
          </w14:textFill>
        </w:rPr>
      </w:pPr>
    </w:p>
    <w:p w14:paraId="645FB71F">
      <w:pPr>
        <w:spacing w:line="360" w:lineRule="auto"/>
        <w:ind w:left="3600" w:leftChars="1800" w:firstLine="480" w:firstLineChars="200"/>
        <w:rPr>
          <w:rFonts w:ascii="宋体"/>
          <w:color w:val="000000" w:themeColor="text1"/>
          <w:sz w:val="24"/>
          <w:szCs w:val="24"/>
          <w14:textFill>
            <w14:solidFill>
              <w14:schemeClr w14:val="tx1"/>
            </w14:solidFill>
          </w14:textFill>
        </w:rPr>
      </w:pPr>
    </w:p>
    <w:p w14:paraId="470103B1">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0CF77891">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0CD90F4C">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7E2C880F">
      <w:pPr>
        <w:snapToGrid w:val="0"/>
        <w:spacing w:before="50" w:after="156" w:afterLines="50"/>
        <w:jc w:val="left"/>
        <w:rPr>
          <w:rFonts w:ascii="宋体"/>
          <w:b/>
          <w:bCs/>
          <w:color w:val="000000" w:themeColor="text1"/>
          <w:sz w:val="24"/>
          <w:szCs w:val="24"/>
          <w:lang w:val="zh-CN"/>
          <w14:textFill>
            <w14:solidFill>
              <w14:schemeClr w14:val="tx1"/>
            </w14:solidFill>
          </w14:textFill>
        </w:rPr>
      </w:pPr>
      <w:r>
        <w:rPr>
          <w:rFonts w:ascii="宋体"/>
          <w:b/>
          <w:bCs/>
          <w:color w:val="000000" w:themeColor="text1"/>
          <w:sz w:val="30"/>
          <w:szCs w:val="30"/>
          <w14:textFill>
            <w14:solidFill>
              <w14:schemeClr w14:val="tx1"/>
            </w14:solidFill>
          </w14:textFill>
        </w:rPr>
        <w:br w:type="page"/>
      </w:r>
      <w:r>
        <w:rPr>
          <w:rFonts w:hint="eastAsia" w:ascii="宋体" w:hAnsi="宋体" w:cs="宋体"/>
          <w:b/>
          <w:bCs/>
          <w:color w:val="000000" w:themeColor="text1"/>
          <w:sz w:val="24"/>
          <w:szCs w:val="24"/>
          <w:lang w:val="zh-CN"/>
          <w14:textFill>
            <w14:solidFill>
              <w14:schemeClr w14:val="tx1"/>
            </w14:solidFill>
          </w14:textFill>
        </w:rPr>
        <w:t>附件八：</w:t>
      </w:r>
    </w:p>
    <w:p w14:paraId="0D6CA329">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项目明细清单</w:t>
      </w:r>
    </w:p>
    <w:p w14:paraId="1BBC0B2D">
      <w:pPr>
        <w:spacing w:line="360" w:lineRule="auto"/>
        <w:ind w:firstLine="480" w:firstLineChars="200"/>
        <w:rPr>
          <w:rFonts w:ascii="宋体"/>
          <w:color w:val="000000" w:themeColor="text1"/>
          <w:sz w:val="24"/>
          <w:szCs w:val="24"/>
          <w14:textFill>
            <w14:solidFill>
              <w14:schemeClr w14:val="tx1"/>
            </w14:solidFill>
          </w14:textFill>
        </w:rPr>
      </w:pPr>
    </w:p>
    <w:p w14:paraId="1805886E">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274F9797">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p>
    <w:tbl>
      <w:tblPr>
        <w:tblStyle w:val="27"/>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2433AD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14:paraId="3377351A">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序号</w:t>
            </w:r>
          </w:p>
        </w:tc>
        <w:tc>
          <w:tcPr>
            <w:tcW w:w="2829" w:type="dxa"/>
            <w:tcBorders>
              <w:top w:val="single" w:color="auto" w:sz="4" w:space="0"/>
              <w:left w:val="single" w:color="auto" w:sz="4" w:space="0"/>
              <w:bottom w:val="single" w:color="auto" w:sz="4" w:space="0"/>
              <w:right w:val="single" w:color="auto" w:sz="4" w:space="0"/>
            </w:tcBorders>
            <w:vAlign w:val="center"/>
          </w:tcPr>
          <w:p w14:paraId="7F3CF797">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14:paraId="60F35131">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服务人员数量</w:t>
            </w:r>
          </w:p>
        </w:tc>
        <w:tc>
          <w:tcPr>
            <w:tcW w:w="2830" w:type="dxa"/>
            <w:tcBorders>
              <w:top w:val="single" w:color="auto" w:sz="4" w:space="0"/>
              <w:left w:val="single" w:color="auto" w:sz="4" w:space="0"/>
              <w:bottom w:val="single" w:color="auto" w:sz="4" w:space="0"/>
            </w:tcBorders>
            <w:vAlign w:val="center"/>
          </w:tcPr>
          <w:p w14:paraId="717EB005">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工作量</w:t>
            </w:r>
          </w:p>
        </w:tc>
      </w:tr>
      <w:tr w14:paraId="31E66C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14:paraId="6D8A266C">
            <w:pPr>
              <w:snapToGrid w:val="0"/>
              <w:spacing w:before="50" w:after="50"/>
              <w:jc w:val="center"/>
              <w:rPr>
                <w:rFonts w:ascii="宋体"/>
                <w:color w:val="000000" w:themeColor="text1"/>
                <w:sz w:val="24"/>
                <w:szCs w:val="24"/>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67F0E396">
            <w:pPr>
              <w:snapToGrid w:val="0"/>
              <w:spacing w:before="50" w:after="50"/>
              <w:jc w:val="center"/>
              <w:rPr>
                <w:rFonts w:ascii="宋体"/>
                <w:color w:val="000000" w:themeColor="text1"/>
                <w:sz w:val="24"/>
                <w:szCs w:val="24"/>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1F57D021">
            <w:pPr>
              <w:snapToGrid w:val="0"/>
              <w:spacing w:before="50" w:after="50"/>
              <w:ind w:left="480" w:hanging="480"/>
              <w:jc w:val="center"/>
              <w:rPr>
                <w:rFonts w:ascii="宋体"/>
                <w:color w:val="000000" w:themeColor="text1"/>
                <w:sz w:val="24"/>
                <w:szCs w:val="24"/>
                <w14:textFill>
                  <w14:solidFill>
                    <w14:schemeClr w14:val="tx1"/>
                  </w14:solidFill>
                </w14:textFill>
              </w:rPr>
            </w:pPr>
          </w:p>
        </w:tc>
        <w:tc>
          <w:tcPr>
            <w:tcW w:w="2830" w:type="dxa"/>
            <w:tcBorders>
              <w:top w:val="single" w:color="auto" w:sz="4" w:space="0"/>
              <w:left w:val="single" w:color="auto" w:sz="4" w:space="0"/>
              <w:bottom w:val="single" w:color="auto" w:sz="4" w:space="0"/>
            </w:tcBorders>
            <w:vAlign w:val="center"/>
          </w:tcPr>
          <w:p w14:paraId="06D84547">
            <w:pPr>
              <w:snapToGrid w:val="0"/>
              <w:spacing w:before="50" w:after="50"/>
              <w:jc w:val="center"/>
              <w:rPr>
                <w:rFonts w:ascii="宋体"/>
                <w:color w:val="000000" w:themeColor="text1"/>
                <w:sz w:val="24"/>
                <w:szCs w:val="24"/>
                <w14:textFill>
                  <w14:solidFill>
                    <w14:schemeClr w14:val="tx1"/>
                  </w14:solidFill>
                </w14:textFill>
              </w:rPr>
            </w:pPr>
          </w:p>
        </w:tc>
      </w:tr>
      <w:tr w14:paraId="7D94B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14:paraId="6FE1A93C">
            <w:pPr>
              <w:snapToGrid w:val="0"/>
              <w:spacing w:before="50" w:after="50"/>
              <w:jc w:val="center"/>
              <w:rPr>
                <w:rFonts w:ascii="宋体"/>
                <w:color w:val="000000" w:themeColor="text1"/>
                <w:sz w:val="24"/>
                <w:szCs w:val="24"/>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3F2659B5">
            <w:pPr>
              <w:snapToGrid w:val="0"/>
              <w:spacing w:before="50" w:after="50"/>
              <w:jc w:val="center"/>
              <w:rPr>
                <w:rFonts w:ascii="宋体"/>
                <w:color w:val="000000" w:themeColor="text1"/>
                <w:sz w:val="24"/>
                <w:szCs w:val="24"/>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3D4C58C9">
            <w:pPr>
              <w:snapToGrid w:val="0"/>
              <w:spacing w:before="50" w:after="50"/>
              <w:ind w:left="480" w:hanging="480"/>
              <w:jc w:val="center"/>
              <w:rPr>
                <w:rFonts w:ascii="宋体"/>
                <w:color w:val="000000" w:themeColor="text1"/>
                <w:sz w:val="24"/>
                <w:szCs w:val="24"/>
                <w14:textFill>
                  <w14:solidFill>
                    <w14:schemeClr w14:val="tx1"/>
                  </w14:solidFill>
                </w14:textFill>
              </w:rPr>
            </w:pPr>
          </w:p>
        </w:tc>
        <w:tc>
          <w:tcPr>
            <w:tcW w:w="2830" w:type="dxa"/>
            <w:tcBorders>
              <w:top w:val="single" w:color="auto" w:sz="4" w:space="0"/>
              <w:left w:val="single" w:color="auto" w:sz="4" w:space="0"/>
              <w:bottom w:val="single" w:color="auto" w:sz="4" w:space="0"/>
            </w:tcBorders>
            <w:vAlign w:val="center"/>
          </w:tcPr>
          <w:p w14:paraId="34F6DD4E">
            <w:pPr>
              <w:snapToGrid w:val="0"/>
              <w:spacing w:before="50" w:after="50"/>
              <w:jc w:val="center"/>
              <w:rPr>
                <w:rFonts w:ascii="宋体"/>
                <w:color w:val="000000" w:themeColor="text1"/>
                <w:sz w:val="24"/>
                <w:szCs w:val="24"/>
                <w14:textFill>
                  <w14:solidFill>
                    <w14:schemeClr w14:val="tx1"/>
                  </w14:solidFill>
                </w14:textFill>
              </w:rPr>
            </w:pPr>
          </w:p>
        </w:tc>
      </w:tr>
    </w:tbl>
    <w:p w14:paraId="4DE42025">
      <w:pPr>
        <w:snapToGrid w:val="0"/>
        <w:spacing w:before="156" w:beforeLines="50"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注：在填写时，如上表不适合本项目的实际情况，可在确保投标明细内容完整的情况下，根据上表格式自行划表填写。</w:t>
      </w:r>
    </w:p>
    <w:p w14:paraId="43B20AFA">
      <w:pPr>
        <w:pStyle w:val="11"/>
        <w:rPr>
          <w:rFonts w:hint="eastAsia" w:cs="Times New Roman"/>
          <w:color w:val="000000" w:themeColor="text1"/>
          <w14:textFill>
            <w14:solidFill>
              <w14:schemeClr w14:val="tx1"/>
            </w14:solidFill>
          </w14:textFill>
        </w:rPr>
      </w:pPr>
    </w:p>
    <w:p w14:paraId="205BE300">
      <w:pPr>
        <w:pStyle w:val="11"/>
        <w:rPr>
          <w:rFonts w:hint="eastAsia" w:cs="Times New Roman"/>
          <w:color w:val="000000" w:themeColor="text1"/>
          <w14:textFill>
            <w14:solidFill>
              <w14:schemeClr w14:val="tx1"/>
            </w14:solidFill>
          </w14:textFill>
        </w:rPr>
      </w:pPr>
    </w:p>
    <w:p w14:paraId="00204A1A">
      <w:pPr>
        <w:pStyle w:val="11"/>
        <w:rPr>
          <w:rFonts w:hint="eastAsia" w:cs="Times New Roman"/>
          <w:color w:val="000000" w:themeColor="text1"/>
          <w14:textFill>
            <w14:solidFill>
              <w14:schemeClr w14:val="tx1"/>
            </w14:solidFill>
          </w14:textFill>
        </w:rPr>
      </w:pPr>
    </w:p>
    <w:p w14:paraId="71C7656A">
      <w:pPr>
        <w:snapToGrid w:val="0"/>
        <w:spacing w:before="156" w:beforeLines="50"/>
        <w:rPr>
          <w:rFonts w:ascii="宋体"/>
          <w:color w:val="000000" w:themeColor="text1"/>
          <w:sz w:val="24"/>
          <w:szCs w:val="24"/>
          <w14:textFill>
            <w14:solidFill>
              <w14:schemeClr w14:val="tx1"/>
            </w14:solidFill>
          </w14:textFill>
        </w:rPr>
      </w:pPr>
    </w:p>
    <w:p w14:paraId="098A8687">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2257A404">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173BDF0F">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6EE8FF5D">
      <w:pPr>
        <w:snapToGrid w:val="0"/>
        <w:spacing w:before="50" w:after="50"/>
        <w:rPr>
          <w:rFonts w:ascii="宋体"/>
          <w:color w:val="000000" w:themeColor="text1"/>
          <w:spacing w:val="20"/>
          <w:sz w:val="24"/>
          <w:szCs w:val="24"/>
          <w14:textFill>
            <w14:solidFill>
              <w14:schemeClr w14:val="tx1"/>
            </w14:solidFill>
          </w14:textFill>
        </w:rPr>
      </w:pPr>
    </w:p>
    <w:p w14:paraId="7B998679">
      <w:pPr>
        <w:snapToGrid w:val="0"/>
        <w:spacing w:before="50" w:after="50"/>
        <w:rPr>
          <w:rFonts w:ascii="宋体"/>
          <w:color w:val="000000" w:themeColor="text1"/>
          <w:spacing w:val="20"/>
          <w:sz w:val="30"/>
          <w:szCs w:val="30"/>
          <w14:textFill>
            <w14:solidFill>
              <w14:schemeClr w14:val="tx1"/>
            </w14:solidFill>
          </w14:textFill>
        </w:rPr>
      </w:pPr>
    </w:p>
    <w:p w14:paraId="4BC8BB2E">
      <w:pPr>
        <w:pStyle w:val="11"/>
        <w:ind w:firstLine="686"/>
        <w:rPr>
          <w:rFonts w:hint="eastAsia" w:cs="Times New Roman"/>
          <w:color w:val="000000" w:themeColor="text1"/>
          <w:spacing w:val="20"/>
          <w:sz w:val="30"/>
          <w:szCs w:val="30"/>
          <w14:textFill>
            <w14:solidFill>
              <w14:schemeClr w14:val="tx1"/>
            </w14:solidFill>
          </w14:textFill>
        </w:rPr>
      </w:pPr>
    </w:p>
    <w:p w14:paraId="6EC1AADA">
      <w:pPr>
        <w:pStyle w:val="11"/>
        <w:ind w:firstLine="686"/>
        <w:rPr>
          <w:rFonts w:hint="eastAsia" w:cs="Times New Roman"/>
          <w:color w:val="000000" w:themeColor="text1"/>
          <w:spacing w:val="20"/>
          <w:sz w:val="30"/>
          <w:szCs w:val="30"/>
          <w14:textFill>
            <w14:solidFill>
              <w14:schemeClr w14:val="tx1"/>
            </w14:solidFill>
          </w14:textFill>
        </w:rPr>
        <w:sectPr>
          <w:footerReference r:id="rId5" w:type="default"/>
          <w:pgSz w:w="11906" w:h="16838"/>
          <w:pgMar w:top="1440" w:right="1800" w:bottom="1440" w:left="1800" w:header="851" w:footer="992" w:gutter="0"/>
          <w:cols w:space="425" w:num="1"/>
          <w:docGrid w:type="lines" w:linePitch="312" w:charSpace="0"/>
        </w:sectPr>
      </w:pPr>
    </w:p>
    <w:p w14:paraId="16C4508E">
      <w:pPr>
        <w:rPr>
          <w:b/>
          <w:bCs/>
          <w:color w:val="000000" w:themeColor="text1"/>
          <w:sz w:val="24"/>
          <w:szCs w:val="24"/>
          <w14:textFill>
            <w14:solidFill>
              <w14:schemeClr w14:val="tx1"/>
            </w14:solidFill>
          </w14:textFill>
        </w:rPr>
      </w:pPr>
      <w:bookmarkStart w:id="105" w:name="_Toc2823"/>
      <w:r>
        <w:rPr>
          <w:rFonts w:hint="eastAsia" w:cs="宋体"/>
          <w:b/>
          <w:bCs/>
          <w:color w:val="000000" w:themeColor="text1"/>
          <w:sz w:val="24"/>
          <w:szCs w:val="24"/>
          <w14:textFill>
            <w14:solidFill>
              <w14:schemeClr w14:val="tx1"/>
            </w14:solidFill>
          </w14:textFill>
        </w:rPr>
        <w:t>附件九：</w:t>
      </w:r>
    </w:p>
    <w:p w14:paraId="045305AC">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技术响应及建议表</w:t>
      </w:r>
      <w:bookmarkEnd w:id="105"/>
    </w:p>
    <w:p w14:paraId="000D3FCD">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             </w:t>
      </w:r>
    </w:p>
    <w:p w14:paraId="17554450">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3D2A6451">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p>
    <w:tbl>
      <w:tblPr>
        <w:tblStyle w:val="27"/>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14:paraId="62428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1E5741DA">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序号</w:t>
            </w:r>
          </w:p>
        </w:tc>
        <w:tc>
          <w:tcPr>
            <w:tcW w:w="1440" w:type="dxa"/>
            <w:vAlign w:val="center"/>
          </w:tcPr>
          <w:p w14:paraId="148601F8">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名称</w:t>
            </w:r>
          </w:p>
        </w:tc>
        <w:tc>
          <w:tcPr>
            <w:tcW w:w="1980" w:type="dxa"/>
            <w:vAlign w:val="center"/>
          </w:tcPr>
          <w:p w14:paraId="74063C4A">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磋商文件要求</w:t>
            </w:r>
          </w:p>
        </w:tc>
        <w:tc>
          <w:tcPr>
            <w:tcW w:w="2520" w:type="dxa"/>
            <w:vAlign w:val="center"/>
          </w:tcPr>
          <w:p w14:paraId="2E43E1BD">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响应文件响应</w:t>
            </w:r>
          </w:p>
        </w:tc>
        <w:tc>
          <w:tcPr>
            <w:tcW w:w="1953" w:type="dxa"/>
            <w:vAlign w:val="center"/>
          </w:tcPr>
          <w:p w14:paraId="7D37D710">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偏离情况</w:t>
            </w:r>
          </w:p>
        </w:tc>
      </w:tr>
      <w:tr w14:paraId="7F84A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2CF4A146">
            <w:pPr>
              <w:snapToGrid w:val="0"/>
              <w:spacing w:before="50" w:after="50"/>
              <w:jc w:val="center"/>
              <w:rPr>
                <w:rFonts w:ascii="宋体"/>
                <w:color w:val="000000" w:themeColor="text1"/>
                <w:sz w:val="24"/>
                <w:szCs w:val="24"/>
                <w14:textFill>
                  <w14:solidFill>
                    <w14:schemeClr w14:val="tx1"/>
                  </w14:solidFill>
                </w14:textFill>
              </w:rPr>
            </w:pPr>
          </w:p>
        </w:tc>
        <w:tc>
          <w:tcPr>
            <w:tcW w:w="1440" w:type="dxa"/>
            <w:vAlign w:val="center"/>
          </w:tcPr>
          <w:p w14:paraId="3FDBB938">
            <w:pPr>
              <w:snapToGrid w:val="0"/>
              <w:spacing w:before="50" w:after="50"/>
              <w:jc w:val="center"/>
              <w:rPr>
                <w:rFonts w:ascii="宋体"/>
                <w:color w:val="000000" w:themeColor="text1"/>
                <w:sz w:val="24"/>
                <w:szCs w:val="24"/>
                <w14:textFill>
                  <w14:solidFill>
                    <w14:schemeClr w14:val="tx1"/>
                  </w14:solidFill>
                </w14:textFill>
              </w:rPr>
            </w:pPr>
          </w:p>
        </w:tc>
        <w:tc>
          <w:tcPr>
            <w:tcW w:w="1980" w:type="dxa"/>
            <w:vAlign w:val="center"/>
          </w:tcPr>
          <w:p w14:paraId="6B5D7B6C">
            <w:pPr>
              <w:snapToGrid w:val="0"/>
              <w:spacing w:before="50" w:after="50"/>
              <w:jc w:val="center"/>
              <w:rPr>
                <w:rFonts w:ascii="宋体"/>
                <w:color w:val="000000" w:themeColor="text1"/>
                <w:sz w:val="24"/>
                <w:szCs w:val="24"/>
                <w14:textFill>
                  <w14:solidFill>
                    <w14:schemeClr w14:val="tx1"/>
                  </w14:solidFill>
                </w14:textFill>
              </w:rPr>
            </w:pPr>
          </w:p>
        </w:tc>
        <w:tc>
          <w:tcPr>
            <w:tcW w:w="2520" w:type="dxa"/>
            <w:vAlign w:val="center"/>
          </w:tcPr>
          <w:p w14:paraId="7C54D584">
            <w:pPr>
              <w:snapToGrid w:val="0"/>
              <w:spacing w:before="50" w:after="50"/>
              <w:jc w:val="center"/>
              <w:rPr>
                <w:rFonts w:ascii="宋体"/>
                <w:color w:val="000000" w:themeColor="text1"/>
                <w:sz w:val="24"/>
                <w:szCs w:val="24"/>
                <w14:textFill>
                  <w14:solidFill>
                    <w14:schemeClr w14:val="tx1"/>
                  </w14:solidFill>
                </w14:textFill>
              </w:rPr>
            </w:pPr>
          </w:p>
        </w:tc>
        <w:tc>
          <w:tcPr>
            <w:tcW w:w="1953" w:type="dxa"/>
            <w:vAlign w:val="center"/>
          </w:tcPr>
          <w:p w14:paraId="5D902FBF">
            <w:pPr>
              <w:snapToGrid w:val="0"/>
              <w:spacing w:before="50" w:after="50"/>
              <w:jc w:val="center"/>
              <w:rPr>
                <w:rFonts w:ascii="宋体"/>
                <w:color w:val="000000" w:themeColor="text1"/>
                <w:sz w:val="24"/>
                <w:szCs w:val="24"/>
                <w14:textFill>
                  <w14:solidFill>
                    <w14:schemeClr w14:val="tx1"/>
                  </w14:solidFill>
                </w14:textFill>
              </w:rPr>
            </w:pPr>
          </w:p>
        </w:tc>
      </w:tr>
      <w:tr w14:paraId="5530C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1F76AB88">
            <w:pPr>
              <w:snapToGrid w:val="0"/>
              <w:spacing w:before="50" w:after="50"/>
              <w:jc w:val="center"/>
              <w:rPr>
                <w:rFonts w:ascii="宋体"/>
                <w:color w:val="000000" w:themeColor="text1"/>
                <w:sz w:val="24"/>
                <w:szCs w:val="24"/>
                <w14:textFill>
                  <w14:solidFill>
                    <w14:schemeClr w14:val="tx1"/>
                  </w14:solidFill>
                </w14:textFill>
              </w:rPr>
            </w:pPr>
          </w:p>
        </w:tc>
        <w:tc>
          <w:tcPr>
            <w:tcW w:w="1440" w:type="dxa"/>
            <w:vAlign w:val="center"/>
          </w:tcPr>
          <w:p w14:paraId="269F4544">
            <w:pPr>
              <w:snapToGrid w:val="0"/>
              <w:spacing w:before="50" w:after="50"/>
              <w:jc w:val="center"/>
              <w:rPr>
                <w:rFonts w:ascii="宋体"/>
                <w:color w:val="000000" w:themeColor="text1"/>
                <w:sz w:val="24"/>
                <w:szCs w:val="24"/>
                <w14:textFill>
                  <w14:solidFill>
                    <w14:schemeClr w14:val="tx1"/>
                  </w14:solidFill>
                </w14:textFill>
              </w:rPr>
            </w:pPr>
          </w:p>
        </w:tc>
        <w:tc>
          <w:tcPr>
            <w:tcW w:w="1980" w:type="dxa"/>
            <w:vAlign w:val="center"/>
          </w:tcPr>
          <w:p w14:paraId="473118C5">
            <w:pPr>
              <w:snapToGrid w:val="0"/>
              <w:spacing w:before="50" w:after="50"/>
              <w:jc w:val="center"/>
              <w:rPr>
                <w:rFonts w:ascii="宋体"/>
                <w:color w:val="000000" w:themeColor="text1"/>
                <w:sz w:val="24"/>
                <w:szCs w:val="24"/>
                <w14:textFill>
                  <w14:solidFill>
                    <w14:schemeClr w14:val="tx1"/>
                  </w14:solidFill>
                </w14:textFill>
              </w:rPr>
            </w:pPr>
          </w:p>
        </w:tc>
        <w:tc>
          <w:tcPr>
            <w:tcW w:w="2520" w:type="dxa"/>
            <w:vAlign w:val="center"/>
          </w:tcPr>
          <w:p w14:paraId="419019F4">
            <w:pPr>
              <w:snapToGrid w:val="0"/>
              <w:spacing w:before="50" w:after="50"/>
              <w:jc w:val="center"/>
              <w:rPr>
                <w:rFonts w:ascii="宋体"/>
                <w:color w:val="000000" w:themeColor="text1"/>
                <w:sz w:val="24"/>
                <w:szCs w:val="24"/>
                <w14:textFill>
                  <w14:solidFill>
                    <w14:schemeClr w14:val="tx1"/>
                  </w14:solidFill>
                </w14:textFill>
              </w:rPr>
            </w:pPr>
          </w:p>
        </w:tc>
        <w:tc>
          <w:tcPr>
            <w:tcW w:w="1953" w:type="dxa"/>
            <w:vAlign w:val="center"/>
          </w:tcPr>
          <w:p w14:paraId="50407E0E">
            <w:pPr>
              <w:snapToGrid w:val="0"/>
              <w:spacing w:before="50" w:after="50"/>
              <w:jc w:val="center"/>
              <w:rPr>
                <w:rFonts w:ascii="宋体"/>
                <w:color w:val="000000" w:themeColor="text1"/>
                <w:sz w:val="24"/>
                <w:szCs w:val="24"/>
                <w14:textFill>
                  <w14:solidFill>
                    <w14:schemeClr w14:val="tx1"/>
                  </w14:solidFill>
                </w14:textFill>
              </w:rPr>
            </w:pPr>
          </w:p>
        </w:tc>
      </w:tr>
      <w:tr w14:paraId="34E7C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4B219786">
            <w:pPr>
              <w:snapToGrid w:val="0"/>
              <w:spacing w:before="50" w:after="50"/>
              <w:jc w:val="center"/>
              <w:rPr>
                <w:rFonts w:ascii="宋体"/>
                <w:color w:val="000000" w:themeColor="text1"/>
                <w:sz w:val="24"/>
                <w:szCs w:val="24"/>
                <w14:textFill>
                  <w14:solidFill>
                    <w14:schemeClr w14:val="tx1"/>
                  </w14:solidFill>
                </w14:textFill>
              </w:rPr>
            </w:pPr>
          </w:p>
        </w:tc>
        <w:tc>
          <w:tcPr>
            <w:tcW w:w="1440" w:type="dxa"/>
            <w:vAlign w:val="center"/>
          </w:tcPr>
          <w:p w14:paraId="62BEDD26">
            <w:pPr>
              <w:snapToGrid w:val="0"/>
              <w:spacing w:before="50" w:after="50"/>
              <w:jc w:val="center"/>
              <w:rPr>
                <w:rFonts w:ascii="宋体"/>
                <w:color w:val="000000" w:themeColor="text1"/>
                <w:sz w:val="24"/>
                <w:szCs w:val="24"/>
                <w14:textFill>
                  <w14:solidFill>
                    <w14:schemeClr w14:val="tx1"/>
                  </w14:solidFill>
                </w14:textFill>
              </w:rPr>
            </w:pPr>
          </w:p>
        </w:tc>
        <w:tc>
          <w:tcPr>
            <w:tcW w:w="1980" w:type="dxa"/>
            <w:vAlign w:val="center"/>
          </w:tcPr>
          <w:p w14:paraId="4F36E31B">
            <w:pPr>
              <w:snapToGrid w:val="0"/>
              <w:spacing w:before="50" w:after="50"/>
              <w:jc w:val="center"/>
              <w:rPr>
                <w:rFonts w:ascii="宋体"/>
                <w:color w:val="000000" w:themeColor="text1"/>
                <w:sz w:val="24"/>
                <w:szCs w:val="24"/>
                <w14:textFill>
                  <w14:solidFill>
                    <w14:schemeClr w14:val="tx1"/>
                  </w14:solidFill>
                </w14:textFill>
              </w:rPr>
            </w:pPr>
          </w:p>
        </w:tc>
        <w:tc>
          <w:tcPr>
            <w:tcW w:w="2520" w:type="dxa"/>
            <w:vAlign w:val="center"/>
          </w:tcPr>
          <w:p w14:paraId="07B356A8">
            <w:pPr>
              <w:snapToGrid w:val="0"/>
              <w:spacing w:before="50" w:after="50"/>
              <w:jc w:val="center"/>
              <w:rPr>
                <w:rFonts w:ascii="宋体"/>
                <w:color w:val="000000" w:themeColor="text1"/>
                <w:sz w:val="24"/>
                <w:szCs w:val="24"/>
                <w14:textFill>
                  <w14:solidFill>
                    <w14:schemeClr w14:val="tx1"/>
                  </w14:solidFill>
                </w14:textFill>
              </w:rPr>
            </w:pPr>
          </w:p>
        </w:tc>
        <w:tc>
          <w:tcPr>
            <w:tcW w:w="1953" w:type="dxa"/>
            <w:vAlign w:val="center"/>
          </w:tcPr>
          <w:p w14:paraId="06102854">
            <w:pPr>
              <w:snapToGrid w:val="0"/>
              <w:spacing w:before="50" w:after="50"/>
              <w:jc w:val="center"/>
              <w:rPr>
                <w:rFonts w:ascii="宋体"/>
                <w:color w:val="000000" w:themeColor="text1"/>
                <w:sz w:val="24"/>
                <w:szCs w:val="24"/>
                <w14:textFill>
                  <w14:solidFill>
                    <w14:schemeClr w14:val="tx1"/>
                  </w14:solidFill>
                </w14:textFill>
              </w:rPr>
            </w:pPr>
          </w:p>
        </w:tc>
      </w:tr>
      <w:tr w14:paraId="2B3F1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3A08AA9F">
            <w:pPr>
              <w:snapToGrid w:val="0"/>
              <w:spacing w:before="50" w:after="50"/>
              <w:jc w:val="center"/>
              <w:rPr>
                <w:rFonts w:ascii="宋体"/>
                <w:color w:val="000000" w:themeColor="text1"/>
                <w:sz w:val="24"/>
                <w:szCs w:val="24"/>
                <w14:textFill>
                  <w14:solidFill>
                    <w14:schemeClr w14:val="tx1"/>
                  </w14:solidFill>
                </w14:textFill>
              </w:rPr>
            </w:pPr>
          </w:p>
        </w:tc>
        <w:tc>
          <w:tcPr>
            <w:tcW w:w="1440" w:type="dxa"/>
            <w:vAlign w:val="center"/>
          </w:tcPr>
          <w:p w14:paraId="79866EB3">
            <w:pPr>
              <w:snapToGrid w:val="0"/>
              <w:spacing w:before="50" w:after="50"/>
              <w:jc w:val="center"/>
              <w:rPr>
                <w:rFonts w:ascii="宋体"/>
                <w:color w:val="000000" w:themeColor="text1"/>
                <w:sz w:val="24"/>
                <w:szCs w:val="24"/>
                <w14:textFill>
                  <w14:solidFill>
                    <w14:schemeClr w14:val="tx1"/>
                  </w14:solidFill>
                </w14:textFill>
              </w:rPr>
            </w:pPr>
          </w:p>
        </w:tc>
        <w:tc>
          <w:tcPr>
            <w:tcW w:w="1980" w:type="dxa"/>
            <w:vAlign w:val="center"/>
          </w:tcPr>
          <w:p w14:paraId="3551BA2C">
            <w:pPr>
              <w:snapToGrid w:val="0"/>
              <w:spacing w:before="50" w:after="50"/>
              <w:jc w:val="center"/>
              <w:rPr>
                <w:rFonts w:ascii="宋体"/>
                <w:color w:val="000000" w:themeColor="text1"/>
                <w:sz w:val="24"/>
                <w:szCs w:val="24"/>
                <w14:textFill>
                  <w14:solidFill>
                    <w14:schemeClr w14:val="tx1"/>
                  </w14:solidFill>
                </w14:textFill>
              </w:rPr>
            </w:pPr>
          </w:p>
        </w:tc>
        <w:tc>
          <w:tcPr>
            <w:tcW w:w="2520" w:type="dxa"/>
            <w:vAlign w:val="center"/>
          </w:tcPr>
          <w:p w14:paraId="1B5FE841">
            <w:pPr>
              <w:snapToGrid w:val="0"/>
              <w:spacing w:before="50" w:after="50"/>
              <w:jc w:val="center"/>
              <w:rPr>
                <w:rFonts w:ascii="宋体"/>
                <w:color w:val="000000" w:themeColor="text1"/>
                <w:sz w:val="24"/>
                <w:szCs w:val="24"/>
                <w14:textFill>
                  <w14:solidFill>
                    <w14:schemeClr w14:val="tx1"/>
                  </w14:solidFill>
                </w14:textFill>
              </w:rPr>
            </w:pPr>
          </w:p>
        </w:tc>
        <w:tc>
          <w:tcPr>
            <w:tcW w:w="1953" w:type="dxa"/>
            <w:vAlign w:val="center"/>
          </w:tcPr>
          <w:p w14:paraId="495DB6EA">
            <w:pPr>
              <w:snapToGrid w:val="0"/>
              <w:spacing w:before="50" w:after="50"/>
              <w:jc w:val="center"/>
              <w:rPr>
                <w:rFonts w:ascii="宋体"/>
                <w:color w:val="000000" w:themeColor="text1"/>
                <w:sz w:val="24"/>
                <w:szCs w:val="24"/>
                <w14:textFill>
                  <w14:solidFill>
                    <w14:schemeClr w14:val="tx1"/>
                  </w14:solidFill>
                </w14:textFill>
              </w:rPr>
            </w:pPr>
          </w:p>
        </w:tc>
      </w:tr>
      <w:tr w14:paraId="0477D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2F3FDC1B">
            <w:pPr>
              <w:snapToGrid w:val="0"/>
              <w:spacing w:before="50" w:after="50"/>
              <w:jc w:val="center"/>
              <w:rPr>
                <w:rFonts w:ascii="宋体"/>
                <w:color w:val="000000" w:themeColor="text1"/>
                <w:sz w:val="24"/>
                <w:szCs w:val="24"/>
                <w14:textFill>
                  <w14:solidFill>
                    <w14:schemeClr w14:val="tx1"/>
                  </w14:solidFill>
                </w14:textFill>
              </w:rPr>
            </w:pPr>
          </w:p>
        </w:tc>
        <w:tc>
          <w:tcPr>
            <w:tcW w:w="1440" w:type="dxa"/>
            <w:vAlign w:val="center"/>
          </w:tcPr>
          <w:p w14:paraId="3FEBBB2B">
            <w:pPr>
              <w:snapToGrid w:val="0"/>
              <w:spacing w:before="50" w:after="50"/>
              <w:jc w:val="center"/>
              <w:rPr>
                <w:rFonts w:ascii="宋体"/>
                <w:color w:val="000000" w:themeColor="text1"/>
                <w:sz w:val="24"/>
                <w:szCs w:val="24"/>
                <w14:textFill>
                  <w14:solidFill>
                    <w14:schemeClr w14:val="tx1"/>
                  </w14:solidFill>
                </w14:textFill>
              </w:rPr>
            </w:pPr>
          </w:p>
        </w:tc>
        <w:tc>
          <w:tcPr>
            <w:tcW w:w="1980" w:type="dxa"/>
            <w:vAlign w:val="center"/>
          </w:tcPr>
          <w:p w14:paraId="517845C6">
            <w:pPr>
              <w:snapToGrid w:val="0"/>
              <w:spacing w:before="50" w:after="50"/>
              <w:jc w:val="center"/>
              <w:rPr>
                <w:rFonts w:ascii="宋体"/>
                <w:color w:val="000000" w:themeColor="text1"/>
                <w:sz w:val="24"/>
                <w:szCs w:val="24"/>
                <w14:textFill>
                  <w14:solidFill>
                    <w14:schemeClr w14:val="tx1"/>
                  </w14:solidFill>
                </w14:textFill>
              </w:rPr>
            </w:pPr>
          </w:p>
        </w:tc>
        <w:tc>
          <w:tcPr>
            <w:tcW w:w="2520" w:type="dxa"/>
            <w:vAlign w:val="center"/>
          </w:tcPr>
          <w:p w14:paraId="0E199F04">
            <w:pPr>
              <w:snapToGrid w:val="0"/>
              <w:spacing w:before="50" w:after="50"/>
              <w:jc w:val="center"/>
              <w:rPr>
                <w:rFonts w:ascii="宋体"/>
                <w:color w:val="000000" w:themeColor="text1"/>
                <w:sz w:val="24"/>
                <w:szCs w:val="24"/>
                <w14:textFill>
                  <w14:solidFill>
                    <w14:schemeClr w14:val="tx1"/>
                  </w14:solidFill>
                </w14:textFill>
              </w:rPr>
            </w:pPr>
          </w:p>
        </w:tc>
        <w:tc>
          <w:tcPr>
            <w:tcW w:w="1953" w:type="dxa"/>
            <w:vAlign w:val="center"/>
          </w:tcPr>
          <w:p w14:paraId="07F60704">
            <w:pPr>
              <w:snapToGrid w:val="0"/>
              <w:spacing w:before="50" w:after="50"/>
              <w:jc w:val="center"/>
              <w:rPr>
                <w:rFonts w:ascii="宋体"/>
                <w:color w:val="000000" w:themeColor="text1"/>
                <w:sz w:val="24"/>
                <w:szCs w:val="24"/>
                <w14:textFill>
                  <w14:solidFill>
                    <w14:schemeClr w14:val="tx1"/>
                  </w14:solidFill>
                </w14:textFill>
              </w:rPr>
            </w:pPr>
          </w:p>
        </w:tc>
      </w:tr>
      <w:tr w14:paraId="509BF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14:paraId="05A08BC2">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投标建议</w:t>
            </w:r>
          </w:p>
        </w:tc>
        <w:tc>
          <w:tcPr>
            <w:tcW w:w="6453" w:type="dxa"/>
            <w:gridSpan w:val="3"/>
            <w:vAlign w:val="center"/>
          </w:tcPr>
          <w:p w14:paraId="7B1E331E">
            <w:pPr>
              <w:spacing w:line="360" w:lineRule="auto"/>
              <w:jc w:val="center"/>
              <w:rPr>
                <w:rFonts w:ascii="宋体"/>
                <w:color w:val="000000" w:themeColor="text1"/>
                <w:sz w:val="24"/>
                <w:szCs w:val="24"/>
                <w14:textFill>
                  <w14:solidFill>
                    <w14:schemeClr w14:val="tx1"/>
                  </w14:solidFill>
                </w14:textFill>
              </w:rPr>
            </w:pPr>
          </w:p>
        </w:tc>
      </w:tr>
    </w:tbl>
    <w:p w14:paraId="0A16627A">
      <w:pPr>
        <w:snapToGrid w:val="0"/>
        <w:spacing w:line="360" w:lineRule="auto"/>
        <w:rPr>
          <w:rFonts w:ascii="宋体"/>
          <w:color w:val="000000" w:themeColor="text1"/>
          <w:sz w:val="24"/>
          <w:szCs w:val="24"/>
          <w14:textFill>
            <w14:solidFill>
              <w14:schemeClr w14:val="tx1"/>
            </w14:solidFill>
          </w14:textFill>
        </w:rPr>
      </w:pPr>
    </w:p>
    <w:p w14:paraId="17CCA41C">
      <w:pPr>
        <w:pStyle w:val="13"/>
        <w:spacing w:line="360" w:lineRule="auto"/>
        <w:rPr>
          <w:rFonts w:hint="eastAsia" w:hAnsi="宋体" w:cs="Times New Roman"/>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注：名称可基于项目清单根据供应商实际情况调整。</w:t>
      </w:r>
    </w:p>
    <w:p w14:paraId="20C08C15">
      <w:pPr>
        <w:rPr>
          <w:rFonts w:ascii="宋体"/>
          <w:color w:val="000000" w:themeColor="text1"/>
          <w:sz w:val="24"/>
          <w:szCs w:val="24"/>
          <w14:textFill>
            <w14:solidFill>
              <w14:schemeClr w14:val="tx1"/>
            </w14:solidFill>
          </w14:textFill>
        </w:rPr>
      </w:pPr>
    </w:p>
    <w:p w14:paraId="15CAC72A">
      <w:pPr>
        <w:pStyle w:val="11"/>
        <w:rPr>
          <w:rFonts w:hint="eastAsia" w:cs="Times New Roman"/>
          <w:color w:val="000000" w:themeColor="text1"/>
          <w14:textFill>
            <w14:solidFill>
              <w14:schemeClr w14:val="tx1"/>
            </w14:solidFill>
          </w14:textFill>
        </w:rPr>
      </w:pPr>
    </w:p>
    <w:p w14:paraId="1F475F51">
      <w:pPr>
        <w:snapToGrid w:val="0"/>
        <w:spacing w:line="360" w:lineRule="auto"/>
        <w:rPr>
          <w:rFonts w:ascii="宋体"/>
          <w:color w:val="000000" w:themeColor="text1"/>
          <w:sz w:val="24"/>
          <w:szCs w:val="24"/>
          <w14:textFill>
            <w14:solidFill>
              <w14:schemeClr w14:val="tx1"/>
            </w14:solidFill>
          </w14:textFill>
        </w:rPr>
      </w:pPr>
    </w:p>
    <w:p w14:paraId="10205DBA">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44B85DFF">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6FFAC6AB">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02A46F75">
      <w:pPr>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br w:type="page"/>
      </w:r>
    </w:p>
    <w:p w14:paraId="79548D2E">
      <w:pPr>
        <w:rPr>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附件十：</w:t>
      </w:r>
    </w:p>
    <w:p w14:paraId="3BB907F6">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商务响应表</w:t>
      </w:r>
    </w:p>
    <w:p w14:paraId="447348A6">
      <w:pPr>
        <w:snapToGrid w:val="0"/>
        <w:spacing w:before="50"/>
        <w:jc w:val="center"/>
        <w:rPr>
          <w:rFonts w:ascii="宋体"/>
          <w:b/>
          <w:bCs/>
          <w:color w:val="000000" w:themeColor="text1"/>
          <w:sz w:val="32"/>
          <w:szCs w:val="32"/>
          <w14:textFill>
            <w14:solidFill>
              <w14:schemeClr w14:val="tx1"/>
            </w14:solidFill>
          </w14:textFill>
        </w:rPr>
      </w:pPr>
    </w:p>
    <w:p w14:paraId="15B6F1CE">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26673C16">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p>
    <w:tbl>
      <w:tblPr>
        <w:tblStyle w:val="27"/>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14:paraId="59065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6178E012">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w:t>
            </w:r>
          </w:p>
        </w:tc>
        <w:tc>
          <w:tcPr>
            <w:tcW w:w="2700" w:type="dxa"/>
            <w:tcBorders>
              <w:top w:val="single" w:color="auto" w:sz="4" w:space="0"/>
              <w:left w:val="single" w:color="auto" w:sz="4" w:space="0"/>
              <w:bottom w:val="single" w:color="auto" w:sz="4" w:space="0"/>
              <w:right w:val="single" w:color="auto" w:sz="4" w:space="0"/>
            </w:tcBorders>
            <w:vAlign w:val="center"/>
          </w:tcPr>
          <w:p w14:paraId="753908B3">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磋商文件要求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280FA607">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是否</w:t>
            </w:r>
          </w:p>
          <w:p w14:paraId="7B611CB4">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w:t>
            </w:r>
          </w:p>
        </w:tc>
        <w:tc>
          <w:tcPr>
            <w:tcW w:w="3020" w:type="dxa"/>
            <w:tcBorders>
              <w:top w:val="single" w:color="auto" w:sz="4" w:space="0"/>
              <w:left w:val="single" w:color="auto" w:sz="4" w:space="0"/>
              <w:bottom w:val="single" w:color="auto" w:sz="4" w:space="0"/>
            </w:tcBorders>
            <w:vAlign w:val="center"/>
          </w:tcPr>
          <w:p w14:paraId="57970E24">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供应商的承诺或说明</w:t>
            </w:r>
          </w:p>
        </w:tc>
      </w:tr>
      <w:tr w14:paraId="4486C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6298912E">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服务时间及地点</w:t>
            </w:r>
          </w:p>
        </w:tc>
        <w:tc>
          <w:tcPr>
            <w:tcW w:w="2700" w:type="dxa"/>
            <w:tcBorders>
              <w:top w:val="single" w:color="auto" w:sz="4" w:space="0"/>
              <w:left w:val="single" w:color="auto" w:sz="4" w:space="0"/>
              <w:bottom w:val="single" w:color="auto" w:sz="4" w:space="0"/>
              <w:right w:val="single" w:color="auto" w:sz="4" w:space="0"/>
            </w:tcBorders>
            <w:vAlign w:val="center"/>
          </w:tcPr>
          <w:p w14:paraId="12067BE3">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1DCB75B4">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216F43BF">
            <w:pPr>
              <w:snapToGrid w:val="0"/>
              <w:spacing w:before="50" w:after="50"/>
              <w:jc w:val="center"/>
              <w:rPr>
                <w:rFonts w:ascii="宋体"/>
                <w:color w:val="000000" w:themeColor="text1"/>
                <w:sz w:val="24"/>
                <w:szCs w:val="24"/>
                <w14:textFill>
                  <w14:solidFill>
                    <w14:schemeClr w14:val="tx1"/>
                  </w14:solidFill>
                </w14:textFill>
              </w:rPr>
            </w:pPr>
          </w:p>
        </w:tc>
      </w:tr>
      <w:tr w14:paraId="686688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01EF3E42">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14:paraId="52340C25">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31C2BAB1">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1680DB37">
            <w:pPr>
              <w:snapToGrid w:val="0"/>
              <w:spacing w:before="50" w:after="50"/>
              <w:jc w:val="center"/>
              <w:rPr>
                <w:rFonts w:ascii="宋体"/>
                <w:color w:val="000000" w:themeColor="text1"/>
                <w:sz w:val="24"/>
                <w:szCs w:val="24"/>
                <w14:textFill>
                  <w14:solidFill>
                    <w14:schemeClr w14:val="tx1"/>
                  </w14:solidFill>
                </w14:textFill>
              </w:rPr>
            </w:pPr>
          </w:p>
        </w:tc>
      </w:tr>
      <w:tr w14:paraId="010E3E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4088AC99">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违约责任及争议解决方式</w:t>
            </w:r>
          </w:p>
        </w:tc>
        <w:tc>
          <w:tcPr>
            <w:tcW w:w="2700" w:type="dxa"/>
            <w:tcBorders>
              <w:top w:val="single" w:color="auto" w:sz="4" w:space="0"/>
              <w:left w:val="single" w:color="auto" w:sz="4" w:space="0"/>
              <w:bottom w:val="single" w:color="auto" w:sz="4" w:space="0"/>
              <w:right w:val="single" w:color="auto" w:sz="4" w:space="0"/>
            </w:tcBorders>
            <w:vAlign w:val="center"/>
          </w:tcPr>
          <w:p w14:paraId="56523841">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2B450B2D">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12CA96F7">
            <w:pPr>
              <w:snapToGrid w:val="0"/>
              <w:spacing w:before="50" w:after="50"/>
              <w:jc w:val="center"/>
              <w:rPr>
                <w:rFonts w:ascii="宋体"/>
                <w:color w:val="000000" w:themeColor="text1"/>
                <w:sz w:val="24"/>
                <w:szCs w:val="24"/>
                <w14:textFill>
                  <w14:solidFill>
                    <w14:schemeClr w14:val="tx1"/>
                  </w14:solidFill>
                </w14:textFill>
              </w:rPr>
            </w:pPr>
          </w:p>
        </w:tc>
      </w:tr>
      <w:tr w14:paraId="165B99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1A8073E4">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4CEABEEE">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64AB9247">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25179FD6">
            <w:pPr>
              <w:snapToGrid w:val="0"/>
              <w:spacing w:before="50" w:after="50"/>
              <w:jc w:val="center"/>
              <w:rPr>
                <w:rFonts w:ascii="宋体"/>
                <w:color w:val="000000" w:themeColor="text1"/>
                <w:sz w:val="24"/>
                <w:szCs w:val="24"/>
                <w14:textFill>
                  <w14:solidFill>
                    <w14:schemeClr w14:val="tx1"/>
                  </w14:solidFill>
                </w14:textFill>
              </w:rPr>
            </w:pPr>
          </w:p>
        </w:tc>
      </w:tr>
      <w:tr w14:paraId="43B118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53263FC1">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7D68A341">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324BF424">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26E1E8EA">
            <w:pPr>
              <w:snapToGrid w:val="0"/>
              <w:spacing w:before="50" w:after="50"/>
              <w:jc w:val="center"/>
              <w:rPr>
                <w:rFonts w:ascii="宋体"/>
                <w:color w:val="000000" w:themeColor="text1"/>
                <w:sz w:val="24"/>
                <w:szCs w:val="24"/>
                <w14:textFill>
                  <w14:solidFill>
                    <w14:schemeClr w14:val="tx1"/>
                  </w14:solidFill>
                </w14:textFill>
              </w:rPr>
            </w:pPr>
          </w:p>
        </w:tc>
      </w:tr>
      <w:tr w14:paraId="1ED42D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7C0D4DA3">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2568526A">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2E2E6B13">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45CE8514">
            <w:pPr>
              <w:snapToGrid w:val="0"/>
              <w:spacing w:before="50" w:after="50"/>
              <w:jc w:val="center"/>
              <w:rPr>
                <w:rFonts w:ascii="宋体"/>
                <w:color w:val="000000" w:themeColor="text1"/>
                <w:sz w:val="24"/>
                <w:szCs w:val="24"/>
                <w14:textFill>
                  <w14:solidFill>
                    <w14:schemeClr w14:val="tx1"/>
                  </w14:solidFill>
                </w14:textFill>
              </w:rPr>
            </w:pPr>
          </w:p>
        </w:tc>
      </w:tr>
      <w:tr w14:paraId="32728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4CE45988">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6F4B920A">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412E8F74">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32423EDE">
            <w:pPr>
              <w:snapToGrid w:val="0"/>
              <w:spacing w:before="50" w:after="50"/>
              <w:jc w:val="center"/>
              <w:rPr>
                <w:rFonts w:ascii="宋体"/>
                <w:color w:val="000000" w:themeColor="text1"/>
                <w:sz w:val="24"/>
                <w:szCs w:val="24"/>
                <w14:textFill>
                  <w14:solidFill>
                    <w14:schemeClr w14:val="tx1"/>
                  </w14:solidFill>
                </w14:textFill>
              </w:rPr>
            </w:pPr>
          </w:p>
        </w:tc>
      </w:tr>
      <w:tr w14:paraId="340BAF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bottom w:val="single" w:color="auto" w:sz="4" w:space="0"/>
              <w:right w:val="single" w:color="auto" w:sz="4" w:space="0"/>
            </w:tcBorders>
            <w:vAlign w:val="center"/>
          </w:tcPr>
          <w:p w14:paraId="6F0F6FC4">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3E3FA97D">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2B5600D8">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1D6B2F8B">
            <w:pPr>
              <w:snapToGrid w:val="0"/>
              <w:spacing w:before="50" w:after="50"/>
              <w:jc w:val="center"/>
              <w:rPr>
                <w:rFonts w:ascii="宋体"/>
                <w:color w:val="000000" w:themeColor="text1"/>
                <w:sz w:val="24"/>
                <w:szCs w:val="24"/>
                <w14:textFill>
                  <w14:solidFill>
                    <w14:schemeClr w14:val="tx1"/>
                  </w14:solidFill>
                </w14:textFill>
              </w:rPr>
            </w:pPr>
          </w:p>
        </w:tc>
      </w:tr>
      <w:tr w14:paraId="1D9AE5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3F58B0B2">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487F656B">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5A62A205">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14EE8617">
            <w:pPr>
              <w:snapToGrid w:val="0"/>
              <w:spacing w:before="50" w:after="50"/>
              <w:jc w:val="center"/>
              <w:rPr>
                <w:rFonts w:ascii="宋体"/>
                <w:color w:val="000000" w:themeColor="text1"/>
                <w:sz w:val="24"/>
                <w:szCs w:val="24"/>
                <w14:textFill>
                  <w14:solidFill>
                    <w14:schemeClr w14:val="tx1"/>
                  </w14:solidFill>
                </w14:textFill>
              </w:rPr>
            </w:pPr>
          </w:p>
        </w:tc>
      </w:tr>
      <w:tr w14:paraId="314D79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5A7224E2">
            <w:pPr>
              <w:snapToGrid w:val="0"/>
              <w:spacing w:before="50" w:after="50"/>
              <w:jc w:val="center"/>
              <w:rPr>
                <w:rFonts w:ascii="宋体"/>
                <w:color w:val="000000" w:themeColor="text1"/>
                <w:sz w:val="24"/>
                <w:szCs w:val="24"/>
                <w14:textFill>
                  <w14:solidFill>
                    <w14:schemeClr w14:val="tx1"/>
                  </w14:solidFill>
                </w14:textFill>
              </w:rPr>
            </w:pPr>
          </w:p>
        </w:tc>
        <w:tc>
          <w:tcPr>
            <w:tcW w:w="2700" w:type="dxa"/>
            <w:tcBorders>
              <w:top w:val="single" w:color="auto" w:sz="4" w:space="0"/>
              <w:left w:val="single" w:color="auto" w:sz="4" w:space="0"/>
              <w:bottom w:val="single" w:color="auto" w:sz="4" w:space="0"/>
              <w:right w:val="single" w:color="auto" w:sz="4" w:space="0"/>
            </w:tcBorders>
            <w:vAlign w:val="center"/>
          </w:tcPr>
          <w:p w14:paraId="67FDCFC3">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0F1847A1">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3180B286">
            <w:pPr>
              <w:snapToGrid w:val="0"/>
              <w:spacing w:before="50" w:after="50"/>
              <w:jc w:val="center"/>
              <w:rPr>
                <w:rFonts w:ascii="宋体"/>
                <w:color w:val="000000" w:themeColor="text1"/>
                <w:sz w:val="24"/>
                <w:szCs w:val="24"/>
                <w14:textFill>
                  <w14:solidFill>
                    <w14:schemeClr w14:val="tx1"/>
                  </w14:solidFill>
                </w14:textFill>
              </w:rPr>
            </w:pPr>
          </w:p>
        </w:tc>
      </w:tr>
      <w:tr w14:paraId="690626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0440AD46">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p>
        </w:tc>
        <w:tc>
          <w:tcPr>
            <w:tcW w:w="2700" w:type="dxa"/>
            <w:tcBorders>
              <w:top w:val="single" w:color="auto" w:sz="4" w:space="0"/>
              <w:left w:val="single" w:color="auto" w:sz="4" w:space="0"/>
              <w:bottom w:val="single" w:color="auto" w:sz="4" w:space="0"/>
              <w:right w:val="single" w:color="auto" w:sz="4" w:space="0"/>
            </w:tcBorders>
            <w:vAlign w:val="center"/>
          </w:tcPr>
          <w:p w14:paraId="40441359">
            <w:pPr>
              <w:snapToGrid w:val="0"/>
              <w:spacing w:before="50" w:after="50"/>
              <w:jc w:val="center"/>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0EA70AA9">
            <w:pPr>
              <w:snapToGrid w:val="0"/>
              <w:spacing w:before="50" w:after="50"/>
              <w:jc w:val="center"/>
              <w:rPr>
                <w:rFonts w:ascii="宋体"/>
                <w:color w:val="000000" w:themeColor="text1"/>
                <w:sz w:val="24"/>
                <w:szCs w:val="24"/>
                <w14:textFill>
                  <w14:solidFill>
                    <w14:schemeClr w14:val="tx1"/>
                  </w14:solidFill>
                </w14:textFill>
              </w:rPr>
            </w:pPr>
          </w:p>
        </w:tc>
        <w:tc>
          <w:tcPr>
            <w:tcW w:w="3020" w:type="dxa"/>
            <w:tcBorders>
              <w:top w:val="single" w:color="auto" w:sz="4" w:space="0"/>
              <w:left w:val="single" w:color="auto" w:sz="4" w:space="0"/>
              <w:bottom w:val="single" w:color="auto" w:sz="4" w:space="0"/>
            </w:tcBorders>
            <w:vAlign w:val="center"/>
          </w:tcPr>
          <w:p w14:paraId="3950BA41">
            <w:pPr>
              <w:snapToGrid w:val="0"/>
              <w:spacing w:before="50" w:after="50"/>
              <w:jc w:val="center"/>
              <w:rPr>
                <w:rFonts w:ascii="宋体"/>
                <w:color w:val="000000" w:themeColor="text1"/>
                <w:sz w:val="24"/>
                <w:szCs w:val="24"/>
                <w14:textFill>
                  <w14:solidFill>
                    <w14:schemeClr w14:val="tx1"/>
                  </w14:solidFill>
                </w14:textFill>
              </w:rPr>
            </w:pPr>
          </w:p>
        </w:tc>
      </w:tr>
    </w:tbl>
    <w:p w14:paraId="2C06BD99">
      <w:pPr>
        <w:spacing w:line="360" w:lineRule="auto"/>
        <w:ind w:left="3600" w:leftChars="1800" w:firstLine="480" w:firstLineChars="200"/>
        <w:rPr>
          <w:rFonts w:ascii="宋体"/>
          <w:color w:val="000000" w:themeColor="text1"/>
          <w:sz w:val="24"/>
          <w:szCs w:val="24"/>
          <w14:textFill>
            <w14:solidFill>
              <w14:schemeClr w14:val="tx1"/>
            </w14:solidFill>
          </w14:textFill>
        </w:rPr>
      </w:pPr>
    </w:p>
    <w:p w14:paraId="19A46F00">
      <w:pPr>
        <w:spacing w:line="360" w:lineRule="auto"/>
        <w:ind w:left="3600" w:leftChars="1800" w:firstLine="480" w:firstLineChars="200"/>
        <w:rPr>
          <w:rFonts w:ascii="宋体"/>
          <w:color w:val="000000" w:themeColor="text1"/>
          <w:sz w:val="24"/>
          <w:szCs w:val="24"/>
          <w14:textFill>
            <w14:solidFill>
              <w14:schemeClr w14:val="tx1"/>
            </w14:solidFill>
          </w14:textFill>
        </w:rPr>
      </w:pPr>
    </w:p>
    <w:p w14:paraId="5443135D">
      <w:pPr>
        <w:spacing w:line="360" w:lineRule="auto"/>
        <w:ind w:left="3600" w:leftChars="1800" w:firstLine="480" w:firstLineChars="200"/>
        <w:rPr>
          <w:rFonts w:ascii="宋体"/>
          <w:color w:val="000000" w:themeColor="text1"/>
          <w:sz w:val="24"/>
          <w:szCs w:val="24"/>
          <w14:textFill>
            <w14:solidFill>
              <w14:schemeClr w14:val="tx1"/>
            </w14:solidFill>
          </w14:textFill>
        </w:rPr>
      </w:pPr>
    </w:p>
    <w:p w14:paraId="2C4AB1C0">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4891D9DB">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1E5F8EDC">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52F861C4">
      <w:pPr>
        <w:snapToGrid w:val="0"/>
        <w:spacing w:before="50" w:after="50"/>
        <w:rPr>
          <w:rFonts w:ascii="宋体"/>
          <w:b/>
          <w:bCs/>
          <w:color w:val="000000" w:themeColor="text1"/>
          <w:sz w:val="24"/>
          <w:szCs w:val="24"/>
          <w:lang w:val="zh-CN"/>
          <w14:textFill>
            <w14:solidFill>
              <w14:schemeClr w14:val="tx1"/>
            </w14:solidFill>
          </w14:textFill>
        </w:rPr>
      </w:pPr>
      <w:r>
        <w:rPr>
          <w:rFonts w:ascii="宋体"/>
          <w:color w:val="000000" w:themeColor="text1"/>
          <w:sz w:val="24"/>
          <w:szCs w:val="24"/>
          <w14:textFill>
            <w14:solidFill>
              <w14:schemeClr w14:val="tx1"/>
            </w14:solidFill>
          </w14:textFill>
        </w:rPr>
        <w:br w:type="page"/>
      </w:r>
      <w:r>
        <w:rPr>
          <w:rFonts w:hint="eastAsia" w:ascii="宋体" w:hAnsi="宋体" w:cs="宋体"/>
          <w:b/>
          <w:bCs/>
          <w:color w:val="000000" w:themeColor="text1"/>
          <w:sz w:val="24"/>
          <w:szCs w:val="24"/>
          <w:lang w:val="zh-CN"/>
          <w14:textFill>
            <w14:solidFill>
              <w14:schemeClr w14:val="tx1"/>
            </w14:solidFill>
          </w14:textFill>
        </w:rPr>
        <w:t>附件十一：</w:t>
      </w:r>
    </w:p>
    <w:p w14:paraId="668E8A26">
      <w:pPr>
        <w:spacing w:line="360" w:lineRule="auto"/>
        <w:jc w:val="center"/>
        <w:rPr>
          <w:rFonts w:hint="eastAsia"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项目组人员清单</w:t>
      </w:r>
    </w:p>
    <w:p w14:paraId="4225AE91">
      <w:pPr>
        <w:pStyle w:val="3"/>
        <w:jc w:val="center"/>
        <w:rPr>
          <w:rFonts w:hint="eastAsia" w:ascii="宋体" w:hAnsi="宋体" w:eastAsia="宋体" w:cs="宋体"/>
          <w:color w:val="000000" w:themeColor="text1"/>
          <w:sz w:val="30"/>
          <w:szCs w:val="30"/>
          <w:lang w:val="zh-CN"/>
          <w14:textFill>
            <w14:solidFill>
              <w14:schemeClr w14:val="tx1"/>
            </w14:solidFill>
          </w14:textFill>
        </w:rPr>
      </w:pPr>
    </w:p>
    <w:p w14:paraId="492B773C">
      <w:pPr>
        <w:snapToGrid w:val="0"/>
        <w:spacing w:before="156" w:beforeLines="50" w:after="50"/>
        <w:jc w:val="center"/>
        <w:rPr>
          <w:rFonts w:ascii="宋体"/>
          <w:b/>
          <w:bCs/>
          <w:color w:val="000000" w:themeColor="text1"/>
          <w:sz w:val="30"/>
          <w:szCs w:val="30"/>
          <w14:textFill>
            <w14:solidFill>
              <w14:schemeClr w14:val="tx1"/>
            </w14:solidFill>
          </w14:textFill>
        </w:rPr>
      </w:pPr>
    </w:p>
    <w:p w14:paraId="6BD9AA9A">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7F4F5EC7">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p>
    <w:tbl>
      <w:tblPr>
        <w:tblStyle w:val="27"/>
        <w:tblW w:w="1019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663"/>
        <w:gridCol w:w="1260"/>
        <w:gridCol w:w="1800"/>
        <w:gridCol w:w="1800"/>
      </w:tblGrid>
      <w:tr w14:paraId="639FD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center"/>
          </w:tcPr>
          <w:p w14:paraId="3A8F4007">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14:paraId="06C9B21A">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职务</w:t>
            </w:r>
          </w:p>
        </w:tc>
        <w:tc>
          <w:tcPr>
            <w:tcW w:w="1663" w:type="dxa"/>
            <w:tcBorders>
              <w:top w:val="single" w:color="auto" w:sz="4" w:space="0"/>
              <w:left w:val="single" w:color="auto" w:sz="4" w:space="0"/>
              <w:bottom w:val="single" w:color="auto" w:sz="4" w:space="0"/>
              <w:right w:val="single" w:color="auto" w:sz="4" w:space="0"/>
            </w:tcBorders>
            <w:noWrap w:val="0"/>
            <w:vAlign w:val="center"/>
          </w:tcPr>
          <w:p w14:paraId="7444E91C">
            <w:pPr>
              <w:snapToGrid w:val="0"/>
              <w:spacing w:before="50" w:after="50"/>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身份证号码</w:t>
            </w:r>
          </w:p>
        </w:tc>
        <w:tc>
          <w:tcPr>
            <w:tcW w:w="1663" w:type="dxa"/>
            <w:tcBorders>
              <w:top w:val="single" w:color="auto" w:sz="4" w:space="0"/>
              <w:left w:val="single" w:color="auto" w:sz="4" w:space="0"/>
              <w:bottom w:val="single" w:color="auto" w:sz="4" w:space="0"/>
              <w:right w:val="single" w:color="auto" w:sz="4" w:space="0"/>
            </w:tcBorders>
            <w:noWrap w:val="0"/>
            <w:vAlign w:val="center"/>
          </w:tcPr>
          <w:p w14:paraId="69461C8B">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专业技术资格</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5509669">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证书编号</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62251D76">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参加本单位工作时间</w:t>
            </w:r>
          </w:p>
        </w:tc>
        <w:tc>
          <w:tcPr>
            <w:tcW w:w="1800" w:type="dxa"/>
            <w:tcBorders>
              <w:top w:val="single" w:color="auto" w:sz="4" w:space="0"/>
              <w:left w:val="single" w:color="auto" w:sz="4" w:space="0"/>
              <w:bottom w:val="single" w:color="auto" w:sz="4" w:space="0"/>
            </w:tcBorders>
            <w:noWrap w:val="0"/>
            <w:vAlign w:val="center"/>
          </w:tcPr>
          <w:p w14:paraId="668457A1">
            <w:pPr>
              <w:snapToGrid w:val="0"/>
              <w:spacing w:before="50" w:after="50"/>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手机号码</w:t>
            </w:r>
          </w:p>
        </w:tc>
      </w:tr>
      <w:tr w14:paraId="7672C0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55763013">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4C61CB0D">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781537B4">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768A150A">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0EE7C6BD">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7537B08E">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562F2D8B">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4695F6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6F6F0133">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9F14334">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1EA11231">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57D39778">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0511E8AB">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13E2ACE">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46EDB1B3">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282935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527D8D9C">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4AF8ACF7">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7055D007">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1865265B">
            <w:pPr>
              <w:pStyle w:val="14"/>
              <w:snapToGrid w:val="0"/>
              <w:spacing w:before="156" w:beforeLines="50" w:after="50" w:line="460" w:lineRule="exact"/>
              <w:ind w:left="5250"/>
              <w:rPr>
                <w:rFonts w:cs="Times New Roman"/>
                <w:color w:val="000000" w:themeColor="text1"/>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201A8B82">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FA3A0AA">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798147B0">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38E207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09223A22">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65A9C0F3">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637F25B5">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7F219E5B">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5F77563E">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6A3B3304">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28339013">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57690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61D4CA61">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73B4E82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5BA38D7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409EFEC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2F6C7E3D">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57D38A88">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37113FF4">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7BAFA8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678835CF">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497C5652">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6B9E40AD">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429BEAF9">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454354E9">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1CC4454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3C32C702">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11A5E8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60D11A8E">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A551111">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09FA312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46CB6D04">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1D61633A">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2CFC7C95">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38D9A927">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58101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244A7CE3">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2AC68A8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5479E2B6">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04306957">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5D5CA218">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16A62D2B">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35B10577">
            <w:pPr>
              <w:snapToGrid w:val="0"/>
              <w:spacing w:before="156" w:beforeLines="50" w:after="50" w:line="460" w:lineRule="exact"/>
              <w:rPr>
                <w:rFonts w:ascii="宋体"/>
                <w:color w:val="000000" w:themeColor="text1"/>
                <w:sz w:val="24"/>
                <w:szCs w:val="24"/>
                <w14:textFill>
                  <w14:solidFill>
                    <w14:schemeClr w14:val="tx1"/>
                  </w14:solidFill>
                </w14:textFill>
              </w:rPr>
            </w:pPr>
          </w:p>
        </w:tc>
      </w:tr>
      <w:tr w14:paraId="44E00D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noWrap w:val="0"/>
            <w:vAlign w:val="top"/>
          </w:tcPr>
          <w:p w14:paraId="3BB59D44">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9B728FD">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3A6B688D">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val="0"/>
            <w:vAlign w:val="top"/>
          </w:tcPr>
          <w:p w14:paraId="4A1330FC">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top"/>
          </w:tcPr>
          <w:p w14:paraId="02B1C83C">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noWrap w:val="0"/>
            <w:vAlign w:val="top"/>
          </w:tcPr>
          <w:p w14:paraId="3E7F3EC9">
            <w:pPr>
              <w:snapToGrid w:val="0"/>
              <w:spacing w:before="156" w:beforeLines="50" w:after="50" w:line="460" w:lineRule="exact"/>
              <w:rPr>
                <w:rFonts w:ascii="宋体"/>
                <w:color w:val="000000" w:themeColor="text1"/>
                <w:sz w:val="24"/>
                <w:szCs w:val="24"/>
                <w14:textFill>
                  <w14:solidFill>
                    <w14:schemeClr w14:val="tx1"/>
                  </w14:solidFill>
                </w14:textFill>
              </w:rPr>
            </w:pPr>
          </w:p>
        </w:tc>
        <w:tc>
          <w:tcPr>
            <w:tcW w:w="1800" w:type="dxa"/>
            <w:tcBorders>
              <w:top w:val="single" w:color="auto" w:sz="4" w:space="0"/>
              <w:left w:val="single" w:color="auto" w:sz="4" w:space="0"/>
              <w:bottom w:val="single" w:color="auto" w:sz="4" w:space="0"/>
            </w:tcBorders>
            <w:noWrap w:val="0"/>
            <w:vAlign w:val="top"/>
          </w:tcPr>
          <w:p w14:paraId="425A030F">
            <w:pPr>
              <w:snapToGrid w:val="0"/>
              <w:spacing w:before="156" w:beforeLines="50" w:after="50" w:line="460" w:lineRule="exact"/>
              <w:rPr>
                <w:rFonts w:ascii="宋体"/>
                <w:color w:val="000000" w:themeColor="text1"/>
                <w:sz w:val="24"/>
                <w:szCs w:val="24"/>
                <w14:textFill>
                  <w14:solidFill>
                    <w14:schemeClr w14:val="tx1"/>
                  </w14:solidFill>
                </w14:textFill>
              </w:rPr>
            </w:pPr>
          </w:p>
        </w:tc>
      </w:tr>
    </w:tbl>
    <w:p w14:paraId="37459872">
      <w:pPr>
        <w:spacing w:line="360" w:lineRule="auto"/>
        <w:ind w:firstLine="480" w:firstLineChars="200"/>
        <w:rPr>
          <w:rFonts w:ascii="宋体"/>
          <w:color w:val="000000" w:themeColor="text1"/>
          <w:sz w:val="24"/>
          <w:szCs w:val="24"/>
          <w14:textFill>
            <w14:solidFill>
              <w14:schemeClr w14:val="tx1"/>
            </w14:solidFill>
          </w14:textFill>
        </w:rPr>
      </w:pPr>
    </w:p>
    <w:p w14:paraId="24F78A25">
      <w:pPr>
        <w:adjustRightInd w:val="0"/>
        <w:snapToGrid w:val="0"/>
        <w:spacing w:line="360" w:lineRule="auto"/>
        <w:ind w:firstLine="480" w:firstLineChars="200"/>
        <w:jc w:val="lef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注：在填写时，如本表格不适合投标单位的实际情况，可根据本表格式自行划表填写。</w:t>
      </w:r>
      <w:r>
        <w:rPr>
          <w:rFonts w:ascii="宋体" w:hAnsi="宋体" w:cs="宋体"/>
          <w:color w:val="000000" w:themeColor="text1"/>
          <w:sz w:val="24"/>
          <w:szCs w:val="24"/>
          <w14:textFill>
            <w14:solidFill>
              <w14:schemeClr w14:val="tx1"/>
            </w14:solidFill>
          </w14:textFill>
        </w:rPr>
        <w:t xml:space="preserve"> </w:t>
      </w:r>
    </w:p>
    <w:p w14:paraId="08A25BE2">
      <w:pPr>
        <w:pStyle w:val="11"/>
        <w:rPr>
          <w:rFonts w:hint="eastAsia" w:ascii="宋体" w:hAnsi="宋体" w:eastAsia="宋体" w:cs="宋体"/>
          <w:color w:val="000000" w:themeColor="text1"/>
          <w14:textFill>
            <w14:solidFill>
              <w14:schemeClr w14:val="tx1"/>
            </w14:solidFill>
          </w14:textFill>
        </w:rPr>
      </w:pPr>
    </w:p>
    <w:p w14:paraId="3E4C2745">
      <w:pPr>
        <w:spacing w:line="360" w:lineRule="auto"/>
        <w:ind w:left="3600" w:leftChars="18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法定代表人签名（或签名章）：                       </w:t>
      </w:r>
    </w:p>
    <w:p w14:paraId="580AD6B1">
      <w:pPr>
        <w:spacing w:line="360" w:lineRule="auto"/>
        <w:ind w:left="3600" w:leftChars="18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日 期：</w:t>
      </w:r>
    </w:p>
    <w:p w14:paraId="4F432D30">
      <w:pPr>
        <w:spacing w:line="360" w:lineRule="auto"/>
        <w:ind w:left="3600" w:leftChars="18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投标人全称（公章）：</w:t>
      </w:r>
    </w:p>
    <w:p w14:paraId="65788B21">
      <w:pPr>
        <w:spacing w:line="360" w:lineRule="auto"/>
        <w:jc w:val="center"/>
        <w:rPr>
          <w:rFonts w:ascii="宋体"/>
          <w:color w:val="000000" w:themeColor="text1"/>
          <w:spacing w:val="20"/>
          <w:sz w:val="30"/>
          <w:szCs w:val="30"/>
          <w14:textFill>
            <w14:solidFill>
              <w14:schemeClr w14:val="tx1"/>
            </w14:solidFill>
          </w14:textFill>
        </w:rPr>
      </w:pPr>
    </w:p>
    <w:p w14:paraId="689EDA15">
      <w:pPr>
        <w:spacing w:line="360" w:lineRule="auto"/>
        <w:jc w:val="center"/>
        <w:rPr>
          <w:rFonts w:ascii="宋体"/>
          <w:b/>
          <w:bCs/>
          <w:color w:val="000000" w:themeColor="text1"/>
          <w:sz w:val="36"/>
          <w:szCs w:val="36"/>
          <w14:textFill>
            <w14:solidFill>
              <w14:schemeClr w14:val="tx1"/>
            </w14:solidFill>
          </w14:textFill>
        </w:rPr>
      </w:pPr>
      <w:r>
        <w:rPr>
          <w:rFonts w:hint="eastAsia" w:ascii="宋体" w:hAnsi="宋体" w:cs="宋体"/>
          <w:b/>
          <w:bCs/>
          <w:color w:val="000000" w:themeColor="text1"/>
          <w:sz w:val="36"/>
          <w:szCs w:val="36"/>
          <w14:textFill>
            <w14:solidFill>
              <w14:schemeClr w14:val="tx1"/>
            </w14:solidFill>
          </w14:textFill>
        </w:rPr>
        <w:t>报价文件</w:t>
      </w:r>
    </w:p>
    <w:p w14:paraId="31215270">
      <w:pPr>
        <w:spacing w:line="360" w:lineRule="auto"/>
        <w:jc w:val="center"/>
        <w:rPr>
          <w:rFonts w:ascii="宋体"/>
          <w:b/>
          <w:bCs/>
          <w:color w:val="000000" w:themeColor="text1"/>
          <w:sz w:val="36"/>
          <w:szCs w:val="36"/>
          <w14:textFill>
            <w14:solidFill>
              <w14:schemeClr w14:val="tx1"/>
            </w14:solidFill>
          </w14:textFill>
        </w:rPr>
      </w:pPr>
    </w:p>
    <w:p w14:paraId="66646FBF">
      <w:pPr>
        <w:spacing w:line="360" w:lineRule="auto"/>
        <w:jc w:val="center"/>
        <w:rPr>
          <w:rFonts w:ascii="宋体"/>
          <w:b/>
          <w:bCs/>
          <w:color w:val="000000" w:themeColor="text1"/>
          <w:sz w:val="36"/>
          <w:szCs w:val="36"/>
          <w14:textFill>
            <w14:solidFill>
              <w14:schemeClr w14:val="tx1"/>
            </w14:solidFill>
          </w14:textFill>
        </w:rPr>
      </w:pPr>
      <w:r>
        <w:rPr>
          <w:rFonts w:hint="eastAsia" w:ascii="宋体" w:hAnsi="宋体" w:cs="宋体"/>
          <w:b/>
          <w:bCs/>
          <w:color w:val="000000" w:themeColor="text1"/>
          <w:sz w:val="36"/>
          <w:szCs w:val="36"/>
          <w14:textFill>
            <w14:solidFill>
              <w14:schemeClr w14:val="tx1"/>
            </w14:solidFill>
          </w14:textFill>
        </w:rPr>
        <w:t>目录</w:t>
      </w:r>
    </w:p>
    <w:p w14:paraId="361FE328">
      <w:pPr>
        <w:pStyle w:val="11"/>
        <w:ind w:firstLine="723"/>
        <w:rPr>
          <w:rFonts w:hint="eastAsia" w:cs="Times New Roman"/>
          <w:b/>
          <w:bCs/>
          <w:color w:val="000000" w:themeColor="text1"/>
          <w:sz w:val="36"/>
          <w:szCs w:val="36"/>
          <w14:textFill>
            <w14:solidFill>
              <w14:schemeClr w14:val="tx1"/>
            </w14:solidFill>
          </w14:textFill>
        </w:rPr>
      </w:pPr>
    </w:p>
    <w:p w14:paraId="005A372C">
      <w:pPr>
        <w:spacing w:line="360" w:lineRule="auto"/>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）磋商函（格式见附件）；</w:t>
      </w:r>
    </w:p>
    <w:p w14:paraId="20034AF5">
      <w:pPr>
        <w:spacing w:line="360" w:lineRule="auto"/>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）报价一览表（格式见附件）；</w:t>
      </w:r>
    </w:p>
    <w:p w14:paraId="395F66C8">
      <w:pPr>
        <w:spacing w:line="360" w:lineRule="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）磋商报价明细表（格式见附件）。</w:t>
      </w:r>
    </w:p>
    <w:p w14:paraId="1BF6DD5A">
      <w:pPr>
        <w:rPr>
          <w:rFonts w:ascii="宋体"/>
          <w:color w:val="000000" w:themeColor="text1"/>
          <w14:textFill>
            <w14:solidFill>
              <w14:schemeClr w14:val="tx1"/>
            </w14:solidFill>
          </w14:textFill>
        </w:rPr>
      </w:pPr>
    </w:p>
    <w:p w14:paraId="68967F3D">
      <w:pPr>
        <w:rPr>
          <w:rFonts w:ascii="宋体"/>
          <w:color w:val="000000" w:themeColor="text1"/>
          <w14:textFill>
            <w14:solidFill>
              <w14:schemeClr w14:val="tx1"/>
            </w14:solidFill>
          </w14:textFill>
        </w:rPr>
      </w:pPr>
      <w:r>
        <w:rPr>
          <w:rFonts w:ascii="宋体"/>
          <w:color w:val="000000" w:themeColor="text1"/>
          <w14:textFill>
            <w14:solidFill>
              <w14:schemeClr w14:val="tx1"/>
            </w14:solidFill>
          </w14:textFill>
        </w:rPr>
        <w:br w:type="page"/>
      </w:r>
    </w:p>
    <w:p w14:paraId="709C342E">
      <w:pPr>
        <w:rPr>
          <w:rFonts w:ascii="宋体"/>
          <w:b/>
          <w:bCs/>
          <w:color w:val="000000" w:themeColor="text1"/>
          <w:lang w:val="zh-CN"/>
          <w14:textFill>
            <w14:solidFill>
              <w14:schemeClr w14:val="tx1"/>
            </w14:solidFill>
          </w14:textFill>
        </w:rPr>
      </w:pPr>
      <w:bookmarkStart w:id="106" w:name="_Toc3094"/>
      <w:r>
        <w:rPr>
          <w:rFonts w:hint="eastAsia" w:cs="宋体"/>
          <w:b/>
          <w:bCs/>
          <w:color w:val="000000" w:themeColor="text1"/>
          <w:sz w:val="24"/>
          <w:szCs w:val="24"/>
          <w:lang w:val="zh-CN"/>
          <w14:textFill>
            <w14:solidFill>
              <w14:schemeClr w14:val="tx1"/>
            </w14:solidFill>
          </w14:textFill>
        </w:rPr>
        <w:t>附件</w:t>
      </w:r>
      <w:bookmarkStart w:id="107" w:name="_Toc130094924"/>
      <w:bookmarkStart w:id="108" w:name="_Toc98731770"/>
      <w:r>
        <w:rPr>
          <w:rFonts w:hint="eastAsia" w:cs="宋体"/>
          <w:b/>
          <w:bCs/>
          <w:color w:val="000000" w:themeColor="text1"/>
          <w:sz w:val="24"/>
          <w:szCs w:val="24"/>
          <w14:textFill>
            <w14:solidFill>
              <w14:schemeClr w14:val="tx1"/>
            </w14:solidFill>
          </w14:textFill>
        </w:rPr>
        <w:t>十二：</w:t>
      </w:r>
    </w:p>
    <w:p w14:paraId="338AAD91">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磋</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商</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函</w:t>
      </w:r>
      <w:bookmarkEnd w:id="106"/>
      <w:bookmarkEnd w:id="107"/>
      <w:bookmarkEnd w:id="108"/>
    </w:p>
    <w:p w14:paraId="6A315A08">
      <w:pPr>
        <w:spacing w:line="360" w:lineRule="auto"/>
        <w:ind w:firstLine="480" w:firstLineChars="200"/>
        <w:rPr>
          <w:rFonts w:ascii="宋体"/>
          <w:color w:val="000000" w:themeColor="text1"/>
          <w:sz w:val="24"/>
          <w:szCs w:val="24"/>
          <w:u w:val="single"/>
          <w14:textFill>
            <w14:solidFill>
              <w14:schemeClr w14:val="tx1"/>
            </w14:solidFill>
          </w14:textFill>
        </w:rPr>
      </w:pPr>
    </w:p>
    <w:p w14:paraId="0257D441">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绍兴市上虞区气象局：</w:t>
      </w:r>
    </w:p>
    <w:p w14:paraId="7E7671F0">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中纬工程管理咨询有限公司：</w:t>
      </w:r>
    </w:p>
    <w:p w14:paraId="20FE0A77">
      <w:pPr>
        <w:spacing w:line="360" w:lineRule="auto"/>
        <w:ind w:firstLine="480"/>
        <w:jc w:val="lef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我单位认真研究了关于</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14:paraId="4CE42E9A">
      <w:pPr>
        <w:spacing w:line="360" w:lineRule="auto"/>
        <w:ind w:firstLine="480" w:firstLineChars="240"/>
        <w:rPr>
          <w:rFonts w:ascii="宋体"/>
          <w:color w:val="000000" w:themeColor="text1"/>
          <w:sz w:val="24"/>
          <w:szCs w:val="24"/>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9525" t="7620" r="8890" b="11430"/>
                <wp:wrapNone/>
                <wp:docPr id="1" name="1026"/>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wps:spPr>
                      <wps:bodyPr/>
                    </wps:wsp>
                  </a:graphicData>
                </a:graphic>
              </wp:anchor>
            </w:drawing>
          </mc:Choice>
          <mc:Fallback>
            <w:pict>
              <v:line id="1026"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pPSQa0gAAAAcBAAAPAAAAAAAAAAEAIAAAACIAAABkcnMvZG93bnJldi54bWxQ&#10;SwECFAAUAAAACACHTuJANPBo3MQBAACZAwAADgAAAAAAAAABACAAAAAhAQAAZHJzL2Uyb0RvYy54&#10;bWxQSwUGAAAAAAYABgBZAQAAVwUAAAAA&#10;">
                <v:fill on="f" focussize="0,0"/>
                <v:stroke color="#000000" joinstyle="round"/>
                <v:imagedata o:title=""/>
                <o:lock v:ext="edit" aspectratio="f"/>
              </v:line>
            </w:pict>
          </mc:Fallback>
        </mc:AlternateContent>
      </w:r>
      <w:r>
        <w:rPr>
          <w:rFonts w:ascii="宋体" w:hAnsi="宋体" w:cs="宋体"/>
          <w:color w:val="000000" w:themeColor="text1"/>
          <w:sz w:val="24"/>
          <w:szCs w:val="24"/>
          <w14:textFill>
            <w14:solidFill>
              <w14:schemeClr w14:val="tx1"/>
            </w14:solidFill>
          </w14:textFill>
        </w:rPr>
        <w:t>1</w:t>
      </w:r>
      <w:r>
        <w:rPr>
          <w:rFonts w:hint="eastAsia" w:ascii="宋体" w:hAnsi="宋体" w:cs="宋体"/>
          <w:color w:val="000000" w:themeColor="text1"/>
          <w:sz w:val="24"/>
          <w:szCs w:val="24"/>
          <w14:textFill>
            <w14:solidFill>
              <w14:schemeClr w14:val="tx1"/>
            </w14:solidFill>
          </w14:textFill>
        </w:rPr>
        <w:t>、一旦我单位中标，我单位愿意承接报价一览表中所列的技术服务，服务期：</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xml:space="preserve"> 。</w:t>
      </w:r>
    </w:p>
    <w:p w14:paraId="68DCACB3">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、我单位同意提供按照采购人的可能要求与其投标有关的一切数据和资料，完全理解采购人不一定要接受最低价者作为成交供应商。</w:t>
      </w:r>
    </w:p>
    <w:p w14:paraId="74DA384C">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、一旦我单位中标，我们保证按照磋商文件的要求，完成服务。</w:t>
      </w:r>
    </w:p>
    <w:p w14:paraId="72AEC3AD">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4</w:t>
      </w:r>
      <w:r>
        <w:rPr>
          <w:rFonts w:hint="eastAsia" w:ascii="宋体" w:hAnsi="宋体" w:cs="宋体"/>
          <w:color w:val="000000" w:themeColor="text1"/>
          <w:sz w:val="24"/>
          <w:szCs w:val="24"/>
          <w14:textFill>
            <w14:solidFill>
              <w14:schemeClr w14:val="tx1"/>
            </w14:solidFill>
          </w14:textFill>
        </w:rPr>
        <w:t>、如果我单位中标，我方将按照要求严格履行合同义务。</w:t>
      </w:r>
    </w:p>
    <w:p w14:paraId="3595BEA8">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、除非另行达成协议并生效，你方的成交通知书和本磋商函将构成约束你我双方的合同。</w:t>
      </w:r>
    </w:p>
    <w:p w14:paraId="4CC001C8">
      <w:pPr>
        <w:spacing w:line="360" w:lineRule="auto"/>
        <w:ind w:firstLine="480" w:firstLineChars="200"/>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6</w:t>
      </w:r>
      <w:r>
        <w:rPr>
          <w:rFonts w:hint="eastAsia" w:ascii="宋体" w:hAnsi="宋体" w:cs="宋体"/>
          <w:color w:val="000000" w:themeColor="text1"/>
          <w:sz w:val="24"/>
          <w:szCs w:val="24"/>
          <w14:textFill>
            <w14:solidFill>
              <w14:schemeClr w14:val="tx1"/>
            </w14:solidFill>
          </w14:textFill>
        </w:rPr>
        <w:t>、我单位承诺，一旦发生磋商文件第二部分第</w:t>
      </w:r>
      <w:r>
        <w:rPr>
          <w:rFonts w:ascii="宋体" w:hAnsi="宋体" w:cs="宋体"/>
          <w:color w:val="000000" w:themeColor="text1"/>
          <w:sz w:val="24"/>
          <w:szCs w:val="24"/>
          <w14:textFill>
            <w14:solidFill>
              <w14:schemeClr w14:val="tx1"/>
            </w14:solidFill>
          </w14:textFill>
        </w:rPr>
        <w:t>11</w:t>
      </w:r>
      <w:r>
        <w:rPr>
          <w:rFonts w:hint="eastAsia" w:ascii="宋体" w:hAnsi="宋体" w:cs="宋体"/>
          <w:color w:val="000000" w:themeColor="text1"/>
          <w:sz w:val="24"/>
          <w:szCs w:val="24"/>
          <w14:textFill>
            <w14:solidFill>
              <w14:schemeClr w14:val="tx1"/>
            </w14:solidFill>
          </w14:textFill>
        </w:rPr>
        <w:t>条规定情形之一的，承担该条款约定的责任。</w:t>
      </w:r>
    </w:p>
    <w:p w14:paraId="7D112BD2">
      <w:pPr>
        <w:pStyle w:val="13"/>
        <w:snapToGrid w:val="0"/>
        <w:spacing w:line="360" w:lineRule="auto"/>
        <w:ind w:left="480"/>
        <w:rPr>
          <w:rFonts w:hint="eastAsia"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 xml:space="preserve"> </w:t>
      </w:r>
    </w:p>
    <w:p w14:paraId="16CB1326">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地址：</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邮编：</w:t>
      </w:r>
      <w:r>
        <w:rPr>
          <w:rFonts w:ascii="宋体" w:hAnsi="宋体" w:cs="宋体"/>
          <w:color w:val="000000" w:themeColor="text1"/>
          <w:sz w:val="24"/>
          <w:szCs w:val="24"/>
          <w:u w:val="single"/>
          <w14:textFill>
            <w14:solidFill>
              <w14:schemeClr w14:val="tx1"/>
            </w14:solidFill>
          </w14:textFill>
        </w:rPr>
        <w:t xml:space="preserve">                 </w:t>
      </w:r>
    </w:p>
    <w:p w14:paraId="07AA5606">
      <w:pPr>
        <w:spacing w:line="360" w:lineRule="auto"/>
        <w:ind w:firstLine="480" w:firstLineChars="200"/>
        <w:rPr>
          <w:rFonts w:ascii="宋体"/>
          <w:color w:val="000000" w:themeColor="text1"/>
          <w:sz w:val="24"/>
          <w:szCs w:val="24"/>
          <w:u w:val="single"/>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电话：</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传真：</w:t>
      </w:r>
      <w:r>
        <w:rPr>
          <w:rFonts w:ascii="宋体" w:hAnsi="宋体" w:cs="宋体"/>
          <w:color w:val="000000" w:themeColor="text1"/>
          <w:sz w:val="24"/>
          <w:szCs w:val="24"/>
          <w:u w:val="single"/>
          <w14:textFill>
            <w14:solidFill>
              <w14:schemeClr w14:val="tx1"/>
            </w14:solidFill>
          </w14:textFill>
        </w:rPr>
        <w:t xml:space="preserve">                 </w:t>
      </w:r>
    </w:p>
    <w:p w14:paraId="2CB2E704">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供应商代表姓名：</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职务：</w:t>
      </w:r>
      <w:r>
        <w:rPr>
          <w:rFonts w:ascii="宋体" w:hAnsi="宋体" w:cs="宋体"/>
          <w:color w:val="000000" w:themeColor="text1"/>
          <w:sz w:val="24"/>
          <w:szCs w:val="24"/>
          <w:u w:val="single"/>
          <w14:textFill>
            <w14:solidFill>
              <w14:schemeClr w14:val="tx1"/>
            </w14:solidFill>
          </w14:textFill>
        </w:rPr>
        <w:t xml:space="preserve">                 </w:t>
      </w:r>
    </w:p>
    <w:p w14:paraId="66555F30">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供应商名称</w:t>
      </w:r>
      <w:r>
        <w:rPr>
          <w:rFonts w:hint="eastAsia" w:ascii="宋体" w:hAnsi="宋体" w:cs="宋体"/>
          <w:color w:val="000000" w:themeColor="text1"/>
          <w:sz w:val="24"/>
          <w:szCs w:val="24"/>
          <w:u w:val="single"/>
          <w14:textFill>
            <w14:solidFill>
              <w14:schemeClr w14:val="tx1"/>
            </w14:solidFill>
          </w14:textFill>
        </w:rPr>
        <w:t>：</w:t>
      </w:r>
      <w:r>
        <w:rPr>
          <w:rFonts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u w:val="single"/>
          <w14:textFill>
            <w14:solidFill>
              <w14:schemeClr w14:val="tx1"/>
            </w14:solidFill>
          </w14:textFill>
        </w:rPr>
        <w:t>　　　</w:t>
      </w:r>
    </w:p>
    <w:p w14:paraId="7431B35D">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（公章）：</w:t>
      </w:r>
      <w:r>
        <w:rPr>
          <w:rFonts w:ascii="宋体" w:hAnsi="宋体" w:cs="宋体"/>
          <w:color w:val="000000" w:themeColor="text1"/>
          <w:sz w:val="24"/>
          <w:szCs w:val="24"/>
          <w14:textFill>
            <w14:solidFill>
              <w14:schemeClr w14:val="tx1"/>
            </w14:solidFill>
          </w14:textFill>
        </w:rPr>
        <w:t xml:space="preserve">                   </w:t>
      </w:r>
    </w:p>
    <w:p w14:paraId="31BAEB73">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6AE76D92">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4B636F3A">
      <w:pPr>
        <w:spacing w:line="360" w:lineRule="auto"/>
        <w:ind w:firstLine="5280" w:firstLineChars="2200"/>
        <w:rPr>
          <w:rFonts w:ascii="宋体"/>
          <w:color w:val="000000" w:themeColor="text1"/>
          <w:sz w:val="24"/>
          <w:szCs w:val="24"/>
          <w14:textFill>
            <w14:solidFill>
              <w14:schemeClr w14:val="tx1"/>
            </w14:solidFill>
          </w14:textFill>
        </w:rPr>
      </w:pPr>
    </w:p>
    <w:p w14:paraId="40AEE135">
      <w:pPr>
        <w:rPr>
          <w:color w:val="000000" w:themeColor="text1"/>
          <w:sz w:val="24"/>
          <w:szCs w:val="24"/>
          <w:lang w:val="zh-CN"/>
          <w14:textFill>
            <w14:solidFill>
              <w14:schemeClr w14:val="tx1"/>
            </w14:solidFill>
          </w14:textFill>
        </w:rPr>
      </w:pPr>
      <w:bookmarkStart w:id="109" w:name="_Toc12011"/>
      <w:r>
        <w:rPr>
          <w:color w:val="000000" w:themeColor="text1"/>
          <w:sz w:val="24"/>
          <w:szCs w:val="24"/>
          <w:lang w:val="zh-CN"/>
          <w14:textFill>
            <w14:solidFill>
              <w14:schemeClr w14:val="tx1"/>
            </w14:solidFill>
          </w14:textFill>
        </w:rPr>
        <w:br w:type="page"/>
      </w:r>
    </w:p>
    <w:p w14:paraId="10027FA1">
      <w:pPr>
        <w:rPr>
          <w:b/>
          <w:bCs/>
          <w:color w:val="000000" w:themeColor="text1"/>
          <w:sz w:val="24"/>
          <w:szCs w:val="24"/>
          <w:lang w:val="zh-CN"/>
          <w14:textFill>
            <w14:solidFill>
              <w14:schemeClr w14:val="tx1"/>
            </w14:solidFill>
          </w14:textFill>
        </w:rPr>
      </w:pPr>
      <w:r>
        <w:rPr>
          <w:rFonts w:hint="eastAsia" w:cs="宋体"/>
          <w:b/>
          <w:bCs/>
          <w:color w:val="000000" w:themeColor="text1"/>
          <w:sz w:val="24"/>
          <w:szCs w:val="24"/>
          <w:lang w:val="zh-CN"/>
          <w14:textFill>
            <w14:solidFill>
              <w14:schemeClr w14:val="tx1"/>
            </w14:solidFill>
          </w14:textFill>
        </w:rPr>
        <w:t>附件</w:t>
      </w:r>
      <w:bookmarkStart w:id="110" w:name="_Toc98731771"/>
      <w:bookmarkStart w:id="111" w:name="_Toc130094925"/>
      <w:r>
        <w:rPr>
          <w:rFonts w:hint="eastAsia" w:cs="宋体"/>
          <w:b/>
          <w:bCs/>
          <w:color w:val="000000" w:themeColor="text1"/>
          <w:sz w:val="24"/>
          <w:szCs w:val="24"/>
          <w14:textFill>
            <w14:solidFill>
              <w14:schemeClr w14:val="tx1"/>
            </w14:solidFill>
          </w14:textFill>
        </w:rPr>
        <w:t>十三：</w:t>
      </w:r>
    </w:p>
    <w:p w14:paraId="4AE70101">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报价一览表</w:t>
      </w:r>
      <w:bookmarkEnd w:id="109"/>
      <w:bookmarkEnd w:id="110"/>
      <w:bookmarkEnd w:id="111"/>
    </w:p>
    <w:p w14:paraId="1B1E6213">
      <w:pPr>
        <w:pStyle w:val="13"/>
        <w:spacing w:line="360" w:lineRule="auto"/>
        <w:rPr>
          <w:rFonts w:hint="eastAsia" w:hAnsi="宋体" w:cs="Times New Roman"/>
          <w:color w:val="000000" w:themeColor="text1"/>
          <w:sz w:val="24"/>
          <w:szCs w:val="24"/>
          <w14:textFill>
            <w14:solidFill>
              <w14:schemeClr w14:val="tx1"/>
            </w14:solidFill>
          </w14:textFill>
        </w:rPr>
      </w:pPr>
    </w:p>
    <w:p w14:paraId="77A53D27">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19280199">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r>
        <w:rPr>
          <w:rFonts w:ascii="宋体" w:hAnsi="宋体" w:cs="宋体"/>
          <w:color w:val="000000" w:themeColor="text1"/>
          <w:sz w:val="24"/>
          <w:szCs w:val="24"/>
          <w14:textFill>
            <w14:solidFill>
              <w14:schemeClr w14:val="tx1"/>
            </w14:solidFill>
          </w14:textFill>
        </w:rPr>
        <w:t xml:space="preserve">               </w:t>
      </w:r>
    </w:p>
    <w:tbl>
      <w:tblPr>
        <w:tblStyle w:val="27"/>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14:paraId="10C63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9" w:hRule="atLeast"/>
          <w:jc w:val="center"/>
        </w:trPr>
        <w:tc>
          <w:tcPr>
            <w:tcW w:w="2089" w:type="dxa"/>
            <w:vAlign w:val="center"/>
          </w:tcPr>
          <w:p w14:paraId="2ED20AF2">
            <w:pPr>
              <w:pStyle w:val="13"/>
              <w:spacing w:line="360" w:lineRule="auto"/>
              <w:jc w:val="center"/>
              <w:rPr>
                <w:rFonts w:hint="eastAsia" w:hAnsi="宋体" w:cs="Times New Roman"/>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投标总价</w:t>
            </w:r>
          </w:p>
        </w:tc>
        <w:tc>
          <w:tcPr>
            <w:tcW w:w="6707" w:type="dxa"/>
            <w:vAlign w:val="center"/>
          </w:tcPr>
          <w:p w14:paraId="4AFAC0E0">
            <w:pPr>
              <w:pStyle w:val="13"/>
              <w:spacing w:line="360" w:lineRule="auto"/>
              <w:jc w:val="center"/>
              <w:rPr>
                <w:rFonts w:hint="eastAsia" w:hAnsi="宋体" w:cs="Times New Roman"/>
                <w:b/>
                <w:bCs/>
                <w:color w:val="000000" w:themeColor="text1"/>
                <w:sz w:val="24"/>
                <w:szCs w:val="24"/>
                <w14:textFill>
                  <w14:solidFill>
                    <w14:schemeClr w14:val="tx1"/>
                  </w14:solidFill>
                </w14:textFill>
              </w:rPr>
            </w:pPr>
            <w:r>
              <w:rPr>
                <w:rFonts w:hint="eastAsia" w:hAnsi="宋体"/>
                <w:b/>
                <w:bCs/>
                <w:color w:val="000000" w:themeColor="text1"/>
                <w:sz w:val="24"/>
                <w:szCs w:val="24"/>
                <w14:textFill>
                  <w14:solidFill>
                    <w14:schemeClr w14:val="tx1"/>
                  </w14:solidFill>
                </w14:textFill>
              </w:rPr>
              <w:t>大写：</w:t>
            </w:r>
            <w:r>
              <w:rPr>
                <w:rFonts w:hint="eastAsia" w:hAnsi="宋体"/>
                <w:b/>
                <w:bCs/>
                <w:color w:val="000000" w:themeColor="text1"/>
                <w:sz w:val="24"/>
                <w:szCs w:val="24"/>
                <w:u w:val="single"/>
                <w14:textFill>
                  <w14:solidFill>
                    <w14:schemeClr w14:val="tx1"/>
                  </w14:solidFill>
                </w14:textFill>
              </w:rPr>
              <w:t>　　　　</w:t>
            </w:r>
            <w:r>
              <w:rPr>
                <w:rFonts w:hAnsi="宋体"/>
                <w:b/>
                <w:bCs/>
                <w:color w:val="000000" w:themeColor="text1"/>
                <w:sz w:val="24"/>
                <w:szCs w:val="24"/>
                <w:u w:val="single"/>
                <w14:textFill>
                  <w14:solidFill>
                    <w14:schemeClr w14:val="tx1"/>
                  </w14:solidFill>
                </w14:textFill>
              </w:rPr>
              <w:t xml:space="preserve">            </w:t>
            </w:r>
            <w:r>
              <w:rPr>
                <w:rFonts w:hint="eastAsia" w:hAnsi="宋体"/>
                <w:b/>
                <w:bCs/>
                <w:color w:val="000000" w:themeColor="text1"/>
                <w:sz w:val="24"/>
                <w:szCs w:val="24"/>
                <w14:textFill>
                  <w14:solidFill>
                    <w14:schemeClr w14:val="tx1"/>
                  </w14:solidFill>
                </w14:textFill>
              </w:rPr>
              <w:t>元（小写：</w:t>
            </w:r>
            <w:r>
              <w:rPr>
                <w:rFonts w:hint="eastAsia" w:hAnsi="宋体"/>
                <w:b/>
                <w:bCs/>
                <w:color w:val="000000" w:themeColor="text1"/>
                <w:sz w:val="24"/>
                <w:szCs w:val="24"/>
                <w:u w:val="single"/>
                <w14:textFill>
                  <w14:solidFill>
                    <w14:schemeClr w14:val="tx1"/>
                  </w14:solidFill>
                </w14:textFill>
              </w:rPr>
              <w:t>　　　　</w:t>
            </w:r>
            <w:r>
              <w:rPr>
                <w:rFonts w:hAnsi="宋体"/>
                <w:b/>
                <w:bCs/>
                <w:color w:val="000000" w:themeColor="text1"/>
                <w:sz w:val="24"/>
                <w:szCs w:val="24"/>
                <w:u w:val="single"/>
                <w14:textFill>
                  <w14:solidFill>
                    <w14:schemeClr w14:val="tx1"/>
                  </w14:solidFill>
                </w14:textFill>
              </w:rPr>
              <w:t xml:space="preserve"> </w:t>
            </w:r>
            <w:r>
              <w:rPr>
                <w:rFonts w:hint="eastAsia" w:hAnsi="宋体"/>
                <w:b/>
                <w:bCs/>
                <w:color w:val="000000" w:themeColor="text1"/>
                <w:sz w:val="24"/>
                <w:szCs w:val="24"/>
                <w14:textFill>
                  <w14:solidFill>
                    <w14:schemeClr w14:val="tx1"/>
                  </w14:solidFill>
                </w14:textFill>
              </w:rPr>
              <w:t>）</w:t>
            </w:r>
          </w:p>
        </w:tc>
      </w:tr>
      <w:tr w14:paraId="7C6D7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vAlign w:val="center"/>
          </w:tcPr>
          <w:p w14:paraId="2065CCC5">
            <w:pPr>
              <w:pStyle w:val="13"/>
              <w:spacing w:line="360" w:lineRule="auto"/>
              <w:ind w:firstLine="480" w:firstLineChars="200"/>
              <w:rPr>
                <w:rFonts w:hint="eastAsia"/>
                <w:color w:val="000000" w:themeColor="text1"/>
                <w14:textFill>
                  <w14:solidFill>
                    <w14:schemeClr w14:val="tx1"/>
                  </w14:solidFill>
                </w14:textFill>
              </w:rPr>
            </w:pPr>
            <w:r>
              <w:rPr>
                <w:rFonts w:hint="eastAsia" w:hAnsi="宋体" w:cs="Times New Roman"/>
                <w:color w:val="000000" w:themeColor="text1"/>
                <w:sz w:val="24"/>
                <w:szCs w:val="24"/>
                <w14:textFill>
                  <w14:solidFill>
                    <w14:schemeClr w14:val="tx1"/>
                  </w14:solidFill>
                </w14:textFill>
              </w:rPr>
              <w:t>投标报价包含项目所需全部服务，不得缺漏，是履行合同的最终价格，包括人工成本费、保险、调研费、检测分析费、设施设备、工具、编制费、刊登费、差旅费、管理费、利润、税费、招标代理费等项目所需一切费用。凡投标人在报价中未列明但又为本次采购所必备的项目或遗漏项目，采购方将一律视为已包括在合同价中，在合同执行中将不予考虑。</w:t>
            </w:r>
          </w:p>
        </w:tc>
      </w:tr>
    </w:tbl>
    <w:p w14:paraId="0E3E20CD">
      <w:pPr>
        <w:pStyle w:val="13"/>
        <w:spacing w:line="360" w:lineRule="auto"/>
        <w:rPr>
          <w:rFonts w:hint="eastAsia" w:hAnsi="宋体" w:cs="Times New Roman"/>
          <w:color w:val="000000" w:themeColor="text1"/>
          <w:sz w:val="24"/>
          <w:szCs w:val="24"/>
          <w14:textFill>
            <w14:solidFill>
              <w14:schemeClr w14:val="tx1"/>
            </w14:solidFill>
          </w14:textFill>
        </w:rPr>
      </w:pPr>
    </w:p>
    <w:p w14:paraId="007D226E">
      <w:pPr>
        <w:pStyle w:val="13"/>
        <w:spacing w:line="360" w:lineRule="auto"/>
        <w:rPr>
          <w:rFonts w:hint="eastAsia" w:hAnsi="宋体" w:cs="Times New Roman"/>
          <w:color w:val="000000" w:themeColor="text1"/>
          <w:sz w:val="24"/>
          <w:szCs w:val="24"/>
          <w14:textFill>
            <w14:solidFill>
              <w14:schemeClr w14:val="tx1"/>
            </w14:solidFill>
          </w14:textFill>
        </w:rPr>
      </w:pPr>
    </w:p>
    <w:p w14:paraId="5B9E9426">
      <w:pPr>
        <w:pStyle w:val="13"/>
        <w:spacing w:line="360" w:lineRule="auto"/>
        <w:rPr>
          <w:rFonts w:hint="eastAsia" w:hAnsi="宋体" w:cs="Times New Roman"/>
          <w:color w:val="000000" w:themeColor="text1"/>
          <w:sz w:val="24"/>
          <w:szCs w:val="24"/>
          <w14:textFill>
            <w14:solidFill>
              <w14:schemeClr w14:val="tx1"/>
            </w14:solidFill>
          </w14:textFill>
        </w:rPr>
      </w:pPr>
    </w:p>
    <w:p w14:paraId="6DA66CDD">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24AB57A4">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5C4E0412">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p>
    <w:p w14:paraId="37FF0A0B">
      <w:pPr>
        <w:snapToGrid w:val="0"/>
        <w:spacing w:line="360" w:lineRule="auto"/>
        <w:ind w:firstLine="435"/>
        <w:rPr>
          <w:rFonts w:ascii="宋体"/>
          <w:color w:val="000000" w:themeColor="text1"/>
          <w14:textFill>
            <w14:solidFill>
              <w14:schemeClr w14:val="tx1"/>
            </w14:solidFill>
          </w14:textFill>
        </w:rPr>
      </w:pPr>
    </w:p>
    <w:p w14:paraId="4E312A3A">
      <w:pPr>
        <w:snapToGrid w:val="0"/>
        <w:spacing w:line="360" w:lineRule="auto"/>
        <w:ind w:firstLine="435"/>
        <w:rPr>
          <w:rFonts w:ascii="宋体"/>
          <w:color w:val="000000" w:themeColor="text1"/>
          <w14:textFill>
            <w14:solidFill>
              <w14:schemeClr w14:val="tx1"/>
            </w14:solidFill>
          </w14:textFill>
        </w:rPr>
      </w:pPr>
    </w:p>
    <w:p w14:paraId="4F2DD1EE">
      <w:pPr>
        <w:snapToGrid w:val="0"/>
        <w:spacing w:line="360" w:lineRule="auto"/>
        <w:ind w:firstLine="435"/>
        <w:rPr>
          <w:rFonts w:ascii="宋体"/>
          <w:color w:val="000000" w:themeColor="text1"/>
          <w14:textFill>
            <w14:solidFill>
              <w14:schemeClr w14:val="tx1"/>
            </w14:solidFill>
          </w14:textFill>
        </w:rPr>
      </w:pPr>
    </w:p>
    <w:p w14:paraId="2BDB6FA7">
      <w:pPr>
        <w:snapToGrid w:val="0"/>
        <w:spacing w:line="360" w:lineRule="auto"/>
        <w:ind w:firstLine="435"/>
        <w:rPr>
          <w:rFonts w:ascii="宋体"/>
          <w:color w:val="000000" w:themeColor="text1"/>
          <w14:textFill>
            <w14:solidFill>
              <w14:schemeClr w14:val="tx1"/>
            </w14:solidFill>
          </w14:textFill>
        </w:rPr>
      </w:pPr>
    </w:p>
    <w:p w14:paraId="1C572B7E">
      <w:pPr>
        <w:snapToGrid w:val="0"/>
        <w:spacing w:line="360" w:lineRule="auto"/>
        <w:ind w:firstLine="435"/>
        <w:rPr>
          <w:rFonts w:ascii="宋体"/>
          <w:color w:val="000000" w:themeColor="text1"/>
          <w14:textFill>
            <w14:solidFill>
              <w14:schemeClr w14:val="tx1"/>
            </w14:solidFill>
          </w14:textFill>
        </w:rPr>
      </w:pPr>
    </w:p>
    <w:p w14:paraId="572C41BC">
      <w:pPr>
        <w:spacing w:line="360" w:lineRule="auto"/>
        <w:jc w:val="left"/>
        <w:rPr>
          <w:rFonts w:ascii="宋体"/>
          <w:b/>
          <w:bCs/>
          <w:color w:val="000000" w:themeColor="text1"/>
          <w:sz w:val="24"/>
          <w:szCs w:val="24"/>
          <w:lang w:val="zh-CN"/>
          <w14:textFill>
            <w14:solidFill>
              <w14:schemeClr w14:val="tx1"/>
            </w14:solidFill>
          </w14:textFill>
        </w:rPr>
      </w:pPr>
      <w:r>
        <w:rPr>
          <w:rFonts w:ascii="宋体"/>
          <w:color w:val="000000" w:themeColor="text1"/>
          <w14:textFill>
            <w14:solidFill>
              <w14:schemeClr w14:val="tx1"/>
            </w14:solidFill>
          </w14:textFill>
        </w:rPr>
        <w:br w:type="page"/>
      </w:r>
      <w:bookmarkStart w:id="112" w:name="_Toc7196"/>
      <w:r>
        <w:rPr>
          <w:rFonts w:hint="eastAsia" w:ascii="宋体" w:hAnsi="宋体" w:cs="宋体"/>
          <w:b/>
          <w:bCs/>
          <w:color w:val="000000" w:themeColor="text1"/>
          <w:sz w:val="24"/>
          <w:szCs w:val="24"/>
          <w:lang w:val="zh-CN"/>
          <w14:textFill>
            <w14:solidFill>
              <w14:schemeClr w14:val="tx1"/>
            </w14:solidFill>
          </w14:textFill>
        </w:rPr>
        <w:t>附件十</w:t>
      </w:r>
      <w:r>
        <w:rPr>
          <w:rFonts w:hint="eastAsia" w:hAnsi="宋体" w:cs="宋体"/>
          <w:b/>
          <w:bCs/>
          <w:color w:val="000000" w:themeColor="text1"/>
          <w:sz w:val="24"/>
          <w:szCs w:val="24"/>
          <w:lang w:val="zh-CN"/>
          <w14:textFill>
            <w14:solidFill>
              <w14:schemeClr w14:val="tx1"/>
            </w14:solidFill>
          </w14:textFill>
        </w:rPr>
        <w:t>四</w:t>
      </w:r>
      <w:r>
        <w:rPr>
          <w:rFonts w:hint="eastAsia" w:ascii="宋体" w:hAnsi="宋体" w:cs="宋体"/>
          <w:b/>
          <w:bCs/>
          <w:color w:val="000000" w:themeColor="text1"/>
          <w:sz w:val="24"/>
          <w:szCs w:val="24"/>
          <w:lang w:val="zh-CN"/>
          <w14:textFill>
            <w14:solidFill>
              <w14:schemeClr w14:val="tx1"/>
            </w14:solidFill>
          </w14:textFill>
        </w:rPr>
        <w:t>：</w:t>
      </w:r>
    </w:p>
    <w:p w14:paraId="57E2B5A4">
      <w:pPr>
        <w:spacing w:line="360" w:lineRule="auto"/>
        <w:jc w:val="center"/>
        <w:rPr>
          <w:rFonts w:ascii="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磋商报价明细表</w:t>
      </w:r>
    </w:p>
    <w:p w14:paraId="2F5F4772">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项目名称：</w:t>
      </w:r>
    </w:p>
    <w:p w14:paraId="7544A558">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采购编号：</w:t>
      </w:r>
      <w:r>
        <w:rPr>
          <w:rFonts w:ascii="宋体" w:hAnsi="宋体" w:cs="宋体"/>
          <w:color w:val="000000" w:themeColor="text1"/>
          <w:sz w:val="24"/>
          <w:szCs w:val="24"/>
          <w14:textFill>
            <w14:solidFill>
              <w14:schemeClr w14:val="tx1"/>
            </w14:solidFill>
          </w14:textFill>
        </w:rPr>
        <w:t xml:space="preserve">               </w:t>
      </w:r>
    </w:p>
    <w:tbl>
      <w:tblPr>
        <w:tblStyle w:val="27"/>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
        <w:gridCol w:w="2490"/>
        <w:gridCol w:w="915"/>
        <w:gridCol w:w="1875"/>
        <w:gridCol w:w="495"/>
        <w:gridCol w:w="498"/>
        <w:gridCol w:w="1147"/>
        <w:gridCol w:w="1123"/>
      </w:tblGrid>
      <w:tr w14:paraId="1F9E4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89" w:type="dxa"/>
            <w:vMerge w:val="restart"/>
            <w:vAlign w:val="center"/>
          </w:tcPr>
          <w:p w14:paraId="6588255D">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序</w:t>
            </w:r>
          </w:p>
          <w:p w14:paraId="330E5F7D">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号</w:t>
            </w:r>
          </w:p>
        </w:tc>
        <w:tc>
          <w:tcPr>
            <w:tcW w:w="2490" w:type="dxa"/>
            <w:vMerge w:val="restart"/>
            <w:vAlign w:val="center"/>
          </w:tcPr>
          <w:p w14:paraId="49721E2B">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名称</w:t>
            </w:r>
          </w:p>
        </w:tc>
        <w:tc>
          <w:tcPr>
            <w:tcW w:w="915" w:type="dxa"/>
            <w:vMerge w:val="restart"/>
            <w:vAlign w:val="center"/>
          </w:tcPr>
          <w:p w14:paraId="39FC36B5">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内容</w:t>
            </w:r>
          </w:p>
        </w:tc>
        <w:tc>
          <w:tcPr>
            <w:tcW w:w="1875" w:type="dxa"/>
            <w:vMerge w:val="restart"/>
            <w:vAlign w:val="center"/>
          </w:tcPr>
          <w:p w14:paraId="1BCB847D">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其他</w:t>
            </w:r>
          </w:p>
        </w:tc>
        <w:tc>
          <w:tcPr>
            <w:tcW w:w="495" w:type="dxa"/>
            <w:vMerge w:val="restart"/>
            <w:vAlign w:val="center"/>
          </w:tcPr>
          <w:p w14:paraId="69A674DE">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单</w:t>
            </w:r>
          </w:p>
          <w:p w14:paraId="31DE511A">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位</w:t>
            </w:r>
          </w:p>
        </w:tc>
        <w:tc>
          <w:tcPr>
            <w:tcW w:w="498" w:type="dxa"/>
            <w:vMerge w:val="restart"/>
            <w:vAlign w:val="center"/>
          </w:tcPr>
          <w:p w14:paraId="38DA0DDD">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数量</w:t>
            </w:r>
          </w:p>
        </w:tc>
        <w:tc>
          <w:tcPr>
            <w:tcW w:w="2270" w:type="dxa"/>
            <w:gridSpan w:val="2"/>
            <w:vAlign w:val="center"/>
          </w:tcPr>
          <w:p w14:paraId="2052B2B3">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投标报价（元）</w:t>
            </w:r>
          </w:p>
        </w:tc>
      </w:tr>
      <w:tr w14:paraId="657E3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89" w:type="dxa"/>
            <w:vMerge w:val="continue"/>
            <w:vAlign w:val="center"/>
          </w:tcPr>
          <w:p w14:paraId="162CEEB5">
            <w:pPr>
              <w:pStyle w:val="13"/>
              <w:spacing w:line="360" w:lineRule="auto"/>
              <w:jc w:val="center"/>
              <w:rPr>
                <w:rFonts w:hint="eastAsia" w:hAnsi="宋体"/>
                <w:color w:val="000000" w:themeColor="text1"/>
                <w:sz w:val="22"/>
                <w:szCs w:val="22"/>
                <w14:textFill>
                  <w14:solidFill>
                    <w14:schemeClr w14:val="tx1"/>
                  </w14:solidFill>
                </w14:textFill>
              </w:rPr>
            </w:pPr>
          </w:p>
        </w:tc>
        <w:tc>
          <w:tcPr>
            <w:tcW w:w="2490" w:type="dxa"/>
            <w:vMerge w:val="continue"/>
            <w:vAlign w:val="center"/>
          </w:tcPr>
          <w:p w14:paraId="54CE457B">
            <w:pPr>
              <w:pStyle w:val="13"/>
              <w:spacing w:line="360" w:lineRule="auto"/>
              <w:jc w:val="center"/>
              <w:rPr>
                <w:rFonts w:hint="eastAsia" w:hAnsi="宋体"/>
                <w:color w:val="000000" w:themeColor="text1"/>
                <w:sz w:val="22"/>
                <w:szCs w:val="22"/>
                <w14:textFill>
                  <w14:solidFill>
                    <w14:schemeClr w14:val="tx1"/>
                  </w14:solidFill>
                </w14:textFill>
              </w:rPr>
            </w:pPr>
          </w:p>
        </w:tc>
        <w:tc>
          <w:tcPr>
            <w:tcW w:w="915" w:type="dxa"/>
            <w:vMerge w:val="continue"/>
            <w:vAlign w:val="center"/>
          </w:tcPr>
          <w:p w14:paraId="084C7493">
            <w:pPr>
              <w:pStyle w:val="13"/>
              <w:spacing w:line="360" w:lineRule="auto"/>
              <w:jc w:val="center"/>
              <w:rPr>
                <w:rFonts w:hint="eastAsia" w:hAnsi="宋体"/>
                <w:color w:val="000000" w:themeColor="text1"/>
                <w:sz w:val="22"/>
                <w:szCs w:val="22"/>
                <w14:textFill>
                  <w14:solidFill>
                    <w14:schemeClr w14:val="tx1"/>
                  </w14:solidFill>
                </w14:textFill>
              </w:rPr>
            </w:pPr>
          </w:p>
        </w:tc>
        <w:tc>
          <w:tcPr>
            <w:tcW w:w="1875" w:type="dxa"/>
            <w:vMerge w:val="continue"/>
            <w:vAlign w:val="center"/>
          </w:tcPr>
          <w:p w14:paraId="7820ECA9">
            <w:pPr>
              <w:pStyle w:val="13"/>
              <w:spacing w:line="360" w:lineRule="auto"/>
              <w:jc w:val="center"/>
              <w:rPr>
                <w:rFonts w:hint="eastAsia" w:hAnsi="宋体"/>
                <w:color w:val="000000" w:themeColor="text1"/>
                <w:sz w:val="22"/>
                <w:szCs w:val="22"/>
                <w14:textFill>
                  <w14:solidFill>
                    <w14:schemeClr w14:val="tx1"/>
                  </w14:solidFill>
                </w14:textFill>
              </w:rPr>
            </w:pPr>
          </w:p>
        </w:tc>
        <w:tc>
          <w:tcPr>
            <w:tcW w:w="495" w:type="dxa"/>
            <w:vMerge w:val="continue"/>
            <w:vAlign w:val="center"/>
          </w:tcPr>
          <w:p w14:paraId="2224179E">
            <w:pPr>
              <w:pStyle w:val="13"/>
              <w:spacing w:line="360" w:lineRule="auto"/>
              <w:jc w:val="center"/>
              <w:rPr>
                <w:rFonts w:hint="eastAsia" w:hAnsi="宋体"/>
                <w:color w:val="000000" w:themeColor="text1"/>
                <w:sz w:val="22"/>
                <w:szCs w:val="22"/>
                <w14:textFill>
                  <w14:solidFill>
                    <w14:schemeClr w14:val="tx1"/>
                  </w14:solidFill>
                </w14:textFill>
              </w:rPr>
            </w:pPr>
          </w:p>
        </w:tc>
        <w:tc>
          <w:tcPr>
            <w:tcW w:w="498" w:type="dxa"/>
            <w:vMerge w:val="continue"/>
            <w:vAlign w:val="center"/>
          </w:tcPr>
          <w:p w14:paraId="5DAAC490">
            <w:pPr>
              <w:pStyle w:val="13"/>
              <w:spacing w:line="360" w:lineRule="auto"/>
              <w:jc w:val="center"/>
              <w:rPr>
                <w:rFonts w:hint="eastAsia" w:hAnsi="宋体"/>
                <w:color w:val="000000" w:themeColor="text1"/>
                <w:sz w:val="22"/>
                <w:szCs w:val="22"/>
                <w14:textFill>
                  <w14:solidFill>
                    <w14:schemeClr w14:val="tx1"/>
                  </w14:solidFill>
                </w14:textFill>
              </w:rPr>
            </w:pPr>
          </w:p>
        </w:tc>
        <w:tc>
          <w:tcPr>
            <w:tcW w:w="1147" w:type="dxa"/>
            <w:vAlign w:val="center"/>
          </w:tcPr>
          <w:p w14:paraId="7B43C30B">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单价</w:t>
            </w:r>
          </w:p>
        </w:tc>
        <w:tc>
          <w:tcPr>
            <w:tcW w:w="1123" w:type="dxa"/>
            <w:vAlign w:val="center"/>
          </w:tcPr>
          <w:p w14:paraId="719E6B10">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小计</w:t>
            </w:r>
          </w:p>
        </w:tc>
      </w:tr>
      <w:tr w14:paraId="60729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89" w:type="dxa"/>
            <w:vAlign w:val="center"/>
          </w:tcPr>
          <w:p w14:paraId="37334753">
            <w:pPr>
              <w:pStyle w:val="13"/>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1</w:t>
            </w:r>
          </w:p>
        </w:tc>
        <w:tc>
          <w:tcPr>
            <w:tcW w:w="2490" w:type="dxa"/>
            <w:vAlign w:val="center"/>
          </w:tcPr>
          <w:p w14:paraId="4543FE4A">
            <w:pPr>
              <w:pStyle w:val="13"/>
              <w:rPr>
                <w:rFonts w:hint="eastAsia" w:hAnsi="宋体"/>
                <w:color w:val="000000" w:themeColor="text1"/>
                <w:sz w:val="22"/>
                <w:szCs w:val="22"/>
                <w14:textFill>
                  <w14:solidFill>
                    <w14:schemeClr w14:val="tx1"/>
                  </w14:solidFill>
                </w14:textFill>
              </w:rPr>
            </w:pPr>
          </w:p>
        </w:tc>
        <w:tc>
          <w:tcPr>
            <w:tcW w:w="915" w:type="dxa"/>
            <w:vAlign w:val="center"/>
          </w:tcPr>
          <w:p w14:paraId="5C7F2D21">
            <w:pPr>
              <w:pStyle w:val="13"/>
              <w:spacing w:line="360" w:lineRule="auto"/>
              <w:rPr>
                <w:rFonts w:hint="eastAsia" w:hAnsi="宋体"/>
                <w:b/>
                <w:bCs/>
                <w:color w:val="000000" w:themeColor="text1"/>
                <w:sz w:val="22"/>
                <w:szCs w:val="22"/>
                <w14:textFill>
                  <w14:solidFill>
                    <w14:schemeClr w14:val="tx1"/>
                  </w14:solidFill>
                </w14:textFill>
              </w:rPr>
            </w:pPr>
          </w:p>
        </w:tc>
        <w:tc>
          <w:tcPr>
            <w:tcW w:w="1875" w:type="dxa"/>
            <w:vAlign w:val="center"/>
          </w:tcPr>
          <w:p w14:paraId="15F3396F">
            <w:pPr>
              <w:pStyle w:val="13"/>
              <w:spacing w:line="360" w:lineRule="auto"/>
              <w:rPr>
                <w:rFonts w:hint="eastAsia" w:hAnsi="宋体"/>
                <w:b/>
                <w:bCs/>
                <w:color w:val="000000" w:themeColor="text1"/>
                <w:sz w:val="22"/>
                <w:szCs w:val="22"/>
                <w14:textFill>
                  <w14:solidFill>
                    <w14:schemeClr w14:val="tx1"/>
                  </w14:solidFill>
                </w14:textFill>
              </w:rPr>
            </w:pPr>
          </w:p>
        </w:tc>
        <w:tc>
          <w:tcPr>
            <w:tcW w:w="495" w:type="dxa"/>
            <w:vAlign w:val="center"/>
          </w:tcPr>
          <w:p w14:paraId="2EEF2720">
            <w:pPr>
              <w:pStyle w:val="13"/>
              <w:spacing w:line="360" w:lineRule="auto"/>
              <w:rPr>
                <w:rFonts w:hint="eastAsia" w:hAnsi="宋体"/>
                <w:b/>
                <w:bCs/>
                <w:color w:val="000000" w:themeColor="text1"/>
                <w:sz w:val="22"/>
                <w:szCs w:val="22"/>
                <w14:textFill>
                  <w14:solidFill>
                    <w14:schemeClr w14:val="tx1"/>
                  </w14:solidFill>
                </w14:textFill>
              </w:rPr>
            </w:pPr>
          </w:p>
        </w:tc>
        <w:tc>
          <w:tcPr>
            <w:tcW w:w="498" w:type="dxa"/>
            <w:vAlign w:val="center"/>
          </w:tcPr>
          <w:p w14:paraId="27BCBB43">
            <w:pPr>
              <w:pStyle w:val="13"/>
              <w:spacing w:line="360" w:lineRule="auto"/>
              <w:rPr>
                <w:rFonts w:hint="eastAsia" w:hAnsi="宋体"/>
                <w:b/>
                <w:bCs/>
                <w:color w:val="000000" w:themeColor="text1"/>
                <w:sz w:val="22"/>
                <w:szCs w:val="22"/>
                <w14:textFill>
                  <w14:solidFill>
                    <w14:schemeClr w14:val="tx1"/>
                  </w14:solidFill>
                </w14:textFill>
              </w:rPr>
            </w:pPr>
          </w:p>
        </w:tc>
        <w:tc>
          <w:tcPr>
            <w:tcW w:w="1147" w:type="dxa"/>
          </w:tcPr>
          <w:p w14:paraId="0E68BB81">
            <w:pPr>
              <w:pStyle w:val="13"/>
              <w:spacing w:line="360" w:lineRule="auto"/>
              <w:rPr>
                <w:rFonts w:hint="eastAsia" w:hAnsi="宋体"/>
                <w:color w:val="000000" w:themeColor="text1"/>
                <w:sz w:val="22"/>
                <w:szCs w:val="22"/>
                <w14:textFill>
                  <w14:solidFill>
                    <w14:schemeClr w14:val="tx1"/>
                  </w14:solidFill>
                </w14:textFill>
              </w:rPr>
            </w:pPr>
          </w:p>
        </w:tc>
        <w:tc>
          <w:tcPr>
            <w:tcW w:w="1123" w:type="dxa"/>
          </w:tcPr>
          <w:p w14:paraId="62EE063F">
            <w:pPr>
              <w:pStyle w:val="13"/>
              <w:spacing w:line="360" w:lineRule="auto"/>
              <w:rPr>
                <w:rFonts w:hint="eastAsia" w:hAnsi="宋体"/>
                <w:color w:val="000000" w:themeColor="text1"/>
                <w:sz w:val="22"/>
                <w:szCs w:val="22"/>
                <w14:textFill>
                  <w14:solidFill>
                    <w14:schemeClr w14:val="tx1"/>
                  </w14:solidFill>
                </w14:textFill>
              </w:rPr>
            </w:pPr>
          </w:p>
        </w:tc>
      </w:tr>
      <w:tr w14:paraId="5797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89" w:type="dxa"/>
            <w:vAlign w:val="center"/>
          </w:tcPr>
          <w:p w14:paraId="27EC4B6D">
            <w:pPr>
              <w:pStyle w:val="13"/>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2</w:t>
            </w:r>
          </w:p>
        </w:tc>
        <w:tc>
          <w:tcPr>
            <w:tcW w:w="2490" w:type="dxa"/>
            <w:vAlign w:val="center"/>
          </w:tcPr>
          <w:p w14:paraId="2F1660A7">
            <w:pPr>
              <w:pStyle w:val="13"/>
              <w:rPr>
                <w:rFonts w:hint="eastAsia" w:hAnsi="宋体"/>
                <w:color w:val="000000" w:themeColor="text1"/>
                <w:sz w:val="22"/>
                <w:szCs w:val="22"/>
                <w14:textFill>
                  <w14:solidFill>
                    <w14:schemeClr w14:val="tx1"/>
                  </w14:solidFill>
                </w14:textFill>
              </w:rPr>
            </w:pPr>
          </w:p>
        </w:tc>
        <w:tc>
          <w:tcPr>
            <w:tcW w:w="915" w:type="dxa"/>
            <w:vAlign w:val="center"/>
          </w:tcPr>
          <w:p w14:paraId="0886A829">
            <w:pPr>
              <w:pStyle w:val="13"/>
              <w:spacing w:line="360" w:lineRule="auto"/>
              <w:rPr>
                <w:rFonts w:hint="eastAsia" w:hAnsi="宋体"/>
                <w:b/>
                <w:bCs/>
                <w:color w:val="000000" w:themeColor="text1"/>
                <w:sz w:val="22"/>
                <w:szCs w:val="22"/>
                <w14:textFill>
                  <w14:solidFill>
                    <w14:schemeClr w14:val="tx1"/>
                  </w14:solidFill>
                </w14:textFill>
              </w:rPr>
            </w:pPr>
          </w:p>
        </w:tc>
        <w:tc>
          <w:tcPr>
            <w:tcW w:w="1875" w:type="dxa"/>
            <w:vAlign w:val="center"/>
          </w:tcPr>
          <w:p w14:paraId="30EDD6EE">
            <w:pPr>
              <w:pStyle w:val="13"/>
              <w:spacing w:line="360" w:lineRule="auto"/>
              <w:rPr>
                <w:rFonts w:hint="eastAsia" w:hAnsi="宋体"/>
                <w:b/>
                <w:bCs/>
                <w:color w:val="000000" w:themeColor="text1"/>
                <w:sz w:val="22"/>
                <w:szCs w:val="22"/>
                <w14:textFill>
                  <w14:solidFill>
                    <w14:schemeClr w14:val="tx1"/>
                  </w14:solidFill>
                </w14:textFill>
              </w:rPr>
            </w:pPr>
          </w:p>
        </w:tc>
        <w:tc>
          <w:tcPr>
            <w:tcW w:w="495" w:type="dxa"/>
            <w:vAlign w:val="center"/>
          </w:tcPr>
          <w:p w14:paraId="2F5B3E7B">
            <w:pPr>
              <w:pStyle w:val="13"/>
              <w:spacing w:line="360" w:lineRule="auto"/>
              <w:rPr>
                <w:rFonts w:hint="eastAsia" w:hAnsi="宋体"/>
                <w:b/>
                <w:bCs/>
                <w:color w:val="000000" w:themeColor="text1"/>
                <w:sz w:val="22"/>
                <w:szCs w:val="22"/>
                <w14:textFill>
                  <w14:solidFill>
                    <w14:schemeClr w14:val="tx1"/>
                  </w14:solidFill>
                </w14:textFill>
              </w:rPr>
            </w:pPr>
          </w:p>
        </w:tc>
        <w:tc>
          <w:tcPr>
            <w:tcW w:w="498" w:type="dxa"/>
            <w:vAlign w:val="center"/>
          </w:tcPr>
          <w:p w14:paraId="5A78BC3D">
            <w:pPr>
              <w:pStyle w:val="13"/>
              <w:spacing w:line="360" w:lineRule="auto"/>
              <w:rPr>
                <w:rFonts w:hint="eastAsia" w:hAnsi="宋体"/>
                <w:b/>
                <w:bCs/>
                <w:color w:val="000000" w:themeColor="text1"/>
                <w:sz w:val="22"/>
                <w:szCs w:val="22"/>
                <w14:textFill>
                  <w14:solidFill>
                    <w14:schemeClr w14:val="tx1"/>
                  </w14:solidFill>
                </w14:textFill>
              </w:rPr>
            </w:pPr>
          </w:p>
        </w:tc>
        <w:tc>
          <w:tcPr>
            <w:tcW w:w="1147" w:type="dxa"/>
          </w:tcPr>
          <w:p w14:paraId="64DA5BE8">
            <w:pPr>
              <w:pStyle w:val="13"/>
              <w:spacing w:line="360" w:lineRule="auto"/>
              <w:rPr>
                <w:rFonts w:hint="eastAsia" w:hAnsi="宋体"/>
                <w:color w:val="000000" w:themeColor="text1"/>
                <w:sz w:val="22"/>
                <w:szCs w:val="22"/>
                <w14:textFill>
                  <w14:solidFill>
                    <w14:schemeClr w14:val="tx1"/>
                  </w14:solidFill>
                </w14:textFill>
              </w:rPr>
            </w:pPr>
          </w:p>
        </w:tc>
        <w:tc>
          <w:tcPr>
            <w:tcW w:w="1123" w:type="dxa"/>
          </w:tcPr>
          <w:p w14:paraId="2804B4C4">
            <w:pPr>
              <w:pStyle w:val="13"/>
              <w:spacing w:line="360" w:lineRule="auto"/>
              <w:rPr>
                <w:rFonts w:hint="eastAsia" w:hAnsi="宋体"/>
                <w:color w:val="000000" w:themeColor="text1"/>
                <w:sz w:val="22"/>
                <w:szCs w:val="22"/>
                <w14:textFill>
                  <w14:solidFill>
                    <w14:schemeClr w14:val="tx1"/>
                  </w14:solidFill>
                </w14:textFill>
              </w:rPr>
            </w:pPr>
          </w:p>
        </w:tc>
      </w:tr>
      <w:tr w14:paraId="48C04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89" w:type="dxa"/>
            <w:vAlign w:val="center"/>
          </w:tcPr>
          <w:p w14:paraId="6A7F8E0F">
            <w:pPr>
              <w:pStyle w:val="13"/>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3</w:t>
            </w:r>
          </w:p>
        </w:tc>
        <w:tc>
          <w:tcPr>
            <w:tcW w:w="2490" w:type="dxa"/>
            <w:vAlign w:val="center"/>
          </w:tcPr>
          <w:p w14:paraId="3A79C9E3">
            <w:pPr>
              <w:pStyle w:val="13"/>
              <w:rPr>
                <w:rFonts w:hint="eastAsia" w:hAnsi="宋体"/>
                <w:color w:val="000000" w:themeColor="text1"/>
                <w:sz w:val="22"/>
                <w:szCs w:val="22"/>
                <w14:textFill>
                  <w14:solidFill>
                    <w14:schemeClr w14:val="tx1"/>
                  </w14:solidFill>
                </w14:textFill>
              </w:rPr>
            </w:pPr>
          </w:p>
        </w:tc>
        <w:tc>
          <w:tcPr>
            <w:tcW w:w="915" w:type="dxa"/>
            <w:vAlign w:val="center"/>
          </w:tcPr>
          <w:p w14:paraId="6D42EDA4">
            <w:pPr>
              <w:pStyle w:val="13"/>
              <w:spacing w:line="360" w:lineRule="auto"/>
              <w:rPr>
                <w:rFonts w:hint="eastAsia" w:hAnsi="宋体"/>
                <w:b/>
                <w:bCs/>
                <w:color w:val="000000" w:themeColor="text1"/>
                <w:sz w:val="22"/>
                <w:szCs w:val="22"/>
                <w14:textFill>
                  <w14:solidFill>
                    <w14:schemeClr w14:val="tx1"/>
                  </w14:solidFill>
                </w14:textFill>
              </w:rPr>
            </w:pPr>
          </w:p>
        </w:tc>
        <w:tc>
          <w:tcPr>
            <w:tcW w:w="1875" w:type="dxa"/>
            <w:vAlign w:val="center"/>
          </w:tcPr>
          <w:p w14:paraId="3BA3A729">
            <w:pPr>
              <w:pStyle w:val="13"/>
              <w:spacing w:line="360" w:lineRule="auto"/>
              <w:rPr>
                <w:rFonts w:hint="eastAsia" w:hAnsi="宋体"/>
                <w:b/>
                <w:bCs/>
                <w:color w:val="000000" w:themeColor="text1"/>
                <w:sz w:val="22"/>
                <w:szCs w:val="22"/>
                <w14:textFill>
                  <w14:solidFill>
                    <w14:schemeClr w14:val="tx1"/>
                  </w14:solidFill>
                </w14:textFill>
              </w:rPr>
            </w:pPr>
          </w:p>
        </w:tc>
        <w:tc>
          <w:tcPr>
            <w:tcW w:w="495" w:type="dxa"/>
            <w:vAlign w:val="center"/>
          </w:tcPr>
          <w:p w14:paraId="1050B008">
            <w:pPr>
              <w:pStyle w:val="13"/>
              <w:spacing w:line="360" w:lineRule="auto"/>
              <w:rPr>
                <w:rFonts w:hint="eastAsia" w:hAnsi="宋体"/>
                <w:b/>
                <w:bCs/>
                <w:color w:val="000000" w:themeColor="text1"/>
                <w:sz w:val="22"/>
                <w:szCs w:val="22"/>
                <w14:textFill>
                  <w14:solidFill>
                    <w14:schemeClr w14:val="tx1"/>
                  </w14:solidFill>
                </w14:textFill>
              </w:rPr>
            </w:pPr>
          </w:p>
        </w:tc>
        <w:tc>
          <w:tcPr>
            <w:tcW w:w="498" w:type="dxa"/>
            <w:vAlign w:val="center"/>
          </w:tcPr>
          <w:p w14:paraId="027DD81C">
            <w:pPr>
              <w:pStyle w:val="13"/>
              <w:spacing w:line="360" w:lineRule="auto"/>
              <w:rPr>
                <w:rFonts w:hint="eastAsia" w:hAnsi="宋体"/>
                <w:b/>
                <w:bCs/>
                <w:color w:val="000000" w:themeColor="text1"/>
                <w:sz w:val="22"/>
                <w:szCs w:val="22"/>
                <w14:textFill>
                  <w14:solidFill>
                    <w14:schemeClr w14:val="tx1"/>
                  </w14:solidFill>
                </w14:textFill>
              </w:rPr>
            </w:pPr>
          </w:p>
        </w:tc>
        <w:tc>
          <w:tcPr>
            <w:tcW w:w="1147" w:type="dxa"/>
          </w:tcPr>
          <w:p w14:paraId="30D85C4D">
            <w:pPr>
              <w:pStyle w:val="13"/>
              <w:spacing w:line="360" w:lineRule="auto"/>
              <w:rPr>
                <w:rFonts w:hint="eastAsia" w:hAnsi="宋体"/>
                <w:color w:val="000000" w:themeColor="text1"/>
                <w:sz w:val="22"/>
                <w:szCs w:val="22"/>
                <w14:textFill>
                  <w14:solidFill>
                    <w14:schemeClr w14:val="tx1"/>
                  </w14:solidFill>
                </w14:textFill>
              </w:rPr>
            </w:pPr>
          </w:p>
        </w:tc>
        <w:tc>
          <w:tcPr>
            <w:tcW w:w="1123" w:type="dxa"/>
          </w:tcPr>
          <w:p w14:paraId="7759BD4E">
            <w:pPr>
              <w:pStyle w:val="13"/>
              <w:spacing w:line="360" w:lineRule="auto"/>
              <w:rPr>
                <w:rFonts w:hint="eastAsia" w:hAnsi="宋体"/>
                <w:color w:val="000000" w:themeColor="text1"/>
                <w:sz w:val="22"/>
                <w:szCs w:val="22"/>
                <w14:textFill>
                  <w14:solidFill>
                    <w14:schemeClr w14:val="tx1"/>
                  </w14:solidFill>
                </w14:textFill>
              </w:rPr>
            </w:pPr>
          </w:p>
        </w:tc>
      </w:tr>
      <w:tr w14:paraId="474F9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 w:type="dxa"/>
            <w:vAlign w:val="center"/>
          </w:tcPr>
          <w:p w14:paraId="137794A4">
            <w:pPr>
              <w:pStyle w:val="13"/>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4</w:t>
            </w:r>
          </w:p>
        </w:tc>
        <w:tc>
          <w:tcPr>
            <w:tcW w:w="2490" w:type="dxa"/>
            <w:vAlign w:val="center"/>
          </w:tcPr>
          <w:p w14:paraId="6D8E24C0">
            <w:pPr>
              <w:pStyle w:val="13"/>
              <w:rPr>
                <w:rFonts w:hint="eastAsia" w:hAnsi="宋体"/>
                <w:color w:val="000000" w:themeColor="text1"/>
                <w:sz w:val="22"/>
                <w:szCs w:val="22"/>
                <w14:textFill>
                  <w14:solidFill>
                    <w14:schemeClr w14:val="tx1"/>
                  </w14:solidFill>
                </w14:textFill>
              </w:rPr>
            </w:pPr>
          </w:p>
        </w:tc>
        <w:tc>
          <w:tcPr>
            <w:tcW w:w="915" w:type="dxa"/>
            <w:vAlign w:val="center"/>
          </w:tcPr>
          <w:p w14:paraId="0124DD67">
            <w:pPr>
              <w:pStyle w:val="13"/>
              <w:spacing w:line="360" w:lineRule="auto"/>
              <w:jc w:val="center"/>
              <w:rPr>
                <w:rFonts w:hint="eastAsia" w:hAnsi="宋体"/>
                <w:color w:val="000000" w:themeColor="text1"/>
                <w:sz w:val="22"/>
                <w:szCs w:val="22"/>
                <w14:textFill>
                  <w14:solidFill>
                    <w14:schemeClr w14:val="tx1"/>
                  </w14:solidFill>
                </w14:textFill>
              </w:rPr>
            </w:pPr>
          </w:p>
        </w:tc>
        <w:tc>
          <w:tcPr>
            <w:tcW w:w="1875" w:type="dxa"/>
            <w:vAlign w:val="center"/>
          </w:tcPr>
          <w:p w14:paraId="7E4E716F">
            <w:pPr>
              <w:pStyle w:val="13"/>
              <w:spacing w:line="360" w:lineRule="auto"/>
              <w:jc w:val="center"/>
              <w:rPr>
                <w:rFonts w:hint="eastAsia" w:hAnsi="宋体"/>
                <w:color w:val="000000" w:themeColor="text1"/>
                <w:sz w:val="22"/>
                <w:szCs w:val="22"/>
                <w14:textFill>
                  <w14:solidFill>
                    <w14:schemeClr w14:val="tx1"/>
                  </w14:solidFill>
                </w14:textFill>
              </w:rPr>
            </w:pPr>
          </w:p>
        </w:tc>
        <w:tc>
          <w:tcPr>
            <w:tcW w:w="495" w:type="dxa"/>
            <w:vAlign w:val="center"/>
          </w:tcPr>
          <w:p w14:paraId="2262B84C">
            <w:pPr>
              <w:pStyle w:val="13"/>
              <w:spacing w:line="360" w:lineRule="auto"/>
              <w:jc w:val="center"/>
              <w:rPr>
                <w:rFonts w:hint="eastAsia" w:hAnsi="宋体"/>
                <w:color w:val="000000" w:themeColor="text1"/>
                <w:sz w:val="22"/>
                <w:szCs w:val="22"/>
                <w14:textFill>
                  <w14:solidFill>
                    <w14:schemeClr w14:val="tx1"/>
                  </w14:solidFill>
                </w14:textFill>
              </w:rPr>
            </w:pPr>
          </w:p>
        </w:tc>
        <w:tc>
          <w:tcPr>
            <w:tcW w:w="498" w:type="dxa"/>
            <w:vAlign w:val="center"/>
          </w:tcPr>
          <w:p w14:paraId="4044FC1F">
            <w:pPr>
              <w:pStyle w:val="13"/>
              <w:spacing w:line="360" w:lineRule="auto"/>
              <w:jc w:val="center"/>
              <w:rPr>
                <w:rFonts w:hint="eastAsia" w:hAnsi="宋体"/>
                <w:color w:val="000000" w:themeColor="text1"/>
                <w:sz w:val="22"/>
                <w:szCs w:val="22"/>
                <w14:textFill>
                  <w14:solidFill>
                    <w14:schemeClr w14:val="tx1"/>
                  </w14:solidFill>
                </w14:textFill>
              </w:rPr>
            </w:pPr>
          </w:p>
        </w:tc>
        <w:tc>
          <w:tcPr>
            <w:tcW w:w="1147" w:type="dxa"/>
          </w:tcPr>
          <w:p w14:paraId="31891A2A">
            <w:pPr>
              <w:pStyle w:val="13"/>
              <w:spacing w:line="360" w:lineRule="auto"/>
              <w:rPr>
                <w:rFonts w:hint="eastAsia" w:hAnsi="宋体"/>
                <w:color w:val="000000" w:themeColor="text1"/>
                <w:sz w:val="22"/>
                <w:szCs w:val="22"/>
                <w14:textFill>
                  <w14:solidFill>
                    <w14:schemeClr w14:val="tx1"/>
                  </w14:solidFill>
                </w14:textFill>
              </w:rPr>
            </w:pPr>
          </w:p>
        </w:tc>
        <w:tc>
          <w:tcPr>
            <w:tcW w:w="1123" w:type="dxa"/>
          </w:tcPr>
          <w:p w14:paraId="73BD7C1F">
            <w:pPr>
              <w:pStyle w:val="13"/>
              <w:spacing w:line="360" w:lineRule="auto"/>
              <w:rPr>
                <w:rFonts w:hint="eastAsia" w:hAnsi="宋体"/>
                <w:color w:val="000000" w:themeColor="text1"/>
                <w:sz w:val="22"/>
                <w:szCs w:val="22"/>
                <w14:textFill>
                  <w14:solidFill>
                    <w14:schemeClr w14:val="tx1"/>
                  </w14:solidFill>
                </w14:textFill>
              </w:rPr>
            </w:pPr>
          </w:p>
        </w:tc>
      </w:tr>
      <w:tr w14:paraId="5A44E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 w:type="dxa"/>
            <w:vAlign w:val="center"/>
          </w:tcPr>
          <w:p w14:paraId="53DFBC03">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5</w:t>
            </w:r>
          </w:p>
        </w:tc>
        <w:tc>
          <w:tcPr>
            <w:tcW w:w="2490" w:type="dxa"/>
            <w:vAlign w:val="center"/>
          </w:tcPr>
          <w:p w14:paraId="493CADD5">
            <w:pPr>
              <w:pStyle w:val="13"/>
              <w:spacing w:line="360" w:lineRule="auto"/>
              <w:rPr>
                <w:rFonts w:hint="eastAsia" w:hAnsi="宋体"/>
                <w:color w:val="000000" w:themeColor="text1"/>
                <w:sz w:val="22"/>
                <w:szCs w:val="22"/>
                <w14:textFill>
                  <w14:solidFill>
                    <w14:schemeClr w14:val="tx1"/>
                  </w14:solidFill>
                </w14:textFill>
              </w:rPr>
            </w:pPr>
          </w:p>
        </w:tc>
        <w:tc>
          <w:tcPr>
            <w:tcW w:w="915" w:type="dxa"/>
            <w:vAlign w:val="center"/>
          </w:tcPr>
          <w:p w14:paraId="37E5B00D">
            <w:pPr>
              <w:jc w:val="center"/>
              <w:rPr>
                <w:rFonts w:hint="eastAsia" w:ascii="宋体" w:hAnsi="宋体" w:cs="宋体"/>
                <w:color w:val="000000" w:themeColor="text1"/>
                <w:sz w:val="22"/>
                <w:szCs w:val="22"/>
                <w14:textFill>
                  <w14:solidFill>
                    <w14:schemeClr w14:val="tx1"/>
                  </w14:solidFill>
                </w14:textFill>
              </w:rPr>
            </w:pPr>
          </w:p>
        </w:tc>
        <w:tc>
          <w:tcPr>
            <w:tcW w:w="1875" w:type="dxa"/>
            <w:vAlign w:val="center"/>
          </w:tcPr>
          <w:p w14:paraId="019FBD3D">
            <w:pPr>
              <w:jc w:val="center"/>
              <w:rPr>
                <w:rFonts w:hint="eastAsia" w:ascii="宋体" w:hAnsi="宋体" w:cs="宋体"/>
                <w:color w:val="000000" w:themeColor="text1"/>
                <w:sz w:val="22"/>
                <w:szCs w:val="22"/>
                <w14:textFill>
                  <w14:solidFill>
                    <w14:schemeClr w14:val="tx1"/>
                  </w14:solidFill>
                </w14:textFill>
              </w:rPr>
            </w:pPr>
          </w:p>
        </w:tc>
        <w:tc>
          <w:tcPr>
            <w:tcW w:w="495" w:type="dxa"/>
            <w:vAlign w:val="center"/>
          </w:tcPr>
          <w:p w14:paraId="682B90D1">
            <w:pPr>
              <w:pStyle w:val="13"/>
              <w:spacing w:line="360" w:lineRule="auto"/>
              <w:jc w:val="center"/>
              <w:rPr>
                <w:rFonts w:hint="eastAsia" w:hAnsi="宋体"/>
                <w:color w:val="000000" w:themeColor="text1"/>
                <w:sz w:val="22"/>
                <w:szCs w:val="22"/>
                <w14:textFill>
                  <w14:solidFill>
                    <w14:schemeClr w14:val="tx1"/>
                  </w14:solidFill>
                </w14:textFill>
              </w:rPr>
            </w:pPr>
          </w:p>
        </w:tc>
        <w:tc>
          <w:tcPr>
            <w:tcW w:w="498" w:type="dxa"/>
            <w:vAlign w:val="center"/>
          </w:tcPr>
          <w:p w14:paraId="6A5FA2F4">
            <w:pPr>
              <w:pStyle w:val="13"/>
              <w:spacing w:line="360" w:lineRule="auto"/>
              <w:jc w:val="center"/>
              <w:rPr>
                <w:rFonts w:hint="eastAsia" w:hAnsi="宋体"/>
                <w:color w:val="000000" w:themeColor="text1"/>
                <w:sz w:val="22"/>
                <w:szCs w:val="22"/>
                <w14:textFill>
                  <w14:solidFill>
                    <w14:schemeClr w14:val="tx1"/>
                  </w14:solidFill>
                </w14:textFill>
              </w:rPr>
            </w:pPr>
          </w:p>
        </w:tc>
        <w:tc>
          <w:tcPr>
            <w:tcW w:w="1147" w:type="dxa"/>
          </w:tcPr>
          <w:p w14:paraId="71FB47B3">
            <w:pPr>
              <w:pStyle w:val="13"/>
              <w:spacing w:line="360" w:lineRule="auto"/>
              <w:rPr>
                <w:rFonts w:hint="eastAsia" w:hAnsi="宋体"/>
                <w:color w:val="000000" w:themeColor="text1"/>
                <w:sz w:val="22"/>
                <w:szCs w:val="22"/>
                <w14:textFill>
                  <w14:solidFill>
                    <w14:schemeClr w14:val="tx1"/>
                  </w14:solidFill>
                </w14:textFill>
              </w:rPr>
            </w:pPr>
          </w:p>
        </w:tc>
        <w:tc>
          <w:tcPr>
            <w:tcW w:w="1123" w:type="dxa"/>
          </w:tcPr>
          <w:p w14:paraId="4FFA8ECB">
            <w:pPr>
              <w:pStyle w:val="13"/>
              <w:spacing w:line="360" w:lineRule="auto"/>
              <w:rPr>
                <w:rFonts w:hint="eastAsia" w:hAnsi="宋体"/>
                <w:color w:val="000000" w:themeColor="text1"/>
                <w:sz w:val="22"/>
                <w:szCs w:val="22"/>
                <w14:textFill>
                  <w14:solidFill>
                    <w14:schemeClr w14:val="tx1"/>
                  </w14:solidFill>
                </w14:textFill>
              </w:rPr>
            </w:pPr>
          </w:p>
        </w:tc>
      </w:tr>
      <w:tr w14:paraId="47325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 w:type="dxa"/>
          </w:tcPr>
          <w:p w14:paraId="20CB0298">
            <w:pPr>
              <w:pStyle w:val="13"/>
              <w:spacing w:line="360" w:lineRule="auto"/>
              <w:rPr>
                <w:rFonts w:hint="eastAsia" w:hAnsi="宋体"/>
                <w:color w:val="000000" w:themeColor="text1"/>
                <w:sz w:val="22"/>
                <w:szCs w:val="22"/>
                <w14:textFill>
                  <w14:solidFill>
                    <w14:schemeClr w14:val="tx1"/>
                  </w14:solidFill>
                </w14:textFill>
              </w:rPr>
            </w:pPr>
          </w:p>
        </w:tc>
        <w:tc>
          <w:tcPr>
            <w:tcW w:w="2490" w:type="dxa"/>
            <w:vAlign w:val="center"/>
          </w:tcPr>
          <w:p w14:paraId="272F4AE0">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w:t>
            </w:r>
          </w:p>
        </w:tc>
        <w:tc>
          <w:tcPr>
            <w:tcW w:w="915" w:type="dxa"/>
            <w:vAlign w:val="center"/>
          </w:tcPr>
          <w:p w14:paraId="5C583C0E">
            <w:pPr>
              <w:jc w:val="center"/>
              <w:rPr>
                <w:rFonts w:hint="eastAsia" w:ascii="宋体" w:hAnsi="宋体" w:cs="宋体"/>
                <w:color w:val="000000" w:themeColor="text1"/>
                <w:sz w:val="22"/>
                <w:szCs w:val="22"/>
                <w14:textFill>
                  <w14:solidFill>
                    <w14:schemeClr w14:val="tx1"/>
                  </w14:solidFill>
                </w14:textFill>
              </w:rPr>
            </w:pPr>
          </w:p>
        </w:tc>
        <w:tc>
          <w:tcPr>
            <w:tcW w:w="1875" w:type="dxa"/>
            <w:vAlign w:val="center"/>
          </w:tcPr>
          <w:p w14:paraId="4004C645">
            <w:pPr>
              <w:jc w:val="center"/>
              <w:rPr>
                <w:rFonts w:hint="eastAsia" w:ascii="宋体" w:hAnsi="宋体" w:cs="宋体"/>
                <w:color w:val="000000" w:themeColor="text1"/>
                <w:sz w:val="22"/>
                <w:szCs w:val="22"/>
                <w14:textFill>
                  <w14:solidFill>
                    <w14:schemeClr w14:val="tx1"/>
                  </w14:solidFill>
                </w14:textFill>
              </w:rPr>
            </w:pPr>
          </w:p>
        </w:tc>
        <w:tc>
          <w:tcPr>
            <w:tcW w:w="495" w:type="dxa"/>
            <w:vAlign w:val="center"/>
          </w:tcPr>
          <w:p w14:paraId="12370F19">
            <w:pPr>
              <w:pStyle w:val="13"/>
              <w:spacing w:line="360" w:lineRule="auto"/>
              <w:jc w:val="center"/>
              <w:rPr>
                <w:rFonts w:hint="eastAsia" w:hAnsi="宋体"/>
                <w:color w:val="000000" w:themeColor="text1"/>
                <w:sz w:val="22"/>
                <w:szCs w:val="22"/>
                <w14:textFill>
                  <w14:solidFill>
                    <w14:schemeClr w14:val="tx1"/>
                  </w14:solidFill>
                </w14:textFill>
              </w:rPr>
            </w:pPr>
          </w:p>
        </w:tc>
        <w:tc>
          <w:tcPr>
            <w:tcW w:w="498" w:type="dxa"/>
            <w:vAlign w:val="center"/>
          </w:tcPr>
          <w:p w14:paraId="654AF73D">
            <w:pPr>
              <w:pStyle w:val="13"/>
              <w:spacing w:line="360" w:lineRule="auto"/>
              <w:jc w:val="center"/>
              <w:rPr>
                <w:rFonts w:hint="eastAsia" w:hAnsi="宋体"/>
                <w:color w:val="000000" w:themeColor="text1"/>
                <w:sz w:val="22"/>
                <w:szCs w:val="22"/>
                <w14:textFill>
                  <w14:solidFill>
                    <w14:schemeClr w14:val="tx1"/>
                  </w14:solidFill>
                </w14:textFill>
              </w:rPr>
            </w:pPr>
          </w:p>
        </w:tc>
        <w:tc>
          <w:tcPr>
            <w:tcW w:w="1147" w:type="dxa"/>
          </w:tcPr>
          <w:p w14:paraId="07FBD21B">
            <w:pPr>
              <w:pStyle w:val="13"/>
              <w:spacing w:line="360" w:lineRule="auto"/>
              <w:rPr>
                <w:rFonts w:hint="eastAsia" w:hAnsi="宋体"/>
                <w:color w:val="000000" w:themeColor="text1"/>
                <w:sz w:val="22"/>
                <w:szCs w:val="22"/>
                <w14:textFill>
                  <w14:solidFill>
                    <w14:schemeClr w14:val="tx1"/>
                  </w14:solidFill>
                </w14:textFill>
              </w:rPr>
            </w:pPr>
          </w:p>
        </w:tc>
        <w:tc>
          <w:tcPr>
            <w:tcW w:w="1123" w:type="dxa"/>
          </w:tcPr>
          <w:p w14:paraId="62B7FB59">
            <w:pPr>
              <w:pStyle w:val="13"/>
              <w:spacing w:line="360" w:lineRule="auto"/>
              <w:rPr>
                <w:rFonts w:hint="eastAsia" w:hAnsi="宋体"/>
                <w:color w:val="000000" w:themeColor="text1"/>
                <w:sz w:val="22"/>
                <w:szCs w:val="22"/>
                <w14:textFill>
                  <w14:solidFill>
                    <w14:schemeClr w14:val="tx1"/>
                  </w14:solidFill>
                </w14:textFill>
              </w:rPr>
            </w:pPr>
          </w:p>
        </w:tc>
      </w:tr>
      <w:tr w14:paraId="1913C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2979" w:type="dxa"/>
            <w:gridSpan w:val="2"/>
            <w:vAlign w:val="center"/>
          </w:tcPr>
          <w:p w14:paraId="727CCC86">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投标总价</w:t>
            </w:r>
          </w:p>
        </w:tc>
        <w:tc>
          <w:tcPr>
            <w:tcW w:w="6053" w:type="dxa"/>
            <w:gridSpan w:val="6"/>
            <w:vAlign w:val="center"/>
          </w:tcPr>
          <w:p w14:paraId="38BF2C50">
            <w:pPr>
              <w:pStyle w:val="13"/>
              <w:spacing w:line="360" w:lineRule="auto"/>
              <w:jc w:val="center"/>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大写：　　　　                元（小写：　　　　　）</w:t>
            </w:r>
          </w:p>
        </w:tc>
      </w:tr>
      <w:tr w14:paraId="45BD7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85" w:hRule="atLeast"/>
          <w:jc w:val="center"/>
        </w:trPr>
        <w:tc>
          <w:tcPr>
            <w:tcW w:w="9032" w:type="dxa"/>
            <w:gridSpan w:val="8"/>
            <w:vAlign w:val="center"/>
          </w:tcPr>
          <w:p w14:paraId="3F1B9026">
            <w:pPr>
              <w:pStyle w:val="52"/>
              <w:tabs>
                <w:tab w:val="left" w:pos="0"/>
              </w:tabs>
              <w:spacing w:line="336" w:lineRule="auto"/>
              <w:ind w:firstLine="440" w:firstLineChars="200"/>
              <w:rPr>
                <w:rFonts w:hint="eastAsia" w:hAnsi="宋体"/>
                <w:color w:val="000000" w:themeColor="text1"/>
                <w:sz w:val="22"/>
                <w:szCs w:val="22"/>
                <w14:textFill>
                  <w14:solidFill>
                    <w14:schemeClr w14:val="tx1"/>
                  </w14:solidFill>
                </w14:textFill>
              </w:rPr>
            </w:pPr>
            <w:r>
              <w:rPr>
                <w:rFonts w:hint="eastAsia" w:hAnsi="宋体"/>
                <w:color w:val="000000" w:themeColor="text1"/>
                <w:sz w:val="22"/>
                <w:szCs w:val="22"/>
                <w14:textFill>
                  <w14:solidFill>
                    <w14:schemeClr w14:val="tx1"/>
                  </w14:solidFill>
                </w14:textFill>
              </w:rPr>
              <w:t>本次报价应包含项目所需全部服务，不得缺漏，是履行合同的最终价格，包括人工成本费、保险、调研费、检测分析费、设施设备、工具、编制费、刊登费、差旅费、管理费、利润、税费、招标代理费等项目所需一切费用。凡投标人在报价中未列明但又为本次采购所必备的项目或遗漏项目，采购方将一律视为已包括在合同价中，在合同执行中将不予考虑。</w:t>
            </w:r>
            <w:bookmarkStart w:id="113" w:name="_GoBack"/>
            <w:bookmarkEnd w:id="113"/>
          </w:p>
        </w:tc>
      </w:tr>
    </w:tbl>
    <w:p w14:paraId="109B741B">
      <w:pPr>
        <w:pStyle w:val="13"/>
        <w:spacing w:line="360" w:lineRule="auto"/>
        <w:ind w:firstLine="480" w:firstLineChars="200"/>
        <w:rPr>
          <w:rFonts w:hint="eastAsia" w:hAnsi="宋体" w:cs="Times New Roman"/>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注：内容可根据供应商实际情况自行调整。</w:t>
      </w:r>
    </w:p>
    <w:p w14:paraId="36C1EBAD">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法定代表人签名（或签名章）：</w:t>
      </w:r>
      <w:r>
        <w:rPr>
          <w:rFonts w:ascii="宋体" w:hAnsi="宋体" w:cs="宋体"/>
          <w:color w:val="000000" w:themeColor="text1"/>
          <w:sz w:val="24"/>
          <w:szCs w:val="24"/>
          <w14:textFill>
            <w14:solidFill>
              <w14:schemeClr w14:val="tx1"/>
            </w14:solidFill>
          </w14:textFill>
        </w:rPr>
        <w:t xml:space="preserve">                       </w:t>
      </w:r>
    </w:p>
    <w:p w14:paraId="487B2AB5">
      <w:pPr>
        <w:spacing w:line="360" w:lineRule="auto"/>
        <w:ind w:left="3600" w:leftChars="1800" w:firstLine="480" w:firstLineChars="200"/>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期：</w:t>
      </w:r>
    </w:p>
    <w:p w14:paraId="382239F2">
      <w:pPr>
        <w:spacing w:line="360" w:lineRule="auto"/>
        <w:ind w:left="3600" w:leftChars="1800" w:firstLine="480" w:firstLineChars="200"/>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供应商全称（公章）：</w:t>
      </w:r>
      <w:bookmarkEnd w:id="112"/>
    </w:p>
    <w:p w14:paraId="1415CABD">
      <w:pPr>
        <w:rPr>
          <w:rFonts w:hint="eastAsia" w:ascii="宋体" w:hAnsi="宋体" w:cs="宋体"/>
          <w:color w:val="000000" w:themeColor="text1"/>
          <w:sz w:val="24"/>
          <w:szCs w:val="24"/>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06638">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3B7087">
    <w:pPr>
      <w:pStyle w:val="16"/>
      <w:jc w:val="center"/>
    </w:pPr>
    <w:r>
      <w:fldChar w:fldCharType="begin"/>
    </w:r>
    <w:r>
      <w:instrText xml:space="preserve">PAGE   \* MERGEFORMAT</w:instrText>
    </w:r>
    <w:r>
      <w:fldChar w:fldCharType="separate"/>
    </w:r>
    <w:r>
      <w:rPr>
        <w:lang w:val="zh-CN"/>
      </w:rPr>
      <w:t>39</w:t>
    </w:r>
    <w:r>
      <w:rPr>
        <w:lang w:val="zh-CN"/>
      </w:rPr>
      <w:fldChar w:fldCharType="end"/>
    </w:r>
  </w:p>
  <w:p w14:paraId="6658B4C5">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5E4EA">
    <w:pPr>
      <w:pStyle w:val="16"/>
      <w:jc w:val="center"/>
    </w:pPr>
    <w:r>
      <w:fldChar w:fldCharType="begin"/>
    </w:r>
    <w:r>
      <w:instrText xml:space="preserve">PAGE   \* MERGEFORMAT</w:instrText>
    </w:r>
    <w:r>
      <w:fldChar w:fldCharType="separate"/>
    </w:r>
    <w:r>
      <w:rPr>
        <w:lang w:val="zh-CN"/>
      </w:rPr>
      <w:t>39</w:t>
    </w:r>
    <w:r>
      <w:rPr>
        <w:lang w:val="zh-CN"/>
      </w:rPr>
      <w:fldChar w:fldCharType="end"/>
    </w:r>
  </w:p>
  <w:p w14:paraId="1E88A597">
    <w:pPr>
      <w:pStyle w:val="1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4.%1 "/>
      <w:lvlJc w:val="left"/>
      <w:pPr>
        <w:tabs>
          <w:tab w:val="left" w:pos="0"/>
        </w:tabs>
        <w:ind w:firstLine="40"/>
      </w:pPr>
      <w:rPr>
        <w:rFonts w:hint="default" w:ascii="宋体" w:hAnsi="宋体" w:eastAsia="宋体"/>
      </w:rPr>
    </w:lvl>
  </w:abstractNum>
  <w:abstractNum w:abstractNumId="1">
    <w:nsid w:val="00000002"/>
    <w:multiLevelType w:val="singleLevel"/>
    <w:tmpl w:val="00000002"/>
    <w:lvl w:ilvl="0" w:tentative="0">
      <w:start w:val="1"/>
      <w:numFmt w:val="chineseCounting"/>
      <w:suff w:val="nothing"/>
      <w:lvlText w:val="%1、"/>
      <w:lvlJc w:val="left"/>
      <w:rPr>
        <w:rFonts w:hint="eastAsia"/>
      </w:rPr>
    </w:lvl>
  </w:abstractNum>
  <w:abstractNum w:abstractNumId="2">
    <w:nsid w:val="00000003"/>
    <w:multiLevelType w:val="singleLevel"/>
    <w:tmpl w:val="00000003"/>
    <w:lvl w:ilvl="0" w:tentative="0">
      <w:start w:val="1"/>
      <w:numFmt w:val="decimalEnclosedCircleChinese"/>
      <w:suff w:val="nothing"/>
      <w:lvlText w:val="%1　"/>
      <w:lvlJc w:val="left"/>
      <w:pPr>
        <w:ind w:firstLine="1134"/>
      </w:pPr>
      <w:rPr>
        <w:rFonts w:hint="eastAsia"/>
      </w:rPr>
    </w:lvl>
  </w:abstractNum>
  <w:abstractNum w:abstractNumId="3">
    <w:nsid w:val="00000004"/>
    <w:multiLevelType w:val="singleLevel"/>
    <w:tmpl w:val="00000004"/>
    <w:lvl w:ilvl="0" w:tentative="0">
      <w:start w:val="1"/>
      <w:numFmt w:val="decimal"/>
      <w:suff w:val="nothing"/>
      <w:lvlText w:val="%1．"/>
      <w:lvlJc w:val="left"/>
      <w:pPr>
        <w:ind w:firstLine="397"/>
      </w:pPr>
      <w:rPr>
        <w:rFonts w:hint="default"/>
      </w:rPr>
    </w:lvl>
  </w:abstractNum>
  <w:abstractNum w:abstractNumId="4">
    <w:nsid w:val="00000005"/>
    <w:multiLevelType w:val="singleLevel"/>
    <w:tmpl w:val="00000005"/>
    <w:lvl w:ilvl="0" w:tentative="0">
      <w:start w:val="1"/>
      <w:numFmt w:val="chineseCounting"/>
      <w:suff w:val="nothing"/>
      <w:lvlText w:val="%1、"/>
      <w:lvlJc w:val="left"/>
      <w:rPr>
        <w:rFonts w:hint="eastAsia"/>
      </w:rPr>
    </w:lvl>
  </w:abstractNum>
  <w:abstractNum w:abstractNumId="5">
    <w:nsid w:val="00000006"/>
    <w:multiLevelType w:val="singleLevel"/>
    <w:tmpl w:val="00000006"/>
    <w:lvl w:ilvl="0" w:tentative="0">
      <w:start w:val="1"/>
      <w:numFmt w:val="decimal"/>
      <w:suff w:val="nothing"/>
      <w:lvlText w:val="9.%1 "/>
      <w:lvlJc w:val="left"/>
      <w:pPr>
        <w:tabs>
          <w:tab w:val="left" w:pos="0"/>
        </w:tabs>
        <w:ind w:firstLine="40"/>
      </w:pPr>
      <w:rPr>
        <w:rFonts w:hint="default" w:ascii="宋体" w:hAnsi="宋体" w:eastAsia="宋体"/>
      </w:rPr>
    </w:lvl>
  </w:abstractNum>
  <w:abstractNum w:abstractNumId="6">
    <w:nsid w:val="00000007"/>
    <w:multiLevelType w:val="singleLevel"/>
    <w:tmpl w:val="00000007"/>
    <w:lvl w:ilvl="0" w:tentative="0">
      <w:start w:val="1"/>
      <w:numFmt w:val="decimalEnclosedCircleChinese"/>
      <w:suff w:val="nothing"/>
      <w:lvlText w:val="%1　"/>
      <w:lvlJc w:val="left"/>
      <w:pPr>
        <w:ind w:firstLine="397"/>
      </w:pPr>
      <w:rPr>
        <w:rFonts w:hint="eastAsia"/>
      </w:rPr>
    </w:lvl>
  </w:abstractNum>
  <w:abstractNum w:abstractNumId="7">
    <w:nsid w:val="00000008"/>
    <w:multiLevelType w:val="singleLevel"/>
    <w:tmpl w:val="00000008"/>
    <w:lvl w:ilvl="0" w:tentative="0">
      <w:start w:val="1"/>
      <w:numFmt w:val="decimalEnclosedCircleChinese"/>
      <w:suff w:val="nothing"/>
      <w:lvlText w:val="%1　"/>
      <w:lvlJc w:val="left"/>
      <w:pPr>
        <w:ind w:firstLine="397"/>
      </w:pPr>
      <w:rPr>
        <w:rFonts w:hint="eastAsia"/>
      </w:rPr>
    </w:lvl>
  </w:abstractNum>
  <w:abstractNum w:abstractNumId="8">
    <w:nsid w:val="00000009"/>
    <w:multiLevelType w:val="singleLevel"/>
    <w:tmpl w:val="00000009"/>
    <w:lvl w:ilvl="0" w:tentative="0">
      <w:start w:val="1"/>
      <w:numFmt w:val="decimalEnclosedCircleChinese"/>
      <w:suff w:val="nothing"/>
      <w:lvlText w:val="%1　"/>
      <w:lvlJc w:val="left"/>
      <w:pPr>
        <w:ind w:firstLine="1134"/>
      </w:pPr>
      <w:rPr>
        <w:rFonts w:hint="eastAsia"/>
      </w:rPr>
    </w:lvl>
  </w:abstractNum>
  <w:abstractNum w:abstractNumId="9">
    <w:nsid w:val="0000000A"/>
    <w:multiLevelType w:val="singleLevel"/>
    <w:tmpl w:val="0000000A"/>
    <w:lvl w:ilvl="0" w:tentative="0">
      <w:start w:val="4"/>
      <w:numFmt w:val="chineseCounting"/>
      <w:suff w:val="nothing"/>
      <w:lvlText w:val="%1、"/>
      <w:lvlJc w:val="left"/>
      <w:rPr>
        <w:rFonts w:hint="eastAsia"/>
      </w:rPr>
    </w:lvl>
  </w:abstractNum>
  <w:abstractNum w:abstractNumId="10">
    <w:nsid w:val="0000000B"/>
    <w:multiLevelType w:val="singleLevel"/>
    <w:tmpl w:val="0000000B"/>
    <w:lvl w:ilvl="0" w:tentative="0">
      <w:start w:val="1"/>
      <w:numFmt w:val="decimalEnclosedCircleChinese"/>
      <w:suff w:val="nothing"/>
      <w:lvlText w:val="%1　"/>
      <w:lvlJc w:val="left"/>
      <w:pPr>
        <w:ind w:firstLine="1134"/>
      </w:pPr>
      <w:rPr>
        <w:rFonts w:hint="eastAsia"/>
      </w:rPr>
    </w:lvl>
  </w:abstractNum>
  <w:abstractNum w:abstractNumId="11">
    <w:nsid w:val="0000000C"/>
    <w:multiLevelType w:val="multilevel"/>
    <w:tmpl w:val="0000000C"/>
    <w:lvl w:ilvl="0" w:tentative="0">
      <w:start w:val="1"/>
      <w:numFmt w:val="upperLetter"/>
      <w:pStyle w:val="6"/>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12">
    <w:nsid w:val="0000000D"/>
    <w:multiLevelType w:val="singleLevel"/>
    <w:tmpl w:val="0000000D"/>
    <w:lvl w:ilvl="0" w:tentative="0">
      <w:start w:val="1"/>
      <w:numFmt w:val="decimalEnclosedCircleChinese"/>
      <w:suff w:val="nothing"/>
      <w:lvlText w:val="%1　"/>
      <w:lvlJc w:val="left"/>
      <w:pPr>
        <w:ind w:firstLine="1134"/>
      </w:pPr>
      <w:rPr>
        <w:rFonts w:hint="eastAsia"/>
      </w:rPr>
    </w:lvl>
  </w:abstractNum>
  <w:abstractNum w:abstractNumId="13">
    <w:nsid w:val="0000000E"/>
    <w:multiLevelType w:val="singleLevel"/>
    <w:tmpl w:val="0000000E"/>
    <w:lvl w:ilvl="0" w:tentative="0">
      <w:start w:val="1"/>
      <w:numFmt w:val="decimal"/>
      <w:suff w:val="nothing"/>
      <w:lvlText w:val="%1．"/>
      <w:lvlJc w:val="left"/>
      <w:pPr>
        <w:ind w:firstLine="397"/>
      </w:pPr>
      <w:rPr>
        <w:rFonts w:hint="default"/>
      </w:rPr>
    </w:lvl>
  </w:abstractNum>
  <w:abstractNum w:abstractNumId="14">
    <w:nsid w:val="0000000F"/>
    <w:multiLevelType w:val="singleLevel"/>
    <w:tmpl w:val="0000000F"/>
    <w:lvl w:ilvl="0" w:tentative="0">
      <w:start w:val="1"/>
      <w:numFmt w:val="decimal"/>
      <w:suff w:val="nothing"/>
      <w:lvlText w:val="%1．"/>
      <w:lvlJc w:val="left"/>
      <w:pPr>
        <w:ind w:firstLine="397"/>
      </w:pPr>
      <w:rPr>
        <w:rFonts w:hint="default"/>
      </w:rPr>
    </w:lvl>
  </w:abstractNum>
  <w:abstractNum w:abstractNumId="15">
    <w:nsid w:val="4B664850"/>
    <w:multiLevelType w:val="singleLevel"/>
    <w:tmpl w:val="4B664850"/>
    <w:lvl w:ilvl="0" w:tentative="0">
      <w:start w:val="1"/>
      <w:numFmt w:val="decimal"/>
      <w:suff w:val="nothing"/>
      <w:lvlText w:val="（%1）"/>
      <w:lvlJc w:val="left"/>
    </w:lvl>
  </w:abstractNum>
  <w:num w:numId="1">
    <w:abstractNumId w:val="11"/>
  </w:num>
  <w:num w:numId="2">
    <w:abstractNumId w:val="3"/>
  </w:num>
  <w:num w:numId="3">
    <w:abstractNumId w:val="13"/>
  </w:num>
  <w:num w:numId="4">
    <w:abstractNumId w:val="6"/>
  </w:num>
  <w:num w:numId="5">
    <w:abstractNumId w:val="14"/>
  </w:num>
  <w:num w:numId="6">
    <w:abstractNumId w:val="7"/>
  </w:num>
  <w:num w:numId="7">
    <w:abstractNumId w:val="4"/>
  </w:num>
  <w:num w:numId="8">
    <w:abstractNumId w:val="5"/>
  </w:num>
  <w:num w:numId="9">
    <w:abstractNumId w:val="12"/>
  </w:num>
  <w:num w:numId="10">
    <w:abstractNumId w:val="10"/>
  </w:num>
  <w:num w:numId="11">
    <w:abstractNumId w:val="2"/>
  </w:num>
  <w:num w:numId="12">
    <w:abstractNumId w:val="0"/>
  </w:num>
  <w:num w:numId="13">
    <w:abstractNumId w:val="8"/>
  </w:num>
  <w:num w:numId="14">
    <w:abstractNumId w:val="1"/>
  </w:num>
  <w:num w:numId="15">
    <w:abstractNumId w:val="9"/>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revisionView w:markup="0"/>
  <w:documentProtection w:enforcement="0"/>
  <w:defaultTabStop w:val="420"/>
  <w:doNotHyphenateCaps/>
  <w:drawingGridHorizontalSpacing w:val="10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Y0Y2NjMjJjMjM3NGVmMzdjMTlmNWY2ZTMxNDhlNTMifQ=="/>
  </w:docVars>
  <w:rsids>
    <w:rsidRoot w:val="009238AE"/>
    <w:rsid w:val="00005CCA"/>
    <w:rsid w:val="000157CD"/>
    <w:rsid w:val="00024507"/>
    <w:rsid w:val="00024E8A"/>
    <w:rsid w:val="00024ECA"/>
    <w:rsid w:val="00026595"/>
    <w:rsid w:val="00026DC4"/>
    <w:rsid w:val="00030FD6"/>
    <w:rsid w:val="000313BA"/>
    <w:rsid w:val="00036886"/>
    <w:rsid w:val="00041736"/>
    <w:rsid w:val="00041A10"/>
    <w:rsid w:val="00051739"/>
    <w:rsid w:val="0005713A"/>
    <w:rsid w:val="0006152D"/>
    <w:rsid w:val="00062334"/>
    <w:rsid w:val="00062BF2"/>
    <w:rsid w:val="0006618E"/>
    <w:rsid w:val="00071F20"/>
    <w:rsid w:val="0007513F"/>
    <w:rsid w:val="00076710"/>
    <w:rsid w:val="00082105"/>
    <w:rsid w:val="00091EB6"/>
    <w:rsid w:val="00092BDD"/>
    <w:rsid w:val="00096C0E"/>
    <w:rsid w:val="000A118A"/>
    <w:rsid w:val="000A3459"/>
    <w:rsid w:val="000A46A4"/>
    <w:rsid w:val="000A4C3F"/>
    <w:rsid w:val="000B339D"/>
    <w:rsid w:val="000C004C"/>
    <w:rsid w:val="000C1A76"/>
    <w:rsid w:val="000C63B7"/>
    <w:rsid w:val="000D46F5"/>
    <w:rsid w:val="000E0D44"/>
    <w:rsid w:val="000E253D"/>
    <w:rsid w:val="000E69B6"/>
    <w:rsid w:val="000E7F38"/>
    <w:rsid w:val="00106B3E"/>
    <w:rsid w:val="00115B85"/>
    <w:rsid w:val="0011683A"/>
    <w:rsid w:val="001218FF"/>
    <w:rsid w:val="00130D40"/>
    <w:rsid w:val="00132149"/>
    <w:rsid w:val="00142C14"/>
    <w:rsid w:val="00142CAD"/>
    <w:rsid w:val="00152CB5"/>
    <w:rsid w:val="0015334C"/>
    <w:rsid w:val="001547FF"/>
    <w:rsid w:val="0015494C"/>
    <w:rsid w:val="001578A4"/>
    <w:rsid w:val="00171D7D"/>
    <w:rsid w:val="00176DDD"/>
    <w:rsid w:val="00177BDC"/>
    <w:rsid w:val="00183914"/>
    <w:rsid w:val="00186A68"/>
    <w:rsid w:val="00186B03"/>
    <w:rsid w:val="00190420"/>
    <w:rsid w:val="00192748"/>
    <w:rsid w:val="00197F2A"/>
    <w:rsid w:val="001A0D58"/>
    <w:rsid w:val="001A43A1"/>
    <w:rsid w:val="001A57BF"/>
    <w:rsid w:val="001A5E28"/>
    <w:rsid w:val="001B222D"/>
    <w:rsid w:val="001B3190"/>
    <w:rsid w:val="001B4B3C"/>
    <w:rsid w:val="001B618B"/>
    <w:rsid w:val="001C1B73"/>
    <w:rsid w:val="001C2FB8"/>
    <w:rsid w:val="001C35BB"/>
    <w:rsid w:val="001C77F1"/>
    <w:rsid w:val="001D4A49"/>
    <w:rsid w:val="001D4E38"/>
    <w:rsid w:val="001D6368"/>
    <w:rsid w:val="001D674D"/>
    <w:rsid w:val="001D70B9"/>
    <w:rsid w:val="001E5104"/>
    <w:rsid w:val="001E6622"/>
    <w:rsid w:val="001F1C12"/>
    <w:rsid w:val="001F4AF4"/>
    <w:rsid w:val="0020596C"/>
    <w:rsid w:val="0022241D"/>
    <w:rsid w:val="002331CF"/>
    <w:rsid w:val="0023726A"/>
    <w:rsid w:val="00241844"/>
    <w:rsid w:val="00243B6F"/>
    <w:rsid w:val="002459D0"/>
    <w:rsid w:val="00247556"/>
    <w:rsid w:val="00250B52"/>
    <w:rsid w:val="00250CA0"/>
    <w:rsid w:val="002541C7"/>
    <w:rsid w:val="00255095"/>
    <w:rsid w:val="00261278"/>
    <w:rsid w:val="00261C42"/>
    <w:rsid w:val="00264A79"/>
    <w:rsid w:val="002656BA"/>
    <w:rsid w:val="00265E16"/>
    <w:rsid w:val="00267113"/>
    <w:rsid w:val="002804FD"/>
    <w:rsid w:val="00280867"/>
    <w:rsid w:val="00296069"/>
    <w:rsid w:val="002A2234"/>
    <w:rsid w:val="002A2B0F"/>
    <w:rsid w:val="002A6354"/>
    <w:rsid w:val="002B1647"/>
    <w:rsid w:val="002B72B1"/>
    <w:rsid w:val="002C1B94"/>
    <w:rsid w:val="002C2755"/>
    <w:rsid w:val="002C5AC8"/>
    <w:rsid w:val="002D1995"/>
    <w:rsid w:val="002D5D18"/>
    <w:rsid w:val="002E731C"/>
    <w:rsid w:val="002E7F96"/>
    <w:rsid w:val="002F33DF"/>
    <w:rsid w:val="002F42FF"/>
    <w:rsid w:val="002F52D8"/>
    <w:rsid w:val="002F6CDB"/>
    <w:rsid w:val="00300F62"/>
    <w:rsid w:val="00302E87"/>
    <w:rsid w:val="003061D8"/>
    <w:rsid w:val="00307951"/>
    <w:rsid w:val="00321E81"/>
    <w:rsid w:val="003227CC"/>
    <w:rsid w:val="00330D2A"/>
    <w:rsid w:val="003312D4"/>
    <w:rsid w:val="00334E09"/>
    <w:rsid w:val="0034749B"/>
    <w:rsid w:val="00350291"/>
    <w:rsid w:val="003543C5"/>
    <w:rsid w:val="00356F08"/>
    <w:rsid w:val="00365DAE"/>
    <w:rsid w:val="00370C7E"/>
    <w:rsid w:val="00383542"/>
    <w:rsid w:val="003837CC"/>
    <w:rsid w:val="00394814"/>
    <w:rsid w:val="00397702"/>
    <w:rsid w:val="003A688A"/>
    <w:rsid w:val="003B090C"/>
    <w:rsid w:val="003B4319"/>
    <w:rsid w:val="003C31D7"/>
    <w:rsid w:val="003D2FD6"/>
    <w:rsid w:val="003E3CD6"/>
    <w:rsid w:val="003E4214"/>
    <w:rsid w:val="003E4EB9"/>
    <w:rsid w:val="003E5A8D"/>
    <w:rsid w:val="003E703F"/>
    <w:rsid w:val="003F10B6"/>
    <w:rsid w:val="003F36E9"/>
    <w:rsid w:val="003F5C45"/>
    <w:rsid w:val="0040188E"/>
    <w:rsid w:val="0040441F"/>
    <w:rsid w:val="00421375"/>
    <w:rsid w:val="004228A6"/>
    <w:rsid w:val="004231F5"/>
    <w:rsid w:val="00424FC2"/>
    <w:rsid w:val="00425FF1"/>
    <w:rsid w:val="0042772E"/>
    <w:rsid w:val="00433044"/>
    <w:rsid w:val="004331F6"/>
    <w:rsid w:val="00433B17"/>
    <w:rsid w:val="00436923"/>
    <w:rsid w:val="00440CC6"/>
    <w:rsid w:val="004432EE"/>
    <w:rsid w:val="0044577A"/>
    <w:rsid w:val="004501E8"/>
    <w:rsid w:val="00462D08"/>
    <w:rsid w:val="00466845"/>
    <w:rsid w:val="00466F1F"/>
    <w:rsid w:val="004702B8"/>
    <w:rsid w:val="00474979"/>
    <w:rsid w:val="0047509E"/>
    <w:rsid w:val="004762C8"/>
    <w:rsid w:val="0047670C"/>
    <w:rsid w:val="0047748A"/>
    <w:rsid w:val="004778D1"/>
    <w:rsid w:val="00490661"/>
    <w:rsid w:val="00492769"/>
    <w:rsid w:val="0049298E"/>
    <w:rsid w:val="004A048B"/>
    <w:rsid w:val="004A1B96"/>
    <w:rsid w:val="004A6DF1"/>
    <w:rsid w:val="004A7027"/>
    <w:rsid w:val="004A7398"/>
    <w:rsid w:val="004A7940"/>
    <w:rsid w:val="004B289C"/>
    <w:rsid w:val="004B290F"/>
    <w:rsid w:val="004C6B6E"/>
    <w:rsid w:val="004C7C43"/>
    <w:rsid w:val="004D1A5C"/>
    <w:rsid w:val="004E31A0"/>
    <w:rsid w:val="004E520C"/>
    <w:rsid w:val="004E774E"/>
    <w:rsid w:val="004E7901"/>
    <w:rsid w:val="004F00E1"/>
    <w:rsid w:val="004F0E45"/>
    <w:rsid w:val="004F4DD7"/>
    <w:rsid w:val="004F5DB6"/>
    <w:rsid w:val="004F7BE9"/>
    <w:rsid w:val="00523B09"/>
    <w:rsid w:val="00526431"/>
    <w:rsid w:val="00527F45"/>
    <w:rsid w:val="00530AA4"/>
    <w:rsid w:val="0053447C"/>
    <w:rsid w:val="005354B2"/>
    <w:rsid w:val="005410B5"/>
    <w:rsid w:val="00542F2A"/>
    <w:rsid w:val="00544227"/>
    <w:rsid w:val="005469AB"/>
    <w:rsid w:val="00546A94"/>
    <w:rsid w:val="00546BB6"/>
    <w:rsid w:val="00564CB9"/>
    <w:rsid w:val="00567FAB"/>
    <w:rsid w:val="00576B27"/>
    <w:rsid w:val="00577701"/>
    <w:rsid w:val="00582C44"/>
    <w:rsid w:val="005838DD"/>
    <w:rsid w:val="00585614"/>
    <w:rsid w:val="0059409D"/>
    <w:rsid w:val="005950C4"/>
    <w:rsid w:val="005A11BE"/>
    <w:rsid w:val="005A3AAE"/>
    <w:rsid w:val="005A75C1"/>
    <w:rsid w:val="005B4869"/>
    <w:rsid w:val="005C0069"/>
    <w:rsid w:val="005C1C34"/>
    <w:rsid w:val="005C4CF9"/>
    <w:rsid w:val="005C6975"/>
    <w:rsid w:val="005D5255"/>
    <w:rsid w:val="005D6B61"/>
    <w:rsid w:val="005D7F92"/>
    <w:rsid w:val="005E1923"/>
    <w:rsid w:val="005E2724"/>
    <w:rsid w:val="005E3FFD"/>
    <w:rsid w:val="005F195F"/>
    <w:rsid w:val="005F289C"/>
    <w:rsid w:val="005F7ABA"/>
    <w:rsid w:val="00601F9A"/>
    <w:rsid w:val="00607E24"/>
    <w:rsid w:val="00610D95"/>
    <w:rsid w:val="0061212B"/>
    <w:rsid w:val="0061398D"/>
    <w:rsid w:val="00614D16"/>
    <w:rsid w:val="00620DCF"/>
    <w:rsid w:val="006250C6"/>
    <w:rsid w:val="00631F0A"/>
    <w:rsid w:val="00633E04"/>
    <w:rsid w:val="0064220E"/>
    <w:rsid w:val="0064509D"/>
    <w:rsid w:val="00647127"/>
    <w:rsid w:val="006506F2"/>
    <w:rsid w:val="0065528E"/>
    <w:rsid w:val="00656680"/>
    <w:rsid w:val="00657321"/>
    <w:rsid w:val="00660681"/>
    <w:rsid w:val="00660D02"/>
    <w:rsid w:val="00662FF9"/>
    <w:rsid w:val="00666770"/>
    <w:rsid w:val="00670855"/>
    <w:rsid w:val="00672144"/>
    <w:rsid w:val="0067283C"/>
    <w:rsid w:val="00676148"/>
    <w:rsid w:val="006A4DE3"/>
    <w:rsid w:val="006B1707"/>
    <w:rsid w:val="006B3940"/>
    <w:rsid w:val="006B4684"/>
    <w:rsid w:val="006B4D73"/>
    <w:rsid w:val="006C1719"/>
    <w:rsid w:val="006C19F4"/>
    <w:rsid w:val="006C3871"/>
    <w:rsid w:val="006C3F60"/>
    <w:rsid w:val="006C6E31"/>
    <w:rsid w:val="006C7261"/>
    <w:rsid w:val="006D3728"/>
    <w:rsid w:val="006D4F60"/>
    <w:rsid w:val="006D5B93"/>
    <w:rsid w:val="006D6161"/>
    <w:rsid w:val="006E2209"/>
    <w:rsid w:val="006E2A5B"/>
    <w:rsid w:val="006E6F1A"/>
    <w:rsid w:val="00704560"/>
    <w:rsid w:val="007053ED"/>
    <w:rsid w:val="00712AE8"/>
    <w:rsid w:val="00715EF9"/>
    <w:rsid w:val="0072039B"/>
    <w:rsid w:val="00743859"/>
    <w:rsid w:val="007455BE"/>
    <w:rsid w:val="00746BA8"/>
    <w:rsid w:val="00747514"/>
    <w:rsid w:val="00750EE1"/>
    <w:rsid w:val="00750F06"/>
    <w:rsid w:val="00751678"/>
    <w:rsid w:val="00756F4D"/>
    <w:rsid w:val="007658DB"/>
    <w:rsid w:val="007715C3"/>
    <w:rsid w:val="0077600A"/>
    <w:rsid w:val="0078092C"/>
    <w:rsid w:val="00791C5A"/>
    <w:rsid w:val="00792733"/>
    <w:rsid w:val="007960E9"/>
    <w:rsid w:val="00796F9A"/>
    <w:rsid w:val="007971B9"/>
    <w:rsid w:val="00797C7D"/>
    <w:rsid w:val="007A34E3"/>
    <w:rsid w:val="007A38D9"/>
    <w:rsid w:val="007A5D21"/>
    <w:rsid w:val="007B1D16"/>
    <w:rsid w:val="007B3B5A"/>
    <w:rsid w:val="007B5909"/>
    <w:rsid w:val="007C2D94"/>
    <w:rsid w:val="007D1669"/>
    <w:rsid w:val="007D2795"/>
    <w:rsid w:val="007D42D8"/>
    <w:rsid w:val="007D6A53"/>
    <w:rsid w:val="007D7C5E"/>
    <w:rsid w:val="007E6454"/>
    <w:rsid w:val="007F0DA8"/>
    <w:rsid w:val="007F21A0"/>
    <w:rsid w:val="007F7C70"/>
    <w:rsid w:val="00800820"/>
    <w:rsid w:val="008033AD"/>
    <w:rsid w:val="00811EAE"/>
    <w:rsid w:val="00822ACE"/>
    <w:rsid w:val="00824AE2"/>
    <w:rsid w:val="00825BA1"/>
    <w:rsid w:val="00827073"/>
    <w:rsid w:val="0083092A"/>
    <w:rsid w:val="00830B0D"/>
    <w:rsid w:val="00835330"/>
    <w:rsid w:val="00841712"/>
    <w:rsid w:val="008417F5"/>
    <w:rsid w:val="00842FE7"/>
    <w:rsid w:val="00845C29"/>
    <w:rsid w:val="00855AA2"/>
    <w:rsid w:val="00861291"/>
    <w:rsid w:val="00862D82"/>
    <w:rsid w:val="00865391"/>
    <w:rsid w:val="00870750"/>
    <w:rsid w:val="00870E3A"/>
    <w:rsid w:val="008722E5"/>
    <w:rsid w:val="00875579"/>
    <w:rsid w:val="0088699A"/>
    <w:rsid w:val="008872BB"/>
    <w:rsid w:val="00890259"/>
    <w:rsid w:val="008940C9"/>
    <w:rsid w:val="008944BB"/>
    <w:rsid w:val="008A01D8"/>
    <w:rsid w:val="008A288F"/>
    <w:rsid w:val="008B16C3"/>
    <w:rsid w:val="008B33FE"/>
    <w:rsid w:val="008B5D98"/>
    <w:rsid w:val="008B7B9B"/>
    <w:rsid w:val="008C0D04"/>
    <w:rsid w:val="008C0FD5"/>
    <w:rsid w:val="008C72CC"/>
    <w:rsid w:val="008C7AC4"/>
    <w:rsid w:val="008D7019"/>
    <w:rsid w:val="008D7E94"/>
    <w:rsid w:val="008E3AE6"/>
    <w:rsid w:val="008F201B"/>
    <w:rsid w:val="008F45DB"/>
    <w:rsid w:val="008F4FA3"/>
    <w:rsid w:val="00900C54"/>
    <w:rsid w:val="00916D9B"/>
    <w:rsid w:val="009238AE"/>
    <w:rsid w:val="0092706E"/>
    <w:rsid w:val="00932F92"/>
    <w:rsid w:val="0094021B"/>
    <w:rsid w:val="00943647"/>
    <w:rsid w:val="009465C9"/>
    <w:rsid w:val="00950C7F"/>
    <w:rsid w:val="00951C89"/>
    <w:rsid w:val="009536FE"/>
    <w:rsid w:val="00956979"/>
    <w:rsid w:val="009610E2"/>
    <w:rsid w:val="0096538A"/>
    <w:rsid w:val="009725DF"/>
    <w:rsid w:val="009766AF"/>
    <w:rsid w:val="009836E6"/>
    <w:rsid w:val="00985DC4"/>
    <w:rsid w:val="009862E7"/>
    <w:rsid w:val="00993D05"/>
    <w:rsid w:val="00994303"/>
    <w:rsid w:val="00994F88"/>
    <w:rsid w:val="0099592B"/>
    <w:rsid w:val="009B5F8E"/>
    <w:rsid w:val="009D66A6"/>
    <w:rsid w:val="009D696E"/>
    <w:rsid w:val="009E2834"/>
    <w:rsid w:val="009E452B"/>
    <w:rsid w:val="009E5F26"/>
    <w:rsid w:val="009E62E2"/>
    <w:rsid w:val="009F0986"/>
    <w:rsid w:val="009F1AF8"/>
    <w:rsid w:val="009F20E2"/>
    <w:rsid w:val="009F381C"/>
    <w:rsid w:val="009F6E05"/>
    <w:rsid w:val="00A00F82"/>
    <w:rsid w:val="00A020D0"/>
    <w:rsid w:val="00A02FBB"/>
    <w:rsid w:val="00A0417B"/>
    <w:rsid w:val="00A04BF8"/>
    <w:rsid w:val="00A05C95"/>
    <w:rsid w:val="00A07120"/>
    <w:rsid w:val="00A07AC2"/>
    <w:rsid w:val="00A12649"/>
    <w:rsid w:val="00A16AEF"/>
    <w:rsid w:val="00A2124D"/>
    <w:rsid w:val="00A22E23"/>
    <w:rsid w:val="00A27186"/>
    <w:rsid w:val="00A3074D"/>
    <w:rsid w:val="00A35CB6"/>
    <w:rsid w:val="00A44AA9"/>
    <w:rsid w:val="00A5652F"/>
    <w:rsid w:val="00A570EE"/>
    <w:rsid w:val="00A65623"/>
    <w:rsid w:val="00A77078"/>
    <w:rsid w:val="00A81A9C"/>
    <w:rsid w:val="00A826E1"/>
    <w:rsid w:val="00A82D20"/>
    <w:rsid w:val="00A830A7"/>
    <w:rsid w:val="00A87B0F"/>
    <w:rsid w:val="00A87E8B"/>
    <w:rsid w:val="00A87EB2"/>
    <w:rsid w:val="00A93817"/>
    <w:rsid w:val="00A96B16"/>
    <w:rsid w:val="00AA3ED7"/>
    <w:rsid w:val="00AA5393"/>
    <w:rsid w:val="00AA5C5C"/>
    <w:rsid w:val="00AB3D7F"/>
    <w:rsid w:val="00AC109B"/>
    <w:rsid w:val="00AC29B4"/>
    <w:rsid w:val="00AC492F"/>
    <w:rsid w:val="00AC4C2D"/>
    <w:rsid w:val="00AD3734"/>
    <w:rsid w:val="00AE228F"/>
    <w:rsid w:val="00AE2642"/>
    <w:rsid w:val="00AE3356"/>
    <w:rsid w:val="00AE39AA"/>
    <w:rsid w:val="00AE4A15"/>
    <w:rsid w:val="00AF16A5"/>
    <w:rsid w:val="00AF1D57"/>
    <w:rsid w:val="00AF3E9A"/>
    <w:rsid w:val="00AF6907"/>
    <w:rsid w:val="00B00847"/>
    <w:rsid w:val="00B023F7"/>
    <w:rsid w:val="00B046A2"/>
    <w:rsid w:val="00B07915"/>
    <w:rsid w:val="00B1147E"/>
    <w:rsid w:val="00B2308C"/>
    <w:rsid w:val="00B23946"/>
    <w:rsid w:val="00B2797C"/>
    <w:rsid w:val="00B34B4A"/>
    <w:rsid w:val="00B40CF1"/>
    <w:rsid w:val="00B46E95"/>
    <w:rsid w:val="00B527D2"/>
    <w:rsid w:val="00B52851"/>
    <w:rsid w:val="00B56B49"/>
    <w:rsid w:val="00B61F1A"/>
    <w:rsid w:val="00B62EC2"/>
    <w:rsid w:val="00B72C96"/>
    <w:rsid w:val="00B72E8C"/>
    <w:rsid w:val="00B80154"/>
    <w:rsid w:val="00B80563"/>
    <w:rsid w:val="00B84935"/>
    <w:rsid w:val="00B84D83"/>
    <w:rsid w:val="00B86923"/>
    <w:rsid w:val="00B90C43"/>
    <w:rsid w:val="00B96061"/>
    <w:rsid w:val="00BA26D6"/>
    <w:rsid w:val="00BB0BDF"/>
    <w:rsid w:val="00BB4E47"/>
    <w:rsid w:val="00BC1C6C"/>
    <w:rsid w:val="00BC2C05"/>
    <w:rsid w:val="00BC35CB"/>
    <w:rsid w:val="00BC5D92"/>
    <w:rsid w:val="00BD566F"/>
    <w:rsid w:val="00BE2F8B"/>
    <w:rsid w:val="00BE3F16"/>
    <w:rsid w:val="00BE5EAF"/>
    <w:rsid w:val="00BF1A2D"/>
    <w:rsid w:val="00BF782E"/>
    <w:rsid w:val="00C00A0E"/>
    <w:rsid w:val="00C02CF2"/>
    <w:rsid w:val="00C04229"/>
    <w:rsid w:val="00C0730F"/>
    <w:rsid w:val="00C218B0"/>
    <w:rsid w:val="00C274BB"/>
    <w:rsid w:val="00C53929"/>
    <w:rsid w:val="00C569D4"/>
    <w:rsid w:val="00C626DD"/>
    <w:rsid w:val="00C726F0"/>
    <w:rsid w:val="00C733AF"/>
    <w:rsid w:val="00C80241"/>
    <w:rsid w:val="00C866F7"/>
    <w:rsid w:val="00C90079"/>
    <w:rsid w:val="00C915D9"/>
    <w:rsid w:val="00C929C6"/>
    <w:rsid w:val="00C92C42"/>
    <w:rsid w:val="00C974F2"/>
    <w:rsid w:val="00CA512E"/>
    <w:rsid w:val="00CB3518"/>
    <w:rsid w:val="00CB44BC"/>
    <w:rsid w:val="00CB5A06"/>
    <w:rsid w:val="00CB6D03"/>
    <w:rsid w:val="00CB6D0A"/>
    <w:rsid w:val="00CC1314"/>
    <w:rsid w:val="00CD402B"/>
    <w:rsid w:val="00CD7F12"/>
    <w:rsid w:val="00CE1DA2"/>
    <w:rsid w:val="00CE3A50"/>
    <w:rsid w:val="00CE4A31"/>
    <w:rsid w:val="00CF4C38"/>
    <w:rsid w:val="00CF5855"/>
    <w:rsid w:val="00D0556B"/>
    <w:rsid w:val="00D1598B"/>
    <w:rsid w:val="00D24D84"/>
    <w:rsid w:val="00D24EA2"/>
    <w:rsid w:val="00D34333"/>
    <w:rsid w:val="00D40FE2"/>
    <w:rsid w:val="00D44CCE"/>
    <w:rsid w:val="00D502E2"/>
    <w:rsid w:val="00D5486A"/>
    <w:rsid w:val="00D60E0B"/>
    <w:rsid w:val="00D617DB"/>
    <w:rsid w:val="00D63EBA"/>
    <w:rsid w:val="00D70278"/>
    <w:rsid w:val="00D80713"/>
    <w:rsid w:val="00D86052"/>
    <w:rsid w:val="00D90201"/>
    <w:rsid w:val="00D937DD"/>
    <w:rsid w:val="00D93968"/>
    <w:rsid w:val="00DA2BD8"/>
    <w:rsid w:val="00DA3339"/>
    <w:rsid w:val="00DA411F"/>
    <w:rsid w:val="00DA660E"/>
    <w:rsid w:val="00DB0166"/>
    <w:rsid w:val="00DB61AD"/>
    <w:rsid w:val="00DB6921"/>
    <w:rsid w:val="00DB7081"/>
    <w:rsid w:val="00DC572B"/>
    <w:rsid w:val="00DC5F80"/>
    <w:rsid w:val="00DC61F6"/>
    <w:rsid w:val="00DD54AA"/>
    <w:rsid w:val="00DE4447"/>
    <w:rsid w:val="00DE68F8"/>
    <w:rsid w:val="00DF389B"/>
    <w:rsid w:val="00DF5402"/>
    <w:rsid w:val="00DF7FAD"/>
    <w:rsid w:val="00E0240A"/>
    <w:rsid w:val="00E02F24"/>
    <w:rsid w:val="00E07DEC"/>
    <w:rsid w:val="00E128AB"/>
    <w:rsid w:val="00E17F8F"/>
    <w:rsid w:val="00E22E48"/>
    <w:rsid w:val="00E24DFD"/>
    <w:rsid w:val="00E4077D"/>
    <w:rsid w:val="00E40A81"/>
    <w:rsid w:val="00E42785"/>
    <w:rsid w:val="00E50D8F"/>
    <w:rsid w:val="00E67C51"/>
    <w:rsid w:val="00E7430C"/>
    <w:rsid w:val="00E75D88"/>
    <w:rsid w:val="00E75D96"/>
    <w:rsid w:val="00E76039"/>
    <w:rsid w:val="00E77CBD"/>
    <w:rsid w:val="00E8363E"/>
    <w:rsid w:val="00E83D24"/>
    <w:rsid w:val="00E863FE"/>
    <w:rsid w:val="00EA058C"/>
    <w:rsid w:val="00EA0CE7"/>
    <w:rsid w:val="00EB0D37"/>
    <w:rsid w:val="00EB2EBB"/>
    <w:rsid w:val="00EC25E7"/>
    <w:rsid w:val="00EC270F"/>
    <w:rsid w:val="00EC3E57"/>
    <w:rsid w:val="00EC579B"/>
    <w:rsid w:val="00ED0F02"/>
    <w:rsid w:val="00EF3768"/>
    <w:rsid w:val="00F031A7"/>
    <w:rsid w:val="00F06CB9"/>
    <w:rsid w:val="00F20CD3"/>
    <w:rsid w:val="00F21E95"/>
    <w:rsid w:val="00F22839"/>
    <w:rsid w:val="00F307AE"/>
    <w:rsid w:val="00F314A0"/>
    <w:rsid w:val="00F36585"/>
    <w:rsid w:val="00F40021"/>
    <w:rsid w:val="00F40FD7"/>
    <w:rsid w:val="00F41D38"/>
    <w:rsid w:val="00F41FDC"/>
    <w:rsid w:val="00F45A59"/>
    <w:rsid w:val="00F4708C"/>
    <w:rsid w:val="00F50DE9"/>
    <w:rsid w:val="00F62D99"/>
    <w:rsid w:val="00F63B33"/>
    <w:rsid w:val="00F63CC2"/>
    <w:rsid w:val="00F65B7A"/>
    <w:rsid w:val="00F66B7B"/>
    <w:rsid w:val="00F673EC"/>
    <w:rsid w:val="00F73E8F"/>
    <w:rsid w:val="00F758AC"/>
    <w:rsid w:val="00F93632"/>
    <w:rsid w:val="00F97593"/>
    <w:rsid w:val="00FA45EF"/>
    <w:rsid w:val="00FB04A8"/>
    <w:rsid w:val="00FB4EBF"/>
    <w:rsid w:val="00FC04FC"/>
    <w:rsid w:val="00FC4BA4"/>
    <w:rsid w:val="00FC7556"/>
    <w:rsid w:val="00FD01F2"/>
    <w:rsid w:val="00FD59AE"/>
    <w:rsid w:val="00FD5D68"/>
    <w:rsid w:val="00FD5F65"/>
    <w:rsid w:val="00FD62A6"/>
    <w:rsid w:val="00FD6534"/>
    <w:rsid w:val="00FE3093"/>
    <w:rsid w:val="00FF275C"/>
    <w:rsid w:val="01205D5C"/>
    <w:rsid w:val="012D0213"/>
    <w:rsid w:val="016C0FA1"/>
    <w:rsid w:val="01CC5EE4"/>
    <w:rsid w:val="01CF1530"/>
    <w:rsid w:val="02076F1C"/>
    <w:rsid w:val="021F723B"/>
    <w:rsid w:val="0247556A"/>
    <w:rsid w:val="02775E4F"/>
    <w:rsid w:val="02A4476B"/>
    <w:rsid w:val="02C31095"/>
    <w:rsid w:val="030E489D"/>
    <w:rsid w:val="0328670B"/>
    <w:rsid w:val="03483348"/>
    <w:rsid w:val="03CE5F43"/>
    <w:rsid w:val="04C0712E"/>
    <w:rsid w:val="04F55751"/>
    <w:rsid w:val="057F6DC9"/>
    <w:rsid w:val="05D830A9"/>
    <w:rsid w:val="06FA4157"/>
    <w:rsid w:val="074D717F"/>
    <w:rsid w:val="08324047"/>
    <w:rsid w:val="087370B9"/>
    <w:rsid w:val="08742A60"/>
    <w:rsid w:val="08D17D60"/>
    <w:rsid w:val="08F301FA"/>
    <w:rsid w:val="09167A44"/>
    <w:rsid w:val="09505959"/>
    <w:rsid w:val="09966219"/>
    <w:rsid w:val="09F204B1"/>
    <w:rsid w:val="0A1B7A08"/>
    <w:rsid w:val="0A430D0D"/>
    <w:rsid w:val="0A9D041D"/>
    <w:rsid w:val="0AB6328D"/>
    <w:rsid w:val="0B5F56D3"/>
    <w:rsid w:val="0C6531BD"/>
    <w:rsid w:val="0C654DE8"/>
    <w:rsid w:val="0CA77331"/>
    <w:rsid w:val="0CB87790"/>
    <w:rsid w:val="0CBA3508"/>
    <w:rsid w:val="0D1B387B"/>
    <w:rsid w:val="0D52512B"/>
    <w:rsid w:val="0D5C45C0"/>
    <w:rsid w:val="0D96694A"/>
    <w:rsid w:val="0D9C3919"/>
    <w:rsid w:val="0D9E24C7"/>
    <w:rsid w:val="0DB8556E"/>
    <w:rsid w:val="0DEA4CE6"/>
    <w:rsid w:val="0EAF071F"/>
    <w:rsid w:val="0EC80BAC"/>
    <w:rsid w:val="0EFB3311"/>
    <w:rsid w:val="0F113188"/>
    <w:rsid w:val="0FA76DA7"/>
    <w:rsid w:val="0FD3043D"/>
    <w:rsid w:val="101051ED"/>
    <w:rsid w:val="10134CB5"/>
    <w:rsid w:val="10196379"/>
    <w:rsid w:val="103A04BC"/>
    <w:rsid w:val="105E23FD"/>
    <w:rsid w:val="106612B1"/>
    <w:rsid w:val="10686DD7"/>
    <w:rsid w:val="116A6D7C"/>
    <w:rsid w:val="118F65E6"/>
    <w:rsid w:val="11B00A36"/>
    <w:rsid w:val="11C32795"/>
    <w:rsid w:val="11CF41DB"/>
    <w:rsid w:val="11D11BBF"/>
    <w:rsid w:val="11D54941"/>
    <w:rsid w:val="12130FC5"/>
    <w:rsid w:val="122A4C8C"/>
    <w:rsid w:val="12374CB3"/>
    <w:rsid w:val="12A835DF"/>
    <w:rsid w:val="12B87AB1"/>
    <w:rsid w:val="12EA7F78"/>
    <w:rsid w:val="12F06155"/>
    <w:rsid w:val="12F42BA4"/>
    <w:rsid w:val="13054DB2"/>
    <w:rsid w:val="13421B62"/>
    <w:rsid w:val="1345032A"/>
    <w:rsid w:val="1380268A"/>
    <w:rsid w:val="13B81E24"/>
    <w:rsid w:val="13CA1B57"/>
    <w:rsid w:val="14151024"/>
    <w:rsid w:val="141F1EA3"/>
    <w:rsid w:val="143653E0"/>
    <w:rsid w:val="148A5C6E"/>
    <w:rsid w:val="149334DA"/>
    <w:rsid w:val="15246428"/>
    <w:rsid w:val="15740B44"/>
    <w:rsid w:val="15D728CF"/>
    <w:rsid w:val="15F0259A"/>
    <w:rsid w:val="164C2CF7"/>
    <w:rsid w:val="16BF6287"/>
    <w:rsid w:val="16CB4564"/>
    <w:rsid w:val="16E82B49"/>
    <w:rsid w:val="16FA09A5"/>
    <w:rsid w:val="17034F02"/>
    <w:rsid w:val="17352CA3"/>
    <w:rsid w:val="1735378C"/>
    <w:rsid w:val="17742506"/>
    <w:rsid w:val="178564C1"/>
    <w:rsid w:val="188E3A9B"/>
    <w:rsid w:val="18C13529"/>
    <w:rsid w:val="18E855AA"/>
    <w:rsid w:val="19B906A4"/>
    <w:rsid w:val="19F33BB6"/>
    <w:rsid w:val="1A3345AB"/>
    <w:rsid w:val="1A92575F"/>
    <w:rsid w:val="1A9A2283"/>
    <w:rsid w:val="1AE654C9"/>
    <w:rsid w:val="1AFF658A"/>
    <w:rsid w:val="1B662AAD"/>
    <w:rsid w:val="1B903686"/>
    <w:rsid w:val="1BA57132"/>
    <w:rsid w:val="1BC96B14"/>
    <w:rsid w:val="1C0A168B"/>
    <w:rsid w:val="1C177904"/>
    <w:rsid w:val="1C672639"/>
    <w:rsid w:val="1C676ADD"/>
    <w:rsid w:val="1CBB2985"/>
    <w:rsid w:val="1D217C86"/>
    <w:rsid w:val="1DC73F89"/>
    <w:rsid w:val="1E236A34"/>
    <w:rsid w:val="1EE946B5"/>
    <w:rsid w:val="1F242A63"/>
    <w:rsid w:val="1FA807B1"/>
    <w:rsid w:val="1FAD0CAB"/>
    <w:rsid w:val="1FF73CD4"/>
    <w:rsid w:val="20144886"/>
    <w:rsid w:val="20315438"/>
    <w:rsid w:val="20346CD6"/>
    <w:rsid w:val="206034E1"/>
    <w:rsid w:val="21010A42"/>
    <w:rsid w:val="210C1A01"/>
    <w:rsid w:val="21425423"/>
    <w:rsid w:val="2149055F"/>
    <w:rsid w:val="22E569AE"/>
    <w:rsid w:val="23051594"/>
    <w:rsid w:val="23243032"/>
    <w:rsid w:val="235E7577"/>
    <w:rsid w:val="23A777BF"/>
    <w:rsid w:val="23EE3640"/>
    <w:rsid w:val="24106386"/>
    <w:rsid w:val="24457F46"/>
    <w:rsid w:val="2460453E"/>
    <w:rsid w:val="249417F6"/>
    <w:rsid w:val="24DD560E"/>
    <w:rsid w:val="24ED56A6"/>
    <w:rsid w:val="24F86524"/>
    <w:rsid w:val="2500205F"/>
    <w:rsid w:val="25503432"/>
    <w:rsid w:val="25777D91"/>
    <w:rsid w:val="25A751B1"/>
    <w:rsid w:val="25EE5B79"/>
    <w:rsid w:val="25F50CB6"/>
    <w:rsid w:val="261B0F18"/>
    <w:rsid w:val="263F63D5"/>
    <w:rsid w:val="26887D7C"/>
    <w:rsid w:val="26EF7DFB"/>
    <w:rsid w:val="26F96584"/>
    <w:rsid w:val="272F6449"/>
    <w:rsid w:val="277976C4"/>
    <w:rsid w:val="27930786"/>
    <w:rsid w:val="27A84EB4"/>
    <w:rsid w:val="28074CD0"/>
    <w:rsid w:val="28425D08"/>
    <w:rsid w:val="28893937"/>
    <w:rsid w:val="2893524B"/>
    <w:rsid w:val="28AF7842"/>
    <w:rsid w:val="28C63745"/>
    <w:rsid w:val="28F33BD2"/>
    <w:rsid w:val="29053906"/>
    <w:rsid w:val="293146FB"/>
    <w:rsid w:val="29673C78"/>
    <w:rsid w:val="29A547A1"/>
    <w:rsid w:val="29D40F75"/>
    <w:rsid w:val="2A4E308A"/>
    <w:rsid w:val="2A6304DA"/>
    <w:rsid w:val="2A7F4FF2"/>
    <w:rsid w:val="2A832D34"/>
    <w:rsid w:val="2A8820F8"/>
    <w:rsid w:val="2AB949A8"/>
    <w:rsid w:val="2AED4651"/>
    <w:rsid w:val="2B4A3852"/>
    <w:rsid w:val="2B597F39"/>
    <w:rsid w:val="2B6568DD"/>
    <w:rsid w:val="2BB807BB"/>
    <w:rsid w:val="2C0D409F"/>
    <w:rsid w:val="2CB00693"/>
    <w:rsid w:val="2CDD4252"/>
    <w:rsid w:val="2DA27975"/>
    <w:rsid w:val="2DC25921"/>
    <w:rsid w:val="2DCC2C44"/>
    <w:rsid w:val="2E051CB2"/>
    <w:rsid w:val="2E402CEA"/>
    <w:rsid w:val="2E605140"/>
    <w:rsid w:val="2E6C4331"/>
    <w:rsid w:val="2E8157DC"/>
    <w:rsid w:val="2E864BA1"/>
    <w:rsid w:val="2EBD0E37"/>
    <w:rsid w:val="2F59167E"/>
    <w:rsid w:val="2F5C1DA5"/>
    <w:rsid w:val="2FE71628"/>
    <w:rsid w:val="300466C5"/>
    <w:rsid w:val="300A35B0"/>
    <w:rsid w:val="30BE15A5"/>
    <w:rsid w:val="30D26B6E"/>
    <w:rsid w:val="31374878"/>
    <w:rsid w:val="319F4E47"/>
    <w:rsid w:val="32847649"/>
    <w:rsid w:val="32BD2B5B"/>
    <w:rsid w:val="3341553A"/>
    <w:rsid w:val="33FA2031"/>
    <w:rsid w:val="342828A1"/>
    <w:rsid w:val="34790D04"/>
    <w:rsid w:val="3489363D"/>
    <w:rsid w:val="348E0C53"/>
    <w:rsid w:val="34A2025B"/>
    <w:rsid w:val="34B32468"/>
    <w:rsid w:val="34DA3AEF"/>
    <w:rsid w:val="34E268A9"/>
    <w:rsid w:val="34FA62E8"/>
    <w:rsid w:val="35531555"/>
    <w:rsid w:val="35586B6B"/>
    <w:rsid w:val="36AF3103"/>
    <w:rsid w:val="36CF3F43"/>
    <w:rsid w:val="376D0FF4"/>
    <w:rsid w:val="379C3687"/>
    <w:rsid w:val="37FE3BB5"/>
    <w:rsid w:val="3815206D"/>
    <w:rsid w:val="3837515E"/>
    <w:rsid w:val="3862667F"/>
    <w:rsid w:val="38767A34"/>
    <w:rsid w:val="38E250CA"/>
    <w:rsid w:val="39186D3D"/>
    <w:rsid w:val="391D56A9"/>
    <w:rsid w:val="39385CA5"/>
    <w:rsid w:val="39BA1BA2"/>
    <w:rsid w:val="39D23390"/>
    <w:rsid w:val="39E82BB3"/>
    <w:rsid w:val="3A1A0893"/>
    <w:rsid w:val="3A4257C1"/>
    <w:rsid w:val="3B1A3241"/>
    <w:rsid w:val="3B491430"/>
    <w:rsid w:val="3BBD3BCC"/>
    <w:rsid w:val="3BCD344C"/>
    <w:rsid w:val="3C2E0626"/>
    <w:rsid w:val="3CCA65A0"/>
    <w:rsid w:val="3D047B5F"/>
    <w:rsid w:val="3D8175A7"/>
    <w:rsid w:val="3DA54918"/>
    <w:rsid w:val="3E1C107E"/>
    <w:rsid w:val="3ED951C1"/>
    <w:rsid w:val="3EEC4EF4"/>
    <w:rsid w:val="3EF5367D"/>
    <w:rsid w:val="3F0338BD"/>
    <w:rsid w:val="3F397A0D"/>
    <w:rsid w:val="3F4940F4"/>
    <w:rsid w:val="3FA330D9"/>
    <w:rsid w:val="400B3158"/>
    <w:rsid w:val="403D6B94"/>
    <w:rsid w:val="407A208B"/>
    <w:rsid w:val="407D392A"/>
    <w:rsid w:val="40AA1674"/>
    <w:rsid w:val="40CE5710"/>
    <w:rsid w:val="41393CF5"/>
    <w:rsid w:val="41AB41C8"/>
    <w:rsid w:val="41B415CD"/>
    <w:rsid w:val="41F06AA9"/>
    <w:rsid w:val="42154762"/>
    <w:rsid w:val="42C8332A"/>
    <w:rsid w:val="43747266"/>
    <w:rsid w:val="43EA4AF4"/>
    <w:rsid w:val="446F7A2D"/>
    <w:rsid w:val="44764150"/>
    <w:rsid w:val="44A65B45"/>
    <w:rsid w:val="45354367"/>
    <w:rsid w:val="463158E2"/>
    <w:rsid w:val="463D37A1"/>
    <w:rsid w:val="465D66D7"/>
    <w:rsid w:val="46A95479"/>
    <w:rsid w:val="46F81F5C"/>
    <w:rsid w:val="46FA2178"/>
    <w:rsid w:val="47417453"/>
    <w:rsid w:val="47C06F1E"/>
    <w:rsid w:val="480F1B2D"/>
    <w:rsid w:val="483416BA"/>
    <w:rsid w:val="48390A7E"/>
    <w:rsid w:val="48897310"/>
    <w:rsid w:val="48A64365"/>
    <w:rsid w:val="48C93454"/>
    <w:rsid w:val="49033566"/>
    <w:rsid w:val="493D634C"/>
    <w:rsid w:val="496438D9"/>
    <w:rsid w:val="49965D98"/>
    <w:rsid w:val="4A1026DE"/>
    <w:rsid w:val="4A17094B"/>
    <w:rsid w:val="4A1962B3"/>
    <w:rsid w:val="4AE20F59"/>
    <w:rsid w:val="4B4D12B8"/>
    <w:rsid w:val="4B7F7AEB"/>
    <w:rsid w:val="4B842010"/>
    <w:rsid w:val="4BC6475E"/>
    <w:rsid w:val="4BF058F8"/>
    <w:rsid w:val="4C5E6D05"/>
    <w:rsid w:val="4C6D09D3"/>
    <w:rsid w:val="4C6E388E"/>
    <w:rsid w:val="4C7E60D8"/>
    <w:rsid w:val="4CA3113A"/>
    <w:rsid w:val="4CE216E4"/>
    <w:rsid w:val="4CF84A64"/>
    <w:rsid w:val="4CFD02CC"/>
    <w:rsid w:val="4D042EB8"/>
    <w:rsid w:val="4D4001B9"/>
    <w:rsid w:val="4D810EFD"/>
    <w:rsid w:val="4D9549A9"/>
    <w:rsid w:val="4DD3102D"/>
    <w:rsid w:val="4DD70B1D"/>
    <w:rsid w:val="4DDA3E11"/>
    <w:rsid w:val="4DE90850"/>
    <w:rsid w:val="4E125FF9"/>
    <w:rsid w:val="4E265601"/>
    <w:rsid w:val="4E791BD4"/>
    <w:rsid w:val="4E830684"/>
    <w:rsid w:val="4E981098"/>
    <w:rsid w:val="4F431107"/>
    <w:rsid w:val="4F530677"/>
    <w:rsid w:val="50631A2E"/>
    <w:rsid w:val="507C775A"/>
    <w:rsid w:val="50865088"/>
    <w:rsid w:val="50AC6291"/>
    <w:rsid w:val="50C40D2F"/>
    <w:rsid w:val="50E023DF"/>
    <w:rsid w:val="51394CD6"/>
    <w:rsid w:val="523522B6"/>
    <w:rsid w:val="5244074B"/>
    <w:rsid w:val="524C5999"/>
    <w:rsid w:val="525564B4"/>
    <w:rsid w:val="52911BE2"/>
    <w:rsid w:val="53177C0E"/>
    <w:rsid w:val="531F4D0A"/>
    <w:rsid w:val="53CB1124"/>
    <w:rsid w:val="53FF2B7C"/>
    <w:rsid w:val="540C7047"/>
    <w:rsid w:val="541303D5"/>
    <w:rsid w:val="543577AD"/>
    <w:rsid w:val="548B414C"/>
    <w:rsid w:val="55173EF5"/>
    <w:rsid w:val="552503C0"/>
    <w:rsid w:val="552A59D6"/>
    <w:rsid w:val="55436A98"/>
    <w:rsid w:val="555313D1"/>
    <w:rsid w:val="558E2409"/>
    <w:rsid w:val="55A0038E"/>
    <w:rsid w:val="561F12B3"/>
    <w:rsid w:val="56305446"/>
    <w:rsid w:val="564F1095"/>
    <w:rsid w:val="56554CD5"/>
    <w:rsid w:val="56586573"/>
    <w:rsid w:val="565D1DDC"/>
    <w:rsid w:val="56BE4E46"/>
    <w:rsid w:val="56E46059"/>
    <w:rsid w:val="56F00EA2"/>
    <w:rsid w:val="576B2A8C"/>
    <w:rsid w:val="57743881"/>
    <w:rsid w:val="5853793A"/>
    <w:rsid w:val="58B30E4F"/>
    <w:rsid w:val="58CE5DB9"/>
    <w:rsid w:val="590F40F8"/>
    <w:rsid w:val="59372AC1"/>
    <w:rsid w:val="599B6EA3"/>
    <w:rsid w:val="59B85CA7"/>
    <w:rsid w:val="59CF4D9E"/>
    <w:rsid w:val="59E25013"/>
    <w:rsid w:val="5A00631D"/>
    <w:rsid w:val="5A37162C"/>
    <w:rsid w:val="5A403808"/>
    <w:rsid w:val="5AD96DAE"/>
    <w:rsid w:val="5B7C07C9"/>
    <w:rsid w:val="5BBC75A4"/>
    <w:rsid w:val="5BC07095"/>
    <w:rsid w:val="5C0D5A63"/>
    <w:rsid w:val="5C142F3C"/>
    <w:rsid w:val="5C361105"/>
    <w:rsid w:val="5C3F26AF"/>
    <w:rsid w:val="5CC20BEA"/>
    <w:rsid w:val="5E361890"/>
    <w:rsid w:val="5E4775F9"/>
    <w:rsid w:val="5F132B6E"/>
    <w:rsid w:val="5F5A0D11"/>
    <w:rsid w:val="5F5D4BFA"/>
    <w:rsid w:val="5F9E4491"/>
    <w:rsid w:val="5FE570CA"/>
    <w:rsid w:val="6014175D"/>
    <w:rsid w:val="60956D42"/>
    <w:rsid w:val="60AE3960"/>
    <w:rsid w:val="60BD3B30"/>
    <w:rsid w:val="60C032D3"/>
    <w:rsid w:val="60E70C20"/>
    <w:rsid w:val="611F5E2A"/>
    <w:rsid w:val="6146003C"/>
    <w:rsid w:val="61706E67"/>
    <w:rsid w:val="61775EB3"/>
    <w:rsid w:val="619012B7"/>
    <w:rsid w:val="61E41603"/>
    <w:rsid w:val="625D388F"/>
    <w:rsid w:val="6287090C"/>
    <w:rsid w:val="62C27B96"/>
    <w:rsid w:val="62CB74E3"/>
    <w:rsid w:val="635F3637"/>
    <w:rsid w:val="639F3A33"/>
    <w:rsid w:val="63AC7EFE"/>
    <w:rsid w:val="63AE3C76"/>
    <w:rsid w:val="63B9FED5"/>
    <w:rsid w:val="63D55C24"/>
    <w:rsid w:val="63FE0C96"/>
    <w:rsid w:val="64925346"/>
    <w:rsid w:val="649C5533"/>
    <w:rsid w:val="64A21A2D"/>
    <w:rsid w:val="64B67287"/>
    <w:rsid w:val="64D41552"/>
    <w:rsid w:val="64D43BB1"/>
    <w:rsid w:val="64DD4010"/>
    <w:rsid w:val="65387C9C"/>
    <w:rsid w:val="65F86E5A"/>
    <w:rsid w:val="660516C6"/>
    <w:rsid w:val="66AB26EF"/>
    <w:rsid w:val="6753700F"/>
    <w:rsid w:val="67AA29A7"/>
    <w:rsid w:val="67AE241A"/>
    <w:rsid w:val="67C717AB"/>
    <w:rsid w:val="68582403"/>
    <w:rsid w:val="686139AD"/>
    <w:rsid w:val="686E1C26"/>
    <w:rsid w:val="689C2C37"/>
    <w:rsid w:val="689F6284"/>
    <w:rsid w:val="68A13DAA"/>
    <w:rsid w:val="6916489B"/>
    <w:rsid w:val="69344C1E"/>
    <w:rsid w:val="698C2CAC"/>
    <w:rsid w:val="699F29DF"/>
    <w:rsid w:val="69F83E9D"/>
    <w:rsid w:val="6A1562FF"/>
    <w:rsid w:val="6A1664E1"/>
    <w:rsid w:val="6A6257BB"/>
    <w:rsid w:val="6AC008A0"/>
    <w:rsid w:val="6B272C8C"/>
    <w:rsid w:val="6B2A0087"/>
    <w:rsid w:val="6B3C7DBA"/>
    <w:rsid w:val="6B77FAFE"/>
    <w:rsid w:val="6BEE2C86"/>
    <w:rsid w:val="6C1C0317"/>
    <w:rsid w:val="6C3369E2"/>
    <w:rsid w:val="6C53185F"/>
    <w:rsid w:val="6C550221"/>
    <w:rsid w:val="6C627CF4"/>
    <w:rsid w:val="6CCB7647"/>
    <w:rsid w:val="6CF005D8"/>
    <w:rsid w:val="6D350F65"/>
    <w:rsid w:val="6D5910F7"/>
    <w:rsid w:val="6DE5298B"/>
    <w:rsid w:val="6E0B01DA"/>
    <w:rsid w:val="6E600263"/>
    <w:rsid w:val="6F2A2D4B"/>
    <w:rsid w:val="6F497C07"/>
    <w:rsid w:val="6FE8219A"/>
    <w:rsid w:val="6FF11ABB"/>
    <w:rsid w:val="6FF2313D"/>
    <w:rsid w:val="70546349"/>
    <w:rsid w:val="70A72179"/>
    <w:rsid w:val="70EB02B8"/>
    <w:rsid w:val="71107D1F"/>
    <w:rsid w:val="712F50AA"/>
    <w:rsid w:val="71416883"/>
    <w:rsid w:val="717E2EDA"/>
    <w:rsid w:val="71846F43"/>
    <w:rsid w:val="727C17DC"/>
    <w:rsid w:val="72966949"/>
    <w:rsid w:val="72C97A08"/>
    <w:rsid w:val="72CA214F"/>
    <w:rsid w:val="73BE521F"/>
    <w:rsid w:val="7434641A"/>
    <w:rsid w:val="744950F9"/>
    <w:rsid w:val="748C0004"/>
    <w:rsid w:val="74E05C5A"/>
    <w:rsid w:val="752D1D84"/>
    <w:rsid w:val="754E350B"/>
    <w:rsid w:val="75626056"/>
    <w:rsid w:val="756B19C7"/>
    <w:rsid w:val="758962F1"/>
    <w:rsid w:val="75D4736C"/>
    <w:rsid w:val="75F145C2"/>
    <w:rsid w:val="762F50EB"/>
    <w:rsid w:val="76EC08E6"/>
    <w:rsid w:val="774921DC"/>
    <w:rsid w:val="77770AF7"/>
    <w:rsid w:val="77E34906"/>
    <w:rsid w:val="78C71166"/>
    <w:rsid w:val="78CC4E73"/>
    <w:rsid w:val="78CF4963"/>
    <w:rsid w:val="78F4660E"/>
    <w:rsid w:val="797B41A3"/>
    <w:rsid w:val="79870D9A"/>
    <w:rsid w:val="79A909FD"/>
    <w:rsid w:val="79D00993"/>
    <w:rsid w:val="7A5073DE"/>
    <w:rsid w:val="7A7F1A71"/>
    <w:rsid w:val="7ACE4ED2"/>
    <w:rsid w:val="7B046B46"/>
    <w:rsid w:val="7B4207B6"/>
    <w:rsid w:val="7BB120FE"/>
    <w:rsid w:val="7BF70459"/>
    <w:rsid w:val="7C53250F"/>
    <w:rsid w:val="7C647170"/>
    <w:rsid w:val="7CCC054E"/>
    <w:rsid w:val="7CE81B50"/>
    <w:rsid w:val="7D3F00AF"/>
    <w:rsid w:val="7D4D5E56"/>
    <w:rsid w:val="7D562F5D"/>
    <w:rsid w:val="7DD86EDD"/>
    <w:rsid w:val="7DE06322"/>
    <w:rsid w:val="7DFB1059"/>
    <w:rsid w:val="7E1D3A7B"/>
    <w:rsid w:val="7E431733"/>
    <w:rsid w:val="7EC30449"/>
    <w:rsid w:val="7EFB8C9C"/>
    <w:rsid w:val="7EFD4B74"/>
    <w:rsid w:val="7F076C05"/>
    <w:rsid w:val="7F7B314F"/>
    <w:rsid w:val="7FED672C"/>
    <w:rsid w:val="B77FCE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lang w:val="en-US" w:eastAsia="zh-CN" w:bidi="ar-SA"/>
    </w:rPr>
  </w:style>
  <w:style w:type="paragraph" w:styleId="2">
    <w:name w:val="heading 1"/>
    <w:basedOn w:val="1"/>
    <w:next w:val="1"/>
    <w:link w:val="36"/>
    <w:qFormat/>
    <w:uiPriority w:val="99"/>
    <w:pPr>
      <w:keepNext/>
      <w:keepLines/>
      <w:spacing w:line="576" w:lineRule="auto"/>
      <w:outlineLvl w:val="0"/>
    </w:pPr>
    <w:rPr>
      <w:rFonts w:ascii="Calibri" w:hAnsi="Calibri" w:cs="Calibri"/>
      <w:b/>
      <w:bCs/>
      <w:kern w:val="44"/>
      <w:sz w:val="44"/>
      <w:szCs w:val="44"/>
    </w:rPr>
  </w:style>
  <w:style w:type="paragraph" w:styleId="3">
    <w:name w:val="heading 2"/>
    <w:basedOn w:val="1"/>
    <w:next w:val="4"/>
    <w:link w:val="37"/>
    <w:autoRedefine/>
    <w:qFormat/>
    <w:uiPriority w:val="99"/>
    <w:pPr>
      <w:keepNext/>
      <w:spacing w:line="216" w:lineRule="auto"/>
      <w:outlineLvl w:val="1"/>
    </w:pPr>
    <w:rPr>
      <w:rFonts w:ascii="宋体" w:hAnsi="Calibri" w:cs="宋体"/>
      <w:b/>
      <w:bCs/>
      <w:sz w:val="28"/>
      <w:szCs w:val="28"/>
    </w:rPr>
  </w:style>
  <w:style w:type="paragraph" w:styleId="6">
    <w:name w:val="heading 3"/>
    <w:basedOn w:val="1"/>
    <w:next w:val="1"/>
    <w:link w:val="38"/>
    <w:autoRedefine/>
    <w:qFormat/>
    <w:uiPriority w:val="99"/>
    <w:pPr>
      <w:keepNext/>
      <w:numPr>
        <w:ilvl w:val="0"/>
        <w:numId w:val="1"/>
      </w:numPr>
      <w:spacing w:line="216" w:lineRule="auto"/>
      <w:outlineLvl w:val="2"/>
    </w:pPr>
    <w:rPr>
      <w:rFonts w:ascii="宋体" w:hAnsi="Calibri" w:cs="宋体"/>
      <w:b/>
      <w:bCs/>
      <w:sz w:val="28"/>
      <w:szCs w:val="28"/>
    </w:rPr>
  </w:style>
  <w:style w:type="paragraph" w:styleId="7">
    <w:name w:val="heading 4"/>
    <w:basedOn w:val="1"/>
    <w:next w:val="1"/>
    <w:autoRedefine/>
    <w:qFormat/>
    <w:uiPriority w:val="0"/>
    <w:pPr>
      <w:keepLines/>
      <w:autoSpaceDE w:val="0"/>
      <w:autoSpaceDN w:val="0"/>
      <w:adjustRightInd w:val="0"/>
      <w:textAlignment w:val="baseline"/>
      <w:outlineLvl w:val="3"/>
    </w:pPr>
    <w:rPr>
      <w:rFonts w:eastAsia="楷体_GB2312"/>
      <w:b/>
      <w:snapToGrid w:val="0"/>
      <w:sz w:val="24"/>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5"/>
    <w:link w:val="75"/>
    <w:autoRedefine/>
    <w:qFormat/>
    <w:uiPriority w:val="0"/>
    <w:pPr>
      <w:ind w:firstLine="420"/>
    </w:pPr>
  </w:style>
  <w:style w:type="paragraph" w:styleId="5">
    <w:name w:val="toc 4"/>
    <w:basedOn w:val="1"/>
    <w:next w:val="1"/>
    <w:semiHidden/>
    <w:qFormat/>
    <w:uiPriority w:val="0"/>
    <w:pPr>
      <w:ind w:left="1260" w:leftChars="600"/>
    </w:pPr>
  </w:style>
  <w:style w:type="paragraph" w:styleId="8">
    <w:name w:val="annotation text"/>
    <w:basedOn w:val="1"/>
    <w:link w:val="78"/>
    <w:autoRedefine/>
    <w:qFormat/>
    <w:uiPriority w:val="0"/>
    <w:pPr>
      <w:jc w:val="left"/>
    </w:pPr>
  </w:style>
  <w:style w:type="paragraph" w:styleId="9">
    <w:name w:val="Body Text"/>
    <w:next w:val="10"/>
    <w:link w:val="39"/>
    <w:autoRedefine/>
    <w:qFormat/>
    <w:uiPriority w:val="99"/>
    <w:rPr>
      <w:rFonts w:ascii="Times New Roman" w:hAnsi="Times New Roman" w:eastAsia="宋体" w:cs="Times New Roman"/>
      <w:lang w:val="en-US" w:eastAsia="zh-CN" w:bidi="ar-SA"/>
    </w:rPr>
  </w:style>
  <w:style w:type="paragraph" w:customStyle="1" w:styleId="10">
    <w:name w:val="Body Text First Indent1"/>
    <w:basedOn w:val="9"/>
    <w:autoRedefine/>
    <w:qFormat/>
    <w:uiPriority w:val="0"/>
    <w:pPr>
      <w:tabs>
        <w:tab w:val="left" w:pos="1275"/>
      </w:tabs>
      <w:ind w:firstLine="420" w:firstLineChars="100"/>
    </w:pPr>
  </w:style>
  <w:style w:type="paragraph" w:styleId="11">
    <w:name w:val="Body Text Indent"/>
    <w:basedOn w:val="1"/>
    <w:next w:val="4"/>
    <w:link w:val="45"/>
    <w:autoRedefine/>
    <w:qFormat/>
    <w:uiPriority w:val="99"/>
    <w:pPr>
      <w:adjustRightInd w:val="0"/>
      <w:spacing w:line="360" w:lineRule="auto"/>
      <w:ind w:firstLine="490"/>
    </w:pPr>
    <w:rPr>
      <w:rFonts w:ascii="宋体" w:hAnsi="宋体" w:cs="宋体"/>
      <w:sz w:val="24"/>
      <w:szCs w:val="24"/>
    </w:rPr>
  </w:style>
  <w:style w:type="paragraph" w:styleId="12">
    <w:name w:val="toc 3"/>
    <w:next w:val="1"/>
    <w:autoRedefine/>
    <w:qFormat/>
    <w:uiPriority w:val="99"/>
    <w:pPr>
      <w:ind w:left="840" w:leftChars="400"/>
    </w:pPr>
    <w:rPr>
      <w:rFonts w:ascii="Times New Roman" w:hAnsi="Times New Roman" w:eastAsia="宋体" w:cs="Times New Roman"/>
      <w:lang w:val="en-US" w:eastAsia="zh-CN" w:bidi="ar-SA"/>
    </w:rPr>
  </w:style>
  <w:style w:type="paragraph" w:styleId="13">
    <w:name w:val="Plain Text"/>
    <w:basedOn w:val="1"/>
    <w:next w:val="1"/>
    <w:link w:val="46"/>
    <w:autoRedefine/>
    <w:qFormat/>
    <w:uiPriority w:val="0"/>
    <w:rPr>
      <w:rFonts w:ascii="宋体" w:hAnsi="Courier New" w:cs="宋体"/>
    </w:rPr>
  </w:style>
  <w:style w:type="paragraph" w:styleId="14">
    <w:name w:val="Date"/>
    <w:basedOn w:val="1"/>
    <w:next w:val="1"/>
    <w:link w:val="47"/>
    <w:autoRedefine/>
    <w:qFormat/>
    <w:uiPriority w:val="99"/>
    <w:pPr>
      <w:ind w:left="100" w:leftChars="2500"/>
    </w:pPr>
    <w:rPr>
      <w:rFonts w:ascii="宋体" w:hAnsi="宋体" w:eastAsia="宋体" w:cs="宋体"/>
      <w:color w:val="000000"/>
      <w:sz w:val="24"/>
      <w:szCs w:val="24"/>
      <w:lang w:val="en-US" w:eastAsia="zh-CN" w:bidi="ar-SA"/>
    </w:rPr>
  </w:style>
  <w:style w:type="paragraph" w:styleId="15">
    <w:name w:val="Balloon Text"/>
    <w:link w:val="48"/>
    <w:autoRedefine/>
    <w:qFormat/>
    <w:uiPriority w:val="99"/>
    <w:rPr>
      <w:rFonts w:ascii="Times New Roman" w:hAnsi="Times New Roman" w:eastAsia="宋体" w:cs="Times New Roman"/>
      <w:sz w:val="18"/>
      <w:szCs w:val="18"/>
      <w:lang w:val="en-US" w:eastAsia="zh-CN" w:bidi="ar-SA"/>
    </w:rPr>
  </w:style>
  <w:style w:type="paragraph" w:styleId="16">
    <w:name w:val="footer"/>
    <w:link w:val="49"/>
    <w:autoRedefine/>
    <w:qFormat/>
    <w:uiPriority w:val="99"/>
    <w:pPr>
      <w:tabs>
        <w:tab w:val="center" w:pos="4153"/>
        <w:tab w:val="right" w:pos="8306"/>
      </w:tabs>
      <w:snapToGrid w:val="0"/>
    </w:pPr>
    <w:rPr>
      <w:rFonts w:ascii="Times New Roman" w:hAnsi="Times New Roman" w:eastAsia="宋体" w:cs="Times New Roman"/>
      <w:sz w:val="18"/>
      <w:szCs w:val="18"/>
      <w:lang w:val="en-US" w:eastAsia="zh-CN" w:bidi="ar-SA"/>
    </w:rPr>
  </w:style>
  <w:style w:type="paragraph" w:styleId="17">
    <w:name w:val="header"/>
    <w:link w:val="50"/>
    <w:autoRedefine/>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hAnsi="Times New Roman" w:eastAsia="宋体" w:cs="宋体"/>
      <w:sz w:val="18"/>
      <w:szCs w:val="18"/>
      <w:lang w:val="en-US" w:eastAsia="zh-CN" w:bidi="ar-SA"/>
    </w:rPr>
  </w:style>
  <w:style w:type="paragraph" w:styleId="18">
    <w:name w:val="toc 1"/>
    <w:next w:val="1"/>
    <w:autoRedefine/>
    <w:qFormat/>
    <w:uiPriority w:val="99"/>
    <w:rPr>
      <w:rFonts w:ascii="Times New Roman" w:hAnsi="Times New Roman" w:eastAsia="宋体" w:cs="Times New Roman"/>
      <w:lang w:val="en-US" w:eastAsia="zh-CN" w:bidi="ar-SA"/>
    </w:rPr>
  </w:style>
  <w:style w:type="paragraph" w:styleId="19">
    <w:name w:val="Subtitle"/>
    <w:basedOn w:val="1"/>
    <w:next w:val="1"/>
    <w:link w:val="71"/>
    <w:autoRedefine/>
    <w:qFormat/>
    <w:uiPriority w:val="0"/>
    <w:pPr>
      <w:spacing w:before="240" w:after="60" w:line="312" w:lineRule="auto"/>
      <w:jc w:val="center"/>
      <w:outlineLvl w:val="1"/>
    </w:pPr>
    <w:rPr>
      <w:rFonts w:ascii="等线 Light" w:hAnsi="等线 Light"/>
      <w:b/>
      <w:bCs/>
      <w:snapToGrid w:val="0"/>
      <w:kern w:val="28"/>
      <w:sz w:val="32"/>
      <w:szCs w:val="32"/>
    </w:rPr>
  </w:style>
  <w:style w:type="paragraph" w:styleId="20">
    <w:name w:val="toc 6"/>
    <w:basedOn w:val="1"/>
    <w:next w:val="1"/>
    <w:autoRedefine/>
    <w:qFormat/>
    <w:uiPriority w:val="0"/>
    <w:pPr>
      <w:ind w:left="2100" w:leftChars="1000"/>
    </w:pPr>
    <w:rPr>
      <w:kern w:val="2"/>
      <w:sz w:val="21"/>
      <w:szCs w:val="24"/>
    </w:rPr>
  </w:style>
  <w:style w:type="paragraph" w:styleId="21">
    <w:name w:val="toc 2"/>
    <w:next w:val="1"/>
    <w:autoRedefine/>
    <w:qFormat/>
    <w:uiPriority w:val="99"/>
    <w:pPr>
      <w:ind w:left="420" w:leftChars="200"/>
    </w:pPr>
    <w:rPr>
      <w:rFonts w:ascii="Times New Roman" w:hAnsi="Times New Roman" w:eastAsia="宋体" w:cs="Times New Roman"/>
      <w:lang w:val="en-US" w:eastAsia="zh-CN" w:bidi="ar-SA"/>
    </w:rPr>
  </w:style>
  <w:style w:type="paragraph" w:styleId="22">
    <w:name w:val="Body Text 2"/>
    <w:basedOn w:val="1"/>
    <w:qFormat/>
    <w:uiPriority w:val="0"/>
    <w:pPr>
      <w:spacing w:after="120" w:line="480" w:lineRule="auto"/>
    </w:pPr>
  </w:style>
  <w:style w:type="paragraph" w:styleId="23">
    <w:name w:val="Normal (Web)"/>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styleId="24">
    <w:name w:val="annotation subject"/>
    <w:basedOn w:val="8"/>
    <w:next w:val="8"/>
    <w:link w:val="79"/>
    <w:autoRedefine/>
    <w:qFormat/>
    <w:uiPriority w:val="0"/>
    <w:rPr>
      <w:b/>
      <w:bCs/>
    </w:rPr>
  </w:style>
  <w:style w:type="paragraph" w:styleId="25">
    <w:name w:val="Body Text First Indent"/>
    <w:basedOn w:val="9"/>
    <w:link w:val="51"/>
    <w:autoRedefine/>
    <w:qFormat/>
    <w:uiPriority w:val="99"/>
    <w:pPr>
      <w:ind w:firstLine="420" w:firstLineChars="100"/>
    </w:pPr>
  </w:style>
  <w:style w:type="paragraph" w:styleId="26">
    <w:name w:val="Body Text First Indent 2"/>
    <w:basedOn w:val="11"/>
    <w:autoRedefine/>
    <w:qFormat/>
    <w:uiPriority w:val="0"/>
    <w:pPr>
      <w:ind w:firstLine="420"/>
    </w:pPr>
  </w:style>
  <w:style w:type="table" w:styleId="28">
    <w:name w:val="Table Grid"/>
    <w:basedOn w:val="27"/>
    <w:autoRedefine/>
    <w:qFormat/>
    <w:uiPriority w:val="39"/>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99"/>
    <w:rPr>
      <w:b/>
      <w:bCs/>
    </w:rPr>
  </w:style>
  <w:style w:type="character" w:styleId="31">
    <w:name w:val="page number"/>
    <w:basedOn w:val="29"/>
    <w:autoRedefine/>
    <w:qFormat/>
    <w:uiPriority w:val="99"/>
  </w:style>
  <w:style w:type="character" w:styleId="32">
    <w:name w:val="Hyperlink"/>
    <w:basedOn w:val="29"/>
    <w:autoRedefine/>
    <w:qFormat/>
    <w:uiPriority w:val="99"/>
    <w:rPr>
      <w:color w:val="0000FF"/>
      <w:u w:val="single"/>
    </w:rPr>
  </w:style>
  <w:style w:type="character" w:styleId="33">
    <w:name w:val="annotation reference"/>
    <w:basedOn w:val="29"/>
    <w:autoRedefine/>
    <w:qFormat/>
    <w:uiPriority w:val="0"/>
    <w:rPr>
      <w:sz w:val="21"/>
      <w:szCs w:val="21"/>
    </w:rPr>
  </w:style>
  <w:style w:type="paragraph" w:customStyle="1" w:styleId="34">
    <w:name w:val="正文缩进1"/>
    <w:autoRedefine/>
    <w:qFormat/>
    <w:uiPriority w:val="0"/>
    <w:pPr>
      <w:ind w:firstLine="420" w:firstLineChars="200"/>
    </w:pPr>
    <w:rPr>
      <w:rFonts w:ascii="Times New Roman" w:hAnsi="Times New Roman" w:eastAsia="宋体" w:cs="Times New Roman"/>
      <w:lang w:val="en-US" w:eastAsia="zh-CN" w:bidi="ar-SA"/>
    </w:rPr>
  </w:style>
  <w:style w:type="paragraph" w:customStyle="1" w:styleId="35">
    <w:name w:val="表格文字"/>
    <w:next w:val="9"/>
    <w:autoRedefine/>
    <w:qFormat/>
    <w:uiPriority w:val="0"/>
    <w:pPr>
      <w:adjustRightInd w:val="0"/>
      <w:spacing w:line="420" w:lineRule="atLeast"/>
      <w:textAlignment w:val="baseline"/>
    </w:pPr>
    <w:rPr>
      <w:rFonts w:ascii="Times New Roman" w:hAnsi="Times New Roman" w:eastAsia="宋体" w:cs="Times New Roman"/>
      <w:lang w:val="en-US" w:eastAsia="zh-CN" w:bidi="ar-SA"/>
    </w:rPr>
  </w:style>
  <w:style w:type="character" w:customStyle="1" w:styleId="36">
    <w:name w:val="标题 1 字符"/>
    <w:basedOn w:val="29"/>
    <w:link w:val="2"/>
    <w:autoRedefine/>
    <w:qFormat/>
    <w:uiPriority w:val="99"/>
    <w:rPr>
      <w:b/>
      <w:bCs/>
      <w:kern w:val="44"/>
      <w:sz w:val="44"/>
      <w:szCs w:val="44"/>
    </w:rPr>
  </w:style>
  <w:style w:type="character" w:customStyle="1" w:styleId="37">
    <w:name w:val="标题 2 字符"/>
    <w:basedOn w:val="29"/>
    <w:link w:val="3"/>
    <w:autoRedefine/>
    <w:qFormat/>
    <w:uiPriority w:val="99"/>
    <w:rPr>
      <w:rFonts w:ascii="宋体" w:cs="宋体"/>
      <w:b/>
      <w:bCs/>
      <w:kern w:val="2"/>
      <w:sz w:val="28"/>
      <w:szCs w:val="28"/>
    </w:rPr>
  </w:style>
  <w:style w:type="character" w:customStyle="1" w:styleId="38">
    <w:name w:val="标题 3 字符"/>
    <w:basedOn w:val="29"/>
    <w:link w:val="6"/>
    <w:autoRedefine/>
    <w:qFormat/>
    <w:uiPriority w:val="0"/>
    <w:rPr>
      <w:rFonts w:ascii="宋体" w:cs="宋体"/>
      <w:b/>
      <w:bCs/>
      <w:kern w:val="2"/>
      <w:sz w:val="28"/>
      <w:szCs w:val="28"/>
    </w:rPr>
  </w:style>
  <w:style w:type="character" w:customStyle="1" w:styleId="39">
    <w:name w:val="正文文本 字符"/>
    <w:basedOn w:val="29"/>
    <w:link w:val="9"/>
    <w:autoRedefine/>
    <w:qFormat/>
    <w:uiPriority w:val="99"/>
    <w:rPr>
      <w:rFonts w:ascii="Times New Roman" w:hAnsi="Times New Roman"/>
      <w:szCs w:val="21"/>
    </w:rPr>
  </w:style>
  <w:style w:type="paragraph" w:customStyle="1" w:styleId="40">
    <w:name w:val="样式 表格正文 + 两端对齐"/>
    <w:next w:val="41"/>
    <w:autoRedefine/>
    <w:qFormat/>
    <w:uiPriority w:val="99"/>
    <w:pPr>
      <w:spacing w:line="300" w:lineRule="auto"/>
    </w:pPr>
    <w:rPr>
      <w:rFonts w:ascii="Times New Roman" w:hAnsi="Times New Roman" w:eastAsia="宋体" w:cs="Times New Roman"/>
      <w:sz w:val="24"/>
      <w:szCs w:val="24"/>
      <w:lang w:val="en-US" w:eastAsia="zh-CN" w:bidi="ar-SA"/>
    </w:rPr>
  </w:style>
  <w:style w:type="paragraph" w:customStyle="1" w:styleId="41">
    <w:name w:val="正文1"/>
    <w:next w:val="42"/>
    <w:autoRedefine/>
    <w:qFormat/>
    <w:uiPriority w:val="99"/>
    <w:pPr>
      <w:snapToGrid w:val="0"/>
      <w:spacing w:line="500" w:lineRule="exact"/>
      <w:ind w:firstLine="567"/>
    </w:pPr>
    <w:rPr>
      <w:rFonts w:ascii="楷体_GB2312" w:hAnsi="Times New Roman" w:eastAsia="楷体_GB2312" w:cs="楷体_GB2312"/>
      <w:sz w:val="28"/>
      <w:szCs w:val="28"/>
      <w:lang w:val="en-US" w:eastAsia="zh-CN" w:bidi="ar-SA"/>
    </w:rPr>
  </w:style>
  <w:style w:type="paragraph" w:customStyle="1" w:styleId="42">
    <w:name w:val="自动更正"/>
    <w:next w:val="43"/>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3">
    <w:name w:val="xl39"/>
    <w:next w:val="44"/>
    <w:autoRedefine/>
    <w:qFormat/>
    <w:uiPriority w:val="99"/>
    <w:pPr>
      <w:pBdr>
        <w:top w:val="single" w:color="auto" w:sz="4" w:space="0"/>
        <w:bottom w:val="single" w:color="auto" w:sz="4" w:space="0"/>
        <w:right w:val="single" w:color="auto" w:sz="4" w:space="0"/>
      </w:pBdr>
      <w:spacing w:before="100" w:after="100"/>
      <w:textAlignment w:val="center"/>
    </w:pPr>
    <w:rPr>
      <w:rFonts w:ascii="Times New Roman" w:hAnsi="Times New Roman" w:eastAsia="宋体" w:cs="Times New Roman"/>
      <w:lang w:val="en-US" w:eastAsia="zh-CN" w:bidi="ar-SA"/>
    </w:rPr>
  </w:style>
  <w:style w:type="paragraph" w:customStyle="1" w:styleId="44">
    <w:name w:val="分手多日，近况如何？"/>
    <w:autoRedefine/>
    <w:qFormat/>
    <w:uiPriority w:val="0"/>
    <w:pPr>
      <w:widowControl w:val="0"/>
      <w:jc w:val="both"/>
    </w:pPr>
    <w:rPr>
      <w:rFonts w:ascii="Times New Roman" w:hAnsi="Times New Roman" w:eastAsia="宋体" w:cs="Times New Roman"/>
      <w:sz w:val="21"/>
      <w:szCs w:val="21"/>
      <w:lang w:val="en-US" w:eastAsia="zh-CN" w:bidi="ar-SA"/>
    </w:rPr>
  </w:style>
  <w:style w:type="character" w:customStyle="1" w:styleId="45">
    <w:name w:val="正文文本缩进 字符"/>
    <w:basedOn w:val="29"/>
    <w:link w:val="11"/>
    <w:autoRedefine/>
    <w:qFormat/>
    <w:uiPriority w:val="99"/>
    <w:rPr>
      <w:rFonts w:ascii="Times New Roman" w:hAnsi="Times New Roman"/>
      <w:szCs w:val="21"/>
    </w:rPr>
  </w:style>
  <w:style w:type="character" w:customStyle="1" w:styleId="46">
    <w:name w:val="纯文本 字符"/>
    <w:basedOn w:val="29"/>
    <w:link w:val="13"/>
    <w:autoRedefine/>
    <w:qFormat/>
    <w:uiPriority w:val="99"/>
    <w:rPr>
      <w:rFonts w:ascii="宋体" w:hAnsi="Courier New" w:cs="Courier New"/>
      <w:szCs w:val="21"/>
    </w:rPr>
  </w:style>
  <w:style w:type="character" w:customStyle="1" w:styleId="47">
    <w:name w:val="日期 字符"/>
    <w:basedOn w:val="29"/>
    <w:link w:val="14"/>
    <w:autoRedefine/>
    <w:qFormat/>
    <w:uiPriority w:val="99"/>
    <w:rPr>
      <w:rFonts w:ascii="Times New Roman" w:hAnsi="Times New Roman"/>
      <w:szCs w:val="21"/>
    </w:rPr>
  </w:style>
  <w:style w:type="character" w:customStyle="1" w:styleId="48">
    <w:name w:val="批注框文本 字符"/>
    <w:basedOn w:val="29"/>
    <w:link w:val="15"/>
    <w:autoRedefine/>
    <w:qFormat/>
    <w:uiPriority w:val="99"/>
    <w:rPr>
      <w:kern w:val="2"/>
      <w:sz w:val="18"/>
      <w:szCs w:val="18"/>
    </w:rPr>
  </w:style>
  <w:style w:type="character" w:customStyle="1" w:styleId="49">
    <w:name w:val="页脚 字符"/>
    <w:basedOn w:val="29"/>
    <w:link w:val="16"/>
    <w:autoRedefine/>
    <w:qFormat/>
    <w:uiPriority w:val="99"/>
    <w:rPr>
      <w:rFonts w:ascii="Times New Roman" w:hAnsi="Times New Roman"/>
      <w:sz w:val="18"/>
      <w:szCs w:val="18"/>
    </w:rPr>
  </w:style>
  <w:style w:type="character" w:customStyle="1" w:styleId="50">
    <w:name w:val="页眉 字符"/>
    <w:basedOn w:val="29"/>
    <w:link w:val="17"/>
    <w:autoRedefine/>
    <w:qFormat/>
    <w:uiPriority w:val="99"/>
    <w:rPr>
      <w:rFonts w:ascii="Times New Roman" w:hAnsi="Times New Roman"/>
      <w:sz w:val="18"/>
      <w:szCs w:val="18"/>
    </w:rPr>
  </w:style>
  <w:style w:type="character" w:customStyle="1" w:styleId="51">
    <w:name w:val="正文文本首行缩进 字符"/>
    <w:basedOn w:val="39"/>
    <w:link w:val="25"/>
    <w:autoRedefine/>
    <w:qFormat/>
    <w:uiPriority w:val="99"/>
    <w:rPr>
      <w:rFonts w:ascii="Times New Roman" w:hAnsi="Times New Roman"/>
      <w:szCs w:val="21"/>
    </w:rPr>
  </w:style>
  <w:style w:type="paragraph" w:customStyle="1" w:styleId="52">
    <w:name w:val="正文2"/>
    <w:basedOn w:val="22"/>
    <w:link w:val="74"/>
    <w:autoRedefine/>
    <w:qFormat/>
    <w:uiPriority w:val="0"/>
    <w:pPr>
      <w:adjustRightInd w:val="0"/>
      <w:spacing w:before="156" w:line="360" w:lineRule="auto"/>
      <w:ind w:firstLine="510" w:firstLineChars="200"/>
    </w:pPr>
    <w:rPr>
      <w:sz w:val="24"/>
      <w:szCs w:val="24"/>
    </w:rPr>
  </w:style>
  <w:style w:type="paragraph" w:customStyle="1" w:styleId="53">
    <w:name w:val="List Paragraph1"/>
    <w:autoRedefine/>
    <w:qFormat/>
    <w:uiPriority w:val="99"/>
    <w:pPr>
      <w:ind w:firstLine="420" w:firstLineChars="200"/>
    </w:pPr>
    <w:rPr>
      <w:rFonts w:ascii="Calibri" w:hAnsi="Calibri" w:eastAsia="宋体" w:cs="Calibri"/>
      <w:lang w:val="en-US" w:eastAsia="zh-CN" w:bidi="ar-SA"/>
    </w:rPr>
  </w:style>
  <w:style w:type="character" w:customStyle="1" w:styleId="54">
    <w:name w:val="style81"/>
    <w:autoRedefine/>
    <w:qFormat/>
    <w:uiPriority w:val="99"/>
    <w:rPr>
      <w:sz w:val="20"/>
      <w:szCs w:val="20"/>
    </w:rPr>
  </w:style>
  <w:style w:type="paragraph" w:customStyle="1" w:styleId="55">
    <w:name w:val="列出段落1"/>
    <w:autoRedefine/>
    <w:qFormat/>
    <w:uiPriority w:val="99"/>
    <w:pPr>
      <w:ind w:firstLine="420"/>
    </w:pPr>
    <w:rPr>
      <w:rFonts w:ascii="Times New Roman" w:hAnsi="Times New Roman" w:eastAsia="宋体" w:cs="Times New Roman"/>
      <w:lang w:val="en-US" w:eastAsia="zh-CN" w:bidi="ar-SA"/>
    </w:rPr>
  </w:style>
  <w:style w:type="paragraph" w:customStyle="1" w:styleId="56">
    <w:name w:val="表格"/>
    <w:autoRedefine/>
    <w:qFormat/>
    <w:uiPriority w:val="99"/>
    <w:pPr>
      <w:autoSpaceDE w:val="0"/>
      <w:autoSpaceDN w:val="0"/>
      <w:jc w:val="center"/>
      <w:textAlignment w:val="baseline"/>
    </w:pPr>
    <w:rPr>
      <w:rFonts w:ascii="Times New Roman" w:hAnsi="Times New Roman" w:eastAsia="宋体" w:cs="Times New Roman"/>
      <w:color w:val="000000"/>
      <w:lang w:val="en-US" w:eastAsia="zh-CN" w:bidi="ar-SA"/>
    </w:rPr>
  </w:style>
  <w:style w:type="character" w:customStyle="1" w:styleId="57">
    <w:name w:val="02 Char"/>
    <w:link w:val="58"/>
    <w:autoRedefine/>
    <w:qFormat/>
    <w:uiPriority w:val="99"/>
    <w:rPr>
      <w:rFonts w:ascii="宋体" w:cs="宋体"/>
      <w:b/>
      <w:bCs/>
      <w:color w:val="FF0000"/>
      <w:kern w:val="2"/>
      <w:sz w:val="28"/>
      <w:szCs w:val="28"/>
    </w:rPr>
  </w:style>
  <w:style w:type="paragraph" w:customStyle="1" w:styleId="58">
    <w:name w:val="02"/>
    <w:basedOn w:val="3"/>
    <w:link w:val="57"/>
    <w:autoRedefine/>
    <w:qFormat/>
    <w:uiPriority w:val="99"/>
    <w:pPr>
      <w:jc w:val="center"/>
    </w:pPr>
    <w:rPr>
      <w:color w:val="FF0000"/>
    </w:rPr>
  </w:style>
  <w:style w:type="character" w:customStyle="1" w:styleId="59">
    <w:name w:val="03 Char"/>
    <w:link w:val="60"/>
    <w:autoRedefine/>
    <w:qFormat/>
    <w:uiPriority w:val="99"/>
    <w:rPr>
      <w:rFonts w:ascii="宋体" w:cs="宋体"/>
      <w:b/>
      <w:bCs/>
      <w:kern w:val="2"/>
      <w:sz w:val="28"/>
      <w:szCs w:val="28"/>
    </w:rPr>
  </w:style>
  <w:style w:type="paragraph" w:customStyle="1" w:styleId="60">
    <w:name w:val="03"/>
    <w:basedOn w:val="6"/>
    <w:link w:val="59"/>
    <w:autoRedefine/>
    <w:qFormat/>
    <w:uiPriority w:val="99"/>
    <w:pPr>
      <w:numPr>
        <w:ilvl w:val="0"/>
        <w:numId w:val="0"/>
      </w:numPr>
    </w:pPr>
  </w:style>
  <w:style w:type="character" w:customStyle="1" w:styleId="61">
    <w:name w:val="宋体小四 Char"/>
    <w:link w:val="62"/>
    <w:autoRedefine/>
    <w:qFormat/>
    <w:uiPriority w:val="99"/>
    <w:rPr>
      <w:rFonts w:ascii="宋体" w:eastAsia="宋体" w:cs="宋体"/>
      <w:kern w:val="2"/>
      <w:sz w:val="24"/>
      <w:szCs w:val="24"/>
    </w:rPr>
  </w:style>
  <w:style w:type="paragraph" w:customStyle="1" w:styleId="62">
    <w:name w:val="宋体小四"/>
    <w:link w:val="61"/>
    <w:autoRedefine/>
    <w:qFormat/>
    <w:uiPriority w:val="99"/>
    <w:pPr>
      <w:spacing w:line="360" w:lineRule="auto"/>
      <w:ind w:firstLine="480" w:firstLineChars="200"/>
    </w:pPr>
    <w:rPr>
      <w:rFonts w:ascii="宋体" w:hAnsi="宋体" w:eastAsia="宋体" w:cs="宋体"/>
      <w:sz w:val="24"/>
      <w:szCs w:val="24"/>
      <w:lang w:val="en-US" w:eastAsia="zh-CN" w:bidi="ar-SA"/>
    </w:rPr>
  </w:style>
  <w:style w:type="character" w:customStyle="1" w:styleId="63">
    <w:name w:val="fontstyle01"/>
    <w:basedOn w:val="29"/>
    <w:autoRedefine/>
    <w:qFormat/>
    <w:uiPriority w:val="99"/>
    <w:rPr>
      <w:rFonts w:ascii="宋体" w:eastAsia="宋体" w:cs="宋体"/>
      <w:color w:val="000000"/>
      <w:sz w:val="22"/>
      <w:szCs w:val="22"/>
    </w:rPr>
  </w:style>
  <w:style w:type="paragraph" w:customStyle="1" w:styleId="64">
    <w:name w:val="正文首行缩进2字符"/>
    <w:autoRedefine/>
    <w:qFormat/>
    <w:uiPriority w:val="99"/>
    <w:pPr>
      <w:spacing w:line="360" w:lineRule="auto"/>
      <w:ind w:firstLine="200" w:firstLineChars="200"/>
    </w:pPr>
    <w:rPr>
      <w:rFonts w:ascii="Times New Roman" w:hAnsi="Times New Roman" w:eastAsia="宋体" w:cs="Times New Roman"/>
      <w:lang w:val="en-US" w:eastAsia="zh-CN" w:bidi="ar-SA"/>
    </w:rPr>
  </w:style>
  <w:style w:type="paragraph" w:customStyle="1" w:styleId="65">
    <w:name w:val="居中表格内容标题"/>
    <w:basedOn w:val="66"/>
    <w:autoRedefine/>
    <w:qFormat/>
    <w:uiPriority w:val="0"/>
    <w:pPr>
      <w:jc w:val="center"/>
    </w:pPr>
    <w:rPr>
      <w:b/>
    </w:rPr>
  </w:style>
  <w:style w:type="paragraph" w:customStyle="1" w:styleId="66">
    <w:name w:val="居中表格内容"/>
    <w:autoRedefine/>
    <w:qFormat/>
    <w:uiPriority w:val="0"/>
    <w:rPr>
      <w:rFonts w:ascii="Times New Roman" w:hAnsi="Times New Roman" w:eastAsia="宋体" w:cs="Times New Roman"/>
      <w:szCs w:val="28"/>
      <w:lang w:val="en-US" w:eastAsia="zh-CN" w:bidi="ar-SA"/>
    </w:rPr>
  </w:style>
  <w:style w:type="paragraph" w:customStyle="1" w:styleId="67">
    <w:name w:val="列出段落2"/>
    <w:link w:val="68"/>
    <w:autoRedefine/>
    <w:qFormat/>
    <w:uiPriority w:val="34"/>
    <w:pPr>
      <w:ind w:firstLine="420" w:firstLineChars="200"/>
    </w:pPr>
    <w:rPr>
      <w:rFonts w:ascii="Times New Roman" w:hAnsi="Times New Roman" w:eastAsia="宋体" w:cs="Times New Roman"/>
      <w:lang w:val="en-US" w:eastAsia="zh-CN" w:bidi="ar-SA"/>
    </w:rPr>
  </w:style>
  <w:style w:type="character" w:customStyle="1" w:styleId="68">
    <w:name w:val="列表段落 字符"/>
    <w:basedOn w:val="29"/>
    <w:link w:val="67"/>
    <w:autoRedefine/>
    <w:qFormat/>
    <w:uiPriority w:val="34"/>
  </w:style>
  <w:style w:type="table" w:customStyle="1" w:styleId="69">
    <w:name w:val="网格型浅色1"/>
    <w:basedOn w:val="27"/>
    <w:autoRedefine/>
    <w:qFormat/>
    <w:uiPriority w:val="4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paragraph" w:customStyle="1" w:styleId="70">
    <w:name w:val="正文（首行缩进2字符）"/>
    <w:basedOn w:val="1"/>
    <w:autoRedefine/>
    <w:qFormat/>
    <w:uiPriority w:val="0"/>
    <w:pPr>
      <w:spacing w:line="360" w:lineRule="auto"/>
      <w:ind w:firstLine="480" w:firstLineChars="200"/>
    </w:pPr>
    <w:rPr>
      <w:kern w:val="2"/>
      <w:sz w:val="24"/>
    </w:rPr>
  </w:style>
  <w:style w:type="character" w:customStyle="1" w:styleId="71">
    <w:name w:val="副标题 字符"/>
    <w:basedOn w:val="29"/>
    <w:link w:val="19"/>
    <w:autoRedefine/>
    <w:qFormat/>
    <w:uiPriority w:val="0"/>
    <w:rPr>
      <w:rFonts w:ascii="等线 Light" w:hAnsi="等线 Light"/>
      <w:b/>
      <w:bCs/>
      <w:snapToGrid w:val="0"/>
      <w:kern w:val="28"/>
      <w:sz w:val="32"/>
      <w:szCs w:val="32"/>
    </w:rPr>
  </w:style>
  <w:style w:type="paragraph" w:customStyle="1" w:styleId="72">
    <w:name w:val="正文小四"/>
    <w:basedOn w:val="1"/>
    <w:autoRedefine/>
    <w:qFormat/>
    <w:uiPriority w:val="0"/>
    <w:pPr>
      <w:widowControl/>
      <w:spacing w:line="360" w:lineRule="auto"/>
      <w:ind w:firstLine="200" w:firstLineChars="200"/>
      <w:jc w:val="left"/>
    </w:pPr>
    <w:rPr>
      <w:rFonts w:ascii="Calibri" w:hAnsi="Calibri" w:eastAsia="仿宋"/>
      <w:snapToGrid w:val="0"/>
      <w:sz w:val="24"/>
      <w:szCs w:val="21"/>
    </w:rPr>
  </w:style>
  <w:style w:type="paragraph" w:customStyle="1" w:styleId="73">
    <w:name w:val="样式x"/>
    <w:basedOn w:val="6"/>
    <w:autoRedefine/>
    <w:qFormat/>
    <w:uiPriority w:val="0"/>
    <w:pPr>
      <w:numPr>
        <w:numId w:val="0"/>
      </w:numPr>
      <w:ind w:left="1275" w:hanging="720"/>
    </w:pPr>
    <w:rPr>
      <w:rFonts w:hAnsi="Times New Roman" w:eastAsia="仿宋" w:cs="Times New Roman"/>
      <w:bCs w:val="0"/>
      <w:snapToGrid w:val="0"/>
      <w:kern w:val="2"/>
      <w:szCs w:val="20"/>
    </w:rPr>
  </w:style>
  <w:style w:type="character" w:customStyle="1" w:styleId="74">
    <w:name w:val="正文2 Char Char"/>
    <w:link w:val="52"/>
    <w:autoRedefine/>
    <w:qFormat/>
    <w:uiPriority w:val="0"/>
    <w:rPr>
      <w:sz w:val="24"/>
      <w:szCs w:val="24"/>
    </w:rPr>
  </w:style>
  <w:style w:type="character" w:customStyle="1" w:styleId="75">
    <w:name w:val="正文缩进 字符"/>
    <w:link w:val="4"/>
    <w:autoRedefine/>
    <w:qFormat/>
    <w:uiPriority w:val="0"/>
  </w:style>
  <w:style w:type="paragraph" w:customStyle="1" w:styleId="76">
    <w:name w:val="_Style 1"/>
    <w:basedOn w:val="1"/>
    <w:autoRedefine/>
    <w:qFormat/>
    <w:uiPriority w:val="34"/>
    <w:pPr>
      <w:ind w:firstLine="420" w:firstLineChars="200"/>
    </w:pPr>
    <w:rPr>
      <w:rFonts w:ascii="Calibri" w:hAnsi="Calibri" w:eastAsia="仿宋_GB2312"/>
      <w:kern w:val="2"/>
      <w:sz w:val="28"/>
      <w:szCs w:val="24"/>
    </w:rPr>
  </w:style>
  <w:style w:type="character" w:customStyle="1" w:styleId="77">
    <w:name w:val="font21"/>
    <w:basedOn w:val="29"/>
    <w:autoRedefine/>
    <w:qFormat/>
    <w:uiPriority w:val="0"/>
    <w:rPr>
      <w:rFonts w:hint="eastAsia" w:ascii="宋体" w:hAnsi="宋体" w:eastAsia="宋体" w:cs="宋体"/>
      <w:color w:val="000000"/>
      <w:sz w:val="24"/>
      <w:szCs w:val="24"/>
      <w:u w:val="none"/>
    </w:rPr>
  </w:style>
  <w:style w:type="character" w:customStyle="1" w:styleId="78">
    <w:name w:val="批注文字 字符"/>
    <w:basedOn w:val="29"/>
    <w:link w:val="8"/>
    <w:autoRedefine/>
    <w:qFormat/>
    <w:uiPriority w:val="0"/>
  </w:style>
  <w:style w:type="character" w:customStyle="1" w:styleId="79">
    <w:name w:val="批注主题 字符"/>
    <w:basedOn w:val="78"/>
    <w:link w:val="24"/>
    <w:autoRedefine/>
    <w:qFormat/>
    <w:uiPriority w:val="0"/>
    <w:rPr>
      <w:b/>
      <w:bCs/>
    </w:rPr>
  </w:style>
  <w:style w:type="paragraph" w:customStyle="1" w:styleId="80">
    <w:name w:val="修订1"/>
    <w:autoRedefine/>
    <w:hidden/>
    <w:semiHidden/>
    <w:qFormat/>
    <w:uiPriority w:val="99"/>
    <w:rPr>
      <w:rFonts w:ascii="Times New Roman" w:hAnsi="Times New Roman" w:eastAsia="宋体" w:cs="Times New Roman"/>
      <w:lang w:val="en-US" w:eastAsia="zh-CN" w:bidi="ar-SA"/>
    </w:rPr>
  </w:style>
  <w:style w:type="paragraph" w:styleId="81">
    <w:name w:val="List Paragraph"/>
    <w:basedOn w:val="1"/>
    <w:autoRedefine/>
    <w:qFormat/>
    <w:uiPriority w:val="99"/>
    <w:pPr>
      <w:ind w:firstLine="420" w:firstLineChars="200"/>
    </w:pPr>
  </w:style>
  <w:style w:type="paragraph" w:customStyle="1" w:styleId="82">
    <w:name w:val="修订2"/>
    <w:autoRedefine/>
    <w:hidden/>
    <w:semiHidden/>
    <w:qFormat/>
    <w:uiPriority w:val="99"/>
    <w:rPr>
      <w:rFonts w:ascii="Times New Roman" w:hAnsi="Times New Roman" w:eastAsia="宋体" w:cs="Times New Roman"/>
      <w:lang w:val="en-US" w:eastAsia="zh-CN" w:bidi="ar-SA"/>
    </w:rPr>
  </w:style>
  <w:style w:type="paragraph" w:customStyle="1" w:styleId="83">
    <w:name w:val="修订3"/>
    <w:autoRedefine/>
    <w:hidden/>
    <w:semiHidden/>
    <w:qFormat/>
    <w:uiPriority w:val="99"/>
    <w:rPr>
      <w:rFonts w:ascii="Times New Roman" w:hAnsi="Times New Roman" w:eastAsia="宋体" w:cs="Times New Roman"/>
      <w:lang w:val="en-US" w:eastAsia="zh-CN" w:bidi="ar-SA"/>
    </w:rPr>
  </w:style>
  <w:style w:type="paragraph" w:customStyle="1" w:styleId="84">
    <w:name w:val="Default"/>
    <w:next w:val="85"/>
    <w:autoRedefine/>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5">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paragraph" w:customStyle="1" w:styleId="86">
    <w:name w:val="样式1"/>
    <w:basedOn w:val="1"/>
    <w:autoRedefine/>
    <w:qFormat/>
    <w:uiPriority w:val="0"/>
    <w:pPr>
      <w:widowControl/>
      <w:jc w:val="center"/>
    </w:pPr>
    <w:rPr>
      <w:rFonts w:hint="eastAsia" w:ascii="宋体" w:hAnsi="宋体"/>
    </w:rPr>
  </w:style>
  <w:style w:type="character" w:customStyle="1" w:styleId="87">
    <w:name w:val="NormalCharacter"/>
    <w:semiHidden/>
    <w:qFormat/>
    <w:uiPriority w:val="0"/>
  </w:style>
  <w:style w:type="paragraph" w:customStyle="1" w:styleId="88">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9">
    <w:name w:val="Revision"/>
    <w:hidden/>
    <w:unhideWhenUsed/>
    <w:qFormat/>
    <w:uiPriority w:val="99"/>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69</Pages>
  <Words>4542</Words>
  <Characters>5175</Characters>
  <Lines>272</Lines>
  <Paragraphs>76</Paragraphs>
  <TotalTime>11</TotalTime>
  <ScaleCrop>false</ScaleCrop>
  <LinksUpToDate>false</LinksUpToDate>
  <CharactersWithSpaces>5380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2023-01-16T04:19:00Z</dcterms:created>
  <dc:creator>陈圣楠</dc:creator>
  <cp:lastModifiedBy>Silent</cp:lastModifiedBy>
  <cp:lastPrinted>2025-03-14T08:48:00Z</cp:lastPrinted>
  <dcterms:modified xsi:type="dcterms:W3CDTF">2025-04-08T13:25:10Z</dcterms:modified>
  <dc:title>浙江绍兴上虞人民调解服务标准化</dc:title>
  <cp:revision>138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7B03F672350845C8AFCF79C89588340D_13</vt:lpwstr>
  </property>
  <property fmtid="{D5CDD505-2E9C-101B-9397-08002B2CF9AE}" pid="4" name="KSOTemplateDocerSaveRecord">
    <vt:lpwstr>eyJoZGlkIjoiY2YwM2ZjN2E3ZjU0MTdhMmY5MDU2ODQwYWVhYTg4MWUiLCJ1c2VySWQiOiI0MTg1Mzg2MjIifQ==</vt:lpwstr>
  </property>
</Properties>
</file>