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8B81C">
      <w:pPr>
        <w:spacing w:line="360" w:lineRule="auto"/>
        <w:jc w:val="center"/>
        <w:rPr>
          <w:rFonts w:hint="eastAsia" w:ascii="宋体" w:hAnsi="宋体" w:eastAsia="宋体" w:cs="宋体"/>
          <w:b/>
          <w:sz w:val="24"/>
          <w:highlight w:val="none"/>
          <w:lang w:val="en-US" w:eastAsia="zh-CN"/>
        </w:rPr>
      </w:pPr>
      <w:r>
        <w:rPr>
          <w:rFonts w:hint="eastAsia" w:ascii="宋体" w:hAnsi="宋体" w:cs="宋体"/>
          <w:b/>
          <w:sz w:val="24"/>
          <w:highlight w:val="none"/>
          <w:lang w:val="en-US" w:eastAsia="zh-CN"/>
        </w:rPr>
        <w:t xml:space="preserve"> </w:t>
      </w:r>
    </w:p>
    <w:p w14:paraId="69D23844">
      <w:pPr>
        <w:spacing w:line="360" w:lineRule="auto"/>
        <w:jc w:val="center"/>
        <w:rPr>
          <w:rFonts w:ascii="宋体" w:hAnsi="宋体" w:cs="宋体"/>
          <w:b/>
          <w:sz w:val="24"/>
          <w:highlight w:val="none"/>
        </w:rPr>
      </w:pPr>
    </w:p>
    <w:p w14:paraId="76F3D18F">
      <w:pPr>
        <w:adjustRightInd/>
        <w:spacing w:line="360" w:lineRule="auto"/>
        <w:jc w:val="center"/>
        <w:rPr>
          <w:rFonts w:ascii="宋体" w:hAnsi="宋体" w:cs="宋体"/>
          <w:b/>
          <w:sz w:val="44"/>
          <w:szCs w:val="44"/>
          <w:highlight w:val="none"/>
        </w:rPr>
      </w:pPr>
    </w:p>
    <w:p w14:paraId="5027D353">
      <w:pPr>
        <w:spacing w:line="360" w:lineRule="auto"/>
        <w:jc w:val="center"/>
        <w:rPr>
          <w:rFonts w:ascii="宋体" w:hAnsi="宋体" w:cs="宋体"/>
          <w:b/>
          <w:sz w:val="44"/>
          <w:szCs w:val="44"/>
          <w:highlight w:val="none"/>
        </w:rPr>
      </w:pPr>
    </w:p>
    <w:p w14:paraId="0F694A94">
      <w:pPr>
        <w:adjustRightInd/>
        <w:spacing w:line="360" w:lineRule="auto"/>
        <w:jc w:val="center"/>
        <w:rPr>
          <w:rFonts w:ascii="宋体" w:hAnsi="宋体" w:cs="宋体"/>
          <w:b/>
          <w:sz w:val="48"/>
          <w:szCs w:val="48"/>
          <w:highlight w:val="none"/>
        </w:rPr>
      </w:pPr>
    </w:p>
    <w:p w14:paraId="67B7DB9F">
      <w:pPr>
        <w:adjustRightInd/>
        <w:spacing w:line="360" w:lineRule="auto"/>
        <w:jc w:val="center"/>
        <w:rPr>
          <w:rFonts w:hint="eastAsia" w:ascii="宋体" w:hAnsi="宋体" w:eastAsia="宋体" w:cs="宋体"/>
          <w:sz w:val="48"/>
          <w:szCs w:val="48"/>
          <w:highlight w:val="none"/>
          <w:lang w:eastAsia="zh-CN"/>
        </w:rPr>
      </w:pPr>
      <w:r>
        <w:rPr>
          <w:rFonts w:hint="eastAsia" w:ascii="宋体" w:hAnsi="宋体" w:cs="宋体"/>
          <w:sz w:val="48"/>
          <w:szCs w:val="48"/>
          <w:highlight w:val="none"/>
          <w:lang w:eastAsia="zh-CN"/>
        </w:rPr>
        <w:t>杭州市上城区小营街道南片6个社区（长明寺巷、金钱巷、茅廊巷、西牌楼、梅花碑、姚园寺巷社区）准物业服务项目</w:t>
      </w:r>
    </w:p>
    <w:p w14:paraId="046D0100">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14:paraId="2D72B9E9">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4CCE4FCB">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cs="宋体"/>
          <w:sz w:val="30"/>
          <w:szCs w:val="30"/>
          <w:highlight w:val="none"/>
        </w:rPr>
        <w:t>编号:</w:t>
      </w:r>
      <w:r>
        <w:rPr>
          <w:rFonts w:hint="eastAsia" w:ascii="宋体" w:hAnsi="宋体" w:cs="宋体"/>
          <w:color w:val="auto"/>
          <w:sz w:val="30"/>
          <w:szCs w:val="30"/>
          <w:highlight w:val="none"/>
          <w:lang w:eastAsia="zh-CN"/>
        </w:rPr>
        <w:t>SCCG2025-GK-03</w:t>
      </w:r>
    </w:p>
    <w:p w14:paraId="327C433C">
      <w:pPr>
        <w:adjustRightInd/>
        <w:spacing w:line="360" w:lineRule="auto"/>
        <w:rPr>
          <w:rFonts w:ascii="宋体" w:hAnsi="宋体" w:cs="宋体"/>
          <w:sz w:val="28"/>
          <w:szCs w:val="20"/>
          <w:highlight w:val="none"/>
        </w:rPr>
      </w:pPr>
    </w:p>
    <w:p w14:paraId="4D028CC9">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14:paraId="075407C1">
      <w:pPr>
        <w:spacing w:line="360" w:lineRule="auto"/>
        <w:jc w:val="center"/>
        <w:rPr>
          <w:rFonts w:ascii="宋体" w:hAnsi="宋体" w:cs="宋体"/>
          <w:b/>
          <w:sz w:val="44"/>
          <w:szCs w:val="44"/>
          <w:highlight w:val="none"/>
        </w:rPr>
      </w:pPr>
    </w:p>
    <w:p w14:paraId="661C0850">
      <w:pPr>
        <w:spacing w:line="360" w:lineRule="auto"/>
        <w:jc w:val="center"/>
        <w:rPr>
          <w:rFonts w:ascii="宋体" w:hAnsi="宋体" w:cs="宋体"/>
          <w:sz w:val="24"/>
          <w:highlight w:val="none"/>
        </w:rPr>
      </w:pPr>
    </w:p>
    <w:p w14:paraId="6D84118C">
      <w:pPr>
        <w:spacing w:line="360" w:lineRule="auto"/>
        <w:jc w:val="center"/>
        <w:rPr>
          <w:rFonts w:ascii="宋体" w:hAnsi="宋体" w:cs="宋体"/>
          <w:sz w:val="24"/>
          <w:highlight w:val="none"/>
        </w:rPr>
      </w:pPr>
    </w:p>
    <w:p w14:paraId="08F1CDE7">
      <w:pPr>
        <w:spacing w:line="360" w:lineRule="auto"/>
        <w:rPr>
          <w:rFonts w:ascii="宋体" w:hAnsi="宋体" w:cs="宋体"/>
          <w:sz w:val="32"/>
          <w:szCs w:val="32"/>
          <w:highlight w:val="none"/>
        </w:rPr>
      </w:pPr>
    </w:p>
    <w:p w14:paraId="62F27367">
      <w:pPr>
        <w:snapToGrid w:val="0"/>
        <w:spacing w:line="360" w:lineRule="auto"/>
        <w:jc w:val="center"/>
        <w:rPr>
          <w:rFonts w:hint="eastAsia" w:ascii="宋体" w:hAnsi="宋体" w:eastAsia="宋体" w:cs="宋体"/>
          <w:bCs/>
          <w:sz w:val="32"/>
          <w:szCs w:val="32"/>
          <w:highlight w:val="none"/>
          <w:lang w:eastAsia="zh-CN"/>
        </w:rPr>
      </w:pPr>
      <w:r>
        <w:rPr>
          <w:rFonts w:hint="eastAsia" w:ascii="宋体" w:hAnsi="宋体" w:cs="宋体"/>
          <w:bCs/>
          <w:sz w:val="32"/>
          <w:szCs w:val="32"/>
          <w:highlight w:val="none"/>
          <w:lang w:eastAsia="zh-CN"/>
        </w:rPr>
        <w:t>杭州市上城区人民政府小营街道办事处</w:t>
      </w:r>
    </w:p>
    <w:p w14:paraId="3ECE6072">
      <w:pPr>
        <w:snapToGrid w:val="0"/>
        <w:spacing w:line="360" w:lineRule="auto"/>
        <w:jc w:val="center"/>
        <w:rPr>
          <w:rFonts w:hint="eastAsia" w:ascii="宋体" w:hAnsi="宋体" w:cs="宋体"/>
          <w:bCs/>
          <w:sz w:val="32"/>
          <w:szCs w:val="32"/>
          <w:highlight w:val="none"/>
        </w:rPr>
      </w:pPr>
      <w:r>
        <w:rPr>
          <w:rFonts w:hint="eastAsia" w:ascii="宋体" w:hAnsi="宋体" w:cs="宋体"/>
          <w:bCs/>
          <w:sz w:val="32"/>
          <w:szCs w:val="32"/>
          <w:highlight w:val="none"/>
        </w:rPr>
        <w:t>杭州市公共资源交易中心上城分中心</w:t>
      </w:r>
    </w:p>
    <w:p w14:paraId="0F6881A6">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一</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二十七</w:t>
      </w:r>
      <w:r>
        <w:rPr>
          <w:rFonts w:hint="eastAsia" w:ascii="宋体" w:hAnsi="宋体" w:cs="宋体"/>
          <w:bCs/>
          <w:color w:val="auto"/>
          <w:sz w:val="32"/>
          <w:szCs w:val="32"/>
          <w:highlight w:val="none"/>
        </w:rPr>
        <w:t>日</w:t>
      </w:r>
    </w:p>
    <w:p w14:paraId="4A1D9DB9">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14:paraId="65D9D814">
      <w:pPr>
        <w:pStyle w:val="636"/>
        <w:rPr>
          <w:highlight w:val="none"/>
        </w:rPr>
      </w:pPr>
    </w:p>
    <w:p w14:paraId="6B6242F0">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1BB0D554">
      <w:pPr>
        <w:spacing w:line="360" w:lineRule="auto"/>
        <w:rPr>
          <w:rFonts w:ascii="宋体" w:hAnsi="宋体" w:cs="宋体"/>
          <w:sz w:val="32"/>
          <w:szCs w:val="32"/>
          <w:highlight w:val="none"/>
        </w:rPr>
      </w:pPr>
    </w:p>
    <w:p w14:paraId="298E2C5B">
      <w:pPr>
        <w:spacing w:line="360" w:lineRule="auto"/>
        <w:rPr>
          <w:rFonts w:ascii="宋体" w:hAnsi="宋体" w:cs="宋体"/>
          <w:sz w:val="32"/>
          <w:szCs w:val="32"/>
          <w:highlight w:val="none"/>
        </w:rPr>
      </w:pPr>
    </w:p>
    <w:p w14:paraId="0AC13F73">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7E0382AB">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274A1726">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14D323E6">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3FD8E04F">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3CC4DC00">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30054D00">
      <w:pPr>
        <w:spacing w:line="360" w:lineRule="auto"/>
        <w:ind w:firstLine="549" w:firstLineChars="229"/>
        <w:rPr>
          <w:rFonts w:ascii="宋体" w:hAnsi="宋体" w:cs="宋体"/>
          <w:sz w:val="24"/>
          <w:highlight w:val="none"/>
        </w:rPr>
      </w:pPr>
      <w:bookmarkStart w:id="1" w:name="_Hlt91233176"/>
      <w:bookmarkEnd w:id="1"/>
      <w:bookmarkStart w:id="2" w:name="_Toc91899869"/>
    </w:p>
    <w:p w14:paraId="3A249B3A">
      <w:pPr>
        <w:spacing w:line="360" w:lineRule="auto"/>
        <w:ind w:firstLine="549" w:firstLineChars="229"/>
        <w:rPr>
          <w:rFonts w:ascii="宋体" w:hAnsi="宋体" w:cs="宋体"/>
          <w:sz w:val="24"/>
          <w:highlight w:val="none"/>
        </w:rPr>
      </w:pPr>
    </w:p>
    <w:p w14:paraId="54256812">
      <w:pPr>
        <w:spacing w:line="360" w:lineRule="auto"/>
        <w:ind w:firstLine="549" w:firstLineChars="229"/>
        <w:rPr>
          <w:rFonts w:ascii="宋体" w:hAnsi="宋体" w:cs="宋体"/>
          <w:sz w:val="24"/>
          <w:highlight w:val="none"/>
        </w:rPr>
      </w:pPr>
    </w:p>
    <w:p w14:paraId="05A28D0F">
      <w:pPr>
        <w:spacing w:line="360" w:lineRule="auto"/>
        <w:ind w:firstLine="549" w:firstLineChars="229"/>
        <w:rPr>
          <w:rFonts w:ascii="宋体" w:hAnsi="宋体" w:cs="宋体"/>
          <w:sz w:val="24"/>
          <w:highlight w:val="none"/>
        </w:rPr>
      </w:pPr>
    </w:p>
    <w:p w14:paraId="73A6AD80">
      <w:pPr>
        <w:spacing w:line="360" w:lineRule="auto"/>
        <w:ind w:firstLine="549" w:firstLineChars="229"/>
        <w:rPr>
          <w:rFonts w:ascii="宋体" w:hAnsi="宋体" w:cs="宋体"/>
          <w:sz w:val="24"/>
          <w:highlight w:val="none"/>
        </w:rPr>
      </w:pPr>
    </w:p>
    <w:p w14:paraId="4C5071C5">
      <w:pPr>
        <w:spacing w:line="360" w:lineRule="auto"/>
        <w:ind w:firstLine="549" w:firstLineChars="229"/>
        <w:rPr>
          <w:rFonts w:ascii="宋体" w:hAnsi="宋体" w:cs="宋体"/>
          <w:sz w:val="24"/>
          <w:highlight w:val="none"/>
        </w:rPr>
      </w:pPr>
    </w:p>
    <w:p w14:paraId="3F12515A">
      <w:pPr>
        <w:spacing w:line="360" w:lineRule="auto"/>
        <w:ind w:firstLine="549" w:firstLineChars="229"/>
        <w:rPr>
          <w:rFonts w:ascii="宋体" w:hAnsi="宋体" w:cs="宋体"/>
          <w:sz w:val="24"/>
          <w:highlight w:val="none"/>
        </w:rPr>
      </w:pPr>
    </w:p>
    <w:p w14:paraId="5D0B1EA4">
      <w:pPr>
        <w:spacing w:line="360" w:lineRule="auto"/>
        <w:ind w:firstLine="549" w:firstLineChars="229"/>
        <w:rPr>
          <w:rFonts w:ascii="宋体" w:hAnsi="宋体" w:cs="宋体"/>
          <w:sz w:val="24"/>
          <w:highlight w:val="none"/>
        </w:rPr>
      </w:pPr>
    </w:p>
    <w:p w14:paraId="5A583600">
      <w:pPr>
        <w:spacing w:line="360" w:lineRule="auto"/>
        <w:ind w:firstLine="549" w:firstLineChars="229"/>
        <w:rPr>
          <w:rFonts w:ascii="宋体" w:hAnsi="宋体" w:cs="宋体"/>
          <w:sz w:val="24"/>
          <w:highlight w:val="none"/>
        </w:rPr>
      </w:pPr>
    </w:p>
    <w:p w14:paraId="7BC706A5">
      <w:pPr>
        <w:spacing w:line="360" w:lineRule="auto"/>
        <w:ind w:firstLine="549" w:firstLineChars="229"/>
        <w:rPr>
          <w:rFonts w:ascii="宋体" w:hAnsi="宋体" w:cs="宋体"/>
          <w:sz w:val="24"/>
          <w:highlight w:val="none"/>
        </w:rPr>
      </w:pPr>
    </w:p>
    <w:p w14:paraId="6D34CD4C">
      <w:pPr>
        <w:spacing w:line="360" w:lineRule="auto"/>
        <w:ind w:firstLine="549" w:firstLineChars="229"/>
        <w:rPr>
          <w:rFonts w:ascii="宋体" w:hAnsi="宋体" w:cs="宋体"/>
          <w:sz w:val="24"/>
          <w:highlight w:val="none"/>
        </w:rPr>
      </w:pPr>
    </w:p>
    <w:p w14:paraId="4A54DA37">
      <w:pPr>
        <w:spacing w:line="360" w:lineRule="auto"/>
        <w:ind w:firstLine="549" w:firstLineChars="229"/>
        <w:rPr>
          <w:rFonts w:ascii="宋体" w:hAnsi="宋体" w:cs="宋体"/>
          <w:sz w:val="24"/>
          <w:highlight w:val="none"/>
        </w:rPr>
      </w:pPr>
    </w:p>
    <w:p w14:paraId="5C12500F">
      <w:pPr>
        <w:spacing w:line="360" w:lineRule="auto"/>
        <w:ind w:firstLine="549" w:firstLineChars="229"/>
        <w:rPr>
          <w:rFonts w:ascii="宋体" w:hAnsi="宋体" w:cs="宋体"/>
          <w:sz w:val="24"/>
          <w:highlight w:val="none"/>
        </w:rPr>
      </w:pPr>
    </w:p>
    <w:p w14:paraId="2E10AB71">
      <w:pPr>
        <w:spacing w:line="360" w:lineRule="auto"/>
        <w:rPr>
          <w:rFonts w:ascii="宋体" w:hAnsi="宋体" w:cs="宋体"/>
          <w:sz w:val="24"/>
          <w:highlight w:val="none"/>
        </w:rPr>
      </w:pPr>
    </w:p>
    <w:p w14:paraId="7F516BBA">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14:paraId="6F9A4FF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59075FA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color w:val="auto"/>
          <w:sz w:val="24"/>
          <w:szCs w:val="24"/>
          <w:highlight w:val="none"/>
          <w:lang w:eastAsia="zh-CN"/>
        </w:rPr>
        <w:t>杭州市上城区小营街道南片6个社区（长明寺巷、金钱巷、茅廊巷、西牌楼、梅花碑、姚园寺巷社区）准物业服务项目</w:t>
      </w:r>
      <w:r>
        <w:rPr>
          <w:rFonts w:hint="eastAsia" w:ascii="宋体" w:hAnsi="宋体"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8"/>
          <w:rFonts w:hint="eastAsia" w:ascii="宋体" w:hAnsi="宋体" w:eastAsia="宋体" w:cs="宋体"/>
          <w:snapToGrid/>
          <w:kern w:val="2"/>
          <w:sz w:val="24"/>
          <w:szCs w:val="24"/>
          <w:highlight w:val="none"/>
        </w:rPr>
        <w:t>https://www.zcygov.cn/）获取（下载）招标文件，并于</w:t>
      </w:r>
      <w:r>
        <w:rPr>
          <w:rStyle w:val="78"/>
          <w:rFonts w:hint="eastAsia" w:ascii="宋体" w:hAnsi="宋体" w:cs="宋体"/>
          <w:snapToGrid/>
          <w:kern w:val="2"/>
          <w:sz w:val="24"/>
          <w:szCs w:val="24"/>
          <w:highlight w:val="none"/>
          <w:lang w:eastAsia="zh-CN"/>
        </w:rPr>
        <w:t>2025年</w:t>
      </w:r>
      <w:r>
        <w:rPr>
          <w:rStyle w:val="78"/>
          <w:rFonts w:hint="eastAsia" w:ascii="宋体" w:hAnsi="宋体" w:cs="宋体"/>
          <w:snapToGrid/>
          <w:kern w:val="2"/>
          <w:sz w:val="24"/>
          <w:szCs w:val="24"/>
          <w:highlight w:val="none"/>
          <w:lang w:val="en-US" w:eastAsia="zh-CN"/>
        </w:rPr>
        <w:t>2月17</w:t>
      </w:r>
      <w:r>
        <w:rPr>
          <w:rStyle w:val="78"/>
          <w:rFonts w:hint="eastAsia" w:ascii="宋体" w:hAnsi="宋体" w:eastAsia="宋体" w:cs="宋体"/>
          <w:snapToGrid/>
          <w:kern w:val="2"/>
          <w:sz w:val="24"/>
          <w:szCs w:val="24"/>
          <w:highlight w:val="none"/>
          <w:lang w:val="en-US" w:eastAsia="zh-CN"/>
        </w:rPr>
        <w:t>日</w:t>
      </w:r>
      <w:r>
        <w:rPr>
          <w:rStyle w:val="78"/>
          <w:rFonts w:hint="eastAsia" w:ascii="宋体" w:hAnsi="宋体" w:cs="宋体"/>
          <w:snapToGrid/>
          <w:kern w:val="2"/>
          <w:sz w:val="24"/>
          <w:szCs w:val="24"/>
          <w:highlight w:val="none"/>
          <w:lang w:val="en-US" w:eastAsia="zh-CN"/>
        </w:rPr>
        <w:t>10</w:t>
      </w:r>
      <w:r>
        <w:rPr>
          <w:rStyle w:val="78"/>
          <w:rFonts w:hint="eastAsia" w:ascii="宋体" w:hAnsi="宋体" w:eastAsia="宋体" w:cs="宋体"/>
          <w:snapToGrid/>
          <w:kern w:val="2"/>
          <w:sz w:val="24"/>
          <w:szCs w:val="24"/>
          <w:highlight w:val="none"/>
        </w:rPr>
        <w:t xml:space="preserve"> 点 </w:t>
      </w:r>
      <w:r>
        <w:rPr>
          <w:rStyle w:val="78"/>
          <w:rFonts w:hint="eastAsia" w:ascii="宋体" w:hAnsi="宋体" w:cs="宋体"/>
          <w:snapToGrid/>
          <w:kern w:val="2"/>
          <w:sz w:val="24"/>
          <w:szCs w:val="24"/>
          <w:highlight w:val="none"/>
          <w:lang w:val="en-US" w:eastAsia="zh-CN"/>
        </w:rPr>
        <w:t>00</w:t>
      </w:r>
      <w:r>
        <w:rPr>
          <w:rStyle w:val="78"/>
          <w:rFonts w:hint="eastAsia" w:ascii="宋体" w:hAnsi="宋体" w:eastAsia="宋体" w:cs="宋体"/>
          <w:snapToGrid/>
          <w:kern w:val="2"/>
          <w:sz w:val="24"/>
          <w:szCs w:val="24"/>
          <w:highlight w:val="none"/>
        </w:rPr>
        <w:t>分</w:t>
      </w:r>
      <w:r>
        <w:rPr>
          <w:rStyle w:val="78"/>
          <w:rFonts w:hint="eastAsia" w:ascii="宋体" w:hAnsi="宋体" w:eastAsia="宋体" w:cs="宋体"/>
          <w:bCs/>
          <w:snapToGrid/>
          <w:kern w:val="2"/>
          <w:sz w:val="24"/>
          <w:szCs w:val="24"/>
          <w:highlight w:val="none"/>
        </w:rPr>
        <w:t>00秒</w:t>
      </w:r>
      <w:r>
        <w:rPr>
          <w:rStyle w:val="78"/>
          <w:rFonts w:hint="eastAsia" w:ascii="宋体" w:hAnsi="宋体" w:eastAsia="宋体" w:cs="宋体"/>
          <w:bCs/>
          <w:snapToGrid/>
          <w:kern w:val="2"/>
          <w:sz w:val="24"/>
          <w:szCs w:val="24"/>
          <w:highlight w:val="non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1146F70A">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4329D96E">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color w:val="auto"/>
          <w:sz w:val="24"/>
          <w:szCs w:val="24"/>
          <w:highlight w:val="none"/>
          <w:lang w:eastAsia="zh-CN"/>
        </w:rPr>
        <w:t>SCCG2025-GK-03</w:t>
      </w:r>
    </w:p>
    <w:p w14:paraId="1664C555">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color w:val="auto"/>
          <w:sz w:val="24"/>
          <w:szCs w:val="24"/>
          <w:highlight w:val="none"/>
          <w:lang w:eastAsia="zh-CN"/>
        </w:rPr>
        <w:t>杭州市上城区小营街道南片6个社区（长明寺巷、金钱巷、茅廊巷、西牌楼、梅花碑、姚园寺巷社区）准物业服务项目</w:t>
      </w:r>
    </w:p>
    <w:p w14:paraId="69D83589">
      <w:pPr>
        <w:spacing w:line="360" w:lineRule="auto"/>
        <w:ind w:firstLine="482" w:firstLineChars="200"/>
        <w:rPr>
          <w:rFonts w:hint="eastAsia" w:ascii="宋体" w:hAnsi="宋体" w:cs="宋体"/>
          <w:b w:val="0"/>
          <w:bCs/>
          <w:sz w:val="24"/>
          <w:highlight w:val="none"/>
          <w:lang w:eastAsia="zh-CN"/>
        </w:rPr>
      </w:pPr>
      <w:r>
        <w:rPr>
          <w:rFonts w:hint="eastAsia" w:ascii="宋体" w:hAnsi="宋体" w:cs="宋体"/>
          <w:b/>
          <w:sz w:val="24"/>
          <w:highlight w:val="none"/>
        </w:rPr>
        <w:t>预算金额（元）：</w:t>
      </w:r>
      <w:r>
        <w:rPr>
          <w:rFonts w:hint="eastAsia" w:ascii="宋体" w:hAnsi="宋体" w:cs="宋体"/>
          <w:b w:val="0"/>
          <w:bCs/>
          <w:sz w:val="24"/>
          <w:highlight w:val="none"/>
          <w:lang w:eastAsia="zh-CN"/>
        </w:rPr>
        <w:t>6740000</w:t>
      </w:r>
    </w:p>
    <w:p w14:paraId="77750F9D">
      <w:pPr>
        <w:spacing w:line="360" w:lineRule="auto"/>
        <w:ind w:firstLine="480"/>
        <w:rPr>
          <w:rFonts w:hint="default"/>
          <w:highlight w:val="none"/>
          <w:lang w:val="en-US" w:eastAsia="zh-CN"/>
        </w:rPr>
      </w:pPr>
      <w:r>
        <w:rPr>
          <w:rFonts w:hint="eastAsia" w:ascii="宋体" w:hAnsi="宋体" w:cs="宋体"/>
          <w:color w:val="auto"/>
          <w:sz w:val="24"/>
          <w:highlight w:val="none"/>
        </w:rPr>
        <w:t>其中街巷保洁</w:t>
      </w:r>
      <w:r>
        <w:rPr>
          <w:rFonts w:hint="eastAsia" w:ascii="宋体" w:hAnsi="宋体" w:cs="宋体"/>
          <w:color w:val="auto"/>
          <w:sz w:val="24"/>
          <w:highlight w:val="none"/>
          <w:lang w:val="en-US" w:eastAsia="zh-CN"/>
        </w:rPr>
        <w:t>2573685.3365元/年;</w:t>
      </w:r>
      <w:r>
        <w:rPr>
          <w:rFonts w:ascii="宋体" w:hAnsi="宋体" w:cs="宋体"/>
          <w:color w:val="auto"/>
          <w:sz w:val="24"/>
          <w:highlight w:val="none"/>
        </w:rPr>
        <w:t>老旧小区物业费</w:t>
      </w:r>
      <w:r>
        <w:rPr>
          <w:rFonts w:hint="eastAsia" w:ascii="宋体" w:hAnsi="宋体" w:cs="宋体"/>
          <w:color w:val="auto"/>
          <w:sz w:val="24"/>
          <w:highlight w:val="none"/>
        </w:rPr>
        <w:t>收取</w:t>
      </w:r>
      <w:r>
        <w:rPr>
          <w:rFonts w:ascii="宋体" w:hAnsi="宋体" w:cs="宋体"/>
          <w:color w:val="auto"/>
          <w:sz w:val="24"/>
          <w:highlight w:val="none"/>
        </w:rPr>
        <w:t>按0.56/平方米15%计623209元</w:t>
      </w:r>
      <w:r>
        <w:rPr>
          <w:rFonts w:hint="eastAsia" w:ascii="宋体" w:hAnsi="宋体" w:cs="宋体"/>
          <w:color w:val="auto"/>
          <w:sz w:val="24"/>
          <w:highlight w:val="none"/>
          <w:lang w:val="en-US" w:eastAsia="zh-CN"/>
        </w:rPr>
        <w:t>/年</w:t>
      </w:r>
      <w:r>
        <w:rPr>
          <w:rFonts w:hint="eastAsia" w:ascii="宋体" w:hAnsi="宋体" w:cs="宋体"/>
          <w:color w:val="auto"/>
          <w:sz w:val="24"/>
          <w:highlight w:val="none"/>
        </w:rPr>
        <w:t>，停车费为958503元</w:t>
      </w:r>
      <w:r>
        <w:rPr>
          <w:rFonts w:hint="eastAsia" w:ascii="宋体" w:hAnsi="宋体" w:cs="宋体"/>
          <w:color w:val="auto"/>
          <w:sz w:val="24"/>
          <w:highlight w:val="none"/>
          <w:lang w:val="en-US" w:eastAsia="zh-CN"/>
        </w:rPr>
        <w:t>/年</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物业费与停车费如有超出部分归乙方所有</w:t>
      </w:r>
      <w:r>
        <w:rPr>
          <w:rFonts w:hint="default" w:ascii="宋体" w:hAnsi="宋体" w:cs="宋体"/>
          <w:color w:val="auto"/>
          <w:sz w:val="24"/>
          <w:highlight w:val="none"/>
        </w:rPr>
        <w:t>。</w:t>
      </w:r>
      <w:r>
        <w:rPr>
          <w:rFonts w:hint="eastAsia" w:ascii="宋体" w:hAnsi="宋体" w:cs="宋体"/>
          <w:color w:val="auto"/>
          <w:sz w:val="24"/>
          <w:highlight w:val="none"/>
        </w:rPr>
        <w:t>街道办事处补贴人民币元</w:t>
      </w:r>
      <w:r>
        <w:rPr>
          <w:rFonts w:hint="eastAsia" w:ascii="宋体" w:hAnsi="宋体" w:cs="宋体"/>
          <w:color w:val="auto"/>
          <w:sz w:val="24"/>
          <w:highlight w:val="none"/>
          <w:lang w:val="en-US" w:eastAsia="zh-CN"/>
        </w:rPr>
        <w:t>2584602.6635</w:t>
      </w:r>
      <w:r>
        <w:rPr>
          <w:rFonts w:hint="eastAsia" w:ascii="宋体" w:hAnsi="宋体" w:cs="宋体"/>
          <w:color w:val="auto"/>
          <w:sz w:val="24"/>
          <w:highlight w:val="none"/>
        </w:rPr>
        <w:t>元</w:t>
      </w:r>
      <w:r>
        <w:rPr>
          <w:rFonts w:hint="eastAsia" w:ascii="宋体" w:hAnsi="宋体" w:cs="宋体"/>
          <w:color w:val="auto"/>
          <w:sz w:val="24"/>
          <w:highlight w:val="none"/>
          <w:lang w:val="en-US" w:eastAsia="zh-CN"/>
        </w:rPr>
        <w:t>/年。</w:t>
      </w:r>
    </w:p>
    <w:p w14:paraId="16886D03">
      <w:pPr>
        <w:spacing w:line="360" w:lineRule="auto"/>
        <w:ind w:firstLine="480"/>
        <w:rPr>
          <w:rFonts w:ascii="宋体" w:hAnsi="宋体" w:cs="宋体"/>
          <w:sz w:val="24"/>
          <w:highlight w:val="none"/>
        </w:rPr>
      </w:pPr>
      <w:r>
        <w:rPr>
          <w:rFonts w:hint="eastAsia" w:ascii="宋体" w:hAnsi="宋体" w:cs="宋体"/>
          <w:b/>
          <w:sz w:val="24"/>
          <w:highlight w:val="none"/>
        </w:rPr>
        <w:t>最高限价（元）：</w:t>
      </w:r>
      <w:r>
        <w:rPr>
          <w:rFonts w:hint="eastAsia" w:ascii="宋体" w:hAnsi="宋体" w:cs="宋体"/>
          <w:b/>
          <w:sz w:val="24"/>
          <w:highlight w:val="none"/>
          <w:lang w:val="en-US" w:eastAsia="zh-CN"/>
        </w:rPr>
        <w:t>6740000</w:t>
      </w:r>
    </w:p>
    <w:p w14:paraId="33B74582">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rPr>
        <w:t>杭州市上城区小营街道南片区</w:t>
      </w:r>
      <w:r>
        <w:rPr>
          <w:rFonts w:hint="eastAsia" w:hAnsi="宋体" w:cs="宋体"/>
          <w:b w:val="0"/>
          <w:bCs/>
          <w:color w:val="auto"/>
          <w:sz w:val="24"/>
          <w:highlight w:val="none"/>
          <w:lang w:eastAsia="zh-CN"/>
        </w:rPr>
        <w:t>范围内</w:t>
      </w:r>
      <w:r>
        <w:rPr>
          <w:rFonts w:hint="eastAsia" w:hAnsi="宋体" w:cs="宋体"/>
          <w:bCs/>
          <w:color w:val="auto"/>
          <w:kern w:val="2"/>
          <w:sz w:val="24"/>
          <w:szCs w:val="24"/>
          <w:highlight w:val="none"/>
        </w:rPr>
        <w:t>老旧小区准物业服务</w:t>
      </w:r>
      <w:r>
        <w:rPr>
          <w:rFonts w:hint="eastAsia" w:hAnsi="宋体" w:cs="宋体"/>
          <w:bCs/>
          <w:color w:val="auto"/>
          <w:kern w:val="2"/>
          <w:sz w:val="24"/>
          <w:szCs w:val="24"/>
          <w:highlight w:val="none"/>
          <w:lang w:eastAsia="zh-CN"/>
        </w:rPr>
        <w:t>，</w:t>
      </w:r>
      <w:r>
        <w:rPr>
          <w:rFonts w:hint="eastAsia" w:hAnsi="宋体" w:cs="宋体"/>
          <w:bCs/>
          <w:color w:val="auto"/>
          <w:kern w:val="2"/>
          <w:sz w:val="24"/>
          <w:szCs w:val="24"/>
          <w:highlight w:val="none"/>
        </w:rPr>
        <w:t>辖区内垃圾分类和街巷保洁工作。</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2AF359C1">
      <w:pPr>
        <w:spacing w:line="360" w:lineRule="auto"/>
        <w:ind w:firstLine="482" w:firstLineChars="200"/>
        <w:rPr>
          <w:rFonts w:hint="eastAsia" w:ascii="宋体" w:hAnsi="宋体" w:cs="宋体"/>
          <w:sz w:val="24"/>
          <w:highlight w:val="none"/>
          <w:lang w:eastAsia="zh-CN"/>
        </w:rPr>
      </w:pPr>
      <w:r>
        <w:rPr>
          <w:rFonts w:hint="eastAsia" w:ascii="宋体" w:hAnsi="宋体" w:cs="宋体"/>
          <w:b/>
          <w:bCs/>
          <w:sz w:val="24"/>
          <w:highlight w:val="none"/>
          <w:lang w:val="en-US" w:eastAsia="zh-CN"/>
        </w:rPr>
        <w:t>合同履约期限：</w:t>
      </w:r>
      <w:r>
        <w:rPr>
          <w:rFonts w:hint="eastAsia" w:ascii="宋体" w:hAnsi="宋体" w:cs="宋体"/>
          <w:sz w:val="24"/>
          <w:highlight w:val="none"/>
          <w:lang w:val="en-US" w:eastAsia="zh-CN"/>
        </w:rPr>
        <w:t>自合同签订之日起12个月。</w:t>
      </w:r>
    </w:p>
    <w:p w14:paraId="7E7E1C17">
      <w:pPr>
        <w:spacing w:line="360" w:lineRule="auto"/>
        <w:ind w:firstLine="482" w:firstLineChars="200"/>
        <w:rPr>
          <w:rFonts w:hint="eastAsia" w:ascii="宋体" w:hAnsi="宋体" w:cs="宋体"/>
          <w:sz w:val="24"/>
          <w:highlight w:val="none"/>
        </w:rPr>
      </w:pPr>
      <w:r>
        <w:rPr>
          <w:rFonts w:hint="eastAsia" w:ascii="宋体" w:hAnsi="宋体" w:cs="宋体"/>
          <w:b/>
          <w:bCs/>
          <w:sz w:val="24"/>
          <w:highlight w:val="none"/>
        </w:rPr>
        <w:t>本项目接受联合体投标：</w:t>
      </w:r>
      <w:r>
        <w:rPr>
          <w:rFonts w:hint="eastAsia" w:ascii="宋体" w:hAnsi="宋体" w:cs="宋体"/>
          <w:sz w:val="24"/>
          <w:highlight w:val="none"/>
        </w:rPr>
        <w:t xml:space="preserve"> </w:t>
      </w:r>
      <w:sdt>
        <w:sdtPr>
          <w:rPr>
            <w:rFonts w:hint="eastAsia" w:ascii="宋体" w:hAnsi="宋体" w:cs="宋体"/>
            <w:sz w:val="24"/>
            <w:highlight w:val="none"/>
          </w:rPr>
          <w:id w:val="1"/>
          <w14:checkbox>
            <w14:checked w14:val="1"/>
            <w14:checkedState w14:val="00FE" w14:font="Wingdings"/>
            <w14:uncheckedState w14:val="2610" w14:font="MS Gothic"/>
          </w14:checkbox>
        </w:sdtPr>
        <w:sdtEndPr>
          <w:rPr>
            <w:rFonts w:hint="eastAsia" w:ascii="宋体" w:hAnsi="宋体" w:cs="宋体"/>
            <w:sz w:val="24"/>
            <w:highlight w:val="none"/>
          </w:rPr>
        </w:sdtEndPr>
        <w:sdtContent>
          <w:r>
            <w:rPr>
              <w:rFonts w:hint="eastAsia" w:ascii="宋体" w:hAnsi="宋体" w:cs="宋体"/>
              <w:sz w:val="24"/>
              <w:highlight w:val="none"/>
            </w:rPr>
            <w:sym w:font="Wingdings" w:char="F0FE"/>
          </w:r>
        </w:sdtContent>
      </w:sdt>
      <w:r>
        <w:rPr>
          <w:rFonts w:hint="eastAsia" w:ascii="宋体" w:hAnsi="宋体" w:cs="宋体"/>
          <w:sz w:val="24"/>
          <w:highlight w:val="none"/>
        </w:rPr>
        <w:t>是；</w:t>
      </w:r>
      <w:sdt>
        <w:sdtPr>
          <w:rPr>
            <w:rFonts w:hint="eastAsia" w:ascii="宋体" w:hAnsi="宋体" w:cs="宋体"/>
            <w:sz w:val="24"/>
            <w:highlight w:val="none"/>
          </w:rPr>
          <w:id w:val="2"/>
          <w14:checkbox>
            <w14:checked w14:val="0"/>
            <w14:checkedState w14:val="00FE" w14:font="Wingdings"/>
            <w14:uncheckedState w14:val="2610" w14:font="MS Gothic"/>
          </w14:checkbox>
        </w:sdtPr>
        <w:sdtEndPr>
          <w:rPr>
            <w:rFonts w:hint="eastAsia" w:ascii="宋体" w:hAnsi="宋体" w:cs="宋体"/>
            <w:sz w:val="24"/>
            <w:highlight w:val="none"/>
          </w:rPr>
        </w:sdtEndPr>
        <w:sdtContent>
          <w:r>
            <w:rPr>
              <w:rFonts w:hint="eastAsia" w:ascii="宋体" w:hAnsi="宋体" w:cs="宋体"/>
              <w:sz w:val="24"/>
              <w:highlight w:val="none"/>
            </w:rPr>
            <w:t>☐</w:t>
          </w:r>
        </w:sdtContent>
      </w:sdt>
      <w:r>
        <w:rPr>
          <w:rFonts w:hint="eastAsia" w:ascii="宋体" w:hAnsi="宋体" w:cs="宋体"/>
          <w:sz w:val="24"/>
          <w:highlight w:val="none"/>
        </w:rPr>
        <w:t>否。</w:t>
      </w:r>
    </w:p>
    <w:p w14:paraId="00355530">
      <w:pPr>
        <w:spacing w:line="360" w:lineRule="auto"/>
        <w:rPr>
          <w:rFonts w:hint="eastAsia" w:ascii="宋体" w:hAnsi="宋体" w:cs="宋体"/>
          <w:sz w:val="24"/>
          <w:highlight w:val="none"/>
        </w:rPr>
      </w:pPr>
      <w:r>
        <w:rPr>
          <w:rFonts w:hint="eastAsia" w:ascii="宋体" w:hAnsi="宋体" w:cs="宋体"/>
          <w:sz w:val="24"/>
          <w:highlight w:val="none"/>
        </w:rPr>
        <w:t>二、申请人的资格要求：</w:t>
      </w:r>
    </w:p>
    <w:p w14:paraId="64ACD7C5">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7EE5482">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74C9E961">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7461EDD9">
      <w:pPr>
        <w:spacing w:line="360" w:lineRule="auto"/>
        <w:ind w:firstLine="480" w:firstLineChars="200"/>
        <w:rPr>
          <w:rFonts w:ascii="宋体" w:hAnsi="宋体" w:cs="宋体"/>
          <w:color w:val="auto"/>
          <w:sz w:val="24"/>
          <w:highlight w:val="none"/>
        </w:rPr>
      </w:pPr>
      <w:sdt>
        <w:sdtPr>
          <w:rPr>
            <w:rFonts w:hint="eastAsia" w:ascii="宋体" w:hAnsi="宋体" w:cs="宋体"/>
            <w:color w:val="0000FF"/>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5434FB6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5F0F9D35">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5C3ECA40">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服务全部由符合政策要求的小微企业承接，提供中小企业声明函；</w:t>
      </w:r>
    </w:p>
    <w:p w14:paraId="7BDC2CD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310313C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6E20E9D5">
      <w:pPr>
        <w:snapToGrid w:val="0"/>
        <w:spacing w:line="360" w:lineRule="auto"/>
        <w:ind w:firstLine="480" w:firstLineChars="200"/>
        <w:rPr>
          <w:rFonts w:hint="eastAsia" w:ascii="宋体" w:hAnsi="宋体" w:eastAsia="宋体" w:cs="宋体"/>
          <w:color w:val="auto"/>
          <w:sz w:val="24"/>
          <w:highlight w:val="none"/>
          <w:lang w:eastAsia="zh-CN"/>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无。</w:t>
      </w:r>
    </w:p>
    <w:p w14:paraId="02CC01DF">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CB9B09F">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27F11D70">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2月17日</w:t>
      </w:r>
      <w:r>
        <w:rPr>
          <w:rFonts w:hint="eastAsia" w:ascii="宋体" w:hAnsi="宋体" w:cs="宋体"/>
          <w:sz w:val="24"/>
          <w:highlight w:val="none"/>
        </w:rPr>
        <w:t>，每天上午00:00至12:00 ，下午12:00至23:59（北京时间，线上获取法定节假日均可，线下获取文件法定节假日除外）</w:t>
      </w:r>
    </w:p>
    <w:p w14:paraId="6A7A3B7C">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72558205">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3825D8E1">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74A53FA1">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0F33930A">
      <w:pPr>
        <w:spacing w:line="360" w:lineRule="auto"/>
        <w:ind w:firstLine="482" w:firstLineChars="200"/>
        <w:rPr>
          <w:rFonts w:ascii="宋体" w:hAnsi="宋体" w:cs="宋体"/>
          <w:color w:val="auto"/>
          <w:sz w:val="24"/>
          <w:highlight w:val="none"/>
        </w:rPr>
      </w:pPr>
      <w:r>
        <w:rPr>
          <w:rFonts w:hint="eastAsia" w:ascii="宋体" w:hAnsi="宋体" w:cs="宋体"/>
          <w:b/>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2月17日10</w:t>
      </w:r>
      <w:r>
        <w:rPr>
          <w:rFonts w:hint="eastAsia" w:ascii="宋体" w:hAnsi="宋体" w:cs="宋体"/>
          <w:color w:val="auto"/>
          <w:sz w:val="24"/>
          <w:highlight w:val="none"/>
          <w:u w:val="single"/>
        </w:rPr>
        <w:t xml:space="preserve"> 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 xml:space="preserve"> 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08FD57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47339B06">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2月17日</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 xml:space="preserve">点 </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3A27225D">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14:paraId="3E546C54">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484C7AA8">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72E14F1B">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238B3FEB">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14A17FE8">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BB8E7B6">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FC5D744">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highlight w:val="none"/>
          <w:lang w:eastAsia="zh-CN"/>
        </w:rPr>
        <w:t>采购代理机构</w:t>
      </w:r>
      <w:r>
        <w:rPr>
          <w:rFonts w:hint="eastAsia" w:ascii="宋体" w:hAnsi="宋体" w:cs="宋体"/>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4FFEE56">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1C1C8764">
      <w:pPr>
        <w:spacing w:line="360" w:lineRule="auto"/>
        <w:rPr>
          <w:rFonts w:ascii="宋体" w:hAnsi="宋体" w:cs="宋体"/>
          <w:sz w:val="24"/>
          <w:highlight w:val="none"/>
        </w:rPr>
      </w:pPr>
      <w:r>
        <w:rPr>
          <w:rFonts w:hint="eastAsia" w:ascii="宋体" w:hAnsi="宋体" w:cs="宋体"/>
          <w:sz w:val="24"/>
          <w:highlight w:val="none"/>
        </w:rPr>
        <w:t xml:space="preserve">    1.采购人信息</w:t>
      </w:r>
    </w:p>
    <w:p w14:paraId="30E94812">
      <w:pPr>
        <w:spacing w:line="360" w:lineRule="auto"/>
        <w:rPr>
          <w:rFonts w:ascii="宋体" w:hAnsi="宋体" w:cs="宋体"/>
          <w:color w:val="auto"/>
          <w:sz w:val="24"/>
          <w:highlight w:val="none"/>
        </w:rPr>
      </w:pPr>
      <w:r>
        <w:rPr>
          <w:rFonts w:hint="eastAsia" w:ascii="宋体" w:hAnsi="宋体" w:cs="宋体"/>
          <w:sz w:val="24"/>
          <w:highlight w:val="none"/>
        </w:rPr>
        <w:t xml:space="preserve">   </w:t>
      </w: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杭州市上城区人民政府小营街道办事处</w:t>
      </w:r>
      <w:r>
        <w:rPr>
          <w:rFonts w:hint="eastAsia" w:ascii="宋体" w:hAnsi="宋体" w:cs="宋体"/>
          <w:sz w:val="24"/>
          <w:highlight w:val="none"/>
        </w:rPr>
        <w:t xml:space="preserve"> </w:t>
      </w:r>
    </w:p>
    <w:p w14:paraId="4F3BE66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址：杭州市上城区建国南路98号</w:t>
      </w:r>
      <w:r>
        <w:rPr>
          <w:rFonts w:hint="eastAsia" w:ascii="宋体" w:hAnsi="宋体" w:eastAsia="宋体" w:cs="宋体"/>
          <w:sz w:val="24"/>
          <w:highlight w:val="none"/>
          <w:lang w:eastAsia="zh-CN"/>
        </w:rPr>
        <w:t xml:space="preserve"> </w:t>
      </w:r>
      <w:r>
        <w:rPr>
          <w:rFonts w:hint="eastAsia" w:ascii="宋体" w:hAnsi="宋体" w:cs="宋体"/>
          <w:sz w:val="24"/>
          <w:highlight w:val="none"/>
        </w:rPr>
        <w:t xml:space="preserve">  </w:t>
      </w:r>
      <w:r>
        <w:rPr>
          <w:rFonts w:hint="eastAsia" w:ascii="宋体" w:hAnsi="宋体" w:cs="宋体"/>
          <w:color w:val="auto"/>
          <w:sz w:val="24"/>
          <w:highlight w:val="none"/>
        </w:rPr>
        <w:t xml:space="preserve">   </w:t>
      </w:r>
    </w:p>
    <w:p w14:paraId="04799D2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48FF0A0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项目联系人（询问）：崔魁</w:t>
      </w:r>
      <w:r>
        <w:rPr>
          <w:rFonts w:hint="eastAsia" w:ascii="宋体" w:hAnsi="宋体" w:cs="宋体"/>
          <w:sz w:val="24"/>
          <w:highlight w:val="none"/>
        </w:rPr>
        <w:t xml:space="preserve"> </w:t>
      </w:r>
    </w:p>
    <w:p w14:paraId="4B8F143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项目联系方式（询问）：15990173086</w:t>
      </w:r>
    </w:p>
    <w:p w14:paraId="0E49412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质疑联系人：王天元</w:t>
      </w:r>
    </w:p>
    <w:p w14:paraId="1DF2D4C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质疑联系方式：13675879099</w:t>
      </w:r>
    </w:p>
    <w:p w14:paraId="143D61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2C08A05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称：杭州市公共资源交易中心上城分中心</w:t>
      </w:r>
    </w:p>
    <w:p w14:paraId="38FFA81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址：杭州市上城区凤起东路888号</w:t>
      </w:r>
      <w:r>
        <w:rPr>
          <w:rFonts w:hint="eastAsia" w:ascii="宋体" w:hAnsi="宋体" w:cs="宋体"/>
          <w:color w:val="auto"/>
          <w:sz w:val="24"/>
          <w:highlight w:val="none"/>
          <w:lang w:val="en-US" w:eastAsia="zh-CN"/>
        </w:rPr>
        <w:t>畅聚新达大厦</w:t>
      </w:r>
      <w:r>
        <w:rPr>
          <w:rFonts w:hint="eastAsia" w:ascii="宋体" w:hAnsi="宋体" w:cs="宋体"/>
          <w:color w:val="auto"/>
          <w:sz w:val="24"/>
          <w:highlight w:val="none"/>
        </w:rPr>
        <w:t>四楼</w:t>
      </w:r>
    </w:p>
    <w:p w14:paraId="7AFD3A07">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w:t>
      </w:r>
    </w:p>
    <w:p w14:paraId="6C38012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eastAsia="zh-CN"/>
        </w:rPr>
        <w:t>俞燕萍</w:t>
      </w:r>
    </w:p>
    <w:p w14:paraId="7B8BDE2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val="en-US" w:eastAsia="zh-CN"/>
        </w:rPr>
        <w:t>87654833</w:t>
      </w:r>
      <w:r>
        <w:rPr>
          <w:rFonts w:hint="eastAsia" w:ascii="宋体" w:hAnsi="宋体" w:cs="宋体"/>
          <w:color w:val="auto"/>
          <w:sz w:val="24"/>
          <w:highlight w:val="none"/>
        </w:rPr>
        <w:t xml:space="preserve"> </w:t>
      </w:r>
    </w:p>
    <w:p w14:paraId="13792A7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宋老师</w:t>
      </w:r>
      <w:r>
        <w:rPr>
          <w:rFonts w:hint="eastAsia" w:ascii="宋体" w:hAnsi="宋体" w:cs="宋体"/>
          <w:color w:val="auto"/>
          <w:sz w:val="24"/>
          <w:highlight w:val="none"/>
        </w:rPr>
        <w:t xml:space="preserve"> </w:t>
      </w:r>
    </w:p>
    <w:p w14:paraId="139F80AB">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质疑联系方式：0571-</w:t>
      </w:r>
      <w:r>
        <w:rPr>
          <w:rFonts w:hint="eastAsia" w:ascii="宋体" w:hAnsi="宋体" w:cs="宋体"/>
          <w:color w:val="auto"/>
          <w:sz w:val="24"/>
          <w:highlight w:val="none"/>
          <w:lang w:val="en-US" w:eastAsia="zh-CN"/>
        </w:rPr>
        <w:t>87654292</w:t>
      </w:r>
    </w:p>
    <w:p w14:paraId="6A5CEF9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40A0C998">
      <w:pPr>
        <w:spacing w:line="360" w:lineRule="auto"/>
        <w:ind w:firstLine="480" w:firstLineChars="200"/>
        <w:rPr>
          <w:rFonts w:hint="eastAsia" w:ascii="宋体" w:hAnsi="宋体" w:cs="宋体"/>
          <w:sz w:val="24"/>
          <w:highlight w:val="none"/>
        </w:rPr>
      </w:pPr>
      <w:r>
        <w:rPr>
          <w:rFonts w:hint="eastAsia" w:ascii="宋体" w:hAnsi="宋体" w:cs="宋体"/>
          <w:color w:val="auto"/>
          <w:sz w:val="24"/>
          <w:highlight w:val="none"/>
        </w:rPr>
        <w:t>名    称：</w:t>
      </w:r>
      <w:r>
        <w:rPr>
          <w:rFonts w:hint="eastAsia" w:ascii="宋体" w:hAnsi="宋体" w:cs="宋体"/>
          <w:sz w:val="24"/>
          <w:highlight w:val="none"/>
          <w:lang w:eastAsia="zh-CN"/>
        </w:rPr>
        <w:t>杭州市上城区财政局</w:t>
      </w:r>
      <w:r>
        <w:rPr>
          <w:rFonts w:hint="eastAsia" w:ascii="宋体" w:hAnsi="宋体" w:cs="宋体"/>
          <w:sz w:val="24"/>
          <w:highlight w:val="none"/>
          <w:lang w:val="en-US" w:eastAsia="zh-CN"/>
        </w:rPr>
        <w:t>/</w:t>
      </w:r>
      <w:r>
        <w:rPr>
          <w:rFonts w:hint="eastAsia" w:ascii="宋体" w:hAnsi="宋体" w:cs="宋体"/>
          <w:sz w:val="24"/>
          <w:highlight w:val="none"/>
          <w:lang w:eastAsia="zh-CN"/>
        </w:rPr>
        <w:t>浙江省政府采购行政裁决服务中心（杭州）</w:t>
      </w:r>
    </w:p>
    <w:p w14:paraId="60B93667">
      <w:pPr>
        <w:pStyle w:val="60"/>
        <w:keepNext w:val="0"/>
        <w:keepLines w:val="0"/>
        <w:widowControl/>
        <w:suppressLineNumbers w:val="0"/>
        <w:spacing w:before="226" w:beforeAutospacing="0" w:after="0" w:afterAutospacing="0"/>
        <w:ind w:left="0" w:right="0" w:firstLine="42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地    址：杭州市上城区清泰街549号城建综合大楼11楼（快递仅限ems或顺丰）</w:t>
      </w:r>
    </w:p>
    <w:p w14:paraId="03712CF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传</w:t>
      </w:r>
      <w:r>
        <w:rPr>
          <w:rFonts w:hint="eastAsia" w:ascii="宋体" w:hAnsi="宋体" w:cs="宋体"/>
          <w:sz w:val="24"/>
          <w:highlight w:val="none"/>
          <w:lang w:val="en-US" w:eastAsia="zh-CN"/>
        </w:rPr>
        <w:t xml:space="preserve">    </w:t>
      </w:r>
      <w:r>
        <w:rPr>
          <w:rFonts w:hint="eastAsia" w:ascii="宋体" w:hAnsi="宋体" w:cs="宋体"/>
          <w:sz w:val="24"/>
          <w:highlight w:val="none"/>
        </w:rPr>
        <w:t>真：/</w:t>
      </w:r>
      <w:bookmarkStart w:id="412" w:name="_GoBack"/>
      <w:bookmarkEnd w:id="412"/>
    </w:p>
    <w:p w14:paraId="6DAC5B8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联</w:t>
      </w:r>
      <w:r>
        <w:rPr>
          <w:rFonts w:hint="eastAsia" w:ascii="宋体" w:hAnsi="宋体" w:cs="宋体"/>
          <w:sz w:val="24"/>
          <w:highlight w:val="none"/>
          <w:lang w:val="en-US" w:eastAsia="zh-CN"/>
        </w:rPr>
        <w:t xml:space="preserve"> </w:t>
      </w:r>
      <w:r>
        <w:rPr>
          <w:rFonts w:hint="eastAsia" w:ascii="宋体" w:hAnsi="宋体" w:cs="宋体"/>
          <w:sz w:val="24"/>
          <w:highlight w:val="none"/>
        </w:rPr>
        <w:t>系</w:t>
      </w:r>
      <w:r>
        <w:rPr>
          <w:rFonts w:hint="eastAsia" w:ascii="宋体" w:hAnsi="宋体" w:cs="宋体"/>
          <w:sz w:val="24"/>
          <w:highlight w:val="none"/>
          <w:lang w:val="en-US" w:eastAsia="zh-CN"/>
        </w:rPr>
        <w:t xml:space="preserve"> </w:t>
      </w:r>
      <w:r>
        <w:rPr>
          <w:rFonts w:hint="eastAsia" w:ascii="宋体" w:hAnsi="宋体" w:cs="宋体"/>
          <w:sz w:val="24"/>
          <w:highlight w:val="none"/>
        </w:rPr>
        <w:t>人：朱女士、王女士</w:t>
      </w:r>
    </w:p>
    <w:p w14:paraId="68212540">
      <w:pPr>
        <w:spacing w:line="360" w:lineRule="auto"/>
        <w:ind w:firstLine="480"/>
        <w:rPr>
          <w:rFonts w:ascii="宋体" w:hAnsi="宋体" w:cs="宋体"/>
          <w:sz w:val="24"/>
          <w:highlight w:val="none"/>
        </w:rPr>
      </w:pPr>
      <w:r>
        <w:rPr>
          <w:rFonts w:hint="eastAsia" w:ascii="宋体" w:hAnsi="宋体" w:cs="宋体"/>
          <w:sz w:val="24"/>
          <w:highlight w:val="none"/>
        </w:rPr>
        <w:t xml:space="preserve">监督投诉电话：0571-85252453    </w:t>
      </w:r>
    </w:p>
    <w:p w14:paraId="7DB24C88">
      <w:pPr>
        <w:spacing w:line="360" w:lineRule="auto"/>
        <w:ind w:firstLine="480" w:firstLineChars="20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364F1692">
      <w:pPr>
        <w:spacing w:line="360" w:lineRule="auto"/>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14:paraId="2CC5541C">
      <w:pPr>
        <w:widowControl/>
        <w:adjustRightInd/>
        <w:jc w:val="left"/>
        <w:rPr>
          <w:rFonts w:ascii="宋体" w:hAnsi="宋体" w:cs="宋体"/>
          <w:b/>
          <w:sz w:val="36"/>
          <w:szCs w:val="20"/>
          <w:highlight w:val="none"/>
        </w:rPr>
      </w:pPr>
      <w:r>
        <w:rPr>
          <w:rFonts w:ascii="宋体" w:hAnsi="宋体" w:cs="宋体"/>
          <w:b/>
          <w:sz w:val="36"/>
          <w:szCs w:val="20"/>
          <w:highlight w:val="none"/>
        </w:rPr>
        <w:br w:type="page"/>
      </w:r>
    </w:p>
    <w:p w14:paraId="50B5F5DB">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投标人须知</w:t>
      </w:r>
      <w:bookmarkEnd w:id="9"/>
    </w:p>
    <w:p w14:paraId="3223342F">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FD94D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AC3CC15">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97E7AFD">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42AE89F">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60BDC2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E199121">
            <w:pPr>
              <w:snapToGrid w:val="0"/>
              <w:spacing w:line="360" w:lineRule="auto"/>
              <w:jc w:val="center"/>
              <w:rPr>
                <w:rFonts w:ascii="宋体" w:hAnsi="宋体" w:cs="宋体"/>
                <w:sz w:val="24"/>
                <w:highlight w:val="none"/>
              </w:rPr>
            </w:pPr>
          </w:p>
          <w:p w14:paraId="235C83DD">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FC1AA0D">
            <w:pPr>
              <w:snapToGrid w:val="0"/>
              <w:spacing w:line="360" w:lineRule="auto"/>
              <w:rPr>
                <w:rFonts w:ascii="宋体" w:hAnsi="宋体" w:cs="宋体"/>
                <w:b/>
                <w:sz w:val="24"/>
                <w:highlight w:val="none"/>
              </w:rPr>
            </w:pPr>
            <w:r>
              <w:rPr>
                <w:rFonts w:hint="eastAsia" w:ascii="宋体" w:hAnsi="宋体" w:cs="宋体"/>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CE4F0B4">
            <w:pPr>
              <w:spacing w:line="360" w:lineRule="auto"/>
              <w:rPr>
                <w:rFonts w:ascii="宋体" w:hAnsi="宋体" w:cs="宋体"/>
                <w:sz w:val="24"/>
                <w:highlight w:val="none"/>
              </w:rPr>
            </w:pPr>
            <w:r>
              <w:rPr>
                <w:rFonts w:hint="eastAsia" w:ascii="宋体" w:hAnsi="宋体" w:cs="宋体"/>
                <w:sz w:val="24"/>
                <w:highlight w:val="none"/>
              </w:rPr>
              <w:t>服务类。</w:t>
            </w:r>
          </w:p>
        </w:tc>
      </w:tr>
      <w:tr w14:paraId="47945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540E6CF">
            <w:pPr>
              <w:snapToGrid w:val="0"/>
              <w:spacing w:line="360" w:lineRule="auto"/>
              <w:jc w:val="center"/>
              <w:rPr>
                <w:rFonts w:ascii="宋体" w:hAnsi="宋体" w:cs="宋体"/>
                <w:sz w:val="24"/>
                <w:highlight w:val="none"/>
              </w:rPr>
            </w:pPr>
          </w:p>
          <w:p w14:paraId="272EAB6E">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096A684">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ECC7012">
            <w:pPr>
              <w:snapToGrid w:val="0"/>
              <w:spacing w:line="360" w:lineRule="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杭州市上城区小营街道南片6个社区（长明寺巷、金钱巷、茅廊巷、西牌楼、梅花碑、姚园寺巷社区）准物业服务项目</w:t>
            </w:r>
            <w:r>
              <w:rPr>
                <w:rFonts w:hint="eastAsia" w:ascii="宋体" w:hAnsi="宋体" w:cs="宋体"/>
                <w:b w:val="0"/>
                <w:bCs/>
                <w:color w:val="auto"/>
                <w:kern w:val="0"/>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物业管理</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07586DA1">
            <w:pPr>
              <w:pStyle w:val="2"/>
              <w:rPr>
                <w:rFonts w:ascii="宋体" w:hAnsi="宋体" w:eastAsia="宋体" w:cs="宋体"/>
                <w:highlight w:val="none"/>
                <w:lang w:val="en-US"/>
              </w:rPr>
            </w:pPr>
          </w:p>
        </w:tc>
      </w:tr>
      <w:tr w14:paraId="4FE00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509C9F0">
            <w:pPr>
              <w:snapToGrid w:val="0"/>
              <w:spacing w:line="360" w:lineRule="auto"/>
              <w:jc w:val="center"/>
              <w:rPr>
                <w:rFonts w:ascii="宋体" w:hAnsi="宋体" w:cs="宋体"/>
                <w:sz w:val="24"/>
                <w:highlight w:val="none"/>
              </w:rPr>
            </w:pPr>
          </w:p>
          <w:p w14:paraId="0107CB41">
            <w:pPr>
              <w:snapToGrid w:val="0"/>
              <w:spacing w:line="360" w:lineRule="auto"/>
              <w:jc w:val="center"/>
              <w:rPr>
                <w:rFonts w:ascii="宋体" w:hAnsi="宋体" w:cs="宋体"/>
                <w:sz w:val="24"/>
                <w:highlight w:val="none"/>
              </w:rPr>
            </w:pPr>
          </w:p>
          <w:p w14:paraId="74DC979B">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FD52A5A">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1097C60">
            <w:pPr>
              <w:spacing w:line="360" w:lineRule="auto"/>
              <w:rPr>
                <w:rFonts w:ascii="宋体" w:hAnsi="宋体" w:cs="宋体"/>
                <w:kern w:val="0"/>
                <w:sz w:val="24"/>
                <w:highlight w:val="none"/>
              </w:rPr>
            </w:pPr>
            <w:sdt>
              <w:sdtPr>
                <w:rPr>
                  <w:rFonts w:hint="eastAsia" w:ascii="宋体" w:hAnsi="宋体" w:cs="宋体"/>
                  <w:kern w:val="0"/>
                  <w:sz w:val="24"/>
                  <w:highlight w:val="none"/>
                </w:rPr>
                <w:id w:val="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本项目不允许采购进口产品。</w:t>
            </w:r>
          </w:p>
          <w:p w14:paraId="1DAB667A">
            <w:pPr>
              <w:spacing w:line="360" w:lineRule="auto"/>
              <w:rPr>
                <w:rFonts w:ascii="宋体" w:hAnsi="宋体" w:cs="宋体"/>
                <w:highlight w:val="none"/>
              </w:rPr>
            </w:pPr>
            <w:sdt>
              <w:sdtPr>
                <w:rPr>
                  <w:rFonts w:hint="eastAsia" w:ascii="宋体" w:hAnsi="宋体" w:cs="宋体"/>
                  <w:kern w:val="0"/>
                  <w:sz w:val="24"/>
                  <w:highlight w:val="none"/>
                </w:rPr>
                <w:id w:val="10"/>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r>
              <w:rPr>
                <w:rFonts w:hint="eastAsia" w:ascii="宋体" w:hAnsi="宋体" w:cs="宋体"/>
                <w:color w:val="auto"/>
                <w:kern w:val="0"/>
                <w:sz w:val="24"/>
                <w:highlight w:val="none"/>
              </w:rPr>
              <w:t>优先采购向我国企业转让技术、与我国企业签订消化吸收再创新方案的供应商的进口产品，详见</w:t>
            </w:r>
            <w:r>
              <w:rPr>
                <w:rFonts w:hint="eastAsia" w:ascii="宋体" w:hAnsi="宋体" w:cs="宋体"/>
                <w:color w:val="auto"/>
                <w:kern w:val="0"/>
                <w:sz w:val="24"/>
                <w:highlight w:val="none"/>
                <w:lang w:val="en-US" w:eastAsia="zh-CN"/>
              </w:rPr>
              <w:t>评分标准</w:t>
            </w:r>
            <w:r>
              <w:rPr>
                <w:rFonts w:hint="eastAsia" w:ascii="宋体" w:hAnsi="宋体" w:cs="宋体"/>
                <w:color w:val="auto"/>
                <w:kern w:val="0"/>
                <w:sz w:val="24"/>
                <w:highlight w:val="none"/>
              </w:rPr>
              <w:t>。</w:t>
            </w:r>
          </w:p>
        </w:tc>
      </w:tr>
      <w:tr w14:paraId="160DC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85543C">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E411501">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2AB16F1">
            <w:pPr>
              <w:spacing w:line="360" w:lineRule="auto"/>
              <w:rPr>
                <w:rFonts w:ascii="宋体" w:hAnsi="宋体" w:cs="宋体"/>
                <w:sz w:val="24"/>
                <w:highlight w:val="none"/>
              </w:rPr>
            </w:pPr>
            <w:sdt>
              <w:sdtPr>
                <w:rPr>
                  <w:rFonts w:hint="eastAsia" w:ascii="宋体" w:hAnsi="宋体" w:cs="宋体"/>
                  <w:kern w:val="0"/>
                  <w:sz w:val="24"/>
                  <w:highlight w:val="none"/>
                </w:rPr>
                <w:id w:val="11"/>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ascii="MS Gothic" w:hAnsi="MS Gothic" w:eastAsia="宋体" w:cs="宋体"/>
                    <w:kern w:val="0"/>
                    <w:sz w:val="24"/>
                    <w:szCs w:val="24"/>
                    <w:highlight w:val="none"/>
                    <w:lang w:val="en-US" w:eastAsia="zh-CN" w:bidi="ar-SA"/>
                  </w:rPr>
                  <w:t>☐</w:t>
                </w:r>
              </w:sdtContent>
            </w:sdt>
            <w:r>
              <w:rPr>
                <w:rFonts w:hint="eastAsia" w:ascii="宋体" w:hAnsi="宋体" w:cs="宋体"/>
                <w:kern w:val="0"/>
                <w:sz w:val="24"/>
                <w:highlight w:val="none"/>
              </w:rPr>
              <w:t xml:space="preserve"> A</w:t>
            </w:r>
            <w:r>
              <w:rPr>
                <w:rFonts w:hint="eastAsia" w:ascii="宋体" w:hAnsi="宋体" w:cs="宋体"/>
                <w:sz w:val="24"/>
                <w:highlight w:val="none"/>
              </w:rPr>
              <w:t>同意将非主体、</w:t>
            </w:r>
            <w:r>
              <w:rPr>
                <w:rFonts w:hint="eastAsia" w:ascii="宋体" w:hAnsi="宋体" w:cs="宋体"/>
                <w:color w:val="auto"/>
                <w:sz w:val="24"/>
                <w:highlight w:val="none"/>
              </w:rPr>
              <w:t>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 xml:space="preserve"> B</w:t>
            </w:r>
            <w:r>
              <w:rPr>
                <w:rFonts w:hint="eastAsia" w:ascii="宋体" w:hAnsi="宋体" w:cs="宋体"/>
                <w:sz w:val="24"/>
                <w:highlight w:val="none"/>
              </w:rPr>
              <w:t>不同意分包。</w:t>
            </w:r>
          </w:p>
          <w:p w14:paraId="41F1D124">
            <w:pPr>
              <w:spacing w:line="360" w:lineRule="auto"/>
              <w:rPr>
                <w:rFonts w:ascii="宋体" w:hAnsi="宋体" w:cs="宋体"/>
                <w:sz w:val="24"/>
                <w:highlight w:val="none"/>
              </w:rPr>
            </w:pPr>
            <w:r>
              <w:rPr>
                <w:rFonts w:hint="eastAsia" w:ascii="宋体" w:hAnsi="宋体" w:cs="宋体"/>
                <w:sz w:val="24"/>
                <w:highlight w:val="none"/>
              </w:rPr>
              <w:t>注：不得限制大中型企业向小微企业合理分包。</w:t>
            </w:r>
          </w:p>
        </w:tc>
      </w:tr>
      <w:tr w14:paraId="71FFF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1B77392">
            <w:pPr>
              <w:snapToGrid w:val="0"/>
              <w:spacing w:line="360" w:lineRule="auto"/>
              <w:jc w:val="center"/>
              <w:rPr>
                <w:rFonts w:ascii="宋体" w:hAnsi="宋体" w:cs="宋体"/>
                <w:sz w:val="24"/>
                <w:highlight w:val="none"/>
              </w:rPr>
            </w:pPr>
          </w:p>
          <w:p w14:paraId="63974B0C">
            <w:pPr>
              <w:snapToGrid w:val="0"/>
              <w:spacing w:line="360" w:lineRule="auto"/>
              <w:jc w:val="center"/>
              <w:rPr>
                <w:rFonts w:ascii="宋体" w:hAnsi="宋体" w:cs="宋体"/>
                <w:sz w:val="24"/>
                <w:highlight w:val="none"/>
              </w:rPr>
            </w:pPr>
          </w:p>
          <w:p w14:paraId="64C6D4FB">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2C79987">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CC575E8">
            <w:pPr>
              <w:spacing w:line="360" w:lineRule="auto"/>
              <w:rPr>
                <w:rFonts w:ascii="宋体" w:hAnsi="宋体" w:cs="宋体"/>
                <w:sz w:val="24"/>
                <w:highlight w:val="none"/>
              </w:rPr>
            </w:pPr>
            <w:sdt>
              <w:sdtPr>
                <w:rPr>
                  <w:rFonts w:hint="eastAsia" w:ascii="宋体" w:hAnsi="宋体" w:cs="宋体"/>
                  <w:kern w:val="0"/>
                  <w:sz w:val="24"/>
                  <w:highlight w:val="none"/>
                </w:rPr>
                <w:id w:val="13"/>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0423DDE0">
            <w:pPr>
              <w:spacing w:line="360" w:lineRule="auto"/>
              <w:rPr>
                <w:rFonts w:ascii="宋体" w:hAnsi="宋体" w:cs="宋体"/>
                <w:sz w:val="24"/>
                <w:szCs w:val="20"/>
                <w:highlight w:val="none"/>
              </w:rPr>
            </w:pPr>
            <w:sdt>
              <w:sdtPr>
                <w:rPr>
                  <w:rFonts w:hint="eastAsia" w:ascii="宋体" w:hAnsi="宋体" w:cs="宋体"/>
                  <w:kern w:val="0"/>
                  <w:sz w:val="24"/>
                  <w:highlight w:val="none"/>
                </w:rPr>
                <w:id w:val="1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14:paraId="19050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9F6007E">
            <w:pPr>
              <w:snapToGrid w:val="0"/>
              <w:spacing w:line="360" w:lineRule="auto"/>
              <w:jc w:val="center"/>
              <w:rPr>
                <w:rFonts w:ascii="宋体" w:hAnsi="宋体" w:cs="宋体"/>
                <w:sz w:val="24"/>
                <w:highlight w:val="none"/>
              </w:rPr>
            </w:pPr>
          </w:p>
          <w:p w14:paraId="7984D7A2">
            <w:pPr>
              <w:snapToGrid w:val="0"/>
              <w:spacing w:line="360" w:lineRule="auto"/>
              <w:jc w:val="center"/>
              <w:rPr>
                <w:rFonts w:ascii="宋体" w:hAnsi="宋体" w:cs="宋体"/>
                <w:sz w:val="24"/>
                <w:highlight w:val="none"/>
              </w:rPr>
            </w:pPr>
          </w:p>
          <w:p w14:paraId="2BFEBD65">
            <w:pPr>
              <w:snapToGrid w:val="0"/>
              <w:spacing w:line="360" w:lineRule="auto"/>
              <w:jc w:val="center"/>
              <w:rPr>
                <w:rFonts w:ascii="宋体" w:hAnsi="宋体" w:cs="宋体"/>
                <w:sz w:val="24"/>
                <w:highlight w:val="none"/>
              </w:rPr>
            </w:pPr>
          </w:p>
          <w:p w14:paraId="01C441FC">
            <w:pPr>
              <w:snapToGrid w:val="0"/>
              <w:spacing w:line="360" w:lineRule="auto"/>
              <w:jc w:val="center"/>
              <w:rPr>
                <w:rFonts w:ascii="宋体" w:hAnsi="宋体" w:cs="宋体"/>
                <w:sz w:val="24"/>
                <w:highlight w:val="none"/>
              </w:rPr>
            </w:pPr>
          </w:p>
          <w:p w14:paraId="7E535663">
            <w:pPr>
              <w:snapToGrid w:val="0"/>
              <w:spacing w:line="360" w:lineRule="auto"/>
              <w:jc w:val="center"/>
              <w:rPr>
                <w:rFonts w:ascii="宋体" w:hAnsi="宋体" w:cs="宋体"/>
                <w:sz w:val="24"/>
                <w:highlight w:val="none"/>
              </w:rPr>
            </w:pPr>
          </w:p>
          <w:p w14:paraId="4DF7341B">
            <w:pPr>
              <w:snapToGrid w:val="0"/>
              <w:spacing w:line="360" w:lineRule="auto"/>
              <w:jc w:val="center"/>
              <w:rPr>
                <w:rFonts w:ascii="宋体" w:hAnsi="宋体" w:cs="宋体"/>
                <w:sz w:val="24"/>
                <w:highlight w:val="none"/>
              </w:rPr>
            </w:pPr>
          </w:p>
          <w:p w14:paraId="79F5D23C">
            <w:pPr>
              <w:snapToGrid w:val="0"/>
              <w:spacing w:line="360" w:lineRule="auto"/>
              <w:jc w:val="center"/>
              <w:rPr>
                <w:rFonts w:ascii="宋体" w:hAnsi="宋体" w:cs="宋体"/>
                <w:sz w:val="24"/>
                <w:highlight w:val="none"/>
              </w:rPr>
            </w:pPr>
          </w:p>
          <w:p w14:paraId="344D8130">
            <w:pPr>
              <w:snapToGrid w:val="0"/>
              <w:spacing w:line="360" w:lineRule="auto"/>
              <w:jc w:val="center"/>
              <w:rPr>
                <w:rFonts w:ascii="宋体" w:hAnsi="宋体" w:cs="宋体"/>
                <w:sz w:val="24"/>
                <w:highlight w:val="none"/>
              </w:rPr>
            </w:pPr>
          </w:p>
          <w:p w14:paraId="4BCCCC80">
            <w:pPr>
              <w:snapToGrid w:val="0"/>
              <w:spacing w:line="360" w:lineRule="auto"/>
              <w:jc w:val="center"/>
              <w:rPr>
                <w:rFonts w:ascii="宋体" w:hAnsi="宋体" w:cs="宋体"/>
                <w:sz w:val="24"/>
                <w:highlight w:val="none"/>
              </w:rPr>
            </w:pPr>
          </w:p>
          <w:p w14:paraId="64A1B81C">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4A02353">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AAC58D0">
            <w:pPr>
              <w:spacing w:line="360" w:lineRule="auto"/>
              <w:rPr>
                <w:rFonts w:hint="eastAsia" w:ascii="宋体" w:hAnsi="宋体" w:cs="宋体"/>
                <w:sz w:val="24"/>
                <w:highlight w:val="none"/>
              </w:rPr>
            </w:pPr>
            <w:sdt>
              <w:sdtPr>
                <w:rPr>
                  <w:rFonts w:hint="eastAsia" w:ascii="宋体" w:hAnsi="宋体" w:cs="宋体"/>
                  <w:kern w:val="0"/>
                  <w:sz w:val="24"/>
                  <w:highlight w:val="none"/>
                </w:rPr>
                <w:id w:val="15"/>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59662953">
            <w:pPr>
              <w:spacing w:line="360" w:lineRule="auto"/>
              <w:rPr>
                <w:rFonts w:ascii="宋体" w:hAnsi="宋体" w:cs="宋体"/>
                <w:kern w:val="0"/>
                <w:sz w:val="24"/>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B</w:t>
            </w:r>
            <w:r>
              <w:rPr>
                <w:rFonts w:hint="eastAsia" w:ascii="宋体" w:hAnsi="宋体" w:cs="宋体"/>
                <w:kern w:val="0"/>
                <w:sz w:val="24"/>
                <w:highlight w:val="none"/>
                <w:lang w:val="en-US" w:eastAsia="zh-CN"/>
              </w:rPr>
              <w:t>要求提供（</w:t>
            </w:r>
            <w:r>
              <w:rPr>
                <w:rFonts w:hint="eastAsia" w:ascii="宋体" w:hAnsi="宋体" w:cs="宋体"/>
                <w:kern w:val="0"/>
                <w:sz w:val="24"/>
                <w:highlight w:val="none"/>
              </w:rPr>
              <w:t>未提供样品或提供样品不满足采购需求实质性条件的供应商，投标无效）：</w:t>
            </w:r>
          </w:p>
          <w:p w14:paraId="379E4E4D">
            <w:pPr>
              <w:spacing w:line="360" w:lineRule="auto"/>
              <w:rPr>
                <w:rFonts w:hint="eastAsia" w:ascii="宋体" w:hAnsi="宋体" w:cs="宋体"/>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5816602C">
            <w:pPr>
              <w:spacing w:line="360" w:lineRule="auto"/>
              <w:rPr>
                <w:rFonts w:hint="eastAsia" w:ascii="宋体" w:hAnsi="宋体" w:cs="宋体"/>
                <w:sz w:val="24"/>
                <w:highlight w:val="none"/>
              </w:rPr>
            </w:pPr>
            <w:r>
              <w:rPr>
                <w:rFonts w:hint="eastAsia" w:ascii="宋体" w:hAnsi="宋体" w:cs="宋体"/>
                <w:sz w:val="24"/>
                <w:highlight w:val="none"/>
              </w:rPr>
              <w:t>（2）样品制作的标准和要求：    ；</w:t>
            </w:r>
          </w:p>
          <w:p w14:paraId="3FA93468">
            <w:pPr>
              <w:spacing w:line="360" w:lineRule="auto"/>
              <w:rPr>
                <w:rFonts w:ascii="宋体" w:hAnsi="宋体" w:cs="宋体"/>
                <w:color w:val="auto"/>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w:t>
            </w: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14:paraId="0475CF83">
            <w:pPr>
              <w:spacing w:line="360"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5CE9F92E">
            <w:pPr>
              <w:spacing w:line="360" w:lineRule="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14:paraId="3B791F6B">
            <w:pPr>
              <w:spacing w:line="360" w:lineRule="auto"/>
              <w:rPr>
                <w:rFonts w:ascii="宋体" w:hAnsi="宋体" w:cs="宋体"/>
                <w:sz w:val="24"/>
                <w:highlight w:val="none"/>
              </w:rPr>
            </w:pPr>
            <w:r>
              <w:rPr>
                <w:rFonts w:hint="eastAsia" w:ascii="宋体" w:hAnsi="宋体" w:cs="宋体"/>
                <w:sz w:val="24"/>
                <w:highlight w:val="none"/>
              </w:rPr>
              <w:t xml:space="preserve"> (6)采购活动结束后，对于未中标人提供的样品，采购人、</w:t>
            </w:r>
            <w:r>
              <w:rPr>
                <w:rFonts w:hint="eastAsia" w:ascii="宋体" w:hAnsi="宋体" w:cs="宋体"/>
                <w:sz w:val="24"/>
                <w:highlight w:val="none"/>
                <w:lang w:eastAsia="zh-CN"/>
              </w:rPr>
              <w:t>采购代理机构</w:t>
            </w:r>
            <w:r>
              <w:rPr>
                <w:rFonts w:hint="eastAsia" w:ascii="宋体" w:hAnsi="宋体" w:cs="宋体"/>
                <w:sz w:val="24"/>
                <w:highlight w:val="none"/>
              </w:rPr>
              <w:t>将通知未中标人在规定的时间内取回，逾期未取回的，采购人、</w:t>
            </w:r>
            <w:r>
              <w:rPr>
                <w:rFonts w:hint="eastAsia" w:ascii="宋体" w:hAnsi="宋体" w:cs="宋体"/>
                <w:sz w:val="24"/>
                <w:highlight w:val="none"/>
                <w:lang w:eastAsia="zh-CN"/>
              </w:rPr>
              <w:t>采购代理机构</w:t>
            </w:r>
            <w:r>
              <w:rPr>
                <w:rFonts w:hint="eastAsia" w:ascii="宋体" w:hAnsi="宋体" w:cs="宋体"/>
                <w:sz w:val="24"/>
                <w:highlight w:val="none"/>
              </w:rPr>
              <w:t>不负保管义务；对于中标人提供的样品，采购人将进行保管、封存，并作为履约验收的参考。</w:t>
            </w:r>
          </w:p>
          <w:p w14:paraId="735BC4E1">
            <w:pPr>
              <w:spacing w:line="360" w:lineRule="auto"/>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14:paraId="22423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1065D4D">
            <w:pPr>
              <w:snapToGrid w:val="0"/>
              <w:spacing w:line="360" w:lineRule="auto"/>
              <w:jc w:val="center"/>
              <w:rPr>
                <w:rFonts w:ascii="宋体" w:hAnsi="宋体" w:cs="宋体"/>
                <w:sz w:val="24"/>
                <w:highlight w:val="none"/>
              </w:rPr>
            </w:pPr>
          </w:p>
          <w:p w14:paraId="516E99BD">
            <w:pPr>
              <w:snapToGrid w:val="0"/>
              <w:spacing w:line="360" w:lineRule="auto"/>
              <w:jc w:val="center"/>
              <w:rPr>
                <w:rFonts w:ascii="宋体" w:hAnsi="宋体" w:cs="宋体"/>
                <w:sz w:val="24"/>
                <w:highlight w:val="none"/>
              </w:rPr>
            </w:pPr>
          </w:p>
          <w:p w14:paraId="640A7B85">
            <w:pPr>
              <w:snapToGrid w:val="0"/>
              <w:spacing w:line="360" w:lineRule="auto"/>
              <w:jc w:val="center"/>
              <w:rPr>
                <w:rFonts w:ascii="宋体" w:hAnsi="宋体" w:cs="宋体"/>
                <w:sz w:val="24"/>
                <w:highlight w:val="none"/>
              </w:rPr>
            </w:pPr>
          </w:p>
          <w:p w14:paraId="4246671D">
            <w:pPr>
              <w:snapToGrid w:val="0"/>
              <w:spacing w:line="360" w:lineRule="auto"/>
              <w:jc w:val="center"/>
              <w:rPr>
                <w:rFonts w:ascii="宋体" w:hAnsi="宋体" w:cs="宋体"/>
                <w:sz w:val="24"/>
                <w:highlight w:val="none"/>
              </w:rPr>
            </w:pPr>
          </w:p>
          <w:p w14:paraId="064FE7C5">
            <w:pPr>
              <w:snapToGrid w:val="0"/>
              <w:spacing w:line="360" w:lineRule="auto"/>
              <w:jc w:val="center"/>
              <w:rPr>
                <w:rFonts w:ascii="宋体" w:hAnsi="宋体" w:cs="宋体"/>
                <w:sz w:val="24"/>
                <w:highlight w:val="none"/>
              </w:rPr>
            </w:pPr>
          </w:p>
          <w:p w14:paraId="2E14E3F9">
            <w:pPr>
              <w:snapToGrid w:val="0"/>
              <w:spacing w:line="360" w:lineRule="auto"/>
              <w:jc w:val="center"/>
              <w:rPr>
                <w:rFonts w:ascii="宋体" w:hAnsi="宋体" w:cs="宋体"/>
                <w:sz w:val="24"/>
                <w:highlight w:val="none"/>
              </w:rPr>
            </w:pPr>
          </w:p>
          <w:p w14:paraId="4116C856">
            <w:pPr>
              <w:snapToGrid w:val="0"/>
              <w:spacing w:line="360" w:lineRule="auto"/>
              <w:jc w:val="center"/>
              <w:rPr>
                <w:rFonts w:ascii="宋体" w:hAnsi="宋体" w:cs="宋体"/>
                <w:sz w:val="24"/>
                <w:highlight w:val="none"/>
              </w:rPr>
            </w:pPr>
          </w:p>
          <w:p w14:paraId="1904B5DD">
            <w:pPr>
              <w:snapToGrid w:val="0"/>
              <w:spacing w:line="360" w:lineRule="auto"/>
              <w:jc w:val="center"/>
              <w:rPr>
                <w:rFonts w:ascii="宋体" w:hAnsi="宋体" w:cs="宋体"/>
                <w:sz w:val="24"/>
                <w:highlight w:val="none"/>
              </w:rPr>
            </w:pPr>
          </w:p>
          <w:p w14:paraId="62A1BD11">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6261967">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9A0CAA4">
            <w:pPr>
              <w:spacing w:line="360" w:lineRule="auto"/>
              <w:rPr>
                <w:rFonts w:ascii="宋体" w:hAnsi="宋体" w:cs="宋体"/>
                <w:sz w:val="24"/>
                <w:highlight w:val="none"/>
              </w:rPr>
            </w:pPr>
            <w:sdt>
              <w:sdtPr>
                <w:rPr>
                  <w:rFonts w:hint="eastAsia" w:ascii="宋体" w:hAnsi="宋体" w:cs="宋体"/>
                  <w:kern w:val="0"/>
                  <w:sz w:val="24"/>
                  <w:highlight w:val="none"/>
                </w:rPr>
                <w:id w:val="1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571E8112">
            <w:pPr>
              <w:spacing w:line="360" w:lineRule="auto"/>
              <w:rPr>
                <w:rFonts w:ascii="宋体" w:hAnsi="宋体" w:cs="宋体"/>
                <w:kern w:val="0"/>
                <w:sz w:val="24"/>
                <w:highlight w:val="none"/>
              </w:rPr>
            </w:pPr>
            <w:sdt>
              <w:sdtPr>
                <w:rPr>
                  <w:rFonts w:hint="eastAsia" w:ascii="宋体" w:hAnsi="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kern w:val="0"/>
                <w:sz w:val="24"/>
                <w:highlight w:val="none"/>
              </w:rPr>
              <w:t>B组织。</w:t>
            </w:r>
          </w:p>
          <w:p w14:paraId="12C9CDA9">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w:t>
            </w:r>
            <w:r>
              <w:rPr>
                <w:rFonts w:hint="eastAsia" w:ascii="宋体" w:hAnsi="宋体" w:cs="宋体"/>
                <w:kern w:val="0"/>
                <w:sz w:val="24"/>
                <w:highlight w:val="none"/>
                <w:u w:val="single"/>
                <w:lang w:val="en-US" w:eastAsia="zh-CN"/>
              </w:rPr>
              <w:t>5</w:t>
            </w:r>
            <w:r>
              <w:rPr>
                <w:rFonts w:hint="eastAsia" w:ascii="宋体" w:hAnsi="宋体" w:cs="宋体"/>
                <w:kern w:val="0"/>
                <w:sz w:val="24"/>
                <w:highlight w:val="none"/>
                <w:u w:val="single"/>
                <w:lang w:eastAsia="zh-CN"/>
              </w:rPr>
              <w:t>（</w:t>
            </w:r>
            <w:r>
              <w:rPr>
                <w:rFonts w:hint="eastAsia" w:ascii="宋体" w:hAnsi="宋体" w:cs="宋体"/>
                <w:kern w:val="0"/>
                <w:sz w:val="24"/>
                <w:highlight w:val="none"/>
                <w:u w:val="single"/>
                <w:lang w:val="en-US" w:eastAsia="zh-CN"/>
              </w:rPr>
              <w:t>编制时可根据项目情况进行调整</w:t>
            </w:r>
            <w:r>
              <w:rPr>
                <w:rFonts w:hint="eastAsia" w:ascii="宋体" w:hAnsi="宋体" w:cs="宋体"/>
                <w:kern w:val="0"/>
                <w:sz w:val="24"/>
                <w:highlight w:val="none"/>
                <w:u w:val="single"/>
                <w:lang w:eastAsia="zh-CN"/>
              </w:rPr>
              <w:t>）</w:t>
            </w:r>
            <w:r>
              <w:rPr>
                <w:rFonts w:hint="eastAsia" w:ascii="宋体" w:hAnsi="宋体" w:cs="宋体"/>
                <w:kern w:val="0"/>
                <w:sz w:val="24"/>
                <w:highlight w:val="none"/>
              </w:rPr>
              <w:t>分钟，讲解次序以投标文件解密时间先后次序为准，讲解演示人员不超过</w:t>
            </w:r>
            <w:r>
              <w:rPr>
                <w:rFonts w:hint="eastAsia" w:ascii="宋体" w:hAnsi="宋体" w:cs="宋体"/>
                <w:kern w:val="0"/>
                <w:sz w:val="24"/>
                <w:highlight w:val="none"/>
                <w:u w:val="single"/>
                <w:lang w:val="en-US" w:eastAsia="zh-CN"/>
              </w:rPr>
              <w:t>1</w:t>
            </w:r>
            <w:r>
              <w:rPr>
                <w:rFonts w:hint="eastAsia" w:ascii="宋体" w:hAnsi="宋体" w:cs="宋体"/>
                <w:kern w:val="0"/>
                <w:sz w:val="24"/>
                <w:highlight w:val="none"/>
                <w:u w:val="single"/>
                <w:lang w:eastAsia="zh-CN"/>
              </w:rPr>
              <w:t>（</w:t>
            </w:r>
            <w:r>
              <w:rPr>
                <w:rFonts w:hint="eastAsia" w:ascii="宋体" w:hAnsi="宋体" w:cs="宋体"/>
                <w:kern w:val="0"/>
                <w:sz w:val="24"/>
                <w:highlight w:val="none"/>
                <w:u w:val="single"/>
                <w:lang w:val="en-US" w:eastAsia="zh-CN"/>
              </w:rPr>
              <w:t>编制时可根据项目情况进行调整</w:t>
            </w:r>
            <w:r>
              <w:rPr>
                <w:rFonts w:hint="eastAsia" w:ascii="宋体" w:hAnsi="宋体" w:cs="宋体"/>
                <w:kern w:val="0"/>
                <w:sz w:val="24"/>
                <w:highlight w:val="none"/>
                <w:u w:val="single"/>
                <w:lang w:eastAsia="zh-CN"/>
              </w:rPr>
              <w:t>）</w:t>
            </w:r>
            <w:r>
              <w:rPr>
                <w:rFonts w:hint="eastAsia" w:ascii="宋体" w:hAnsi="宋体" w:cs="宋体"/>
                <w:kern w:val="0"/>
                <w:sz w:val="24"/>
                <w:highlight w:val="none"/>
              </w:rPr>
              <w:t>人。讲解演示结束后按要求解答评标委员会提问。</w:t>
            </w:r>
          </w:p>
          <w:p w14:paraId="02CB24D2">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（2）方案讲解演示方式：</w:t>
            </w:r>
          </w:p>
          <w:p w14:paraId="7480C843">
            <w:pPr>
              <w:snapToGrid w:val="0"/>
              <w:spacing w:line="360" w:lineRule="auto"/>
              <w:rPr>
                <w:rFonts w:ascii="宋体" w:hAnsi="宋体" w:cs="宋体"/>
                <w:kern w:val="0"/>
                <w:sz w:val="24"/>
                <w:highlight w:val="none"/>
              </w:rPr>
            </w:pPr>
            <w:r>
              <w:rPr>
                <w:rFonts w:hint="eastAsia" w:ascii="宋体" w:hAnsi="宋体" w:cs="宋体"/>
                <w:kern w:val="0"/>
                <w:sz w:val="24"/>
                <w:highlight w:val="none"/>
              </w:rPr>
              <w:t>交易中心现场讲解演示。</w:t>
            </w:r>
            <w:r>
              <w:rPr>
                <w:rFonts w:hint="eastAsia" w:ascii="宋体" w:hAnsi="宋体" w:cs="宋体"/>
                <w:color w:val="auto"/>
                <w:kern w:val="0"/>
                <w:sz w:val="24"/>
                <w:highlight w:val="none"/>
              </w:rPr>
              <w:t>现场讲解地点为</w:t>
            </w:r>
            <w:r>
              <w:rPr>
                <w:rFonts w:hint="eastAsia" w:ascii="宋体" w:hAnsi="宋体" w:cs="宋体"/>
                <w:color w:val="auto"/>
                <w:kern w:val="0"/>
                <w:sz w:val="24"/>
                <w:highlight w:val="none"/>
                <w:u w:val="single"/>
              </w:rPr>
              <w:t xml:space="preserve"> </w:t>
            </w:r>
            <w:r>
              <w:rPr>
                <w:rFonts w:hint="eastAsia" w:ascii="宋体" w:hAnsi="宋体" w:eastAsia="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r>
              <w:rPr>
                <w:rFonts w:hint="eastAsia" w:ascii="宋体" w:hAnsi="宋体" w:cs="宋体"/>
                <w:kern w:val="0"/>
                <w:sz w:val="24"/>
                <w:highlight w:val="none"/>
              </w:rPr>
              <w:t>讲解演示所用电脑等设备由投标人自备。现场讲解演示人员进场时提供讲解人员名单（加盖公章或授权代表签名）及身份证明，否则不得讲解演示。</w:t>
            </w:r>
          </w:p>
          <w:p w14:paraId="2E7CFA94">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注：因投标人自身原因导致无法演示或者演示效果不理想的，责任自负。</w:t>
            </w:r>
          </w:p>
        </w:tc>
      </w:tr>
      <w:tr w14:paraId="7C2E3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762153B">
            <w:pPr>
              <w:snapToGrid w:val="0"/>
              <w:spacing w:line="360" w:lineRule="auto"/>
              <w:jc w:val="center"/>
              <w:rPr>
                <w:rFonts w:ascii="宋体" w:hAnsi="宋体" w:cs="宋体"/>
                <w:sz w:val="24"/>
                <w:highlight w:val="none"/>
              </w:rPr>
            </w:pPr>
          </w:p>
          <w:p w14:paraId="18E72E13">
            <w:pPr>
              <w:snapToGrid w:val="0"/>
              <w:spacing w:line="360" w:lineRule="auto"/>
              <w:jc w:val="center"/>
              <w:rPr>
                <w:rFonts w:ascii="宋体" w:hAnsi="宋体" w:cs="宋体"/>
                <w:sz w:val="24"/>
                <w:highlight w:val="none"/>
              </w:rPr>
            </w:pPr>
          </w:p>
          <w:p w14:paraId="6D0E2CE9">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5AEF5FC">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B6AC7CD">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7C89F01F">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0A1B44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1" w:hRule="atLeast"/>
          <w:tblHeader/>
        </w:trPr>
        <w:tc>
          <w:tcPr>
            <w:tcW w:w="629" w:type="dxa"/>
            <w:vMerge w:val="continue"/>
            <w:tcBorders>
              <w:left w:val="single" w:color="auto" w:sz="4" w:space="0"/>
              <w:bottom w:val="single" w:color="auto" w:sz="4" w:space="0"/>
              <w:right w:val="single" w:color="auto" w:sz="4" w:space="0"/>
            </w:tcBorders>
          </w:tcPr>
          <w:p w14:paraId="31AC40C9">
            <w:pPr>
              <w:snapToGrid w:val="0"/>
              <w:spacing w:line="360" w:lineRule="auto"/>
              <w:jc w:val="center"/>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08F8921">
            <w:pPr>
              <w:snapToGrid w:val="0"/>
              <w:spacing w:line="360" w:lineRule="auto"/>
              <w:jc w:val="center"/>
              <w:rPr>
                <w:rFonts w:ascii="宋体" w:hAnsi="宋体" w:cs="宋体"/>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E2206C7">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375B7A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F9AFF21">
            <w:pPr>
              <w:snapToGrid w:val="0"/>
              <w:spacing w:line="360" w:lineRule="auto"/>
              <w:jc w:val="center"/>
              <w:rPr>
                <w:rFonts w:ascii="宋体" w:hAnsi="宋体" w:cs="宋体"/>
                <w:sz w:val="24"/>
                <w:highlight w:val="none"/>
              </w:rPr>
            </w:pPr>
          </w:p>
          <w:p w14:paraId="3FB78227">
            <w:pPr>
              <w:snapToGrid w:val="0"/>
              <w:spacing w:line="360" w:lineRule="auto"/>
              <w:jc w:val="center"/>
              <w:rPr>
                <w:rFonts w:ascii="宋体" w:hAnsi="宋体" w:cs="宋体"/>
                <w:sz w:val="24"/>
                <w:highlight w:val="none"/>
              </w:rPr>
            </w:pPr>
          </w:p>
          <w:p w14:paraId="1CDA869C">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3D1682E">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A729C01">
            <w:pPr>
              <w:snapToGrid w:val="0"/>
              <w:spacing w:line="360" w:lineRule="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6275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3AFB70C">
            <w:pPr>
              <w:snapToGrid w:val="0"/>
              <w:spacing w:line="360" w:lineRule="auto"/>
              <w:jc w:val="center"/>
              <w:rPr>
                <w:rFonts w:ascii="宋体" w:hAnsi="宋体" w:cs="宋体"/>
                <w:sz w:val="24"/>
                <w:highlight w:val="none"/>
              </w:rPr>
            </w:pPr>
          </w:p>
          <w:p w14:paraId="523E3B59">
            <w:pPr>
              <w:snapToGrid w:val="0"/>
              <w:spacing w:line="360" w:lineRule="auto"/>
              <w:jc w:val="center"/>
              <w:rPr>
                <w:rFonts w:ascii="宋体" w:hAnsi="宋体" w:cs="宋体"/>
                <w:sz w:val="24"/>
                <w:highlight w:val="none"/>
              </w:rPr>
            </w:pPr>
          </w:p>
          <w:p w14:paraId="230AC936">
            <w:pPr>
              <w:snapToGrid w:val="0"/>
              <w:spacing w:line="360" w:lineRule="auto"/>
              <w:jc w:val="center"/>
              <w:rPr>
                <w:rFonts w:ascii="宋体" w:hAnsi="宋体" w:cs="宋体"/>
                <w:sz w:val="24"/>
                <w:highlight w:val="none"/>
              </w:rPr>
            </w:pPr>
          </w:p>
          <w:p w14:paraId="1D0610BC">
            <w:pPr>
              <w:snapToGrid w:val="0"/>
              <w:spacing w:line="360" w:lineRule="auto"/>
              <w:jc w:val="center"/>
              <w:rPr>
                <w:rFonts w:ascii="宋体" w:hAnsi="宋体" w:cs="宋体"/>
                <w:sz w:val="24"/>
                <w:highlight w:val="none"/>
              </w:rPr>
            </w:pPr>
          </w:p>
          <w:p w14:paraId="2DDE3151">
            <w:pPr>
              <w:snapToGrid w:val="0"/>
              <w:spacing w:line="360" w:lineRule="auto"/>
              <w:jc w:val="center"/>
              <w:rPr>
                <w:rFonts w:ascii="宋体" w:hAnsi="宋体" w:cs="宋体"/>
                <w:sz w:val="24"/>
                <w:highlight w:val="none"/>
              </w:rPr>
            </w:pPr>
          </w:p>
          <w:p w14:paraId="22CDD15E">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B5B7897">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8B1A01A">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r>
              <w:rPr>
                <w:rFonts w:hint="eastAsia" w:ascii="宋体" w:hAnsi="宋体" w:cs="宋体"/>
                <w:b/>
                <w:kern w:val="0"/>
                <w:sz w:val="24"/>
                <w:highlight w:val="none"/>
                <w:lang w:val="zh-CN"/>
              </w:rPr>
              <w:t>提醒：验收时检测费用由采购人承担，不包含在投标总价中。</w:t>
            </w:r>
          </w:p>
          <w:p w14:paraId="0BF393A5">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71A3F362">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1D7FB9E1">
            <w:pPr>
              <w:snapToGrid w:val="0"/>
              <w:spacing w:line="360" w:lineRule="auto"/>
              <w:ind w:firstLine="241" w:firstLineChars="100"/>
              <w:jc w:val="left"/>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28E39E3F">
            <w:pPr>
              <w:spacing w:line="360" w:lineRule="auto"/>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11BDB992">
            <w:pPr>
              <w:spacing w:line="360" w:lineRule="auto"/>
              <w:ind w:firstLine="241" w:firstLineChars="100"/>
              <w:rPr>
                <w:rFonts w:hint="eastAsia" w:ascii="宋体" w:hAnsi="宋体" w:eastAsia="宋体" w:cs="宋体"/>
                <w:sz w:val="24"/>
                <w:highlight w:val="none"/>
                <w:lang w:val="en-US" w:eastAsia="zh-CN"/>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r>
              <w:rPr>
                <w:rFonts w:hint="eastAsia" w:ascii="宋体" w:hAnsi="宋体" w:cs="宋体"/>
                <w:b/>
                <w:sz w:val="24"/>
                <w:highlight w:val="none"/>
                <w:lang w:val="en-US" w:eastAsia="zh-CN"/>
              </w:rPr>
              <w:t xml:space="preserve">     </w:t>
            </w:r>
            <w:r>
              <w:rPr>
                <w:rFonts w:hint="eastAsia" w:ascii="宋体" w:hAnsi="宋体" w:eastAsia="宋体" w:cs="宋体"/>
                <w:b/>
                <w:bCs/>
                <w:snapToGrid w:val="0"/>
                <w:color w:val="FF0000"/>
                <w:sz w:val="28"/>
                <w:szCs w:val="28"/>
                <w:highlight w:val="none"/>
              </w:rPr>
              <w:t>▲</w:t>
            </w:r>
            <w:r>
              <w:rPr>
                <w:rFonts w:hint="eastAsia" w:ascii="宋体" w:hAnsi="宋体" w:eastAsia="宋体" w:cs="宋体"/>
                <w:b/>
                <w:color w:val="FF0000"/>
                <w:kern w:val="0"/>
                <w:sz w:val="24"/>
                <w:highlight w:val="none"/>
              </w:rPr>
              <w:t>供应商报价低于项目预算50%的，应当在报价文件中详细阐述不影响产品质量或者诚信履约的具体原因，否则作无效标处理。</w:t>
            </w:r>
          </w:p>
        </w:tc>
      </w:tr>
      <w:tr w14:paraId="622C38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7444842">
            <w:pPr>
              <w:snapToGrid w:val="0"/>
              <w:spacing w:line="360" w:lineRule="auto"/>
              <w:jc w:val="center"/>
              <w:rPr>
                <w:rFonts w:ascii="宋体" w:hAnsi="宋体" w:cs="宋体"/>
                <w:sz w:val="24"/>
                <w:highlight w:val="none"/>
              </w:rPr>
            </w:pPr>
          </w:p>
          <w:p w14:paraId="0DDFA56D">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14:paraId="09D0D239">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00EEE748">
            <w:pPr>
              <w:spacing w:line="36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kern w:val="28"/>
                <w:sz w:val="24"/>
                <w:highlight w:val="none"/>
                <w:lang w:val="en-US" w:eastAsia="zh-CN"/>
              </w:rPr>
              <w:t>也可登录</w:t>
            </w:r>
            <w:r>
              <w:rPr>
                <w:rFonts w:hint="eastAsia" w:cs="宋体" w:asciiTheme="minorEastAsia" w:hAnsiTheme="minorEastAsia" w:eastAsiaTheme="minorEastAsia"/>
                <w:snapToGrid w:val="0"/>
                <w:kern w:val="28"/>
                <w:sz w:val="24"/>
                <w:highlight w:val="none"/>
              </w:rPr>
              <w:t>《上城区“政采贷”业务办理指南》</w:t>
            </w:r>
            <w:r>
              <w:rPr>
                <w:rFonts w:hint="eastAsia" w:cs="宋体" w:asciiTheme="minorEastAsia" w:hAnsiTheme="minorEastAsia" w:eastAsiaTheme="minorEastAsia"/>
                <w:snapToGrid w:val="0"/>
                <w:kern w:val="28"/>
                <w:sz w:val="24"/>
                <w:highlight w:val="none"/>
                <w:lang w:eastAsia="zh-CN"/>
              </w:rPr>
              <w:t>，</w:t>
            </w:r>
            <w:r>
              <w:rPr>
                <w:rFonts w:hint="eastAsia" w:cs="宋体" w:asciiTheme="minorEastAsia" w:hAnsiTheme="minorEastAsia" w:eastAsiaTheme="minorEastAsia"/>
                <w:snapToGrid w:val="0"/>
                <w:kern w:val="28"/>
                <w:sz w:val="24"/>
                <w:highlight w:val="none"/>
                <w:lang w:val="en-US" w:eastAsia="zh-CN"/>
              </w:rPr>
              <w:t>http://www.hzsc.gov.cn/art/2021/11/29/art_1229249406_3973804.html</w:t>
            </w:r>
            <w:r>
              <w:rPr>
                <w:rFonts w:hint="eastAsia" w:cs="宋体" w:asciiTheme="minorEastAsia" w:hAnsiTheme="minorEastAsia" w:eastAsiaTheme="minorEastAsia"/>
                <w:snapToGrid w:val="0"/>
                <w:kern w:val="28"/>
                <w:sz w:val="24"/>
                <w:highlight w:val="none"/>
              </w:rPr>
              <w:t>，查看信用融资政策文件及各相关银行服务方案。</w:t>
            </w:r>
          </w:p>
        </w:tc>
      </w:tr>
      <w:tr w14:paraId="675A5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394BF7CE">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F76400A">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FDFD7F3">
            <w:pPr>
              <w:pStyle w:val="35"/>
              <w:spacing w:line="360" w:lineRule="auto"/>
              <w:rPr>
                <w:rFonts w:hAnsi="宋体" w:cs="宋体"/>
                <w:kern w:val="28"/>
                <w:sz w:val="24"/>
                <w:highlight w:val="none"/>
              </w:rPr>
            </w:pPr>
            <w:r>
              <w:rPr>
                <w:rFonts w:hint="eastAsia" w:hAnsi="宋体" w:cs="宋体"/>
                <w:kern w:val="28"/>
                <w:sz w:val="24"/>
                <w:szCs w:val="24"/>
                <w:highlight w:val="none"/>
              </w:rPr>
              <w:t>备份投标文件送达地点：</w:t>
            </w:r>
            <w:r>
              <w:rPr>
                <w:rFonts w:hint="eastAsia" w:hAnsi="宋体" w:cs="宋体"/>
                <w:color w:val="auto"/>
                <w:sz w:val="24"/>
                <w:highlight w:val="none"/>
                <w:u w:val="single"/>
              </w:rPr>
              <w:t xml:space="preserve"> </w:t>
            </w:r>
            <w:r>
              <w:rPr>
                <w:rFonts w:hint="eastAsia" w:ascii="宋体" w:hAnsi="宋体" w:eastAsia="宋体" w:cs="宋体"/>
                <w:color w:val="auto"/>
                <w:sz w:val="24"/>
                <w:highlight w:val="none"/>
                <w:u w:val="single"/>
                <w:lang w:eastAsia="zh-CN"/>
              </w:rPr>
              <w:t>杭</w:t>
            </w:r>
            <w:r>
              <w:rPr>
                <w:rFonts w:hint="eastAsia" w:ascii="宋体" w:hAnsi="宋体" w:eastAsia="宋体" w:cs="宋体"/>
                <w:color w:val="auto"/>
                <w:sz w:val="24"/>
                <w:highlight w:val="none"/>
                <w:u w:val="single"/>
              </w:rPr>
              <w:t>州市上城区凤起东路888号畅聚新达大厦</w:t>
            </w:r>
            <w:r>
              <w:rPr>
                <w:rFonts w:hint="eastAsia" w:hAnsi="宋体" w:cs="宋体"/>
                <w:color w:val="auto"/>
                <w:sz w:val="24"/>
                <w:highlight w:val="none"/>
                <w:u w:val="single"/>
                <w:lang w:eastAsia="zh-CN"/>
              </w:rPr>
              <w:t>十五</w:t>
            </w:r>
            <w:r>
              <w:rPr>
                <w:rFonts w:hint="eastAsia" w:ascii="宋体" w:hAnsi="宋体" w:eastAsia="宋体" w:cs="宋体"/>
                <w:color w:val="auto"/>
                <w:sz w:val="24"/>
                <w:highlight w:val="none"/>
                <w:u w:val="single"/>
              </w:rPr>
              <w:t>楼</w:t>
            </w:r>
            <w:r>
              <w:rPr>
                <w:rFonts w:hint="eastAsia" w:hAnsi="宋体" w:cs="宋体"/>
                <w:color w:val="auto"/>
                <w:sz w:val="24"/>
                <w:highlight w:val="none"/>
                <w:u w:val="single"/>
                <w:lang w:val="en-US" w:eastAsia="zh-CN"/>
              </w:rPr>
              <w:t>1503</w:t>
            </w:r>
            <w:r>
              <w:rPr>
                <w:rFonts w:hint="eastAsia" w:ascii="宋体" w:hAnsi="宋体" w:eastAsia="宋体" w:cs="宋体"/>
                <w:color w:val="auto"/>
                <w:sz w:val="24"/>
                <w:highlight w:val="none"/>
                <w:u w:val="single"/>
              </w:rPr>
              <w:t>室</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w:t>
            </w:r>
            <w:r>
              <w:rPr>
                <w:rFonts w:hint="eastAsia" w:hAnsi="宋体" w:cs="宋体"/>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0571-87</w:t>
            </w:r>
            <w:r>
              <w:rPr>
                <w:rFonts w:hint="eastAsia" w:hAnsi="宋体" w:cs="宋体"/>
                <w:color w:val="auto"/>
                <w:sz w:val="24"/>
                <w:highlight w:val="none"/>
                <w:u w:val="single"/>
                <w:lang w:val="en-US" w:eastAsia="zh-CN"/>
              </w:rPr>
              <w:t>654833</w:t>
            </w:r>
            <w:r>
              <w:rPr>
                <w:rFonts w:hint="eastAsia" w:hAnsi="宋体" w:cs="宋体"/>
                <w:color w:val="auto"/>
                <w:sz w:val="24"/>
                <w:highlight w:val="none"/>
                <w:u w:val="single"/>
              </w:rPr>
              <w:t xml:space="preserve">      </w:t>
            </w:r>
            <w:r>
              <w:rPr>
                <w:rFonts w:hint="eastAsia" w:hAnsi="宋体" w:cs="宋体"/>
                <w:sz w:val="24"/>
                <w:szCs w:val="24"/>
                <w:highlight w:val="none"/>
              </w:rPr>
              <w:t>。</w:t>
            </w:r>
            <w:r>
              <w:rPr>
                <w:rFonts w:hint="eastAsia" w:hAnsi="宋体" w:cs="宋体"/>
                <w:b/>
                <w:sz w:val="24"/>
                <w:szCs w:val="24"/>
                <w:highlight w:val="none"/>
              </w:rPr>
              <w:t>采购人、</w:t>
            </w:r>
            <w:r>
              <w:rPr>
                <w:rFonts w:hint="eastAsia" w:hAnsi="宋体" w:cs="宋体"/>
                <w:b/>
                <w:sz w:val="24"/>
                <w:szCs w:val="24"/>
                <w:highlight w:val="none"/>
                <w:lang w:eastAsia="zh-CN"/>
              </w:rPr>
              <w:t>采购代理机构</w:t>
            </w:r>
            <w:r>
              <w:rPr>
                <w:rFonts w:hint="eastAsia" w:hAnsi="宋体" w:cs="宋体"/>
                <w:b/>
                <w:sz w:val="24"/>
                <w:szCs w:val="24"/>
                <w:highlight w:val="none"/>
              </w:rPr>
              <w:t>不强制或变相强制投标人提交备份投标文件。</w:t>
            </w:r>
          </w:p>
        </w:tc>
      </w:tr>
      <w:tr w14:paraId="1D3757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702ED6C5">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E1438F5">
            <w:pPr>
              <w:snapToGrid w:val="0"/>
              <w:spacing w:line="360" w:lineRule="auto"/>
              <w:jc w:val="center"/>
              <w:rPr>
                <w:rFonts w:ascii="宋体" w:hAnsi="宋体" w:cs="宋体"/>
                <w:b/>
                <w:sz w:val="24"/>
                <w:highlight w:val="none"/>
              </w:rPr>
            </w:pPr>
            <w:r>
              <w:rPr>
                <w:rFonts w:hint="eastAsia" w:cs="仿宋_GB2312" w:asciiTheme="minorEastAsia" w:hAnsiTheme="minorEastAsia" w:eastAsiaTheme="minorEastAsia"/>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397771C">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3BE068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37EFD6E4">
            <w:pPr>
              <w:snapToGrid w:val="0"/>
              <w:spacing w:line="360" w:lineRule="auto"/>
              <w:jc w:val="center"/>
              <w:rPr>
                <w:rFonts w:hint="eastAsia" w:ascii="宋体" w:hAnsi="宋体" w:cs="宋体"/>
                <w:sz w:val="24"/>
                <w:highlight w:val="none"/>
              </w:rPr>
            </w:pPr>
          </w:p>
        </w:tc>
        <w:tc>
          <w:tcPr>
            <w:tcW w:w="1843" w:type="dxa"/>
            <w:vMerge w:val="continue"/>
            <w:tcBorders>
              <w:left w:val="single" w:color="000000" w:sz="2" w:space="0"/>
              <w:right w:val="single" w:color="000000" w:sz="8" w:space="0"/>
            </w:tcBorders>
            <w:vAlign w:val="center"/>
          </w:tcPr>
          <w:p w14:paraId="1F552D13">
            <w:pPr>
              <w:snapToGrid w:val="0"/>
              <w:spacing w:line="360" w:lineRule="auto"/>
              <w:jc w:val="center"/>
              <w:rPr>
                <w:rFonts w:hint="eastAsia" w:cs="仿宋_GB2312" w:asciiTheme="minorEastAsia" w:hAnsiTheme="minorEastAsia" w:eastAsiaTheme="minorEastAsia"/>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209792D">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2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3D480A12">
            <w:pPr>
              <w:spacing w:line="360" w:lineRule="auto"/>
              <w:rPr>
                <w:rFonts w:hint="eastAsia"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22"/>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cs="Arial" w:asciiTheme="minorEastAsia" w:hAnsiTheme="minorEastAsia" w:eastAsiaTheme="minorEastAsia"/>
                    <w:kern w:val="0"/>
                    <w:sz w:val="24"/>
                    <w:highlight w:val="none"/>
                  </w:rPr>
                  <w:sym w:font="Wingdings" w:char="F0FE"/>
                </w:r>
              </w:sdtContent>
            </w:sdt>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5CC7C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4EA86E76">
            <w:pPr>
              <w:snapToGrid w:val="0"/>
              <w:spacing w:line="360" w:lineRule="auto"/>
              <w:jc w:val="center"/>
              <w:rPr>
                <w:rFonts w:ascii="宋体" w:hAnsi="宋体" w:cs="宋体"/>
                <w:sz w:val="24"/>
                <w:highlight w:val="none"/>
              </w:rPr>
            </w:pPr>
          </w:p>
        </w:tc>
        <w:tc>
          <w:tcPr>
            <w:tcW w:w="1843" w:type="dxa"/>
            <w:vMerge w:val="continue"/>
            <w:tcBorders>
              <w:left w:val="single" w:color="000000" w:sz="2" w:space="0"/>
              <w:right w:val="single" w:color="000000" w:sz="8" w:space="0"/>
            </w:tcBorders>
            <w:vAlign w:val="center"/>
          </w:tcPr>
          <w:p w14:paraId="68C59D73">
            <w:pPr>
              <w:snapToGrid w:val="0"/>
              <w:spacing w:line="360" w:lineRule="auto"/>
              <w:jc w:val="center"/>
              <w:rPr>
                <w:rFonts w:ascii="宋体" w:hAnsi="宋体" w:cs="宋体"/>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E097DF4">
            <w:pPr>
              <w:spacing w:line="360" w:lineRule="auto"/>
              <w:rPr>
                <w:rFonts w:ascii="宋体" w:hAnsi="宋体" w:cs="宋体"/>
                <w:snapToGrid w:val="0"/>
                <w:kern w:val="28"/>
                <w:sz w:val="24"/>
                <w:highlight w:val="none"/>
              </w:rPr>
            </w:pPr>
            <w:r>
              <w:rPr>
                <w:rFonts w:hint="eastAsia" w:cs="Arial" w:asciiTheme="minorEastAsia" w:hAnsiTheme="minorEastAsia" w:eastAsiaTheme="minorEastAsia"/>
                <w:kern w:val="0"/>
                <w:sz w:val="24"/>
                <w:highlight w:val="none"/>
              </w:rPr>
              <w:t>评审因素对应的要求视为采购需求的一部分。</w:t>
            </w:r>
          </w:p>
        </w:tc>
      </w:tr>
    </w:tbl>
    <w:p w14:paraId="34C5F9AD">
      <w:pPr>
        <w:snapToGrid w:val="0"/>
        <w:spacing w:line="360" w:lineRule="auto"/>
        <w:jc w:val="center"/>
        <w:rPr>
          <w:rFonts w:ascii="宋体" w:hAnsi="宋体" w:cs="宋体"/>
          <w:b/>
          <w:sz w:val="32"/>
          <w:szCs w:val="20"/>
          <w:highlight w:val="none"/>
        </w:rPr>
      </w:pPr>
    </w:p>
    <w:bookmarkEnd w:id="10"/>
    <w:p w14:paraId="3EB31BA8">
      <w:pPr>
        <w:adjustRightInd/>
        <w:spacing w:line="360" w:lineRule="auto"/>
        <w:ind w:firstLine="3845" w:firstLineChars="1197"/>
        <w:outlineLvl w:val="0"/>
        <w:rPr>
          <w:rFonts w:ascii="宋体" w:hAnsi="宋体" w:cs="宋体"/>
          <w:b/>
          <w:sz w:val="32"/>
          <w:szCs w:val="20"/>
          <w:highlight w:val="none"/>
        </w:rPr>
      </w:pPr>
      <w:bookmarkStart w:id="11" w:name="第三部分"/>
      <w:bookmarkStart w:id="12" w:name="_Toc164416483"/>
      <w:r>
        <w:rPr>
          <w:rFonts w:hint="eastAsia" w:ascii="宋体" w:hAnsi="宋体" w:cs="宋体"/>
          <w:b/>
          <w:sz w:val="32"/>
          <w:szCs w:val="20"/>
          <w:highlight w:val="none"/>
        </w:rPr>
        <w:t>一、总则</w:t>
      </w:r>
    </w:p>
    <w:p w14:paraId="51D32B1D">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14:paraId="3B8496F0">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0856EFF3">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14:paraId="43D6D927">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25364AB4">
      <w:pPr>
        <w:spacing w:line="360" w:lineRule="auto"/>
        <w:ind w:firstLine="480" w:firstLineChars="200"/>
        <w:rPr>
          <w:rFonts w:ascii="宋体" w:hAnsi="宋体" w:cs="宋体"/>
          <w:sz w:val="24"/>
          <w:highlight w:val="none"/>
        </w:rPr>
      </w:pPr>
      <w:r>
        <w:rPr>
          <w:rFonts w:hint="eastAsia" w:ascii="宋体" w:hAnsi="宋体" w:cs="宋体"/>
          <w:sz w:val="24"/>
          <w:highlight w:val="none"/>
        </w:rPr>
        <w:t>2.2 “</w:t>
      </w:r>
      <w:r>
        <w:rPr>
          <w:rFonts w:hint="eastAsia" w:ascii="宋体" w:hAnsi="宋体" w:cs="宋体"/>
          <w:sz w:val="24"/>
          <w:highlight w:val="none"/>
          <w:lang w:eastAsia="zh-CN"/>
        </w:rPr>
        <w:t>采购代理机构</w:t>
      </w:r>
      <w:r>
        <w:rPr>
          <w:rFonts w:hint="eastAsia" w:ascii="宋体" w:hAnsi="宋体" w:cs="宋体"/>
          <w:sz w:val="24"/>
          <w:highlight w:val="none"/>
        </w:rPr>
        <w:t>”系指招标公告中载明的本项目的</w:t>
      </w:r>
      <w:r>
        <w:rPr>
          <w:rFonts w:hint="eastAsia" w:ascii="宋体" w:hAnsi="宋体" w:cs="宋体"/>
          <w:sz w:val="24"/>
          <w:highlight w:val="none"/>
          <w:lang w:eastAsia="zh-CN"/>
        </w:rPr>
        <w:t>采购代理机构</w:t>
      </w:r>
      <w:r>
        <w:rPr>
          <w:rFonts w:hint="eastAsia" w:ascii="宋体" w:hAnsi="宋体" w:cs="宋体"/>
          <w:sz w:val="24"/>
          <w:highlight w:val="none"/>
        </w:rPr>
        <w:t>。</w:t>
      </w:r>
    </w:p>
    <w:p w14:paraId="579DC1CC">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18E7A3AF">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61A486AE">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0B5DDB2">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w:t>
      </w:r>
      <w:r>
        <w:rPr>
          <w:rFonts w:hint="eastAsia" w:ascii="宋体" w:hAnsi="宋体" w:cs="宋体"/>
          <w:sz w:val="24"/>
          <w:highlight w:val="none"/>
          <w:lang w:val="en-US" w:eastAsia="zh-CN"/>
        </w:rPr>
        <w:t>系</w:t>
      </w:r>
      <w:r>
        <w:rPr>
          <w:rFonts w:hint="eastAsia" w:ascii="宋体" w:hAnsi="宋体" w:cs="宋体"/>
          <w:sz w:val="24"/>
          <w:highlight w:val="none"/>
        </w:rPr>
        <w:t>指本项目政府采购活动所依托的政府采购云平台（https://www.zcygov.cn/）。</w:t>
      </w:r>
    </w:p>
    <w:p w14:paraId="1489F900">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14:paraId="0B2294D6">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2EABAD80">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highlight w:val="none"/>
          <w:lang w:eastAsia="zh-CN"/>
        </w:rPr>
        <w:t>采购代理机构</w:t>
      </w:r>
      <w:r>
        <w:rPr>
          <w:rFonts w:hint="eastAsia" w:ascii="宋体" w:hAnsi="宋体" w:cs="宋体"/>
          <w:sz w:val="24"/>
          <w:highlight w:val="none"/>
        </w:rPr>
        <w:t>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6F69A963">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14:paraId="41D61BCD">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437F5B4">
      <w:pPr>
        <w:spacing w:line="360" w:lineRule="auto"/>
        <w:ind w:firstLine="480" w:firstLineChars="200"/>
        <w:rPr>
          <w:rFonts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14:paraId="17553A80">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191D9AA">
      <w:pPr>
        <w:spacing w:line="360" w:lineRule="auto"/>
        <w:ind w:firstLine="480" w:firstLineChars="200"/>
        <w:rPr>
          <w:rFonts w:ascii="宋体" w:hAnsi="宋体" w:cs="宋体"/>
          <w:sz w:val="24"/>
          <w:highlight w:val="none"/>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85FBB41">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2025CE73">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E92CB6D">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384D2CA3">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B96F4C8">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0BA604E0">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sz w:val="24"/>
          <w:highlight w:val="none"/>
        </w:rPr>
        <w:t>20</w:t>
      </w:r>
      <w:r>
        <w:rPr>
          <w:rFonts w:hint="eastAsia" w:ascii="宋体" w:hAnsi="宋体" w:cs="宋体"/>
          <w:sz w:val="24"/>
          <w:highlight w:val="none"/>
        </w:rPr>
        <w:t>%的扣除（</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highlight w:val="none"/>
        </w:rPr>
        <w:t>6</w:t>
      </w: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给予6%的扣除）的扣除，用扣除后的价格参加评审。组成联合体或者接受分包的小微企业与联合体内其他企业、分包企业之间存在直接控股、管理关系的，不享受价格扣除优惠政策。</w:t>
      </w:r>
    </w:p>
    <w:p w14:paraId="3E89CB9B">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47201969">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6C2509C">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058C725">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55523507">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2EC47330">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1E243E07">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p>
    <w:p w14:paraId="25C0FCC8">
      <w:pPr>
        <w:spacing w:line="360" w:lineRule="auto"/>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68606272">
      <w:pPr>
        <w:spacing w:line="360" w:lineRule="auto"/>
        <w:ind w:firstLine="240" w:firstLineChars="1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p>
    <w:p w14:paraId="0F1A3CB9">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761EB01">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6F442FC4">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A55064">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30C8C488">
      <w:pPr>
        <w:pStyle w:val="35"/>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3A4EA348">
      <w:pPr>
        <w:pStyle w:val="35"/>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sz w:val="24"/>
          <w:highlight w:val="none"/>
          <w:lang w:eastAsia="zh-CN"/>
        </w:rPr>
        <w:t>采购代理机构</w:t>
      </w:r>
      <w:r>
        <w:rPr>
          <w:rFonts w:hint="eastAsia" w:hAnsi="宋体" w:cs="宋体"/>
          <w:sz w:val="24"/>
          <w:highlight w:val="none"/>
        </w:rPr>
        <w:t>提出质疑，否则，采购人或者</w:t>
      </w:r>
      <w:r>
        <w:rPr>
          <w:rFonts w:hint="eastAsia" w:hAnsi="宋体" w:cs="宋体"/>
          <w:sz w:val="24"/>
          <w:highlight w:val="none"/>
          <w:lang w:eastAsia="zh-CN"/>
        </w:rPr>
        <w:t>采购代理机构</w:t>
      </w:r>
      <w:r>
        <w:rPr>
          <w:rFonts w:hint="eastAsia" w:hAnsi="宋体" w:cs="宋体"/>
          <w:sz w:val="24"/>
          <w:highlight w:val="none"/>
        </w:rPr>
        <w:t>不予受理：</w:t>
      </w:r>
    </w:p>
    <w:p w14:paraId="29754103">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4502C658">
      <w:pPr>
        <w:pStyle w:val="35"/>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3A0C74A8">
      <w:pPr>
        <w:pStyle w:val="35"/>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054EDC7F">
      <w:pPr>
        <w:pStyle w:val="35"/>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65F6E653">
      <w:pPr>
        <w:pStyle w:val="35"/>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14:paraId="511126A2">
      <w:pPr>
        <w:pStyle w:val="35"/>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555B7186">
      <w:pPr>
        <w:pStyle w:val="35"/>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14:paraId="3F7112FA">
      <w:pPr>
        <w:pStyle w:val="35"/>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14:paraId="12DB150D">
      <w:pPr>
        <w:pStyle w:val="35"/>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4.3.3.6提出质疑的日期。</w:t>
      </w:r>
    </w:p>
    <w:p w14:paraId="38B9928F">
      <w:pPr>
        <w:pStyle w:val="888"/>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7280BDC8">
      <w:pPr>
        <w:pStyle w:val="888"/>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14:paraId="7B6C39D8">
      <w:pPr>
        <w:pStyle w:val="888"/>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14:paraId="0CC27E2E">
      <w:pPr>
        <w:pStyle w:val="888"/>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.5采购人或者</w:t>
      </w:r>
      <w:r>
        <w:rPr>
          <w:rFonts w:hint="eastAsia"/>
          <w:highlight w:val="none"/>
          <w:lang w:eastAsia="zh-CN"/>
        </w:rPr>
        <w:t>采购代理机构</w:t>
      </w:r>
      <w:r>
        <w:rPr>
          <w:rFonts w:hint="eastAsia"/>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highlight w:val="none"/>
          <w:lang w:eastAsia="zh-CN"/>
        </w:rPr>
        <w:t>采购代理机构</w:t>
      </w:r>
      <w:r>
        <w:rPr>
          <w:rFonts w:hint="eastAsia"/>
          <w:highlight w:val="none"/>
        </w:rPr>
        <w:t>在质疑回复后5个工作日内，在浙江政府采购网的“其他公告”栏目公开质疑答复，答复内容应当完整。质疑函作为附件上传。</w:t>
      </w:r>
    </w:p>
    <w:p w14:paraId="589DCBF3">
      <w:pPr>
        <w:pStyle w:val="888"/>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386A7153">
      <w:pPr>
        <w:pStyle w:val="888"/>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14:paraId="5A61527E">
      <w:pPr>
        <w:pStyle w:val="888"/>
        <w:shd w:val="clear" w:color="auto" w:fill="FFFFFF"/>
        <w:snapToGrid w:val="0"/>
        <w:spacing w:after="240" w:afterAutospacing="0" w:line="360" w:lineRule="auto"/>
        <w:ind w:firstLine="400"/>
        <w:contextualSpacing/>
        <w:rPr>
          <w:highlight w:val="none"/>
        </w:rPr>
      </w:pPr>
      <w:r>
        <w:rPr>
          <w:rFonts w:hint="eastAsia"/>
          <w:highlight w:val="none"/>
        </w:rPr>
        <w:t>4.4.1质疑供应商对采购人、</w:t>
      </w:r>
      <w:r>
        <w:rPr>
          <w:rFonts w:hint="eastAsia"/>
          <w:highlight w:val="none"/>
          <w:lang w:eastAsia="zh-CN"/>
        </w:rPr>
        <w:t>采购代理机构</w:t>
      </w:r>
      <w:r>
        <w:rPr>
          <w:rFonts w:hint="eastAsia"/>
          <w:highlight w:val="none"/>
        </w:rPr>
        <w:t>的答复不满意或者采购人、</w:t>
      </w:r>
      <w:r>
        <w:rPr>
          <w:rFonts w:hint="eastAsia"/>
          <w:highlight w:val="none"/>
          <w:lang w:eastAsia="zh-CN"/>
        </w:rPr>
        <w:t>采购代理机构</w:t>
      </w:r>
      <w:r>
        <w:rPr>
          <w:rFonts w:hint="eastAsia"/>
          <w:highlight w:val="none"/>
        </w:rPr>
        <w:t>未在规定的时间内作出答复的，可以在答复期满后十五个工作日内向同级政府采购监督管理部门提出投诉。</w:t>
      </w:r>
    </w:p>
    <w:p w14:paraId="2FE47C1F">
      <w:pPr>
        <w:pStyle w:val="888"/>
        <w:shd w:val="clear" w:color="auto" w:fill="FFFFFF"/>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3849AECE">
      <w:pPr>
        <w:pStyle w:val="888"/>
        <w:shd w:val="clear" w:color="auto" w:fill="FFFFFF"/>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14:paraId="08376105">
      <w:pPr>
        <w:pStyle w:val="888"/>
        <w:shd w:val="clear" w:color="auto" w:fill="FFFFFF"/>
        <w:snapToGrid w:val="0"/>
        <w:spacing w:after="240" w:afterAutospacing="0" w:line="360" w:lineRule="auto"/>
        <w:ind w:firstLine="400"/>
        <w:contextualSpacing/>
        <w:rPr>
          <w:highlight w:val="none"/>
        </w:rPr>
      </w:pPr>
      <w:r>
        <w:rPr>
          <w:rFonts w:hint="eastAsia"/>
          <w:highlight w:val="none"/>
        </w:rPr>
        <w:t>4.4.4以联合体形式参加政府采购活动的，其投诉应当由组成联合体的所有供应商共同提出。</w:t>
      </w:r>
    </w:p>
    <w:p w14:paraId="2E9816ED">
      <w:pPr>
        <w:pStyle w:val="888"/>
        <w:shd w:val="clear" w:color="auto" w:fill="FFFFFF"/>
        <w:snapToGrid w:val="0"/>
        <w:spacing w:after="240" w:afterAutospacing="0" w:line="360" w:lineRule="auto"/>
        <w:ind w:firstLine="400"/>
        <w:contextualSpacing/>
        <w:rPr>
          <w:highlight w:val="none"/>
        </w:rPr>
      </w:pPr>
      <w:r>
        <w:rPr>
          <w:rFonts w:hint="eastAsia"/>
          <w:highlight w:val="none"/>
        </w:rPr>
        <w:t>4.4.5投诉书范本及制作说明详见附件3。</w:t>
      </w:r>
    </w:p>
    <w:p w14:paraId="46653073">
      <w:pPr>
        <w:pStyle w:val="130"/>
        <w:snapToGrid w:val="0"/>
        <w:spacing w:before="0"/>
        <w:ind w:firstLine="360"/>
        <w:rPr>
          <w:rFonts w:ascii="宋体" w:hAnsi="宋体" w:cs="宋体"/>
          <w:sz w:val="18"/>
          <w:szCs w:val="18"/>
          <w:highlight w:val="none"/>
        </w:rPr>
      </w:pPr>
    </w:p>
    <w:p w14:paraId="15FCD207">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14:paraId="5630F56D">
      <w:pPr>
        <w:pStyle w:val="35"/>
        <w:spacing w:line="360" w:lineRule="auto"/>
        <w:rPr>
          <w:rFonts w:hAnsi="宋体" w:cs="宋体"/>
          <w:b/>
          <w:sz w:val="24"/>
          <w:szCs w:val="24"/>
          <w:highlight w:val="none"/>
        </w:rPr>
      </w:pPr>
      <w:r>
        <w:rPr>
          <w:rFonts w:hint="eastAsia" w:hAnsi="宋体" w:cs="宋体"/>
          <w:b/>
          <w:sz w:val="24"/>
          <w:szCs w:val="24"/>
          <w:highlight w:val="none"/>
        </w:rPr>
        <w:t>5．招标文件的构成</w:t>
      </w:r>
    </w:p>
    <w:p w14:paraId="7F295990">
      <w:pPr>
        <w:pStyle w:val="35"/>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59D03696">
      <w:pPr>
        <w:pStyle w:val="35"/>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45292F6E">
      <w:pPr>
        <w:pStyle w:val="35"/>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4E1D0FDA">
      <w:pPr>
        <w:pStyle w:val="35"/>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6F0FE132">
      <w:pPr>
        <w:pStyle w:val="35"/>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5157C0EF">
      <w:pPr>
        <w:pStyle w:val="35"/>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6B39CB22">
      <w:pPr>
        <w:pStyle w:val="35"/>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49AC7905">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4622851A">
      <w:pPr>
        <w:pStyle w:val="35"/>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7870B5EA">
      <w:pPr>
        <w:pStyle w:val="130"/>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w:t>
      </w:r>
      <w:r>
        <w:rPr>
          <w:rFonts w:hint="eastAsia" w:ascii="宋体" w:hAnsi="宋体" w:cs="宋体"/>
          <w:highlight w:val="none"/>
          <w:lang w:eastAsia="zh-CN"/>
        </w:rPr>
        <w:t>采购代理机构</w:t>
      </w:r>
      <w:r>
        <w:rPr>
          <w:rFonts w:hint="eastAsia" w:ascii="宋体" w:hAnsi="宋体" w:cs="宋体"/>
          <w:highlight w:val="none"/>
        </w:rPr>
        <w:t>提出。</w:t>
      </w:r>
    </w:p>
    <w:p w14:paraId="4ECA4FA0">
      <w:pPr>
        <w:pStyle w:val="130"/>
        <w:snapToGrid w:val="0"/>
        <w:spacing w:before="0"/>
        <w:ind w:firstLine="480"/>
        <w:rPr>
          <w:rFonts w:ascii="宋体" w:hAnsi="宋体" w:cs="宋体"/>
          <w:highlight w:val="none"/>
        </w:rPr>
      </w:pPr>
      <w:r>
        <w:rPr>
          <w:rFonts w:hint="eastAsia" w:ascii="宋体" w:hAnsi="宋体" w:cs="宋体"/>
          <w:highlight w:val="none"/>
        </w:rPr>
        <w:t xml:space="preserve">6.2 </w:t>
      </w:r>
      <w:r>
        <w:rPr>
          <w:rFonts w:hint="eastAsia" w:ascii="宋体" w:hAnsi="宋体" w:cs="宋体"/>
          <w:highlight w:val="none"/>
          <w:lang w:eastAsia="zh-CN"/>
        </w:rPr>
        <w:t>采购代理机构</w:t>
      </w:r>
      <w:r>
        <w:rPr>
          <w:rFonts w:hint="eastAsia" w:ascii="宋体" w:hAnsi="宋体" w:cs="宋体"/>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B96FB35">
      <w:pPr>
        <w:pStyle w:val="24"/>
        <w:rPr>
          <w:rFonts w:hAnsi="宋体" w:cs="宋体"/>
          <w:sz w:val="18"/>
          <w:szCs w:val="18"/>
          <w:highlight w:val="none"/>
          <w:lang w:val="en-US"/>
        </w:rPr>
      </w:pPr>
      <w:r>
        <w:rPr>
          <w:rFonts w:hint="eastAsia" w:hAnsi="宋体" w:cs="宋体"/>
          <w:szCs w:val="24"/>
          <w:highlight w:val="none"/>
          <w:lang w:val="en-US"/>
        </w:rPr>
        <w:t xml:space="preserve">    </w:t>
      </w:r>
    </w:p>
    <w:p w14:paraId="4634ABDF">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14:paraId="4A853828">
      <w:pPr>
        <w:pStyle w:val="35"/>
        <w:spacing w:line="360" w:lineRule="auto"/>
        <w:rPr>
          <w:rFonts w:hAnsi="宋体" w:cs="宋体"/>
          <w:b/>
          <w:sz w:val="24"/>
          <w:szCs w:val="24"/>
          <w:highlight w:val="none"/>
        </w:rPr>
      </w:pPr>
      <w:r>
        <w:rPr>
          <w:rFonts w:hint="eastAsia" w:hAnsi="宋体" w:cs="宋体"/>
          <w:b/>
          <w:sz w:val="24"/>
          <w:szCs w:val="24"/>
          <w:highlight w:val="none"/>
        </w:rPr>
        <w:t>7. 招标文件的获取</w:t>
      </w:r>
    </w:p>
    <w:p w14:paraId="2832618C">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6FE1DD08">
      <w:pPr>
        <w:pStyle w:val="35"/>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14:paraId="291C860F">
      <w:pPr>
        <w:pStyle w:val="35"/>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7DED080A">
      <w:pPr>
        <w:pStyle w:val="35"/>
        <w:spacing w:line="360" w:lineRule="auto"/>
        <w:rPr>
          <w:rFonts w:hAnsi="宋体" w:cs="宋体"/>
          <w:b/>
          <w:szCs w:val="24"/>
          <w:highlight w:val="none"/>
        </w:rPr>
      </w:pPr>
      <w:r>
        <w:rPr>
          <w:rFonts w:hint="eastAsia" w:hAnsi="宋体" w:cs="宋体"/>
          <w:b/>
          <w:kern w:val="28"/>
          <w:sz w:val="24"/>
          <w:szCs w:val="24"/>
          <w:highlight w:val="none"/>
        </w:rPr>
        <w:t>9.投标保证金</w:t>
      </w:r>
    </w:p>
    <w:p w14:paraId="26D149A4">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6AB44AEB">
      <w:pPr>
        <w:pStyle w:val="35"/>
        <w:spacing w:line="360" w:lineRule="auto"/>
        <w:rPr>
          <w:rFonts w:hAnsi="宋体" w:cs="宋体"/>
          <w:b/>
          <w:sz w:val="24"/>
          <w:szCs w:val="24"/>
          <w:highlight w:val="none"/>
        </w:rPr>
      </w:pPr>
      <w:r>
        <w:rPr>
          <w:rFonts w:hint="eastAsia" w:hAnsi="宋体" w:cs="宋体"/>
          <w:b/>
          <w:sz w:val="24"/>
          <w:szCs w:val="24"/>
          <w:highlight w:val="none"/>
        </w:rPr>
        <w:t>10. 投标文件的语言</w:t>
      </w:r>
    </w:p>
    <w:p w14:paraId="742F4B07">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1DFA9DCA">
      <w:pPr>
        <w:pStyle w:val="35"/>
        <w:spacing w:line="360" w:lineRule="auto"/>
        <w:rPr>
          <w:rFonts w:hAnsi="宋体" w:cs="宋体"/>
          <w:b/>
          <w:sz w:val="24"/>
          <w:szCs w:val="24"/>
          <w:highlight w:val="none"/>
        </w:rPr>
      </w:pPr>
      <w:r>
        <w:rPr>
          <w:rFonts w:hint="eastAsia" w:hAnsi="宋体" w:cs="宋体"/>
          <w:b/>
          <w:sz w:val="24"/>
          <w:szCs w:val="24"/>
          <w:highlight w:val="none"/>
        </w:rPr>
        <w:t>11. 投标文件的组成</w:t>
      </w:r>
    </w:p>
    <w:p w14:paraId="71E2177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0B4BFD8D">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1D0C3F6A">
      <w:pPr>
        <w:snapToGrid w:val="0"/>
        <w:spacing w:line="360" w:lineRule="auto"/>
        <w:ind w:firstLine="960" w:firstLineChars="400"/>
        <w:rPr>
          <w:rFonts w:ascii="宋体" w:hAnsi="宋体" w:cs="宋体"/>
          <w:color w:val="auto"/>
          <w:sz w:val="24"/>
          <w:highlight w:val="none"/>
        </w:rPr>
      </w:pPr>
      <w:r>
        <w:rPr>
          <w:rFonts w:hint="eastAsia" w:ascii="宋体" w:hAnsi="宋体" w:cs="宋体"/>
          <w:sz w:val="24"/>
          <w:highlight w:val="none"/>
        </w:rPr>
        <w:t>1</w:t>
      </w:r>
      <w:r>
        <w:rPr>
          <w:rFonts w:ascii="宋体" w:hAnsi="宋体" w:cs="宋体"/>
          <w:sz w:val="24"/>
          <w:highlight w:val="none"/>
        </w:rPr>
        <w:t>1.1.2</w:t>
      </w:r>
      <w:r>
        <w:rPr>
          <w:rFonts w:hint="eastAsia" w:ascii="宋体" w:hAnsi="宋体" w:cs="宋体"/>
          <w:snapToGrid w:val="0"/>
          <w:kern w:val="28"/>
          <w:sz w:val="24"/>
          <w:szCs w:val="20"/>
          <w:highlight w:val="none"/>
        </w:rPr>
        <w:t>联合协议</w:t>
      </w:r>
      <w:r>
        <w:rPr>
          <w:rFonts w:hint="eastAsia" w:ascii="宋体" w:hAnsi="宋体" w:cs="宋体"/>
          <w:snapToGrid w:val="0"/>
          <w:color w:val="auto"/>
          <w:kern w:val="28"/>
          <w:sz w:val="24"/>
          <w:szCs w:val="20"/>
          <w:highlight w:val="none"/>
        </w:rPr>
        <w:t>（如果有)；</w:t>
      </w:r>
    </w:p>
    <w:p w14:paraId="470F1C3A">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rPr>
        <w:t>落实政府采购政策需满足的资格要求；</w:t>
      </w:r>
    </w:p>
    <w:p w14:paraId="20C56042">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z w:val="24"/>
          <w:highlight w:val="none"/>
        </w:rPr>
        <w:t>。</w:t>
      </w:r>
    </w:p>
    <w:p w14:paraId="58CB8ADD">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1FAEDDBB">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14:paraId="76F1D7F2">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2A059391">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3</w:t>
      </w:r>
      <w:r>
        <w:rPr>
          <w:rFonts w:hint="eastAsia" w:ascii="宋体" w:hAnsi="宋体" w:cs="宋体"/>
          <w:sz w:val="24"/>
          <w:highlight w:val="none"/>
        </w:rPr>
        <w:t>分包意向协</w:t>
      </w:r>
      <w:r>
        <w:rPr>
          <w:rFonts w:hint="eastAsia" w:ascii="宋体" w:hAnsi="宋体" w:cs="宋体"/>
          <w:color w:val="auto"/>
          <w:sz w:val="24"/>
          <w:highlight w:val="none"/>
        </w:rPr>
        <w:t>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482D875">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4</w:t>
      </w:r>
      <w:r>
        <w:rPr>
          <w:rFonts w:hint="eastAsia" w:ascii="宋体" w:hAnsi="宋体" w:cs="宋体"/>
          <w:sz w:val="24"/>
          <w:highlight w:val="none"/>
        </w:rPr>
        <w:t>符合性审查资料；</w:t>
      </w:r>
    </w:p>
    <w:p w14:paraId="2A73CD4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5</w:t>
      </w:r>
      <w:r>
        <w:rPr>
          <w:rFonts w:hint="eastAsia" w:ascii="宋体" w:hAnsi="宋体" w:cs="宋体"/>
          <w:sz w:val="24"/>
          <w:highlight w:val="none"/>
        </w:rPr>
        <w:t>评标标准相应的商务技术资料；</w:t>
      </w:r>
    </w:p>
    <w:p w14:paraId="105FD286">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6</w:t>
      </w:r>
      <w:r>
        <w:rPr>
          <w:rFonts w:hint="eastAsia" w:ascii="宋体" w:hAnsi="宋体" w:cs="宋体"/>
          <w:sz w:val="24"/>
          <w:highlight w:val="none"/>
        </w:rPr>
        <w:t>投标标的清单；</w:t>
      </w:r>
    </w:p>
    <w:p w14:paraId="01DE7FBB">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7</w:t>
      </w:r>
      <w:r>
        <w:rPr>
          <w:rFonts w:hint="eastAsia" w:ascii="宋体" w:hAnsi="宋体" w:cs="宋体"/>
          <w:sz w:val="24"/>
          <w:highlight w:val="none"/>
        </w:rPr>
        <w:t>商务技术偏离表；</w:t>
      </w:r>
    </w:p>
    <w:p w14:paraId="0BBD41A7">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7177E8BA">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2F8AC591">
      <w:pPr>
        <w:snapToGrid w:val="0"/>
        <w:spacing w:line="360" w:lineRule="auto"/>
        <w:ind w:firstLine="960" w:firstLineChars="400"/>
        <w:rPr>
          <w:rFonts w:hint="eastAsia" w:ascii="宋体" w:hAnsi="宋体" w:eastAsia="宋体" w:cs="宋体"/>
          <w:sz w:val="24"/>
          <w:highlight w:val="none"/>
          <w:lang w:eastAsia="zh-CN"/>
        </w:rPr>
      </w:pPr>
      <w:r>
        <w:rPr>
          <w:rFonts w:hint="eastAsia" w:ascii="宋体" w:hAnsi="宋体" w:cs="宋体"/>
          <w:sz w:val="24"/>
          <w:highlight w:val="none"/>
        </w:rPr>
        <w:t>11.3.1开标一览表（报价表）</w:t>
      </w:r>
      <w:r>
        <w:rPr>
          <w:rFonts w:hint="eastAsia" w:ascii="宋体" w:hAnsi="宋体" w:cs="宋体"/>
          <w:sz w:val="24"/>
          <w:highlight w:val="none"/>
          <w:lang w:eastAsia="zh-CN"/>
        </w:rPr>
        <w:t>。</w:t>
      </w:r>
    </w:p>
    <w:p w14:paraId="719EC20C">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0F4CC301">
      <w:pPr>
        <w:spacing w:line="360" w:lineRule="auto"/>
        <w:ind w:firstLine="723" w:firstLineChars="300"/>
        <w:rPr>
          <w:rFonts w:ascii="宋体" w:hAnsi="宋体" w:cs="宋体"/>
          <w:b/>
          <w:sz w:val="24"/>
          <w:szCs w:val="21"/>
          <w:highlight w:val="none"/>
        </w:rPr>
      </w:pPr>
      <w:r>
        <w:rPr>
          <w:rFonts w:hint="eastAsia" w:ascii="宋体" w:hAnsi="宋体" w:cs="宋体"/>
          <w:b/>
          <w:sz w:val="24"/>
          <w:highlight w:val="none"/>
        </w:rPr>
        <w:t>投标人提供虚假材料投标的，投标无效。</w:t>
      </w:r>
    </w:p>
    <w:p w14:paraId="4E68A13A">
      <w:pPr>
        <w:pStyle w:val="130"/>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14:paraId="43AC76F0">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819852">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DF5E8F2">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109F8C64">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14:paraId="2D44B0BD">
      <w:pPr>
        <w:pStyle w:val="130"/>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265C2740">
      <w:pPr>
        <w:pStyle w:val="130"/>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4A03552C">
      <w:pPr>
        <w:pStyle w:val="130"/>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7278264B">
      <w:pPr>
        <w:pStyle w:val="130"/>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329557FC">
      <w:pPr>
        <w:pStyle w:val="130"/>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311B1C0A">
      <w:pPr>
        <w:pStyle w:val="130"/>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E763A20">
      <w:pPr>
        <w:pStyle w:val="130"/>
        <w:spacing w:before="0"/>
        <w:ind w:firstLine="480"/>
        <w:rPr>
          <w:rFonts w:ascii="宋体" w:hAnsi="宋体" w:cs="宋体"/>
          <w:szCs w:val="24"/>
          <w:highlight w:val="none"/>
        </w:rPr>
      </w:pPr>
      <w:r>
        <w:rPr>
          <w:rFonts w:hint="eastAsia" w:ascii="宋体" w:hAnsi="宋体" w:cs="宋体"/>
          <w:szCs w:val="24"/>
          <w:highlight w:val="none"/>
        </w:rPr>
        <w:t>14.3采购人、</w:t>
      </w:r>
      <w:r>
        <w:rPr>
          <w:rFonts w:hint="eastAsia" w:ascii="宋体" w:hAnsi="宋体" w:cs="宋体"/>
          <w:szCs w:val="24"/>
          <w:highlight w:val="none"/>
          <w:lang w:eastAsia="zh-CN"/>
        </w:rPr>
        <w:t>采购代理机构</w:t>
      </w:r>
      <w:r>
        <w:rPr>
          <w:rFonts w:hint="eastAsia" w:ascii="宋体" w:hAnsi="宋体" w:cs="宋体"/>
          <w:szCs w:val="24"/>
          <w:highlight w:val="none"/>
        </w:rPr>
        <w:t>可以视情况延长投标文件提交的截止时间。在上述情况下，</w:t>
      </w:r>
      <w:r>
        <w:rPr>
          <w:rFonts w:hint="eastAsia" w:ascii="宋体" w:hAnsi="宋体" w:cs="宋体"/>
          <w:szCs w:val="24"/>
          <w:highlight w:val="none"/>
          <w:lang w:eastAsia="zh-CN"/>
        </w:rPr>
        <w:t>采购代理机构</w:t>
      </w:r>
      <w:r>
        <w:rPr>
          <w:rFonts w:hint="eastAsia" w:ascii="宋体" w:hAnsi="宋体" w:cs="宋体"/>
          <w:szCs w:val="24"/>
          <w:highlight w:val="none"/>
        </w:rPr>
        <w:t>与投标人以前在投标截止期方面的全部权利、责任和义务，将适用于延长至新的投标截止期。</w:t>
      </w:r>
    </w:p>
    <w:p w14:paraId="7E8728DD">
      <w:pPr>
        <w:pStyle w:val="35"/>
        <w:spacing w:line="360" w:lineRule="auto"/>
        <w:rPr>
          <w:rFonts w:hAnsi="宋体" w:cs="宋体"/>
          <w:b/>
          <w:sz w:val="24"/>
          <w:szCs w:val="24"/>
          <w:highlight w:val="none"/>
        </w:rPr>
      </w:pPr>
      <w:r>
        <w:rPr>
          <w:rFonts w:hint="eastAsia" w:hAnsi="宋体" w:cs="宋体"/>
          <w:b/>
          <w:sz w:val="24"/>
          <w:szCs w:val="24"/>
          <w:highlight w:val="none"/>
        </w:rPr>
        <w:t>15.备份投标文件</w:t>
      </w:r>
    </w:p>
    <w:p w14:paraId="53A9CCC8">
      <w:pPr>
        <w:pStyle w:val="35"/>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w:t>
      </w:r>
      <w:r>
        <w:rPr>
          <w:rFonts w:hint="eastAsia" w:hAnsi="宋体" w:cs="宋体"/>
          <w:b/>
          <w:sz w:val="24"/>
          <w:szCs w:val="24"/>
          <w:highlight w:val="none"/>
          <w:lang w:eastAsia="zh-CN"/>
        </w:rPr>
        <w:t>采购代理机构</w:t>
      </w:r>
      <w:r>
        <w:rPr>
          <w:rFonts w:hint="eastAsia" w:hAnsi="宋体" w:cs="宋体"/>
          <w:b/>
          <w:sz w:val="24"/>
          <w:szCs w:val="24"/>
          <w:highlight w:val="none"/>
        </w:rPr>
        <w:t>不强制或变相强制投标人提交备份投标文件。</w:t>
      </w:r>
    </w:p>
    <w:p w14:paraId="0E3C7702">
      <w:pPr>
        <w:pStyle w:val="35"/>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w:t>
      </w:r>
      <w:r>
        <w:rPr>
          <w:rFonts w:hint="eastAsia" w:hAnsi="宋体" w:cs="宋体"/>
          <w:sz w:val="24"/>
          <w:highlight w:val="none"/>
          <w:lang w:val="en-US" w:eastAsia="zh-CN"/>
        </w:rPr>
        <w:t>等存储介质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54F29D82">
      <w:pPr>
        <w:pStyle w:val="35"/>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w:t>
      </w:r>
      <w:r>
        <w:rPr>
          <w:rFonts w:hint="eastAsia" w:hAnsi="宋体" w:cs="宋体"/>
          <w:sz w:val="24"/>
          <w:szCs w:val="24"/>
          <w:highlight w:val="none"/>
          <w:lang w:eastAsia="zh-CN"/>
        </w:rPr>
        <w:t>采购代理机构</w:t>
      </w:r>
      <w:r>
        <w:rPr>
          <w:rFonts w:hint="eastAsia" w:hAnsi="宋体" w:cs="宋体"/>
          <w:sz w:val="24"/>
          <w:szCs w:val="24"/>
          <w:highlight w:val="none"/>
        </w:rPr>
        <w:t>，</w:t>
      </w:r>
      <w:r>
        <w:rPr>
          <w:rFonts w:hint="eastAsia" w:hAnsi="宋体" w:cs="宋体"/>
          <w:sz w:val="24"/>
          <w:szCs w:val="24"/>
          <w:highlight w:val="none"/>
          <w:lang w:eastAsia="zh-CN"/>
        </w:rPr>
        <w:t>采购代理机构</w:t>
      </w:r>
      <w:r>
        <w:rPr>
          <w:rFonts w:hint="eastAsia" w:hAnsi="宋体" w:cs="宋体"/>
          <w:sz w:val="24"/>
          <w:szCs w:val="24"/>
          <w:highlight w:val="none"/>
        </w:rPr>
        <w:t>将拒绝接受逾期送达的备份投标文件。</w:t>
      </w:r>
    </w:p>
    <w:p w14:paraId="68F1C67E">
      <w:pPr>
        <w:pStyle w:val="35"/>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w:t>
      </w:r>
      <w:r>
        <w:rPr>
          <w:rFonts w:hint="eastAsia" w:hAnsi="宋体" w:cs="宋体"/>
          <w:sz w:val="24"/>
          <w:szCs w:val="24"/>
          <w:highlight w:val="none"/>
          <w:lang w:eastAsia="zh-CN"/>
        </w:rPr>
        <w:t>采购代理机构</w:t>
      </w:r>
      <w:r>
        <w:rPr>
          <w:rFonts w:hint="eastAsia" w:hAnsi="宋体" w:cs="宋体"/>
          <w:sz w:val="24"/>
          <w:szCs w:val="24"/>
          <w:highlight w:val="none"/>
        </w:rPr>
        <w:t>将拒绝接受逾期送达的备份投标文件。邮寄过程中，电子备份投标文件发生泄露、遗失、损坏或延期送达等情况的，由投标人自行负责。</w:t>
      </w:r>
    </w:p>
    <w:p w14:paraId="6C21A933">
      <w:pPr>
        <w:pStyle w:val="35"/>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0E65E0D2">
      <w:pPr>
        <w:pStyle w:val="130"/>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14:paraId="4F9BFB3E">
      <w:pPr>
        <w:pStyle w:val="27"/>
        <w:spacing w:line="360" w:lineRule="auto"/>
        <w:ind w:firstLine="360" w:firstLineChars="150"/>
        <w:rPr>
          <w:rFonts w:cs="宋体"/>
          <w:szCs w:val="21"/>
          <w:highlight w:val="none"/>
        </w:rPr>
      </w:pPr>
      <w:r>
        <w:rPr>
          <w:rFonts w:hint="eastAsia" w:cs="宋体"/>
          <w:szCs w:val="21"/>
          <w:highlight w:val="none"/>
        </w:rPr>
        <w:t>有招标文件第四部分</w:t>
      </w:r>
      <w:r>
        <w:rPr>
          <w:rFonts w:cs="宋体"/>
          <w:szCs w:val="21"/>
          <w:highlight w:val="none"/>
        </w:rPr>
        <w:t>4.2规定</w:t>
      </w:r>
      <w:r>
        <w:rPr>
          <w:rFonts w:hint="eastAsia" w:cs="宋体"/>
          <w:szCs w:val="21"/>
          <w:highlight w:val="none"/>
        </w:rPr>
        <w:t>的情形之一的，投标无效：</w:t>
      </w:r>
    </w:p>
    <w:p w14:paraId="719B6014">
      <w:pPr>
        <w:pStyle w:val="130"/>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24B7ABD3">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531854FD">
      <w:pPr>
        <w:pStyle w:val="130"/>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2E8A157D">
      <w:pPr>
        <w:pStyle w:val="130"/>
        <w:spacing w:before="0"/>
        <w:ind w:firstLine="480"/>
        <w:rPr>
          <w:rFonts w:hint="eastAsia" w:ascii="宋体" w:hAnsi="宋体" w:cs="宋体"/>
          <w:highlight w:val="none"/>
        </w:rPr>
      </w:pPr>
      <w:r>
        <w:rPr>
          <w:rFonts w:hint="eastAsia" w:ascii="宋体" w:hAnsi="宋体" w:cs="宋体"/>
          <w:highlight w:val="none"/>
        </w:rPr>
        <w:t>17.3在原定投标有效期满之前，如果出现特殊情况，</w:t>
      </w:r>
      <w:r>
        <w:rPr>
          <w:rFonts w:hint="eastAsia" w:ascii="宋体" w:hAnsi="宋体" w:cs="宋体"/>
          <w:highlight w:val="none"/>
          <w:lang w:eastAsia="zh-CN"/>
        </w:rPr>
        <w:t>采购代理机构</w:t>
      </w:r>
      <w:r>
        <w:rPr>
          <w:rFonts w:hint="eastAsia" w:ascii="宋体" w:hAnsi="宋体" w:cs="宋体"/>
          <w:highlight w:val="none"/>
        </w:rPr>
        <w:t>可以以书面形式通知投标人延长投标有效期。投标人同意延长的，不得要求或被允许修改其投标文件，投标人拒绝延长的，其投标无效。</w:t>
      </w:r>
    </w:p>
    <w:p w14:paraId="4D4B06B4">
      <w:pPr>
        <w:pStyle w:val="130"/>
        <w:spacing w:before="0"/>
        <w:ind w:firstLine="480"/>
        <w:rPr>
          <w:rFonts w:hint="eastAsia" w:ascii="宋体" w:hAnsi="宋体" w:cs="宋体"/>
          <w:highlight w:val="none"/>
        </w:rPr>
      </w:pPr>
      <w:r>
        <w:rPr>
          <w:rFonts w:hint="eastAsia" w:ascii="宋体" w:hAnsi="宋体" w:cs="宋体"/>
          <w:highlight w:val="none"/>
        </w:rPr>
        <w:t>17.4在投标截止时间起至投标有效期届满，供应商投标文件不可撤销。</w:t>
      </w:r>
    </w:p>
    <w:p w14:paraId="07796268">
      <w:pPr>
        <w:pStyle w:val="130"/>
        <w:spacing w:before="0"/>
        <w:ind w:firstLine="480"/>
        <w:rPr>
          <w:rFonts w:hint="eastAsia" w:ascii="宋体" w:hAnsi="宋体" w:cs="宋体"/>
          <w:highlight w:val="none"/>
        </w:rPr>
      </w:pPr>
    </w:p>
    <w:p w14:paraId="2AF87D39">
      <w:pPr>
        <w:pStyle w:val="130"/>
        <w:spacing w:before="0"/>
        <w:ind w:firstLine="643"/>
        <w:rPr>
          <w:rFonts w:ascii="宋体" w:hAnsi="宋体" w:cs="宋体"/>
          <w:b/>
          <w:sz w:val="32"/>
          <w:highlight w:val="none"/>
        </w:rPr>
      </w:pPr>
    </w:p>
    <w:p w14:paraId="68D60572">
      <w:pPr>
        <w:pStyle w:val="130"/>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1172F4CD">
      <w:pPr>
        <w:pStyle w:val="556"/>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14:paraId="2D705B06">
      <w:pPr>
        <w:pStyle w:val="556"/>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w:t>
      </w:r>
      <w:r>
        <w:rPr>
          <w:rFonts w:hint="eastAsia" w:ascii="宋体" w:hAnsi="宋体" w:cs="宋体"/>
          <w:sz w:val="24"/>
          <w:highlight w:val="none"/>
          <w:lang w:eastAsia="zh-CN"/>
        </w:rPr>
        <w:t>采购代理机构</w:t>
      </w:r>
      <w:r>
        <w:rPr>
          <w:rFonts w:hint="eastAsia" w:ascii="宋体" w:hAnsi="宋体" w:cs="宋体"/>
          <w:sz w:val="24"/>
          <w:highlight w:val="none"/>
        </w:rPr>
        <w:t>按照招标文件规定的时间通过电子交易平台组织开标，所有投标人均应当准时在线参加。投标人不足3家的，不得开标。</w:t>
      </w:r>
    </w:p>
    <w:p w14:paraId="51A6D058">
      <w:pPr>
        <w:pStyle w:val="556"/>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w:t>
      </w:r>
      <w:r>
        <w:rPr>
          <w:rFonts w:hint="eastAsia" w:ascii="宋体" w:hAnsi="宋体" w:cs="宋体"/>
          <w:sz w:val="24"/>
          <w:highlight w:val="none"/>
          <w:lang w:eastAsia="zh-CN"/>
        </w:rPr>
        <w:t>采购代理机构</w:t>
      </w:r>
      <w:r>
        <w:rPr>
          <w:rFonts w:hint="eastAsia" w:ascii="宋体" w:hAnsi="宋体" w:cs="宋体"/>
          <w:sz w:val="24"/>
          <w:highlight w:val="none"/>
        </w:rPr>
        <w:t>依托电子交易平台发起开始解密指令，投标人按照平台提示和招标文件的规定在半小时内完成在线解密。</w:t>
      </w:r>
    </w:p>
    <w:p w14:paraId="5AAEF04B">
      <w:pPr>
        <w:pStyle w:val="556"/>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7AF0279B">
      <w:pPr>
        <w:pStyle w:val="130"/>
        <w:spacing w:before="0"/>
        <w:ind w:firstLine="480"/>
        <w:rPr>
          <w:rFonts w:hint="eastAsia" w:ascii="宋体" w:hAnsi="宋体" w:cs="宋体"/>
          <w:b/>
          <w:bCs/>
          <w:kern w:val="0"/>
          <w:szCs w:val="24"/>
          <w:highlight w:val="none"/>
          <w:lang w:val="en-US" w:eastAsia="zh-CN"/>
        </w:rPr>
      </w:pPr>
    </w:p>
    <w:p w14:paraId="3A782581">
      <w:pPr>
        <w:pStyle w:val="130"/>
        <w:spacing w:before="0"/>
        <w:ind w:firstLine="480"/>
        <w:rPr>
          <w:rFonts w:hint="default" w:ascii="宋体" w:hAnsi="宋体" w:eastAsia="宋体" w:cs="宋体"/>
          <w:b/>
          <w:bCs/>
          <w:kern w:val="0"/>
          <w:szCs w:val="24"/>
          <w:highlight w:val="none"/>
          <w:lang w:val="en-US" w:eastAsia="zh-CN"/>
        </w:rPr>
      </w:pPr>
      <w:r>
        <w:rPr>
          <w:rFonts w:hint="eastAsia" w:ascii="宋体" w:hAnsi="宋体" w:cs="宋体"/>
          <w:b/>
          <w:bCs/>
          <w:kern w:val="0"/>
          <w:szCs w:val="24"/>
          <w:highlight w:val="none"/>
          <w:lang w:val="en-US" w:eastAsia="zh-CN"/>
        </w:rPr>
        <w:t>19.资格审查</w:t>
      </w:r>
    </w:p>
    <w:p w14:paraId="0EA46C80">
      <w:pPr>
        <w:pStyle w:val="130"/>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19.1开标后，采购人将依据法律法规和招标文件的规定，对投标人的资格进行审查。</w:t>
      </w:r>
    </w:p>
    <w:p w14:paraId="486C2157">
      <w:pPr>
        <w:pStyle w:val="130"/>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7D348061">
      <w:pPr>
        <w:pStyle w:val="130"/>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3对未通过资格审查的投标人，告知其未通过的原因。</w:t>
      </w:r>
    </w:p>
    <w:p w14:paraId="3179D5CE">
      <w:pPr>
        <w:pStyle w:val="130"/>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42AAEB81">
      <w:pPr>
        <w:pStyle w:val="130"/>
        <w:spacing w:before="0"/>
        <w:ind w:firstLine="480"/>
        <w:rPr>
          <w:rFonts w:ascii="宋体" w:hAnsi="宋体" w:cs="宋体"/>
          <w:highlight w:val="none"/>
        </w:rPr>
      </w:pPr>
    </w:p>
    <w:p w14:paraId="68C996EC">
      <w:pPr>
        <w:pStyle w:val="130"/>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14:paraId="1614FE48">
      <w:pPr>
        <w:pStyle w:val="130"/>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w:t>
      </w:r>
      <w:r>
        <w:rPr>
          <w:rFonts w:hint="eastAsia" w:ascii="宋体" w:hAnsi="宋体" w:cs="宋体"/>
          <w:kern w:val="0"/>
          <w:szCs w:val="24"/>
          <w:highlight w:val="none"/>
          <w:lang w:eastAsia="zh-CN"/>
        </w:rPr>
        <w:t>采购代理机构</w:t>
      </w:r>
      <w:r>
        <w:rPr>
          <w:rFonts w:hint="eastAsia" w:ascii="宋体" w:hAnsi="宋体" w:cs="宋体"/>
          <w:kern w:val="0"/>
          <w:szCs w:val="24"/>
          <w:highlight w:val="none"/>
        </w:rPr>
        <w:t>将在资格审查时通过“信用中国”网站(www.creditchina.gov.cn)、中国政府采购网(www.ccgp.gov.cn)渠道查询投标人接受资格时的信用记录。</w:t>
      </w:r>
    </w:p>
    <w:p w14:paraId="6484A25B">
      <w:pPr>
        <w:pStyle w:val="130"/>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52B3248F">
      <w:pPr>
        <w:pStyle w:val="130"/>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2E760C96">
      <w:pPr>
        <w:pStyle w:val="130"/>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1FAC280D">
      <w:pPr>
        <w:pStyle w:val="130"/>
        <w:spacing w:before="0"/>
        <w:ind w:firstLine="0" w:firstLineChars="0"/>
        <w:rPr>
          <w:rFonts w:ascii="宋体" w:hAnsi="宋体" w:cs="宋体"/>
          <w:kern w:val="0"/>
          <w:szCs w:val="24"/>
          <w:highlight w:val="none"/>
        </w:rPr>
      </w:pPr>
    </w:p>
    <w:p w14:paraId="63B8C45C">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14:paraId="1C09B555">
      <w:pPr>
        <w:spacing w:line="360" w:lineRule="auto"/>
        <w:rPr>
          <w:rFonts w:ascii="宋体" w:hAnsi="宋体" w:cs="宋体"/>
          <w:b/>
          <w:sz w:val="24"/>
          <w:highlight w:val="none"/>
        </w:rPr>
      </w:pPr>
      <w:bookmarkStart w:id="13"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4305DE57">
      <w:pPr>
        <w:spacing w:line="360" w:lineRule="auto"/>
        <w:rPr>
          <w:rFonts w:ascii="宋体" w:hAnsi="宋体" w:cs="宋体"/>
          <w:b/>
          <w:sz w:val="24"/>
          <w:highlight w:val="none"/>
        </w:rPr>
      </w:pPr>
    </w:p>
    <w:p w14:paraId="4C7B1590">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14:paraId="2CA9D6B2">
      <w:pPr>
        <w:pStyle w:val="27"/>
        <w:spacing w:line="360" w:lineRule="auto"/>
        <w:ind w:left="479" w:hanging="479" w:hangingChars="199"/>
        <w:rPr>
          <w:rFonts w:cs="宋体"/>
          <w:b/>
          <w:highlight w:val="none"/>
        </w:rPr>
      </w:pPr>
      <w:r>
        <w:rPr>
          <w:rFonts w:hint="eastAsia" w:cs="宋体"/>
          <w:b/>
          <w:highlight w:val="none"/>
        </w:rPr>
        <w:t>22. 确定中标供应商</w:t>
      </w:r>
    </w:p>
    <w:p w14:paraId="4372F7A7">
      <w:pPr>
        <w:pStyle w:val="130"/>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成交通知书和中标、成交结果公告应当在规定时间内同时发出。</w:t>
      </w:r>
    </w:p>
    <w:p w14:paraId="59C21666">
      <w:pPr>
        <w:pStyle w:val="130"/>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4B215F68">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w:t>
      </w:r>
      <w:r>
        <w:rPr>
          <w:rFonts w:hint="eastAsia" w:ascii="宋体" w:hAnsi="宋体" w:cs="宋体"/>
          <w:sz w:val="24"/>
          <w:highlight w:val="none"/>
          <w:lang w:eastAsia="zh-CN"/>
        </w:rPr>
        <w:t>采购代理机构</w:t>
      </w:r>
      <w:r>
        <w:rPr>
          <w:rFonts w:hint="eastAsia" w:ascii="宋体" w:hAnsi="宋体" w:cs="宋体"/>
          <w:sz w:val="24"/>
          <w:highlight w:val="none"/>
        </w:rPr>
        <w:t>通过电子交易平台向中标人发出中标通知书，同时编制发布采购结果公告。</w:t>
      </w:r>
      <w:r>
        <w:rPr>
          <w:rFonts w:hint="eastAsia" w:ascii="宋体" w:hAnsi="宋体" w:cs="宋体"/>
          <w:sz w:val="24"/>
          <w:highlight w:val="none"/>
          <w:lang w:eastAsia="zh-CN"/>
        </w:rPr>
        <w:t>采购代理机构</w:t>
      </w:r>
      <w:r>
        <w:rPr>
          <w:rFonts w:hint="eastAsia" w:ascii="宋体" w:hAnsi="宋体" w:cs="宋体"/>
          <w:sz w:val="24"/>
          <w:highlight w:val="none"/>
        </w:rPr>
        <w:t>也可以以纸质形式进行中标通知。</w:t>
      </w:r>
    </w:p>
    <w:p w14:paraId="42317AE4">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w:t>
      </w:r>
      <w:r>
        <w:rPr>
          <w:rFonts w:hint="eastAsia" w:ascii="宋体" w:hAnsi="宋体" w:cs="宋体"/>
          <w:sz w:val="24"/>
          <w:highlight w:val="none"/>
          <w:lang w:eastAsia="zh-CN"/>
        </w:rPr>
        <w:t>采购代理机构</w:t>
      </w:r>
      <w:r>
        <w:rPr>
          <w:rFonts w:hint="eastAsia" w:ascii="宋体" w:hAnsi="宋体" w:cs="宋体"/>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highlight w:val="none"/>
        </w:rPr>
        <w:t>资格审查情况、评审专家抽取规则、符合性审查情况、</w:t>
      </w:r>
      <w:bookmarkEnd w:id="14"/>
      <w:r>
        <w:rPr>
          <w:rFonts w:hint="eastAsia" w:ascii="宋体" w:hAnsi="宋体" w:cs="宋体"/>
          <w:sz w:val="24"/>
          <w:highlight w:val="none"/>
        </w:rPr>
        <w:t>未中标情况说明、中标公告期限以及评审专家名单、评分汇总及明细。</w:t>
      </w:r>
    </w:p>
    <w:p w14:paraId="101032F9">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14:paraId="794BCCE6">
      <w:pPr>
        <w:snapToGrid w:val="0"/>
        <w:spacing w:line="360" w:lineRule="auto"/>
        <w:ind w:left="120" w:leftChars="57" w:firstLine="482" w:firstLineChars="150"/>
        <w:jc w:val="center"/>
        <w:rPr>
          <w:rFonts w:ascii="宋体" w:hAnsi="宋体" w:cs="宋体"/>
          <w:b/>
          <w:sz w:val="32"/>
          <w:highlight w:val="none"/>
        </w:rPr>
      </w:pPr>
    </w:p>
    <w:p w14:paraId="31ADCC38">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5F729D5D">
      <w:pPr>
        <w:pStyle w:val="27"/>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1810BF40">
      <w:pPr>
        <w:pStyle w:val="27"/>
        <w:spacing w:line="360" w:lineRule="auto"/>
        <w:ind w:left="479" w:hanging="479" w:hangingChars="199"/>
        <w:rPr>
          <w:rFonts w:cs="宋体"/>
          <w:b/>
          <w:highlight w:val="none"/>
        </w:rPr>
      </w:pPr>
      <w:r>
        <w:rPr>
          <w:rFonts w:hint="eastAsia" w:cs="宋体"/>
          <w:b/>
          <w:highlight w:val="none"/>
        </w:rPr>
        <w:t>25. 合同的签订</w:t>
      </w:r>
    </w:p>
    <w:p w14:paraId="233AEBB2">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9BC6E01">
      <w:pPr>
        <w:pStyle w:val="130"/>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ED7B364">
      <w:pPr>
        <w:pStyle w:val="130"/>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4EB0C57C">
      <w:pPr>
        <w:pStyle w:val="130"/>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5D457D7C">
      <w:pPr>
        <w:pStyle w:val="130"/>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15057A71">
      <w:pPr>
        <w:pStyle w:val="27"/>
        <w:spacing w:line="360" w:lineRule="auto"/>
        <w:ind w:left="479" w:hanging="479" w:hangingChars="199"/>
        <w:rPr>
          <w:rFonts w:cs="宋体"/>
          <w:b/>
          <w:highlight w:val="none"/>
        </w:rPr>
      </w:pPr>
      <w:r>
        <w:rPr>
          <w:rFonts w:hint="eastAsia" w:cs="宋体"/>
          <w:b/>
          <w:highlight w:val="none"/>
        </w:rPr>
        <w:t>26. 履约保证金</w:t>
      </w:r>
    </w:p>
    <w:p w14:paraId="3D7E9207">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48007256">
      <w:pPr>
        <w:pStyle w:val="2"/>
        <w:ind w:left="0" w:firstLine="480" w:firstLineChars="200"/>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D594862">
      <w:pPr>
        <w:pStyle w:val="2"/>
        <w:rPr>
          <w:highlight w:val="none"/>
        </w:rPr>
      </w:pPr>
      <w:r>
        <w:rPr>
          <w:rFonts w:ascii="宋体" w:hAnsi="宋体" w:eastAsia="宋体"/>
          <w:b/>
          <w:bCs/>
          <w:sz w:val="24"/>
          <w:szCs w:val="32"/>
          <w:highlight w:val="none"/>
          <w:lang w:val="en-US"/>
        </w:rPr>
        <w:t>27.预付款</w:t>
      </w:r>
    </w:p>
    <w:p w14:paraId="409D8964">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7CB04D9B">
      <w:pPr>
        <w:rPr>
          <w:highlight w:val="none"/>
        </w:rPr>
      </w:pPr>
    </w:p>
    <w:p w14:paraId="3619FE18">
      <w:pPr>
        <w:snapToGrid w:val="0"/>
        <w:spacing w:line="360" w:lineRule="auto"/>
        <w:ind w:firstLine="3357" w:firstLineChars="1045"/>
        <w:rPr>
          <w:rFonts w:ascii="宋体" w:hAnsi="宋体" w:cs="宋体"/>
          <w:b/>
          <w:sz w:val="32"/>
          <w:highlight w:val="none"/>
        </w:rPr>
      </w:pPr>
    </w:p>
    <w:p w14:paraId="156519DE">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14:paraId="25F3DA90">
      <w:pPr>
        <w:pStyle w:val="130"/>
        <w:snapToGrid w:val="0"/>
        <w:spacing w:before="0"/>
        <w:ind w:firstLine="0" w:firstLineChars="0"/>
        <w:rPr>
          <w:rFonts w:ascii="宋体" w:hAnsi="宋体" w:cs="宋体"/>
          <w:highlight w:val="none"/>
        </w:rPr>
      </w:pPr>
      <w:r>
        <w:rPr>
          <w:rFonts w:ascii="宋体" w:hAnsi="宋体" w:cs="宋体"/>
          <w:b/>
          <w:bCs/>
          <w:sz w:val="24"/>
          <w:szCs w:val="20"/>
          <w:highlight w:val="none"/>
        </w:rPr>
        <w:t>2</w:t>
      </w:r>
      <w:r>
        <w:rPr>
          <w:rFonts w:ascii="宋体" w:hAnsi="宋体" w:cs="宋体"/>
          <w:b/>
          <w:bCs/>
          <w:sz w:val="24"/>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w:t>
      </w:r>
      <w:r>
        <w:rPr>
          <w:rFonts w:hint="eastAsia" w:ascii="宋体" w:hAnsi="宋体" w:cs="宋体"/>
          <w:highlight w:val="none"/>
          <w:lang w:eastAsia="zh-CN"/>
        </w:rPr>
        <w:t>采购代理机构</w:t>
      </w:r>
      <w:r>
        <w:rPr>
          <w:rFonts w:hint="eastAsia" w:ascii="宋体" w:hAnsi="宋体" w:cs="宋体"/>
          <w:highlight w:val="none"/>
        </w:rPr>
        <w:t>可中止电子交易活动：</w:t>
      </w:r>
    </w:p>
    <w:p w14:paraId="3A2C574C">
      <w:pPr>
        <w:pStyle w:val="130"/>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3DE414B6">
      <w:pPr>
        <w:pStyle w:val="130"/>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2BBBBF87">
      <w:pPr>
        <w:pStyle w:val="130"/>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0C6B585A">
      <w:pPr>
        <w:pStyle w:val="130"/>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539A0528">
      <w:pPr>
        <w:pStyle w:val="130"/>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14D8DA57">
      <w:pPr>
        <w:pStyle w:val="130"/>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7F23FB3">
      <w:pPr>
        <w:tabs>
          <w:tab w:val="left" w:pos="0"/>
        </w:tabs>
        <w:spacing w:line="360" w:lineRule="auto"/>
        <w:ind w:firstLine="480"/>
        <w:rPr>
          <w:rFonts w:ascii="宋体" w:hAnsi="宋体" w:cs="宋体"/>
          <w:sz w:val="24"/>
          <w:highlight w:val="none"/>
        </w:rPr>
      </w:pPr>
    </w:p>
    <w:p w14:paraId="570825AC">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14:paraId="40514C7F">
      <w:pPr>
        <w:pStyle w:val="27"/>
        <w:spacing w:line="360" w:lineRule="auto"/>
        <w:ind w:firstLine="0" w:firstLineChars="0"/>
        <w:rPr>
          <w:rFonts w:cs="宋体"/>
          <w:b/>
          <w:highlight w:val="none"/>
        </w:rPr>
      </w:pPr>
      <w:r>
        <w:rPr>
          <w:rFonts w:hint="eastAsia" w:cs="宋体"/>
          <w:b/>
          <w:highlight w:val="none"/>
        </w:rPr>
        <w:t>30.验收</w:t>
      </w:r>
    </w:p>
    <w:p w14:paraId="54A29DCD">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93E77E">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56B618A2">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F499DB8">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7A57A121">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29768"/>
      <w:bookmarkEnd w:id="15"/>
      <w:bookmarkStart w:id="16" w:name="_Hlt68072998"/>
      <w:bookmarkEnd w:id="16"/>
      <w:bookmarkStart w:id="17" w:name="_Hlt68403820"/>
      <w:bookmarkEnd w:id="17"/>
      <w:bookmarkStart w:id="18" w:name="_Hlt75236290"/>
      <w:bookmarkEnd w:id="18"/>
      <w:bookmarkStart w:id="19" w:name="_Hlt74714665"/>
      <w:bookmarkEnd w:id="19"/>
      <w:bookmarkStart w:id="20" w:name="_Hlt74730295"/>
      <w:bookmarkEnd w:id="20"/>
      <w:bookmarkStart w:id="21" w:name="_Hlt68057669"/>
      <w:bookmarkEnd w:id="21"/>
      <w:bookmarkStart w:id="22" w:name="_Hlt68073093"/>
      <w:bookmarkEnd w:id="22"/>
      <w:bookmarkStart w:id="23" w:name="_Hlt74707468"/>
      <w:bookmarkEnd w:id="23"/>
      <w:bookmarkStart w:id="24" w:name="_Hlt75236101"/>
      <w:bookmarkEnd w:id="24"/>
      <w:bookmarkStart w:id="25" w:name="_Hlt68072990"/>
      <w:bookmarkEnd w:id="25"/>
      <w:bookmarkStart w:id="26" w:name="_Hlt75236011"/>
      <w:bookmarkEnd w:id="26"/>
    </w:p>
    <w:bookmarkEnd w:id="11"/>
    <w:bookmarkEnd w:id="12"/>
    <w:p w14:paraId="08B9FD60">
      <w:pPr>
        <w:spacing w:line="360" w:lineRule="auto"/>
        <w:jc w:val="center"/>
        <w:outlineLvl w:val="0"/>
        <w:rPr>
          <w:rFonts w:ascii="宋体" w:hAnsi="宋体" w:cs="宋体"/>
          <w:b/>
          <w:sz w:val="36"/>
          <w:szCs w:val="36"/>
          <w:highlight w:val="none"/>
        </w:rPr>
      </w:pPr>
      <w:bookmarkStart w:id="27" w:name="第四部分"/>
      <w:r>
        <w:rPr>
          <w:rFonts w:hint="eastAsia" w:ascii="宋体" w:hAnsi="宋体" w:cs="宋体"/>
          <w:b/>
          <w:sz w:val="36"/>
          <w:szCs w:val="36"/>
          <w:highlight w:val="none"/>
        </w:rPr>
        <w:t>第三部分   采购需求</w:t>
      </w:r>
    </w:p>
    <w:p w14:paraId="310C3BEC">
      <w:pPr>
        <w:pStyle w:val="2"/>
        <w:snapToGrid w:val="0"/>
        <w:spacing w:line="560" w:lineRule="exact"/>
        <w:ind w:left="12" w:hanging="12"/>
        <w:rPr>
          <w:rFonts w:hint="eastAsia" w:ascii="宋体" w:hAnsi="宋体" w:eastAsia="宋体" w:cs="宋体"/>
          <w:color w:val="auto"/>
          <w:sz w:val="24"/>
          <w:szCs w:val="24"/>
          <w:highlight w:val="none"/>
          <w:lang w:val="en-US"/>
        </w:rPr>
      </w:pPr>
      <w:r>
        <w:rPr>
          <w:rFonts w:hint="eastAsia" w:ascii="宋体" w:hAnsi="宋体" w:eastAsia="宋体" w:cs="宋体"/>
          <w:b/>
          <w:bCs/>
          <w:color w:val="auto"/>
          <w:kern w:val="0"/>
          <w:sz w:val="22"/>
          <w:highlight w:val="none"/>
        </w:rPr>
        <w:t>一、</w:t>
      </w:r>
      <w:r>
        <w:rPr>
          <w:rFonts w:hint="eastAsia" w:ascii="宋体" w:hAnsi="宋体" w:eastAsia="宋体" w:cs="宋体"/>
          <w:color w:val="auto"/>
          <w:sz w:val="24"/>
          <w:szCs w:val="24"/>
          <w:highlight w:val="none"/>
          <w:lang w:val="en-US"/>
        </w:rPr>
        <w:t>项目基本情况</w:t>
      </w:r>
    </w:p>
    <w:p w14:paraId="3840F116">
      <w:pPr>
        <w:pStyle w:val="130"/>
        <w:snapToGrid w:val="0"/>
        <w:spacing w:before="0" w:line="560" w:lineRule="exact"/>
        <w:ind w:firstLine="0" w:firstLineChars="0"/>
        <w:outlineLvl w:val="1"/>
        <w:rPr>
          <w:rFonts w:hint="eastAsia" w:ascii="宋体" w:hAnsi="宋体" w:eastAsia="宋体" w:cs="宋体"/>
          <w:color w:val="auto"/>
          <w:szCs w:val="24"/>
          <w:highlight w:val="none"/>
          <w:lang w:val="zh-CN"/>
        </w:rPr>
      </w:pPr>
      <w:bookmarkStart w:id="28" w:name="_Toc250317833"/>
      <w:bookmarkStart w:id="29" w:name="_Toc82873318"/>
      <w:bookmarkStart w:id="30" w:name="_Toc174420628"/>
      <w:bookmarkStart w:id="31" w:name="_Toc82338235"/>
      <w:r>
        <w:rPr>
          <w:rFonts w:hint="eastAsia" w:ascii="宋体" w:hAnsi="宋体" w:eastAsia="宋体" w:cs="宋体"/>
          <w:color w:val="auto"/>
          <w:szCs w:val="24"/>
          <w:highlight w:val="none"/>
          <w:lang w:val="zh-CN"/>
        </w:rPr>
        <w:t>（一）相关法规、管理条例与技术标准、行业规范</w:t>
      </w:r>
      <w:bookmarkEnd w:id="28"/>
      <w:bookmarkEnd w:id="29"/>
      <w:bookmarkEnd w:id="30"/>
      <w:bookmarkEnd w:id="31"/>
    </w:p>
    <w:p w14:paraId="0CCA66FE">
      <w:pPr>
        <w:snapToGrid w:val="0"/>
        <w:spacing w:line="5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1.《物业管理条例》；</w:t>
      </w:r>
    </w:p>
    <w:p w14:paraId="3F3AD316">
      <w:pPr>
        <w:snapToGrid w:val="0"/>
        <w:spacing w:line="5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2.《物业服务收费明码标价规定》</w:t>
      </w:r>
    </w:p>
    <w:p w14:paraId="4CFF2A7C">
      <w:pPr>
        <w:snapToGrid w:val="0"/>
        <w:spacing w:line="5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3.国家规定的标准和规范，有新标准按新标准执行；</w:t>
      </w:r>
    </w:p>
    <w:p w14:paraId="281F8474">
      <w:pPr>
        <w:snapToGrid w:val="0"/>
        <w:spacing w:line="5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4.行业标准及规范，有新标准按新标准执行；</w:t>
      </w:r>
    </w:p>
    <w:p w14:paraId="355C0266">
      <w:pPr>
        <w:snapToGrid w:val="0"/>
        <w:spacing w:line="5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5.其他相关标准。</w:t>
      </w:r>
    </w:p>
    <w:p w14:paraId="421DDD7C">
      <w:pPr>
        <w:snapToGrid w:val="0"/>
        <w:spacing w:line="560" w:lineRule="exact"/>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（二）</w:t>
      </w:r>
      <w:r>
        <w:rPr>
          <w:rFonts w:hint="eastAsia" w:ascii="宋体" w:hAnsi="宋体" w:eastAsia="宋体" w:cs="宋体"/>
          <w:color w:val="auto"/>
          <w:sz w:val="24"/>
          <w:highlight w:val="none"/>
          <w:lang w:val="zh-CN"/>
        </w:rPr>
        <w:t>项目简介</w:t>
      </w:r>
      <w:r>
        <w:rPr>
          <w:rFonts w:hint="eastAsia" w:ascii="宋体" w:hAnsi="宋体" w:eastAsia="宋体" w:cs="宋体"/>
          <w:color w:val="auto"/>
          <w:sz w:val="24"/>
          <w:highlight w:val="none"/>
        </w:rPr>
        <w:t xml:space="preserve"> </w:t>
      </w:r>
    </w:p>
    <w:p w14:paraId="0CE37E12">
      <w:pPr>
        <w:snapToGrid w:val="0"/>
        <w:spacing w:line="560" w:lineRule="exact"/>
        <w:ind w:firstLine="480"/>
        <w:rPr>
          <w:rFonts w:hint="eastAsia" w:ascii="宋体" w:hAnsi="宋体" w:eastAsia="宋体" w:cs="宋体"/>
          <w:color w:val="auto"/>
          <w:sz w:val="24"/>
          <w:highlight w:val="none"/>
          <w:lang w:val="en-US" w:eastAsia="zh-CN"/>
        </w:rPr>
      </w:pPr>
      <w:bookmarkStart w:id="32" w:name="OLE_LINK1"/>
      <w:r>
        <w:rPr>
          <w:rFonts w:hint="eastAsia" w:ascii="宋体" w:hAnsi="宋体" w:eastAsia="宋体" w:cs="宋体"/>
          <w:color w:val="auto"/>
          <w:sz w:val="24"/>
          <w:highlight w:val="none"/>
          <w:lang w:eastAsia="zh-CN"/>
        </w:rPr>
        <w:t>项目预算</w:t>
      </w:r>
      <w:r>
        <w:rPr>
          <w:rFonts w:hint="eastAsia" w:ascii="宋体" w:hAnsi="宋体" w:eastAsia="宋体" w:cs="宋体"/>
          <w:color w:val="auto"/>
          <w:sz w:val="24"/>
          <w:highlight w:val="none"/>
          <w:lang w:val="en-US" w:eastAsia="zh-CN"/>
        </w:rPr>
        <w:t>674</w:t>
      </w:r>
      <w:r>
        <w:rPr>
          <w:rFonts w:hint="eastAsia" w:ascii="宋体" w:hAnsi="宋体" w:cs="宋体"/>
          <w:color w:val="auto"/>
          <w:sz w:val="24"/>
          <w:highlight w:val="none"/>
          <w:lang w:val="en-US" w:eastAsia="zh-CN"/>
        </w:rPr>
        <w:t>0000</w:t>
      </w:r>
      <w:r>
        <w:rPr>
          <w:rFonts w:hint="eastAsia" w:ascii="宋体" w:hAnsi="宋体" w:eastAsia="宋体" w:cs="宋体"/>
          <w:color w:val="auto"/>
          <w:sz w:val="24"/>
          <w:highlight w:val="none"/>
          <w:lang w:val="en-US" w:eastAsia="zh-CN"/>
        </w:rPr>
        <w:t>元</w:t>
      </w:r>
      <w:r>
        <w:rPr>
          <w:rFonts w:hint="eastAsia" w:ascii="宋体" w:hAnsi="宋体" w:cs="宋体"/>
          <w:color w:val="auto"/>
          <w:sz w:val="24"/>
          <w:highlight w:val="none"/>
          <w:lang w:val="en-US" w:eastAsia="zh-CN"/>
        </w:rPr>
        <w:t>/年</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其中街巷保洁</w:t>
      </w:r>
      <w:r>
        <w:rPr>
          <w:rFonts w:hint="eastAsia" w:ascii="宋体" w:hAnsi="宋体" w:eastAsia="宋体" w:cs="宋体"/>
          <w:color w:val="auto"/>
          <w:sz w:val="24"/>
          <w:highlight w:val="none"/>
          <w:lang w:val="en-US" w:eastAsia="zh-CN"/>
        </w:rPr>
        <w:t>2573685.3365元/年;</w:t>
      </w:r>
      <w:r>
        <w:rPr>
          <w:rFonts w:hint="eastAsia" w:ascii="宋体" w:hAnsi="宋体" w:eastAsia="宋体" w:cs="宋体"/>
          <w:color w:val="auto"/>
          <w:sz w:val="24"/>
          <w:highlight w:val="none"/>
        </w:rPr>
        <w:t>老旧小区物业费收取按0.56/平方米15%计623209元</w:t>
      </w:r>
      <w:r>
        <w:rPr>
          <w:rFonts w:hint="eastAsia" w:ascii="宋体" w:hAnsi="宋体" w:eastAsia="宋体" w:cs="宋体"/>
          <w:color w:val="auto"/>
          <w:sz w:val="24"/>
          <w:highlight w:val="none"/>
          <w:lang w:val="en-US" w:eastAsia="zh-CN"/>
        </w:rPr>
        <w:t>/年</w:t>
      </w:r>
      <w:r>
        <w:rPr>
          <w:rFonts w:hint="eastAsia" w:ascii="宋体" w:hAnsi="宋体" w:eastAsia="宋体" w:cs="宋体"/>
          <w:color w:val="auto"/>
          <w:sz w:val="24"/>
          <w:highlight w:val="none"/>
        </w:rPr>
        <w:t>，停车费为958503元</w:t>
      </w:r>
      <w:r>
        <w:rPr>
          <w:rFonts w:hint="eastAsia" w:ascii="宋体" w:hAnsi="宋体" w:eastAsia="宋体" w:cs="宋体"/>
          <w:color w:val="auto"/>
          <w:sz w:val="24"/>
          <w:highlight w:val="none"/>
          <w:lang w:val="en-US" w:eastAsia="zh-CN"/>
        </w:rPr>
        <w:t>/年</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物业费与停车费如有超出部分归乙方所有。</w:t>
      </w:r>
      <w:r>
        <w:rPr>
          <w:rFonts w:hint="eastAsia" w:ascii="宋体" w:hAnsi="宋体" w:eastAsia="宋体" w:cs="宋体"/>
          <w:color w:val="auto"/>
          <w:sz w:val="24"/>
          <w:highlight w:val="none"/>
        </w:rPr>
        <w:t>街道办事处补贴人民币元</w:t>
      </w:r>
      <w:r>
        <w:rPr>
          <w:rFonts w:hint="eastAsia" w:ascii="宋体" w:hAnsi="宋体" w:eastAsia="宋体" w:cs="宋体"/>
          <w:color w:val="auto"/>
          <w:sz w:val="24"/>
          <w:highlight w:val="none"/>
          <w:lang w:val="en-US" w:eastAsia="zh-CN"/>
        </w:rPr>
        <w:t>2584602.6635</w:t>
      </w:r>
      <w:r>
        <w:rPr>
          <w:rFonts w:hint="eastAsia" w:ascii="宋体" w:hAnsi="宋体" w:eastAsia="宋体" w:cs="宋体"/>
          <w:color w:val="auto"/>
          <w:sz w:val="24"/>
          <w:highlight w:val="none"/>
        </w:rPr>
        <w:t>元</w:t>
      </w:r>
      <w:r>
        <w:rPr>
          <w:rFonts w:hint="eastAsia" w:ascii="宋体" w:hAnsi="宋体" w:eastAsia="宋体" w:cs="宋体"/>
          <w:color w:val="auto"/>
          <w:sz w:val="24"/>
          <w:highlight w:val="none"/>
          <w:lang w:val="en-US" w:eastAsia="zh-CN"/>
        </w:rPr>
        <w:t>/年。</w:t>
      </w:r>
    </w:p>
    <w:p w14:paraId="5C7ECB25">
      <w:pPr>
        <w:snapToGrid w:val="0"/>
        <w:spacing w:line="560" w:lineRule="exact"/>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服务经费采用先服务后拨付的方式，次月10日（遇节假日顺延）前按合同期月平均经费的70%拨付；合同期月平均经费的20%作为月度考核，按月度考核成绩第三个月10日（遇节假日顺延）前发放；剩余部分10%作为年终考核，在年度期满按年度考核成绩公布后的第六个月内一次性奖励或扣除。最终考核扣款以社区盖章签字的考核表为依据，街道统筹。</w:t>
      </w:r>
    </w:p>
    <w:p w14:paraId="232A1DCF">
      <w:pPr>
        <w:snapToGrid w:val="0"/>
        <w:spacing w:line="5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杭州市上城区小营街道南片区由金钱巷、长明寺巷、茅廊巷、姚园寺巷、西牌楼、梅花碑6个社区组成，东至江</w:t>
      </w:r>
      <w:r>
        <w:rPr>
          <w:rFonts w:hint="eastAsia" w:ascii="宋体" w:hAnsi="宋体" w:cs="宋体"/>
          <w:color w:val="auto"/>
          <w:sz w:val="24"/>
          <w:highlight w:val="none"/>
          <w:lang w:eastAsia="zh-CN"/>
        </w:rPr>
        <w:t>城</w:t>
      </w:r>
      <w:r>
        <w:rPr>
          <w:rFonts w:hint="eastAsia" w:ascii="宋体" w:hAnsi="宋体" w:eastAsia="宋体" w:cs="宋体"/>
          <w:color w:val="auto"/>
          <w:sz w:val="24"/>
          <w:highlight w:val="none"/>
        </w:rPr>
        <w:t>路，南至望江路，西至中河中路，北至解放路；面积1.455平方千米；总住户12421户、楼道646个，楼道灯约4171盏，停车位713个，绿化保洁面积59312平方米。</w:t>
      </w:r>
    </w:p>
    <w:p w14:paraId="68BB3E41">
      <w:pPr>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社区主要包括多层住宅、平房住宅、公寓、医院、学校等物业类型，其中房屋建筑多以板楼、板塔结合结构为主。物业建筑年代多集中在80-90年代，绿化覆盖率达到30%。</w:t>
      </w:r>
      <w:bookmarkEnd w:id="32"/>
    </w:p>
    <w:tbl>
      <w:tblPr>
        <w:tblStyle w:val="65"/>
        <w:tblW w:w="8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75"/>
        <w:gridCol w:w="6106"/>
      </w:tblGrid>
      <w:tr w14:paraId="4C399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10DCB5F1">
            <w:pPr>
              <w:snapToGrid w:val="0"/>
              <w:spacing w:line="560" w:lineRule="exact"/>
              <w:jc w:val="center"/>
              <w:rPr>
                <w:rFonts w:hint="eastAsia" w:ascii="仿宋_GB2312" w:hAnsi="仿宋_GB2312" w:eastAsia="仿宋_GB2312" w:cs="仿宋_GB2312"/>
                <w:b/>
                <w:bCs/>
                <w:color w:val="auto"/>
                <w:sz w:val="24"/>
                <w:szCs w:val="24"/>
                <w:highlight w:val="none"/>
                <w:vertAlign w:val="baseline"/>
              </w:rPr>
            </w:pPr>
            <w:r>
              <w:rPr>
                <w:rFonts w:hint="eastAsia"/>
                <w:b/>
                <w:bCs/>
                <w:sz w:val="24"/>
                <w:szCs w:val="24"/>
              </w:rPr>
              <w:t>序号</w:t>
            </w:r>
          </w:p>
        </w:tc>
        <w:tc>
          <w:tcPr>
            <w:tcW w:w="1575" w:type="dxa"/>
            <w:vAlign w:val="center"/>
          </w:tcPr>
          <w:p w14:paraId="27E44713">
            <w:pPr>
              <w:snapToGrid w:val="0"/>
              <w:spacing w:line="560" w:lineRule="exact"/>
              <w:jc w:val="center"/>
              <w:rPr>
                <w:rFonts w:hint="eastAsia" w:ascii="仿宋_GB2312" w:hAnsi="仿宋_GB2312" w:eastAsia="仿宋_GB2312" w:cs="仿宋_GB2312"/>
                <w:b/>
                <w:bCs/>
                <w:color w:val="auto"/>
                <w:sz w:val="24"/>
                <w:szCs w:val="24"/>
                <w:highlight w:val="none"/>
                <w:vertAlign w:val="baseline"/>
              </w:rPr>
            </w:pPr>
            <w:r>
              <w:rPr>
                <w:rFonts w:hint="eastAsia"/>
                <w:b/>
                <w:bCs/>
                <w:sz w:val="24"/>
                <w:szCs w:val="24"/>
              </w:rPr>
              <w:t>社区</w:t>
            </w:r>
          </w:p>
        </w:tc>
        <w:tc>
          <w:tcPr>
            <w:tcW w:w="6106" w:type="dxa"/>
            <w:vAlign w:val="center"/>
          </w:tcPr>
          <w:p w14:paraId="0FC21814">
            <w:pPr>
              <w:snapToGrid w:val="0"/>
              <w:spacing w:line="560" w:lineRule="exact"/>
              <w:jc w:val="center"/>
              <w:rPr>
                <w:rFonts w:hint="eastAsia" w:ascii="仿宋_GB2312" w:hAnsi="仿宋_GB2312" w:eastAsia="仿宋_GB2312" w:cs="仿宋_GB2312"/>
                <w:b/>
                <w:bCs/>
                <w:color w:val="auto"/>
                <w:sz w:val="24"/>
                <w:szCs w:val="24"/>
                <w:highlight w:val="none"/>
                <w:vertAlign w:val="baseline"/>
              </w:rPr>
            </w:pPr>
            <w:r>
              <w:rPr>
                <w:rFonts w:hint="eastAsia"/>
                <w:b/>
                <w:bCs/>
                <w:sz w:val="24"/>
                <w:szCs w:val="24"/>
              </w:rPr>
              <w:t>准物业区域小区</w:t>
            </w:r>
          </w:p>
        </w:tc>
      </w:tr>
      <w:tr w14:paraId="0AF02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7255A01C">
            <w:pPr>
              <w:widowControl/>
              <w:jc w:val="center"/>
              <w:textAlignment w:val="center"/>
              <w:rPr>
                <w:rFonts w:hint="eastAsia" w:ascii="仿宋_GB2312" w:hAnsi="仿宋_GB2312" w:eastAsia="仿宋_GB2312" w:cs="仿宋_GB2312"/>
                <w:color w:val="auto"/>
                <w:sz w:val="21"/>
                <w:szCs w:val="21"/>
                <w:highlight w:val="none"/>
                <w:vertAlign w:val="baseline"/>
                <w:lang w:eastAsia="zh-CN"/>
              </w:rPr>
            </w:pPr>
            <w:r>
              <w:rPr>
                <w:rFonts w:hint="eastAsia" w:ascii="宋体" w:hAnsi="宋体" w:cs="宋体"/>
                <w:color w:val="auto"/>
                <w:kern w:val="0"/>
                <w:sz w:val="21"/>
                <w:szCs w:val="21"/>
                <w:highlight w:val="none"/>
                <w:lang w:bidi="ar"/>
              </w:rPr>
              <w:t>1</w:t>
            </w:r>
          </w:p>
        </w:tc>
        <w:tc>
          <w:tcPr>
            <w:tcW w:w="1575" w:type="dxa"/>
            <w:vAlign w:val="center"/>
          </w:tcPr>
          <w:p w14:paraId="2ABDBA39">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金钱巷社区</w:t>
            </w:r>
          </w:p>
        </w:tc>
        <w:tc>
          <w:tcPr>
            <w:tcW w:w="6106" w:type="dxa"/>
            <w:vAlign w:val="center"/>
          </w:tcPr>
          <w:p w14:paraId="26720FAA">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南班巷小区</w:t>
            </w:r>
          </w:p>
        </w:tc>
      </w:tr>
      <w:tr w14:paraId="120AC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142FC19E">
            <w:pPr>
              <w:widowControl/>
              <w:jc w:val="center"/>
              <w:textAlignment w:val="center"/>
              <w:rPr>
                <w:rFonts w:hint="eastAsia" w:ascii="仿宋_GB2312" w:hAnsi="仿宋_GB2312" w:eastAsia="仿宋_GB2312" w:cs="仿宋_GB2312"/>
                <w:color w:val="auto"/>
                <w:sz w:val="21"/>
                <w:szCs w:val="21"/>
                <w:highlight w:val="none"/>
                <w:vertAlign w:val="baseline"/>
                <w:lang w:val="en-US" w:eastAsia="zh-CN"/>
              </w:rPr>
            </w:pPr>
            <w:r>
              <w:rPr>
                <w:rFonts w:hint="eastAsia" w:ascii="宋体" w:hAnsi="宋体" w:cs="宋体"/>
                <w:color w:val="auto"/>
                <w:kern w:val="0"/>
                <w:sz w:val="21"/>
                <w:szCs w:val="21"/>
                <w:highlight w:val="none"/>
                <w:lang w:bidi="ar"/>
              </w:rPr>
              <w:t>2</w:t>
            </w:r>
          </w:p>
        </w:tc>
        <w:tc>
          <w:tcPr>
            <w:tcW w:w="1575" w:type="dxa"/>
            <w:vAlign w:val="center"/>
          </w:tcPr>
          <w:p w14:paraId="389A5400">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金钱巷社区</w:t>
            </w:r>
          </w:p>
        </w:tc>
        <w:tc>
          <w:tcPr>
            <w:tcW w:w="6106" w:type="dxa"/>
            <w:vAlign w:val="center"/>
          </w:tcPr>
          <w:p w14:paraId="657312E8">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严衙弄小区</w:t>
            </w:r>
          </w:p>
        </w:tc>
      </w:tr>
      <w:tr w14:paraId="154B7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1BA3F7DC">
            <w:pPr>
              <w:widowControl/>
              <w:jc w:val="center"/>
              <w:textAlignment w:val="center"/>
              <w:rPr>
                <w:rFonts w:hint="eastAsia" w:ascii="仿宋_GB2312" w:hAnsi="仿宋_GB2312" w:eastAsia="仿宋_GB2312" w:cs="仿宋_GB2312"/>
                <w:color w:val="auto"/>
                <w:sz w:val="21"/>
                <w:szCs w:val="21"/>
                <w:highlight w:val="none"/>
                <w:vertAlign w:val="baseline"/>
                <w:lang w:eastAsia="zh-CN"/>
              </w:rPr>
            </w:pPr>
            <w:r>
              <w:rPr>
                <w:rFonts w:hint="eastAsia" w:ascii="宋体" w:hAnsi="宋体" w:cs="宋体"/>
                <w:color w:val="auto"/>
                <w:kern w:val="0"/>
                <w:sz w:val="21"/>
                <w:szCs w:val="21"/>
                <w:highlight w:val="none"/>
                <w:lang w:bidi="ar"/>
              </w:rPr>
              <w:t>3</w:t>
            </w:r>
          </w:p>
        </w:tc>
        <w:tc>
          <w:tcPr>
            <w:tcW w:w="1575" w:type="dxa"/>
            <w:vAlign w:val="center"/>
          </w:tcPr>
          <w:p w14:paraId="20CA94A0">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长明寺巷社区</w:t>
            </w:r>
          </w:p>
        </w:tc>
        <w:tc>
          <w:tcPr>
            <w:tcW w:w="6106" w:type="dxa"/>
            <w:vAlign w:val="center"/>
          </w:tcPr>
          <w:p w14:paraId="518E7FA7">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长明寺巷22号小区</w:t>
            </w:r>
          </w:p>
        </w:tc>
      </w:tr>
      <w:tr w14:paraId="023C3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3D63F53C">
            <w:pPr>
              <w:widowControl/>
              <w:jc w:val="center"/>
              <w:textAlignment w:val="center"/>
              <w:rPr>
                <w:rFonts w:hint="eastAsia" w:ascii="仿宋_GB2312" w:hAnsi="仿宋_GB2312" w:eastAsia="仿宋_GB2312" w:cs="仿宋_GB2312"/>
                <w:color w:val="auto"/>
                <w:sz w:val="21"/>
                <w:szCs w:val="21"/>
                <w:highlight w:val="none"/>
                <w:vertAlign w:val="baseline"/>
                <w:lang w:eastAsia="zh-CN"/>
              </w:rPr>
            </w:pPr>
            <w:r>
              <w:rPr>
                <w:rFonts w:hint="eastAsia" w:ascii="宋体" w:hAnsi="宋体" w:cs="宋体"/>
                <w:color w:val="auto"/>
                <w:kern w:val="0"/>
                <w:sz w:val="21"/>
                <w:szCs w:val="21"/>
                <w:highlight w:val="none"/>
                <w:lang w:bidi="ar"/>
              </w:rPr>
              <w:t>4</w:t>
            </w:r>
          </w:p>
        </w:tc>
        <w:tc>
          <w:tcPr>
            <w:tcW w:w="1575" w:type="dxa"/>
            <w:vAlign w:val="center"/>
          </w:tcPr>
          <w:p w14:paraId="52DE5E6C">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长明寺巷社区</w:t>
            </w:r>
          </w:p>
        </w:tc>
        <w:tc>
          <w:tcPr>
            <w:tcW w:w="6106" w:type="dxa"/>
            <w:vAlign w:val="center"/>
          </w:tcPr>
          <w:p w14:paraId="0D1E9A4A">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联珠里小区</w:t>
            </w:r>
          </w:p>
        </w:tc>
      </w:tr>
      <w:tr w14:paraId="6D892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14C49437">
            <w:pPr>
              <w:widowControl/>
              <w:jc w:val="center"/>
              <w:textAlignment w:val="center"/>
              <w:rPr>
                <w:rFonts w:hint="eastAsia" w:ascii="仿宋_GB2312" w:hAnsi="仿宋_GB2312" w:eastAsia="仿宋_GB2312" w:cs="仿宋_GB2312"/>
                <w:color w:val="auto"/>
                <w:sz w:val="21"/>
                <w:szCs w:val="21"/>
                <w:highlight w:val="none"/>
                <w:vertAlign w:val="baseline"/>
                <w:lang w:val="en-US" w:eastAsia="zh-CN"/>
              </w:rPr>
            </w:pPr>
            <w:r>
              <w:rPr>
                <w:rFonts w:hint="eastAsia" w:ascii="宋体" w:hAnsi="宋体" w:cs="宋体"/>
                <w:color w:val="auto"/>
                <w:kern w:val="0"/>
                <w:sz w:val="21"/>
                <w:szCs w:val="21"/>
                <w:highlight w:val="none"/>
                <w:lang w:bidi="ar"/>
              </w:rPr>
              <w:t>5</w:t>
            </w:r>
          </w:p>
        </w:tc>
        <w:tc>
          <w:tcPr>
            <w:tcW w:w="1575" w:type="dxa"/>
            <w:vAlign w:val="center"/>
          </w:tcPr>
          <w:p w14:paraId="302E80CF">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长明寺巷社区</w:t>
            </w:r>
          </w:p>
        </w:tc>
        <w:tc>
          <w:tcPr>
            <w:tcW w:w="6106" w:type="dxa"/>
            <w:vAlign w:val="center"/>
          </w:tcPr>
          <w:p w14:paraId="304BF918">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小米巷小区</w:t>
            </w:r>
          </w:p>
        </w:tc>
      </w:tr>
      <w:tr w14:paraId="2F652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041E9A8D">
            <w:pPr>
              <w:widowControl/>
              <w:jc w:val="center"/>
              <w:textAlignment w:val="center"/>
              <w:rPr>
                <w:rFonts w:hint="eastAsia" w:ascii="仿宋_GB2312" w:hAnsi="仿宋_GB2312" w:eastAsia="仿宋_GB2312" w:cs="仿宋_GB2312"/>
                <w:color w:val="auto"/>
                <w:sz w:val="21"/>
                <w:szCs w:val="21"/>
                <w:highlight w:val="none"/>
                <w:vertAlign w:val="baseline"/>
              </w:rPr>
            </w:pPr>
            <w:r>
              <w:rPr>
                <w:rFonts w:hint="eastAsia" w:ascii="宋体" w:hAnsi="宋体" w:cs="宋体"/>
                <w:color w:val="auto"/>
                <w:kern w:val="0"/>
                <w:sz w:val="21"/>
                <w:szCs w:val="21"/>
                <w:highlight w:val="none"/>
                <w:lang w:bidi="ar"/>
              </w:rPr>
              <w:t>6</w:t>
            </w:r>
          </w:p>
        </w:tc>
        <w:tc>
          <w:tcPr>
            <w:tcW w:w="1575" w:type="dxa"/>
            <w:vAlign w:val="center"/>
          </w:tcPr>
          <w:p w14:paraId="5DFA710A">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长明寺巷社区</w:t>
            </w:r>
          </w:p>
        </w:tc>
        <w:tc>
          <w:tcPr>
            <w:tcW w:w="6106" w:type="dxa"/>
            <w:vAlign w:val="center"/>
          </w:tcPr>
          <w:p w14:paraId="37EBC1B6">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长庆里小区</w:t>
            </w:r>
          </w:p>
        </w:tc>
      </w:tr>
      <w:tr w14:paraId="0FA37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6AD2D0B1">
            <w:pPr>
              <w:widowControl/>
              <w:jc w:val="center"/>
              <w:textAlignment w:val="center"/>
              <w:rPr>
                <w:rFonts w:hint="eastAsia" w:ascii="仿宋_GB2312" w:hAnsi="仿宋_GB2312" w:eastAsia="仿宋_GB2312" w:cs="仿宋_GB2312"/>
                <w:color w:val="auto"/>
                <w:sz w:val="21"/>
                <w:szCs w:val="21"/>
                <w:highlight w:val="none"/>
                <w:vertAlign w:val="baseline"/>
              </w:rPr>
            </w:pPr>
            <w:r>
              <w:rPr>
                <w:rFonts w:hint="eastAsia" w:ascii="宋体" w:hAnsi="宋体" w:cs="宋体"/>
                <w:color w:val="auto"/>
                <w:kern w:val="0"/>
                <w:sz w:val="21"/>
                <w:szCs w:val="21"/>
                <w:highlight w:val="none"/>
                <w:lang w:bidi="ar"/>
              </w:rPr>
              <w:t>7</w:t>
            </w:r>
          </w:p>
        </w:tc>
        <w:tc>
          <w:tcPr>
            <w:tcW w:w="1575" w:type="dxa"/>
            <w:vAlign w:val="center"/>
          </w:tcPr>
          <w:p w14:paraId="392627C4">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长明寺巷社区</w:t>
            </w:r>
          </w:p>
        </w:tc>
        <w:tc>
          <w:tcPr>
            <w:tcW w:w="6106" w:type="dxa"/>
            <w:vAlign w:val="center"/>
          </w:tcPr>
          <w:p w14:paraId="066564A7">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清泰街小区</w:t>
            </w:r>
          </w:p>
        </w:tc>
      </w:tr>
      <w:tr w14:paraId="120FF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230759C0">
            <w:pPr>
              <w:widowControl/>
              <w:jc w:val="center"/>
              <w:textAlignment w:val="center"/>
              <w:rPr>
                <w:rFonts w:hint="eastAsia" w:ascii="仿宋_GB2312" w:hAnsi="仿宋_GB2312" w:eastAsia="仿宋_GB2312" w:cs="仿宋_GB2312"/>
                <w:color w:val="auto"/>
                <w:sz w:val="21"/>
                <w:szCs w:val="21"/>
                <w:highlight w:val="none"/>
                <w:vertAlign w:val="baseline"/>
              </w:rPr>
            </w:pPr>
            <w:r>
              <w:rPr>
                <w:rFonts w:hint="eastAsia" w:ascii="宋体" w:hAnsi="宋体" w:cs="宋体"/>
                <w:color w:val="auto"/>
                <w:kern w:val="0"/>
                <w:sz w:val="21"/>
                <w:szCs w:val="21"/>
                <w:highlight w:val="none"/>
                <w:lang w:bidi="ar"/>
              </w:rPr>
              <w:t>8</w:t>
            </w:r>
          </w:p>
        </w:tc>
        <w:tc>
          <w:tcPr>
            <w:tcW w:w="1575" w:type="dxa"/>
            <w:vAlign w:val="center"/>
          </w:tcPr>
          <w:p w14:paraId="61A306DA">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长明寺巷社区</w:t>
            </w:r>
          </w:p>
        </w:tc>
        <w:tc>
          <w:tcPr>
            <w:tcW w:w="6106" w:type="dxa"/>
            <w:vAlign w:val="center"/>
          </w:tcPr>
          <w:p w14:paraId="5CE2B13A">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锅子弄小区</w:t>
            </w:r>
          </w:p>
        </w:tc>
      </w:tr>
      <w:tr w14:paraId="51D58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36315627">
            <w:pPr>
              <w:widowControl/>
              <w:jc w:val="center"/>
              <w:textAlignment w:val="center"/>
              <w:rPr>
                <w:rFonts w:hint="eastAsia" w:ascii="仿宋_GB2312" w:hAnsi="仿宋_GB2312" w:eastAsia="仿宋_GB2312" w:cs="仿宋_GB2312"/>
                <w:color w:val="auto"/>
                <w:sz w:val="21"/>
                <w:szCs w:val="21"/>
                <w:highlight w:val="none"/>
                <w:vertAlign w:val="baseline"/>
              </w:rPr>
            </w:pPr>
            <w:r>
              <w:rPr>
                <w:rFonts w:hint="eastAsia" w:ascii="宋体" w:hAnsi="宋体" w:cs="宋体"/>
                <w:color w:val="auto"/>
                <w:kern w:val="0"/>
                <w:sz w:val="21"/>
                <w:szCs w:val="21"/>
                <w:highlight w:val="none"/>
                <w:lang w:bidi="ar"/>
              </w:rPr>
              <w:t>9</w:t>
            </w:r>
          </w:p>
        </w:tc>
        <w:tc>
          <w:tcPr>
            <w:tcW w:w="1575" w:type="dxa"/>
            <w:vAlign w:val="center"/>
          </w:tcPr>
          <w:p w14:paraId="73424784">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茅廊巷社区</w:t>
            </w:r>
          </w:p>
        </w:tc>
        <w:tc>
          <w:tcPr>
            <w:tcW w:w="6106" w:type="dxa"/>
            <w:vAlign w:val="center"/>
          </w:tcPr>
          <w:p w14:paraId="6107B36E">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民权路7、9号</w:t>
            </w:r>
          </w:p>
        </w:tc>
      </w:tr>
      <w:tr w14:paraId="42C3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20AFAF8A">
            <w:pPr>
              <w:widowControl/>
              <w:jc w:val="center"/>
              <w:textAlignment w:val="center"/>
              <w:rPr>
                <w:rFonts w:hint="eastAsia" w:ascii="仿宋_GB2312" w:hAnsi="仿宋_GB2312" w:eastAsia="仿宋_GB2312" w:cs="仿宋_GB2312"/>
                <w:color w:val="auto"/>
                <w:sz w:val="21"/>
                <w:szCs w:val="21"/>
                <w:highlight w:val="none"/>
                <w:vertAlign w:val="baseline"/>
              </w:rPr>
            </w:pPr>
            <w:r>
              <w:rPr>
                <w:rFonts w:hint="eastAsia" w:ascii="宋体" w:hAnsi="宋体" w:cs="宋体"/>
                <w:color w:val="auto"/>
                <w:kern w:val="0"/>
                <w:sz w:val="21"/>
                <w:szCs w:val="21"/>
                <w:highlight w:val="none"/>
                <w:lang w:bidi="ar"/>
              </w:rPr>
              <w:t>10</w:t>
            </w:r>
          </w:p>
        </w:tc>
        <w:tc>
          <w:tcPr>
            <w:tcW w:w="1575" w:type="dxa"/>
            <w:vAlign w:val="center"/>
          </w:tcPr>
          <w:p w14:paraId="2154C7E5">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茅廊巷社区</w:t>
            </w:r>
          </w:p>
        </w:tc>
        <w:tc>
          <w:tcPr>
            <w:tcW w:w="6106" w:type="dxa"/>
            <w:vAlign w:val="center"/>
          </w:tcPr>
          <w:p w14:paraId="00CAFF98">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状元弄</w:t>
            </w:r>
          </w:p>
        </w:tc>
      </w:tr>
      <w:tr w14:paraId="21010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63DF3BD7">
            <w:pPr>
              <w:widowControl/>
              <w:jc w:val="center"/>
              <w:textAlignment w:val="center"/>
              <w:rPr>
                <w:rFonts w:hint="eastAsia" w:ascii="仿宋_GB2312" w:hAnsi="仿宋_GB2312" w:eastAsia="仿宋_GB2312" w:cs="仿宋_GB2312"/>
                <w:color w:val="auto"/>
                <w:sz w:val="21"/>
                <w:szCs w:val="21"/>
                <w:highlight w:val="none"/>
                <w:vertAlign w:val="baseline"/>
              </w:rPr>
            </w:pPr>
            <w:r>
              <w:rPr>
                <w:rFonts w:hint="eastAsia" w:ascii="宋体" w:hAnsi="宋体" w:cs="宋体"/>
                <w:color w:val="auto"/>
                <w:kern w:val="0"/>
                <w:sz w:val="21"/>
                <w:szCs w:val="21"/>
                <w:highlight w:val="none"/>
                <w:lang w:bidi="ar"/>
              </w:rPr>
              <w:t>11</w:t>
            </w:r>
          </w:p>
        </w:tc>
        <w:tc>
          <w:tcPr>
            <w:tcW w:w="1575" w:type="dxa"/>
            <w:vAlign w:val="center"/>
          </w:tcPr>
          <w:p w14:paraId="42459B1B">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茅廊巷社区</w:t>
            </w:r>
          </w:p>
        </w:tc>
        <w:tc>
          <w:tcPr>
            <w:tcW w:w="6106" w:type="dxa"/>
            <w:vAlign w:val="center"/>
          </w:tcPr>
          <w:p w14:paraId="37C246C8">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民生路</w:t>
            </w:r>
          </w:p>
        </w:tc>
      </w:tr>
      <w:tr w14:paraId="29E96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2782CB04">
            <w:pPr>
              <w:widowControl/>
              <w:jc w:val="center"/>
              <w:textAlignment w:val="center"/>
              <w:rPr>
                <w:rFonts w:hint="eastAsia" w:ascii="仿宋_GB2312" w:hAnsi="仿宋_GB2312" w:eastAsia="仿宋_GB2312" w:cs="仿宋_GB2312"/>
                <w:color w:val="auto"/>
                <w:sz w:val="21"/>
                <w:szCs w:val="21"/>
                <w:highlight w:val="none"/>
                <w:vertAlign w:val="baseline"/>
              </w:rPr>
            </w:pPr>
            <w:r>
              <w:rPr>
                <w:rFonts w:hint="eastAsia" w:ascii="宋体" w:hAnsi="宋体" w:cs="宋体"/>
                <w:color w:val="auto"/>
                <w:kern w:val="0"/>
                <w:sz w:val="21"/>
                <w:szCs w:val="21"/>
                <w:highlight w:val="none"/>
                <w:lang w:bidi="ar"/>
              </w:rPr>
              <w:t>12</w:t>
            </w:r>
          </w:p>
        </w:tc>
        <w:tc>
          <w:tcPr>
            <w:tcW w:w="1575" w:type="dxa"/>
            <w:vAlign w:val="center"/>
          </w:tcPr>
          <w:p w14:paraId="46B38A20">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茅廊巷社区</w:t>
            </w:r>
          </w:p>
        </w:tc>
        <w:tc>
          <w:tcPr>
            <w:tcW w:w="6106" w:type="dxa"/>
            <w:vAlign w:val="center"/>
          </w:tcPr>
          <w:p w14:paraId="31F09919">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丰家兜</w:t>
            </w:r>
          </w:p>
        </w:tc>
      </w:tr>
      <w:tr w14:paraId="74F8C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1591DD92">
            <w:pPr>
              <w:widowControl/>
              <w:jc w:val="center"/>
              <w:textAlignment w:val="center"/>
              <w:rPr>
                <w:rFonts w:hint="eastAsia" w:ascii="仿宋_GB2312" w:hAnsi="仿宋_GB2312" w:eastAsia="仿宋_GB2312" w:cs="仿宋_GB2312"/>
                <w:color w:val="auto"/>
                <w:sz w:val="21"/>
                <w:szCs w:val="21"/>
                <w:highlight w:val="none"/>
                <w:vertAlign w:val="baseline"/>
              </w:rPr>
            </w:pPr>
            <w:r>
              <w:rPr>
                <w:rFonts w:hint="eastAsia" w:ascii="宋体" w:hAnsi="宋体" w:cs="宋体"/>
                <w:color w:val="auto"/>
                <w:kern w:val="0"/>
                <w:sz w:val="21"/>
                <w:szCs w:val="21"/>
                <w:highlight w:val="none"/>
                <w:lang w:bidi="ar"/>
              </w:rPr>
              <w:t>13</w:t>
            </w:r>
          </w:p>
        </w:tc>
        <w:tc>
          <w:tcPr>
            <w:tcW w:w="1575" w:type="dxa"/>
            <w:vAlign w:val="center"/>
          </w:tcPr>
          <w:p w14:paraId="0F8BF954">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茅廊巷社区</w:t>
            </w:r>
          </w:p>
        </w:tc>
        <w:tc>
          <w:tcPr>
            <w:tcW w:w="6106" w:type="dxa"/>
            <w:vAlign w:val="center"/>
          </w:tcPr>
          <w:p w14:paraId="2F7F8854">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丰禾巷</w:t>
            </w:r>
          </w:p>
        </w:tc>
      </w:tr>
      <w:tr w14:paraId="52C1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31895E89">
            <w:pPr>
              <w:widowControl/>
              <w:jc w:val="center"/>
              <w:textAlignment w:val="center"/>
              <w:rPr>
                <w:rFonts w:hint="eastAsia" w:ascii="仿宋_GB2312" w:hAnsi="仿宋_GB2312" w:eastAsia="仿宋_GB2312" w:cs="仿宋_GB2312"/>
                <w:color w:val="auto"/>
                <w:sz w:val="21"/>
                <w:szCs w:val="21"/>
                <w:highlight w:val="none"/>
                <w:vertAlign w:val="baseline"/>
              </w:rPr>
            </w:pPr>
            <w:r>
              <w:rPr>
                <w:rFonts w:hint="eastAsia" w:ascii="宋体" w:hAnsi="宋体" w:cs="宋体"/>
                <w:color w:val="auto"/>
                <w:kern w:val="0"/>
                <w:sz w:val="21"/>
                <w:szCs w:val="21"/>
                <w:highlight w:val="none"/>
                <w:lang w:bidi="ar"/>
              </w:rPr>
              <w:t>14</w:t>
            </w:r>
          </w:p>
        </w:tc>
        <w:tc>
          <w:tcPr>
            <w:tcW w:w="1575" w:type="dxa"/>
            <w:vAlign w:val="center"/>
          </w:tcPr>
          <w:p w14:paraId="34270A7A">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茅廊巷社区</w:t>
            </w:r>
          </w:p>
        </w:tc>
        <w:tc>
          <w:tcPr>
            <w:tcW w:w="6106" w:type="dxa"/>
            <w:vAlign w:val="center"/>
          </w:tcPr>
          <w:p w14:paraId="46566B35">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大东山弄</w:t>
            </w:r>
          </w:p>
        </w:tc>
      </w:tr>
      <w:tr w14:paraId="22EA9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5EE06B2B">
            <w:pPr>
              <w:widowControl/>
              <w:jc w:val="center"/>
              <w:textAlignment w:val="center"/>
              <w:rPr>
                <w:rFonts w:hint="eastAsia" w:ascii="仿宋_GB2312" w:hAnsi="仿宋_GB2312" w:eastAsia="仿宋_GB2312" w:cs="仿宋_GB2312"/>
                <w:color w:val="auto"/>
                <w:sz w:val="21"/>
                <w:szCs w:val="21"/>
                <w:highlight w:val="none"/>
                <w:vertAlign w:val="baseline"/>
              </w:rPr>
            </w:pPr>
            <w:r>
              <w:rPr>
                <w:rFonts w:hint="eastAsia" w:ascii="宋体" w:hAnsi="宋体" w:cs="宋体"/>
                <w:color w:val="auto"/>
                <w:kern w:val="0"/>
                <w:sz w:val="21"/>
                <w:szCs w:val="21"/>
                <w:highlight w:val="none"/>
                <w:lang w:bidi="ar"/>
              </w:rPr>
              <w:t>15</w:t>
            </w:r>
          </w:p>
        </w:tc>
        <w:tc>
          <w:tcPr>
            <w:tcW w:w="1575" w:type="dxa"/>
            <w:vAlign w:val="center"/>
          </w:tcPr>
          <w:p w14:paraId="412901EC">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茅廊巷社区</w:t>
            </w:r>
          </w:p>
        </w:tc>
        <w:tc>
          <w:tcPr>
            <w:tcW w:w="6106" w:type="dxa"/>
            <w:vAlign w:val="center"/>
          </w:tcPr>
          <w:p w14:paraId="55A983CA">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义井巷</w:t>
            </w:r>
          </w:p>
        </w:tc>
      </w:tr>
      <w:tr w14:paraId="63FEF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7B259926">
            <w:pPr>
              <w:widowControl/>
              <w:jc w:val="center"/>
              <w:textAlignment w:val="center"/>
              <w:rPr>
                <w:rFonts w:hint="eastAsia" w:ascii="仿宋_GB2312" w:hAnsi="仿宋_GB2312" w:eastAsia="仿宋_GB2312" w:cs="仿宋_GB2312"/>
                <w:color w:val="auto"/>
                <w:sz w:val="21"/>
                <w:szCs w:val="21"/>
                <w:highlight w:val="none"/>
                <w:vertAlign w:val="baseline"/>
              </w:rPr>
            </w:pPr>
            <w:r>
              <w:rPr>
                <w:rFonts w:hint="eastAsia" w:ascii="宋体" w:hAnsi="宋体" w:cs="宋体"/>
                <w:color w:val="auto"/>
                <w:kern w:val="0"/>
                <w:sz w:val="21"/>
                <w:szCs w:val="21"/>
                <w:highlight w:val="none"/>
                <w:lang w:bidi="ar"/>
              </w:rPr>
              <w:t>16</w:t>
            </w:r>
          </w:p>
        </w:tc>
        <w:tc>
          <w:tcPr>
            <w:tcW w:w="1575" w:type="dxa"/>
            <w:vAlign w:val="center"/>
          </w:tcPr>
          <w:p w14:paraId="4C4D3902">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姚园寺巷</w:t>
            </w:r>
          </w:p>
        </w:tc>
        <w:tc>
          <w:tcPr>
            <w:tcW w:w="6106" w:type="dxa"/>
            <w:vAlign w:val="center"/>
          </w:tcPr>
          <w:p w14:paraId="17042FBD">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建国南苑</w:t>
            </w:r>
          </w:p>
        </w:tc>
      </w:tr>
      <w:tr w14:paraId="4C7D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2625A64F">
            <w:pPr>
              <w:widowControl/>
              <w:jc w:val="center"/>
              <w:textAlignment w:val="center"/>
              <w:rPr>
                <w:rFonts w:hint="eastAsia" w:ascii="仿宋_GB2312" w:hAnsi="仿宋_GB2312" w:eastAsia="仿宋_GB2312" w:cs="仿宋_GB2312"/>
                <w:color w:val="auto"/>
                <w:sz w:val="21"/>
                <w:szCs w:val="21"/>
                <w:highlight w:val="none"/>
                <w:vertAlign w:val="baseline"/>
              </w:rPr>
            </w:pPr>
            <w:r>
              <w:rPr>
                <w:rFonts w:hint="eastAsia" w:ascii="宋体" w:hAnsi="宋体" w:cs="宋体"/>
                <w:color w:val="auto"/>
                <w:kern w:val="0"/>
                <w:sz w:val="21"/>
                <w:szCs w:val="21"/>
                <w:highlight w:val="none"/>
                <w:lang w:bidi="ar"/>
              </w:rPr>
              <w:t>17</w:t>
            </w:r>
          </w:p>
        </w:tc>
        <w:tc>
          <w:tcPr>
            <w:tcW w:w="1575" w:type="dxa"/>
            <w:vAlign w:val="center"/>
          </w:tcPr>
          <w:p w14:paraId="4100AE84">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姚园寺巷</w:t>
            </w:r>
          </w:p>
        </w:tc>
        <w:tc>
          <w:tcPr>
            <w:tcW w:w="6106" w:type="dxa"/>
            <w:vAlign w:val="center"/>
          </w:tcPr>
          <w:p w14:paraId="7558A992">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陆家河头</w:t>
            </w:r>
          </w:p>
        </w:tc>
      </w:tr>
      <w:tr w14:paraId="67320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0099C10D">
            <w:pPr>
              <w:widowControl/>
              <w:jc w:val="center"/>
              <w:textAlignment w:val="center"/>
              <w:rPr>
                <w:rFonts w:hint="eastAsia" w:ascii="仿宋_GB2312" w:hAnsi="仿宋_GB2312" w:eastAsia="仿宋_GB2312" w:cs="仿宋_GB2312"/>
                <w:color w:val="auto"/>
                <w:sz w:val="21"/>
                <w:szCs w:val="21"/>
                <w:highlight w:val="none"/>
                <w:vertAlign w:val="baseline"/>
              </w:rPr>
            </w:pPr>
            <w:r>
              <w:rPr>
                <w:rFonts w:hint="eastAsia" w:ascii="宋体" w:hAnsi="宋体" w:cs="宋体"/>
                <w:color w:val="auto"/>
                <w:kern w:val="0"/>
                <w:sz w:val="21"/>
                <w:szCs w:val="21"/>
                <w:highlight w:val="none"/>
                <w:lang w:bidi="ar"/>
              </w:rPr>
              <w:t>18</w:t>
            </w:r>
          </w:p>
        </w:tc>
        <w:tc>
          <w:tcPr>
            <w:tcW w:w="1575" w:type="dxa"/>
            <w:vAlign w:val="center"/>
          </w:tcPr>
          <w:p w14:paraId="61EA7F8C">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姚园寺巷</w:t>
            </w:r>
          </w:p>
        </w:tc>
        <w:tc>
          <w:tcPr>
            <w:tcW w:w="6106" w:type="dxa"/>
            <w:vAlign w:val="center"/>
          </w:tcPr>
          <w:p w14:paraId="5661F8DC">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称心里</w:t>
            </w:r>
          </w:p>
        </w:tc>
      </w:tr>
      <w:tr w14:paraId="55D7B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502E034A">
            <w:pPr>
              <w:widowControl/>
              <w:jc w:val="center"/>
              <w:textAlignment w:val="center"/>
              <w:rPr>
                <w:rFonts w:hint="eastAsia" w:ascii="仿宋_GB2312" w:hAnsi="仿宋_GB2312" w:eastAsia="仿宋_GB2312" w:cs="仿宋_GB2312"/>
                <w:color w:val="auto"/>
                <w:sz w:val="21"/>
                <w:szCs w:val="21"/>
                <w:highlight w:val="none"/>
                <w:vertAlign w:val="baseline"/>
              </w:rPr>
            </w:pPr>
            <w:r>
              <w:rPr>
                <w:rFonts w:hint="eastAsia" w:ascii="宋体" w:hAnsi="宋体" w:cs="宋体"/>
                <w:color w:val="auto"/>
                <w:kern w:val="0"/>
                <w:sz w:val="21"/>
                <w:szCs w:val="21"/>
                <w:highlight w:val="none"/>
                <w:lang w:bidi="ar"/>
              </w:rPr>
              <w:t>19</w:t>
            </w:r>
          </w:p>
        </w:tc>
        <w:tc>
          <w:tcPr>
            <w:tcW w:w="1575" w:type="dxa"/>
            <w:vAlign w:val="center"/>
          </w:tcPr>
          <w:p w14:paraId="233D22AE">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姚园寺巷</w:t>
            </w:r>
          </w:p>
        </w:tc>
        <w:tc>
          <w:tcPr>
            <w:tcW w:w="6106" w:type="dxa"/>
            <w:vAlign w:val="center"/>
          </w:tcPr>
          <w:p w14:paraId="2C024C19">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姚园寺巷</w:t>
            </w:r>
          </w:p>
        </w:tc>
      </w:tr>
      <w:tr w14:paraId="6AF63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3FCC17C5">
            <w:pPr>
              <w:widowControl/>
              <w:jc w:val="center"/>
              <w:textAlignment w:val="center"/>
              <w:rPr>
                <w:rFonts w:hint="eastAsia" w:ascii="仿宋_GB2312" w:hAnsi="仿宋_GB2312" w:eastAsia="仿宋_GB2312" w:cs="仿宋_GB2312"/>
                <w:color w:val="auto"/>
                <w:sz w:val="21"/>
                <w:szCs w:val="21"/>
                <w:highlight w:val="none"/>
                <w:vertAlign w:val="baseline"/>
              </w:rPr>
            </w:pPr>
            <w:r>
              <w:rPr>
                <w:rFonts w:hint="eastAsia" w:ascii="宋体" w:hAnsi="宋体" w:cs="宋体"/>
                <w:color w:val="auto"/>
                <w:kern w:val="0"/>
                <w:sz w:val="21"/>
                <w:szCs w:val="21"/>
                <w:highlight w:val="none"/>
                <w:lang w:bidi="ar"/>
              </w:rPr>
              <w:t>20</w:t>
            </w:r>
          </w:p>
        </w:tc>
        <w:tc>
          <w:tcPr>
            <w:tcW w:w="1575" w:type="dxa"/>
            <w:vAlign w:val="center"/>
          </w:tcPr>
          <w:p w14:paraId="4D920193">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姚园寺巷</w:t>
            </w:r>
          </w:p>
        </w:tc>
        <w:tc>
          <w:tcPr>
            <w:tcW w:w="6106" w:type="dxa"/>
            <w:vAlign w:val="center"/>
          </w:tcPr>
          <w:p w14:paraId="5D141AC2">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羊线弄</w:t>
            </w:r>
          </w:p>
        </w:tc>
      </w:tr>
      <w:tr w14:paraId="158B9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322E5A24">
            <w:pPr>
              <w:widowControl/>
              <w:jc w:val="center"/>
              <w:textAlignment w:val="center"/>
              <w:rPr>
                <w:rFonts w:hint="eastAsia" w:ascii="仿宋_GB2312" w:hAnsi="仿宋_GB2312" w:eastAsia="仿宋_GB2312" w:cs="仿宋_GB2312"/>
                <w:color w:val="auto"/>
                <w:sz w:val="21"/>
                <w:szCs w:val="21"/>
                <w:highlight w:val="none"/>
                <w:vertAlign w:val="baseline"/>
              </w:rPr>
            </w:pPr>
            <w:r>
              <w:rPr>
                <w:rFonts w:hint="eastAsia" w:ascii="宋体" w:hAnsi="宋体" w:cs="宋体"/>
                <w:color w:val="auto"/>
                <w:kern w:val="0"/>
                <w:sz w:val="21"/>
                <w:szCs w:val="21"/>
                <w:highlight w:val="none"/>
                <w:lang w:bidi="ar"/>
              </w:rPr>
              <w:t>21</w:t>
            </w:r>
          </w:p>
        </w:tc>
        <w:tc>
          <w:tcPr>
            <w:tcW w:w="1575" w:type="dxa"/>
            <w:vAlign w:val="center"/>
          </w:tcPr>
          <w:p w14:paraId="37CC4940">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姚园寺巷</w:t>
            </w:r>
          </w:p>
        </w:tc>
        <w:tc>
          <w:tcPr>
            <w:tcW w:w="6106" w:type="dxa"/>
            <w:vAlign w:val="center"/>
          </w:tcPr>
          <w:p w14:paraId="0C0247E5">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五柳巷区块</w:t>
            </w:r>
          </w:p>
        </w:tc>
      </w:tr>
      <w:tr w14:paraId="69D84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26E003A3">
            <w:pPr>
              <w:widowControl/>
              <w:jc w:val="center"/>
              <w:textAlignment w:val="center"/>
              <w:rPr>
                <w:rFonts w:hint="eastAsia" w:ascii="仿宋_GB2312" w:hAnsi="仿宋_GB2312" w:eastAsia="仿宋_GB2312" w:cs="仿宋_GB2312"/>
                <w:color w:val="auto"/>
                <w:sz w:val="21"/>
                <w:szCs w:val="21"/>
                <w:highlight w:val="none"/>
                <w:vertAlign w:val="baseline"/>
              </w:rPr>
            </w:pPr>
            <w:r>
              <w:rPr>
                <w:rFonts w:hint="eastAsia" w:ascii="宋体" w:hAnsi="宋体" w:cs="宋体"/>
                <w:color w:val="auto"/>
                <w:kern w:val="0"/>
                <w:sz w:val="21"/>
                <w:szCs w:val="21"/>
                <w:highlight w:val="none"/>
                <w:lang w:bidi="ar"/>
              </w:rPr>
              <w:t>22</w:t>
            </w:r>
          </w:p>
        </w:tc>
        <w:tc>
          <w:tcPr>
            <w:tcW w:w="1575" w:type="dxa"/>
            <w:vAlign w:val="center"/>
          </w:tcPr>
          <w:p w14:paraId="04F32DE2">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姚园寺巷</w:t>
            </w:r>
          </w:p>
        </w:tc>
        <w:tc>
          <w:tcPr>
            <w:tcW w:w="6106" w:type="dxa"/>
            <w:vAlign w:val="center"/>
          </w:tcPr>
          <w:p w14:paraId="4AA9E95A">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江城路742</w:t>
            </w:r>
          </w:p>
        </w:tc>
      </w:tr>
      <w:tr w14:paraId="09954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38BB55AD">
            <w:pPr>
              <w:widowControl/>
              <w:jc w:val="center"/>
              <w:textAlignment w:val="center"/>
              <w:rPr>
                <w:rFonts w:hint="eastAsia" w:ascii="仿宋_GB2312" w:hAnsi="仿宋_GB2312" w:eastAsia="仿宋_GB2312" w:cs="仿宋_GB2312"/>
                <w:color w:val="auto"/>
                <w:sz w:val="21"/>
                <w:szCs w:val="21"/>
                <w:highlight w:val="none"/>
                <w:vertAlign w:val="baseline"/>
              </w:rPr>
            </w:pPr>
            <w:r>
              <w:rPr>
                <w:rFonts w:hint="eastAsia" w:ascii="宋体" w:hAnsi="宋体" w:cs="宋体"/>
                <w:color w:val="auto"/>
                <w:kern w:val="0"/>
                <w:sz w:val="21"/>
                <w:szCs w:val="21"/>
                <w:highlight w:val="none"/>
                <w:lang w:bidi="ar"/>
              </w:rPr>
              <w:t>23</w:t>
            </w:r>
          </w:p>
        </w:tc>
        <w:tc>
          <w:tcPr>
            <w:tcW w:w="1575" w:type="dxa"/>
            <w:vAlign w:val="center"/>
          </w:tcPr>
          <w:p w14:paraId="0C3447E8">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西牌楼社区</w:t>
            </w:r>
          </w:p>
        </w:tc>
        <w:tc>
          <w:tcPr>
            <w:tcW w:w="6106" w:type="dxa"/>
            <w:vAlign w:val="center"/>
          </w:tcPr>
          <w:p w14:paraId="70BCA07A">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断河头小区（断河头、河坊街、百岁坊巷、直吉祥巷、横吉祥巷）</w:t>
            </w:r>
          </w:p>
        </w:tc>
      </w:tr>
      <w:tr w14:paraId="66E82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0905B991">
            <w:pPr>
              <w:widowControl/>
              <w:jc w:val="center"/>
              <w:textAlignment w:val="center"/>
              <w:rPr>
                <w:rFonts w:hint="eastAsia" w:ascii="仿宋_GB2312" w:hAnsi="仿宋_GB2312" w:eastAsia="仿宋_GB2312" w:cs="仿宋_GB2312"/>
                <w:color w:val="auto"/>
                <w:sz w:val="21"/>
                <w:szCs w:val="21"/>
                <w:highlight w:val="none"/>
                <w:vertAlign w:val="baseline"/>
              </w:rPr>
            </w:pPr>
            <w:r>
              <w:rPr>
                <w:rFonts w:hint="eastAsia" w:ascii="宋体" w:hAnsi="宋体" w:cs="宋体"/>
                <w:color w:val="auto"/>
                <w:kern w:val="0"/>
                <w:sz w:val="21"/>
                <w:szCs w:val="21"/>
                <w:highlight w:val="none"/>
                <w:lang w:bidi="ar"/>
              </w:rPr>
              <w:t>24</w:t>
            </w:r>
          </w:p>
        </w:tc>
        <w:tc>
          <w:tcPr>
            <w:tcW w:w="1575" w:type="dxa"/>
            <w:vAlign w:val="center"/>
          </w:tcPr>
          <w:p w14:paraId="35E7CA64">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西牌楼社区</w:t>
            </w:r>
          </w:p>
        </w:tc>
        <w:tc>
          <w:tcPr>
            <w:tcW w:w="6106" w:type="dxa"/>
            <w:vAlign w:val="center"/>
          </w:tcPr>
          <w:p w14:paraId="30EB8B77">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建国南苑2-18幢</w:t>
            </w:r>
          </w:p>
        </w:tc>
      </w:tr>
      <w:tr w14:paraId="260DD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04771EE1">
            <w:pPr>
              <w:widowControl/>
              <w:jc w:val="center"/>
              <w:textAlignment w:val="center"/>
              <w:rPr>
                <w:rFonts w:hint="eastAsia" w:ascii="仿宋_GB2312" w:hAnsi="仿宋_GB2312" w:eastAsia="仿宋_GB2312" w:cs="仿宋_GB2312"/>
                <w:color w:val="auto"/>
                <w:sz w:val="21"/>
                <w:szCs w:val="21"/>
                <w:highlight w:val="none"/>
                <w:vertAlign w:val="baseline"/>
              </w:rPr>
            </w:pPr>
            <w:r>
              <w:rPr>
                <w:rFonts w:hint="eastAsia" w:ascii="宋体" w:hAnsi="宋体" w:cs="宋体"/>
                <w:color w:val="auto"/>
                <w:kern w:val="0"/>
                <w:sz w:val="21"/>
                <w:szCs w:val="21"/>
                <w:highlight w:val="none"/>
                <w:lang w:bidi="ar"/>
              </w:rPr>
              <w:t>25</w:t>
            </w:r>
          </w:p>
        </w:tc>
        <w:tc>
          <w:tcPr>
            <w:tcW w:w="1575" w:type="dxa"/>
            <w:vAlign w:val="center"/>
          </w:tcPr>
          <w:p w14:paraId="300B7670">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梅花碑社区</w:t>
            </w:r>
          </w:p>
        </w:tc>
        <w:tc>
          <w:tcPr>
            <w:tcW w:w="6106" w:type="dxa"/>
            <w:vAlign w:val="center"/>
          </w:tcPr>
          <w:p w14:paraId="7AD49862">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梅花碑小区（梅花碑1.2.3.4.5.6号直吉祥巷）</w:t>
            </w:r>
          </w:p>
        </w:tc>
      </w:tr>
      <w:tr w14:paraId="38161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0A2BCAF8">
            <w:pPr>
              <w:widowControl/>
              <w:jc w:val="center"/>
              <w:textAlignment w:val="center"/>
              <w:rPr>
                <w:rFonts w:hint="eastAsia" w:ascii="仿宋_GB2312" w:hAnsi="仿宋_GB2312" w:eastAsia="仿宋_GB2312" w:cs="仿宋_GB2312"/>
                <w:color w:val="auto"/>
                <w:sz w:val="21"/>
                <w:szCs w:val="21"/>
                <w:highlight w:val="none"/>
                <w:vertAlign w:val="baseline"/>
              </w:rPr>
            </w:pPr>
            <w:r>
              <w:rPr>
                <w:rFonts w:hint="eastAsia" w:ascii="宋体" w:hAnsi="宋体" w:cs="宋体"/>
                <w:color w:val="auto"/>
                <w:kern w:val="0"/>
                <w:sz w:val="21"/>
                <w:szCs w:val="21"/>
                <w:highlight w:val="none"/>
                <w:lang w:bidi="ar"/>
              </w:rPr>
              <w:t>26</w:t>
            </w:r>
          </w:p>
        </w:tc>
        <w:tc>
          <w:tcPr>
            <w:tcW w:w="1575" w:type="dxa"/>
            <w:vAlign w:val="center"/>
          </w:tcPr>
          <w:p w14:paraId="453414EB">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梅花碑社区</w:t>
            </w:r>
          </w:p>
        </w:tc>
        <w:tc>
          <w:tcPr>
            <w:tcW w:w="6106" w:type="dxa"/>
            <w:vAlign w:val="center"/>
          </w:tcPr>
          <w:p w14:paraId="1E32D414">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三益里新村</w:t>
            </w:r>
          </w:p>
        </w:tc>
      </w:tr>
      <w:tr w14:paraId="20C7C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36EE1BA9">
            <w:pPr>
              <w:widowControl/>
              <w:jc w:val="center"/>
              <w:textAlignment w:val="center"/>
              <w:rPr>
                <w:rFonts w:hint="eastAsia" w:ascii="仿宋_GB2312" w:hAnsi="仿宋_GB2312" w:eastAsia="仿宋_GB2312" w:cs="仿宋_GB2312"/>
                <w:color w:val="auto"/>
                <w:sz w:val="21"/>
                <w:szCs w:val="21"/>
                <w:highlight w:val="none"/>
                <w:vertAlign w:val="baseline"/>
              </w:rPr>
            </w:pPr>
            <w:r>
              <w:rPr>
                <w:rFonts w:hint="eastAsia" w:ascii="宋体" w:hAnsi="宋体" w:cs="宋体"/>
                <w:color w:val="auto"/>
                <w:kern w:val="0"/>
                <w:sz w:val="21"/>
                <w:szCs w:val="21"/>
                <w:highlight w:val="none"/>
                <w:lang w:bidi="ar"/>
              </w:rPr>
              <w:t>27</w:t>
            </w:r>
          </w:p>
        </w:tc>
        <w:tc>
          <w:tcPr>
            <w:tcW w:w="1575" w:type="dxa"/>
            <w:vAlign w:val="center"/>
          </w:tcPr>
          <w:p w14:paraId="074C4181">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梅花碑社区</w:t>
            </w:r>
          </w:p>
        </w:tc>
        <w:tc>
          <w:tcPr>
            <w:tcW w:w="6106" w:type="dxa"/>
            <w:vAlign w:val="center"/>
          </w:tcPr>
          <w:p w14:paraId="1979D4CB">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福利新村</w:t>
            </w:r>
          </w:p>
        </w:tc>
      </w:tr>
      <w:tr w14:paraId="683B1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1A4FE1CE">
            <w:pPr>
              <w:widowControl/>
              <w:jc w:val="center"/>
              <w:textAlignment w:val="center"/>
              <w:rPr>
                <w:rFonts w:hint="eastAsia" w:ascii="仿宋_GB2312" w:hAnsi="仿宋_GB2312" w:eastAsia="仿宋_GB2312" w:cs="仿宋_GB2312"/>
                <w:color w:val="auto"/>
                <w:sz w:val="21"/>
                <w:szCs w:val="21"/>
                <w:highlight w:val="none"/>
                <w:vertAlign w:val="baseline"/>
              </w:rPr>
            </w:pPr>
            <w:r>
              <w:rPr>
                <w:rFonts w:hint="eastAsia" w:ascii="宋体" w:hAnsi="宋体" w:cs="宋体"/>
                <w:color w:val="auto"/>
                <w:kern w:val="0"/>
                <w:sz w:val="21"/>
                <w:szCs w:val="21"/>
                <w:highlight w:val="none"/>
                <w:lang w:bidi="ar"/>
              </w:rPr>
              <w:t>28</w:t>
            </w:r>
          </w:p>
        </w:tc>
        <w:tc>
          <w:tcPr>
            <w:tcW w:w="1575" w:type="dxa"/>
            <w:vAlign w:val="center"/>
          </w:tcPr>
          <w:p w14:paraId="5F2EEF2F">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梅花碑社区</w:t>
            </w:r>
          </w:p>
        </w:tc>
        <w:tc>
          <w:tcPr>
            <w:tcW w:w="6106" w:type="dxa"/>
            <w:vAlign w:val="center"/>
          </w:tcPr>
          <w:p w14:paraId="7D3B1D0D">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信余里小区</w:t>
            </w:r>
          </w:p>
        </w:tc>
      </w:tr>
      <w:tr w14:paraId="6361D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698FB93F">
            <w:pPr>
              <w:widowControl/>
              <w:jc w:val="center"/>
              <w:textAlignment w:val="center"/>
              <w:rPr>
                <w:rFonts w:hint="eastAsia" w:ascii="仿宋_GB2312" w:hAnsi="仿宋_GB2312" w:eastAsia="仿宋_GB2312" w:cs="仿宋_GB2312"/>
                <w:color w:val="auto"/>
                <w:sz w:val="21"/>
                <w:szCs w:val="21"/>
                <w:highlight w:val="none"/>
                <w:vertAlign w:val="baseline"/>
              </w:rPr>
            </w:pPr>
            <w:r>
              <w:rPr>
                <w:rFonts w:hint="eastAsia" w:ascii="宋体" w:hAnsi="宋体" w:cs="宋体"/>
                <w:color w:val="auto"/>
                <w:kern w:val="0"/>
                <w:sz w:val="21"/>
                <w:szCs w:val="21"/>
                <w:highlight w:val="none"/>
                <w:lang w:bidi="ar"/>
              </w:rPr>
              <w:t>29</w:t>
            </w:r>
          </w:p>
        </w:tc>
        <w:tc>
          <w:tcPr>
            <w:tcW w:w="1575" w:type="dxa"/>
            <w:vAlign w:val="center"/>
          </w:tcPr>
          <w:p w14:paraId="7923DBED">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梅花碑社区</w:t>
            </w:r>
          </w:p>
        </w:tc>
        <w:tc>
          <w:tcPr>
            <w:tcW w:w="6106" w:type="dxa"/>
            <w:vAlign w:val="center"/>
          </w:tcPr>
          <w:p w14:paraId="2C693ECC">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梅花三胜</w:t>
            </w:r>
          </w:p>
        </w:tc>
      </w:tr>
      <w:tr w14:paraId="0E0B6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2BB4497A">
            <w:pPr>
              <w:widowControl/>
              <w:jc w:val="center"/>
              <w:textAlignment w:val="center"/>
              <w:rPr>
                <w:rFonts w:hint="eastAsia" w:ascii="仿宋_GB2312" w:hAnsi="仿宋_GB2312" w:eastAsia="仿宋_GB2312" w:cs="仿宋_GB2312"/>
                <w:color w:val="auto"/>
                <w:sz w:val="21"/>
                <w:szCs w:val="21"/>
                <w:highlight w:val="none"/>
                <w:vertAlign w:val="baseline"/>
              </w:rPr>
            </w:pPr>
            <w:r>
              <w:rPr>
                <w:rFonts w:hint="eastAsia" w:ascii="宋体" w:hAnsi="宋体" w:cs="宋体"/>
                <w:color w:val="auto"/>
                <w:kern w:val="0"/>
                <w:sz w:val="21"/>
                <w:szCs w:val="21"/>
                <w:highlight w:val="none"/>
                <w:lang w:bidi="ar"/>
              </w:rPr>
              <w:t>30</w:t>
            </w:r>
          </w:p>
        </w:tc>
        <w:tc>
          <w:tcPr>
            <w:tcW w:w="1575" w:type="dxa"/>
            <w:vAlign w:val="center"/>
          </w:tcPr>
          <w:p w14:paraId="33AE2E7D">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梅花碑社区</w:t>
            </w:r>
          </w:p>
        </w:tc>
        <w:tc>
          <w:tcPr>
            <w:tcW w:w="6106" w:type="dxa"/>
            <w:vAlign w:val="center"/>
          </w:tcPr>
          <w:p w14:paraId="3BE93587">
            <w:pPr>
              <w:snapToGrid w:val="0"/>
              <w:spacing w:line="560" w:lineRule="exact"/>
              <w:jc w:val="center"/>
              <w:rPr>
                <w:rFonts w:hint="eastAsia" w:ascii="仿宋_GB2312" w:hAnsi="仿宋_GB2312" w:eastAsia="仿宋_GB2312" w:cs="仿宋_GB2312"/>
                <w:color w:val="auto"/>
                <w:sz w:val="24"/>
                <w:highlight w:val="none"/>
                <w:vertAlign w:val="baseline"/>
              </w:rPr>
            </w:pPr>
            <w:r>
              <w:rPr>
                <w:rFonts w:hint="eastAsia"/>
              </w:rPr>
              <w:t>五柳巷（一桥至三桥、城头巷）</w:t>
            </w:r>
          </w:p>
        </w:tc>
      </w:tr>
    </w:tbl>
    <w:p w14:paraId="7D8A3ED3">
      <w:pPr>
        <w:pStyle w:val="2"/>
        <w:snapToGrid w:val="0"/>
        <w:spacing w:line="560" w:lineRule="exact"/>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根据杭州市区道路分类保洁管理定额标准，梅花碑社区辖区道路属一、二类街道。其中，一类所属路面保洁面积48675.98平方米；二类所属路面保洁面积86662.29平方米。</w:t>
      </w:r>
    </w:p>
    <w:tbl>
      <w:tblPr>
        <w:tblStyle w:val="64"/>
        <w:tblpPr w:leftFromText="180" w:rightFromText="180" w:vertAnchor="text" w:horzAnchor="page" w:tblpX="1166" w:tblpY="703"/>
        <w:tblOverlap w:val="never"/>
        <w:tblW w:w="9734" w:type="dxa"/>
        <w:tblInd w:w="0" w:type="dxa"/>
        <w:tblLayout w:type="fixed"/>
        <w:tblCellMar>
          <w:top w:w="0" w:type="dxa"/>
          <w:left w:w="108" w:type="dxa"/>
          <w:bottom w:w="0" w:type="dxa"/>
          <w:right w:w="108" w:type="dxa"/>
        </w:tblCellMar>
      </w:tblPr>
      <w:tblGrid>
        <w:gridCol w:w="540"/>
        <w:gridCol w:w="975"/>
        <w:gridCol w:w="1530"/>
        <w:gridCol w:w="4012"/>
        <w:gridCol w:w="1462"/>
        <w:gridCol w:w="1215"/>
      </w:tblGrid>
      <w:tr w14:paraId="5D6EA38C">
        <w:tblPrEx>
          <w:tblCellMar>
            <w:top w:w="0" w:type="dxa"/>
            <w:left w:w="108" w:type="dxa"/>
            <w:bottom w:w="0" w:type="dxa"/>
            <w:right w:w="108" w:type="dxa"/>
          </w:tblCellMar>
        </w:tblPrEx>
        <w:trPr>
          <w:trHeight w:val="440" w:hRule="atLeast"/>
        </w:trPr>
        <w:tc>
          <w:tcPr>
            <w:tcW w:w="9734" w:type="dxa"/>
            <w:gridSpan w:val="6"/>
            <w:tcBorders>
              <w:top w:val="nil"/>
              <w:left w:val="nil"/>
              <w:bottom w:val="nil"/>
              <w:right w:val="nil"/>
            </w:tcBorders>
            <w:shd w:val="clear" w:color="auto" w:fill="auto"/>
            <w:noWrap/>
            <w:vAlign w:val="center"/>
          </w:tcPr>
          <w:p w14:paraId="780B93C3">
            <w:pPr>
              <w:widowControl/>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lang w:bidi="ar"/>
              </w:rPr>
              <w:t>2024年小营街道南片区街巷保洁面积明细</w:t>
            </w:r>
          </w:p>
        </w:tc>
      </w:tr>
      <w:tr w14:paraId="67E61FBE">
        <w:tblPrEx>
          <w:tblCellMar>
            <w:top w:w="0" w:type="dxa"/>
            <w:left w:w="108" w:type="dxa"/>
            <w:bottom w:w="0" w:type="dxa"/>
            <w:right w:w="108"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C2DEE">
            <w:pPr>
              <w:widowControl/>
              <w:jc w:val="center"/>
              <w:textAlignment w:val="center"/>
              <w:rPr>
                <w:rFonts w:hint="eastAsia" w:ascii="宋体" w:hAnsi="宋体" w:eastAsia="宋体" w:cs="宋体"/>
                <w:b/>
                <w:bCs/>
                <w:color w:val="auto"/>
                <w:sz w:val="16"/>
                <w:szCs w:val="16"/>
                <w:highlight w:val="none"/>
              </w:rPr>
            </w:pPr>
            <w:r>
              <w:rPr>
                <w:rFonts w:hint="eastAsia" w:ascii="宋体" w:hAnsi="宋体" w:eastAsia="宋体" w:cs="宋体"/>
                <w:b/>
                <w:bCs/>
                <w:color w:val="auto"/>
                <w:kern w:val="0"/>
                <w:sz w:val="16"/>
                <w:szCs w:val="16"/>
                <w:highlight w:val="none"/>
                <w:lang w:bidi="ar"/>
              </w:rPr>
              <w:t>序号</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AC81C">
            <w:pPr>
              <w:widowControl/>
              <w:jc w:val="center"/>
              <w:textAlignment w:val="center"/>
              <w:rPr>
                <w:rFonts w:hint="eastAsia" w:ascii="宋体" w:hAnsi="宋体" w:eastAsia="宋体" w:cs="宋体"/>
                <w:b/>
                <w:bCs/>
                <w:color w:val="auto"/>
                <w:sz w:val="16"/>
                <w:szCs w:val="16"/>
                <w:highlight w:val="none"/>
              </w:rPr>
            </w:pPr>
            <w:r>
              <w:rPr>
                <w:rFonts w:hint="eastAsia" w:ascii="宋体" w:hAnsi="宋体" w:eastAsia="宋体" w:cs="宋体"/>
                <w:b/>
                <w:bCs/>
                <w:color w:val="auto"/>
                <w:kern w:val="0"/>
                <w:sz w:val="16"/>
                <w:szCs w:val="16"/>
                <w:highlight w:val="none"/>
                <w:lang w:bidi="ar"/>
              </w:rPr>
              <w:t>社区</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038A2">
            <w:pPr>
              <w:widowControl/>
              <w:jc w:val="center"/>
              <w:textAlignment w:val="center"/>
              <w:rPr>
                <w:rFonts w:hint="eastAsia" w:ascii="宋体" w:hAnsi="宋体" w:eastAsia="宋体" w:cs="宋体"/>
                <w:b/>
                <w:bCs/>
                <w:color w:val="auto"/>
                <w:sz w:val="16"/>
                <w:szCs w:val="16"/>
                <w:highlight w:val="none"/>
              </w:rPr>
            </w:pPr>
            <w:r>
              <w:rPr>
                <w:rFonts w:hint="eastAsia" w:ascii="宋体" w:hAnsi="宋体" w:eastAsia="宋体" w:cs="宋体"/>
                <w:b/>
                <w:bCs/>
                <w:color w:val="auto"/>
                <w:kern w:val="0"/>
                <w:sz w:val="16"/>
                <w:szCs w:val="16"/>
                <w:highlight w:val="none"/>
                <w:lang w:bidi="ar"/>
              </w:rPr>
              <w:t>路名</w:t>
            </w:r>
          </w:p>
        </w:tc>
        <w:tc>
          <w:tcPr>
            <w:tcW w:w="4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8F5F">
            <w:pPr>
              <w:widowControl/>
              <w:jc w:val="center"/>
              <w:textAlignment w:val="center"/>
              <w:rPr>
                <w:rFonts w:hint="eastAsia" w:ascii="宋体" w:hAnsi="宋体" w:eastAsia="宋体" w:cs="宋体"/>
                <w:b/>
                <w:bCs/>
                <w:color w:val="auto"/>
                <w:sz w:val="16"/>
                <w:szCs w:val="16"/>
                <w:highlight w:val="none"/>
              </w:rPr>
            </w:pPr>
            <w:r>
              <w:rPr>
                <w:rFonts w:hint="eastAsia" w:ascii="宋体" w:hAnsi="宋体" w:eastAsia="宋体" w:cs="宋体"/>
                <w:b/>
                <w:bCs/>
                <w:color w:val="auto"/>
                <w:kern w:val="0"/>
                <w:sz w:val="16"/>
                <w:szCs w:val="16"/>
                <w:highlight w:val="none"/>
                <w:lang w:bidi="ar"/>
              </w:rPr>
              <w:t>起止地点</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A725">
            <w:pPr>
              <w:widowControl/>
              <w:jc w:val="center"/>
              <w:textAlignment w:val="center"/>
              <w:rPr>
                <w:rFonts w:hint="eastAsia" w:ascii="宋体" w:hAnsi="宋体" w:eastAsia="宋体" w:cs="宋体"/>
                <w:b/>
                <w:bCs/>
                <w:color w:val="auto"/>
                <w:sz w:val="16"/>
                <w:szCs w:val="16"/>
                <w:highlight w:val="none"/>
                <w:lang w:eastAsia="zh-CN"/>
              </w:rPr>
            </w:pPr>
            <w:r>
              <w:rPr>
                <w:rFonts w:hint="eastAsia" w:ascii="宋体" w:hAnsi="宋体" w:eastAsia="宋体" w:cs="宋体"/>
                <w:b/>
                <w:bCs/>
                <w:color w:val="auto"/>
                <w:kern w:val="0"/>
                <w:sz w:val="16"/>
                <w:szCs w:val="16"/>
                <w:highlight w:val="none"/>
                <w:lang w:bidi="ar"/>
              </w:rPr>
              <w:t>面积</w:t>
            </w:r>
            <w:r>
              <w:rPr>
                <w:rFonts w:hint="eastAsia" w:ascii="宋体" w:hAnsi="宋体" w:eastAsia="宋体" w:cs="宋体"/>
                <w:b/>
                <w:bCs/>
                <w:color w:val="auto"/>
                <w:kern w:val="0"/>
                <w:sz w:val="16"/>
                <w:szCs w:val="16"/>
                <w:highlight w:val="none"/>
                <w:lang w:eastAsia="zh-CN" w:bidi="ar"/>
              </w:rPr>
              <w:t>（</w:t>
            </w:r>
            <w:r>
              <w:rPr>
                <w:rFonts w:hint="eastAsia" w:ascii="宋体" w:hAnsi="宋体" w:eastAsia="宋体" w:cs="宋体"/>
                <w:b/>
                <w:bCs/>
                <w:color w:val="auto"/>
                <w:kern w:val="0"/>
                <w:sz w:val="16"/>
                <w:szCs w:val="16"/>
                <w:highlight w:val="none"/>
                <w:lang w:val="en-US" w:eastAsia="zh-CN" w:bidi="ar"/>
              </w:rPr>
              <w:t>平方米</w:t>
            </w:r>
            <w:r>
              <w:rPr>
                <w:rFonts w:hint="eastAsia" w:ascii="宋体" w:hAnsi="宋体" w:eastAsia="宋体" w:cs="宋体"/>
                <w:b/>
                <w:bCs/>
                <w:color w:val="auto"/>
                <w:kern w:val="0"/>
                <w:sz w:val="16"/>
                <w:szCs w:val="16"/>
                <w:highlight w:val="none"/>
                <w:lang w:eastAsia="zh-CN" w:bidi="ar"/>
              </w:rPr>
              <w:t>）</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BDE2">
            <w:pPr>
              <w:widowControl/>
              <w:jc w:val="center"/>
              <w:textAlignment w:val="center"/>
              <w:rPr>
                <w:rFonts w:hint="eastAsia" w:ascii="宋体" w:hAnsi="宋体" w:eastAsia="宋体" w:cs="宋体"/>
                <w:b/>
                <w:bCs/>
                <w:color w:val="auto"/>
                <w:sz w:val="16"/>
                <w:szCs w:val="16"/>
                <w:highlight w:val="none"/>
              </w:rPr>
            </w:pPr>
            <w:r>
              <w:rPr>
                <w:rFonts w:hint="eastAsia" w:ascii="宋体" w:hAnsi="宋体" w:eastAsia="宋体" w:cs="宋体"/>
                <w:b/>
                <w:bCs/>
                <w:color w:val="auto"/>
                <w:kern w:val="0"/>
                <w:sz w:val="16"/>
                <w:szCs w:val="16"/>
                <w:highlight w:val="none"/>
                <w:lang w:bidi="ar"/>
              </w:rPr>
              <w:t>道路等级（一、二类街巷）</w:t>
            </w:r>
          </w:p>
        </w:tc>
      </w:tr>
      <w:tr w14:paraId="24357278">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81E03">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31CA">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茅廊巷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D967">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状元弄</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F704">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状元弄1-4号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E32F">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565.9927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0A4A">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一类街巷</w:t>
            </w:r>
          </w:p>
        </w:tc>
      </w:tr>
      <w:tr w14:paraId="706A0623">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D5C49">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3B6E">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茅廊巷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AAD8">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状元弄</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7B37">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状元弄6号、状元弄6号、民生路42号、民生路32号、民生路26号、民生路28号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A8AC">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 xml:space="preserve">1244.7340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82EC">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一类街巷</w:t>
            </w:r>
          </w:p>
        </w:tc>
      </w:tr>
      <w:tr w14:paraId="438E752A">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2EEC0">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3E84">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茅廊巷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CED7">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状元弄</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958E">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忠孝巷（清泰街488号－民权路）</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6EEF">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1230.3063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A4AD">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一类街巷</w:t>
            </w:r>
          </w:p>
        </w:tc>
      </w:tr>
      <w:tr w14:paraId="01E6F152">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D45BD">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F14F">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茅廊巷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CBD6">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状元弄</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5468">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民权路</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1AA7">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2332.2155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3DC8">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一类街巷</w:t>
            </w:r>
          </w:p>
        </w:tc>
      </w:tr>
      <w:tr w14:paraId="66F2F2C1">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8A3D1">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FCC6">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茅廊巷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4B0B">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状元弄</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DA1A">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潘衙弄5-6号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17EE">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355.3828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6B99">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一类街巷</w:t>
            </w:r>
          </w:p>
        </w:tc>
      </w:tr>
      <w:tr w14:paraId="502E5FD7">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CDA7C">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E6AB">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茅廊巷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8A34">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状元弄</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CD50">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潘衙弄5-7号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788E">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147.0559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B8AD">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一类街巷</w:t>
            </w:r>
          </w:p>
        </w:tc>
      </w:tr>
      <w:tr w14:paraId="1BB37637">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1FE49">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5BFA">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茅廊巷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2CD1">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状元弄</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61C9">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欢乐巷（解放路50－中河路口）</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ADE6">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 xml:space="preserve">460.5022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BF89">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一类街巷</w:t>
            </w:r>
          </w:p>
        </w:tc>
      </w:tr>
      <w:tr w14:paraId="6905E528">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66DAE">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D7AC">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茅廊巷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6CE1">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茅廊巷(含大东山弄)</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4EA12">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大东山弄4、5号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03EF">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250.7298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AB29">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一类街巷</w:t>
            </w:r>
          </w:p>
        </w:tc>
      </w:tr>
      <w:tr w14:paraId="59051FF7">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2E03F">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E0E9">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茅廊巷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49A6">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茅廊巷(含大东山弄)</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E71C">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大东山弄8、11号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BAE1">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 xml:space="preserve">635.1142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9A75">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一类街巷</w:t>
            </w:r>
          </w:p>
        </w:tc>
      </w:tr>
      <w:tr w14:paraId="1EA5FBE3">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E6BCD">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7037">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茅廊巷</w:t>
            </w:r>
          </w:p>
        </w:tc>
        <w:tc>
          <w:tcPr>
            <w:tcW w:w="1530" w:type="dxa"/>
            <w:tcBorders>
              <w:top w:val="single" w:color="000000" w:sz="4" w:space="0"/>
              <w:left w:val="single" w:color="000000" w:sz="4" w:space="0"/>
              <w:bottom w:val="nil"/>
              <w:right w:val="single" w:color="000000" w:sz="4" w:space="0"/>
            </w:tcBorders>
            <w:shd w:val="clear" w:color="auto" w:fill="auto"/>
            <w:vAlign w:val="center"/>
          </w:tcPr>
          <w:p w14:paraId="43434107">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茅廊巷(含大东山弄)</w:t>
            </w:r>
          </w:p>
        </w:tc>
        <w:tc>
          <w:tcPr>
            <w:tcW w:w="4012" w:type="dxa"/>
            <w:tcBorders>
              <w:top w:val="single" w:color="000000" w:sz="4" w:space="0"/>
              <w:left w:val="single" w:color="000000" w:sz="4" w:space="0"/>
              <w:bottom w:val="nil"/>
              <w:right w:val="single" w:color="000000" w:sz="4" w:space="0"/>
            </w:tcBorders>
            <w:shd w:val="clear" w:color="auto" w:fill="auto"/>
            <w:vAlign w:val="center"/>
          </w:tcPr>
          <w:p w14:paraId="018E7841">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茅廊巷农贸市场北边道路（佑圣观路275号-解放路131号“西湖金座”－丰家兜12号旁）</w:t>
            </w:r>
          </w:p>
        </w:tc>
        <w:tc>
          <w:tcPr>
            <w:tcW w:w="1462" w:type="dxa"/>
            <w:tcBorders>
              <w:top w:val="single" w:color="000000" w:sz="4" w:space="0"/>
              <w:left w:val="single" w:color="000000" w:sz="4" w:space="0"/>
              <w:bottom w:val="nil"/>
              <w:right w:val="single" w:color="000000" w:sz="4" w:space="0"/>
            </w:tcBorders>
            <w:shd w:val="clear" w:color="auto" w:fill="auto"/>
            <w:vAlign w:val="center"/>
          </w:tcPr>
          <w:p w14:paraId="37606C27">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2266.5045</w:t>
            </w:r>
          </w:p>
        </w:tc>
        <w:tc>
          <w:tcPr>
            <w:tcW w:w="1215" w:type="dxa"/>
            <w:tcBorders>
              <w:top w:val="single" w:color="000000" w:sz="4" w:space="0"/>
              <w:left w:val="single" w:color="000000" w:sz="4" w:space="0"/>
              <w:bottom w:val="nil"/>
              <w:right w:val="single" w:color="000000" w:sz="4" w:space="0"/>
            </w:tcBorders>
            <w:shd w:val="clear" w:color="auto" w:fill="auto"/>
            <w:vAlign w:val="center"/>
          </w:tcPr>
          <w:p w14:paraId="208D01BB">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一类街巷</w:t>
            </w:r>
          </w:p>
        </w:tc>
      </w:tr>
      <w:tr w14:paraId="5A85F048">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F9950">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EF47">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梅花碑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5733">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城头巷</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8FE5">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馆驿后（城头巷83号－佑圣观路126号）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7DB1">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1134.6934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9FD1">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一类街巷</w:t>
            </w:r>
          </w:p>
        </w:tc>
      </w:tr>
      <w:tr w14:paraId="1AC91255">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61D37">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CA99">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梅花碑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5E98">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城头巷</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FC96">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城头巷119—120号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7293">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146.6889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5B12">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一类街巷</w:t>
            </w:r>
          </w:p>
        </w:tc>
      </w:tr>
      <w:tr w14:paraId="1A5A1DAA">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30E75">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007C">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梅花碑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E1E6">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城头巷</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CDBF">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城头巷122号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1EF7">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738.3570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88DD">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一类街巷</w:t>
            </w:r>
          </w:p>
        </w:tc>
      </w:tr>
      <w:tr w14:paraId="2231DED4">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6FCF4">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E379">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梅花碑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DF9C">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梅花碑</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E5C2">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梅花碑南（梅花碑1－6号）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1F18">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1685.8766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D9C2">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一类街巷</w:t>
            </w:r>
          </w:p>
        </w:tc>
      </w:tr>
      <w:tr w14:paraId="1FC5437A">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1912E">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74C1">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梅花碑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9C34">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梅花碑</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DCD6">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梅花碑北（梅花碑7－8号）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F5AB">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2335.4671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3D69">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一类街巷</w:t>
            </w:r>
          </w:p>
        </w:tc>
      </w:tr>
      <w:tr w14:paraId="6A569950">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6CBD">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F0F5">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梅花碑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2D37">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斗富桥西河下</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98DA">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斗富二桥西河下（斗富二桥西河下1－34号）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CFEB">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1741.5460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D6E3">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一类街巷</w:t>
            </w:r>
          </w:p>
        </w:tc>
      </w:tr>
      <w:tr w14:paraId="34289108">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43E9A">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1E2C">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梅花碑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3A33">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斗富桥西河下</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C0D1">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斗富一桥西河下（斗富一桥西河下1－22号）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8AA3">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1123.9460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63D4">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一类街巷</w:t>
            </w:r>
          </w:p>
        </w:tc>
      </w:tr>
      <w:tr w14:paraId="5CC0E31F">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4F9EB">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0FA2">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梅花碑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C020">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斗富桥西河下</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44E2">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斗富二桥（斗富二桥38－71号）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D83C">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1147.7646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3CB1">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一类街巷</w:t>
            </w:r>
          </w:p>
        </w:tc>
      </w:tr>
      <w:tr w14:paraId="65DB8C92">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5E27F">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CBEF1">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梅花碑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6646">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斗富桥西河下</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430E">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斗富三桥（斗富三桥31－66号）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F55F">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1264.7313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D746">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一类街巷</w:t>
            </w:r>
          </w:p>
        </w:tc>
      </w:tr>
      <w:tr w14:paraId="38F9EF7A">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F8F83">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AD16">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西牌楼</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BA63">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直吉祥巷</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C1EE">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直吉祥巷（河坊街口－直吉祥巷4号）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7937">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 xml:space="preserve">1474.9348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B420">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一类街巷</w:t>
            </w:r>
          </w:p>
        </w:tc>
      </w:tr>
      <w:tr w14:paraId="57A1FE15">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99302">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B962">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西牌楼</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5828">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直吉祥巷</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6F7C">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横吉祥巷（横吉祥巷1号－横吉祥巷19号）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F0CD">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490.3138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58AC">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一类街巷</w:t>
            </w:r>
          </w:p>
        </w:tc>
      </w:tr>
      <w:tr w14:paraId="57BE3C1D">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DA9B4">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B7CE">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西牌楼</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05A9">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直吉祥巷</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9950">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百岁坊巷（河坊街口－百岁坊巷1号）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B698">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906.4069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25E3">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一类街巷</w:t>
            </w:r>
          </w:p>
        </w:tc>
      </w:tr>
      <w:tr w14:paraId="64727851">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E1379">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E03B">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西牌楼</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F46D">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直吉祥巷</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78D6">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百岁坊巷（河坊街口－百岁坊巷1号）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89C6">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 xml:space="preserve">610.4384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2C5E">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一类街巷</w:t>
            </w:r>
          </w:p>
        </w:tc>
      </w:tr>
      <w:tr w14:paraId="19B219FD">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0488">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94B4">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西牌楼</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A889">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直吉祥巷</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9E5C">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吉祥小区（直吉祥巷10号—百岁坊巷8号、直吉祥巷14号—百岁坊巷13号）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0DA0">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1672.3579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34ED">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一类街巷</w:t>
            </w:r>
          </w:p>
        </w:tc>
      </w:tr>
      <w:tr w14:paraId="183B4BE6">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7DEC2">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D34E">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西牌楼</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F0E9">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直吉祥巷</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E27F">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河坊街63号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4AEB">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288.6352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FF88">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一类街巷</w:t>
            </w:r>
          </w:p>
        </w:tc>
      </w:tr>
      <w:tr w14:paraId="65BB37D1">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BC7AC">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1D83">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姚园寺巷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F590">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姚园寺巷</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D57A">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（姚园寺巷1－76号）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293E">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4230.0497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F31B">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一类街巷</w:t>
            </w:r>
          </w:p>
        </w:tc>
      </w:tr>
      <w:tr w14:paraId="18B6212F">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26401">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3390">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姚园寺巷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BD03">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灰团巷</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60F5">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（建国南苑28幢－建国南苑36幢）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896B">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 xml:space="preserve">11655.1263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E066">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一类街巷</w:t>
            </w:r>
          </w:p>
        </w:tc>
      </w:tr>
      <w:tr w14:paraId="721355AF">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1B954">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CF7D">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姚园寺巷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E33D">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建新弄</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1A46">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（建新弄1号－建新弄2号）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D18E6">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143.5772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7A9D">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一类街巷</w:t>
            </w:r>
          </w:p>
        </w:tc>
      </w:tr>
      <w:tr w14:paraId="7806CD00">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E9724">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D262">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姚园寺巷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1592">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斗富三桥东河下</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A844">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（西湖大道＜建国南路247号＞－斗富三桥）</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7343">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 xml:space="preserve">1794.7462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D476">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一类街巷</w:t>
            </w:r>
          </w:p>
        </w:tc>
      </w:tr>
      <w:tr w14:paraId="63D97E0C">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A0DCB">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30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9ABA">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姚园寺巷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9E39">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斗富二桥东河下</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E33C">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（斗富二桥东河下24－1号－1号）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8CDB">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1917.5477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4C53">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一类街巷</w:t>
            </w:r>
          </w:p>
        </w:tc>
      </w:tr>
      <w:tr w14:paraId="29D66F2A">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4B84F">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31</w:t>
            </w:r>
          </w:p>
        </w:tc>
        <w:tc>
          <w:tcPr>
            <w:tcW w:w="975" w:type="dxa"/>
            <w:tcBorders>
              <w:top w:val="single" w:color="000000" w:sz="4" w:space="0"/>
              <w:left w:val="single" w:color="000000" w:sz="4" w:space="0"/>
              <w:bottom w:val="nil"/>
              <w:right w:val="single" w:color="000000" w:sz="4" w:space="0"/>
            </w:tcBorders>
            <w:shd w:val="clear" w:color="auto" w:fill="auto"/>
            <w:vAlign w:val="center"/>
          </w:tcPr>
          <w:p w14:paraId="20CA7B11">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姚园寺巷</w:t>
            </w:r>
          </w:p>
        </w:tc>
        <w:tc>
          <w:tcPr>
            <w:tcW w:w="1530" w:type="dxa"/>
            <w:tcBorders>
              <w:top w:val="single" w:color="000000" w:sz="4" w:space="0"/>
              <w:left w:val="single" w:color="000000" w:sz="4" w:space="0"/>
              <w:bottom w:val="nil"/>
              <w:right w:val="single" w:color="000000" w:sz="4" w:space="0"/>
            </w:tcBorders>
            <w:shd w:val="clear" w:color="auto" w:fill="auto"/>
            <w:vAlign w:val="center"/>
          </w:tcPr>
          <w:p w14:paraId="00681BE7">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斗富一桥东河下</w:t>
            </w:r>
          </w:p>
        </w:tc>
        <w:tc>
          <w:tcPr>
            <w:tcW w:w="4012" w:type="dxa"/>
            <w:tcBorders>
              <w:top w:val="single" w:color="000000" w:sz="4" w:space="0"/>
              <w:left w:val="single" w:color="000000" w:sz="4" w:space="0"/>
              <w:bottom w:val="nil"/>
              <w:right w:val="single" w:color="000000" w:sz="4" w:space="0"/>
            </w:tcBorders>
            <w:shd w:val="clear" w:color="auto" w:fill="auto"/>
            <w:vAlign w:val="center"/>
          </w:tcPr>
          <w:p w14:paraId="742BD962">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（斗富一桥东河下28号－斗富一桥东河下1号）</w:t>
            </w:r>
          </w:p>
        </w:tc>
        <w:tc>
          <w:tcPr>
            <w:tcW w:w="1462" w:type="dxa"/>
            <w:tcBorders>
              <w:top w:val="single" w:color="000000" w:sz="4" w:space="0"/>
              <w:left w:val="single" w:color="000000" w:sz="4" w:space="0"/>
              <w:bottom w:val="nil"/>
              <w:right w:val="single" w:color="000000" w:sz="4" w:space="0"/>
            </w:tcBorders>
            <w:shd w:val="clear" w:color="auto" w:fill="auto"/>
            <w:vAlign w:val="center"/>
          </w:tcPr>
          <w:p w14:paraId="74C2E1CF">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2136.2775</w:t>
            </w:r>
          </w:p>
        </w:tc>
        <w:tc>
          <w:tcPr>
            <w:tcW w:w="1215" w:type="dxa"/>
            <w:tcBorders>
              <w:top w:val="single" w:color="000000" w:sz="4" w:space="0"/>
              <w:left w:val="single" w:color="000000" w:sz="4" w:space="0"/>
              <w:bottom w:val="nil"/>
              <w:right w:val="single" w:color="000000" w:sz="4" w:space="0"/>
            </w:tcBorders>
            <w:shd w:val="clear" w:color="auto" w:fill="auto"/>
            <w:vAlign w:val="center"/>
          </w:tcPr>
          <w:p w14:paraId="208E332F">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一类街巷</w:t>
            </w:r>
          </w:p>
        </w:tc>
      </w:tr>
      <w:tr w14:paraId="794E0ADF">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29355">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32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47CA">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姚园寺巷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6C03">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柴弄</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3A81">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（柴弄1号－柴弄13－1号）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EE8E">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130.8343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C8E7">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一类街巷</w:t>
            </w:r>
          </w:p>
        </w:tc>
      </w:tr>
      <w:tr w14:paraId="511E8D1B">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55D49">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33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E87E">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姚园寺巷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D888">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河水弄</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3BFD">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（河水弄1号－河水弄19－1号）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FE44">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 xml:space="preserve">174.0901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A2E3">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一类街巷</w:t>
            </w:r>
          </w:p>
        </w:tc>
      </w:tr>
      <w:tr w14:paraId="630F6EBD">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AF8EE">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34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37B9">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姚园寺巷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1611">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三味庵巷</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4503">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（三味庵巷1－8号）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C47B">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 xml:space="preserve">243.0287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77BE">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一类街巷</w:t>
            </w:r>
          </w:p>
        </w:tc>
      </w:tr>
      <w:tr w14:paraId="0EA70D3C">
        <w:tblPrEx>
          <w:tblCellMar>
            <w:top w:w="0" w:type="dxa"/>
            <w:left w:w="108" w:type="dxa"/>
            <w:bottom w:w="0" w:type="dxa"/>
            <w:right w:w="108" w:type="dxa"/>
          </w:tblCellMar>
        </w:tblPrEx>
        <w:trPr>
          <w:trHeight w:val="454" w:hRule="atLeast"/>
        </w:trPr>
        <w:tc>
          <w:tcPr>
            <w:tcW w:w="7057" w:type="dxa"/>
            <w:gridSpan w:val="4"/>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CACB7B6">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合计</w:t>
            </w:r>
          </w:p>
        </w:tc>
        <w:tc>
          <w:tcPr>
            <w:tcW w:w="1462"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8A46984">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 xml:space="preserve">48675.98 </w:t>
            </w:r>
          </w:p>
        </w:tc>
        <w:tc>
          <w:tcPr>
            <w:tcW w:w="12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3583EF9">
            <w:pPr>
              <w:jc w:val="center"/>
              <w:rPr>
                <w:rFonts w:hint="eastAsia" w:ascii="宋体" w:hAnsi="宋体" w:eastAsia="宋体" w:cs="宋体"/>
                <w:color w:val="auto"/>
                <w:sz w:val="18"/>
                <w:szCs w:val="18"/>
                <w:highlight w:val="none"/>
              </w:rPr>
            </w:pPr>
          </w:p>
        </w:tc>
      </w:tr>
      <w:tr w14:paraId="1FB128F4">
        <w:tblPrEx>
          <w:tblCellMar>
            <w:top w:w="0" w:type="dxa"/>
            <w:left w:w="108" w:type="dxa"/>
            <w:bottom w:w="0" w:type="dxa"/>
            <w:right w:w="108" w:type="dxa"/>
          </w:tblCellMar>
        </w:tblPrEx>
        <w:trPr>
          <w:trHeight w:val="626"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1C11B">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35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B2DBD">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金钱巷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7161">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严衙弄幢间路</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36EF">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严衙弄大门后到金鸡岭、严衙弄9－14幢、2－6幢、城站幼儿园周边、九曲巷（一类）</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E84A">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4789.7175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B6E3">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54B37CF4">
        <w:tblPrEx>
          <w:tblCellMar>
            <w:top w:w="0" w:type="dxa"/>
            <w:left w:w="108" w:type="dxa"/>
            <w:bottom w:w="0" w:type="dxa"/>
            <w:right w:w="108" w:type="dxa"/>
          </w:tblCellMar>
        </w:tblPrEx>
        <w:trPr>
          <w:trHeight w:val="566"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49553">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36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8370E">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金钱巷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B5AC">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南班巷幢间路</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1C716">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南班巷1－5幢、南班巷健身场、6－14幢、15－20幢、21－25幢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C73A">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 xml:space="preserve">8082.8401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6887">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4626CA0A">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4ECEA">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37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C90ED">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金钱巷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7434">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南班巷幢间路</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8513">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南班巷27幢、金钱巷32号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0E57">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 xml:space="preserve">397.8163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CD76">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75DF8037">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EFB33">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38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986F8">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金钱巷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E88A">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南班巷幢间路</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FCE7">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淳右桥西路（金鸡岭-淳佑桥桥中）</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D1D1">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1049.9769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FFC2">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4C75A257">
        <w:tblPrEx>
          <w:tblCellMar>
            <w:top w:w="0" w:type="dxa"/>
            <w:left w:w="108" w:type="dxa"/>
            <w:bottom w:w="0" w:type="dxa"/>
            <w:right w:w="108" w:type="dxa"/>
          </w:tblCellMar>
        </w:tblPrEx>
        <w:trPr>
          <w:trHeight w:val="72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958B0">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39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C4E8">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茅廊巷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4326">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义井巷幢间路</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E5CB">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义井小区主干道、义井巷2幢、2幢、3幢、4幢、12幢、6幢、7幢、10幢、8幢、16幢、14幢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885D">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3858.3664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73B0">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76E8F8B4">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8AD08">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7FF9">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茅廊巷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43E4">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义井巷幢间路</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D4F5">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小区健身场</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6315">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111.9872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D81D">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38F7A0FB">
        <w:tblPrEx>
          <w:tblCellMar>
            <w:top w:w="0" w:type="dxa"/>
            <w:left w:w="108" w:type="dxa"/>
            <w:bottom w:w="0" w:type="dxa"/>
            <w:right w:w="108" w:type="dxa"/>
          </w:tblCellMar>
        </w:tblPrEx>
        <w:trPr>
          <w:trHeight w:val="7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DBEC3">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0270">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茅廊巷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0A9A">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丰家兜民生路幢间</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CA39">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丰家兜33、35、37号幢间、33、35、38号幢间、33、35、39号幢间、33、35、40号幢间、33、35、41号幢间</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50DD">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1341.4056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2869">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44ED5404">
        <w:tblPrEx>
          <w:tblCellMar>
            <w:top w:w="0" w:type="dxa"/>
            <w:left w:w="108" w:type="dxa"/>
            <w:bottom w:w="0" w:type="dxa"/>
            <w:right w:w="108" w:type="dxa"/>
          </w:tblCellMar>
        </w:tblPrEx>
        <w:trPr>
          <w:trHeight w:val="72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F376E">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872F">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茅廊巷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3418">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丰家兜民生路幢间</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E2B4">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民生路9、11号幢间、9、12号幢间、9、13号幢间、9、11号幢间南侧空地（铁门外）</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52A7">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 xml:space="preserve">1378.1074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C599">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5AA25265">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FFA4E">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705F">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茅廊巷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DF27">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丰家兜民生路幢间</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AFD5">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状元弄19号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A35A">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108.5504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4D78">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7AFE89C6">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23E77">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D03C">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茅廊巷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E955">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丰家兜民生路幢间</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556A">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丰禾巷34号院内</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FC38">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 xml:space="preserve">124.8597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3E70">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32952B1F">
        <w:tblPrEx>
          <w:tblCellMar>
            <w:top w:w="0" w:type="dxa"/>
            <w:left w:w="108" w:type="dxa"/>
            <w:bottom w:w="0" w:type="dxa"/>
            <w:right w:w="108" w:type="dxa"/>
          </w:tblCellMar>
        </w:tblPrEx>
        <w:trPr>
          <w:trHeight w:val="561"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9CA1D">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4A14">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茅廊巷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766A">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丰家兜民生路幢间</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65DB">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民生路2幢一、二、三、四、五单元院内（上、下两层）、清泰街456号向北</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F0AB">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 xml:space="preserve">451.3861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A430">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2EADA609">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5B2A">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6E5A">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茅廊巷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BBE7">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丰家兜民生路幢间</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311D">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民生路64号一、二单元院子内</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A7CD">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89.18319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DA68">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0B62544C">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7C888">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2B93">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茅廊巷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5ED8">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义井巷幢间路</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B965">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清泰街511号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60CD">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 xml:space="preserve">220.8785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8744">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406CA16E">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5F8DE">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DEAD">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梅花碑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FE6E">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信余里小区</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480B">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长寿弄（佑圣观路59号－信余里41号）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B6F0">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366.5160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DE19">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6283BFE2">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49B34">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2DAC">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梅花碑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F8EA">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信余里小区</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1B9C">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长寿弄6号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514C">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86.2105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8742">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07B9BE8F">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AB4D2">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50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1D81">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梅花碑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4261">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信余里小区</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FD50">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佑圣观路101号3幢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EAAF">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 xml:space="preserve">256.0528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D98A">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742D3333">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05A68">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51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3C61">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梅花碑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422D">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信余里小区</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AD2E">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信余里（北大门-南大门）</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3E4C">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2172.0779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6A45">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0EDCFC89">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CE3B8">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52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A870">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梅花碑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C3EE">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信余里小区</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6D4C">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信余里6幢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E705">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367.2557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C24B">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0EC9DCC1">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9417">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53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8FCB">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梅花碑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5357">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信余里小区</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AF9B">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信余里3幢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4643">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458.1179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E669">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35F3A15D">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90E3C">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54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F23A">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梅花碑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7FD0">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信余里小区</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6938">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信余里4幢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4601">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 xml:space="preserve">625.1351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56A7">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6B348893">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70C69">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55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B56B">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梅花碑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FA1C">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信余里小区</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E63B">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信余里7幢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C360">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294.9242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616E">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1540F85B">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7ECCB">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56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8E11">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梅花碑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6829">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信余里小区</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33D3">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信余里8幢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6D28">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358.9746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DE85">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6A711585">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0AA9F">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57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E1B3">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梅花碑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1622">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信余里小区</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8DE0">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信余里9幢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B6F4">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471.6503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A9C0">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4B2D6EB9">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A7C2">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58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2F50">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梅花碑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3F41">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信余里小区</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1403">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信余里41幢南—北</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3CEA">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807.3593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D137">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5141A8B3">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138A2">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59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B74A">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梅花碑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2747">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信余里小区</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2956">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信余里47幢—45幢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1A35">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 xml:space="preserve">420.3610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6796">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49C180A0">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AC9CF">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60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C683">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梅花碑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154F">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信余里小区</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B66B">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信余里5幢东—西</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0DBD">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267.8088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8D48">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1A20DAC7">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68F63">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61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3ED3">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梅花碑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7BD2">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信余里小区</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5937">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信余里17幢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EE39">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486.7753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F3F9">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6CEA4B04">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FA5DE">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62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2DE0">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梅花碑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6424">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信余里小区</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636F">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信余里18幢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2919">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 xml:space="preserve">307.8867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E879">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38CFDDEC">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C3F29">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63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C177">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梅花碑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B5B2">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三益里小区</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34DF">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三益里小区佑—10幢34号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F148">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397.1771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58BD">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65294B9F">
        <w:tblPrEx>
          <w:tblCellMar>
            <w:top w:w="0" w:type="dxa"/>
            <w:left w:w="108" w:type="dxa"/>
            <w:bottom w:w="0" w:type="dxa"/>
            <w:right w:w="108" w:type="dxa"/>
          </w:tblCellMar>
        </w:tblPrEx>
        <w:trPr>
          <w:trHeight w:val="576"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96DE">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64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20A9">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梅花碑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7712">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三益里小区</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5D39">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三益里小区6幢—11幢、6幢、7幢、8幢、9幢、10幢、5幢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9689">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 xml:space="preserve">1924.8223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B75D">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06C401E6">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5AB82">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65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1EF83">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梅花碑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93AC">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福利新村小区</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C880">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福利新村（9幢-南大门）</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399F">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1783.9456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06A5">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504A3320">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7299">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66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52C4">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梅花碑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327A">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福利新村小区</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F28D">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福利新村8幢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E5F8">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 xml:space="preserve">366.0563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C47E">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63D9AE24">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5A951">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67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E14F">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梅花碑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A418">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福利新村小区</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8B16">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福利新村6—8幢、6幢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0DEB">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 xml:space="preserve">1183.5540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34D1A">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617CB55F">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9CFA2">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68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55FA">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梅花碑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2F4C">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福利新村小区</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8A0D">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福利新村5幢后面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9B35">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137.2175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A5A5">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2E4919EA">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53036">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69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57F0">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梅花碑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EC43">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福利新村小区</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5E9E">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福利新村3幢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29BB">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278.1297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53DF">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7EF6B095">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DDB1B">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70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ACFA">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梅花碑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9E5F">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福利新村小区</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FD8F">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福利新村4幢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1193">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451.7591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3B03">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2FA26638">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B53BC">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71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4051">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梅花碑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09B6">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福利新村小区</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A66A">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福利新村2幢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5527">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417.1518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FD61">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67B4AEED">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6252F">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72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B7BA">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梅花碑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622C">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福利新村小区</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8B50">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福利新村1幢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E90C">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 xml:space="preserve">337.1576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8C8B">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0332DF73">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66227">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73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386D">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梅花碑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3DC2">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城头巷</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6712">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城头巷（城头巷70－128号）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8AF7">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4184.8445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7FCF">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1DCC14B6">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46A0E">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74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4965">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梅花碑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C721">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福利新村小区</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130B">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水亭址5号院内</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ABC7">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 xml:space="preserve">163.6860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F8E9">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56EADCC9">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8563E">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75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C00F">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梅花碑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980D">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福利新村小区</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63F6">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水亭址22号院内1、2、3幢间</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8D45">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 xml:space="preserve">727.3997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B6CF">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7922F9D0">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95102">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76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153F">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梅花碑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4202">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信余里小区</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33EA">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佑圣观路101号2幢、4幢、5幢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3A9C">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1029.7256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5755">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19F00772">
        <w:tblPrEx>
          <w:tblCellMar>
            <w:top w:w="0" w:type="dxa"/>
            <w:left w:w="108" w:type="dxa"/>
            <w:bottom w:w="0" w:type="dxa"/>
            <w:right w:w="108" w:type="dxa"/>
          </w:tblCellMar>
        </w:tblPrEx>
        <w:trPr>
          <w:trHeight w:val="1068"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93518">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77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9D3F">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梅花碑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B4E0">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直吉祥巷及幢间路</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591C">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直吉祥巷（河坊街-梅花碑）、直吉祥巷37、39、42号北（即佑圣观路38幢北）、44幢、47幢、63、64、65号巷子、66、67、68、69号院子、佑圣观路44号院子</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6300">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4449.0907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67C3">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3EB09624">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04FD4">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78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633C">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梅花碑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2A47">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五柳巷幢间路</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0A4D">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五柳巷（东：河边/南：斗富三桥/西：城头巷/北：西湖大道）</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4523">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3283.4698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C4DB">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0560B5EF">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24B7B">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79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5B1D">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梅花碑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157A">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仁智里</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E11E">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佑圣观路49号对面</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DB3CE">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 xml:space="preserve">206.0000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38D6">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2E07789B">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8670F">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80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2520">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梅花碑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BE6F">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斗富二桥西河下22号北</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316A">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小块空地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591EA">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108.0000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80BF">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10791FDC">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8E3C8">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81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E1D3">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梅花碑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2D1F">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四维里一弄、二弄</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F011">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四维里一弄、二弄</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FF7FF">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 xml:space="preserve">418.0000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3BDE">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532AE7BA">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82918">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82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42CF">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西牌楼</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75C9">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建国南苑</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B4AB">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建国南苑2－18幢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4795">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7926.3499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3976">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2516E80A">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520EB">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83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F76C">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西牌楼</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1DB1">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断河头</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3AAE">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断河头1－30号幢间</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20C9">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2930.4045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9FEF">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51F400A1">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0598B">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84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3617">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姚园寺巷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1257">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江城路幢间路</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ECF6">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江城路708号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569D">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403.8954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CF6B">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1ABBEF7C">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C866E">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85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9553">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姚园寺巷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6A521">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江城路幢间路</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17FE">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江城路722号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2E7B">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 xml:space="preserve">340.3739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A296">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37EEE672">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FB5E7">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86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305A">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姚园寺巷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F5DA">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江城路幢间路</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BCA8">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江城路742号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B5E30">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174.1637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ADDC">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6D1AFDAA">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087C">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87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CB32">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姚园寺巷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6520">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江城路幢间路</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5B95">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称心里（江城路74号－东塞）、称心里1-7号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EE2F">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906.2557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445F">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7D778221">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7C1E6">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88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25B4">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姚园寺巷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88A5">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江城路幢间路</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936F">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陆家河头1、3、4幢、5、6、7、8、9幢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3C15">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 xml:space="preserve">2445.7619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1E88">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147C1A20">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BF77">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89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1A2C">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姚园寺巷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A0FE">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羊线弄幢间路</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ED29">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羊线弄主干道（姚园寺巷9号－羊线弄37号）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33FB">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1452.2968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638E">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1280B37E">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C7306">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B8FE">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姚园寺巷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BE01">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羊线弄幢间路</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CA65">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羊线弄36号、35号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8B5A">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 xml:space="preserve">347.5028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851E">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2B544AE5">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503F0">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91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9A76">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姚园寺巷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CEAD">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羊线弄幢间路</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C76C">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羊线弄29号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7B4B">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 xml:space="preserve">189.7911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C3E2">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190D903F">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03959">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92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872B">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姚园寺巷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13BB">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羊线弄幢间路</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6F65">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羊线弄38号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2A9C">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383.0250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3ED8">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65FD8FEC">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CDEE9">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93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2254">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姚园寺巷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ED16">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羊线弄幢间路</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5725">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羊线弄40号、33号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1A7B">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 xml:space="preserve">265.9873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56AC">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49581809">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78B50">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94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7C91">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姚园寺巷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4FFE">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羊线弄幢间路</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5B6D">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姚园寺巷10号、9号、11号、22号、23号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8555">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 xml:space="preserve">902.1450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0336">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44056B7B">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D5C4A">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95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849C">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姚园寺巷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BFBB">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羊线弄幢间路</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620C">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建国南苑46幢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94C2">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202.4243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F3E3">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335506A4">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A6580">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96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A704">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姚园寺巷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DDFC">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羊线弄幢间路</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DD8D">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建国南苑57、62幢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56B9">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292.1482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1188">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60A4491D">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D71B">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97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6AEA">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姚园寺巷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6576">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羊线弄幢间路</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E179">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姚园寺巷37号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CC55">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278.2000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8938">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6E6C2ECE">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BEE1">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98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08CD">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姚园寺巷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797A">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江城路幢间路</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226F">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江城路734号巷子</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9C44">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 xml:space="preserve">103.3201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C824">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49FF4DAF">
        <w:tblPrEx>
          <w:tblCellMar>
            <w:top w:w="0" w:type="dxa"/>
            <w:left w:w="108" w:type="dxa"/>
            <w:bottom w:w="0" w:type="dxa"/>
            <w:right w:w="108" w:type="dxa"/>
          </w:tblCellMar>
        </w:tblPrEx>
        <w:trPr>
          <w:trHeight w:val="454" w:hRule="atLeast"/>
        </w:trPr>
        <w:tc>
          <w:tcPr>
            <w:tcW w:w="540" w:type="dxa"/>
            <w:tcBorders>
              <w:top w:val="nil"/>
              <w:left w:val="single" w:color="000000" w:sz="4" w:space="0"/>
              <w:bottom w:val="single" w:color="000000" w:sz="4" w:space="0"/>
              <w:right w:val="single" w:color="000000" w:sz="4" w:space="0"/>
            </w:tcBorders>
            <w:shd w:val="clear" w:color="auto" w:fill="auto"/>
            <w:noWrap/>
            <w:vAlign w:val="center"/>
          </w:tcPr>
          <w:p w14:paraId="0664FCBE">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99</w:t>
            </w:r>
          </w:p>
        </w:tc>
        <w:tc>
          <w:tcPr>
            <w:tcW w:w="975" w:type="dxa"/>
            <w:tcBorders>
              <w:top w:val="nil"/>
              <w:left w:val="single" w:color="000000" w:sz="4" w:space="0"/>
              <w:bottom w:val="single" w:color="000000" w:sz="4" w:space="0"/>
              <w:right w:val="single" w:color="000000" w:sz="4" w:space="0"/>
            </w:tcBorders>
            <w:shd w:val="clear" w:color="auto" w:fill="auto"/>
            <w:noWrap/>
            <w:vAlign w:val="center"/>
          </w:tcPr>
          <w:p w14:paraId="79E69ED9">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长明寺巷</w:t>
            </w:r>
          </w:p>
        </w:tc>
        <w:tc>
          <w:tcPr>
            <w:tcW w:w="1530" w:type="dxa"/>
            <w:tcBorders>
              <w:top w:val="nil"/>
              <w:left w:val="single" w:color="000000" w:sz="4" w:space="0"/>
              <w:bottom w:val="single" w:color="000000" w:sz="4" w:space="0"/>
              <w:right w:val="single" w:color="000000" w:sz="4" w:space="0"/>
            </w:tcBorders>
            <w:shd w:val="clear" w:color="auto" w:fill="auto"/>
            <w:vAlign w:val="center"/>
          </w:tcPr>
          <w:p w14:paraId="238E9C9F">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锅子弄幢间路</w:t>
            </w:r>
          </w:p>
        </w:tc>
        <w:tc>
          <w:tcPr>
            <w:tcW w:w="4012" w:type="dxa"/>
            <w:tcBorders>
              <w:top w:val="nil"/>
              <w:left w:val="single" w:color="000000" w:sz="4" w:space="0"/>
              <w:bottom w:val="single" w:color="000000" w:sz="4" w:space="0"/>
              <w:right w:val="single" w:color="000000" w:sz="4" w:space="0"/>
            </w:tcBorders>
            <w:shd w:val="clear" w:color="auto" w:fill="auto"/>
            <w:vAlign w:val="center"/>
          </w:tcPr>
          <w:p w14:paraId="5D3F6DBD">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锅子弄（锅子弄1－9号）</w:t>
            </w:r>
          </w:p>
        </w:tc>
        <w:tc>
          <w:tcPr>
            <w:tcW w:w="1462" w:type="dxa"/>
            <w:tcBorders>
              <w:top w:val="nil"/>
              <w:left w:val="single" w:color="000000" w:sz="4" w:space="0"/>
              <w:bottom w:val="single" w:color="000000" w:sz="4" w:space="0"/>
              <w:right w:val="single" w:color="000000" w:sz="4" w:space="0"/>
            </w:tcBorders>
            <w:shd w:val="clear" w:color="auto" w:fill="auto"/>
            <w:vAlign w:val="center"/>
          </w:tcPr>
          <w:p w14:paraId="2E5B73F0">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 xml:space="preserve">533.9753 </w:t>
            </w:r>
          </w:p>
        </w:tc>
        <w:tc>
          <w:tcPr>
            <w:tcW w:w="1215" w:type="dxa"/>
            <w:tcBorders>
              <w:top w:val="nil"/>
              <w:left w:val="single" w:color="000000" w:sz="4" w:space="0"/>
              <w:bottom w:val="single" w:color="000000" w:sz="4" w:space="0"/>
              <w:right w:val="single" w:color="000000" w:sz="4" w:space="0"/>
            </w:tcBorders>
            <w:shd w:val="clear" w:color="auto" w:fill="auto"/>
            <w:vAlign w:val="center"/>
          </w:tcPr>
          <w:p w14:paraId="5E6B827A">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7C4C71ED">
        <w:tblPrEx>
          <w:tblCellMar>
            <w:top w:w="0" w:type="dxa"/>
            <w:left w:w="108" w:type="dxa"/>
            <w:bottom w:w="0" w:type="dxa"/>
            <w:right w:w="108" w:type="dxa"/>
          </w:tblCellMar>
        </w:tblPrEx>
        <w:trPr>
          <w:trHeight w:val="51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D237">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099A1">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长明寺巷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8651">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小米巷幢间路(长明寺巷幢间路)</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D38E">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小米巷（上马坡巷－小米巷21号）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8D89">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 xml:space="preserve">971.5542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2E9B">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6877ACEE">
        <w:tblPrEx>
          <w:tblCellMar>
            <w:top w:w="0" w:type="dxa"/>
            <w:left w:w="108" w:type="dxa"/>
            <w:bottom w:w="0" w:type="dxa"/>
            <w:right w:w="108" w:type="dxa"/>
          </w:tblCellMar>
        </w:tblPrEx>
        <w:trPr>
          <w:trHeight w:val="51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CB0B5">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6B92">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长明寺巷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4B97">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小米巷幢间路(长明寺巷幢间路)</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99B7">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联珠里（长明寺巷22号－小米巷12号）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E80C">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 xml:space="preserve">1376.3771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F5B6">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266411E3">
        <w:tblPrEx>
          <w:tblCellMar>
            <w:top w:w="0" w:type="dxa"/>
            <w:left w:w="108" w:type="dxa"/>
            <w:bottom w:w="0" w:type="dxa"/>
            <w:right w:w="108" w:type="dxa"/>
          </w:tblCellMar>
        </w:tblPrEx>
        <w:trPr>
          <w:trHeight w:val="51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11FE7">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D1881">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长明寺巷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968C">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小米巷幢间路(长明寺巷幢间路)</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492B">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小米巷4号、2、3号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DE4F">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685.2560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5E93">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6D74F87D">
        <w:tblPrEx>
          <w:tblCellMar>
            <w:top w:w="0" w:type="dxa"/>
            <w:left w:w="108" w:type="dxa"/>
            <w:bottom w:w="0" w:type="dxa"/>
            <w:right w:w="108" w:type="dxa"/>
          </w:tblCellMar>
        </w:tblPrEx>
        <w:trPr>
          <w:trHeight w:val="51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D9E1">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103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08F95">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长明寺巷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CA95">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小米巷幢间路(长明寺巷幢间路)</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F7092">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联珠里1、2、3幢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891C">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704.1235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9161">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335F9748">
        <w:tblPrEx>
          <w:tblCellMar>
            <w:top w:w="0" w:type="dxa"/>
            <w:left w:w="108" w:type="dxa"/>
            <w:bottom w:w="0" w:type="dxa"/>
            <w:right w:w="108" w:type="dxa"/>
          </w:tblCellMar>
        </w:tblPrEx>
        <w:trPr>
          <w:trHeight w:val="51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81823">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104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5DF4E">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长明寺巷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B26A">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小米巷幢间路(长明寺巷幢间路)</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AB38">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长明寺巷22号、联珠里9号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8B9D">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468.8279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84DE">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70803A0B">
        <w:tblPrEx>
          <w:tblCellMar>
            <w:top w:w="0" w:type="dxa"/>
            <w:left w:w="108" w:type="dxa"/>
            <w:bottom w:w="0" w:type="dxa"/>
            <w:right w:w="108" w:type="dxa"/>
          </w:tblCellMar>
        </w:tblPrEx>
        <w:trPr>
          <w:trHeight w:val="51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EE9D">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5FE41">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长明寺巷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1BFE">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锅子弄幢间路</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6DA8">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锅子弄1-2号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F651">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207.0943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35DF">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20F17AAC">
        <w:tblPrEx>
          <w:tblCellMar>
            <w:top w:w="0" w:type="dxa"/>
            <w:left w:w="108" w:type="dxa"/>
            <w:bottom w:w="0" w:type="dxa"/>
            <w:right w:w="108" w:type="dxa"/>
          </w:tblCellMar>
        </w:tblPrEx>
        <w:trPr>
          <w:trHeight w:val="51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550A5">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106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FD3F6">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长明寺巷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52AD">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小米巷幢间路(长明寺巷幢间路)</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167C">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长明寺巷20号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5245">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192.2054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A284">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37C62FBC">
        <w:tblPrEx>
          <w:tblCellMar>
            <w:top w:w="0" w:type="dxa"/>
            <w:left w:w="108" w:type="dxa"/>
            <w:bottom w:w="0" w:type="dxa"/>
            <w:right w:w="108" w:type="dxa"/>
          </w:tblCellMar>
        </w:tblPrEx>
        <w:trPr>
          <w:trHeight w:val="51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B6F09">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107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53866">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长明寺巷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D908">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小米巷幢间路(长明寺巷幢间路)</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214D">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马坡巷12-15号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1510B">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 xml:space="preserve">456.9654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07B5">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7CEC520E">
        <w:tblPrEx>
          <w:tblCellMar>
            <w:top w:w="0" w:type="dxa"/>
            <w:left w:w="108" w:type="dxa"/>
            <w:bottom w:w="0" w:type="dxa"/>
            <w:right w:w="108" w:type="dxa"/>
          </w:tblCellMar>
        </w:tblPrEx>
        <w:trPr>
          <w:trHeight w:val="51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3A632">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108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430FA">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长明寺巷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DD87">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小米巷幢间路(长明寺巷幢间路)</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59E6">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马坡巷2、3号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7EE5">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 xml:space="preserve">388.0897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567F">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60035AA2">
        <w:tblPrEx>
          <w:tblCellMar>
            <w:top w:w="0" w:type="dxa"/>
            <w:left w:w="108" w:type="dxa"/>
            <w:bottom w:w="0" w:type="dxa"/>
            <w:right w:w="108" w:type="dxa"/>
          </w:tblCellMar>
        </w:tblPrEx>
        <w:trPr>
          <w:trHeight w:val="51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55B50">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109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8FEC">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长明寺巷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883F">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小米巷幢间路(长明寺巷幢间路)</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755A">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环东后16号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71B3">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 xml:space="preserve">534.9077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EA66">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5633D150">
        <w:tblPrEx>
          <w:tblCellMar>
            <w:top w:w="0" w:type="dxa"/>
            <w:left w:w="108" w:type="dxa"/>
            <w:bottom w:w="0" w:type="dxa"/>
            <w:right w:w="108" w:type="dxa"/>
          </w:tblCellMar>
        </w:tblPrEx>
        <w:trPr>
          <w:trHeight w:val="51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043CE">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110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88E30">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长明寺巷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9AF8">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小米巷幢间路(长明寺巷幢间路)</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0B6C">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上马坡巷21号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3471">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173.0076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C3C5">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22686CFE">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9176D">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111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F22AD">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长明寺巷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1C08">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锅子弄幢间路</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B9E1">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锅子弄4-5号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D033">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 xml:space="preserve">315.4113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C61E">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30F1406A">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A16CF">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112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2714">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长明寺巷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B2A0">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锅子弄幢间路</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9DE6">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锅子弄6-7号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31BD">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 xml:space="preserve">205.3422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F8D5">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13B6ACE5">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167D">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113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2CD8B">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长明寺巷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8114">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锅子弄幢间路</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74A5">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锅子弄8-9号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A8B2">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208.7384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4803">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290F87AA">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B1F01">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114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80351">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长明寺巷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5277">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锅子弄幢间路</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C86B">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锅子弄10-14号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B4B8">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 xml:space="preserve">564.6180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F9AA">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28CBC609">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F37D">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115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AD0F1">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长明寺巷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8EFB">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锅子弄幢间路</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D854">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清泰街280号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12DB">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 xml:space="preserve">454.2112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BADE">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0356932B">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04B5C">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116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E64F9">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长明寺巷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2A93">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长庆里幢间路</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02E0">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长庆里（长庆里28－56号）、38号、39-41号、44号、55号、长庆里</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E488">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 xml:space="preserve">2948.2336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C7C3">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493124D8">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8945A">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117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4A1EF">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长明寺巷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9361">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长庆里幢间路</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66C1">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清泰街184、186、188号幢间</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B0B3">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 xml:space="preserve">390.6319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B4B3">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1E12B60F">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CB39A">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118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BE4A3">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长明寺巷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AD5C">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长庆里幢间路</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6404">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清泰街257号幢间（清泰街南面）</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8298">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507.8653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3F62">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59B96EF9">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E64B">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119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38718">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长明寺巷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2657">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锅子弄幢间路</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8CEA">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清泰街210号幢间、214号幢间、218号幢间、222号幢间、226号幢间</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6F05">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935.4334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7961">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54223CF1">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52301">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120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35BCC">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长明寺巷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795D">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长明寺巷35号-37号</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4853">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长明寺巷35号-37号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1710">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 xml:space="preserve">231.0000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C935">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373B9BDC">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6E9DB">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121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65EE3">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长明寺巷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A703">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马坡巷（马坡巷直路）</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3B8A">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马坡巷（马坡巷直路）</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23EF">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 xml:space="preserve">1823.0000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FAD3">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14906F1E">
        <w:tblPrEx>
          <w:tblCellMar>
            <w:top w:w="0" w:type="dxa"/>
            <w:left w:w="108" w:type="dxa"/>
            <w:bottom w:w="0" w:type="dxa"/>
            <w:right w:w="108" w:type="dxa"/>
          </w:tblCellMar>
        </w:tblPrEx>
        <w:trPr>
          <w:trHeight w:val="454" w:hRule="atLeast"/>
        </w:trPr>
        <w:tc>
          <w:tcPr>
            <w:tcW w:w="540" w:type="dxa"/>
            <w:tcBorders>
              <w:top w:val="single" w:color="000000" w:sz="4" w:space="0"/>
              <w:left w:val="single" w:color="000000" w:sz="4" w:space="0"/>
              <w:bottom w:val="nil"/>
              <w:right w:val="single" w:color="000000" w:sz="4" w:space="0"/>
            </w:tcBorders>
            <w:shd w:val="clear" w:color="auto" w:fill="auto"/>
            <w:noWrap/>
            <w:vAlign w:val="center"/>
          </w:tcPr>
          <w:p w14:paraId="78A3B720">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122</w:t>
            </w:r>
          </w:p>
        </w:tc>
        <w:tc>
          <w:tcPr>
            <w:tcW w:w="975" w:type="dxa"/>
            <w:tcBorders>
              <w:top w:val="single" w:color="000000" w:sz="4" w:space="0"/>
              <w:left w:val="single" w:color="000000" w:sz="4" w:space="0"/>
              <w:bottom w:val="nil"/>
              <w:right w:val="single" w:color="000000" w:sz="4" w:space="0"/>
            </w:tcBorders>
            <w:shd w:val="clear" w:color="auto" w:fill="auto"/>
            <w:noWrap/>
            <w:vAlign w:val="center"/>
          </w:tcPr>
          <w:p w14:paraId="6F87D0EA">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长明寺巷</w:t>
            </w:r>
          </w:p>
        </w:tc>
        <w:tc>
          <w:tcPr>
            <w:tcW w:w="1530" w:type="dxa"/>
            <w:tcBorders>
              <w:top w:val="single" w:color="000000" w:sz="4" w:space="0"/>
              <w:left w:val="single" w:color="000000" w:sz="4" w:space="0"/>
              <w:bottom w:val="nil"/>
              <w:right w:val="single" w:color="000000" w:sz="4" w:space="0"/>
            </w:tcBorders>
            <w:shd w:val="clear" w:color="auto" w:fill="auto"/>
            <w:vAlign w:val="center"/>
          </w:tcPr>
          <w:p w14:paraId="5A55F594">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锅子弄30号北侧小弄</w:t>
            </w:r>
          </w:p>
        </w:tc>
        <w:tc>
          <w:tcPr>
            <w:tcW w:w="4012" w:type="dxa"/>
            <w:tcBorders>
              <w:top w:val="single" w:color="000000" w:sz="4" w:space="0"/>
              <w:left w:val="single" w:color="000000" w:sz="4" w:space="0"/>
              <w:bottom w:val="nil"/>
              <w:right w:val="single" w:color="000000" w:sz="4" w:space="0"/>
            </w:tcBorders>
            <w:shd w:val="clear" w:color="auto" w:fill="auto"/>
            <w:vAlign w:val="center"/>
          </w:tcPr>
          <w:p w14:paraId="6DFA8B54">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锅子弄30号北侧小弄</w:t>
            </w:r>
          </w:p>
        </w:tc>
        <w:tc>
          <w:tcPr>
            <w:tcW w:w="1462" w:type="dxa"/>
            <w:tcBorders>
              <w:top w:val="single" w:color="000000" w:sz="4" w:space="0"/>
              <w:left w:val="single" w:color="000000" w:sz="4" w:space="0"/>
              <w:bottom w:val="nil"/>
              <w:right w:val="single" w:color="000000" w:sz="4" w:space="0"/>
            </w:tcBorders>
            <w:shd w:val="clear" w:color="auto" w:fill="auto"/>
            <w:vAlign w:val="center"/>
          </w:tcPr>
          <w:p w14:paraId="2A7BE7A1">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242.0000</w:t>
            </w:r>
          </w:p>
        </w:tc>
        <w:tc>
          <w:tcPr>
            <w:tcW w:w="1215" w:type="dxa"/>
            <w:tcBorders>
              <w:top w:val="single" w:color="000000" w:sz="4" w:space="0"/>
              <w:left w:val="single" w:color="000000" w:sz="4" w:space="0"/>
              <w:bottom w:val="nil"/>
              <w:right w:val="single" w:color="000000" w:sz="4" w:space="0"/>
            </w:tcBorders>
            <w:shd w:val="clear" w:color="auto" w:fill="auto"/>
            <w:vAlign w:val="center"/>
          </w:tcPr>
          <w:p w14:paraId="3B29B49B">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二类街巷</w:t>
            </w:r>
          </w:p>
        </w:tc>
      </w:tr>
      <w:tr w14:paraId="44458C0A">
        <w:tblPrEx>
          <w:tblCellMar>
            <w:top w:w="0" w:type="dxa"/>
            <w:left w:w="108" w:type="dxa"/>
            <w:bottom w:w="0" w:type="dxa"/>
            <w:right w:w="108" w:type="dxa"/>
          </w:tblCellMar>
        </w:tblPrEx>
        <w:trPr>
          <w:trHeight w:val="454" w:hRule="atLeast"/>
        </w:trPr>
        <w:tc>
          <w:tcPr>
            <w:tcW w:w="7057" w:type="dxa"/>
            <w:gridSpan w:val="4"/>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FC493D1">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合计</w:t>
            </w:r>
          </w:p>
        </w:tc>
        <w:tc>
          <w:tcPr>
            <w:tcW w:w="1462"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300FAC8">
            <w:pPr>
              <w:widowControl/>
              <w:jc w:val="center"/>
              <w:textAlignment w:val="center"/>
              <w:rPr>
                <w:rFonts w:hint="eastAsia" w:ascii="宋体" w:hAnsi="宋体" w:eastAsia="宋体" w:cs="宋体"/>
                <w:color w:val="auto"/>
                <w:sz w:val="18"/>
                <w:szCs w:val="18"/>
                <w:highlight w:val="none"/>
              </w:rPr>
            </w:pPr>
            <w:r>
              <w:rPr>
                <w:rFonts w:hint="eastAsia" w:ascii="宋体" w:hAnsi="宋体" w:cs="宋体"/>
                <w:color w:val="auto"/>
                <w:kern w:val="0"/>
                <w:sz w:val="16"/>
                <w:szCs w:val="16"/>
                <w:highlight w:val="none"/>
                <w:lang w:bidi="ar"/>
              </w:rPr>
              <w:t xml:space="preserve">86662.29 </w:t>
            </w:r>
          </w:p>
        </w:tc>
        <w:tc>
          <w:tcPr>
            <w:tcW w:w="12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1590CAD">
            <w:pPr>
              <w:jc w:val="center"/>
              <w:rPr>
                <w:rFonts w:hint="eastAsia" w:ascii="宋体" w:hAnsi="宋体" w:eastAsia="宋体" w:cs="宋体"/>
                <w:color w:val="auto"/>
                <w:sz w:val="18"/>
                <w:szCs w:val="18"/>
                <w:highlight w:val="none"/>
              </w:rPr>
            </w:pPr>
          </w:p>
        </w:tc>
      </w:tr>
    </w:tbl>
    <w:p w14:paraId="6D2CFF51">
      <w:pPr>
        <w:pStyle w:val="2"/>
        <w:numPr>
          <w:ilvl w:val="0"/>
          <w:numId w:val="1"/>
        </w:numPr>
        <w:snapToGrid w:val="0"/>
        <w:spacing w:line="560" w:lineRule="exact"/>
        <w:ind w:left="12" w:hanging="12"/>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项目采购需求</w:t>
      </w:r>
    </w:p>
    <w:p w14:paraId="450B544D">
      <w:pPr>
        <w:pStyle w:val="2"/>
        <w:snapToGrid w:val="0"/>
        <w:spacing w:line="560" w:lineRule="exact"/>
        <w:ind w:left="0" w:firstLine="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服务内容、要求及标准</w:t>
      </w:r>
    </w:p>
    <w:p w14:paraId="2617E793">
      <w:pPr>
        <w:pStyle w:val="257"/>
        <w:snapToGrid w:val="0"/>
        <w:spacing w:line="560" w:lineRule="exact"/>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（一）准物业管理服务内容</w:t>
      </w:r>
    </w:p>
    <w:p w14:paraId="0FDCAB4F">
      <w:pPr>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1.物业管理区域内物业共用部位、共用设施设备的管理及维修养护；</w:t>
      </w:r>
    </w:p>
    <w:p w14:paraId="4C387658">
      <w:pPr>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2.物业管理区域内公共秩序和环境卫生的维护、垃圾分类；</w:t>
      </w:r>
    </w:p>
    <w:p w14:paraId="1956DBBA">
      <w:pPr>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3.物业管理区域内的绿化养护和管理；</w:t>
      </w:r>
    </w:p>
    <w:p w14:paraId="7F313D1B">
      <w:pPr>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4.物业管理区域内车辆机动车和非机动车行驶、停放及场所管理；</w:t>
      </w:r>
    </w:p>
    <w:p w14:paraId="448087E9">
      <w:pPr>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5.供水、供电、供气、电信等专业单位在物业管理区域内对相关管线、设施维修养护时，进行必要的协调和管理；</w:t>
      </w:r>
    </w:p>
    <w:p w14:paraId="56D8D5BB">
      <w:pPr>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6.物业管理区域的日常安全巡查服务；</w:t>
      </w:r>
    </w:p>
    <w:p w14:paraId="5B4BB9C1">
      <w:pPr>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7.物业档案资料的保管及有关物业服务费用的帐务管理。</w:t>
      </w:r>
    </w:p>
    <w:p w14:paraId="64B19AFB">
      <w:pPr>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8.区域内业主投诉、文化建设和便民服务活动等。</w:t>
      </w:r>
    </w:p>
    <w:p w14:paraId="2BE0DC7A">
      <w:pPr>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9.街道以及社区临时需要准物业完成、配合的各项工作。</w:t>
      </w:r>
    </w:p>
    <w:p w14:paraId="25E0A858">
      <w:pPr>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10.法律政策及合同规定的其他事项。</w:t>
      </w:r>
    </w:p>
    <w:p w14:paraId="0256BF2B">
      <w:pPr>
        <w:snapToGrid w:val="0"/>
        <w:spacing w:line="560" w:lineRule="exact"/>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服务要求及标准</w:t>
      </w:r>
    </w:p>
    <w:p w14:paraId="6726D14E">
      <w:pPr>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1.环境秩序：在保洁方面，首先负责物业范围内的全区域卫生，环境卫生要求按照街道、社区考核要求进行，其次对沿街店铺出店经营、门前三包工作做好对应的劝导工作，做到整齐划一。</w:t>
      </w:r>
    </w:p>
    <w:p w14:paraId="2F784526">
      <w:pPr>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2.绿化养护：在绿化养护方面，要求实施专业绿化养护管理，定期修剪养护，清理杂草，确保绿地树木存活率，绿地植被覆盖良好，进一步美化小区环境。</w:t>
      </w:r>
    </w:p>
    <w:p w14:paraId="617099FC">
      <w:pPr>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3.设施维修：要求建立完善的信息资源库，制定管理工作流程、工作制度及工作职责，安排专业的维修人员，对小区内出现的公共设施问题，能够在最短的时间内得到解决，从而为居民提供优质高效的服务。</w:t>
      </w:r>
    </w:p>
    <w:p w14:paraId="32125174">
      <w:pPr>
        <w:snapToGrid w:val="0"/>
        <w:spacing w:line="560" w:lineRule="exact"/>
        <w:ind w:firstLine="480" w:firstLineChars="200"/>
        <w:rPr>
          <w:rFonts w:hint="eastAsia" w:ascii="宋体" w:hAnsi="宋体" w:eastAsia="宋体" w:cs="宋体"/>
          <w:color w:val="auto"/>
          <w:sz w:val="24"/>
          <w:highlight w:val="magenta"/>
        </w:rPr>
      </w:pPr>
      <w:r>
        <w:rPr>
          <w:rFonts w:hint="eastAsia" w:ascii="宋体" w:hAnsi="宋体" w:eastAsia="宋体" w:cs="宋体"/>
          <w:color w:val="auto"/>
          <w:sz w:val="24"/>
          <w:highlight w:val="none"/>
        </w:rPr>
        <w:t>为避免因基础设施陈旧影响居民日常生活的问题，现小区内电控门、楼道灯、大铁门、垃圾房、窨井盖、空调雨水管、落水管、公共雨棚、公共晾衣架、屋面沿沟、雨水井、污水井、绿化等公共设施均列入综合管理范围（考虑到可变因素较大，屋顶补漏不列入本综合管理服务范围内），6个社区的社区公共管理维修，亦由</w:t>
      </w:r>
      <w:r>
        <w:rPr>
          <w:rFonts w:hint="eastAsia" w:ascii="宋体" w:hAnsi="宋体" w:cs="宋体"/>
          <w:color w:val="auto"/>
          <w:sz w:val="24"/>
          <w:highlight w:val="none"/>
          <w:lang w:eastAsia="zh-CN"/>
        </w:rPr>
        <w:t>中标单位</w:t>
      </w:r>
      <w:r>
        <w:rPr>
          <w:rFonts w:hint="eastAsia" w:ascii="宋体" w:hAnsi="宋体" w:eastAsia="宋体" w:cs="宋体"/>
          <w:color w:val="auto"/>
          <w:sz w:val="24"/>
          <w:highlight w:val="none"/>
        </w:rPr>
        <w:t>全面接管，每个社区费用设定为30000元，总计年度费用达180000元/年</w:t>
      </w:r>
      <w:r>
        <w:rPr>
          <w:rFonts w:hint="eastAsia" w:ascii="宋体" w:hAnsi="宋体" w:cs="宋体"/>
          <w:color w:val="auto"/>
          <w:sz w:val="24"/>
          <w:highlight w:val="none"/>
          <w:lang w:eastAsia="zh-CN"/>
        </w:rPr>
        <w:t>，由中标单位支出。</w:t>
      </w:r>
    </w:p>
    <w:p w14:paraId="68CB2D71">
      <w:pPr>
        <w:snapToGrid w:val="0"/>
        <w:spacing w:line="5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4.楼道亮灯：居民楼里老人多，且房子老旧；夜间出行如遇楼道灯故障会非常不便，同时也存在安全隐患。对于故障的楼道灯，中标单位维修人员须在24小时内进行修复，以保证居民出行的安全。</w:t>
      </w:r>
    </w:p>
    <w:p w14:paraId="6DC08C7C">
      <w:pPr>
        <w:snapToGrid w:val="0"/>
        <w:spacing w:line="5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停车管理：中标单位须负责中标服务区域内车辆有序及安全停放管理，包含：小区内车辆有序及安全停放管理、保证小区内车辆的有序进出及小区道路的顺畅通行。中标单位还须负责门禁系统及门禁道闸的操作、管理、维护，确保居民及访客的顺畅出入。</w:t>
      </w:r>
    </w:p>
    <w:p w14:paraId="5AFB7EDC">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 消防、安全防范：指整个金钱巷、长明寺巷、茅廊巷、姚园寺巷、西牌楼、梅花碑组成南片区域的安保，安全监控系统24小时值班管理，公共区域24小时巡防。每日防火巡查，重点对电动自行车集中充停区域、消防车车道、楼道堆积物、公共消防器材等进行定期整治和维护。以及公共楼道、车库灭火器、小区室外消火栓消防设施、器材的增补和维护保养工作。通过努力达到稳定、和谐、规范、有序，确保安全，争创省内服务领先水平。</w:t>
      </w:r>
    </w:p>
    <w:p w14:paraId="39E6C3F4">
      <w:pPr>
        <w:numPr>
          <w:ilvl w:val="0"/>
          <w:numId w:val="2"/>
        </w:numPr>
        <w:snapToGrid w:val="0"/>
        <w:spacing w:line="5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垃圾分类：指整个区域的生活垃圾定时定点专人负责分类点的分类服务；倡导智慧分类、规范收运处置、提升整体质量；建筑垃圾规范，装修施工监管、垃圾清运、日常处置监管。</w:t>
      </w:r>
    </w:p>
    <w:p w14:paraId="0FA7B755">
      <w:pPr>
        <w:snapToGrid w:val="0"/>
        <w:spacing w:line="5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8.其他服务：物业公司在现场应设有服务接待中心，公示24小时服务电话。有完整的报修、维修和回访记录，包括但不限于公共部位、业主的接报修等服务。协助组织开展社区文化和便民服务活动，积极开展老旧小区党建和文化建设，为居民提供丰富多彩的文化生活，提升老旧住宅小区居住幸福感和满意度。</w:t>
      </w:r>
    </w:p>
    <w:p w14:paraId="0006A463">
      <w:pPr>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9.提质提价：根据区住建要求，推进南片区所有准物业小区物业费从0.15元/㎡提高到0.56元/㎡；</w:t>
      </w:r>
    </w:p>
    <w:p w14:paraId="3B0B5CFB">
      <w:pPr>
        <w:snapToGrid w:val="0"/>
        <w:spacing w:line="560" w:lineRule="exact"/>
        <w:ind w:firstLine="480" w:firstLineChars="200"/>
        <w:rPr>
          <w:rFonts w:hint="eastAsia" w:ascii="宋体" w:hAnsi="宋体" w:eastAsia="宋体" w:cs="宋体"/>
          <w:bCs/>
          <w:color w:val="auto"/>
          <w:sz w:val="24"/>
          <w:highlight w:val="none"/>
          <w:shd w:val="clear" w:color="auto" w:fill="FFFFFF"/>
        </w:rPr>
      </w:pPr>
      <w:r>
        <w:rPr>
          <w:rFonts w:hint="eastAsia" w:ascii="宋体" w:hAnsi="宋体" w:eastAsia="宋体" w:cs="宋体"/>
          <w:color w:val="auto"/>
          <w:sz w:val="24"/>
          <w:highlight w:val="none"/>
        </w:rPr>
        <w:t>10.品牌小区创建要求总投入60万</w:t>
      </w:r>
      <w:r>
        <w:rPr>
          <w:rFonts w:hint="eastAsia" w:ascii="宋体" w:hAnsi="宋体" w:cs="宋体"/>
          <w:color w:val="auto"/>
          <w:sz w:val="24"/>
          <w:highlight w:val="none"/>
          <w:lang w:eastAsia="zh-CN"/>
        </w:rPr>
        <w:t>，由中标单位支出。</w:t>
      </w:r>
      <w:r>
        <w:rPr>
          <w:rFonts w:hint="eastAsia" w:ascii="宋体" w:hAnsi="宋体" w:eastAsia="宋体" w:cs="宋体"/>
          <w:color w:val="auto"/>
          <w:sz w:val="24"/>
          <w:highlight w:val="none"/>
        </w:rPr>
        <w:t>打造梅花碑社区信余里小区、金钱巷社</w:t>
      </w:r>
      <w:r>
        <w:rPr>
          <w:rFonts w:hint="eastAsia" w:ascii="宋体" w:hAnsi="宋体" w:eastAsia="宋体" w:cs="宋体"/>
          <w:bCs/>
          <w:color w:val="auto"/>
          <w:sz w:val="24"/>
          <w:highlight w:val="none"/>
          <w:shd w:val="clear" w:color="auto" w:fill="FFFFFF"/>
        </w:rPr>
        <w:t>区南班巷小区，作为品牌示范小区，通过增设形象岗、加大巡逻、保洁频次，打造绿化小景点、24小时入户维修服务等手段多方位打造品质小区。</w:t>
      </w:r>
    </w:p>
    <w:p w14:paraId="40772C25">
      <w:pPr>
        <w:snapToGrid w:val="0"/>
        <w:spacing w:line="560" w:lineRule="exact"/>
        <w:ind w:left="480"/>
        <w:jc w:val="left"/>
        <w:rPr>
          <w:rFonts w:hint="eastAsia" w:ascii="宋体" w:hAnsi="宋体" w:eastAsia="宋体" w:cs="宋体"/>
          <w:bCs/>
          <w:color w:val="auto"/>
          <w:sz w:val="24"/>
          <w:highlight w:val="none"/>
          <w:shd w:val="clear" w:color="auto" w:fill="FFFFFF"/>
        </w:rPr>
      </w:pPr>
      <w:r>
        <w:rPr>
          <w:rFonts w:hint="eastAsia" w:ascii="宋体" w:hAnsi="宋体" w:eastAsia="宋体" w:cs="宋体"/>
          <w:bCs/>
          <w:color w:val="auto"/>
          <w:sz w:val="24"/>
          <w:highlight w:val="none"/>
          <w:shd w:val="clear" w:color="auto" w:fill="FFFFFF"/>
        </w:rPr>
        <w:t>11.大件清运：大件清运方面统一物业公司负责清运。</w:t>
      </w:r>
    </w:p>
    <w:p w14:paraId="7FE57CF7">
      <w:pPr>
        <w:snapToGrid w:val="0"/>
        <w:spacing w:line="560" w:lineRule="exact"/>
        <w:ind w:firstLine="480" w:firstLineChars="200"/>
        <w:rPr>
          <w:rFonts w:hint="eastAsia" w:ascii="宋体" w:hAnsi="宋体" w:eastAsia="宋体" w:cs="宋体"/>
          <w:bCs/>
          <w:color w:val="auto"/>
          <w:sz w:val="24"/>
          <w:highlight w:val="none"/>
          <w:shd w:val="clear" w:color="auto" w:fill="FFFFFF"/>
          <w:lang w:val="en-US" w:eastAsia="zh-CN"/>
        </w:rPr>
      </w:pPr>
      <w:r>
        <w:rPr>
          <w:rFonts w:hint="eastAsia" w:ascii="宋体" w:hAnsi="宋体" w:eastAsia="宋体" w:cs="宋体"/>
          <w:bCs/>
          <w:color w:val="auto"/>
          <w:sz w:val="24"/>
          <w:highlight w:val="none"/>
          <w:shd w:val="clear" w:color="auto" w:fill="FFFFFF"/>
          <w:lang w:val="en-US" w:eastAsia="zh-CN"/>
        </w:rPr>
        <w:t>12、</w:t>
      </w:r>
      <w:r>
        <w:rPr>
          <w:rFonts w:hint="eastAsia" w:ascii="宋体" w:hAnsi="宋体" w:eastAsia="宋体" w:cs="宋体"/>
          <w:bCs/>
          <w:color w:val="auto"/>
          <w:sz w:val="24"/>
          <w:highlight w:val="none"/>
          <w:shd w:val="clear" w:color="auto" w:fill="FFFFFF"/>
        </w:rPr>
        <w:t>物业关于</w:t>
      </w:r>
      <w:r>
        <w:rPr>
          <w:rFonts w:hint="eastAsia" w:ascii="宋体" w:hAnsi="宋体" w:eastAsia="宋体" w:cs="宋体"/>
          <w:bCs/>
          <w:color w:val="auto"/>
          <w:sz w:val="24"/>
          <w:highlight w:val="none"/>
          <w:shd w:val="clear" w:color="auto" w:fill="FFFFFF"/>
          <w:lang w:eastAsia="zh-CN"/>
        </w:rPr>
        <w:t>“</w:t>
      </w:r>
      <w:r>
        <w:rPr>
          <w:rFonts w:hint="eastAsia" w:ascii="宋体" w:hAnsi="宋体" w:eastAsia="宋体" w:cs="宋体"/>
          <w:bCs/>
          <w:color w:val="auto"/>
          <w:sz w:val="24"/>
          <w:highlight w:val="none"/>
          <w:shd w:val="clear" w:color="auto" w:fill="FFFFFF"/>
        </w:rPr>
        <w:t>美丽杭州</w:t>
      </w:r>
      <w:r>
        <w:rPr>
          <w:rFonts w:hint="eastAsia" w:ascii="宋体" w:hAnsi="宋体" w:eastAsia="宋体" w:cs="宋体"/>
          <w:bCs/>
          <w:color w:val="auto"/>
          <w:sz w:val="24"/>
          <w:highlight w:val="none"/>
          <w:shd w:val="clear" w:color="auto" w:fill="FFFFFF"/>
          <w:lang w:eastAsia="zh-CN"/>
        </w:rPr>
        <w:t>”</w:t>
      </w:r>
      <w:r>
        <w:rPr>
          <w:rFonts w:hint="eastAsia" w:ascii="宋体" w:hAnsi="宋体" w:eastAsia="宋体" w:cs="宋体"/>
          <w:bCs/>
          <w:color w:val="auto"/>
          <w:sz w:val="24"/>
          <w:highlight w:val="none"/>
          <w:shd w:val="clear" w:color="auto" w:fill="FFFFFF"/>
          <w:lang w:val="en-US" w:eastAsia="zh-CN"/>
        </w:rPr>
        <w:t>问题处置情况</w:t>
      </w:r>
      <w:r>
        <w:rPr>
          <w:rFonts w:hint="eastAsia" w:ascii="宋体" w:hAnsi="宋体" w:eastAsia="宋体" w:cs="宋体"/>
          <w:bCs/>
          <w:color w:val="auto"/>
          <w:sz w:val="24"/>
          <w:highlight w:val="none"/>
          <w:shd w:val="clear" w:color="auto" w:fill="FFFFFF"/>
        </w:rPr>
        <w:t>扣款细则</w:t>
      </w:r>
    </w:p>
    <w:p w14:paraId="03EE64C5">
      <w:pPr>
        <w:spacing w:before="37"/>
        <w:rPr>
          <w:rFonts w:hint="eastAsia" w:ascii="宋体" w:hAnsi="宋体" w:eastAsia="宋体" w:cs="宋体"/>
          <w:color w:val="auto"/>
          <w:highlight w:val="none"/>
        </w:rPr>
      </w:pPr>
    </w:p>
    <w:tbl>
      <w:tblPr>
        <w:tblStyle w:val="965"/>
        <w:tblW w:w="92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86"/>
        <w:gridCol w:w="2891"/>
      </w:tblGrid>
      <w:tr w14:paraId="48D62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6386" w:type="dxa"/>
            <w:vAlign w:val="center"/>
          </w:tcPr>
          <w:p w14:paraId="56BD490A">
            <w:pPr>
              <w:pStyle w:val="339"/>
              <w:spacing w:before="143" w:line="225" w:lineRule="auto"/>
              <w:jc w:val="center"/>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检查及考核细则</w:t>
            </w:r>
          </w:p>
        </w:tc>
        <w:tc>
          <w:tcPr>
            <w:tcW w:w="2891" w:type="dxa"/>
            <w:vAlign w:val="center"/>
          </w:tcPr>
          <w:p w14:paraId="00E83179">
            <w:pPr>
              <w:jc w:val="center"/>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扣除金额（元）</w:t>
            </w:r>
          </w:p>
        </w:tc>
      </w:tr>
      <w:tr w14:paraId="0883E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6386" w:type="dxa"/>
            <w:vAlign w:val="center"/>
          </w:tcPr>
          <w:p w14:paraId="016E1CED">
            <w:pPr>
              <w:pStyle w:val="339"/>
              <w:keepNext w:val="0"/>
              <w:keepLines w:val="0"/>
              <w:pageBreakBefore w:val="0"/>
              <w:widowControl/>
              <w:kinsoku/>
              <w:wordWrap/>
              <w:overflowPunct/>
              <w:topLinePunct w:val="0"/>
              <w:autoSpaceDE/>
              <w:autoSpaceDN/>
              <w:bidi w:val="0"/>
              <w:adjustRightInd w:val="0"/>
              <w:snapToGrid/>
              <w:spacing w:before="0" w:after="0" w:line="226" w:lineRule="auto"/>
              <w:ind w:left="216" w:leftChars="103" w:firstLine="0" w:firstLineChars="0"/>
              <w:jc w:val="both"/>
              <w:textAlignment w:val="auto"/>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案卷处置超时倍数，问题实际处置时间超过规定处置时间的倍数</w:t>
            </w:r>
          </w:p>
        </w:tc>
        <w:tc>
          <w:tcPr>
            <w:tcW w:w="2891" w:type="dxa"/>
            <w:vAlign w:val="center"/>
          </w:tcPr>
          <w:p w14:paraId="7E4E46BA">
            <w:pPr>
              <w:pStyle w:val="339"/>
              <w:spacing w:before="65" w:line="225" w:lineRule="auto"/>
              <w:ind w:left="118"/>
              <w:jc w:val="both"/>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300元/倍</w:t>
            </w:r>
          </w:p>
        </w:tc>
      </w:tr>
      <w:tr w14:paraId="4B629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6386" w:type="dxa"/>
            <w:vAlign w:val="center"/>
          </w:tcPr>
          <w:p w14:paraId="223048FA">
            <w:pPr>
              <w:pStyle w:val="339"/>
              <w:spacing w:before="65" w:line="224" w:lineRule="auto"/>
              <w:ind w:right="18" w:firstLine="240" w:firstLineChars="100"/>
              <w:jc w:val="both"/>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推诿件，责任明确但拒绝处置的</w:t>
            </w:r>
          </w:p>
        </w:tc>
        <w:tc>
          <w:tcPr>
            <w:tcW w:w="2891" w:type="dxa"/>
            <w:vAlign w:val="center"/>
          </w:tcPr>
          <w:p w14:paraId="00FABD69">
            <w:pPr>
              <w:pStyle w:val="339"/>
              <w:spacing w:before="65" w:line="225" w:lineRule="auto"/>
              <w:ind w:left="118"/>
              <w:jc w:val="both"/>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500元/次</w:t>
            </w:r>
          </w:p>
        </w:tc>
      </w:tr>
      <w:tr w14:paraId="7AFFC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jc w:val="center"/>
        </w:trPr>
        <w:tc>
          <w:tcPr>
            <w:tcW w:w="6386" w:type="dxa"/>
            <w:vAlign w:val="center"/>
          </w:tcPr>
          <w:p w14:paraId="45B9021F">
            <w:pPr>
              <w:pStyle w:val="339"/>
              <w:spacing w:before="65" w:line="225" w:lineRule="auto"/>
              <w:ind w:firstLine="240" w:firstLineChars="100"/>
              <w:jc w:val="both"/>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有责差错件，问题处置、反馈不规范，影响问题处置的</w:t>
            </w:r>
          </w:p>
        </w:tc>
        <w:tc>
          <w:tcPr>
            <w:tcW w:w="2891" w:type="dxa"/>
            <w:vAlign w:val="center"/>
          </w:tcPr>
          <w:p w14:paraId="1F088ED5">
            <w:pPr>
              <w:pStyle w:val="339"/>
              <w:spacing w:before="65" w:line="225" w:lineRule="auto"/>
              <w:ind w:left="118"/>
              <w:jc w:val="both"/>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300元/次</w:t>
            </w:r>
          </w:p>
        </w:tc>
      </w:tr>
      <w:tr w14:paraId="671AA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6386" w:type="dxa"/>
            <w:vAlign w:val="center"/>
          </w:tcPr>
          <w:p w14:paraId="320C3239">
            <w:pPr>
              <w:pStyle w:val="339"/>
              <w:spacing w:before="159" w:line="242" w:lineRule="auto"/>
              <w:ind w:left="199" w:leftChars="95" w:right="20" w:firstLine="0" w:firstLineChars="0"/>
              <w:jc w:val="both"/>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重复举报数，同一市民举报同一问题 2 次及以上的</w:t>
            </w:r>
          </w:p>
        </w:tc>
        <w:tc>
          <w:tcPr>
            <w:tcW w:w="2891" w:type="dxa"/>
            <w:vAlign w:val="center"/>
          </w:tcPr>
          <w:p w14:paraId="4245686E">
            <w:pPr>
              <w:pStyle w:val="339"/>
              <w:spacing w:before="65" w:line="225" w:lineRule="auto"/>
              <w:ind w:left="118"/>
              <w:jc w:val="both"/>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扣100元，每增加一次多扣100元</w:t>
            </w:r>
          </w:p>
        </w:tc>
      </w:tr>
      <w:tr w14:paraId="748A0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jc w:val="center"/>
        </w:trPr>
        <w:tc>
          <w:tcPr>
            <w:tcW w:w="6386" w:type="dxa"/>
            <w:vAlign w:val="center"/>
          </w:tcPr>
          <w:p w14:paraId="3BD6A349">
            <w:pPr>
              <w:pStyle w:val="339"/>
              <w:keepNext w:val="0"/>
              <w:keepLines w:val="0"/>
              <w:pageBreakBefore w:val="0"/>
              <w:widowControl/>
              <w:kinsoku w:val="0"/>
              <w:wordWrap/>
              <w:overflowPunct/>
              <w:topLinePunct w:val="0"/>
              <w:autoSpaceDE w:val="0"/>
              <w:autoSpaceDN w:val="0"/>
              <w:bidi w:val="0"/>
              <w:adjustRightInd w:val="0"/>
              <w:snapToGrid w:val="0"/>
              <w:spacing w:before="65" w:line="238" w:lineRule="auto"/>
              <w:ind w:left="199" w:leftChars="95" w:right="72" w:firstLine="0" w:firstLineChars="0"/>
              <w:jc w:val="both"/>
              <w:textAlignment w:val="baseline"/>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返工案卷</w:t>
            </w:r>
          </w:p>
        </w:tc>
        <w:tc>
          <w:tcPr>
            <w:tcW w:w="2891" w:type="dxa"/>
            <w:vAlign w:val="center"/>
          </w:tcPr>
          <w:p w14:paraId="24913A11">
            <w:pPr>
              <w:pStyle w:val="339"/>
              <w:spacing w:before="65" w:line="225" w:lineRule="auto"/>
              <w:ind w:left="118"/>
              <w:jc w:val="both"/>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200元/个</w:t>
            </w:r>
          </w:p>
        </w:tc>
      </w:tr>
      <w:tr w14:paraId="77EC8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jc w:val="center"/>
        </w:trPr>
        <w:tc>
          <w:tcPr>
            <w:tcW w:w="6386" w:type="dxa"/>
            <w:vAlign w:val="center"/>
          </w:tcPr>
          <w:p w14:paraId="63B42B0D">
            <w:pPr>
              <w:pStyle w:val="339"/>
              <w:keepNext w:val="0"/>
              <w:keepLines w:val="0"/>
              <w:pageBreakBefore w:val="0"/>
              <w:widowControl/>
              <w:kinsoku w:val="0"/>
              <w:wordWrap/>
              <w:overflowPunct/>
              <w:topLinePunct w:val="0"/>
              <w:autoSpaceDE w:val="0"/>
              <w:autoSpaceDN w:val="0"/>
              <w:bidi w:val="0"/>
              <w:adjustRightInd w:val="0"/>
              <w:snapToGrid w:val="0"/>
              <w:spacing w:before="65" w:line="238" w:lineRule="auto"/>
              <w:ind w:left="199" w:leftChars="95" w:right="72" w:firstLine="0" w:firstLineChars="0"/>
              <w:jc w:val="both"/>
              <w:textAlignment w:val="baseline"/>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超缓办数，每条案卷最多可缓办 2 次，按次累计，月度缓办数不超过月度应解决数的 0.1%</w:t>
            </w:r>
          </w:p>
        </w:tc>
        <w:tc>
          <w:tcPr>
            <w:tcW w:w="2891" w:type="dxa"/>
            <w:vAlign w:val="center"/>
          </w:tcPr>
          <w:p w14:paraId="2AA34E00">
            <w:pPr>
              <w:pStyle w:val="339"/>
              <w:spacing w:before="65" w:line="225" w:lineRule="auto"/>
              <w:ind w:left="118"/>
              <w:jc w:val="both"/>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超出扣500元</w:t>
            </w:r>
          </w:p>
        </w:tc>
      </w:tr>
      <w:tr w14:paraId="66B3F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jc w:val="center"/>
        </w:trPr>
        <w:tc>
          <w:tcPr>
            <w:tcW w:w="6386" w:type="dxa"/>
            <w:vAlign w:val="center"/>
          </w:tcPr>
          <w:p w14:paraId="68639D95">
            <w:pPr>
              <w:pStyle w:val="339"/>
              <w:keepNext w:val="0"/>
              <w:keepLines w:val="0"/>
              <w:pageBreakBefore w:val="0"/>
              <w:widowControl/>
              <w:kinsoku w:val="0"/>
              <w:wordWrap/>
              <w:overflowPunct/>
              <w:topLinePunct w:val="0"/>
              <w:autoSpaceDE w:val="0"/>
              <w:autoSpaceDN w:val="0"/>
              <w:bidi w:val="0"/>
              <w:adjustRightInd w:val="0"/>
              <w:snapToGrid w:val="0"/>
              <w:spacing w:before="65" w:line="238" w:lineRule="auto"/>
              <w:ind w:left="199" w:leftChars="95" w:right="72" w:firstLine="0" w:firstLineChars="0"/>
              <w:jc w:val="both"/>
              <w:textAlignment w:val="baseline"/>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反复发生件，被市数字城管判定为两同案卷的</w:t>
            </w:r>
          </w:p>
        </w:tc>
        <w:tc>
          <w:tcPr>
            <w:tcW w:w="2891" w:type="dxa"/>
            <w:vAlign w:val="center"/>
          </w:tcPr>
          <w:p w14:paraId="1C01C512">
            <w:pPr>
              <w:pStyle w:val="339"/>
              <w:spacing w:before="65" w:line="225" w:lineRule="auto"/>
              <w:ind w:left="118"/>
              <w:jc w:val="both"/>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500元/个</w:t>
            </w:r>
          </w:p>
        </w:tc>
      </w:tr>
      <w:tr w14:paraId="0B936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jc w:val="center"/>
        </w:trPr>
        <w:tc>
          <w:tcPr>
            <w:tcW w:w="6386" w:type="dxa"/>
            <w:vAlign w:val="center"/>
          </w:tcPr>
          <w:p w14:paraId="44AAD244">
            <w:pPr>
              <w:pStyle w:val="339"/>
              <w:keepNext w:val="0"/>
              <w:keepLines w:val="0"/>
              <w:pageBreakBefore w:val="0"/>
              <w:widowControl/>
              <w:kinsoku w:val="0"/>
              <w:wordWrap/>
              <w:overflowPunct/>
              <w:topLinePunct w:val="0"/>
              <w:autoSpaceDE w:val="0"/>
              <w:autoSpaceDN w:val="0"/>
              <w:bidi w:val="0"/>
              <w:adjustRightInd w:val="0"/>
              <w:snapToGrid w:val="0"/>
              <w:spacing w:before="65" w:line="238" w:lineRule="auto"/>
              <w:ind w:left="199" w:leftChars="95" w:right="72" w:firstLine="0" w:firstLineChars="0"/>
              <w:jc w:val="both"/>
              <w:textAlignment w:val="baseline"/>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建筑垃圾(装潢垃圾)散落未袋装</w:t>
            </w:r>
          </w:p>
        </w:tc>
        <w:tc>
          <w:tcPr>
            <w:tcW w:w="2891" w:type="dxa"/>
            <w:vAlign w:val="center"/>
          </w:tcPr>
          <w:p w14:paraId="1D9EA884">
            <w:pPr>
              <w:pStyle w:val="339"/>
              <w:spacing w:before="65" w:line="225" w:lineRule="auto"/>
              <w:ind w:left="118"/>
              <w:jc w:val="both"/>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 1m³ , 150元/处</w:t>
            </w:r>
          </w:p>
          <w:p w14:paraId="02324C10">
            <w:pPr>
              <w:pStyle w:val="339"/>
              <w:spacing w:before="65" w:line="225" w:lineRule="auto"/>
              <w:ind w:left="118"/>
              <w:jc w:val="both"/>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 1m³ , 200元/处</w:t>
            </w:r>
          </w:p>
        </w:tc>
      </w:tr>
    </w:tbl>
    <w:p w14:paraId="61DD4347">
      <w:pPr>
        <w:pStyle w:val="5"/>
        <w:ind w:left="0" w:leftChars="0" w:firstLine="280" w:firstLineChars="100"/>
        <w:rPr>
          <w:rFonts w:hint="eastAsia" w:ascii="宋体" w:hAnsi="宋体" w:eastAsia="宋体" w:cs="宋体"/>
          <w:bCs/>
          <w:snapToGrid/>
          <w:color w:val="auto"/>
          <w:kern w:val="2"/>
          <w:sz w:val="24"/>
          <w:szCs w:val="24"/>
          <w:highlight w:val="none"/>
          <w:shd w:val="clear" w:color="auto" w:fill="FFFFFF"/>
          <w:lang w:val="en-US" w:eastAsia="zh-CN" w:bidi="ar-SA"/>
        </w:rPr>
      </w:pPr>
      <w:r>
        <w:rPr>
          <w:rFonts w:hint="eastAsia" w:ascii="宋体" w:hAnsi="宋体" w:eastAsia="宋体" w:cs="宋体"/>
          <w:color w:val="auto"/>
          <w:highlight w:val="none"/>
          <w:lang w:val="en-US" w:eastAsia="zh-CN"/>
        </w:rPr>
        <w:t xml:space="preserve"> </w:t>
      </w:r>
      <w:r>
        <w:rPr>
          <w:rFonts w:hint="eastAsia" w:ascii="宋体" w:hAnsi="宋体" w:eastAsia="宋体" w:cs="宋体"/>
          <w:bCs/>
          <w:snapToGrid/>
          <w:color w:val="auto"/>
          <w:kern w:val="2"/>
          <w:sz w:val="24"/>
          <w:szCs w:val="24"/>
          <w:highlight w:val="none"/>
          <w:shd w:val="clear" w:color="auto" w:fill="FFFFFF"/>
          <w:lang w:val="en-US" w:eastAsia="zh-CN" w:bidi="ar-SA"/>
        </w:rPr>
        <w:t xml:space="preserve"> 13、其它投诉考核：12345信访投诉1次扣200元；上级部门转发信访投诉、多次重复信访投诉扣500元。</w:t>
      </w:r>
    </w:p>
    <w:p w14:paraId="513A556C">
      <w:pPr>
        <w:pStyle w:val="257"/>
        <w:snapToGrid w:val="0"/>
        <w:spacing w:line="560" w:lineRule="exact"/>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（二）街巷保洁作业内容</w:t>
      </w:r>
    </w:p>
    <w:p w14:paraId="5150F0FF">
      <w:pPr>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1、按</w:t>
      </w:r>
      <w:r>
        <w:rPr>
          <w:rFonts w:hint="eastAsia" w:ascii="宋体" w:hAnsi="宋体" w:eastAsia="宋体" w:cs="宋体"/>
          <w:bCs/>
          <w:color w:val="auto"/>
          <w:sz w:val="24"/>
          <w:highlight w:val="none"/>
          <w:shd w:val="clear" w:color="auto" w:fill="FFFFFF"/>
        </w:rPr>
        <w:t>《杭州市人民政府办公厅转发市城管委关于杭州城区整洁度检查考核试行办法的通知》（杭政办函〔2012〕177 号）、《关于进一步明确“杭州城管 驿站 ”管理相关事项的通知》（杭城管委[2018]233 号）、《关于印发&lt;杭州市 环卫作业人员着装与作业行为规范&gt;及&lt;杭州市环卫作业车辆标识与作业管理规 范&gt;的通知》（杭城管委〔2016〕130 号）、《关于印发杭州市城管行业服装统一标识规范的通知》（杭城管委﹝2018﹞ 16 号）执行、《关于印发 2022 年度各 区县（市）政府（管委会）城市管理目标考核相关评分细则的通知》（杭城管综执联办﹝2022﹞ 1 号）、《2023年度清洁度考核细则（重点）》</w:t>
      </w:r>
      <w:r>
        <w:rPr>
          <w:rFonts w:hint="eastAsia" w:ascii="宋体" w:hAnsi="宋体" w:eastAsia="宋体" w:cs="宋体"/>
          <w:bCs/>
          <w:color w:val="auto"/>
          <w:sz w:val="24"/>
          <w:highlight w:val="none"/>
          <w:shd w:val="clear" w:color="auto" w:fill="FFFFFF"/>
          <w:lang w:eastAsia="zh-CN"/>
        </w:rPr>
        <w:t>、</w:t>
      </w:r>
      <w:r>
        <w:rPr>
          <w:rFonts w:hint="eastAsia" w:ascii="宋体" w:hAnsi="宋体" w:eastAsia="宋体" w:cs="宋体"/>
          <w:bCs/>
          <w:color w:val="auto"/>
          <w:sz w:val="24"/>
          <w:highlight w:val="none"/>
          <w:shd w:val="clear" w:color="auto" w:fill="FFFFFF"/>
        </w:rPr>
        <w:t>《关于发布 2021 年版杭州市道路保洁经费定额的通知》（杭城管局﹝2021﹞ 138 号）、《杭州市城市市容和环境卫生管理条例》、 《</w:t>
      </w:r>
      <w:r>
        <w:rPr>
          <w:rFonts w:hint="eastAsia" w:ascii="宋体" w:hAnsi="宋体" w:eastAsia="宋体" w:cs="宋体"/>
          <w:bCs/>
          <w:color w:val="auto"/>
          <w:sz w:val="24"/>
          <w:highlight w:val="none"/>
          <w:shd w:val="clear" w:color="auto" w:fill="FFFFFF"/>
          <w:lang w:eastAsia="zh-CN"/>
        </w:rPr>
        <w:t>城市道路清扫保洁作业规范</w:t>
      </w:r>
      <w:r>
        <w:rPr>
          <w:rFonts w:hint="eastAsia" w:ascii="宋体" w:hAnsi="宋体" w:eastAsia="宋体" w:cs="宋体"/>
          <w:bCs/>
          <w:color w:val="auto"/>
          <w:sz w:val="24"/>
          <w:highlight w:val="none"/>
          <w:shd w:val="clear" w:color="auto" w:fill="FFFFFF"/>
        </w:rPr>
        <w:t>》</w:t>
      </w:r>
      <w:r>
        <w:rPr>
          <w:rFonts w:hint="eastAsia" w:ascii="宋体" w:hAnsi="宋体" w:eastAsia="宋体" w:cs="宋体"/>
          <w:color w:val="auto"/>
          <w:sz w:val="24"/>
          <w:highlight w:val="none"/>
        </w:rPr>
        <w:t>中明确的相关要求执行；考核办法如有调整，按新规定执行。</w:t>
      </w:r>
    </w:p>
    <w:p w14:paraId="25C31413">
      <w:pPr>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2、街巷清扫、保洁（含机扫、洒水、洁面工程）必须作业到两边建筑物基石（机扫、洒水到道路侧石），道路岔道、喇叭口清扫向外延伸15米。</w:t>
      </w:r>
    </w:p>
    <w:p w14:paraId="6E8E5EA7">
      <w:pPr>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沿街街巷两侧店家生活垃圾（包括垃圾桶）必须做到不少于一日二次上门处置，并做到即满即清，同时保持街巷垃圾收集容器的完好和整洁，果壳箱无破损、歪斜、油漆剥落现象，箱门要关闭，垃圾桶不破损、盖好盖，垃圾房门关闭不敞开不破损、不生锈，周围无污水，做到一日二清二擦洗，无垃圾满溢、积存垃圾现象，外观无残标，对不能自主修复的果壳箱应及时上报管理部门。</w:t>
      </w:r>
    </w:p>
    <w:p w14:paraId="0BB0E1A9">
      <w:pPr>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4、街巷两侧乱涂写清理及交通隔离墩擦洗，无生活污水。</w:t>
      </w:r>
    </w:p>
    <w:p w14:paraId="3D149986">
      <w:pPr>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5、车行道、人行道、绿化带、花坛、天井、空地、垃圾箱周围等公共场所要及时清扫并保持干净，做到无杂物、无垃圾。</w:t>
      </w:r>
    </w:p>
    <w:p w14:paraId="4315AD9D">
      <w:pPr>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6、路面无垃圾，无杂物，无积泥，晴天无积水。雨水井畅通干净，树圈无垃圾。</w:t>
      </w:r>
    </w:p>
    <w:p w14:paraId="2B1FEF78">
      <w:pPr>
        <w:snapToGrid w:val="0"/>
        <w:spacing w:line="560" w:lineRule="exact"/>
        <w:ind w:left="480"/>
        <w:rPr>
          <w:rFonts w:hint="eastAsia" w:ascii="宋体" w:hAnsi="宋体" w:eastAsia="宋体" w:cs="宋体"/>
          <w:color w:val="auto"/>
          <w:sz w:val="24"/>
          <w:highlight w:val="none"/>
        </w:rPr>
      </w:pPr>
      <w:r>
        <w:rPr>
          <w:rFonts w:hint="eastAsia" w:ascii="宋体" w:hAnsi="宋体" w:eastAsia="宋体" w:cs="宋体"/>
          <w:color w:val="auto"/>
          <w:sz w:val="24"/>
          <w:highlight w:val="none"/>
        </w:rPr>
        <w:t>7、建筑工地出入口保持清洁。</w:t>
      </w:r>
    </w:p>
    <w:p w14:paraId="1122DB18">
      <w:pPr>
        <w:snapToGrid w:val="0"/>
        <w:spacing w:line="560" w:lineRule="exact"/>
        <w:ind w:left="480"/>
        <w:rPr>
          <w:rFonts w:hint="eastAsia" w:ascii="宋体" w:hAnsi="宋体" w:eastAsia="宋体" w:cs="宋体"/>
          <w:color w:val="auto"/>
          <w:sz w:val="24"/>
          <w:highlight w:val="none"/>
        </w:rPr>
      </w:pPr>
      <w:r>
        <w:rPr>
          <w:rFonts w:hint="eastAsia" w:ascii="宋体" w:hAnsi="宋体" w:eastAsia="宋体" w:cs="宋体"/>
          <w:color w:val="auto"/>
          <w:sz w:val="24"/>
          <w:highlight w:val="none"/>
        </w:rPr>
        <w:t>8、垃圾箱（房）清运时协助直运公司人员清除散落在地面的垃圾</w:t>
      </w:r>
    </w:p>
    <w:p w14:paraId="70850F5E">
      <w:pPr>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9、街巷两侧范围渣土、大件垃圾、建筑垃圾等应及时发现并提供专业清运车辆及时清理、清运及处理（量较大时，应及时上报，经核实量后及时作业）。</w:t>
      </w:r>
    </w:p>
    <w:p w14:paraId="4A2CB46D">
      <w:pPr>
        <w:snapToGrid w:val="0"/>
        <w:spacing w:line="560" w:lineRule="exact"/>
        <w:ind w:left="480"/>
        <w:rPr>
          <w:rFonts w:hint="eastAsia" w:ascii="宋体" w:hAnsi="宋体" w:eastAsia="宋体" w:cs="宋体"/>
          <w:color w:val="auto"/>
          <w:sz w:val="24"/>
          <w:highlight w:val="none"/>
        </w:rPr>
      </w:pPr>
      <w:r>
        <w:rPr>
          <w:rFonts w:hint="eastAsia" w:ascii="宋体" w:hAnsi="宋体" w:eastAsia="宋体" w:cs="宋体"/>
          <w:color w:val="auto"/>
          <w:sz w:val="24"/>
          <w:highlight w:val="none"/>
        </w:rPr>
        <w:t>10、片区清扫保洁产生的垃圾就近倾倒，不准扫入市区主次道路。</w:t>
      </w:r>
    </w:p>
    <w:p w14:paraId="4F30EA55">
      <w:pPr>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11、垃圾箱（房）必须加盖，垃圾清运应做到车走地净，垃圾箱周围无遗留垃圾，不得沿路散落垃圾。</w:t>
      </w:r>
    </w:p>
    <w:p w14:paraId="2AD0095D">
      <w:pPr>
        <w:snapToGrid w:val="0"/>
        <w:spacing w:line="560" w:lineRule="exact"/>
        <w:ind w:left="480"/>
        <w:rPr>
          <w:rFonts w:hint="eastAsia" w:ascii="宋体" w:hAnsi="宋体" w:eastAsia="宋体" w:cs="宋体"/>
          <w:color w:val="auto"/>
          <w:sz w:val="24"/>
          <w:highlight w:val="none"/>
        </w:rPr>
      </w:pPr>
      <w:r>
        <w:rPr>
          <w:rFonts w:hint="eastAsia" w:ascii="宋体" w:hAnsi="宋体" w:eastAsia="宋体" w:cs="宋体"/>
          <w:color w:val="auto"/>
          <w:sz w:val="24"/>
          <w:highlight w:val="none"/>
        </w:rPr>
        <w:t>12、垃圾箱（房）保持整洁，每天至少清洗两次。</w:t>
      </w:r>
    </w:p>
    <w:p w14:paraId="32C3F580">
      <w:pPr>
        <w:snapToGrid w:val="0"/>
        <w:spacing w:line="560" w:lineRule="exact"/>
        <w:ind w:left="480"/>
        <w:rPr>
          <w:rFonts w:hint="eastAsia" w:ascii="宋体" w:hAnsi="宋体" w:eastAsia="宋体" w:cs="宋体"/>
          <w:color w:val="auto"/>
          <w:sz w:val="24"/>
          <w:highlight w:val="none"/>
        </w:rPr>
      </w:pPr>
      <w:r>
        <w:rPr>
          <w:rFonts w:hint="eastAsia" w:ascii="宋体" w:hAnsi="宋体" w:eastAsia="宋体" w:cs="宋体"/>
          <w:color w:val="auto"/>
          <w:sz w:val="24"/>
          <w:highlight w:val="none"/>
        </w:rPr>
        <w:t>13、道路沿线交通隔离墩路及灯杆、交通信号灯杆（2.2米以下部分）擦洗。</w:t>
      </w:r>
    </w:p>
    <w:p w14:paraId="34B982B1">
      <w:pPr>
        <w:snapToGrid w:val="0"/>
        <w:spacing w:line="560" w:lineRule="exact"/>
        <w:ind w:left="480"/>
        <w:rPr>
          <w:rFonts w:hint="eastAsia" w:ascii="宋体" w:hAnsi="宋体" w:eastAsia="宋体" w:cs="宋体"/>
          <w:color w:val="auto"/>
          <w:sz w:val="24"/>
          <w:highlight w:val="none"/>
        </w:rPr>
      </w:pPr>
      <w:r>
        <w:rPr>
          <w:rFonts w:hint="eastAsia" w:ascii="宋体" w:hAnsi="宋体" w:eastAsia="宋体" w:cs="宋体"/>
          <w:color w:val="auto"/>
          <w:sz w:val="24"/>
          <w:highlight w:val="none"/>
        </w:rPr>
        <w:t>14、及时制止偷倒乱倒垃圾行为，及时清除无主垃圾和废土。</w:t>
      </w:r>
    </w:p>
    <w:p w14:paraId="3BAF8E86">
      <w:pPr>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15、遇有重大活动或抗台、抗雪等突发事件，必须无条件及时组织力量做好清扫保洁等保障工作，服从甲方的统一指挥。</w:t>
      </w:r>
    </w:p>
    <w:p w14:paraId="6ED12E43">
      <w:pPr>
        <w:snapToGrid w:val="0"/>
        <w:spacing w:line="56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16、负责做好本合同标段作业范围内的长效管理抄告单、“数字城管”和群众信访、投诉处理件的处理、整改和回复工作。</w:t>
      </w:r>
    </w:p>
    <w:p w14:paraId="17CD1920">
      <w:pPr>
        <w:snapToGrid w:val="0"/>
        <w:spacing w:line="560" w:lineRule="exact"/>
        <w:ind w:firstLine="480" w:firstLineChars="200"/>
        <w:rPr>
          <w:rFonts w:hint="eastAsia" w:ascii="宋体" w:hAnsi="宋体" w:eastAsia="宋体" w:cs="宋体"/>
          <w:b/>
          <w:bCs/>
          <w:color w:val="auto"/>
          <w:sz w:val="24"/>
          <w:highlight w:val="none"/>
          <w:lang w:val="zh-CN"/>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质量</w:t>
      </w:r>
      <w:r>
        <w:rPr>
          <w:rFonts w:hint="eastAsia" w:ascii="宋体" w:hAnsi="宋体" w:eastAsia="宋体" w:cs="宋体"/>
          <w:b/>
          <w:bCs/>
          <w:color w:val="auto"/>
          <w:sz w:val="24"/>
          <w:highlight w:val="none"/>
          <w:lang w:val="zh-CN"/>
        </w:rPr>
        <w:t>标准</w:t>
      </w:r>
    </w:p>
    <w:p w14:paraId="4D2F878D">
      <w:pPr>
        <w:pStyle w:val="130"/>
        <w:snapToGrid w:val="0"/>
        <w:spacing w:before="0" w:line="560" w:lineRule="exact"/>
        <w:ind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1、按</w:t>
      </w:r>
      <w:r>
        <w:rPr>
          <w:rFonts w:hint="eastAsia" w:ascii="宋体" w:hAnsi="宋体" w:eastAsia="宋体" w:cs="宋体"/>
          <w:bCs/>
          <w:color w:val="auto"/>
          <w:sz w:val="24"/>
          <w:highlight w:val="none"/>
          <w:shd w:val="clear" w:color="auto" w:fill="FFFFFF"/>
        </w:rPr>
        <w:t>《杭州市人民政府办公厅转发市城管委关于杭州城区整洁度检查考核试行办法的通知》（杭政办函〔2012〕177 号）、《关于进一步明确“杭州城管 驿站 ”管理相关事项的通知》（杭城管委[2018]233 号）、《关于印发&lt;杭州市 环卫作业人员着装与作业行为规范&gt;及&lt;杭州市环卫作业车辆标识与作业管理规 范&gt;的通知》（杭城管委〔2016〕130 号）、《关于印发杭州市城管行业服装统一标识规范的通知》（杭城管委﹝2018﹞ 16 号）执行、《关于印发 2022 年度各 区县（市）政府（管委会）城市管理目标考核相关评分细则的通知》（杭城管综执联办﹝2022﹞ 1 号）、《2023年度清洁度考核细则（重点）》</w:t>
      </w:r>
      <w:r>
        <w:rPr>
          <w:rFonts w:hint="eastAsia" w:ascii="宋体" w:hAnsi="宋体" w:eastAsia="宋体" w:cs="宋体"/>
          <w:bCs/>
          <w:color w:val="auto"/>
          <w:sz w:val="24"/>
          <w:highlight w:val="none"/>
          <w:shd w:val="clear" w:color="auto" w:fill="FFFFFF"/>
          <w:lang w:eastAsia="zh-CN"/>
        </w:rPr>
        <w:t>、</w:t>
      </w:r>
      <w:r>
        <w:rPr>
          <w:rFonts w:hint="eastAsia" w:ascii="宋体" w:hAnsi="宋体" w:eastAsia="宋体" w:cs="宋体"/>
          <w:bCs/>
          <w:color w:val="auto"/>
          <w:sz w:val="24"/>
          <w:highlight w:val="none"/>
          <w:shd w:val="clear" w:color="auto" w:fill="FFFFFF"/>
        </w:rPr>
        <w:t>《关于发布 2021 年版杭州市道路保洁经费定额的通知》（杭城管局﹝2021﹞ 138 号）、《杭州市城市市容和环境卫生管理条例》、 《</w:t>
      </w:r>
      <w:r>
        <w:rPr>
          <w:rFonts w:hint="eastAsia" w:ascii="宋体" w:hAnsi="宋体" w:eastAsia="宋体" w:cs="宋体"/>
          <w:bCs/>
          <w:color w:val="auto"/>
          <w:sz w:val="24"/>
          <w:highlight w:val="none"/>
          <w:shd w:val="clear" w:color="auto" w:fill="FFFFFF"/>
          <w:lang w:eastAsia="zh-CN"/>
        </w:rPr>
        <w:t>城市道路清扫保洁作业规范</w:t>
      </w:r>
      <w:r>
        <w:rPr>
          <w:rFonts w:hint="eastAsia" w:ascii="宋体" w:hAnsi="宋体" w:eastAsia="宋体" w:cs="宋体"/>
          <w:bCs/>
          <w:color w:val="auto"/>
          <w:sz w:val="24"/>
          <w:highlight w:val="none"/>
          <w:shd w:val="clear" w:color="auto" w:fill="FFFFFF"/>
        </w:rPr>
        <w:t>》</w:t>
      </w:r>
      <w:r>
        <w:rPr>
          <w:rFonts w:hint="eastAsia" w:ascii="宋体" w:hAnsi="宋体" w:eastAsia="宋体" w:cs="宋体"/>
          <w:color w:val="auto"/>
          <w:szCs w:val="24"/>
          <w:highlight w:val="none"/>
        </w:rPr>
        <w:t>中明确的相关要求执行。</w:t>
      </w:r>
    </w:p>
    <w:p w14:paraId="524A9234">
      <w:pPr>
        <w:pStyle w:val="130"/>
        <w:snapToGrid w:val="0"/>
        <w:spacing w:before="0" w:line="560" w:lineRule="exact"/>
        <w:ind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2、道路清扫采用机扫与人工相结合方式。道路清扫、洒水、机扫等要求按要求执行。</w:t>
      </w:r>
    </w:p>
    <w:p w14:paraId="684F6D7D">
      <w:pPr>
        <w:pStyle w:val="130"/>
        <w:snapToGrid w:val="0"/>
        <w:spacing w:before="0" w:line="560" w:lineRule="exact"/>
        <w:ind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3、具体要求如下：</w:t>
      </w:r>
    </w:p>
    <w:tbl>
      <w:tblPr>
        <w:tblStyle w:val="65"/>
        <w:tblW w:w="91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8251"/>
      </w:tblGrid>
      <w:tr w14:paraId="3F3D4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14:paraId="1AC7FDB6">
            <w:pPr>
              <w:adjustRightInd/>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清扫保洁等级</w:t>
            </w:r>
          </w:p>
        </w:tc>
        <w:tc>
          <w:tcPr>
            <w:tcW w:w="8251" w:type="dxa"/>
            <w:vAlign w:val="center"/>
          </w:tcPr>
          <w:p w14:paraId="6551AD1B">
            <w:pPr>
              <w:adjustRightInd/>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保洁要求</w:t>
            </w:r>
          </w:p>
        </w:tc>
      </w:tr>
      <w:tr w14:paraId="67260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14:paraId="41B12290">
            <w:pPr>
              <w:adjustRightInd/>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一类街巷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二类街巷</w:t>
            </w:r>
          </w:p>
        </w:tc>
        <w:tc>
          <w:tcPr>
            <w:tcW w:w="8251" w:type="dxa"/>
            <w:vAlign w:val="center"/>
          </w:tcPr>
          <w:p w14:paraId="2549A1A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1.保洁时长：14小时（5:00—19:00）。</w:t>
            </w:r>
          </w:p>
          <w:p w14:paraId="6642108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2.洒水要求：机动车道日常洒水 3次/日，夏季4次/日。</w:t>
            </w:r>
          </w:p>
          <w:p w14:paraId="071BCB8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3.机械化清洗：（1）道路结构分明的主次干道、城市支路（不含街巷及机非混行道路），高压冲洗1次/日；（2）宜配备护栏清洗 车，1次/10日。</w:t>
            </w:r>
          </w:p>
          <w:p w14:paraId="39B8FDC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4.普扫作业 ：（1）对区域内实施2次/日（早午）普扫作业；（2）除必要的应急保障、突发事件处置等 特殊工作需要外，原则上下班交通高峰时 段不应进行洒水、清扫等机械化作业；（3）机动车道宜采用洗扫吸三合一或机扫 车作业，每次普扫要求最外侧和最内侧车道，单向两边侧石、隔离栏底部全覆盖；（4）非机动车道及人行道日常清扫可采用 吹风机搭配小型道路清扫车进行机械化普 扫；每次普扫要求路面全覆盖；（5）街巷宜采用人工或人工结合小型机扫 车进行普扫，每次普扫要求路面全覆盖。</w:t>
            </w:r>
          </w:p>
          <w:p w14:paraId="41985AD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5.人工巡回保洁：在保洁时间段内 （5:00～19:00），除去普扫时间，其他时间段 不间断进行巡回保洁。</w:t>
            </w:r>
          </w:p>
          <w:p w14:paraId="30D0A59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6.城市家具：全覆盖擦洗（频率）1次/周。</w:t>
            </w:r>
          </w:p>
          <w:p w14:paraId="60EB333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7.绿化带捡拾（频率）：（1）机非隔离、人行道内绿化带，落实每日巡回保洁 和清扫期间集中清理；（2）机动车道内 绿化带，每三天一次对机动车道内 绿化带进行集中清理。</w:t>
            </w:r>
          </w:p>
          <w:p w14:paraId="0C7F47D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2"/>
                <w:sz w:val="24"/>
                <w:szCs w:val="24"/>
                <w:highlight w:val="none"/>
                <w:lang w:val="en-US" w:eastAsia="zh-CN" w:bidi="ar-SA"/>
              </w:rPr>
              <w:t>8.非法涂写招贴清除：每日。</w:t>
            </w:r>
          </w:p>
        </w:tc>
      </w:tr>
    </w:tbl>
    <w:p w14:paraId="6B94155D">
      <w:pPr>
        <w:pStyle w:val="130"/>
        <w:snapToGrid w:val="0"/>
        <w:spacing w:before="0"/>
        <w:ind w:left="480" w:firstLine="0" w:firstLineChars="0"/>
        <w:rPr>
          <w:rFonts w:hint="eastAsia" w:ascii="宋体" w:hAnsi="宋体" w:eastAsia="宋体" w:cs="宋体"/>
          <w:color w:val="auto"/>
          <w:szCs w:val="24"/>
          <w:highlight w:val="none"/>
        </w:rPr>
      </w:pPr>
    </w:p>
    <w:p w14:paraId="155BC1D2">
      <w:pPr>
        <w:pStyle w:val="130"/>
        <w:snapToGrid w:val="0"/>
        <w:spacing w:before="0"/>
        <w:ind w:left="480"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4、道路垃圾不得反扫、漏扫，垃圾不得扫入窨井、绿地等。</w:t>
      </w:r>
    </w:p>
    <w:p w14:paraId="1668E814">
      <w:pPr>
        <w:pStyle w:val="130"/>
        <w:snapToGrid w:val="0"/>
        <w:spacing w:before="0"/>
        <w:ind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5、清扫专用车整洁无破损、满溢，车厢无吊挂杂物现象，应密闭运输，不得停放在消防栓、公交车站旁、不得压盲道，停放离人行道侧石不超过20厘米，作业完毕后将工具清理干净，停放在规定地点。</w:t>
      </w:r>
    </w:p>
    <w:p w14:paraId="2122BCF4">
      <w:pPr>
        <w:pStyle w:val="130"/>
        <w:snapToGrid w:val="0"/>
        <w:spacing w:before="0"/>
        <w:ind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6、保洁质量应达到路面、人行道“五无”、“五净”。即“五无”：道路无垃圾、无杂物、无积泥、无积水、无污迹；“五净”：路面干净、绿地和树圈干净，边角侧石干净，雨水井沟眼畅通干净、果壳箱等环卫设施及交通隔离栏（墩）、路灯杆和交通信号杆（2.2米以下部分）干净。</w:t>
      </w:r>
    </w:p>
    <w:p w14:paraId="3B172BDE">
      <w:pPr>
        <w:pStyle w:val="130"/>
        <w:snapToGrid w:val="0"/>
        <w:spacing w:before="0"/>
        <w:ind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7、清扫垃圾采用专门车辆现场收集，不得焚烧垃圾、树叶，树枝落叶旺季及时清扫干净。</w:t>
      </w:r>
    </w:p>
    <w:p w14:paraId="3417CA86">
      <w:pPr>
        <w:pStyle w:val="130"/>
        <w:snapToGrid w:val="0"/>
        <w:spacing w:before="0"/>
        <w:ind w:firstLine="482"/>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管理要求</w:t>
      </w:r>
    </w:p>
    <w:p w14:paraId="61E4A0EA">
      <w:pPr>
        <w:pStyle w:val="130"/>
        <w:snapToGrid w:val="0"/>
        <w:spacing w:before="0"/>
        <w:ind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1、按</w:t>
      </w:r>
      <w:r>
        <w:rPr>
          <w:rFonts w:hint="eastAsia" w:ascii="宋体" w:hAnsi="宋体" w:eastAsia="宋体" w:cs="宋体"/>
          <w:bCs/>
          <w:color w:val="auto"/>
          <w:sz w:val="24"/>
          <w:highlight w:val="none"/>
          <w:shd w:val="clear" w:color="auto" w:fill="FFFFFF"/>
        </w:rPr>
        <w:t>《杭州市人民政府办公厅转发市城管委关于杭州城区整洁度检查考核试行办法的通知》（杭政办函〔2012〕177 号）、《关于进一步明确“杭州城管 驿站 ”管理相关事项的通知》（杭城管委[2018]233 号）、《关于印发&lt;杭州市 环卫作业人员着装与作业行为规范&gt;及&lt;杭州市环卫作业车辆标识与作业管理规 范&gt;的通知》（杭城管委〔2016〕130 号）、《关于印发杭州市城管行业服装统一标识规范的通知》（杭城管委﹝2018﹞ 16 号）执行、《关于印发 2022 年度各 区县（市）政府（管委会）城市管理目标考核相关评分细则的通知》（杭城管综执联办﹝2022﹞ 1 号）、《2023年度清洁度考核细则（重点）》</w:t>
      </w:r>
      <w:r>
        <w:rPr>
          <w:rFonts w:hint="eastAsia" w:ascii="宋体" w:hAnsi="宋体" w:eastAsia="宋体" w:cs="宋体"/>
          <w:bCs/>
          <w:color w:val="auto"/>
          <w:sz w:val="24"/>
          <w:highlight w:val="none"/>
          <w:shd w:val="clear" w:color="auto" w:fill="FFFFFF"/>
          <w:lang w:eastAsia="zh-CN"/>
        </w:rPr>
        <w:t>、</w:t>
      </w:r>
      <w:r>
        <w:rPr>
          <w:rFonts w:hint="eastAsia" w:ascii="宋体" w:hAnsi="宋体" w:eastAsia="宋体" w:cs="宋体"/>
          <w:bCs/>
          <w:color w:val="auto"/>
          <w:sz w:val="24"/>
          <w:highlight w:val="none"/>
          <w:shd w:val="clear" w:color="auto" w:fill="FFFFFF"/>
        </w:rPr>
        <w:t>《关于发布 2021 年版杭州市道路保洁经费定额的通知》（杭城管局﹝2021﹞ 138 号）、《杭州市城市市容和环境卫生管理条例》、 《</w:t>
      </w:r>
      <w:r>
        <w:rPr>
          <w:rFonts w:hint="eastAsia" w:ascii="宋体" w:hAnsi="宋体" w:eastAsia="宋体" w:cs="宋体"/>
          <w:bCs/>
          <w:color w:val="auto"/>
          <w:sz w:val="24"/>
          <w:highlight w:val="none"/>
          <w:shd w:val="clear" w:color="auto" w:fill="FFFFFF"/>
          <w:lang w:eastAsia="zh-CN"/>
        </w:rPr>
        <w:t>城市道路清扫保洁作业规范</w:t>
      </w:r>
      <w:r>
        <w:rPr>
          <w:rFonts w:hint="eastAsia" w:ascii="宋体" w:hAnsi="宋体" w:eastAsia="宋体" w:cs="宋体"/>
          <w:bCs/>
          <w:color w:val="auto"/>
          <w:sz w:val="24"/>
          <w:highlight w:val="none"/>
          <w:shd w:val="clear" w:color="auto" w:fill="FFFFFF"/>
        </w:rPr>
        <w:t>》</w:t>
      </w:r>
      <w:r>
        <w:rPr>
          <w:rFonts w:hint="eastAsia" w:ascii="宋体" w:hAnsi="宋体" w:eastAsia="宋体" w:cs="宋体"/>
          <w:color w:val="auto"/>
          <w:szCs w:val="24"/>
          <w:highlight w:val="none"/>
        </w:rPr>
        <w:t>中明确的相关要求执行。</w:t>
      </w:r>
    </w:p>
    <w:p w14:paraId="238D5B03">
      <w:pPr>
        <w:pStyle w:val="130"/>
        <w:snapToGrid w:val="0"/>
        <w:spacing w:before="0"/>
        <w:ind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2、作业单位应加强作业质量管理，做好作业质量自查记录，作业交接班必须在作业现场进行。</w:t>
      </w:r>
    </w:p>
    <w:p w14:paraId="6BBF5D1B">
      <w:pPr>
        <w:pStyle w:val="130"/>
        <w:snapToGrid w:val="0"/>
        <w:spacing w:before="0"/>
        <w:ind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3、规范管理，文明作业，自觉接受合同甲方及上级各部门领导的检查和社会监督，对出现的问题要及时整改。</w:t>
      </w:r>
    </w:p>
    <w:p w14:paraId="2B7CC006">
      <w:pPr>
        <w:pStyle w:val="130"/>
        <w:snapToGrid w:val="0"/>
        <w:spacing w:before="0"/>
        <w:ind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4、作业时应严格遵守劳动纪律，遵守安全操作规程，确保安全，发生各种意外事故由中标单位自行依照法律法规妥善处理。</w:t>
      </w:r>
    </w:p>
    <w:p w14:paraId="3502AB65">
      <w:pPr>
        <w:pStyle w:val="130"/>
        <w:snapToGrid w:val="0"/>
        <w:spacing w:before="0"/>
        <w:ind w:left="480"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5、中标单位不得向沿街单位和个人收取任何费用。</w:t>
      </w:r>
    </w:p>
    <w:p w14:paraId="60FE2E0A">
      <w:pPr>
        <w:pStyle w:val="130"/>
        <w:snapToGrid w:val="0"/>
        <w:spacing w:before="0"/>
        <w:ind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6、保持果壳箱的整洁完好，合同期间由于作业操作不善，造成破损的，由中标单位负责赔偿；因其它原因破损要调换的及时报告。</w:t>
      </w:r>
    </w:p>
    <w:p w14:paraId="46D7C65D">
      <w:pPr>
        <w:pStyle w:val="130"/>
        <w:snapToGrid w:val="0"/>
        <w:spacing w:before="0"/>
        <w:ind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7、清扫保洁员上岗须统一着装，佩戴上岗证、穿反光服和戴反光帽，对发现的问题要及时整改。</w:t>
      </w:r>
    </w:p>
    <w:p w14:paraId="3F94057F">
      <w:pPr>
        <w:pStyle w:val="130"/>
        <w:snapToGrid w:val="0"/>
        <w:spacing w:before="0"/>
        <w:ind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8、作业时作业车辆应停放适当地点，不影响行人和交通，收工后存放在甲方指定的停车场所进行集中管理，收工后作业工具不得放置在在绿化带等位置，放置地点由中标方自行负责。</w:t>
      </w:r>
    </w:p>
    <w:p w14:paraId="6B62234B">
      <w:pPr>
        <w:pStyle w:val="130"/>
        <w:snapToGrid w:val="0"/>
        <w:spacing w:before="0"/>
        <w:ind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9、遇到乱丢、乱扔、渣土抛洒污染路面等不文明行为及时进行劝阻，并进行市容环卫法规的宣传教育，做到说话文明，以理服人，对不听劝阻造成不良影响的，应及时向合同甲方或有关部门报告。</w:t>
      </w:r>
    </w:p>
    <w:p w14:paraId="14C6B964">
      <w:pPr>
        <w:pStyle w:val="130"/>
        <w:snapToGrid w:val="0"/>
        <w:spacing w:before="0"/>
        <w:ind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10、每月25-26日中标单位向合同甲方提交本月工作情况自查表、有关情况书面报告和下月作业安排计划。</w:t>
      </w:r>
    </w:p>
    <w:p w14:paraId="0BB02A79">
      <w:pPr>
        <w:pStyle w:val="130"/>
        <w:snapToGrid w:val="0"/>
        <w:spacing w:before="0"/>
        <w:ind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按照以人为本原则关心职工，严格遵守《劳动法》、《劳动合同法》等劳动法规，保障职工合法权益，不得采用劳务派遣的用工形式。认真贯彻杭政办《浙江省人民政府办公厅关于进一步改善环卫工人工作生活条件 促进环卫事业持续健康发展的若干意见》（浙政办发〔2009〕190号）和《杭州市人民政府办公厅关于进一步解决环卫工人实际困难 保障其合法权益的意见》（〔2008〕14号）文件精神，保洁人员工资不得低于《浙江省人民政府关于调整全省最低工资标准的通知》（浙政发[2024]3号）、《杭州市人民政府关于调整市区最低工资标准的通知》（杭政函[2024]37号）文件规定的工资标准，必须落实职工劳保福利待遇，为职工缴纳社会保险费（养老保险、医疗保险、失业保险、工伤保险和生育保险）与住房公积金，“五金一险”须在杭州本地缴纳，保障职工休息休假权利，加班必须足额支付加班费，环卫职工的工资、岗位津贴、加班工资等必须确保按月发放。</w:t>
      </w:r>
      <w:r>
        <w:rPr>
          <w:rFonts w:hint="eastAsia" w:ascii="宋体" w:hAnsi="宋体" w:eastAsia="宋体" w:cs="宋体"/>
          <w:color w:val="auto"/>
          <w:szCs w:val="24"/>
          <w:highlight w:val="none"/>
          <w:lang w:val="en-US" w:eastAsia="zh-CN"/>
        </w:rPr>
        <w:t>若有最新工资的标准调整，按最新的标准实施。</w:t>
      </w:r>
      <w:r>
        <w:rPr>
          <w:rFonts w:hint="eastAsia" w:ascii="宋体" w:hAnsi="宋体" w:eastAsia="宋体" w:cs="宋体"/>
          <w:color w:val="auto"/>
          <w:szCs w:val="24"/>
          <w:highlight w:val="none"/>
        </w:rPr>
        <w:t>如因违法、违规造成上访或群体性事件的，由中标单位负责处理，并作警告处理。发生意外事件的，需在2小时内通知甲方。</w:t>
      </w:r>
    </w:p>
    <w:p w14:paraId="128FC213">
      <w:pPr>
        <w:pStyle w:val="130"/>
        <w:snapToGrid w:val="0"/>
        <w:spacing w:before="0"/>
        <w:ind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12、环卫职工的工资、岗位津贴、加班工资等必须确保按月发放。</w:t>
      </w:r>
    </w:p>
    <w:p w14:paraId="6B3285F1">
      <w:pPr>
        <w:pStyle w:val="130"/>
        <w:snapToGrid w:val="0"/>
        <w:spacing w:before="0"/>
        <w:ind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13、作业单位不得使用消防栓取水用于环卫作业。</w:t>
      </w:r>
    </w:p>
    <w:p w14:paraId="05D8E06B">
      <w:pPr>
        <w:pStyle w:val="130"/>
        <w:snapToGrid w:val="0"/>
        <w:spacing w:before="0"/>
        <w:ind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14、建有工会组织，定期召开职工大会。应制定宣贯方案，确定宣贯人员，定时组织环卫行业政策法规的宣贯，做到上情下达、下情上达，保持职工队伍稳定。</w:t>
      </w:r>
    </w:p>
    <w:p w14:paraId="14A04AD5">
      <w:pPr>
        <w:pStyle w:val="130"/>
        <w:snapToGrid w:val="0"/>
        <w:spacing w:before="0"/>
        <w:ind w:left="359" w:leftChars="171" w:firstLine="120" w:firstLineChars="5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15、设立垃圾分类督导员岗位，主要负责垃圾分类宣传、督导工作，进行日常巡查等。</w:t>
      </w:r>
    </w:p>
    <w:p w14:paraId="12FEE85F">
      <w:pPr>
        <w:pStyle w:val="130"/>
        <w:snapToGrid w:val="0"/>
        <w:spacing w:before="0"/>
        <w:ind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16、 大件垃圾、建筑垃圾的清理、清运及处理等，需提供专业的清运车辆，同时对垃圾去向进行备案说明，如“有合作企业进行低价值处理、资源再生利用”等。禁止将垃圾转运以后非法倾倒。</w:t>
      </w:r>
    </w:p>
    <w:p w14:paraId="389AB5A9">
      <w:pPr>
        <w:pStyle w:val="130"/>
        <w:snapToGrid w:val="0"/>
        <w:spacing w:before="0"/>
        <w:ind w:firstLine="482"/>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其它要求</w:t>
      </w:r>
    </w:p>
    <w:p w14:paraId="21A5E7A0">
      <w:pPr>
        <w:pStyle w:val="130"/>
        <w:snapToGrid w:val="0"/>
        <w:spacing w:before="0"/>
        <w:ind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1、为提升作业队伍形象，作业人员服装（含帽子、雨披、雨鞋等）按照</w:t>
      </w:r>
      <w:r>
        <w:rPr>
          <w:rFonts w:hint="eastAsia" w:ascii="宋体" w:hAnsi="宋体" w:eastAsia="宋体" w:cs="宋体"/>
          <w:bCs/>
          <w:color w:val="auto"/>
          <w:sz w:val="24"/>
          <w:highlight w:val="none"/>
          <w:shd w:val="clear" w:color="auto" w:fill="FFFFFF"/>
        </w:rPr>
        <w:t>《关于印发&lt;杭州市 环卫作业人员着装与作业行为规范&gt;及&lt;杭州市环卫作业车辆标识与作业管理规 范&gt;的通知》（杭城管委〔2016〕130 号）、《关于印发杭州市城管行业服装统一标识规范的通知》（杭城管委﹝2018﹞ 16 号）</w:t>
      </w:r>
      <w:r>
        <w:rPr>
          <w:rFonts w:hint="eastAsia" w:ascii="宋体" w:hAnsi="宋体" w:eastAsia="宋体" w:cs="宋体"/>
          <w:color w:val="auto"/>
          <w:szCs w:val="24"/>
          <w:highlight w:val="none"/>
        </w:rPr>
        <w:t>要求进行统一招标采购，费用由中标单位列支。</w:t>
      </w:r>
    </w:p>
    <w:p w14:paraId="5843EE76">
      <w:pPr>
        <w:pStyle w:val="130"/>
        <w:snapToGrid w:val="0"/>
        <w:spacing w:before="0"/>
        <w:ind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2、中标单位应支持街道改革、创新，如街道实施准物业封闭式管理，则准物业管理范围内保洁工作由街道准物业公司实施，中标单位必须做好相关配合与支持工作。</w:t>
      </w:r>
    </w:p>
    <w:p w14:paraId="75216409">
      <w:pPr>
        <w:pStyle w:val="130"/>
        <w:snapToGrid w:val="0"/>
        <w:spacing w:before="0"/>
        <w:ind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3、建立监管、养护、执法三协同管理机制，第一时间发现城市管理“四化”及违法问题，应及时告知甲方，未及时告知，纳入清洁度考核。</w:t>
      </w:r>
    </w:p>
    <w:p w14:paraId="2E3E55CD">
      <w:pPr>
        <w:pStyle w:val="130"/>
        <w:snapToGrid w:val="0"/>
        <w:spacing w:before="0"/>
        <w:ind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4、 实际保洁作业过程中，涉及到原有保洁路段有拆迁、征用等其它原因，造成保洁面积有所变动的，按照实际保洁面积结算保洁费用。</w:t>
      </w:r>
    </w:p>
    <w:p w14:paraId="5CEBE788">
      <w:pPr>
        <w:pStyle w:val="130"/>
        <w:snapToGrid w:val="0"/>
        <w:spacing w:before="0"/>
        <w:ind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5、保洁作业单位要建立内部诚信管理体系，并定期进行备案或更新，特别是各保洁人员发生廉洁、诚信、重大安全事故等方面问题，将被记录在案，同时服从甲方诚信管理要求。</w:t>
      </w:r>
    </w:p>
    <w:p w14:paraId="100B2B59">
      <w:pPr>
        <w:pStyle w:val="130"/>
        <w:snapToGrid w:val="0"/>
        <w:spacing w:before="0"/>
        <w:ind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（三）垃圾分类服务内容及要求</w:t>
      </w:r>
    </w:p>
    <w:p w14:paraId="79948C5F">
      <w:pPr>
        <w:pStyle w:val="130"/>
        <w:snapToGrid w:val="0"/>
        <w:ind w:firstLineChars="0"/>
        <w:rPr>
          <w:rFonts w:hint="eastAsia" w:ascii="宋体" w:hAnsi="宋体" w:eastAsia="宋体" w:cs="宋体"/>
          <w:color w:val="auto"/>
          <w:highlight w:val="none"/>
        </w:rPr>
      </w:pPr>
      <w:r>
        <w:rPr>
          <w:rFonts w:hint="eastAsia" w:ascii="宋体" w:hAnsi="宋体" w:eastAsia="宋体" w:cs="宋体"/>
          <w:color w:val="auto"/>
          <w:highlight w:val="none"/>
        </w:rPr>
        <w:t>（1）定时定点和误时投放点位管理、督导：非社会物业管理的投放点位由乙方落实安排人员督导，培养、教育、引导居民养成良好的垃圾分类习惯，街道、社区、执法做好配合。</w:t>
      </w:r>
    </w:p>
    <w:p w14:paraId="2D737D26">
      <w:pPr>
        <w:pStyle w:val="130"/>
        <w:snapToGrid w:val="0"/>
        <w:ind w:firstLineChars="0"/>
        <w:rPr>
          <w:rFonts w:hint="eastAsia" w:ascii="宋体" w:hAnsi="宋体" w:eastAsia="宋体" w:cs="宋体"/>
          <w:color w:val="auto"/>
          <w:highlight w:val="none"/>
        </w:rPr>
      </w:pPr>
      <w:r>
        <w:rPr>
          <w:rFonts w:hint="eastAsia" w:ascii="宋体" w:hAnsi="宋体" w:eastAsia="宋体" w:cs="宋体"/>
          <w:color w:val="auto"/>
          <w:highlight w:val="none"/>
        </w:rPr>
        <w:t>（2）辖区内垃圾包巡检和清运：对于定时定点点位、原投放点撤除后的点位做好桶外垃圾包的及时巡检和清运。</w:t>
      </w:r>
    </w:p>
    <w:p w14:paraId="100C4B1A">
      <w:pPr>
        <w:pStyle w:val="130"/>
        <w:snapToGrid w:val="0"/>
        <w:ind w:firstLineChars="0"/>
        <w:rPr>
          <w:rFonts w:hint="eastAsia" w:ascii="宋体" w:hAnsi="宋体" w:eastAsia="宋体" w:cs="宋体"/>
          <w:color w:val="auto"/>
          <w:highlight w:val="none"/>
        </w:rPr>
      </w:pPr>
      <w:r>
        <w:rPr>
          <w:rFonts w:hint="eastAsia" w:ascii="宋体" w:hAnsi="宋体" w:eastAsia="宋体" w:cs="宋体"/>
          <w:color w:val="auto"/>
          <w:highlight w:val="none"/>
        </w:rPr>
        <w:t>（3）集置点管理：垃圾桶集置应分类整齐摆放，垃圾不得超过桶身上沿，桶盖闭合，无垃圾满溢散落，清运后做到“车走场清”。道路沿线集置点清运时间在22时至次日6时之间的，垃圾桶集置摆放时间不得超过22时至次日6时30分;清运时间在6时到22时的，垃圾桶集置摆放时间不得超过垃圾清运时间前、后30分钟。或调整到小区内清运。</w:t>
      </w:r>
    </w:p>
    <w:p w14:paraId="3D8E2BAC">
      <w:pPr>
        <w:pStyle w:val="130"/>
        <w:snapToGrid w:val="0"/>
        <w:ind w:firstLineChars="0"/>
        <w:rPr>
          <w:rFonts w:hint="eastAsia" w:ascii="宋体" w:hAnsi="宋体" w:eastAsia="宋体" w:cs="宋体"/>
          <w:color w:val="auto"/>
          <w:highlight w:val="none"/>
        </w:rPr>
      </w:pPr>
      <w:r>
        <w:rPr>
          <w:rFonts w:hint="eastAsia" w:ascii="宋体" w:hAnsi="宋体" w:eastAsia="宋体" w:cs="宋体"/>
          <w:color w:val="auto"/>
          <w:highlight w:val="none"/>
        </w:rPr>
        <w:t>（4）再生资源回收点运营：做好全品类的可回收物回收，按照市、区级要求做好规范提升及运营，街道、社区、执法做好配合。</w:t>
      </w:r>
    </w:p>
    <w:p w14:paraId="2CE7834B">
      <w:pPr>
        <w:pStyle w:val="130"/>
        <w:snapToGrid w:val="0"/>
        <w:ind w:firstLineChars="0"/>
        <w:rPr>
          <w:rFonts w:hint="eastAsia" w:ascii="宋体" w:hAnsi="宋体" w:eastAsia="宋体" w:cs="宋体"/>
          <w:color w:val="auto"/>
          <w:highlight w:val="none"/>
        </w:rPr>
      </w:pPr>
      <w:r>
        <w:rPr>
          <w:rFonts w:hint="eastAsia" w:ascii="宋体" w:hAnsi="宋体" w:eastAsia="宋体" w:cs="宋体"/>
          <w:color w:val="auto"/>
          <w:highlight w:val="none"/>
        </w:rPr>
        <w:t>（5）协助并参与各类宣传培训活动：配合街道、社区开展入户宣传，在工作时间内对居民进行宣传引导，其他甲方交付的垃圾分类相关宣教督导工作。</w:t>
      </w:r>
    </w:p>
    <w:p w14:paraId="72DF0C87">
      <w:pPr>
        <w:pStyle w:val="130"/>
        <w:snapToGrid w:val="0"/>
        <w:ind w:firstLineChars="0"/>
        <w:rPr>
          <w:rFonts w:hint="eastAsia" w:ascii="宋体" w:hAnsi="宋体" w:eastAsia="宋体" w:cs="宋体"/>
          <w:color w:val="auto"/>
          <w:highlight w:val="none"/>
        </w:rPr>
      </w:pPr>
      <w:r>
        <w:rPr>
          <w:rFonts w:hint="eastAsia" w:ascii="宋体" w:hAnsi="宋体" w:eastAsia="宋体" w:cs="宋体"/>
          <w:color w:val="auto"/>
          <w:highlight w:val="none"/>
        </w:rPr>
        <w:t>（6）配合甲方做好省、市、区垃圾分类相关创建任务，遇迎接上级检查（文明城市创建，垃圾分类示范创建验收等），乙方需无条件积极响应。</w:t>
      </w:r>
    </w:p>
    <w:p w14:paraId="08A0334F">
      <w:pPr>
        <w:pStyle w:val="130"/>
        <w:snapToGrid w:val="0"/>
        <w:ind w:firstLineChars="0"/>
        <w:rPr>
          <w:rFonts w:hint="eastAsia" w:ascii="宋体" w:hAnsi="宋体" w:eastAsia="宋体" w:cs="宋体"/>
          <w:color w:val="auto"/>
          <w:highlight w:val="none"/>
        </w:rPr>
      </w:pPr>
      <w:r>
        <w:rPr>
          <w:rFonts w:hint="eastAsia" w:ascii="宋体" w:hAnsi="宋体" w:eastAsia="宋体" w:cs="宋体"/>
          <w:color w:val="auto"/>
          <w:highlight w:val="none"/>
        </w:rPr>
        <w:t>（7）做好生活垃圾“三化四分”（减量化、资源化、无害化，分类投放、分类收运、分类利用、分类处置）工作，做好桶房内的垃圾分类及垃圾分类宣传张贴及巡查工作，垃圾房内分类桶的盖子应打开，露天分类垃圾桶盖子应盖合，摆放时桶盖打开方向朝外。</w:t>
      </w:r>
    </w:p>
    <w:p w14:paraId="1921724D">
      <w:pPr>
        <w:pStyle w:val="130"/>
        <w:snapToGrid w:val="0"/>
        <w:ind w:firstLineChars="0"/>
        <w:rPr>
          <w:rFonts w:hint="eastAsia" w:ascii="宋体" w:hAnsi="宋体" w:eastAsia="宋体" w:cs="宋体"/>
          <w:color w:val="auto"/>
          <w:highlight w:val="none"/>
        </w:rPr>
      </w:pPr>
      <w:r>
        <w:rPr>
          <w:rFonts w:hint="eastAsia" w:ascii="宋体" w:hAnsi="宋体" w:eastAsia="宋体" w:cs="宋体"/>
          <w:color w:val="auto"/>
          <w:highlight w:val="none"/>
        </w:rPr>
        <w:t>（9）做好垃圾分类相关宣传栏、宣传牌、标识牌的日常维护，负责分类垃圾桶（垃圾房）的标识正确清晰，摆放正确合理等，发现问题及时将情况反馈至社区。</w:t>
      </w:r>
    </w:p>
    <w:p w14:paraId="530973D1">
      <w:pPr>
        <w:pStyle w:val="13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（10）发现小区内大件、装修、园林垃圾乱堆放或偷倒现象和直运公司在清运过程中收运延时、垃圾混装混运、抛洒滴漏、作业扰民等问题乙方有劝止、处置义务，处置不了的再报给街道、社区。</w:t>
      </w:r>
    </w:p>
    <w:p w14:paraId="293FF018">
      <w:pPr>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小营街道垃圾分类扣款及奖励细则</w:t>
      </w:r>
    </w:p>
    <w:tbl>
      <w:tblPr>
        <w:tblStyle w:val="64"/>
        <w:tblW w:w="8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50"/>
        <w:gridCol w:w="1500"/>
      </w:tblGrid>
      <w:tr w14:paraId="38169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6750" w:type="dxa"/>
            <w:noWrap/>
            <w:tcMar>
              <w:top w:w="15" w:type="dxa"/>
              <w:left w:w="15" w:type="dxa"/>
              <w:right w:w="15" w:type="dxa"/>
            </w:tcMar>
            <w:vAlign w:val="center"/>
          </w:tcPr>
          <w:p w14:paraId="763B080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检查及考核细则</w:t>
            </w:r>
          </w:p>
        </w:tc>
        <w:tc>
          <w:tcPr>
            <w:tcW w:w="1500" w:type="dxa"/>
            <w:tcMar>
              <w:top w:w="15" w:type="dxa"/>
              <w:left w:w="15" w:type="dxa"/>
              <w:right w:w="15" w:type="dxa"/>
            </w:tcMar>
            <w:vAlign w:val="center"/>
          </w:tcPr>
          <w:p w14:paraId="55B6A9B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扣除金额（元）</w:t>
            </w:r>
          </w:p>
        </w:tc>
      </w:tr>
      <w:tr w14:paraId="3DFED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6750" w:type="dxa"/>
            <w:tcMar>
              <w:top w:w="15" w:type="dxa"/>
              <w:left w:w="15" w:type="dxa"/>
              <w:right w:w="15" w:type="dxa"/>
            </w:tcMar>
            <w:vAlign w:val="center"/>
          </w:tcPr>
          <w:p w14:paraId="1E4D486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垃圾房内外（包括分类桶）不干净、不整洁</w:t>
            </w:r>
          </w:p>
        </w:tc>
        <w:tc>
          <w:tcPr>
            <w:tcW w:w="1500" w:type="dxa"/>
            <w:tcMar>
              <w:top w:w="15" w:type="dxa"/>
              <w:left w:w="15" w:type="dxa"/>
              <w:right w:w="15" w:type="dxa"/>
            </w:tcMar>
            <w:vAlign w:val="center"/>
          </w:tcPr>
          <w:p w14:paraId="77A9BDE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50元/次</w:t>
            </w:r>
          </w:p>
        </w:tc>
      </w:tr>
      <w:tr w14:paraId="14F19FD3">
        <w:tblPrEx>
          <w:tblCellMar>
            <w:top w:w="0" w:type="dxa"/>
            <w:left w:w="0" w:type="dxa"/>
            <w:bottom w:w="0" w:type="dxa"/>
            <w:right w:w="0" w:type="dxa"/>
          </w:tblCellMar>
        </w:tblPrEx>
        <w:trPr>
          <w:trHeight w:val="533" w:hRule="atLeast"/>
        </w:trPr>
        <w:tc>
          <w:tcPr>
            <w:tcW w:w="6750" w:type="dxa"/>
            <w:tcMar>
              <w:top w:w="15" w:type="dxa"/>
              <w:left w:w="15" w:type="dxa"/>
              <w:right w:w="15" w:type="dxa"/>
            </w:tcMar>
            <w:vAlign w:val="center"/>
          </w:tcPr>
          <w:p w14:paraId="5F5FC613">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其他垃圾桶内发现垃圾错投或分类错误</w:t>
            </w:r>
          </w:p>
        </w:tc>
        <w:tc>
          <w:tcPr>
            <w:tcW w:w="1500" w:type="dxa"/>
            <w:tcMar>
              <w:top w:w="15" w:type="dxa"/>
              <w:left w:w="15" w:type="dxa"/>
              <w:right w:w="15" w:type="dxa"/>
            </w:tcMar>
            <w:vAlign w:val="center"/>
          </w:tcPr>
          <w:p w14:paraId="71D2EB0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80元/次</w:t>
            </w:r>
          </w:p>
        </w:tc>
      </w:tr>
      <w:tr w14:paraId="6CD3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6750" w:type="dxa"/>
            <w:tcMar>
              <w:top w:w="15" w:type="dxa"/>
              <w:left w:w="15" w:type="dxa"/>
              <w:right w:w="15" w:type="dxa"/>
            </w:tcMar>
            <w:vAlign w:val="center"/>
          </w:tcPr>
          <w:p w14:paraId="7750AE3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易腐垃圾桶内发现垃圾错投或分类错误</w:t>
            </w:r>
          </w:p>
        </w:tc>
        <w:tc>
          <w:tcPr>
            <w:tcW w:w="1500" w:type="dxa"/>
            <w:tcMar>
              <w:top w:w="15" w:type="dxa"/>
              <w:left w:w="15" w:type="dxa"/>
              <w:right w:w="15" w:type="dxa"/>
            </w:tcMar>
            <w:vAlign w:val="center"/>
          </w:tcPr>
          <w:p w14:paraId="6B3481B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100元/次</w:t>
            </w:r>
          </w:p>
        </w:tc>
      </w:tr>
      <w:tr w14:paraId="26729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6750" w:type="dxa"/>
            <w:tcMar>
              <w:top w:w="15" w:type="dxa"/>
              <w:left w:w="15" w:type="dxa"/>
              <w:right w:w="15" w:type="dxa"/>
            </w:tcMar>
            <w:vAlign w:val="center"/>
          </w:tcPr>
          <w:p w14:paraId="4BCD227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可回收物、有毒有害垃圾桶内发现错投或分类错误</w:t>
            </w:r>
          </w:p>
        </w:tc>
        <w:tc>
          <w:tcPr>
            <w:tcW w:w="1500" w:type="dxa"/>
            <w:tcMar>
              <w:top w:w="15" w:type="dxa"/>
              <w:left w:w="15" w:type="dxa"/>
              <w:right w:w="15" w:type="dxa"/>
            </w:tcMar>
            <w:vAlign w:val="center"/>
          </w:tcPr>
          <w:p w14:paraId="2C3101B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50元/次</w:t>
            </w:r>
          </w:p>
        </w:tc>
      </w:tr>
      <w:tr w14:paraId="3ABB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6750" w:type="dxa"/>
            <w:tcMar>
              <w:top w:w="15" w:type="dxa"/>
              <w:left w:w="15" w:type="dxa"/>
              <w:right w:w="15" w:type="dxa"/>
            </w:tcMar>
            <w:vAlign w:val="center"/>
          </w:tcPr>
          <w:p w14:paraId="16E8649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细分点投放时间内，现场无人分类、劝导、管理</w:t>
            </w:r>
          </w:p>
        </w:tc>
        <w:tc>
          <w:tcPr>
            <w:tcW w:w="1500" w:type="dxa"/>
            <w:tcMar>
              <w:top w:w="15" w:type="dxa"/>
              <w:left w:w="15" w:type="dxa"/>
              <w:right w:w="15" w:type="dxa"/>
            </w:tcMar>
            <w:vAlign w:val="center"/>
          </w:tcPr>
          <w:p w14:paraId="0817FEA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100元/次</w:t>
            </w:r>
          </w:p>
        </w:tc>
      </w:tr>
      <w:tr w14:paraId="2DD73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6750" w:type="dxa"/>
            <w:tcMar>
              <w:top w:w="15" w:type="dxa"/>
              <w:left w:w="15" w:type="dxa"/>
              <w:right w:w="15" w:type="dxa"/>
            </w:tcMar>
            <w:vAlign w:val="center"/>
          </w:tcPr>
          <w:p w14:paraId="3EB1500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垃圾房存在杂桶、设施破损</w:t>
            </w:r>
          </w:p>
        </w:tc>
        <w:tc>
          <w:tcPr>
            <w:tcW w:w="1500" w:type="dxa"/>
            <w:tcMar>
              <w:top w:w="15" w:type="dxa"/>
              <w:left w:w="15" w:type="dxa"/>
              <w:right w:w="15" w:type="dxa"/>
            </w:tcMar>
            <w:vAlign w:val="center"/>
          </w:tcPr>
          <w:p w14:paraId="01840DD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100元</w:t>
            </w:r>
            <w:r>
              <w:rPr>
                <w:rFonts w:hint="eastAsia" w:ascii="宋体" w:hAnsi="宋体" w:eastAsia="宋体" w:cs="宋体"/>
                <w:color w:val="auto"/>
                <w:kern w:val="0"/>
                <w:szCs w:val="21"/>
                <w:highlight w:val="none"/>
                <w:lang w:bidi="ar"/>
              </w:rPr>
              <w:t>/次</w:t>
            </w:r>
          </w:p>
        </w:tc>
      </w:tr>
      <w:tr w14:paraId="1075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6750" w:type="dxa"/>
            <w:tcMar>
              <w:top w:w="15" w:type="dxa"/>
              <w:left w:w="15" w:type="dxa"/>
              <w:right w:w="15" w:type="dxa"/>
            </w:tcMar>
            <w:vAlign w:val="center"/>
          </w:tcPr>
          <w:p w14:paraId="4CA2242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垃圾房、分类桶、小区橱窗宣传缺失、宣传内容破损、错误，未及时更新</w:t>
            </w:r>
          </w:p>
        </w:tc>
        <w:tc>
          <w:tcPr>
            <w:tcW w:w="1500" w:type="dxa"/>
            <w:tcMar>
              <w:top w:w="15" w:type="dxa"/>
              <w:left w:w="15" w:type="dxa"/>
              <w:right w:w="15" w:type="dxa"/>
            </w:tcMar>
            <w:vAlign w:val="center"/>
          </w:tcPr>
          <w:p w14:paraId="220999C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50元/次</w:t>
            </w:r>
          </w:p>
        </w:tc>
      </w:tr>
      <w:tr w14:paraId="12CD2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6750" w:type="dxa"/>
            <w:tcMar>
              <w:top w:w="15" w:type="dxa"/>
              <w:left w:w="15" w:type="dxa"/>
              <w:right w:w="15" w:type="dxa"/>
            </w:tcMar>
            <w:vAlign w:val="center"/>
          </w:tcPr>
          <w:p w14:paraId="2FEBE26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建筑（装修）垃圾、大件垃圾宣传牌未公示</w:t>
            </w:r>
          </w:p>
        </w:tc>
        <w:tc>
          <w:tcPr>
            <w:tcW w:w="1500" w:type="dxa"/>
            <w:tcMar>
              <w:top w:w="15" w:type="dxa"/>
              <w:left w:w="15" w:type="dxa"/>
              <w:right w:w="15" w:type="dxa"/>
            </w:tcMar>
            <w:vAlign w:val="center"/>
          </w:tcPr>
          <w:p w14:paraId="5F444A5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80元/次</w:t>
            </w:r>
          </w:p>
        </w:tc>
      </w:tr>
      <w:tr w14:paraId="6DA65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6750" w:type="dxa"/>
            <w:tcMar>
              <w:top w:w="15" w:type="dxa"/>
              <w:left w:w="15" w:type="dxa"/>
              <w:right w:w="15" w:type="dxa"/>
            </w:tcMar>
            <w:vAlign w:val="center"/>
          </w:tcPr>
          <w:p w14:paraId="216A35C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小区投放点位未按标准规范设置四分类桶</w:t>
            </w:r>
          </w:p>
        </w:tc>
        <w:tc>
          <w:tcPr>
            <w:tcW w:w="1500" w:type="dxa"/>
            <w:tcMar>
              <w:top w:w="15" w:type="dxa"/>
              <w:left w:w="15" w:type="dxa"/>
              <w:right w:w="15" w:type="dxa"/>
            </w:tcMar>
            <w:vAlign w:val="center"/>
          </w:tcPr>
          <w:p w14:paraId="14BA4FA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100元/次</w:t>
            </w:r>
          </w:p>
        </w:tc>
      </w:tr>
      <w:tr w14:paraId="6C6E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6750" w:type="dxa"/>
            <w:tcMar>
              <w:top w:w="15" w:type="dxa"/>
              <w:left w:w="15" w:type="dxa"/>
              <w:right w:w="15" w:type="dxa"/>
            </w:tcMar>
            <w:vAlign w:val="center"/>
          </w:tcPr>
          <w:p w14:paraId="580D0708">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投放点位四分类桶已摆放但不便于居民投放</w:t>
            </w:r>
          </w:p>
        </w:tc>
        <w:tc>
          <w:tcPr>
            <w:tcW w:w="1500" w:type="dxa"/>
            <w:tcMar>
              <w:top w:w="15" w:type="dxa"/>
              <w:left w:w="15" w:type="dxa"/>
              <w:right w:w="15" w:type="dxa"/>
            </w:tcMar>
            <w:vAlign w:val="center"/>
          </w:tcPr>
          <w:p w14:paraId="409D206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100元/次</w:t>
            </w:r>
          </w:p>
        </w:tc>
      </w:tr>
      <w:tr w14:paraId="372D3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6750" w:type="dxa"/>
            <w:tcMar>
              <w:top w:w="15" w:type="dxa"/>
              <w:left w:w="15" w:type="dxa"/>
              <w:right w:w="15" w:type="dxa"/>
            </w:tcMar>
            <w:vAlign w:val="center"/>
          </w:tcPr>
          <w:p w14:paraId="5972255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小区入户宣传率未达到100%</w:t>
            </w:r>
          </w:p>
        </w:tc>
        <w:tc>
          <w:tcPr>
            <w:tcW w:w="1500" w:type="dxa"/>
            <w:tcMar>
              <w:top w:w="15" w:type="dxa"/>
              <w:left w:w="15" w:type="dxa"/>
              <w:right w:w="15" w:type="dxa"/>
            </w:tcMar>
            <w:vAlign w:val="center"/>
          </w:tcPr>
          <w:p w14:paraId="17FC86F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10元/户</w:t>
            </w:r>
          </w:p>
        </w:tc>
      </w:tr>
      <w:tr w14:paraId="000C7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6750" w:type="dxa"/>
            <w:tcMar>
              <w:top w:w="15" w:type="dxa"/>
              <w:left w:w="15" w:type="dxa"/>
              <w:right w:w="15" w:type="dxa"/>
            </w:tcMar>
            <w:vAlign w:val="center"/>
          </w:tcPr>
          <w:p w14:paraId="0C84DC2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区级通报垃圾分类黑榜小区</w:t>
            </w:r>
          </w:p>
        </w:tc>
        <w:tc>
          <w:tcPr>
            <w:tcW w:w="1500" w:type="dxa"/>
            <w:tcMar>
              <w:top w:w="15" w:type="dxa"/>
              <w:left w:w="15" w:type="dxa"/>
              <w:right w:w="15" w:type="dxa"/>
            </w:tcMar>
            <w:vAlign w:val="center"/>
          </w:tcPr>
          <w:p w14:paraId="51C64C4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800元/次</w:t>
            </w:r>
          </w:p>
        </w:tc>
      </w:tr>
      <w:tr w14:paraId="4D403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6750" w:type="dxa"/>
            <w:tcMar>
              <w:top w:w="15" w:type="dxa"/>
              <w:left w:w="15" w:type="dxa"/>
              <w:right w:w="15" w:type="dxa"/>
            </w:tcMar>
            <w:vAlign w:val="center"/>
          </w:tcPr>
          <w:p w14:paraId="1828C65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市级通报垃圾分类黑榜小区</w:t>
            </w:r>
          </w:p>
        </w:tc>
        <w:tc>
          <w:tcPr>
            <w:tcW w:w="1500" w:type="dxa"/>
            <w:tcMar>
              <w:top w:w="15" w:type="dxa"/>
              <w:left w:w="15" w:type="dxa"/>
              <w:right w:w="15" w:type="dxa"/>
            </w:tcMar>
            <w:vAlign w:val="center"/>
          </w:tcPr>
          <w:p w14:paraId="5F24B2A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4000元/次</w:t>
            </w:r>
          </w:p>
        </w:tc>
      </w:tr>
      <w:tr w14:paraId="031AF91C">
        <w:tblPrEx>
          <w:tblCellMar>
            <w:top w:w="0" w:type="dxa"/>
            <w:left w:w="0" w:type="dxa"/>
            <w:bottom w:w="0" w:type="dxa"/>
            <w:right w:w="0" w:type="dxa"/>
          </w:tblCellMar>
        </w:tblPrEx>
        <w:trPr>
          <w:trHeight w:val="533" w:hRule="atLeast"/>
        </w:trPr>
        <w:tc>
          <w:tcPr>
            <w:tcW w:w="6750" w:type="dxa"/>
            <w:tcMar>
              <w:top w:w="15" w:type="dxa"/>
              <w:left w:w="15" w:type="dxa"/>
              <w:right w:w="15" w:type="dxa"/>
            </w:tcMar>
            <w:vAlign w:val="center"/>
          </w:tcPr>
          <w:p w14:paraId="2407BCD8">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市级检查低于80分小区</w:t>
            </w:r>
          </w:p>
        </w:tc>
        <w:tc>
          <w:tcPr>
            <w:tcW w:w="1500" w:type="dxa"/>
            <w:tcMar>
              <w:top w:w="15" w:type="dxa"/>
              <w:left w:w="15" w:type="dxa"/>
              <w:right w:w="15" w:type="dxa"/>
            </w:tcMar>
            <w:vAlign w:val="center"/>
          </w:tcPr>
          <w:p w14:paraId="68EAAA0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1000元/次</w:t>
            </w:r>
          </w:p>
        </w:tc>
      </w:tr>
      <w:tr w14:paraId="3CBB3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6750" w:type="dxa"/>
            <w:tcMar>
              <w:top w:w="15" w:type="dxa"/>
              <w:left w:w="15" w:type="dxa"/>
              <w:right w:w="15" w:type="dxa"/>
            </w:tcMar>
            <w:vAlign w:val="center"/>
          </w:tcPr>
          <w:p w14:paraId="27915250">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区级检查低于80分小区</w:t>
            </w:r>
          </w:p>
        </w:tc>
        <w:tc>
          <w:tcPr>
            <w:tcW w:w="1500" w:type="dxa"/>
            <w:tcMar>
              <w:top w:w="15" w:type="dxa"/>
              <w:left w:w="15" w:type="dxa"/>
              <w:right w:w="15" w:type="dxa"/>
            </w:tcMar>
            <w:vAlign w:val="center"/>
          </w:tcPr>
          <w:p w14:paraId="0EDCD20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300元/次</w:t>
            </w:r>
          </w:p>
        </w:tc>
      </w:tr>
      <w:tr w14:paraId="47BD7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6750" w:type="dxa"/>
            <w:tcMar>
              <w:top w:w="15" w:type="dxa"/>
              <w:left w:w="15" w:type="dxa"/>
              <w:right w:w="15" w:type="dxa"/>
            </w:tcMar>
            <w:vAlign w:val="center"/>
          </w:tcPr>
          <w:p w14:paraId="62A4C40B">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街道检查低于80分小区</w:t>
            </w:r>
          </w:p>
        </w:tc>
        <w:tc>
          <w:tcPr>
            <w:tcW w:w="1500" w:type="dxa"/>
            <w:tcMar>
              <w:top w:w="15" w:type="dxa"/>
              <w:left w:w="15" w:type="dxa"/>
              <w:right w:w="15" w:type="dxa"/>
            </w:tcMar>
            <w:vAlign w:val="center"/>
          </w:tcPr>
          <w:p w14:paraId="3B7738A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100元/次</w:t>
            </w:r>
          </w:p>
        </w:tc>
      </w:tr>
      <w:tr w14:paraId="2B538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6750" w:type="dxa"/>
            <w:tcMar>
              <w:top w:w="15" w:type="dxa"/>
              <w:left w:w="15" w:type="dxa"/>
              <w:right w:w="15" w:type="dxa"/>
            </w:tcMar>
            <w:vAlign w:val="center"/>
          </w:tcPr>
          <w:p w14:paraId="33C9EBE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未按要求设立特殊垃圾堆放点位，再生资源回收点位</w:t>
            </w:r>
          </w:p>
        </w:tc>
        <w:tc>
          <w:tcPr>
            <w:tcW w:w="1500" w:type="dxa"/>
            <w:tcMar>
              <w:top w:w="15" w:type="dxa"/>
              <w:left w:w="15" w:type="dxa"/>
              <w:right w:w="15" w:type="dxa"/>
            </w:tcMar>
            <w:vAlign w:val="center"/>
          </w:tcPr>
          <w:p w14:paraId="686981D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200元/次</w:t>
            </w:r>
          </w:p>
        </w:tc>
      </w:tr>
      <w:tr w14:paraId="070F9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6750" w:type="dxa"/>
            <w:tcMar>
              <w:top w:w="15" w:type="dxa"/>
              <w:left w:w="15" w:type="dxa"/>
              <w:right w:w="15" w:type="dxa"/>
            </w:tcMar>
            <w:vAlign w:val="center"/>
          </w:tcPr>
          <w:p w14:paraId="53180899">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特殊垃圾堆放点位未按要求分类</w:t>
            </w:r>
          </w:p>
        </w:tc>
        <w:tc>
          <w:tcPr>
            <w:tcW w:w="1500" w:type="dxa"/>
            <w:tcMar>
              <w:top w:w="15" w:type="dxa"/>
              <w:left w:w="15" w:type="dxa"/>
              <w:right w:w="15" w:type="dxa"/>
            </w:tcMar>
            <w:vAlign w:val="center"/>
          </w:tcPr>
          <w:p w14:paraId="42AD63E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100元/次</w:t>
            </w:r>
          </w:p>
        </w:tc>
      </w:tr>
      <w:tr w14:paraId="3C7E4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6750" w:type="dxa"/>
            <w:tcMar>
              <w:top w:w="15" w:type="dxa"/>
              <w:left w:w="15" w:type="dxa"/>
              <w:right w:w="15" w:type="dxa"/>
            </w:tcMar>
            <w:vAlign w:val="center"/>
          </w:tcPr>
          <w:p w14:paraId="5786A713">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是否开门有人，关门撤桶</w:t>
            </w:r>
          </w:p>
        </w:tc>
        <w:tc>
          <w:tcPr>
            <w:tcW w:w="1500" w:type="dxa"/>
            <w:tcMar>
              <w:top w:w="15" w:type="dxa"/>
              <w:left w:w="15" w:type="dxa"/>
              <w:right w:w="15" w:type="dxa"/>
            </w:tcMar>
            <w:vAlign w:val="center"/>
          </w:tcPr>
          <w:p w14:paraId="12D6233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50元/次</w:t>
            </w:r>
          </w:p>
        </w:tc>
      </w:tr>
      <w:tr w14:paraId="1B117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6750" w:type="dxa"/>
            <w:tcMar>
              <w:top w:w="15" w:type="dxa"/>
              <w:left w:w="15" w:type="dxa"/>
              <w:right w:w="15" w:type="dxa"/>
            </w:tcMar>
            <w:vAlign w:val="center"/>
          </w:tcPr>
          <w:p w14:paraId="384B12B8">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垃圾桶满溢</w:t>
            </w:r>
          </w:p>
        </w:tc>
        <w:tc>
          <w:tcPr>
            <w:tcW w:w="1500" w:type="dxa"/>
            <w:tcMar>
              <w:top w:w="15" w:type="dxa"/>
              <w:left w:w="15" w:type="dxa"/>
              <w:right w:w="15" w:type="dxa"/>
            </w:tcMar>
            <w:vAlign w:val="center"/>
          </w:tcPr>
          <w:p w14:paraId="6ECE281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50元/桶</w:t>
            </w:r>
          </w:p>
        </w:tc>
      </w:tr>
      <w:tr w14:paraId="5F147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6750" w:type="dxa"/>
            <w:tcMar>
              <w:top w:w="15" w:type="dxa"/>
              <w:left w:w="15" w:type="dxa"/>
              <w:right w:w="15" w:type="dxa"/>
            </w:tcMar>
            <w:vAlign w:val="center"/>
          </w:tcPr>
          <w:p w14:paraId="09AB28C4">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垃圾房、垃圾桶外有垃圾包</w:t>
            </w:r>
          </w:p>
        </w:tc>
        <w:tc>
          <w:tcPr>
            <w:tcW w:w="1500" w:type="dxa"/>
            <w:tcMar>
              <w:top w:w="15" w:type="dxa"/>
              <w:left w:w="15" w:type="dxa"/>
              <w:right w:w="15" w:type="dxa"/>
            </w:tcMar>
            <w:vAlign w:val="center"/>
          </w:tcPr>
          <w:p w14:paraId="0E4D809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20元/包</w:t>
            </w:r>
          </w:p>
        </w:tc>
      </w:tr>
      <w:tr w14:paraId="2126F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6750" w:type="dxa"/>
            <w:tcMar>
              <w:top w:w="15" w:type="dxa"/>
              <w:left w:w="15" w:type="dxa"/>
              <w:right w:w="15" w:type="dxa"/>
            </w:tcMar>
            <w:vAlign w:val="center"/>
          </w:tcPr>
          <w:p w14:paraId="461ADD0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未按时处理数字城管案卷、居民来信、来电投诉；</w:t>
            </w:r>
          </w:p>
        </w:tc>
        <w:tc>
          <w:tcPr>
            <w:tcW w:w="1500" w:type="dxa"/>
            <w:tcMar>
              <w:top w:w="15" w:type="dxa"/>
              <w:left w:w="15" w:type="dxa"/>
              <w:right w:w="15" w:type="dxa"/>
            </w:tcMar>
            <w:vAlign w:val="center"/>
          </w:tcPr>
          <w:p w14:paraId="53012ED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200元/次</w:t>
            </w:r>
          </w:p>
        </w:tc>
      </w:tr>
      <w:tr w14:paraId="4C9EC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6750" w:type="dxa"/>
            <w:tcMar>
              <w:top w:w="15" w:type="dxa"/>
              <w:left w:w="15" w:type="dxa"/>
              <w:right w:w="15" w:type="dxa"/>
            </w:tcMar>
            <w:vAlign w:val="center"/>
          </w:tcPr>
          <w:p w14:paraId="01BA43B8">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承包员未及时上传分类数据</w:t>
            </w:r>
          </w:p>
        </w:tc>
        <w:tc>
          <w:tcPr>
            <w:tcW w:w="1500" w:type="dxa"/>
            <w:tcMar>
              <w:top w:w="15" w:type="dxa"/>
              <w:left w:w="15" w:type="dxa"/>
              <w:right w:w="15" w:type="dxa"/>
            </w:tcMar>
            <w:vAlign w:val="center"/>
          </w:tcPr>
          <w:p w14:paraId="59991DA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30元/次</w:t>
            </w:r>
          </w:p>
        </w:tc>
      </w:tr>
      <w:tr w14:paraId="1146D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6750" w:type="dxa"/>
            <w:tcMar>
              <w:top w:w="15" w:type="dxa"/>
              <w:left w:w="15" w:type="dxa"/>
              <w:right w:w="15" w:type="dxa"/>
            </w:tcMar>
            <w:vAlign w:val="center"/>
          </w:tcPr>
          <w:p w14:paraId="693F72EF">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区级通报垃圾分类红榜小区</w:t>
            </w:r>
          </w:p>
        </w:tc>
        <w:tc>
          <w:tcPr>
            <w:tcW w:w="1500" w:type="dxa"/>
            <w:tcMar>
              <w:top w:w="15" w:type="dxa"/>
              <w:left w:w="15" w:type="dxa"/>
              <w:right w:w="15" w:type="dxa"/>
            </w:tcMar>
            <w:vAlign w:val="center"/>
          </w:tcPr>
          <w:p w14:paraId="35DF58B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奖励800元/次</w:t>
            </w:r>
          </w:p>
        </w:tc>
      </w:tr>
      <w:tr w14:paraId="38DA9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6750" w:type="dxa"/>
            <w:tcMar>
              <w:top w:w="15" w:type="dxa"/>
              <w:left w:w="15" w:type="dxa"/>
              <w:right w:w="15" w:type="dxa"/>
            </w:tcMar>
            <w:vAlign w:val="center"/>
          </w:tcPr>
          <w:p w14:paraId="34278640">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市级通报垃圾分类红榜小区</w:t>
            </w:r>
          </w:p>
        </w:tc>
        <w:tc>
          <w:tcPr>
            <w:tcW w:w="1500" w:type="dxa"/>
            <w:tcMar>
              <w:top w:w="15" w:type="dxa"/>
              <w:left w:w="15" w:type="dxa"/>
              <w:right w:w="15" w:type="dxa"/>
            </w:tcMar>
            <w:vAlign w:val="center"/>
          </w:tcPr>
          <w:p w14:paraId="3342408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奖励4000元/次</w:t>
            </w:r>
          </w:p>
        </w:tc>
      </w:tr>
    </w:tbl>
    <w:p w14:paraId="679A4661">
      <w:pPr>
        <w:snapToGrid w:val="0"/>
        <w:spacing w:line="56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（四）审计要求</w:t>
      </w:r>
    </w:p>
    <w:p w14:paraId="493CBE6E">
      <w:pPr>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在合同服务期内，为确保服务方的财务透明度及合规性，针对服务收入的使用和管理情况，中标方提供年度审计报告给甲方。审计费用由中标单位支付。</w:t>
      </w:r>
    </w:p>
    <w:p w14:paraId="51E1F601">
      <w:pPr>
        <w:snapToGrid w:val="0"/>
        <w:spacing w:line="56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三、投标报价要求</w:t>
      </w:r>
    </w:p>
    <w:p w14:paraId="7A706009">
      <w:pPr>
        <w:snapToGrid w:val="0"/>
        <w:spacing w:line="560" w:lineRule="exact"/>
        <w:ind w:firstLine="480"/>
        <w:rPr>
          <w:rFonts w:hint="eastAsia"/>
        </w:rPr>
      </w:pPr>
      <w:r>
        <w:rPr>
          <w:rFonts w:hint="eastAsia" w:ascii="宋体" w:hAnsi="宋体" w:eastAsia="宋体" w:cs="宋体"/>
          <w:color w:val="auto"/>
          <w:sz w:val="24"/>
          <w:highlight w:val="none"/>
        </w:rPr>
        <w:t>投标人的报价应包括为完成本项目服务可能发生的全部费用及投标人的利润和应交纳的税金等。投标人对合同内容的费用、质量、安全、文明服务等实行全面承包。必须充分考虑劳动力成本上涨的因素、该区域内老旧公共设施破损概率高、维修费用高的因素以及充分考虑该区域内因各类矛盾（如停车矛盾）所带来的相应成本费用。</w:t>
      </w:r>
    </w:p>
    <w:p w14:paraId="39D105EB">
      <w:pPr>
        <w:snapToGrid w:val="0"/>
        <w:spacing w:line="560" w:lineRule="exact"/>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四、人员数量要求</w:t>
      </w:r>
    </w:p>
    <w:p w14:paraId="599AFC4C">
      <w:pPr>
        <w:autoSpaceDE w:val="0"/>
        <w:autoSpaceDN w:val="0"/>
        <w:snapToGrid w:val="0"/>
        <w:spacing w:line="560" w:lineRule="exact"/>
        <w:ind w:firstLine="480"/>
        <w:rPr>
          <w:rFonts w:hint="eastAsia" w:ascii="宋体" w:hAnsi="宋体" w:eastAsia="宋体" w:cs="宋体"/>
          <w:b w:val="0"/>
          <w:bCs/>
          <w:color w:val="auto"/>
          <w:sz w:val="24"/>
          <w:highlight w:val="none"/>
        </w:rPr>
      </w:pPr>
      <w:bookmarkStart w:id="33" w:name="OLE_LINK2"/>
      <w:r>
        <w:rPr>
          <w:rFonts w:hint="eastAsia" w:ascii="宋体" w:hAnsi="宋体" w:eastAsia="宋体" w:cs="宋体"/>
          <w:b w:val="0"/>
          <w:bCs/>
          <w:color w:val="auto"/>
          <w:sz w:val="24"/>
          <w:highlight w:val="none"/>
        </w:rPr>
        <w:t>▲</w:t>
      </w:r>
      <w:r>
        <w:rPr>
          <w:rFonts w:hint="eastAsia" w:ascii="宋体" w:hAnsi="宋体" w:cs="宋体"/>
          <w:b w:val="0"/>
          <w:bCs/>
          <w:color w:val="auto"/>
          <w:sz w:val="24"/>
          <w:highlight w:val="none"/>
          <w:lang w:eastAsia="zh-CN"/>
        </w:rPr>
        <w:t>（一）</w:t>
      </w:r>
      <w:r>
        <w:rPr>
          <w:rFonts w:hint="eastAsia" w:ascii="宋体" w:hAnsi="宋体" w:eastAsia="宋体" w:cs="宋体"/>
          <w:b w:val="0"/>
          <w:bCs/>
          <w:color w:val="auto"/>
          <w:sz w:val="24"/>
          <w:highlight w:val="none"/>
        </w:rPr>
        <w:t>人员配置不少于109人，其中：项目负责人1人、</w:t>
      </w:r>
      <w:r>
        <w:rPr>
          <w:rFonts w:hint="eastAsia" w:ascii="宋体" w:hAnsi="宋体" w:eastAsia="宋体" w:cs="宋体"/>
          <w:b w:val="0"/>
          <w:bCs/>
          <w:color w:val="auto"/>
          <w:sz w:val="24"/>
          <w:highlight w:val="none"/>
          <w:lang w:val="en-US" w:eastAsia="zh-CN"/>
        </w:rPr>
        <w:t>工程主管</w:t>
      </w:r>
      <w:r>
        <w:rPr>
          <w:rFonts w:hint="eastAsia" w:ascii="宋体" w:hAnsi="宋体" w:eastAsia="宋体" w:cs="宋体"/>
          <w:b w:val="0"/>
          <w:bCs/>
          <w:color w:val="auto"/>
          <w:sz w:val="24"/>
          <w:highlight w:val="none"/>
        </w:rPr>
        <w:t>1人</w:t>
      </w:r>
      <w:r>
        <w:rPr>
          <w:rFonts w:hint="eastAsia" w:ascii="宋体" w:hAnsi="宋体" w:eastAsia="宋体" w:cs="宋体"/>
          <w:b w:val="0"/>
          <w:bCs/>
          <w:color w:val="auto"/>
          <w:sz w:val="24"/>
          <w:highlight w:val="none"/>
          <w:lang w:val="en-US" w:eastAsia="zh-CN"/>
        </w:rPr>
        <w:t>、保安主管1</w:t>
      </w:r>
      <w:r>
        <w:rPr>
          <w:rFonts w:hint="eastAsia" w:ascii="宋体" w:hAnsi="宋体" w:eastAsia="宋体" w:cs="宋体"/>
          <w:b w:val="0"/>
          <w:bCs/>
          <w:color w:val="auto"/>
          <w:sz w:val="24"/>
          <w:highlight w:val="none"/>
        </w:rPr>
        <w:t>人</w:t>
      </w:r>
      <w:r>
        <w:rPr>
          <w:rFonts w:hint="eastAsia" w:ascii="宋体" w:hAnsi="宋体" w:eastAsia="宋体" w:cs="宋体"/>
          <w:b w:val="0"/>
          <w:bCs/>
          <w:color w:val="auto"/>
          <w:sz w:val="24"/>
          <w:highlight w:val="none"/>
          <w:lang w:val="en-US" w:eastAsia="zh-CN"/>
        </w:rPr>
        <w:t>、保洁主管1</w:t>
      </w:r>
      <w:r>
        <w:rPr>
          <w:rFonts w:hint="eastAsia" w:ascii="宋体" w:hAnsi="宋体" w:eastAsia="宋体" w:cs="宋体"/>
          <w:b w:val="0"/>
          <w:bCs/>
          <w:color w:val="auto"/>
          <w:sz w:val="24"/>
          <w:highlight w:val="none"/>
        </w:rPr>
        <w:t>人、内勤6人、水电工</w:t>
      </w:r>
      <w:r>
        <w:rPr>
          <w:rFonts w:hint="eastAsia" w:ascii="宋体" w:hAnsi="宋体" w:eastAsia="宋体" w:cs="宋体"/>
          <w:b w:val="0"/>
          <w:bCs/>
          <w:color w:val="auto"/>
          <w:sz w:val="24"/>
          <w:highlight w:val="none"/>
          <w:lang w:val="en-US" w:eastAsia="zh-CN"/>
        </w:rPr>
        <w:t>4</w:t>
      </w:r>
      <w:r>
        <w:rPr>
          <w:rFonts w:hint="eastAsia" w:ascii="宋体" w:hAnsi="宋体" w:eastAsia="宋体" w:cs="宋体"/>
          <w:b w:val="0"/>
          <w:bCs/>
          <w:color w:val="auto"/>
          <w:sz w:val="24"/>
          <w:highlight w:val="none"/>
        </w:rPr>
        <w:t>人</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lang w:val="en-US" w:eastAsia="zh-CN"/>
        </w:rPr>
        <w:t>均需持</w:t>
      </w:r>
      <w:r>
        <w:rPr>
          <w:rFonts w:hint="eastAsia" w:ascii="宋体" w:hAnsi="宋体" w:eastAsia="宋体" w:cs="宋体"/>
          <w:b w:val="0"/>
          <w:bCs/>
          <w:color w:val="auto"/>
          <w:sz w:val="24"/>
          <w:highlight w:val="none"/>
        </w:rPr>
        <w:t>特种作业操作证[低压电工人员</w:t>
      </w:r>
      <w:r>
        <w:rPr>
          <w:rFonts w:hint="eastAsia" w:ascii="宋体" w:hAnsi="宋体" w:eastAsia="宋体" w:cs="宋体"/>
          <w:b w:val="0"/>
          <w:bCs/>
          <w:color w:val="auto"/>
          <w:sz w:val="24"/>
          <w:highlight w:val="none"/>
          <w:lang w:val="en-US" w:eastAsia="zh-CN"/>
        </w:rPr>
        <w:t>或</w:t>
      </w:r>
      <w:r>
        <w:rPr>
          <w:rFonts w:hint="eastAsia" w:ascii="宋体" w:hAnsi="宋体" w:eastAsia="宋体" w:cs="宋体"/>
          <w:b w:val="0"/>
          <w:bCs/>
          <w:color w:val="auto"/>
          <w:sz w:val="24"/>
          <w:highlight w:val="none"/>
        </w:rPr>
        <w:t>高压电工人员]</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rPr>
        <w:t>、特种设备安全管理和作业人员</w:t>
      </w:r>
      <w:r>
        <w:rPr>
          <w:rFonts w:hint="eastAsia" w:ascii="宋体" w:hAnsi="宋体" w:eastAsia="宋体" w:cs="宋体"/>
          <w:b w:val="0"/>
          <w:bCs/>
          <w:color w:val="auto"/>
          <w:sz w:val="24"/>
          <w:highlight w:val="none"/>
          <w:lang w:val="en-US" w:eastAsia="zh-CN"/>
        </w:rPr>
        <w:t>1人</w:t>
      </w:r>
      <w:r>
        <w:rPr>
          <w:rFonts w:hint="eastAsia" w:ascii="宋体" w:hAnsi="宋体" w:eastAsia="宋体" w:cs="宋体"/>
          <w:b w:val="0"/>
          <w:bCs/>
          <w:color w:val="auto"/>
          <w:sz w:val="24"/>
          <w:highlight w:val="none"/>
        </w:rPr>
        <w:t>（项目代号A）</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rPr>
        <w:t>保安1</w:t>
      </w:r>
      <w:r>
        <w:rPr>
          <w:rFonts w:hint="eastAsia" w:ascii="宋体" w:hAnsi="宋体" w:eastAsia="宋体" w:cs="宋体"/>
          <w:b w:val="0"/>
          <w:bCs/>
          <w:color w:val="auto"/>
          <w:sz w:val="24"/>
          <w:highlight w:val="none"/>
          <w:lang w:val="en-US" w:eastAsia="zh-CN"/>
        </w:rPr>
        <w:t>3</w:t>
      </w:r>
      <w:r>
        <w:rPr>
          <w:rFonts w:hint="eastAsia" w:ascii="宋体" w:hAnsi="宋体" w:eastAsia="宋体" w:cs="宋体"/>
          <w:b w:val="0"/>
          <w:bCs/>
          <w:color w:val="auto"/>
          <w:sz w:val="24"/>
          <w:highlight w:val="none"/>
        </w:rPr>
        <w:t>人</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lang w:val="en-US" w:eastAsia="zh-CN"/>
        </w:rPr>
        <w:t>13人均具有保安证，其中2人还需具有消防设施操作员证</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lang w:val="en-US" w:eastAsia="zh-CN"/>
        </w:rPr>
        <w:t>、</w:t>
      </w:r>
      <w:r>
        <w:rPr>
          <w:rFonts w:hint="eastAsia" w:ascii="宋体" w:hAnsi="宋体" w:eastAsia="宋体" w:cs="宋体"/>
          <w:b w:val="0"/>
          <w:bCs/>
          <w:color w:val="auto"/>
          <w:sz w:val="24"/>
          <w:highlight w:val="none"/>
        </w:rPr>
        <w:t>绿化养护 2人，街巷保洁</w:t>
      </w:r>
      <w:r>
        <w:rPr>
          <w:rFonts w:hint="eastAsia" w:ascii="宋体" w:hAnsi="宋体" w:eastAsia="宋体" w:cs="宋体"/>
          <w:b w:val="0"/>
          <w:bCs/>
          <w:color w:val="auto"/>
          <w:sz w:val="24"/>
          <w:highlight w:val="none"/>
          <w:lang w:val="en-US" w:eastAsia="zh-CN"/>
        </w:rPr>
        <w:t>环卫工人79</w:t>
      </w:r>
      <w:r>
        <w:rPr>
          <w:rFonts w:hint="eastAsia" w:ascii="宋体" w:hAnsi="宋体" w:eastAsia="宋体" w:cs="宋体"/>
          <w:b w:val="0"/>
          <w:bCs/>
          <w:color w:val="auto"/>
          <w:sz w:val="24"/>
          <w:highlight w:val="none"/>
        </w:rPr>
        <w:t>人</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rPr>
        <w:t>街巷保洁</w:t>
      </w:r>
      <w:r>
        <w:rPr>
          <w:rFonts w:hint="eastAsia" w:ascii="宋体" w:hAnsi="宋体" w:eastAsia="宋体" w:cs="宋体"/>
          <w:b w:val="0"/>
          <w:bCs/>
          <w:color w:val="auto"/>
          <w:sz w:val="24"/>
          <w:highlight w:val="none"/>
          <w:lang w:val="en-US" w:eastAsia="zh-CN"/>
        </w:rPr>
        <w:t>环卫工人</w:t>
      </w:r>
      <w:r>
        <w:rPr>
          <w:rFonts w:hint="eastAsia" w:ascii="宋体" w:hAnsi="宋体" w:eastAsia="宋体" w:cs="宋体"/>
          <w:b w:val="0"/>
          <w:bCs/>
          <w:color w:val="auto"/>
          <w:sz w:val="24"/>
          <w:highlight w:val="none"/>
        </w:rPr>
        <w:t>35人</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rPr>
        <w:t>楼梯保洁12人、</w:t>
      </w:r>
      <w:r>
        <w:rPr>
          <w:rFonts w:hint="eastAsia" w:ascii="宋体" w:hAnsi="宋体" w:eastAsia="宋体" w:cs="宋体"/>
          <w:b w:val="0"/>
          <w:bCs/>
          <w:color w:val="auto"/>
          <w:sz w:val="24"/>
          <w:highlight w:val="none"/>
          <w:lang w:val="en-US" w:eastAsia="zh-CN"/>
        </w:rPr>
        <w:t>其他保洁32人）</w:t>
      </w:r>
      <w:r>
        <w:rPr>
          <w:rFonts w:hint="eastAsia" w:ascii="宋体" w:hAnsi="宋体" w:eastAsia="宋体" w:cs="宋体"/>
          <w:b w:val="0"/>
          <w:bCs/>
          <w:color w:val="auto"/>
          <w:sz w:val="24"/>
          <w:highlight w:val="none"/>
        </w:rPr>
        <w:t>。本项目中如有上述要求持证上岗人员，在投标时，提供相应的证件。</w:t>
      </w:r>
    </w:p>
    <w:bookmarkEnd w:id="33"/>
    <w:p w14:paraId="2C00B4C5">
      <w:pPr>
        <w:snapToGrid w:val="0"/>
        <w:spacing w:line="560" w:lineRule="exact"/>
        <w:ind w:firstLine="465" w:firstLineChars="194"/>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二</w:t>
      </w:r>
      <w:r>
        <w:rPr>
          <w:rFonts w:hint="eastAsia" w:ascii="宋体" w:hAnsi="宋体" w:eastAsia="宋体" w:cs="宋体"/>
          <w:color w:val="auto"/>
          <w:sz w:val="24"/>
          <w:highlight w:val="none"/>
        </w:rPr>
        <w:t>）项目负责人：具有本科及以上学历，熟悉物业管理服务专业知识及相关的法律法规，驻点梅花碑。要求：具有丰富的物业管理经验（有小区物业管理经验</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年以上），吃苦耐劳，爱岗敬业，具有较强的组织、沟通、协调和应变能力。负责梅花碑物业总体管理和社区间的协调、统筹。</w:t>
      </w:r>
      <w:r>
        <w:rPr>
          <w:rFonts w:hint="eastAsia" w:ascii="宋体" w:hAnsi="宋体" w:eastAsia="宋体" w:cs="宋体"/>
          <w:color w:val="auto"/>
          <w:sz w:val="24"/>
          <w:highlight w:val="none"/>
          <w:lang w:val="en-US" w:eastAsia="zh-CN"/>
        </w:rPr>
        <w:t>投标人与拟派项目负责人需共同出具保证能在本项目服务期间专职为本项目服务的承诺函。项目负责人离职前需提前一个月通知招标人，待新拟派项目负责人培训合格上岗后方可批准离职。投标人在服务期内更换项目负责人及其他主要管理人员的，新拟派人员需具备同等条件。此项纳入月度考核范围。</w:t>
      </w:r>
    </w:p>
    <w:p w14:paraId="2199C202">
      <w:pPr>
        <w:snapToGrid w:val="0"/>
        <w:spacing w:line="560" w:lineRule="exact"/>
        <w:ind w:firstLine="465" w:firstLineChars="194"/>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三</w:t>
      </w:r>
      <w:r>
        <w:rPr>
          <w:rFonts w:hint="eastAsia" w:ascii="宋体" w:hAnsi="宋体" w:eastAsia="宋体" w:cs="宋体"/>
          <w:color w:val="auto"/>
          <w:sz w:val="24"/>
          <w:highlight w:val="none"/>
        </w:rPr>
        <w:t>）内勤人员：大专及以上学历，熟悉财务软件，建立完善的物业费收费台账。</w:t>
      </w:r>
    </w:p>
    <w:p w14:paraId="4836B2A3">
      <w:pPr>
        <w:snapToGrid w:val="0"/>
        <w:spacing w:line="560" w:lineRule="exact"/>
        <w:ind w:firstLine="465" w:firstLineChars="194"/>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四</w:t>
      </w:r>
      <w:r>
        <w:rPr>
          <w:rFonts w:hint="eastAsia" w:ascii="宋体" w:hAnsi="宋体" w:eastAsia="宋体" w:cs="宋体"/>
          <w:color w:val="auto"/>
          <w:sz w:val="24"/>
          <w:highlight w:val="none"/>
        </w:rPr>
        <w:t>）水电工</w:t>
      </w:r>
    </w:p>
    <w:p w14:paraId="2734CEDB">
      <w:pPr>
        <w:snapToGrid w:val="0"/>
        <w:spacing w:line="560" w:lineRule="exact"/>
        <w:ind w:firstLine="465" w:firstLineChars="194"/>
        <w:rPr>
          <w:rFonts w:hint="eastAsia" w:ascii="宋体" w:hAnsi="宋体" w:eastAsia="宋体" w:cs="宋体"/>
          <w:color w:val="auto"/>
          <w:sz w:val="24"/>
          <w:highlight w:val="none"/>
        </w:rPr>
      </w:pPr>
      <w:r>
        <w:rPr>
          <w:rFonts w:hint="eastAsia" w:ascii="宋体" w:hAnsi="宋体" w:eastAsia="宋体" w:cs="宋体"/>
          <w:color w:val="auto"/>
          <w:sz w:val="24"/>
          <w:highlight w:val="none"/>
        </w:rPr>
        <w:t>1、日常零星维修项目，主要通过物业人员的检查、巡查和业主随时报修等两个渠道来收集。零星维修要求及时、高效。应力争做到“水电急修不过夜，小修项目不过二，一般项目不过三”。要求零修合格率达到100%。</w:t>
      </w:r>
    </w:p>
    <w:p w14:paraId="095F47F2">
      <w:pPr>
        <w:snapToGrid w:val="0"/>
        <w:spacing w:line="560" w:lineRule="exact"/>
        <w:ind w:firstLine="465" w:firstLineChars="194"/>
        <w:rPr>
          <w:rFonts w:hint="eastAsia" w:ascii="宋体" w:hAnsi="宋体" w:eastAsia="宋体" w:cs="宋体"/>
          <w:color w:val="auto"/>
          <w:sz w:val="24"/>
          <w:highlight w:val="none"/>
        </w:rPr>
      </w:pPr>
      <w:r>
        <w:rPr>
          <w:rFonts w:hint="eastAsia" w:ascii="宋体" w:hAnsi="宋体" w:eastAsia="宋体" w:cs="宋体"/>
          <w:color w:val="auto"/>
          <w:sz w:val="24"/>
          <w:highlight w:val="none"/>
        </w:rPr>
        <w:t>2、时限要求：急修项目如：厕浴间排污管道严重堵塞、水管爆裂等，自接到报修之时起半小时到达现场并修复或协助处理；非常急修项目：自接到报修起，24小时之内处理修复，如遇不能修复的及时协助居民做好衔接、跟进服务。</w:t>
      </w:r>
    </w:p>
    <w:p w14:paraId="181FD23C">
      <w:pPr>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五</w:t>
      </w:r>
      <w:r>
        <w:rPr>
          <w:rFonts w:hint="eastAsia" w:ascii="宋体" w:hAnsi="宋体" w:eastAsia="宋体" w:cs="宋体"/>
          <w:color w:val="auto"/>
          <w:sz w:val="24"/>
          <w:highlight w:val="none"/>
        </w:rPr>
        <w:t>）保安人员</w:t>
      </w:r>
    </w:p>
    <w:p w14:paraId="24C8B689">
      <w:pPr>
        <w:snapToGrid w:val="0"/>
        <w:spacing w:line="560" w:lineRule="exact"/>
        <w:ind w:firstLine="465" w:firstLineChars="194"/>
        <w:rPr>
          <w:rFonts w:hint="eastAsia" w:ascii="宋体" w:hAnsi="宋体" w:eastAsia="宋体" w:cs="宋体"/>
          <w:color w:val="auto"/>
          <w:sz w:val="24"/>
          <w:highlight w:val="none"/>
        </w:rPr>
      </w:pPr>
      <w:r>
        <w:rPr>
          <w:rFonts w:hint="eastAsia" w:ascii="宋体" w:hAnsi="宋体" w:eastAsia="宋体" w:cs="宋体"/>
          <w:color w:val="auto"/>
          <w:sz w:val="24"/>
          <w:highlight w:val="none"/>
        </w:rPr>
        <w:t>1、服务内容：传达、治安监控、车辆管理。</w:t>
      </w:r>
    </w:p>
    <w:p w14:paraId="1C84D3E9">
      <w:pPr>
        <w:snapToGrid w:val="0"/>
        <w:spacing w:line="560" w:lineRule="exact"/>
        <w:ind w:firstLine="465" w:firstLineChars="194"/>
        <w:rPr>
          <w:rFonts w:hint="eastAsia" w:ascii="宋体" w:hAnsi="宋体" w:eastAsia="宋体" w:cs="宋体"/>
          <w:color w:val="auto"/>
          <w:sz w:val="24"/>
          <w:highlight w:val="none"/>
        </w:rPr>
      </w:pPr>
      <w:r>
        <w:rPr>
          <w:rFonts w:hint="eastAsia" w:ascii="宋体" w:hAnsi="宋体" w:eastAsia="宋体" w:cs="宋体"/>
          <w:color w:val="auto"/>
          <w:sz w:val="24"/>
          <w:highlight w:val="none"/>
        </w:rPr>
        <w:t>2、基本要求：身体健康，仪表端庄，训练有素，言语规范，知法守法；能做好小区公共秩序维护工作；正确使用各类消防、技防器械和设备，能够熟悉、掌握各类突发灾害事故的应急预案；上岗时佩戴统一标志，穿戴统一制服（精致），装备佩戴规范，配备对讲装置和其他必备的安全护卫器械。</w:t>
      </w:r>
    </w:p>
    <w:p w14:paraId="41638691">
      <w:pPr>
        <w:snapToGrid w:val="0"/>
        <w:spacing w:line="560" w:lineRule="exact"/>
        <w:ind w:firstLine="465" w:firstLineChars="194"/>
        <w:rPr>
          <w:rFonts w:hint="eastAsia" w:ascii="宋体" w:hAnsi="宋体" w:eastAsia="宋体" w:cs="宋体"/>
          <w:color w:val="auto"/>
          <w:sz w:val="24"/>
          <w:highlight w:val="none"/>
        </w:rPr>
      </w:pPr>
      <w:r>
        <w:rPr>
          <w:rFonts w:hint="eastAsia" w:ascii="宋体" w:hAnsi="宋体" w:eastAsia="宋体" w:cs="宋体"/>
          <w:color w:val="auto"/>
          <w:sz w:val="24"/>
          <w:highlight w:val="none"/>
        </w:rPr>
        <w:t>3、具体内容</w:t>
      </w:r>
    </w:p>
    <w:p w14:paraId="1284042F">
      <w:pPr>
        <w:snapToGrid w:val="0"/>
        <w:spacing w:line="560" w:lineRule="exact"/>
        <w:ind w:firstLine="465" w:firstLineChars="194"/>
        <w:rPr>
          <w:rFonts w:hint="eastAsia" w:ascii="宋体" w:hAnsi="宋体" w:eastAsia="宋体" w:cs="宋体"/>
          <w:color w:val="auto"/>
          <w:sz w:val="24"/>
          <w:highlight w:val="none"/>
        </w:rPr>
      </w:pPr>
      <w:r>
        <w:rPr>
          <w:rFonts w:hint="eastAsia" w:ascii="宋体" w:hAnsi="宋体" w:eastAsia="宋体" w:cs="宋体"/>
          <w:color w:val="auto"/>
          <w:sz w:val="24"/>
          <w:highlight w:val="none"/>
        </w:rPr>
        <w:t>1、门岗：服务时间：主要出入口24小时值班看守；</w:t>
      </w:r>
    </w:p>
    <w:p w14:paraId="267D24F4">
      <w:pPr>
        <w:snapToGrid w:val="0"/>
        <w:spacing w:line="560" w:lineRule="exact"/>
        <w:ind w:firstLine="465" w:firstLineChars="194"/>
        <w:rPr>
          <w:rFonts w:hint="eastAsia" w:ascii="宋体" w:hAnsi="宋体" w:eastAsia="宋体" w:cs="宋体"/>
          <w:color w:val="auto"/>
          <w:sz w:val="24"/>
          <w:highlight w:val="none"/>
        </w:rPr>
      </w:pPr>
      <w:r>
        <w:rPr>
          <w:rFonts w:hint="eastAsia" w:ascii="宋体" w:hAnsi="宋体" w:eastAsia="宋体" w:cs="宋体"/>
          <w:color w:val="auto"/>
          <w:sz w:val="24"/>
          <w:highlight w:val="none"/>
        </w:rPr>
        <w:t>2、交接班：有详细完整的交接班记录；</w:t>
      </w:r>
    </w:p>
    <w:p w14:paraId="6F26B9AD">
      <w:pPr>
        <w:snapToGrid w:val="0"/>
        <w:spacing w:line="560" w:lineRule="exact"/>
        <w:ind w:firstLine="465" w:firstLineChars="194"/>
        <w:rPr>
          <w:rFonts w:hint="eastAsia" w:ascii="宋体" w:hAnsi="宋体" w:eastAsia="宋体" w:cs="宋体"/>
          <w:color w:val="auto"/>
          <w:sz w:val="24"/>
          <w:highlight w:val="none"/>
        </w:rPr>
      </w:pPr>
      <w:r>
        <w:rPr>
          <w:rFonts w:hint="eastAsia" w:ascii="宋体" w:hAnsi="宋体" w:eastAsia="宋体" w:cs="宋体"/>
          <w:color w:val="auto"/>
          <w:sz w:val="24"/>
          <w:highlight w:val="none"/>
        </w:rPr>
        <w:t>3、外来车辆：对外来车辆原则上禁止进小区，确需进入的实施证（卡）管理和登记，引导车辆有序通行、停放。</w:t>
      </w:r>
    </w:p>
    <w:p w14:paraId="60B0C5D9">
      <w:pPr>
        <w:snapToGrid w:val="0"/>
        <w:spacing w:line="560" w:lineRule="exact"/>
        <w:ind w:firstLine="465" w:firstLineChars="194"/>
        <w:rPr>
          <w:rFonts w:hint="eastAsia" w:ascii="宋体" w:hAnsi="宋体" w:eastAsia="宋体" w:cs="宋体"/>
          <w:color w:val="auto"/>
          <w:sz w:val="24"/>
          <w:highlight w:val="none"/>
        </w:rPr>
      </w:pPr>
      <w:r>
        <w:rPr>
          <w:rFonts w:hint="eastAsia" w:ascii="宋体" w:hAnsi="宋体" w:eastAsia="宋体" w:cs="宋体"/>
          <w:color w:val="auto"/>
          <w:sz w:val="24"/>
          <w:highlight w:val="none"/>
        </w:rPr>
        <w:t>4、车辆管理：车辆行驶安全、停放有序、无可见安全隐患。</w:t>
      </w:r>
    </w:p>
    <w:p w14:paraId="159F3440">
      <w:pPr>
        <w:snapToGrid w:val="0"/>
        <w:spacing w:line="560" w:lineRule="exact"/>
        <w:ind w:firstLine="465" w:firstLineChars="194"/>
        <w:rPr>
          <w:rFonts w:hint="eastAsia" w:ascii="宋体" w:hAnsi="宋体" w:eastAsia="宋体" w:cs="宋体"/>
          <w:color w:val="auto"/>
          <w:sz w:val="24"/>
          <w:highlight w:val="none"/>
        </w:rPr>
      </w:pPr>
      <w:r>
        <w:rPr>
          <w:rFonts w:hint="eastAsia" w:ascii="宋体" w:hAnsi="宋体" w:eastAsia="宋体" w:cs="宋体"/>
          <w:color w:val="auto"/>
          <w:sz w:val="24"/>
          <w:highlight w:val="none"/>
        </w:rPr>
        <w:t>5、消防巡查：消防设施完好无损，发现问题及时报告；楼道内的灭火器每月巡检一次，并做好记录。</w:t>
      </w:r>
    </w:p>
    <w:p w14:paraId="50F8874D">
      <w:pPr>
        <w:snapToGrid w:val="0"/>
        <w:spacing w:line="560" w:lineRule="exact"/>
        <w:ind w:firstLine="465" w:firstLineChars="194"/>
        <w:rPr>
          <w:rFonts w:hint="eastAsia" w:ascii="宋体" w:hAnsi="宋体" w:eastAsia="宋体" w:cs="宋体"/>
          <w:color w:val="auto"/>
          <w:sz w:val="24"/>
          <w:highlight w:val="none"/>
        </w:rPr>
      </w:pPr>
      <w:r>
        <w:rPr>
          <w:rFonts w:hint="eastAsia" w:ascii="宋体" w:hAnsi="宋体" w:eastAsia="宋体" w:cs="宋体"/>
          <w:color w:val="auto"/>
          <w:sz w:val="24"/>
          <w:highlight w:val="none"/>
        </w:rPr>
        <w:t>6、业主帮助：在遇到业主需要帮助时，主动热情；在遇到业主紧急求助时，15分钟内赶到现场，采取相应措施。</w:t>
      </w:r>
    </w:p>
    <w:p w14:paraId="2CDE373A">
      <w:pPr>
        <w:snapToGrid w:val="0"/>
        <w:spacing w:line="560" w:lineRule="exact"/>
        <w:ind w:firstLine="465" w:firstLineChars="194"/>
        <w:rPr>
          <w:rFonts w:hint="eastAsia" w:ascii="宋体" w:hAnsi="宋体" w:eastAsia="宋体" w:cs="宋体"/>
          <w:color w:val="auto"/>
          <w:sz w:val="24"/>
          <w:highlight w:val="none"/>
        </w:rPr>
      </w:pPr>
      <w:r>
        <w:rPr>
          <w:rFonts w:hint="eastAsia" w:ascii="宋体" w:hAnsi="宋体" w:eastAsia="宋体" w:cs="宋体"/>
          <w:color w:val="auto"/>
          <w:sz w:val="24"/>
          <w:highlight w:val="none"/>
        </w:rPr>
        <w:t>7、应急响应：接到火警警情后五分钟内到达现场，并报物业、社区及警方，协助采取有关措施。</w:t>
      </w:r>
    </w:p>
    <w:p w14:paraId="73358EBF">
      <w:pPr>
        <w:snapToGrid w:val="0"/>
        <w:spacing w:line="560" w:lineRule="exact"/>
        <w:ind w:firstLine="465" w:firstLineChars="194"/>
        <w:rPr>
          <w:rFonts w:hint="eastAsia" w:ascii="宋体" w:hAnsi="宋体" w:eastAsia="宋体" w:cs="宋体"/>
          <w:color w:val="auto"/>
          <w:sz w:val="24"/>
          <w:highlight w:val="none"/>
        </w:rPr>
      </w:pPr>
      <w:r>
        <w:rPr>
          <w:rFonts w:hint="eastAsia" w:ascii="宋体" w:hAnsi="宋体" w:eastAsia="宋体" w:cs="宋体"/>
          <w:color w:val="auto"/>
          <w:sz w:val="24"/>
          <w:highlight w:val="none"/>
        </w:rPr>
        <w:t>8、应急预案：按照要求制订各类突发事件应急预案，并将预案内容在办公室等处悬挂。完善各类应急预案，人员、物资、措施落实到位，做好防汛抗台防雷、防冻抗雪、气象防灾减灾等应急处置工作。</w:t>
      </w:r>
    </w:p>
    <w:p w14:paraId="36A99ACD">
      <w:pPr>
        <w:snapToGrid w:val="0"/>
        <w:spacing w:line="560" w:lineRule="exact"/>
        <w:ind w:firstLine="465" w:firstLineChars="194"/>
        <w:rPr>
          <w:rFonts w:hint="eastAsia" w:ascii="宋体" w:hAnsi="宋体" w:eastAsia="宋体" w:cs="宋体"/>
          <w:color w:val="auto"/>
          <w:sz w:val="24"/>
          <w:highlight w:val="none"/>
        </w:rPr>
      </w:pPr>
      <w:r>
        <w:rPr>
          <w:rFonts w:hint="eastAsia" w:ascii="宋体" w:hAnsi="宋体" w:eastAsia="宋体" w:cs="宋体"/>
          <w:color w:val="auto"/>
          <w:sz w:val="24"/>
          <w:highlight w:val="none"/>
        </w:rPr>
        <w:t>9、应急队伍：应组建一支不少于6人的（含保安、保洁、维修）应急抢险队伍，在应急相应期间落实人员24小时值班制度。</w:t>
      </w:r>
    </w:p>
    <w:p w14:paraId="3D07FCAE">
      <w:pPr>
        <w:widowControl/>
        <w:snapToGrid w:val="0"/>
        <w:spacing w:line="560" w:lineRule="exact"/>
        <w:ind w:firstLine="465" w:firstLineChars="194"/>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六</w:t>
      </w:r>
      <w:r>
        <w:rPr>
          <w:rFonts w:hint="eastAsia" w:ascii="宋体" w:hAnsi="宋体" w:eastAsia="宋体" w:cs="宋体"/>
          <w:color w:val="auto"/>
          <w:sz w:val="24"/>
          <w:highlight w:val="none"/>
        </w:rPr>
        <w:t>）保洁保绿人员</w:t>
      </w:r>
    </w:p>
    <w:p w14:paraId="5FAC9E7E">
      <w:pPr>
        <w:widowControl/>
        <w:snapToGrid w:val="0"/>
        <w:spacing w:line="560" w:lineRule="exact"/>
        <w:ind w:firstLine="465" w:firstLineChars="194"/>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服务内容：小区内各幢楼的楼梯、公共活动场所、楼宇外墙等所有公共部位，所有小区内道路、机动车停车场、非机动车停车库等所有公共场地的保洁服务，严格按街道、社区考核标准实施。</w:t>
      </w:r>
    </w:p>
    <w:p w14:paraId="01E095DA">
      <w:pPr>
        <w:widowControl/>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七</w:t>
      </w:r>
      <w:r>
        <w:rPr>
          <w:rFonts w:hint="eastAsia" w:ascii="宋体" w:hAnsi="宋体" w:eastAsia="宋体" w:cs="宋体"/>
          <w:color w:val="auto"/>
          <w:sz w:val="24"/>
          <w:highlight w:val="none"/>
        </w:rPr>
        <w:t>）仪表规范</w:t>
      </w:r>
    </w:p>
    <w:p w14:paraId="192B4B61">
      <w:pPr>
        <w:widowControl/>
        <w:snapToGrid w:val="0"/>
        <w:spacing w:line="5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工作人员（含各作业人员）工作期间应严格按照规定要求穿着工作服，工作时必须穿戴统一配发的工作服、佩带工作证；应保持着装整洁，工作服无破损、无不洁、荧光条无剥落。作业时必须带工作帽、防护手套，雨天必须着统一雨衣、雨裤、雨鞋作业。</w:t>
      </w:r>
    </w:p>
    <w:p w14:paraId="7E2CBD70">
      <w:pPr>
        <w:widowControl/>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1、作业时衣冠整齐，拉链及风纪扣必须拉拢扣好，工作帽正带。内着衣服的帽子等物不得翻出工作服，不得穿拖鞋，不得加带袖套、腿套、围裙等物，不得卷裤腿、衣袖。</w:t>
      </w:r>
    </w:p>
    <w:p w14:paraId="2445529D">
      <w:pPr>
        <w:widowControl/>
        <w:snapToGrid w:val="0"/>
        <w:spacing w:line="5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2、作业人员工作证，一人一证，不得转借。凡离开作业队伍时，工作服和工作证一律上交。工作证要求佩戴在左胸前表袋内部，表面保持干净，工作证信息朝外，清晰准确。</w:t>
      </w:r>
    </w:p>
    <w:p w14:paraId="50D3982C">
      <w:pPr>
        <w:widowControl/>
        <w:snapToGrid w:val="0"/>
        <w:spacing w:line="5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3、作业人员仪表应当整洁。作业人员上岗时不允许佩带夸张、色彩严厉的装饰物，不得留长指甲。男性作业人员不得留长发、蓄长须；女性作业人员应把头发盘夹好，头发不得散乱，不允许带浓妆。</w:t>
      </w:r>
    </w:p>
    <w:p w14:paraId="1A7AB232">
      <w:pPr>
        <w:widowControl/>
        <w:snapToGrid w:val="0"/>
        <w:spacing w:line="5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八</w:t>
      </w:r>
      <w:r>
        <w:rPr>
          <w:rFonts w:hint="eastAsia" w:ascii="宋体" w:hAnsi="宋体" w:eastAsia="宋体" w:cs="宋体"/>
          <w:color w:val="auto"/>
          <w:sz w:val="24"/>
          <w:highlight w:val="none"/>
        </w:rPr>
        <w:t>）行为规范</w:t>
      </w:r>
    </w:p>
    <w:p w14:paraId="6191BBD0">
      <w:pPr>
        <w:widowControl/>
        <w:snapToGrid w:val="0"/>
        <w:spacing w:line="5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1、工作人员应自觉做到文明礼仪，文明用语，礼让行人，规范作业，不得与他人、单位发生冲突。</w:t>
      </w:r>
    </w:p>
    <w:p w14:paraId="6442FF24">
      <w:pPr>
        <w:widowControl/>
        <w:snapToGrid w:val="0"/>
        <w:spacing w:line="5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2、作业人员作业期间应精神振作，姿态良好。不得边作业边吸烟、吃东西，不得成群闲聊、打牌休闲，不得从事与工作无关的其它活动。</w:t>
      </w:r>
    </w:p>
    <w:p w14:paraId="09182880">
      <w:pPr>
        <w:widowControl/>
        <w:snapToGrid w:val="0"/>
        <w:spacing w:line="5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3、作业人员应自觉遵守交通法规，严禁不走人行横道线、骑车带人、向车外扔杂物或吐痰；驾驶环卫作业车辆时不得逆向行驶、强行超车、超载，遇到人行横道线时，要减速慢行，做到车让行人。</w:t>
      </w:r>
    </w:p>
    <w:p w14:paraId="177EEFD0">
      <w:pPr>
        <w:widowControl/>
        <w:snapToGrid w:val="0"/>
        <w:spacing w:line="560" w:lineRule="exact"/>
        <w:ind w:firstLine="467" w:firstLineChars="194"/>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中标人必须在合同签订前提供所有</w:t>
      </w:r>
      <w:r>
        <w:rPr>
          <w:rFonts w:hint="eastAsia" w:ascii="宋体" w:hAnsi="宋体" w:eastAsia="宋体" w:cs="宋体"/>
          <w:b/>
          <w:bCs/>
          <w:color w:val="auto"/>
          <w:sz w:val="24"/>
          <w:highlight w:val="none"/>
          <w:lang w:val="en-US" w:eastAsia="zh-CN"/>
        </w:rPr>
        <w:t>需持证上岗</w:t>
      </w:r>
      <w:r>
        <w:rPr>
          <w:rFonts w:hint="eastAsia" w:ascii="宋体" w:hAnsi="宋体" w:eastAsia="宋体" w:cs="宋体"/>
          <w:b/>
          <w:bCs/>
          <w:color w:val="auto"/>
          <w:sz w:val="24"/>
          <w:highlight w:val="none"/>
        </w:rPr>
        <w:t>人员的有效职称证、技工证、上岗证等原件供采购人审核，如果中标人不能提供，则采购人有权废除中标人的中标资格。所有人员必须专职为</w:t>
      </w:r>
      <w:r>
        <w:rPr>
          <w:rFonts w:hint="eastAsia" w:ascii="宋体" w:hAnsi="宋体" w:eastAsia="宋体" w:cs="宋体"/>
          <w:b/>
          <w:bCs/>
          <w:color w:val="auto"/>
          <w:sz w:val="24"/>
          <w:highlight w:val="none"/>
          <w:lang w:eastAsia="zh-CN"/>
        </w:rPr>
        <w:t>杭州市上城区小营街道南片区物业一体化管理服务项目</w:t>
      </w:r>
      <w:r>
        <w:rPr>
          <w:rFonts w:hint="eastAsia" w:ascii="宋体" w:hAnsi="宋体" w:eastAsia="宋体" w:cs="宋体"/>
          <w:b/>
          <w:bCs/>
          <w:color w:val="auto"/>
          <w:sz w:val="24"/>
          <w:highlight w:val="none"/>
        </w:rPr>
        <w:t>服务，不得兼职。主要工作人员（如项目负责人、</w:t>
      </w:r>
      <w:r>
        <w:rPr>
          <w:rFonts w:hint="eastAsia" w:ascii="宋体" w:hAnsi="宋体" w:eastAsia="宋体" w:cs="宋体"/>
          <w:b/>
          <w:bCs/>
          <w:color w:val="auto"/>
          <w:sz w:val="24"/>
          <w:highlight w:val="none"/>
          <w:lang w:val="en-US" w:eastAsia="zh-CN"/>
        </w:rPr>
        <w:t>助理、</w:t>
      </w:r>
      <w:r>
        <w:rPr>
          <w:rFonts w:hint="eastAsia" w:ascii="宋体" w:hAnsi="宋体" w:eastAsia="宋体" w:cs="宋体"/>
          <w:b/>
          <w:bCs/>
          <w:color w:val="auto"/>
          <w:sz w:val="24"/>
          <w:highlight w:val="none"/>
        </w:rPr>
        <w:t>主管等，以投标文件中名称为准）超过5日的请销假需经甲方同意。乙方派驻的物业人员应当根据相关法律、法规、规章等规定具有相应的资质且聘用该人员不可违法国家相关强制性规定。物业员工年龄，原则上女性不超过55岁，男性不超过60岁（社区留用人员可适当放宽），会使用智能手机，社区内的突击检查，物业所有人员必须配合开展工作。</w:t>
      </w:r>
    </w:p>
    <w:p w14:paraId="246B9FDA"/>
    <w:p w14:paraId="1E9AC3A5">
      <w:pPr>
        <w:widowControl/>
        <w:adjustRightInd w:val="0"/>
        <w:snapToGrid w:val="0"/>
        <w:spacing w:line="360" w:lineRule="auto"/>
        <w:jc w:val="left"/>
        <w:rPr>
          <w:rFonts w:hint="eastAsia" w:ascii="仿宋" w:hAnsi="仿宋" w:eastAsia="仿宋" w:cs="Times New Roman"/>
          <w:b/>
          <w:bCs/>
          <w:color w:val="auto"/>
          <w:kern w:val="0"/>
          <w:sz w:val="22"/>
          <w:highlight w:val="none"/>
        </w:rPr>
      </w:pPr>
    </w:p>
    <w:p w14:paraId="288CC1CC">
      <w:pPr>
        <w:widowControl/>
        <w:spacing w:line="360" w:lineRule="auto"/>
        <w:ind w:firstLine="720" w:firstLineChars="300"/>
        <w:jc w:val="left"/>
        <w:rPr>
          <w:rFonts w:ascii="宋体" w:hAnsi="宋体" w:cs="宋体"/>
          <w:bCs/>
          <w:sz w:val="24"/>
          <w:highlight w:val="none"/>
        </w:rPr>
      </w:pPr>
    </w:p>
    <w:p w14:paraId="13163504">
      <w:pPr>
        <w:spacing w:line="360" w:lineRule="auto"/>
        <w:jc w:val="center"/>
        <w:outlineLvl w:val="0"/>
        <w:rPr>
          <w:rFonts w:hint="eastAsia" w:ascii="宋体" w:hAnsi="宋体" w:cs="宋体"/>
          <w:b/>
          <w:sz w:val="36"/>
          <w:szCs w:val="36"/>
          <w:highlight w:val="none"/>
        </w:rPr>
      </w:pPr>
      <w:r>
        <w:rPr>
          <w:rFonts w:hint="eastAsia" w:ascii="宋体" w:hAnsi="宋体" w:cs="宋体"/>
          <w:b/>
          <w:sz w:val="24"/>
          <w:highlight w:val="none"/>
        </w:rPr>
        <w:br w:type="page"/>
      </w:r>
      <w:r>
        <w:rPr>
          <w:rFonts w:hint="eastAsia" w:ascii="宋体" w:hAnsi="宋体" w:cs="宋体"/>
          <w:b/>
          <w:sz w:val="36"/>
          <w:szCs w:val="36"/>
          <w:highlight w:val="none"/>
        </w:rPr>
        <w:t xml:space="preserve">第四部分   </w:t>
      </w:r>
      <w:bookmarkStart w:id="34" w:name="_Toc184312122"/>
      <w:bookmarkEnd w:id="34"/>
      <w:bookmarkStart w:id="35" w:name="_Toc184310302"/>
      <w:bookmarkEnd w:id="35"/>
      <w:bookmarkStart w:id="36" w:name="_Toc184312071"/>
      <w:bookmarkEnd w:id="36"/>
      <w:bookmarkStart w:id="37" w:name="_Toc184308051"/>
      <w:bookmarkEnd w:id="37"/>
      <w:bookmarkStart w:id="38" w:name="_Toc184308037"/>
      <w:bookmarkEnd w:id="38"/>
      <w:bookmarkStart w:id="39" w:name="_Toc184314446"/>
      <w:bookmarkEnd w:id="39"/>
      <w:bookmarkStart w:id="40" w:name="_Toc184312128"/>
      <w:bookmarkEnd w:id="40"/>
      <w:bookmarkStart w:id="41" w:name="_Toc184312136"/>
      <w:bookmarkEnd w:id="41"/>
      <w:bookmarkStart w:id="42" w:name="_Toc184310325"/>
      <w:bookmarkEnd w:id="42"/>
      <w:bookmarkStart w:id="43" w:name="_Toc184312097"/>
      <w:bookmarkEnd w:id="43"/>
      <w:bookmarkStart w:id="44" w:name="_Toc184312127"/>
      <w:bookmarkEnd w:id="44"/>
      <w:bookmarkStart w:id="45" w:name="_Toc184314476"/>
      <w:bookmarkEnd w:id="45"/>
      <w:bookmarkStart w:id="46" w:name="_Toc184310287"/>
      <w:bookmarkEnd w:id="46"/>
      <w:bookmarkStart w:id="47" w:name="_Toc184314464"/>
      <w:bookmarkEnd w:id="47"/>
      <w:bookmarkStart w:id="48" w:name="_Toc184312076"/>
      <w:bookmarkEnd w:id="48"/>
      <w:bookmarkStart w:id="49" w:name="_Toc184313258"/>
      <w:bookmarkEnd w:id="49"/>
      <w:bookmarkStart w:id="50" w:name="_Toc184310335"/>
      <w:bookmarkEnd w:id="50"/>
      <w:bookmarkStart w:id="51" w:name="_Toc184314438"/>
      <w:bookmarkEnd w:id="51"/>
      <w:bookmarkStart w:id="52" w:name="_Toc184314412"/>
      <w:bookmarkEnd w:id="52"/>
      <w:bookmarkStart w:id="53" w:name="_Toc184314466"/>
      <w:bookmarkEnd w:id="53"/>
      <w:bookmarkStart w:id="54" w:name="_Toc184313299"/>
      <w:bookmarkEnd w:id="54"/>
      <w:bookmarkStart w:id="55" w:name="_Toc184312108"/>
      <w:bookmarkEnd w:id="55"/>
      <w:bookmarkStart w:id="56" w:name="_Toc184314431"/>
      <w:bookmarkEnd w:id="56"/>
      <w:bookmarkStart w:id="57" w:name="_Toc184312139"/>
      <w:bookmarkEnd w:id="57"/>
      <w:bookmarkStart w:id="58" w:name="_Toc184313274"/>
      <w:bookmarkEnd w:id="58"/>
      <w:bookmarkStart w:id="59" w:name="_Toc184314456"/>
      <w:bookmarkEnd w:id="59"/>
      <w:bookmarkStart w:id="60" w:name="_Toc184310276"/>
      <w:bookmarkEnd w:id="60"/>
      <w:bookmarkStart w:id="61" w:name="_Toc184313295"/>
      <w:bookmarkEnd w:id="61"/>
      <w:bookmarkStart w:id="62" w:name="_Toc184313282"/>
      <w:bookmarkEnd w:id="62"/>
      <w:bookmarkStart w:id="63" w:name="_Toc184313298"/>
      <w:bookmarkEnd w:id="63"/>
      <w:bookmarkStart w:id="64" w:name="_Toc184308049"/>
      <w:bookmarkEnd w:id="64"/>
      <w:bookmarkStart w:id="65" w:name="_Toc184312124"/>
      <w:bookmarkEnd w:id="65"/>
      <w:bookmarkStart w:id="66" w:name="_Toc184308045"/>
      <w:bookmarkEnd w:id="66"/>
      <w:bookmarkStart w:id="67" w:name="_Toc184313249"/>
      <w:bookmarkEnd w:id="67"/>
      <w:bookmarkStart w:id="68" w:name="_Toc184312093"/>
      <w:bookmarkEnd w:id="68"/>
      <w:bookmarkStart w:id="69" w:name="_Toc184313288"/>
      <w:bookmarkEnd w:id="69"/>
      <w:bookmarkStart w:id="70" w:name="_Toc184312092"/>
      <w:bookmarkEnd w:id="70"/>
      <w:bookmarkStart w:id="71" w:name="_Toc184313255"/>
      <w:bookmarkEnd w:id="71"/>
      <w:bookmarkStart w:id="72" w:name="_Toc184313261"/>
      <w:bookmarkEnd w:id="72"/>
      <w:bookmarkStart w:id="73" w:name="_Toc184310280"/>
      <w:bookmarkEnd w:id="73"/>
      <w:bookmarkStart w:id="74" w:name="_Toc184310295"/>
      <w:bookmarkEnd w:id="74"/>
      <w:bookmarkStart w:id="75" w:name="_Toc184308044"/>
      <w:bookmarkEnd w:id="75"/>
      <w:bookmarkStart w:id="76" w:name="_Toc184308099"/>
      <w:bookmarkEnd w:id="76"/>
      <w:bookmarkStart w:id="77" w:name="_Toc184308098"/>
      <w:bookmarkEnd w:id="77"/>
      <w:bookmarkStart w:id="78" w:name="_Toc184314479"/>
      <w:bookmarkEnd w:id="78"/>
      <w:bookmarkStart w:id="79" w:name="_Toc184310304"/>
      <w:bookmarkEnd w:id="79"/>
      <w:bookmarkStart w:id="80" w:name="_Toc184313256"/>
      <w:bookmarkEnd w:id="80"/>
      <w:bookmarkStart w:id="81" w:name="_Toc184310316"/>
      <w:bookmarkEnd w:id="81"/>
      <w:bookmarkStart w:id="82" w:name="_Toc184308093"/>
      <w:bookmarkEnd w:id="82"/>
      <w:bookmarkStart w:id="83" w:name="_Toc184314445"/>
      <w:bookmarkEnd w:id="83"/>
      <w:bookmarkStart w:id="84" w:name="_Toc184310272"/>
      <w:bookmarkEnd w:id="84"/>
      <w:bookmarkStart w:id="85" w:name="_Toc184310313"/>
      <w:bookmarkEnd w:id="85"/>
      <w:bookmarkStart w:id="86" w:name="_Toc184314418"/>
      <w:bookmarkEnd w:id="86"/>
      <w:bookmarkStart w:id="87" w:name="_Toc184314455"/>
      <w:bookmarkEnd w:id="87"/>
      <w:bookmarkStart w:id="88" w:name="_Toc184310293"/>
      <w:bookmarkEnd w:id="88"/>
      <w:bookmarkStart w:id="89" w:name="_Toc184312068"/>
      <w:bookmarkEnd w:id="89"/>
      <w:bookmarkStart w:id="90" w:name="_Toc184308066"/>
      <w:bookmarkEnd w:id="90"/>
      <w:bookmarkStart w:id="91" w:name="_Toc184308064"/>
      <w:bookmarkEnd w:id="91"/>
      <w:bookmarkStart w:id="92" w:name="_Toc184312081"/>
      <w:bookmarkEnd w:id="92"/>
      <w:bookmarkStart w:id="93" w:name="_Toc184313248"/>
      <w:bookmarkEnd w:id="93"/>
      <w:bookmarkStart w:id="94" w:name="_Toc184312123"/>
      <w:bookmarkEnd w:id="94"/>
      <w:bookmarkStart w:id="95" w:name="_Toc184314422"/>
      <w:bookmarkEnd w:id="95"/>
      <w:bookmarkStart w:id="96" w:name="_Toc184312073"/>
      <w:bookmarkEnd w:id="96"/>
      <w:bookmarkStart w:id="97" w:name="_Toc184308060"/>
      <w:bookmarkEnd w:id="97"/>
      <w:bookmarkStart w:id="98" w:name="_Toc184308040"/>
      <w:bookmarkEnd w:id="98"/>
      <w:bookmarkStart w:id="99" w:name="_Toc184308107"/>
      <w:bookmarkEnd w:id="99"/>
      <w:bookmarkStart w:id="100" w:name="_Toc184314441"/>
      <w:bookmarkEnd w:id="100"/>
      <w:bookmarkStart w:id="101" w:name="_Toc184313286"/>
      <w:bookmarkEnd w:id="101"/>
      <w:bookmarkStart w:id="102" w:name="_Toc184312099"/>
      <w:bookmarkEnd w:id="102"/>
      <w:bookmarkStart w:id="103" w:name="_Toc184310324"/>
      <w:bookmarkEnd w:id="103"/>
      <w:bookmarkStart w:id="104" w:name="_Toc184314410"/>
      <w:bookmarkEnd w:id="104"/>
      <w:bookmarkStart w:id="105" w:name="_Toc184308057"/>
      <w:bookmarkEnd w:id="105"/>
      <w:bookmarkStart w:id="106" w:name="_Toc184310301"/>
      <w:bookmarkEnd w:id="106"/>
      <w:bookmarkStart w:id="107" w:name="_Toc184313305"/>
      <w:bookmarkEnd w:id="107"/>
      <w:bookmarkStart w:id="108" w:name="_Toc184310281"/>
      <w:bookmarkEnd w:id="108"/>
      <w:bookmarkStart w:id="109" w:name="_Toc184308086"/>
      <w:bookmarkEnd w:id="109"/>
      <w:bookmarkStart w:id="110" w:name="_Toc184313293"/>
      <w:bookmarkEnd w:id="110"/>
      <w:bookmarkStart w:id="111" w:name="_Toc184313268"/>
      <w:bookmarkEnd w:id="111"/>
      <w:bookmarkStart w:id="112" w:name="_Toc184308036"/>
      <w:bookmarkEnd w:id="112"/>
      <w:bookmarkStart w:id="113" w:name="_Toc184308050"/>
      <w:bookmarkEnd w:id="113"/>
      <w:bookmarkStart w:id="114" w:name="_Toc184314443"/>
      <w:bookmarkEnd w:id="114"/>
      <w:bookmarkStart w:id="115" w:name="_Toc184312113"/>
      <w:bookmarkEnd w:id="115"/>
      <w:bookmarkStart w:id="116" w:name="_Toc184312112"/>
      <w:bookmarkEnd w:id="116"/>
      <w:bookmarkStart w:id="117" w:name="_Toc184308052"/>
      <w:bookmarkEnd w:id="117"/>
      <w:bookmarkStart w:id="118" w:name="_Toc184310299"/>
      <w:bookmarkEnd w:id="118"/>
      <w:bookmarkStart w:id="119" w:name="_Toc184313301"/>
      <w:bookmarkEnd w:id="119"/>
      <w:bookmarkStart w:id="120" w:name="_Toc184308100"/>
      <w:bookmarkEnd w:id="120"/>
      <w:bookmarkStart w:id="121" w:name="_Toc184312129"/>
      <w:bookmarkEnd w:id="121"/>
      <w:bookmarkStart w:id="122" w:name="_Toc184313242"/>
      <w:bookmarkEnd w:id="122"/>
      <w:bookmarkStart w:id="123" w:name="_Toc184313245"/>
      <w:bookmarkEnd w:id="123"/>
      <w:bookmarkStart w:id="124" w:name="_Toc184313284"/>
      <w:bookmarkEnd w:id="124"/>
      <w:bookmarkStart w:id="125" w:name="_Toc184308053"/>
      <w:bookmarkEnd w:id="125"/>
      <w:bookmarkStart w:id="126" w:name="_Toc184310292"/>
      <w:bookmarkEnd w:id="126"/>
      <w:bookmarkStart w:id="127" w:name="_Toc184312137"/>
      <w:bookmarkEnd w:id="127"/>
      <w:bookmarkStart w:id="128" w:name="_Toc184310318"/>
      <w:bookmarkEnd w:id="128"/>
      <w:bookmarkStart w:id="129" w:name="_Toc184313310"/>
      <w:bookmarkEnd w:id="129"/>
      <w:bookmarkStart w:id="130" w:name="_Toc184314467"/>
      <w:bookmarkEnd w:id="130"/>
      <w:bookmarkStart w:id="131" w:name="_Toc184314460"/>
      <w:bookmarkEnd w:id="131"/>
      <w:bookmarkStart w:id="132" w:name="_Toc184310297"/>
      <w:bookmarkEnd w:id="132"/>
      <w:bookmarkStart w:id="133" w:name="_Toc184313271"/>
      <w:bookmarkEnd w:id="133"/>
      <w:bookmarkStart w:id="134" w:name="_Toc184312109"/>
      <w:bookmarkEnd w:id="134"/>
      <w:bookmarkStart w:id="135" w:name="_Toc184314482"/>
      <w:bookmarkEnd w:id="135"/>
      <w:bookmarkStart w:id="136" w:name="_Toc184312104"/>
      <w:bookmarkEnd w:id="136"/>
      <w:bookmarkStart w:id="137" w:name="_Toc184308078"/>
      <w:bookmarkEnd w:id="137"/>
      <w:bookmarkStart w:id="138" w:name="_Toc184312133"/>
      <w:bookmarkEnd w:id="138"/>
      <w:bookmarkStart w:id="139" w:name="_Toc184313272"/>
      <w:bookmarkEnd w:id="139"/>
      <w:bookmarkStart w:id="140" w:name="_Toc184314432"/>
      <w:bookmarkEnd w:id="140"/>
      <w:bookmarkStart w:id="141" w:name="_Toc184313306"/>
      <w:bookmarkEnd w:id="141"/>
      <w:bookmarkStart w:id="142" w:name="_Toc184308056"/>
      <w:bookmarkEnd w:id="142"/>
      <w:bookmarkStart w:id="143" w:name="_Toc184312132"/>
      <w:bookmarkEnd w:id="143"/>
      <w:bookmarkStart w:id="144" w:name="_Toc184313291"/>
      <w:bookmarkEnd w:id="144"/>
      <w:bookmarkStart w:id="145" w:name="_Toc184314429"/>
      <w:bookmarkEnd w:id="145"/>
      <w:bookmarkStart w:id="146" w:name="_Toc184308062"/>
      <w:bookmarkEnd w:id="146"/>
      <w:bookmarkStart w:id="147" w:name="_Toc184312121"/>
      <w:bookmarkEnd w:id="147"/>
      <w:bookmarkStart w:id="148" w:name="_Toc184310309"/>
      <w:bookmarkEnd w:id="148"/>
      <w:bookmarkStart w:id="149" w:name="_Toc184312078"/>
      <w:bookmarkEnd w:id="149"/>
      <w:bookmarkStart w:id="150" w:name="_Toc184308091"/>
      <w:bookmarkEnd w:id="150"/>
      <w:bookmarkStart w:id="151" w:name="_Toc184308108"/>
      <w:bookmarkEnd w:id="151"/>
      <w:bookmarkStart w:id="152" w:name="_Toc184310305"/>
      <w:bookmarkEnd w:id="152"/>
      <w:bookmarkStart w:id="153" w:name="_Toc184314424"/>
      <w:bookmarkEnd w:id="153"/>
      <w:bookmarkStart w:id="154" w:name="_Toc184310327"/>
      <w:bookmarkEnd w:id="154"/>
      <w:bookmarkStart w:id="155" w:name="_Toc184313265"/>
      <w:bookmarkEnd w:id="155"/>
      <w:bookmarkStart w:id="156" w:name="_Toc184310273"/>
      <w:bookmarkEnd w:id="156"/>
      <w:bookmarkStart w:id="157" w:name="_Toc184310307"/>
      <w:bookmarkEnd w:id="157"/>
      <w:bookmarkStart w:id="158" w:name="_Toc184313273"/>
      <w:bookmarkEnd w:id="158"/>
      <w:bookmarkStart w:id="159" w:name="_Toc184310339"/>
      <w:bookmarkEnd w:id="159"/>
      <w:bookmarkStart w:id="160" w:name="_Toc184313246"/>
      <w:bookmarkEnd w:id="160"/>
      <w:bookmarkStart w:id="161" w:name="_Toc184314459"/>
      <w:bookmarkEnd w:id="161"/>
      <w:bookmarkStart w:id="162" w:name="_Toc184312077"/>
      <w:bookmarkEnd w:id="162"/>
      <w:bookmarkStart w:id="163" w:name="_Toc184310341"/>
      <w:bookmarkEnd w:id="163"/>
      <w:bookmarkStart w:id="164" w:name="_Toc184313280"/>
      <w:bookmarkEnd w:id="164"/>
      <w:bookmarkStart w:id="165" w:name="_Toc184314426"/>
      <w:bookmarkEnd w:id="165"/>
      <w:bookmarkStart w:id="166" w:name="_Toc184314477"/>
      <w:bookmarkEnd w:id="166"/>
      <w:bookmarkStart w:id="167" w:name="_Toc184312096"/>
      <w:bookmarkEnd w:id="167"/>
      <w:bookmarkStart w:id="168" w:name="_Toc184314442"/>
      <w:bookmarkEnd w:id="168"/>
      <w:bookmarkStart w:id="169" w:name="_Toc184313309"/>
      <w:bookmarkEnd w:id="169"/>
      <w:bookmarkStart w:id="170" w:name="_Toc184310320"/>
      <w:bookmarkEnd w:id="170"/>
      <w:bookmarkStart w:id="171" w:name="_Toc184312098"/>
      <w:bookmarkEnd w:id="171"/>
      <w:bookmarkStart w:id="172" w:name="_Toc184314452"/>
      <w:bookmarkEnd w:id="172"/>
      <w:bookmarkStart w:id="173" w:name="_Toc184308084"/>
      <w:bookmarkEnd w:id="173"/>
      <w:bookmarkStart w:id="174" w:name="_Toc184310332"/>
      <w:bookmarkEnd w:id="174"/>
      <w:bookmarkStart w:id="175" w:name="_Toc184308046"/>
      <w:bookmarkEnd w:id="175"/>
      <w:bookmarkStart w:id="176" w:name="_Toc184314416"/>
      <w:bookmarkEnd w:id="176"/>
      <w:bookmarkStart w:id="177" w:name="_Toc184312114"/>
      <w:bookmarkEnd w:id="177"/>
      <w:bookmarkStart w:id="178" w:name="_Toc184312103"/>
      <w:bookmarkEnd w:id="178"/>
      <w:bookmarkStart w:id="179" w:name="_Toc184312118"/>
      <w:bookmarkEnd w:id="179"/>
      <w:bookmarkStart w:id="180" w:name="_Toc184313290"/>
      <w:bookmarkEnd w:id="180"/>
      <w:bookmarkStart w:id="181" w:name="_Toc184313308"/>
      <w:bookmarkEnd w:id="181"/>
      <w:bookmarkStart w:id="182" w:name="_Toc184308063"/>
      <w:bookmarkEnd w:id="182"/>
      <w:bookmarkStart w:id="183" w:name="_Toc184312086"/>
      <w:bookmarkEnd w:id="183"/>
      <w:bookmarkStart w:id="184" w:name="_Toc184313247"/>
      <w:bookmarkEnd w:id="184"/>
      <w:bookmarkStart w:id="185" w:name="_Toc184312085"/>
      <w:bookmarkEnd w:id="185"/>
      <w:bookmarkStart w:id="186" w:name="_Toc184312100"/>
      <w:bookmarkEnd w:id="186"/>
      <w:bookmarkStart w:id="187" w:name="_Toc184312115"/>
      <w:bookmarkEnd w:id="187"/>
      <w:bookmarkStart w:id="188" w:name="_Toc184310344"/>
      <w:bookmarkEnd w:id="188"/>
      <w:bookmarkStart w:id="189" w:name="_Toc184308106"/>
      <w:bookmarkEnd w:id="189"/>
      <w:bookmarkStart w:id="190" w:name="_Toc184310323"/>
      <w:bookmarkEnd w:id="190"/>
      <w:bookmarkStart w:id="191" w:name="_Toc184314415"/>
      <w:bookmarkEnd w:id="191"/>
      <w:bookmarkStart w:id="192" w:name="_Toc184312091"/>
      <w:bookmarkEnd w:id="192"/>
      <w:bookmarkStart w:id="193" w:name="_Toc184314473"/>
      <w:bookmarkEnd w:id="193"/>
      <w:bookmarkStart w:id="194" w:name="_Toc184310288"/>
      <w:bookmarkEnd w:id="194"/>
      <w:bookmarkStart w:id="195" w:name="_Toc184313259"/>
      <w:bookmarkEnd w:id="195"/>
      <w:bookmarkStart w:id="196" w:name="_Toc184314448"/>
      <w:bookmarkEnd w:id="196"/>
      <w:bookmarkStart w:id="197" w:name="_Toc184314421"/>
      <w:bookmarkEnd w:id="197"/>
      <w:bookmarkStart w:id="198" w:name="_Toc184314463"/>
      <w:bookmarkEnd w:id="198"/>
      <w:bookmarkStart w:id="199" w:name="_Toc184314433"/>
      <w:bookmarkEnd w:id="199"/>
      <w:bookmarkStart w:id="200" w:name="_Toc184312116"/>
      <w:bookmarkEnd w:id="200"/>
      <w:bookmarkStart w:id="201" w:name="_Toc184310284"/>
      <w:bookmarkEnd w:id="201"/>
      <w:bookmarkStart w:id="202" w:name="_Toc184310322"/>
      <w:bookmarkEnd w:id="202"/>
      <w:bookmarkStart w:id="203" w:name="_Toc184308083"/>
      <w:bookmarkEnd w:id="203"/>
      <w:bookmarkStart w:id="204" w:name="_Toc184310315"/>
      <w:bookmarkEnd w:id="204"/>
      <w:bookmarkStart w:id="205" w:name="_Toc184312090"/>
      <w:bookmarkEnd w:id="205"/>
      <w:bookmarkStart w:id="206" w:name="_Toc184313292"/>
      <w:bookmarkEnd w:id="206"/>
      <w:bookmarkStart w:id="207" w:name="_Toc184308054"/>
      <w:bookmarkEnd w:id="207"/>
      <w:bookmarkStart w:id="208" w:name="_Toc184313263"/>
      <w:bookmarkEnd w:id="208"/>
      <w:bookmarkStart w:id="209" w:name="_Toc184312084"/>
      <w:bookmarkEnd w:id="209"/>
      <w:bookmarkStart w:id="210" w:name="_Toc184310314"/>
      <w:bookmarkEnd w:id="210"/>
      <w:bookmarkStart w:id="211" w:name="_Toc184314435"/>
      <w:bookmarkEnd w:id="211"/>
      <w:bookmarkStart w:id="212" w:name="_Toc184314451"/>
      <w:bookmarkEnd w:id="212"/>
      <w:bookmarkStart w:id="213" w:name="_Toc184310275"/>
      <w:bookmarkEnd w:id="213"/>
      <w:bookmarkStart w:id="214" w:name="_Toc184313252"/>
      <w:bookmarkEnd w:id="214"/>
      <w:bookmarkStart w:id="215" w:name="_Toc184313304"/>
      <w:bookmarkEnd w:id="215"/>
      <w:bookmarkStart w:id="216" w:name="_Toc184308095"/>
      <w:bookmarkEnd w:id="216"/>
      <w:bookmarkStart w:id="217" w:name="_Toc184314420"/>
      <w:bookmarkEnd w:id="217"/>
      <w:bookmarkStart w:id="218" w:name="_Toc184308058"/>
      <w:bookmarkEnd w:id="218"/>
      <w:bookmarkStart w:id="219" w:name="_Toc184314481"/>
      <w:bookmarkEnd w:id="219"/>
      <w:bookmarkStart w:id="220" w:name="_Toc184310277"/>
      <w:bookmarkEnd w:id="220"/>
      <w:bookmarkStart w:id="221" w:name="_Toc184308077"/>
      <w:bookmarkEnd w:id="221"/>
      <w:bookmarkStart w:id="222" w:name="_Toc184312088"/>
      <w:bookmarkEnd w:id="222"/>
      <w:bookmarkStart w:id="223" w:name="_Toc184310300"/>
      <w:bookmarkEnd w:id="223"/>
      <w:bookmarkStart w:id="224" w:name="_Toc184308101"/>
      <w:bookmarkEnd w:id="224"/>
      <w:bookmarkStart w:id="225" w:name="_Toc184314436"/>
      <w:bookmarkEnd w:id="225"/>
      <w:bookmarkStart w:id="226" w:name="_Toc184313294"/>
      <w:bookmarkEnd w:id="226"/>
      <w:bookmarkStart w:id="227" w:name="_Toc184314427"/>
      <w:bookmarkEnd w:id="227"/>
      <w:bookmarkStart w:id="228" w:name="_Toc184313283"/>
      <w:bookmarkEnd w:id="228"/>
      <w:bookmarkStart w:id="229" w:name="_Toc184310319"/>
      <w:bookmarkEnd w:id="229"/>
      <w:bookmarkStart w:id="230" w:name="_Toc184314425"/>
      <w:bookmarkEnd w:id="230"/>
      <w:bookmarkStart w:id="231" w:name="_Toc184312134"/>
      <w:bookmarkEnd w:id="231"/>
      <w:bookmarkStart w:id="232" w:name="_Toc184313262"/>
      <w:bookmarkEnd w:id="232"/>
      <w:bookmarkStart w:id="233" w:name="_Toc184310283"/>
      <w:bookmarkEnd w:id="233"/>
      <w:bookmarkStart w:id="234" w:name="_Toc184313302"/>
      <w:bookmarkEnd w:id="234"/>
      <w:bookmarkStart w:id="235" w:name="_Toc184310286"/>
      <w:bookmarkEnd w:id="235"/>
      <w:bookmarkStart w:id="236" w:name="_Toc184308070"/>
      <w:bookmarkEnd w:id="236"/>
      <w:bookmarkStart w:id="237" w:name="_Toc184308102"/>
      <w:bookmarkEnd w:id="237"/>
      <w:bookmarkStart w:id="238" w:name="_Toc184313278"/>
      <w:bookmarkEnd w:id="238"/>
      <w:bookmarkStart w:id="239" w:name="_Toc184308039"/>
      <w:bookmarkEnd w:id="239"/>
      <w:bookmarkStart w:id="240" w:name="_Toc184310291"/>
      <w:bookmarkEnd w:id="240"/>
      <w:bookmarkStart w:id="241" w:name="_Toc184314475"/>
      <w:bookmarkEnd w:id="241"/>
      <w:bookmarkStart w:id="242" w:name="_Toc184312111"/>
      <w:bookmarkEnd w:id="242"/>
      <w:bookmarkStart w:id="243" w:name="_Toc184313251"/>
      <w:bookmarkEnd w:id="243"/>
      <w:bookmarkStart w:id="244" w:name="_Toc184312089"/>
      <w:bookmarkEnd w:id="244"/>
      <w:bookmarkStart w:id="245" w:name="_Toc184312082"/>
      <w:bookmarkEnd w:id="245"/>
      <w:bookmarkStart w:id="246" w:name="_Toc184308103"/>
      <w:bookmarkEnd w:id="246"/>
      <w:bookmarkStart w:id="247" w:name="_Toc184312079"/>
      <w:bookmarkEnd w:id="247"/>
      <w:bookmarkStart w:id="248" w:name="_Toc184310328"/>
      <w:bookmarkEnd w:id="248"/>
      <w:bookmarkStart w:id="249" w:name="_Toc184312125"/>
      <w:bookmarkEnd w:id="249"/>
      <w:bookmarkStart w:id="250" w:name="_Toc184313276"/>
      <w:bookmarkEnd w:id="250"/>
      <w:bookmarkStart w:id="251" w:name="_Toc184310326"/>
      <w:bookmarkEnd w:id="251"/>
      <w:bookmarkStart w:id="252" w:name="_Toc184310337"/>
      <w:bookmarkEnd w:id="252"/>
      <w:bookmarkStart w:id="253" w:name="_Toc184308092"/>
      <w:bookmarkEnd w:id="253"/>
      <w:bookmarkStart w:id="254" w:name="_Toc184313239"/>
      <w:bookmarkEnd w:id="254"/>
      <w:bookmarkStart w:id="255" w:name="_Toc184310278"/>
      <w:bookmarkEnd w:id="255"/>
      <w:bookmarkStart w:id="256" w:name="_Toc184312074"/>
      <w:bookmarkEnd w:id="256"/>
      <w:bookmarkStart w:id="257" w:name="_Toc184314411"/>
      <w:bookmarkEnd w:id="257"/>
      <w:bookmarkStart w:id="258" w:name="_Toc184313275"/>
      <w:bookmarkEnd w:id="258"/>
      <w:bookmarkStart w:id="259" w:name="_Toc184308075"/>
      <w:bookmarkEnd w:id="259"/>
      <w:bookmarkStart w:id="260" w:name="_Toc184314414"/>
      <w:bookmarkEnd w:id="260"/>
      <w:bookmarkStart w:id="261" w:name="_Toc184308065"/>
      <w:bookmarkEnd w:id="261"/>
      <w:bookmarkStart w:id="262" w:name="_Toc184310290"/>
      <w:bookmarkEnd w:id="262"/>
      <w:bookmarkStart w:id="263" w:name="_Toc184308089"/>
      <w:bookmarkEnd w:id="263"/>
      <w:bookmarkStart w:id="264" w:name="_Toc184313296"/>
      <w:bookmarkEnd w:id="264"/>
      <w:bookmarkStart w:id="265" w:name="_Toc184314450"/>
      <w:bookmarkEnd w:id="265"/>
      <w:bookmarkStart w:id="266" w:name="_Toc184308097"/>
      <w:bookmarkEnd w:id="266"/>
      <w:bookmarkStart w:id="267" w:name="_Toc184314471"/>
      <w:bookmarkEnd w:id="267"/>
      <w:bookmarkStart w:id="268" w:name="_Toc184312070"/>
      <w:bookmarkEnd w:id="268"/>
      <w:bookmarkStart w:id="269" w:name="_Toc184313303"/>
      <w:bookmarkEnd w:id="269"/>
      <w:bookmarkStart w:id="270" w:name="_Toc184310303"/>
      <w:bookmarkEnd w:id="270"/>
      <w:bookmarkStart w:id="271" w:name="_Toc184313307"/>
      <w:bookmarkEnd w:id="271"/>
      <w:bookmarkStart w:id="272" w:name="_Toc184312120"/>
      <w:bookmarkEnd w:id="272"/>
      <w:bookmarkStart w:id="273" w:name="_Toc184314478"/>
      <w:bookmarkEnd w:id="273"/>
      <w:bookmarkStart w:id="274" w:name="_Toc184308105"/>
      <w:bookmarkEnd w:id="274"/>
      <w:bookmarkStart w:id="275" w:name="_Toc184310338"/>
      <w:bookmarkEnd w:id="275"/>
      <w:bookmarkStart w:id="276" w:name="_Toc184314423"/>
      <w:bookmarkEnd w:id="276"/>
      <w:bookmarkStart w:id="277" w:name="_Toc184308080"/>
      <w:bookmarkEnd w:id="277"/>
      <w:bookmarkStart w:id="278" w:name="_Toc184313250"/>
      <w:bookmarkEnd w:id="278"/>
      <w:bookmarkStart w:id="279" w:name="_Toc184312069"/>
      <w:bookmarkEnd w:id="279"/>
      <w:bookmarkStart w:id="280" w:name="_Toc184312119"/>
      <w:bookmarkEnd w:id="280"/>
      <w:bookmarkStart w:id="281" w:name="_Toc184310308"/>
      <w:bookmarkEnd w:id="281"/>
      <w:bookmarkStart w:id="282" w:name="_Toc184312130"/>
      <w:bookmarkEnd w:id="282"/>
      <w:bookmarkStart w:id="283" w:name="_Toc184314449"/>
      <w:bookmarkEnd w:id="283"/>
      <w:bookmarkStart w:id="284" w:name="_Toc184313285"/>
      <w:bookmarkEnd w:id="284"/>
      <w:bookmarkStart w:id="285" w:name="_Toc184310306"/>
      <w:bookmarkEnd w:id="285"/>
      <w:bookmarkStart w:id="286" w:name="_Toc184310274"/>
      <w:bookmarkEnd w:id="286"/>
      <w:bookmarkStart w:id="287" w:name="_Toc184308071"/>
      <w:bookmarkEnd w:id="287"/>
      <w:bookmarkStart w:id="288" w:name="_Toc184308042"/>
      <w:bookmarkEnd w:id="288"/>
      <w:bookmarkStart w:id="289" w:name="_Toc184310340"/>
      <w:bookmarkEnd w:id="289"/>
      <w:bookmarkStart w:id="290" w:name="_Toc184313254"/>
      <w:bookmarkEnd w:id="290"/>
      <w:bookmarkStart w:id="291" w:name="_Toc184310343"/>
      <w:bookmarkEnd w:id="291"/>
      <w:bookmarkStart w:id="292" w:name="_Toc184312075"/>
      <w:bookmarkEnd w:id="292"/>
      <w:bookmarkStart w:id="293" w:name="_Toc184313240"/>
      <w:bookmarkEnd w:id="293"/>
      <w:bookmarkStart w:id="294" w:name="_Toc184313264"/>
      <w:bookmarkEnd w:id="294"/>
      <w:bookmarkStart w:id="295" w:name="_Toc184308094"/>
      <w:bookmarkEnd w:id="295"/>
      <w:bookmarkStart w:id="296" w:name="_Toc184314461"/>
      <w:bookmarkEnd w:id="296"/>
      <w:bookmarkStart w:id="297" w:name="_Toc184312102"/>
      <w:bookmarkEnd w:id="297"/>
      <w:bookmarkStart w:id="298" w:name="_Toc184308087"/>
      <w:bookmarkEnd w:id="298"/>
      <w:bookmarkStart w:id="299" w:name="_Toc184314462"/>
      <w:bookmarkEnd w:id="299"/>
      <w:bookmarkStart w:id="300" w:name="_Toc184313287"/>
      <w:bookmarkEnd w:id="300"/>
      <w:bookmarkStart w:id="301" w:name="_Toc184308073"/>
      <w:bookmarkEnd w:id="301"/>
      <w:bookmarkStart w:id="302" w:name="_Toc184312095"/>
      <w:bookmarkEnd w:id="302"/>
      <w:bookmarkStart w:id="303" w:name="_Toc184310298"/>
      <w:bookmarkEnd w:id="303"/>
      <w:bookmarkStart w:id="304" w:name="_Toc184314434"/>
      <w:bookmarkEnd w:id="304"/>
      <w:bookmarkStart w:id="305" w:name="_Toc184308059"/>
      <w:bookmarkEnd w:id="305"/>
      <w:bookmarkStart w:id="306" w:name="_Toc184314465"/>
      <w:bookmarkEnd w:id="306"/>
      <w:bookmarkStart w:id="307" w:name="_Toc184314469"/>
      <w:bookmarkEnd w:id="307"/>
      <w:bookmarkStart w:id="308" w:name="_Toc184312138"/>
      <w:bookmarkEnd w:id="308"/>
      <w:bookmarkStart w:id="309" w:name="_Toc184308074"/>
      <w:bookmarkEnd w:id="309"/>
      <w:bookmarkStart w:id="310" w:name="_Toc184313281"/>
      <w:bookmarkEnd w:id="310"/>
      <w:bookmarkStart w:id="311" w:name="_Toc184313260"/>
      <w:bookmarkEnd w:id="311"/>
      <w:bookmarkStart w:id="312" w:name="_Toc184312067"/>
      <w:bookmarkEnd w:id="312"/>
      <w:bookmarkStart w:id="313" w:name="_Toc184310282"/>
      <w:bookmarkEnd w:id="313"/>
      <w:bookmarkStart w:id="314" w:name="_Toc184313269"/>
      <w:bookmarkEnd w:id="314"/>
      <w:bookmarkStart w:id="315" w:name="_Toc184308055"/>
      <w:bookmarkEnd w:id="315"/>
      <w:bookmarkStart w:id="316" w:name="_Toc184314453"/>
      <w:bookmarkEnd w:id="316"/>
      <w:bookmarkStart w:id="317" w:name="_Toc184312131"/>
      <w:bookmarkEnd w:id="317"/>
      <w:bookmarkStart w:id="318" w:name="_Toc184308043"/>
      <w:bookmarkEnd w:id="318"/>
      <w:bookmarkStart w:id="319" w:name="_Toc184313270"/>
      <w:bookmarkEnd w:id="319"/>
      <w:bookmarkStart w:id="320" w:name="_Toc184314419"/>
      <w:bookmarkEnd w:id="320"/>
      <w:bookmarkStart w:id="321" w:name="_Toc184310289"/>
      <w:bookmarkEnd w:id="321"/>
      <w:bookmarkStart w:id="322" w:name="_Toc184313266"/>
      <w:bookmarkEnd w:id="322"/>
      <w:bookmarkStart w:id="323" w:name="_Toc184312080"/>
      <w:bookmarkEnd w:id="323"/>
      <w:bookmarkStart w:id="324" w:name="_Toc184313243"/>
      <w:bookmarkEnd w:id="324"/>
      <w:bookmarkStart w:id="325" w:name="_Toc184314430"/>
      <w:bookmarkEnd w:id="325"/>
      <w:bookmarkStart w:id="326" w:name="_Toc184310312"/>
      <w:bookmarkEnd w:id="326"/>
      <w:bookmarkStart w:id="327" w:name="_Toc184313289"/>
      <w:bookmarkEnd w:id="327"/>
      <w:bookmarkStart w:id="328" w:name="_Toc184314472"/>
      <w:bookmarkEnd w:id="328"/>
      <w:bookmarkStart w:id="329" w:name="_Toc184310310"/>
      <w:bookmarkEnd w:id="329"/>
      <w:bookmarkStart w:id="330" w:name="_Toc184314470"/>
      <w:bookmarkEnd w:id="330"/>
      <w:bookmarkStart w:id="331" w:name="_Toc184308038"/>
      <w:bookmarkEnd w:id="331"/>
      <w:bookmarkStart w:id="332" w:name="_Toc184310279"/>
      <w:bookmarkEnd w:id="332"/>
      <w:bookmarkStart w:id="333" w:name="_Toc184308096"/>
      <w:bookmarkEnd w:id="333"/>
      <w:bookmarkStart w:id="334" w:name="_Toc184313238"/>
      <w:bookmarkEnd w:id="334"/>
      <w:bookmarkStart w:id="335" w:name="_Toc184312072"/>
      <w:bookmarkEnd w:id="335"/>
      <w:bookmarkStart w:id="336" w:name="_Toc184313279"/>
      <w:bookmarkEnd w:id="336"/>
      <w:bookmarkStart w:id="337" w:name="_Toc184310317"/>
      <w:bookmarkEnd w:id="337"/>
      <w:bookmarkStart w:id="338" w:name="_Toc184310342"/>
      <w:bookmarkEnd w:id="338"/>
      <w:bookmarkStart w:id="339" w:name="_Toc184310296"/>
      <w:bookmarkEnd w:id="339"/>
      <w:bookmarkStart w:id="340" w:name="_Toc184308041"/>
      <w:bookmarkEnd w:id="340"/>
      <w:bookmarkStart w:id="341" w:name="_Toc184310334"/>
      <w:bookmarkEnd w:id="341"/>
      <w:bookmarkStart w:id="342" w:name="_Toc184308104"/>
      <w:bookmarkEnd w:id="342"/>
      <w:bookmarkStart w:id="343" w:name="_Toc184310329"/>
      <w:bookmarkEnd w:id="343"/>
      <w:bookmarkStart w:id="344" w:name="_Toc184314417"/>
      <w:bookmarkEnd w:id="344"/>
      <w:bookmarkStart w:id="345" w:name="_Toc184314440"/>
      <w:bookmarkEnd w:id="345"/>
      <w:bookmarkStart w:id="346" w:name="_Toc184312105"/>
      <w:bookmarkEnd w:id="346"/>
      <w:bookmarkStart w:id="347" w:name="_Toc184310330"/>
      <w:bookmarkEnd w:id="347"/>
      <w:bookmarkStart w:id="348" w:name="_Toc184314444"/>
      <w:bookmarkEnd w:id="348"/>
      <w:bookmarkStart w:id="349" w:name="_Toc184310311"/>
      <w:bookmarkEnd w:id="349"/>
      <w:bookmarkStart w:id="350" w:name="_Toc184308082"/>
      <w:bookmarkEnd w:id="350"/>
      <w:bookmarkStart w:id="351" w:name="_Toc184314428"/>
      <w:bookmarkEnd w:id="351"/>
      <w:bookmarkStart w:id="352" w:name="_Toc184312117"/>
      <w:bookmarkEnd w:id="352"/>
      <w:bookmarkStart w:id="353" w:name="_Toc184310285"/>
      <w:bookmarkEnd w:id="353"/>
      <w:bookmarkStart w:id="354" w:name="_Toc184314439"/>
      <w:bookmarkEnd w:id="354"/>
      <w:bookmarkStart w:id="355" w:name="_Toc184308085"/>
      <w:bookmarkEnd w:id="355"/>
      <w:bookmarkStart w:id="356" w:name="_Toc184310321"/>
      <w:bookmarkEnd w:id="356"/>
      <w:bookmarkStart w:id="357" w:name="_Toc184310294"/>
      <w:bookmarkEnd w:id="357"/>
      <w:bookmarkStart w:id="358" w:name="_Toc184314413"/>
      <w:bookmarkEnd w:id="358"/>
      <w:bookmarkStart w:id="359" w:name="_Toc184314480"/>
      <w:bookmarkEnd w:id="359"/>
      <w:bookmarkStart w:id="360" w:name="_Toc184308090"/>
      <w:bookmarkEnd w:id="360"/>
      <w:bookmarkStart w:id="361" w:name="_Toc184312106"/>
      <w:bookmarkEnd w:id="361"/>
      <w:bookmarkStart w:id="362" w:name="_Toc184308068"/>
      <w:bookmarkEnd w:id="362"/>
      <w:bookmarkStart w:id="363" w:name="_Toc184312083"/>
      <w:bookmarkEnd w:id="363"/>
      <w:bookmarkStart w:id="364" w:name="_Toc184313277"/>
      <w:bookmarkEnd w:id="364"/>
      <w:bookmarkStart w:id="365" w:name="_Toc184310333"/>
      <w:bookmarkEnd w:id="365"/>
      <w:bookmarkStart w:id="366" w:name="_Toc184308067"/>
      <w:bookmarkEnd w:id="366"/>
      <w:bookmarkStart w:id="367" w:name="_Toc184314447"/>
      <w:bookmarkEnd w:id="367"/>
      <w:bookmarkStart w:id="368" w:name="_Toc184308079"/>
      <w:bookmarkEnd w:id="368"/>
      <w:bookmarkStart w:id="369" w:name="_Toc184312107"/>
      <w:bookmarkEnd w:id="369"/>
      <w:bookmarkStart w:id="370" w:name="_Toc184312126"/>
      <w:bookmarkEnd w:id="370"/>
      <w:bookmarkStart w:id="371" w:name="_Toc184308048"/>
      <w:bookmarkEnd w:id="371"/>
      <w:bookmarkStart w:id="372" w:name="_Toc184308069"/>
      <w:bookmarkEnd w:id="372"/>
      <w:bookmarkStart w:id="373" w:name="_Toc184314458"/>
      <w:bookmarkEnd w:id="373"/>
      <w:bookmarkStart w:id="374" w:name="_Toc184312101"/>
      <w:bookmarkEnd w:id="374"/>
      <w:bookmarkStart w:id="375" w:name="_Toc184312094"/>
      <w:bookmarkEnd w:id="375"/>
      <w:bookmarkStart w:id="376" w:name="_Toc184312087"/>
      <w:bookmarkEnd w:id="376"/>
      <w:bookmarkStart w:id="377" w:name="_Toc184313241"/>
      <w:bookmarkEnd w:id="377"/>
      <w:bookmarkStart w:id="378" w:name="_Toc184308088"/>
      <w:bookmarkEnd w:id="378"/>
      <w:bookmarkStart w:id="379" w:name="_Toc184314468"/>
      <w:bookmarkEnd w:id="379"/>
      <w:bookmarkStart w:id="380" w:name="_Toc184308076"/>
      <w:bookmarkEnd w:id="380"/>
      <w:bookmarkStart w:id="381" w:name="_Toc184312110"/>
      <w:bookmarkEnd w:id="381"/>
      <w:bookmarkStart w:id="382" w:name="_Toc184313253"/>
      <w:bookmarkEnd w:id="382"/>
      <w:bookmarkStart w:id="383" w:name="_Toc184313300"/>
      <w:bookmarkEnd w:id="383"/>
      <w:bookmarkStart w:id="384" w:name="_Toc184308081"/>
      <w:bookmarkEnd w:id="384"/>
      <w:bookmarkStart w:id="385" w:name="_Toc184314474"/>
      <w:bookmarkEnd w:id="385"/>
      <w:bookmarkStart w:id="386" w:name="_Toc184308047"/>
      <w:bookmarkEnd w:id="386"/>
      <w:bookmarkStart w:id="387" w:name="_Toc184310331"/>
      <w:bookmarkEnd w:id="387"/>
      <w:bookmarkStart w:id="388" w:name="_Toc184310336"/>
      <w:bookmarkEnd w:id="388"/>
      <w:bookmarkStart w:id="389" w:name="_Toc184308061"/>
      <w:bookmarkEnd w:id="389"/>
      <w:bookmarkStart w:id="390" w:name="_Toc184313267"/>
      <w:bookmarkEnd w:id="390"/>
      <w:bookmarkStart w:id="391" w:name="_Toc184314457"/>
      <w:bookmarkEnd w:id="391"/>
      <w:bookmarkStart w:id="392" w:name="_Toc184312135"/>
      <w:bookmarkEnd w:id="392"/>
      <w:bookmarkStart w:id="393" w:name="_Toc184313257"/>
      <w:bookmarkEnd w:id="393"/>
      <w:bookmarkStart w:id="394" w:name="_Toc184314437"/>
      <w:bookmarkEnd w:id="394"/>
      <w:bookmarkStart w:id="395" w:name="_Toc184313297"/>
      <w:bookmarkEnd w:id="395"/>
      <w:bookmarkStart w:id="396" w:name="_Toc184314454"/>
      <w:bookmarkEnd w:id="396"/>
      <w:bookmarkStart w:id="397" w:name="_Toc184313244"/>
      <w:bookmarkEnd w:id="397"/>
      <w:bookmarkStart w:id="398" w:name="_Toc184308072"/>
      <w:bookmarkEnd w:id="398"/>
      <w:r>
        <w:rPr>
          <w:rFonts w:hint="eastAsia" w:ascii="宋体" w:hAnsi="宋体" w:cs="宋体"/>
          <w:b/>
          <w:sz w:val="36"/>
          <w:szCs w:val="36"/>
          <w:highlight w:val="none"/>
        </w:rPr>
        <w:t>评标办法</w:t>
      </w:r>
    </w:p>
    <w:p w14:paraId="53929F3A">
      <w:pPr>
        <w:pStyle w:val="5"/>
        <w:ind w:left="0" w:leftChars="0" w:firstLine="0" w:firstLineChars="0"/>
        <w:jc w:val="center"/>
        <w:rPr>
          <w:highlight w:val="none"/>
        </w:rPr>
      </w:pPr>
      <w:r>
        <w:rPr>
          <w:rFonts w:hint="eastAsia" w:ascii="宋体" w:hAnsi="宋体" w:cs="宋体"/>
          <w:b/>
          <w:sz w:val="32"/>
          <w:szCs w:val="20"/>
          <w:highlight w:val="none"/>
        </w:rPr>
        <w:t>评标办法前附表</w:t>
      </w:r>
    </w:p>
    <w:p w14:paraId="7FC8304C">
      <w:pPr>
        <w:rPr>
          <w:color w:val="auto"/>
          <w:highlight w:val="none"/>
        </w:rPr>
      </w:pPr>
    </w:p>
    <w:tbl>
      <w:tblPr>
        <w:tblStyle w:val="65"/>
        <w:tblW w:w="9104" w:type="dxa"/>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121"/>
        <w:gridCol w:w="706"/>
        <w:gridCol w:w="975"/>
        <w:gridCol w:w="1612"/>
      </w:tblGrid>
      <w:tr w14:paraId="20871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690" w:type="dxa"/>
            <w:vAlign w:val="center"/>
          </w:tcPr>
          <w:p w14:paraId="1DAD6F97">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w:t>
            </w:r>
            <w:r>
              <w:rPr>
                <w:rFonts w:hint="eastAsia" w:ascii="宋体" w:hAnsi="宋体" w:eastAsia="宋体" w:cs="宋体"/>
                <w:color w:val="auto"/>
                <w:kern w:val="0"/>
                <w:sz w:val="24"/>
                <w:highlight w:val="none"/>
              </w:rPr>
              <w:t>号</w:t>
            </w:r>
          </w:p>
        </w:tc>
        <w:tc>
          <w:tcPr>
            <w:tcW w:w="5121" w:type="dxa"/>
            <w:vAlign w:val="center"/>
          </w:tcPr>
          <w:p w14:paraId="40E0335C">
            <w:pPr>
              <w:spacing w:line="30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评标标准</w:t>
            </w:r>
          </w:p>
        </w:tc>
        <w:tc>
          <w:tcPr>
            <w:tcW w:w="706" w:type="dxa"/>
            <w:vAlign w:val="center"/>
          </w:tcPr>
          <w:p w14:paraId="440DE8E4">
            <w:pPr>
              <w:spacing w:line="30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975" w:type="dxa"/>
            <w:vAlign w:val="center"/>
          </w:tcPr>
          <w:p w14:paraId="427B9CAD">
            <w:pPr>
              <w:spacing w:line="30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主观分/客观分属性</w:t>
            </w:r>
          </w:p>
        </w:tc>
        <w:tc>
          <w:tcPr>
            <w:tcW w:w="1612" w:type="dxa"/>
            <w:vAlign w:val="center"/>
          </w:tcPr>
          <w:p w14:paraId="42A4A402">
            <w:pPr>
              <w:spacing w:line="30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投标文件中评标标准相应的商务技术资料目录</w:t>
            </w:r>
          </w:p>
        </w:tc>
      </w:tr>
      <w:tr w14:paraId="03E5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690" w:type="dxa"/>
            <w:vAlign w:val="center"/>
          </w:tcPr>
          <w:p w14:paraId="134CF8B1">
            <w:pPr>
              <w:snapToGrid w:val="0"/>
              <w:spacing w:line="360" w:lineRule="exact"/>
              <w:jc w:val="center"/>
              <w:rPr>
                <w:rFonts w:hint="eastAsia" w:ascii="宋体" w:hAnsi="宋体" w:eastAsia="宋体" w:cs="宋体"/>
                <w:color w:val="auto"/>
                <w:highlight w:val="none"/>
              </w:rPr>
            </w:pPr>
            <w:r>
              <w:rPr>
                <w:rFonts w:hint="eastAsia" w:ascii="宋体" w:hAnsi="宋体" w:eastAsia="宋体" w:cs="宋体"/>
                <w:color w:val="auto"/>
                <w:kern w:val="0"/>
                <w:sz w:val="24"/>
                <w:highlight w:val="none"/>
              </w:rPr>
              <w:t>1</w:t>
            </w:r>
          </w:p>
        </w:tc>
        <w:tc>
          <w:tcPr>
            <w:tcW w:w="5121" w:type="dxa"/>
            <w:vAlign w:val="center"/>
          </w:tcPr>
          <w:p w14:paraId="5611EBCE">
            <w:pPr>
              <w:spacing w:line="300" w:lineRule="auto"/>
              <w:outlineLvl w:val="0"/>
              <w:rPr>
                <w:rFonts w:hint="eastAsia" w:ascii="宋体" w:hAnsi="宋体" w:eastAsia="宋体" w:cs="宋体"/>
                <w:color w:val="auto"/>
                <w:highlight w:val="none"/>
              </w:rPr>
            </w:pPr>
            <w:r>
              <w:rPr>
                <w:rFonts w:hint="eastAsia" w:ascii="宋体" w:hAnsi="宋体" w:eastAsia="宋体" w:cs="宋体"/>
                <w:color w:val="auto"/>
                <w:sz w:val="24"/>
                <w:highlight w:val="none"/>
              </w:rPr>
              <w:t>投标人具有在有效期内的质量管理体系证书、环境管理体系证书、职业健康安全管理体系证书、社会责任管理体体系证书；每项得1分，最高4分。证明材料：有效的认证证书复印件及全国认证认可信息公共服务平台（http://cx.cnca.cn/CertECloud/index/index/page）查询截图加盖公章。</w:t>
            </w:r>
          </w:p>
        </w:tc>
        <w:tc>
          <w:tcPr>
            <w:tcW w:w="706" w:type="dxa"/>
            <w:vAlign w:val="center"/>
          </w:tcPr>
          <w:p w14:paraId="4810E190">
            <w:pPr>
              <w:snapToGrid w:val="0"/>
              <w:spacing w:line="360" w:lineRule="exact"/>
              <w:rPr>
                <w:rFonts w:hint="eastAsia" w:ascii="宋体" w:hAnsi="宋体" w:eastAsia="宋体" w:cs="宋体"/>
                <w:color w:val="auto"/>
                <w:highlight w:val="none"/>
              </w:rPr>
            </w:pPr>
            <w:r>
              <w:rPr>
                <w:rFonts w:hint="eastAsia" w:ascii="宋体" w:hAnsi="宋体" w:eastAsia="宋体" w:cs="宋体"/>
                <w:color w:val="auto"/>
                <w:kern w:val="0"/>
                <w:sz w:val="24"/>
                <w:highlight w:val="none"/>
              </w:rPr>
              <w:t>0-4</w:t>
            </w:r>
          </w:p>
        </w:tc>
        <w:tc>
          <w:tcPr>
            <w:tcW w:w="975" w:type="dxa"/>
            <w:vAlign w:val="center"/>
          </w:tcPr>
          <w:p w14:paraId="1D1B421A">
            <w:pPr>
              <w:snapToGrid w:val="0"/>
              <w:spacing w:line="360" w:lineRule="exact"/>
              <w:jc w:val="center"/>
              <w:rPr>
                <w:rFonts w:hint="eastAsia" w:ascii="宋体" w:hAnsi="宋体" w:eastAsia="宋体" w:cs="宋体"/>
                <w:color w:val="auto"/>
                <w:highlight w:val="none"/>
              </w:rPr>
            </w:pPr>
            <w:r>
              <w:rPr>
                <w:rFonts w:hint="eastAsia" w:ascii="宋体" w:hAnsi="宋体" w:eastAsia="宋体" w:cs="宋体"/>
                <w:color w:val="auto"/>
                <w:kern w:val="0"/>
                <w:sz w:val="24"/>
                <w:highlight w:val="none"/>
              </w:rPr>
              <w:t>客观</w:t>
            </w:r>
          </w:p>
        </w:tc>
        <w:tc>
          <w:tcPr>
            <w:tcW w:w="1612" w:type="dxa"/>
            <w:vAlign w:val="center"/>
          </w:tcPr>
          <w:p w14:paraId="5E2DE520">
            <w:pPr>
              <w:snapToGrid w:val="0"/>
              <w:spacing w:line="360" w:lineRule="exact"/>
              <w:jc w:val="center"/>
              <w:rPr>
                <w:rFonts w:hint="eastAsia" w:ascii="宋体" w:hAnsi="宋体" w:eastAsia="宋体" w:cs="宋体"/>
                <w:color w:val="auto"/>
                <w:highlight w:val="none"/>
                <w:lang w:eastAsia="zh-CN"/>
              </w:rPr>
            </w:pPr>
            <w:r>
              <w:rPr>
                <w:rFonts w:hint="eastAsia" w:ascii="宋体" w:hAnsi="宋体" w:eastAsia="宋体" w:cs="宋体"/>
                <w:color w:val="auto"/>
                <w:kern w:val="0"/>
                <w:sz w:val="24"/>
                <w:highlight w:val="none"/>
              </w:rPr>
              <w:t>认证</w:t>
            </w:r>
            <w:r>
              <w:rPr>
                <w:rFonts w:hint="eastAsia" w:ascii="宋体" w:hAnsi="宋体" w:eastAsia="宋体" w:cs="宋体"/>
                <w:color w:val="auto"/>
                <w:kern w:val="0"/>
                <w:sz w:val="24"/>
                <w:highlight w:val="none"/>
                <w:lang w:eastAsia="zh-CN"/>
              </w:rPr>
              <w:t>证书</w:t>
            </w:r>
          </w:p>
        </w:tc>
      </w:tr>
      <w:tr w14:paraId="12C0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19BC94FC">
            <w:pPr>
              <w:snapToGrid w:val="0"/>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5121" w:type="dxa"/>
            <w:vAlign w:val="center"/>
          </w:tcPr>
          <w:p w14:paraId="5E98774A">
            <w:pPr>
              <w:snapToGrid w:val="0"/>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投标人提供自2021年1月1日起（以合同签订时间为准）</w:t>
            </w:r>
            <w:r>
              <w:rPr>
                <w:rFonts w:hint="eastAsia" w:ascii="宋体" w:hAnsi="宋体" w:cs="宋体"/>
                <w:color w:val="auto"/>
                <w:kern w:val="0"/>
                <w:sz w:val="24"/>
                <w:highlight w:val="none"/>
                <w:lang w:val="en-US" w:eastAsia="zh-CN"/>
              </w:rPr>
              <w:t>同类物业</w:t>
            </w:r>
            <w:r>
              <w:rPr>
                <w:rFonts w:hint="eastAsia" w:ascii="宋体" w:hAnsi="宋体" w:eastAsia="宋体" w:cs="宋体"/>
                <w:color w:val="auto"/>
                <w:kern w:val="0"/>
                <w:sz w:val="24"/>
                <w:highlight w:val="none"/>
                <w:lang w:val="en-US" w:eastAsia="zh-CN"/>
              </w:rPr>
              <w:t>项目管理案例的</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需</w:t>
            </w:r>
            <w:r>
              <w:rPr>
                <w:rFonts w:hint="eastAsia" w:ascii="宋体" w:hAnsi="宋体" w:eastAsia="宋体" w:cs="宋体"/>
                <w:color w:val="auto"/>
                <w:kern w:val="0"/>
                <w:sz w:val="24"/>
                <w:highlight w:val="none"/>
              </w:rPr>
              <w:t>含街巷保洁、垃圾分类），每个项目得</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分，本项最高得</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分。注：投标文件中应提供证明材料复印件，投标文件中未提供证明材料复印件不得分。</w:t>
            </w:r>
          </w:p>
        </w:tc>
        <w:tc>
          <w:tcPr>
            <w:tcW w:w="706" w:type="dxa"/>
            <w:vAlign w:val="center"/>
          </w:tcPr>
          <w:p w14:paraId="53D31515">
            <w:pPr>
              <w:snapToGrid w:val="0"/>
              <w:spacing w:line="36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0-</w:t>
            </w:r>
            <w:r>
              <w:rPr>
                <w:rFonts w:hint="eastAsia" w:ascii="宋体" w:hAnsi="宋体" w:cs="宋体"/>
                <w:color w:val="auto"/>
                <w:kern w:val="0"/>
                <w:sz w:val="24"/>
                <w:highlight w:val="none"/>
                <w:lang w:val="en-US" w:eastAsia="zh-CN"/>
              </w:rPr>
              <w:t>1</w:t>
            </w:r>
          </w:p>
        </w:tc>
        <w:tc>
          <w:tcPr>
            <w:tcW w:w="975" w:type="dxa"/>
            <w:vAlign w:val="center"/>
          </w:tcPr>
          <w:p w14:paraId="6C1CA53A">
            <w:pPr>
              <w:snapToGrid w:val="0"/>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客观</w:t>
            </w:r>
          </w:p>
        </w:tc>
        <w:tc>
          <w:tcPr>
            <w:tcW w:w="1612" w:type="dxa"/>
            <w:vAlign w:val="center"/>
          </w:tcPr>
          <w:p w14:paraId="14E5AF9C">
            <w:pPr>
              <w:snapToGrid w:val="0"/>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项目业绩</w:t>
            </w:r>
          </w:p>
        </w:tc>
      </w:tr>
      <w:tr w14:paraId="778E3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690" w:type="dxa"/>
            <w:vAlign w:val="center"/>
          </w:tcPr>
          <w:p w14:paraId="4BB6DF34">
            <w:pPr>
              <w:snapToGrid w:val="0"/>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5121" w:type="dxa"/>
            <w:vAlign w:val="center"/>
          </w:tcPr>
          <w:p w14:paraId="7A27B2EF">
            <w:pPr>
              <w:snapToGrid w:val="0"/>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根据本项目特点，提倡党建引领红色物业，投标人设有党组织，符合得</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分，不符合不得分，需提供上级党组织批复文件。</w:t>
            </w:r>
          </w:p>
        </w:tc>
        <w:tc>
          <w:tcPr>
            <w:tcW w:w="706" w:type="dxa"/>
            <w:vAlign w:val="center"/>
          </w:tcPr>
          <w:p w14:paraId="67B1B2EE">
            <w:pPr>
              <w:snapToGrid w:val="0"/>
              <w:spacing w:line="360" w:lineRule="exact"/>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0-</w:t>
            </w:r>
            <w:r>
              <w:rPr>
                <w:rFonts w:hint="eastAsia" w:ascii="宋体" w:hAnsi="宋体" w:cs="宋体"/>
                <w:color w:val="auto"/>
                <w:kern w:val="0"/>
                <w:sz w:val="24"/>
                <w:highlight w:val="none"/>
                <w:lang w:val="en-US" w:eastAsia="zh-CN"/>
              </w:rPr>
              <w:t>1</w:t>
            </w:r>
          </w:p>
        </w:tc>
        <w:tc>
          <w:tcPr>
            <w:tcW w:w="975" w:type="dxa"/>
            <w:vAlign w:val="center"/>
          </w:tcPr>
          <w:p w14:paraId="5885F544">
            <w:pPr>
              <w:snapToGrid w:val="0"/>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客观</w:t>
            </w:r>
          </w:p>
        </w:tc>
        <w:tc>
          <w:tcPr>
            <w:tcW w:w="1612" w:type="dxa"/>
            <w:vAlign w:val="center"/>
          </w:tcPr>
          <w:p w14:paraId="575F01A7">
            <w:pPr>
              <w:snapToGrid w:val="0"/>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红色物业</w:t>
            </w:r>
          </w:p>
        </w:tc>
      </w:tr>
      <w:tr w14:paraId="74794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690" w:type="dxa"/>
            <w:vAlign w:val="center"/>
          </w:tcPr>
          <w:p w14:paraId="0368D86F">
            <w:pPr>
              <w:snapToGrid w:val="0"/>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5121" w:type="dxa"/>
            <w:vAlign w:val="center"/>
          </w:tcPr>
          <w:p w14:paraId="68CF4DC2">
            <w:pPr>
              <w:snapToGrid w:val="0"/>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投标人能根据本项目物业管理服务特点提出合理的物业</w:t>
            </w:r>
            <w:r>
              <w:rPr>
                <w:rFonts w:hint="eastAsia" w:ascii="宋体" w:hAnsi="宋体" w:eastAsia="宋体" w:cs="宋体"/>
                <w:color w:val="auto"/>
                <w:kern w:val="0"/>
                <w:sz w:val="24"/>
                <w:highlight w:val="none"/>
                <w:lang w:eastAsia="zh-CN"/>
              </w:rPr>
              <w:t>①</w:t>
            </w:r>
            <w:r>
              <w:rPr>
                <w:rFonts w:hint="eastAsia" w:ascii="宋体" w:hAnsi="宋体" w:eastAsia="宋体" w:cs="宋体"/>
                <w:color w:val="auto"/>
                <w:kern w:val="0"/>
                <w:sz w:val="24"/>
                <w:highlight w:val="none"/>
              </w:rPr>
              <w:t>服务理念、</w:t>
            </w:r>
            <w:r>
              <w:rPr>
                <w:rFonts w:hint="eastAsia" w:ascii="宋体" w:hAnsi="宋体" w:eastAsia="宋体" w:cs="宋体"/>
                <w:color w:val="auto"/>
                <w:kern w:val="0"/>
                <w:sz w:val="24"/>
                <w:highlight w:val="none"/>
                <w:lang w:eastAsia="zh-CN"/>
              </w:rPr>
              <w:t>②</w:t>
            </w:r>
            <w:r>
              <w:rPr>
                <w:rFonts w:hint="eastAsia" w:ascii="宋体" w:hAnsi="宋体" w:eastAsia="宋体" w:cs="宋体"/>
                <w:color w:val="auto"/>
                <w:kern w:val="0"/>
                <w:sz w:val="24"/>
                <w:highlight w:val="none"/>
              </w:rPr>
              <w:t>服务定位、</w:t>
            </w:r>
            <w:r>
              <w:rPr>
                <w:rFonts w:hint="eastAsia" w:ascii="宋体" w:hAnsi="宋体" w:eastAsia="宋体" w:cs="宋体"/>
                <w:color w:val="auto"/>
                <w:kern w:val="0"/>
                <w:sz w:val="24"/>
                <w:highlight w:val="none"/>
                <w:lang w:eastAsia="zh-CN"/>
              </w:rPr>
              <w:t>③</w:t>
            </w:r>
            <w:r>
              <w:rPr>
                <w:rFonts w:hint="eastAsia" w:ascii="宋体" w:hAnsi="宋体" w:eastAsia="宋体" w:cs="宋体"/>
                <w:color w:val="auto"/>
                <w:kern w:val="0"/>
                <w:sz w:val="24"/>
                <w:highlight w:val="none"/>
              </w:rPr>
              <w:t>服务目标。根据</w:t>
            </w:r>
            <w:r>
              <w:rPr>
                <w:rFonts w:hint="eastAsia" w:ascii="宋体" w:hAnsi="宋体" w:cs="宋体"/>
                <w:color w:val="auto"/>
                <w:kern w:val="0"/>
                <w:sz w:val="24"/>
                <w:highlight w:val="none"/>
                <w:lang w:val="en-US" w:eastAsia="zh-CN"/>
              </w:rPr>
              <w:t>合理</w:t>
            </w:r>
            <w:r>
              <w:rPr>
                <w:rFonts w:hint="eastAsia" w:ascii="宋体" w:hAnsi="宋体" w:eastAsia="宋体" w:cs="宋体"/>
                <w:color w:val="auto"/>
                <w:kern w:val="0"/>
                <w:sz w:val="24"/>
                <w:highlight w:val="none"/>
              </w:rPr>
              <w:t>可行性情况等进行评分，</w:t>
            </w:r>
            <w:r>
              <w:rPr>
                <w:rFonts w:hint="eastAsia" w:ascii="宋体" w:hAnsi="宋体" w:cs="宋体"/>
                <w:i w:val="0"/>
                <w:iCs w:val="0"/>
                <w:snapToGrid w:val="0"/>
                <w:color w:val="auto"/>
                <w:kern w:val="2"/>
                <w:sz w:val="24"/>
                <w:szCs w:val="24"/>
                <w:highlight w:val="none"/>
                <w:u w:val="none"/>
                <w:lang w:eastAsia="zh-CN" w:bidi="ar-SA"/>
              </w:rPr>
              <w:t>每项</w:t>
            </w:r>
            <w:r>
              <w:rPr>
                <w:rFonts w:hint="default" w:ascii="宋体" w:hAnsi="宋体" w:cs="宋体"/>
                <w:i w:val="0"/>
                <w:iCs w:val="0"/>
                <w:snapToGrid w:val="0"/>
                <w:color w:val="auto"/>
                <w:kern w:val="2"/>
                <w:sz w:val="24"/>
                <w:szCs w:val="24"/>
                <w:highlight w:val="none"/>
                <w:u w:val="none"/>
                <w:lang w:eastAsia="zh-CN" w:bidi="ar-SA"/>
              </w:rPr>
              <w:t>最高得1分</w:t>
            </w:r>
            <w:r>
              <w:rPr>
                <w:rFonts w:hint="eastAsia" w:ascii="宋体" w:hAnsi="宋体" w:cs="宋体"/>
                <w:i w:val="0"/>
                <w:iCs w:val="0"/>
                <w:snapToGrid w:val="0"/>
                <w:color w:val="auto"/>
                <w:kern w:val="2"/>
                <w:sz w:val="24"/>
                <w:szCs w:val="24"/>
                <w:highlight w:val="none"/>
                <w:u w:val="none"/>
                <w:lang w:eastAsia="zh-CN" w:bidi="ar-SA"/>
              </w:rPr>
              <w:t>，</w:t>
            </w:r>
            <w:r>
              <w:rPr>
                <w:rFonts w:hint="eastAsia" w:ascii="宋体" w:hAnsi="宋体" w:eastAsia="宋体" w:cs="宋体"/>
                <w:color w:val="auto"/>
                <w:kern w:val="0"/>
                <w:sz w:val="24"/>
                <w:highlight w:val="none"/>
              </w:rPr>
              <w:t>不符合不得分</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本项最高为</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分</w:t>
            </w:r>
            <w:r>
              <w:rPr>
                <w:rFonts w:hint="eastAsia" w:ascii="宋体" w:hAnsi="宋体" w:eastAsia="宋体" w:cs="宋体"/>
                <w:color w:val="auto"/>
                <w:kern w:val="0"/>
                <w:sz w:val="24"/>
                <w:highlight w:val="none"/>
                <w:lang w:eastAsia="zh-CN"/>
              </w:rPr>
              <w:t>。</w:t>
            </w:r>
          </w:p>
        </w:tc>
        <w:tc>
          <w:tcPr>
            <w:tcW w:w="706" w:type="dxa"/>
            <w:vAlign w:val="center"/>
          </w:tcPr>
          <w:p w14:paraId="2A86AA9A">
            <w:pPr>
              <w:snapToGrid w:val="0"/>
              <w:spacing w:line="36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0-</w:t>
            </w:r>
            <w:r>
              <w:rPr>
                <w:rFonts w:hint="eastAsia" w:ascii="宋体" w:hAnsi="宋体" w:eastAsia="宋体" w:cs="宋体"/>
                <w:color w:val="auto"/>
                <w:kern w:val="0"/>
                <w:sz w:val="24"/>
                <w:highlight w:val="none"/>
                <w:lang w:val="en-US" w:eastAsia="zh-CN"/>
              </w:rPr>
              <w:t>3</w:t>
            </w:r>
          </w:p>
        </w:tc>
        <w:tc>
          <w:tcPr>
            <w:tcW w:w="975" w:type="dxa"/>
            <w:vAlign w:val="center"/>
          </w:tcPr>
          <w:p w14:paraId="5684857E">
            <w:pPr>
              <w:snapToGrid w:val="0"/>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w:t>
            </w:r>
          </w:p>
        </w:tc>
        <w:tc>
          <w:tcPr>
            <w:tcW w:w="1612" w:type="dxa"/>
            <w:vAlign w:val="center"/>
          </w:tcPr>
          <w:p w14:paraId="3EB1F59A">
            <w:pPr>
              <w:snapToGrid w:val="0"/>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服务理念</w:t>
            </w:r>
          </w:p>
        </w:tc>
      </w:tr>
      <w:tr w14:paraId="25C8C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90" w:type="dxa"/>
            <w:vAlign w:val="center"/>
          </w:tcPr>
          <w:p w14:paraId="0406351F">
            <w:pPr>
              <w:snapToGrid w:val="0"/>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5121" w:type="dxa"/>
            <w:vAlign w:val="center"/>
          </w:tcPr>
          <w:p w14:paraId="230767AD">
            <w:pPr>
              <w:snapToGrid w:val="0"/>
              <w:spacing w:line="360" w:lineRule="exac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针对本项目有比较完善的组织架构最高得2分。能清晰简练地列出主要管理流程，包括①运作流程图、②激励机制、③监督机制、④自我约束机制、⑤信息反馈及处理机制。</w:t>
            </w:r>
            <w:r>
              <w:rPr>
                <w:rFonts w:hint="eastAsia" w:ascii="宋体" w:hAnsi="宋体" w:eastAsia="宋体" w:cs="宋体"/>
                <w:color w:val="auto"/>
                <w:kern w:val="0"/>
                <w:sz w:val="24"/>
                <w:highlight w:val="none"/>
                <w:lang w:eastAsia="zh-CN"/>
              </w:rPr>
              <w:t>流程</w:t>
            </w:r>
            <w:r>
              <w:rPr>
                <w:rFonts w:hint="eastAsia" w:ascii="宋体" w:hAnsi="宋体" w:eastAsia="宋体" w:cs="宋体"/>
                <w:color w:val="auto"/>
                <w:kern w:val="0"/>
                <w:sz w:val="24"/>
                <w:highlight w:val="none"/>
              </w:rPr>
              <w:t>根据服务区域内实际情况设计，能满足服务质量标准</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符合1项得1分，不符合不得分，最高5分。此项最高7分</w:t>
            </w:r>
            <w:r>
              <w:rPr>
                <w:rFonts w:hint="eastAsia" w:ascii="宋体" w:hAnsi="宋体" w:cs="宋体"/>
                <w:color w:val="auto"/>
                <w:kern w:val="0"/>
                <w:sz w:val="24"/>
                <w:highlight w:val="none"/>
                <w:lang w:eastAsia="zh-CN"/>
              </w:rPr>
              <w:t>。</w:t>
            </w:r>
          </w:p>
        </w:tc>
        <w:tc>
          <w:tcPr>
            <w:tcW w:w="706" w:type="dxa"/>
            <w:vAlign w:val="center"/>
          </w:tcPr>
          <w:p w14:paraId="65113EDD">
            <w:pPr>
              <w:snapToGrid w:val="0"/>
              <w:spacing w:line="360" w:lineRule="exact"/>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0-</w:t>
            </w:r>
            <w:r>
              <w:rPr>
                <w:rFonts w:hint="eastAsia" w:ascii="宋体" w:hAnsi="宋体" w:eastAsia="宋体" w:cs="宋体"/>
                <w:color w:val="auto"/>
                <w:kern w:val="0"/>
                <w:sz w:val="24"/>
                <w:highlight w:val="none"/>
                <w:lang w:val="en-US" w:eastAsia="zh-CN"/>
              </w:rPr>
              <w:t>7</w:t>
            </w:r>
          </w:p>
        </w:tc>
        <w:tc>
          <w:tcPr>
            <w:tcW w:w="975" w:type="dxa"/>
            <w:vAlign w:val="center"/>
          </w:tcPr>
          <w:p w14:paraId="2727F252">
            <w:pPr>
              <w:snapToGrid w:val="0"/>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w:t>
            </w:r>
          </w:p>
        </w:tc>
        <w:tc>
          <w:tcPr>
            <w:tcW w:w="1612" w:type="dxa"/>
            <w:vAlign w:val="center"/>
          </w:tcPr>
          <w:p w14:paraId="4FE5CB8E">
            <w:pPr>
              <w:snapToGrid w:val="0"/>
              <w:spacing w:line="360" w:lineRule="exact"/>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组织架构</w:t>
            </w:r>
          </w:p>
        </w:tc>
      </w:tr>
      <w:tr w14:paraId="21E3E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690" w:type="dxa"/>
            <w:vAlign w:val="center"/>
          </w:tcPr>
          <w:p w14:paraId="021F8D38">
            <w:pPr>
              <w:snapToGrid w:val="0"/>
              <w:spacing w:line="360" w:lineRule="exact"/>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6</w:t>
            </w:r>
          </w:p>
        </w:tc>
        <w:tc>
          <w:tcPr>
            <w:tcW w:w="5121" w:type="dxa"/>
            <w:vAlign w:val="center"/>
          </w:tcPr>
          <w:p w14:paraId="601C61F6">
            <w:pPr>
              <w:snapToGrid w:val="0"/>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根据相关法律法规及本项目的实际情况合理配备作业人员，提供作业人员配置计划表，评委根据投标文件响应情况及对有利于本项目实施的角度进行打分，</w:t>
            </w:r>
            <w:r>
              <w:rPr>
                <w:rFonts w:hint="eastAsia" w:ascii="宋体" w:hAnsi="宋体" w:eastAsia="宋体" w:cs="宋体"/>
                <w:color w:val="auto"/>
                <w:kern w:val="0"/>
                <w:sz w:val="24"/>
                <w:highlight w:val="none"/>
                <w:lang w:eastAsia="zh-CN"/>
              </w:rPr>
              <w:t>配置合理</w:t>
            </w:r>
            <w:r>
              <w:rPr>
                <w:rFonts w:hint="eastAsia" w:ascii="宋体" w:hAnsi="宋体" w:eastAsia="宋体" w:cs="宋体"/>
                <w:color w:val="auto"/>
                <w:kern w:val="0"/>
                <w:sz w:val="24"/>
                <w:highlight w:val="none"/>
              </w:rPr>
              <w:t>具</w:t>
            </w:r>
            <w:r>
              <w:rPr>
                <w:rFonts w:hint="eastAsia" w:ascii="宋体" w:hAnsi="宋体" w:eastAsia="宋体" w:cs="宋体"/>
                <w:color w:val="auto"/>
                <w:kern w:val="0"/>
                <w:sz w:val="24"/>
                <w:highlight w:val="none"/>
                <w:lang w:eastAsia="zh-CN"/>
              </w:rPr>
              <w:t>有</w:t>
            </w:r>
            <w:r>
              <w:rPr>
                <w:rFonts w:hint="eastAsia" w:ascii="宋体" w:hAnsi="宋体" w:eastAsia="宋体" w:cs="宋体"/>
                <w:color w:val="auto"/>
                <w:kern w:val="0"/>
                <w:sz w:val="24"/>
                <w:highlight w:val="none"/>
              </w:rPr>
              <w:t>科学性的得3分；配置</w:t>
            </w:r>
            <w:r>
              <w:rPr>
                <w:rFonts w:hint="eastAsia" w:ascii="宋体" w:hAnsi="宋体" w:eastAsia="宋体" w:cs="宋体"/>
                <w:color w:val="auto"/>
                <w:kern w:val="0"/>
                <w:sz w:val="24"/>
                <w:highlight w:val="none"/>
                <w:lang w:eastAsia="zh-CN"/>
              </w:rPr>
              <w:t>基本符合要求</w:t>
            </w:r>
            <w:r>
              <w:rPr>
                <w:rFonts w:hint="eastAsia" w:ascii="宋体" w:hAnsi="宋体" w:eastAsia="宋体" w:cs="宋体"/>
                <w:color w:val="auto"/>
                <w:kern w:val="0"/>
                <w:sz w:val="24"/>
                <w:highlight w:val="none"/>
              </w:rPr>
              <w:t>的得2分；</w:t>
            </w:r>
            <w:r>
              <w:rPr>
                <w:rFonts w:hint="eastAsia" w:ascii="宋体" w:hAnsi="宋体" w:eastAsia="宋体" w:cs="宋体"/>
                <w:color w:val="auto"/>
                <w:kern w:val="0"/>
                <w:sz w:val="24"/>
                <w:highlight w:val="none"/>
                <w:lang w:eastAsia="zh-CN"/>
              </w:rPr>
              <w:t>配置与招标要求有部分缺失的</w:t>
            </w:r>
            <w:r>
              <w:rPr>
                <w:rFonts w:hint="eastAsia" w:ascii="宋体" w:hAnsi="宋体" w:eastAsia="宋体" w:cs="宋体"/>
                <w:color w:val="auto"/>
                <w:kern w:val="0"/>
                <w:sz w:val="24"/>
                <w:highlight w:val="none"/>
              </w:rPr>
              <w:t>得1分；</w:t>
            </w:r>
            <w:r>
              <w:rPr>
                <w:rFonts w:hint="eastAsia" w:ascii="宋体" w:hAnsi="宋体" w:eastAsia="宋体" w:cs="宋体"/>
                <w:color w:val="auto"/>
                <w:kern w:val="0"/>
                <w:sz w:val="24"/>
                <w:highlight w:val="none"/>
                <w:lang w:eastAsia="zh-CN"/>
              </w:rPr>
              <w:t>不合理或</w:t>
            </w:r>
            <w:r>
              <w:rPr>
                <w:rFonts w:hint="eastAsia" w:ascii="宋体" w:hAnsi="宋体" w:eastAsia="宋体" w:cs="宋体"/>
                <w:color w:val="auto"/>
                <w:kern w:val="0"/>
                <w:sz w:val="24"/>
                <w:highlight w:val="none"/>
              </w:rPr>
              <w:t>未提供的不得分。</w:t>
            </w:r>
          </w:p>
        </w:tc>
        <w:tc>
          <w:tcPr>
            <w:tcW w:w="706" w:type="dxa"/>
            <w:vAlign w:val="center"/>
          </w:tcPr>
          <w:p w14:paraId="17A24CE4">
            <w:pPr>
              <w:spacing w:line="300" w:lineRule="auto"/>
              <w:jc w:val="center"/>
              <w:outlineLvl w:val="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0-3</w:t>
            </w:r>
          </w:p>
        </w:tc>
        <w:tc>
          <w:tcPr>
            <w:tcW w:w="975" w:type="dxa"/>
            <w:vAlign w:val="center"/>
          </w:tcPr>
          <w:p w14:paraId="0539065E">
            <w:pPr>
              <w:snapToGrid w:val="0"/>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w:t>
            </w:r>
          </w:p>
        </w:tc>
        <w:tc>
          <w:tcPr>
            <w:tcW w:w="1612" w:type="dxa"/>
            <w:vAlign w:val="center"/>
          </w:tcPr>
          <w:p w14:paraId="71609A6C">
            <w:pPr>
              <w:snapToGrid w:val="0"/>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人员保障</w:t>
            </w:r>
          </w:p>
        </w:tc>
      </w:tr>
      <w:tr w14:paraId="1663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690" w:type="dxa"/>
            <w:vAlign w:val="center"/>
          </w:tcPr>
          <w:p w14:paraId="07B75087">
            <w:pPr>
              <w:snapToGrid w:val="0"/>
              <w:spacing w:line="360" w:lineRule="exact"/>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7</w:t>
            </w:r>
          </w:p>
        </w:tc>
        <w:tc>
          <w:tcPr>
            <w:tcW w:w="5121" w:type="dxa"/>
            <w:vAlign w:val="center"/>
          </w:tcPr>
          <w:p w14:paraId="00871899">
            <w:pPr>
              <w:snapToGrid w:val="0"/>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投标人提供在本项目范围内设置（或承诺中标后设立）面积不少于10平方米休息站点并配备手机充电、热饭、提供开水、常用医用应急药品，针线包、书籍等功能的得2分；</w:t>
            </w:r>
          </w:p>
          <w:p w14:paraId="168C5643">
            <w:pPr>
              <w:snapToGrid w:val="0"/>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提供休息站相关证明材料（已设有的提供：自有的提供自有产权证明和场地外观彩色照片，租赁的提供租赁合同复印件或相关证明文件复印件和场地外观彩色照片；未设有的提供承诺书），以上均未提供的不得分。</w:t>
            </w:r>
          </w:p>
        </w:tc>
        <w:tc>
          <w:tcPr>
            <w:tcW w:w="706" w:type="dxa"/>
            <w:vAlign w:val="center"/>
          </w:tcPr>
          <w:p w14:paraId="1E707AE5">
            <w:pPr>
              <w:spacing w:line="300" w:lineRule="auto"/>
              <w:jc w:val="center"/>
              <w:outlineLvl w:val="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0-2</w:t>
            </w:r>
          </w:p>
        </w:tc>
        <w:tc>
          <w:tcPr>
            <w:tcW w:w="975" w:type="dxa"/>
            <w:vAlign w:val="center"/>
          </w:tcPr>
          <w:p w14:paraId="765B572A">
            <w:pPr>
              <w:snapToGrid w:val="0"/>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客观</w:t>
            </w:r>
          </w:p>
        </w:tc>
        <w:tc>
          <w:tcPr>
            <w:tcW w:w="1612" w:type="dxa"/>
            <w:vAlign w:val="center"/>
          </w:tcPr>
          <w:p w14:paraId="429D28A8">
            <w:pPr>
              <w:snapToGrid w:val="0"/>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休息点</w:t>
            </w:r>
          </w:p>
        </w:tc>
      </w:tr>
      <w:tr w14:paraId="3018A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690" w:type="dxa"/>
            <w:vAlign w:val="center"/>
          </w:tcPr>
          <w:p w14:paraId="5028AE60">
            <w:pPr>
              <w:snapToGrid w:val="0"/>
              <w:spacing w:line="360" w:lineRule="exact"/>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8</w:t>
            </w:r>
          </w:p>
        </w:tc>
        <w:tc>
          <w:tcPr>
            <w:tcW w:w="5121" w:type="dxa"/>
            <w:vAlign w:val="center"/>
          </w:tcPr>
          <w:p w14:paraId="7204F9C4">
            <w:pPr>
              <w:snapToGrid w:val="0"/>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针对本项目提出</w:t>
            </w:r>
            <w:r>
              <w:rPr>
                <w:rFonts w:hint="eastAsia" w:ascii="宋体" w:hAnsi="宋体" w:eastAsia="宋体" w:cs="宋体"/>
                <w:color w:val="auto"/>
                <w:kern w:val="0"/>
                <w:sz w:val="24"/>
                <w:highlight w:val="none"/>
                <w:lang w:eastAsia="zh-CN"/>
              </w:rPr>
              <w:t>①</w:t>
            </w:r>
            <w:r>
              <w:rPr>
                <w:rFonts w:hint="eastAsia" w:ascii="宋体" w:hAnsi="宋体" w:eastAsia="宋体" w:cs="宋体"/>
                <w:color w:val="auto"/>
                <w:kern w:val="0"/>
                <w:sz w:val="24"/>
                <w:highlight w:val="none"/>
              </w:rPr>
              <w:t>完善的物业管理制度；</w:t>
            </w:r>
            <w:r>
              <w:rPr>
                <w:rFonts w:hint="eastAsia" w:ascii="宋体" w:hAnsi="宋体" w:eastAsia="宋体" w:cs="宋体"/>
                <w:color w:val="auto"/>
                <w:kern w:val="0"/>
                <w:sz w:val="24"/>
                <w:highlight w:val="none"/>
                <w:lang w:eastAsia="zh-CN"/>
              </w:rPr>
              <w:t>②</w:t>
            </w:r>
            <w:r>
              <w:rPr>
                <w:rFonts w:hint="eastAsia" w:ascii="宋体" w:hAnsi="宋体" w:eastAsia="宋体" w:cs="宋体"/>
                <w:color w:val="auto"/>
                <w:kern w:val="0"/>
                <w:sz w:val="24"/>
                <w:highlight w:val="none"/>
              </w:rPr>
              <w:t>规范的作业流程；</w:t>
            </w:r>
            <w:r>
              <w:rPr>
                <w:rFonts w:hint="eastAsia" w:ascii="宋体" w:hAnsi="宋体" w:eastAsia="宋体" w:cs="宋体"/>
                <w:color w:val="auto"/>
                <w:kern w:val="0"/>
                <w:sz w:val="24"/>
                <w:highlight w:val="none"/>
                <w:lang w:eastAsia="zh-CN"/>
              </w:rPr>
              <w:t>③</w:t>
            </w:r>
            <w:r>
              <w:rPr>
                <w:rFonts w:hint="eastAsia" w:ascii="宋体" w:hAnsi="宋体" w:eastAsia="宋体" w:cs="宋体"/>
                <w:color w:val="auto"/>
                <w:kern w:val="0"/>
                <w:sz w:val="24"/>
                <w:highlight w:val="none"/>
              </w:rPr>
              <w:t>合理的物业管理工作计划；符合1项得1分，不符合不得分，最高3分。</w:t>
            </w:r>
          </w:p>
        </w:tc>
        <w:tc>
          <w:tcPr>
            <w:tcW w:w="706" w:type="dxa"/>
            <w:vAlign w:val="center"/>
          </w:tcPr>
          <w:p w14:paraId="2C8E083E">
            <w:pPr>
              <w:snapToGrid w:val="0"/>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0-3</w:t>
            </w:r>
          </w:p>
        </w:tc>
        <w:tc>
          <w:tcPr>
            <w:tcW w:w="975" w:type="dxa"/>
            <w:vAlign w:val="center"/>
          </w:tcPr>
          <w:p w14:paraId="34FFB8E6">
            <w:pPr>
              <w:snapToGrid w:val="0"/>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w:t>
            </w:r>
          </w:p>
        </w:tc>
        <w:tc>
          <w:tcPr>
            <w:tcW w:w="1612" w:type="dxa"/>
            <w:vAlign w:val="center"/>
          </w:tcPr>
          <w:p w14:paraId="15C6681E">
            <w:pPr>
              <w:snapToGrid w:val="0"/>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管理制度</w:t>
            </w:r>
          </w:p>
        </w:tc>
      </w:tr>
      <w:tr w14:paraId="5BA05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0" w:type="dxa"/>
            <w:vAlign w:val="center"/>
          </w:tcPr>
          <w:p w14:paraId="78B379D9">
            <w:pPr>
              <w:snapToGrid w:val="0"/>
              <w:spacing w:line="360" w:lineRule="exact"/>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9</w:t>
            </w:r>
          </w:p>
        </w:tc>
        <w:tc>
          <w:tcPr>
            <w:tcW w:w="5121" w:type="dxa"/>
            <w:vAlign w:val="center"/>
          </w:tcPr>
          <w:p w14:paraId="7C194ACD">
            <w:pPr>
              <w:snapToGrid w:val="0"/>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针对本项目的理解和熟悉程度提出的项目关键点和重难点，针对提出的关键点和重难点，提出的合理化建议。根据可行性情况等进行评分，</w:t>
            </w:r>
            <w:r>
              <w:rPr>
                <w:rFonts w:hint="eastAsia" w:ascii="宋体" w:hAnsi="宋体" w:eastAsia="宋体" w:cs="宋体"/>
                <w:color w:val="auto"/>
                <w:kern w:val="0"/>
                <w:sz w:val="24"/>
                <w:highlight w:val="none"/>
                <w:lang w:eastAsia="zh-CN"/>
              </w:rPr>
              <w:t>分析符合实际情况且建议科学合理有操作性</w:t>
            </w:r>
            <w:r>
              <w:rPr>
                <w:rFonts w:hint="eastAsia" w:ascii="宋体" w:hAnsi="宋体" w:cs="宋体"/>
                <w:color w:val="auto"/>
                <w:kern w:val="0"/>
                <w:sz w:val="24"/>
                <w:highlight w:val="none"/>
                <w:lang w:eastAsia="zh-CN"/>
              </w:rPr>
              <w:t>的</w:t>
            </w:r>
            <w:r>
              <w:rPr>
                <w:rFonts w:hint="eastAsia" w:ascii="宋体" w:hAnsi="宋体" w:eastAsia="宋体" w:cs="宋体"/>
                <w:color w:val="auto"/>
                <w:kern w:val="0"/>
                <w:sz w:val="24"/>
                <w:highlight w:val="none"/>
                <w:lang w:eastAsia="zh-CN"/>
              </w:rPr>
              <w:t>视为符合。符合得</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eastAsia="zh-CN"/>
              </w:rPr>
              <w:t>分，部分符合得</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eastAsia="zh-CN"/>
              </w:rPr>
              <w:t>分，不符合不得分。</w:t>
            </w:r>
          </w:p>
        </w:tc>
        <w:tc>
          <w:tcPr>
            <w:tcW w:w="706" w:type="dxa"/>
            <w:vAlign w:val="center"/>
          </w:tcPr>
          <w:p w14:paraId="72D374A0">
            <w:pPr>
              <w:snapToGrid w:val="0"/>
              <w:spacing w:line="360" w:lineRule="exact"/>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0-</w:t>
            </w:r>
            <w:r>
              <w:rPr>
                <w:rFonts w:hint="eastAsia" w:ascii="宋体" w:hAnsi="宋体" w:cs="宋体"/>
                <w:color w:val="auto"/>
                <w:kern w:val="0"/>
                <w:sz w:val="24"/>
                <w:highlight w:val="none"/>
                <w:lang w:val="en-US" w:eastAsia="zh-CN"/>
              </w:rPr>
              <w:t>2</w:t>
            </w:r>
          </w:p>
        </w:tc>
        <w:tc>
          <w:tcPr>
            <w:tcW w:w="975" w:type="dxa"/>
            <w:vAlign w:val="center"/>
          </w:tcPr>
          <w:p w14:paraId="165E4DDB">
            <w:pPr>
              <w:snapToGrid w:val="0"/>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w:t>
            </w:r>
          </w:p>
        </w:tc>
        <w:tc>
          <w:tcPr>
            <w:tcW w:w="1612" w:type="dxa"/>
            <w:vAlign w:val="center"/>
          </w:tcPr>
          <w:p w14:paraId="65DFA09A">
            <w:pPr>
              <w:snapToGrid w:val="0"/>
              <w:spacing w:line="360" w:lineRule="exact"/>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关键点和重难点</w:t>
            </w:r>
          </w:p>
        </w:tc>
      </w:tr>
      <w:tr w14:paraId="7D6AF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690" w:type="dxa"/>
            <w:vAlign w:val="center"/>
          </w:tcPr>
          <w:p w14:paraId="0DCB32B4">
            <w:pPr>
              <w:snapToGrid w:val="0"/>
              <w:spacing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10</w:t>
            </w:r>
          </w:p>
        </w:tc>
        <w:tc>
          <w:tcPr>
            <w:tcW w:w="5121" w:type="dxa"/>
            <w:vAlign w:val="center"/>
          </w:tcPr>
          <w:p w14:paraId="1E6C3606">
            <w:pPr>
              <w:snapToGrid w:val="0"/>
              <w:spacing w:line="360" w:lineRule="exac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针对本项目提出的保洁方案；①区域内日常清保洁服务；②垃圾分类及业主装修垃圾的处理；③道路、水沟养护等；④</w:t>
            </w:r>
            <w:r>
              <w:rPr>
                <w:rFonts w:hint="eastAsia" w:ascii="宋体" w:hAnsi="宋体" w:cs="宋体"/>
                <w:color w:val="auto"/>
                <w:kern w:val="0"/>
                <w:sz w:val="24"/>
                <w:highlight w:val="none"/>
                <w:lang w:eastAsia="zh-CN"/>
              </w:rPr>
              <w:t>公共区域</w:t>
            </w:r>
            <w:r>
              <w:rPr>
                <w:rFonts w:hint="eastAsia" w:ascii="宋体" w:hAnsi="宋体" w:eastAsia="宋体" w:cs="宋体"/>
                <w:color w:val="auto"/>
                <w:kern w:val="0"/>
                <w:sz w:val="24"/>
                <w:highlight w:val="none"/>
              </w:rPr>
              <w:t>环境卫生的处理；⑤楼道卫生死角、乱堆乱放、乱贴乱画等情况的处理；</w:t>
            </w:r>
            <w:bookmarkStart w:id="399" w:name="OLE_LINK4"/>
            <w:r>
              <w:rPr>
                <w:rFonts w:hint="eastAsia" w:ascii="宋体" w:hAnsi="宋体" w:eastAsia="宋体" w:cs="宋体"/>
                <w:color w:val="auto"/>
                <w:kern w:val="0"/>
                <w:sz w:val="24"/>
                <w:highlight w:val="none"/>
              </w:rPr>
              <w:t>方案根据服务区域内实际情况设计，能满足服务质量标准</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符合</w:t>
            </w:r>
            <w:bookmarkEnd w:id="399"/>
            <w:r>
              <w:rPr>
                <w:rFonts w:hint="eastAsia" w:ascii="宋体" w:hAnsi="宋体" w:eastAsia="宋体" w:cs="宋体"/>
                <w:color w:val="auto"/>
                <w:kern w:val="0"/>
                <w:sz w:val="24"/>
                <w:highlight w:val="none"/>
              </w:rPr>
              <w:t>1项</w:t>
            </w:r>
            <w:r>
              <w:rPr>
                <w:rFonts w:hint="eastAsia" w:ascii="宋体" w:hAnsi="宋体" w:cs="宋体"/>
                <w:color w:val="auto"/>
                <w:kern w:val="0"/>
                <w:sz w:val="24"/>
                <w:highlight w:val="none"/>
                <w:lang w:eastAsia="zh-CN"/>
              </w:rPr>
              <w:t>的最高</w:t>
            </w:r>
            <w:r>
              <w:rPr>
                <w:rFonts w:hint="eastAsia" w:ascii="宋体" w:hAnsi="宋体" w:eastAsia="宋体" w:cs="宋体"/>
                <w:color w:val="auto"/>
                <w:kern w:val="0"/>
                <w:sz w:val="24"/>
                <w:highlight w:val="none"/>
              </w:rPr>
              <w:t>得1分，不符合不得分；此项最高5分</w:t>
            </w:r>
            <w:r>
              <w:rPr>
                <w:rFonts w:hint="eastAsia" w:ascii="宋体" w:hAnsi="宋体" w:cs="宋体"/>
                <w:color w:val="auto"/>
                <w:kern w:val="0"/>
                <w:sz w:val="24"/>
                <w:highlight w:val="none"/>
                <w:lang w:eastAsia="zh-CN"/>
              </w:rPr>
              <w:t>。</w:t>
            </w:r>
          </w:p>
        </w:tc>
        <w:tc>
          <w:tcPr>
            <w:tcW w:w="706" w:type="dxa"/>
            <w:vAlign w:val="center"/>
          </w:tcPr>
          <w:p w14:paraId="5A062E0F">
            <w:pPr>
              <w:snapToGrid w:val="0"/>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0-5</w:t>
            </w:r>
          </w:p>
        </w:tc>
        <w:tc>
          <w:tcPr>
            <w:tcW w:w="975" w:type="dxa"/>
            <w:vAlign w:val="center"/>
          </w:tcPr>
          <w:p w14:paraId="1E5D4BE1">
            <w:pPr>
              <w:snapToGrid w:val="0"/>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w:t>
            </w:r>
          </w:p>
        </w:tc>
        <w:tc>
          <w:tcPr>
            <w:tcW w:w="1612" w:type="dxa"/>
            <w:vAlign w:val="center"/>
          </w:tcPr>
          <w:p w14:paraId="2F08D12A">
            <w:pPr>
              <w:snapToGrid w:val="0"/>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保洁管理</w:t>
            </w:r>
          </w:p>
        </w:tc>
      </w:tr>
      <w:tr w14:paraId="1981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90" w:type="dxa"/>
            <w:vAlign w:val="center"/>
          </w:tcPr>
          <w:p w14:paraId="2D16E54F">
            <w:pPr>
              <w:snapToGrid w:val="0"/>
              <w:spacing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11</w:t>
            </w:r>
          </w:p>
        </w:tc>
        <w:tc>
          <w:tcPr>
            <w:tcW w:w="5121" w:type="dxa"/>
            <w:vAlign w:val="center"/>
          </w:tcPr>
          <w:p w14:paraId="274843EF">
            <w:pPr>
              <w:snapToGrid w:val="0"/>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针对本项目提出的秩序服务方案有①公共秩序维护服务；②巡查管理，台账记录；③车辆管理服务；④街道应急服务的配合；方案根据服务区域内实际情况设计，能满足服务质量标准</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符合1项</w:t>
            </w:r>
            <w:r>
              <w:rPr>
                <w:rFonts w:hint="eastAsia" w:ascii="宋体" w:hAnsi="宋体" w:cs="宋体"/>
                <w:color w:val="auto"/>
                <w:kern w:val="0"/>
                <w:sz w:val="24"/>
                <w:highlight w:val="none"/>
                <w:lang w:eastAsia="zh-CN"/>
              </w:rPr>
              <w:t>的</w:t>
            </w:r>
            <w:r>
              <w:rPr>
                <w:rFonts w:hint="eastAsia" w:ascii="宋体" w:hAnsi="宋体" w:eastAsia="宋体" w:cs="宋体"/>
                <w:color w:val="auto"/>
                <w:kern w:val="0"/>
                <w:sz w:val="24"/>
                <w:highlight w:val="none"/>
                <w:lang w:eastAsia="zh-CN"/>
              </w:rPr>
              <w:t>最高得</w:t>
            </w:r>
            <w:r>
              <w:rPr>
                <w:rFonts w:hint="eastAsia" w:ascii="宋体" w:hAnsi="宋体" w:eastAsia="宋体" w:cs="宋体"/>
                <w:color w:val="auto"/>
                <w:kern w:val="0"/>
                <w:sz w:val="24"/>
                <w:highlight w:val="none"/>
                <w:lang w:val="en-US" w:eastAsia="zh-CN"/>
              </w:rPr>
              <w:t>2分</w:t>
            </w:r>
            <w:r>
              <w:rPr>
                <w:rFonts w:hint="eastAsia" w:ascii="宋体" w:hAnsi="宋体" w:eastAsia="宋体" w:cs="宋体"/>
                <w:color w:val="auto"/>
                <w:kern w:val="0"/>
                <w:sz w:val="24"/>
                <w:highlight w:val="none"/>
              </w:rPr>
              <w:t>，不符合不得分；此项最高8分。</w:t>
            </w:r>
          </w:p>
        </w:tc>
        <w:tc>
          <w:tcPr>
            <w:tcW w:w="706" w:type="dxa"/>
            <w:vAlign w:val="center"/>
          </w:tcPr>
          <w:p w14:paraId="088D49A2">
            <w:pPr>
              <w:snapToGrid w:val="0"/>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0-8</w:t>
            </w:r>
          </w:p>
        </w:tc>
        <w:tc>
          <w:tcPr>
            <w:tcW w:w="975" w:type="dxa"/>
            <w:vAlign w:val="center"/>
          </w:tcPr>
          <w:p w14:paraId="31A57A2B">
            <w:pPr>
              <w:snapToGrid w:val="0"/>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w:t>
            </w:r>
          </w:p>
        </w:tc>
        <w:tc>
          <w:tcPr>
            <w:tcW w:w="1612" w:type="dxa"/>
            <w:vAlign w:val="center"/>
          </w:tcPr>
          <w:p w14:paraId="30C0E789">
            <w:pPr>
              <w:snapToGrid w:val="0"/>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秩序管理</w:t>
            </w:r>
          </w:p>
        </w:tc>
      </w:tr>
      <w:tr w14:paraId="685C3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690" w:type="dxa"/>
            <w:vAlign w:val="center"/>
          </w:tcPr>
          <w:p w14:paraId="4C245311">
            <w:pPr>
              <w:snapToGrid w:val="0"/>
              <w:spacing w:line="360" w:lineRule="exact"/>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1</w:t>
            </w:r>
            <w:r>
              <w:rPr>
                <w:rFonts w:hint="eastAsia" w:ascii="宋体" w:hAnsi="宋体" w:cs="宋体"/>
                <w:color w:val="auto"/>
                <w:kern w:val="0"/>
                <w:sz w:val="24"/>
                <w:highlight w:val="none"/>
                <w:lang w:val="en-US" w:eastAsia="zh-CN"/>
              </w:rPr>
              <w:t>2</w:t>
            </w:r>
          </w:p>
        </w:tc>
        <w:tc>
          <w:tcPr>
            <w:tcW w:w="5121" w:type="dxa"/>
            <w:vAlign w:val="center"/>
          </w:tcPr>
          <w:p w14:paraId="3EB89E53">
            <w:pPr>
              <w:snapToGrid w:val="0"/>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针对本项目提出的工程维修实施方案有①日常零星维修方案；②急修处理方案③周末、节假日维修工作的保障方案。方案根据服务区域内实际情况设计，能满足服务质量标准</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符合1项</w:t>
            </w:r>
            <w:r>
              <w:rPr>
                <w:rFonts w:hint="eastAsia" w:ascii="宋体" w:hAnsi="宋体" w:eastAsia="宋体" w:cs="宋体"/>
                <w:color w:val="auto"/>
                <w:kern w:val="0"/>
                <w:sz w:val="24"/>
                <w:highlight w:val="none"/>
                <w:lang w:eastAsia="zh-CN"/>
              </w:rPr>
              <w:t>最高得</w:t>
            </w:r>
            <w:r>
              <w:rPr>
                <w:rFonts w:hint="eastAsia" w:ascii="宋体" w:hAnsi="宋体" w:eastAsia="宋体" w:cs="宋体"/>
                <w:color w:val="auto"/>
                <w:kern w:val="0"/>
                <w:sz w:val="24"/>
                <w:highlight w:val="none"/>
                <w:lang w:val="en-US" w:eastAsia="zh-CN"/>
              </w:rPr>
              <w:t>2分</w:t>
            </w:r>
            <w:r>
              <w:rPr>
                <w:rFonts w:hint="eastAsia" w:ascii="宋体" w:hAnsi="宋体" w:eastAsia="宋体" w:cs="宋体"/>
                <w:color w:val="auto"/>
                <w:kern w:val="0"/>
                <w:sz w:val="24"/>
                <w:highlight w:val="none"/>
              </w:rPr>
              <w:t>，不符合不得分；此项最高6分。</w:t>
            </w:r>
          </w:p>
        </w:tc>
        <w:tc>
          <w:tcPr>
            <w:tcW w:w="706" w:type="dxa"/>
            <w:vAlign w:val="center"/>
          </w:tcPr>
          <w:p w14:paraId="273C939C">
            <w:pPr>
              <w:snapToGrid w:val="0"/>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0-6</w:t>
            </w:r>
          </w:p>
        </w:tc>
        <w:tc>
          <w:tcPr>
            <w:tcW w:w="975" w:type="dxa"/>
            <w:vAlign w:val="center"/>
          </w:tcPr>
          <w:p w14:paraId="0A36C32D">
            <w:pPr>
              <w:snapToGrid w:val="0"/>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w:t>
            </w:r>
          </w:p>
        </w:tc>
        <w:tc>
          <w:tcPr>
            <w:tcW w:w="1612" w:type="dxa"/>
            <w:vAlign w:val="center"/>
          </w:tcPr>
          <w:p w14:paraId="65CDFA6D">
            <w:pPr>
              <w:snapToGrid w:val="0"/>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工程维修</w:t>
            </w:r>
          </w:p>
        </w:tc>
      </w:tr>
      <w:tr w14:paraId="4A576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690" w:type="dxa"/>
            <w:vAlign w:val="center"/>
          </w:tcPr>
          <w:p w14:paraId="4DB0A760">
            <w:pPr>
              <w:snapToGrid w:val="0"/>
              <w:spacing w:line="360" w:lineRule="exact"/>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1</w:t>
            </w:r>
            <w:r>
              <w:rPr>
                <w:rFonts w:hint="eastAsia" w:ascii="宋体" w:hAnsi="宋体" w:cs="宋体"/>
                <w:color w:val="auto"/>
                <w:kern w:val="0"/>
                <w:sz w:val="24"/>
                <w:highlight w:val="none"/>
                <w:lang w:val="en-US" w:eastAsia="zh-CN"/>
              </w:rPr>
              <w:t>3</w:t>
            </w:r>
          </w:p>
        </w:tc>
        <w:tc>
          <w:tcPr>
            <w:tcW w:w="5121" w:type="dxa"/>
            <w:vAlign w:val="center"/>
          </w:tcPr>
          <w:p w14:paraId="373E8995">
            <w:pPr>
              <w:snapToGrid w:val="0"/>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针对本项目</w:t>
            </w:r>
            <w:r>
              <w:rPr>
                <w:rFonts w:hint="eastAsia" w:ascii="宋体" w:hAnsi="宋体" w:cs="宋体"/>
                <w:color w:val="auto"/>
                <w:kern w:val="0"/>
                <w:sz w:val="24"/>
                <w:highlight w:val="none"/>
                <w:lang w:eastAsia="zh-CN"/>
              </w:rPr>
              <w:t>提出的绿化养护方案有</w:t>
            </w:r>
            <w:r>
              <w:rPr>
                <w:rFonts w:hint="eastAsia" w:ascii="宋体" w:hAnsi="宋体" w:eastAsia="宋体" w:cs="宋体"/>
                <w:color w:val="auto"/>
                <w:kern w:val="0"/>
                <w:sz w:val="24"/>
                <w:highlight w:val="none"/>
              </w:rPr>
              <w:t>①树木、花草、色块等的日常养护和管理及周边绿化的养护；②绿化应急处理、虫害的防治方法等。方案根据服务区域内实际情况设计，能满足服务质量标准</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符合1项</w:t>
            </w:r>
            <w:r>
              <w:rPr>
                <w:rFonts w:hint="eastAsia" w:ascii="宋体" w:hAnsi="宋体" w:eastAsia="宋体" w:cs="宋体"/>
                <w:color w:val="auto"/>
                <w:kern w:val="0"/>
                <w:sz w:val="24"/>
                <w:highlight w:val="none"/>
                <w:lang w:eastAsia="zh-CN"/>
              </w:rPr>
              <w:t>最高得</w:t>
            </w:r>
            <w:r>
              <w:rPr>
                <w:rFonts w:hint="eastAsia" w:ascii="宋体" w:hAnsi="宋体" w:eastAsia="宋体" w:cs="宋体"/>
                <w:color w:val="auto"/>
                <w:kern w:val="0"/>
                <w:sz w:val="24"/>
                <w:highlight w:val="none"/>
                <w:lang w:val="en-US" w:eastAsia="zh-CN"/>
              </w:rPr>
              <w:t>2分</w:t>
            </w:r>
            <w:r>
              <w:rPr>
                <w:rFonts w:hint="eastAsia" w:ascii="宋体" w:hAnsi="宋体" w:eastAsia="宋体" w:cs="宋体"/>
                <w:color w:val="auto"/>
                <w:kern w:val="0"/>
                <w:sz w:val="24"/>
                <w:highlight w:val="none"/>
              </w:rPr>
              <w:t>，不符合不得分；此项最高4分。</w:t>
            </w:r>
          </w:p>
        </w:tc>
        <w:tc>
          <w:tcPr>
            <w:tcW w:w="706" w:type="dxa"/>
            <w:vAlign w:val="center"/>
          </w:tcPr>
          <w:p w14:paraId="7B75FD87">
            <w:pPr>
              <w:snapToGrid w:val="0"/>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0-4</w:t>
            </w:r>
          </w:p>
        </w:tc>
        <w:tc>
          <w:tcPr>
            <w:tcW w:w="975" w:type="dxa"/>
            <w:vAlign w:val="center"/>
          </w:tcPr>
          <w:p w14:paraId="2D8E42B6">
            <w:pPr>
              <w:snapToGrid w:val="0"/>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w:t>
            </w:r>
          </w:p>
        </w:tc>
        <w:tc>
          <w:tcPr>
            <w:tcW w:w="1612" w:type="dxa"/>
            <w:vAlign w:val="center"/>
          </w:tcPr>
          <w:p w14:paraId="4E4D1FD8">
            <w:pPr>
              <w:snapToGrid w:val="0"/>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绿化养护</w:t>
            </w:r>
          </w:p>
        </w:tc>
      </w:tr>
      <w:tr w14:paraId="7465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690" w:type="dxa"/>
            <w:vAlign w:val="center"/>
          </w:tcPr>
          <w:p w14:paraId="01C600D5">
            <w:pPr>
              <w:snapToGrid w:val="0"/>
              <w:spacing w:line="360" w:lineRule="exact"/>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1</w:t>
            </w:r>
            <w:r>
              <w:rPr>
                <w:rFonts w:hint="eastAsia" w:ascii="宋体" w:hAnsi="宋体" w:cs="宋体"/>
                <w:color w:val="auto"/>
                <w:kern w:val="0"/>
                <w:sz w:val="24"/>
                <w:highlight w:val="none"/>
                <w:lang w:val="en-US" w:eastAsia="zh-CN"/>
              </w:rPr>
              <w:t>4</w:t>
            </w:r>
          </w:p>
        </w:tc>
        <w:tc>
          <w:tcPr>
            <w:tcW w:w="5121" w:type="dxa"/>
            <w:vAlign w:val="center"/>
          </w:tcPr>
          <w:p w14:paraId="5FD40FA6">
            <w:pPr>
              <w:snapToGrid w:val="0"/>
              <w:spacing w:line="360" w:lineRule="exac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结合项目实际情况，具有</w:t>
            </w:r>
            <w:r>
              <w:rPr>
                <w:rFonts w:hint="eastAsia" w:ascii="宋体" w:hAnsi="宋体" w:cs="宋体"/>
                <w:color w:val="auto"/>
                <w:kern w:val="0"/>
                <w:sz w:val="24"/>
                <w:highlight w:val="none"/>
                <w:lang w:eastAsia="zh-CN"/>
              </w:rPr>
              <w:t>科学性</w:t>
            </w:r>
            <w:r>
              <w:rPr>
                <w:rFonts w:hint="eastAsia" w:ascii="宋体" w:hAnsi="宋体" w:eastAsia="宋体" w:cs="宋体"/>
                <w:color w:val="auto"/>
                <w:kern w:val="0"/>
                <w:sz w:val="24"/>
                <w:highlight w:val="none"/>
              </w:rPr>
              <w:t>、有</w:t>
            </w:r>
            <w:r>
              <w:rPr>
                <w:rFonts w:hint="eastAsia" w:ascii="宋体" w:hAnsi="宋体" w:cs="宋体"/>
                <w:color w:val="auto"/>
                <w:kern w:val="0"/>
                <w:sz w:val="24"/>
                <w:highlight w:val="none"/>
                <w:lang w:eastAsia="zh-CN"/>
              </w:rPr>
              <w:t>针对性</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val="en-US" w:eastAsia="zh-CN"/>
              </w:rPr>
              <w:t>提质提价</w:t>
            </w:r>
            <w:r>
              <w:rPr>
                <w:rFonts w:hint="eastAsia" w:ascii="宋体" w:hAnsi="宋体" w:eastAsia="宋体" w:cs="宋体"/>
                <w:color w:val="auto"/>
                <w:kern w:val="0"/>
                <w:sz w:val="24"/>
                <w:highlight w:val="none"/>
              </w:rPr>
              <w:t>方案。方案根据服务区域内实际情况设计，能满足服务质量标准</w:t>
            </w:r>
            <w:r>
              <w:rPr>
                <w:rFonts w:hint="eastAsia" w:ascii="宋体" w:hAnsi="宋体" w:eastAsia="宋体" w:cs="宋体"/>
                <w:color w:val="auto"/>
                <w:kern w:val="0"/>
                <w:sz w:val="24"/>
                <w:highlight w:val="none"/>
                <w:lang w:eastAsia="zh-CN"/>
              </w:rPr>
              <w:t>，方案符合且有可实施性的</w:t>
            </w:r>
            <w:r>
              <w:rPr>
                <w:rFonts w:hint="eastAsia" w:ascii="宋体" w:hAnsi="宋体" w:eastAsia="宋体" w:cs="宋体"/>
                <w:color w:val="auto"/>
                <w:kern w:val="0"/>
                <w:sz w:val="24"/>
                <w:highlight w:val="none"/>
              </w:rPr>
              <w:t>得</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分，</w:t>
            </w:r>
            <w:r>
              <w:rPr>
                <w:rFonts w:hint="eastAsia" w:ascii="宋体" w:hAnsi="宋体" w:cs="宋体"/>
                <w:color w:val="auto"/>
                <w:kern w:val="0"/>
                <w:sz w:val="24"/>
                <w:highlight w:val="none"/>
                <w:lang w:eastAsia="zh-CN"/>
              </w:rPr>
              <w:t>方案基本符合得</w:t>
            </w:r>
            <w:r>
              <w:rPr>
                <w:rFonts w:hint="eastAsia" w:ascii="宋体" w:hAnsi="宋体" w:cs="宋体"/>
                <w:color w:val="auto"/>
                <w:kern w:val="0"/>
                <w:sz w:val="24"/>
                <w:highlight w:val="none"/>
                <w:lang w:val="en-US" w:eastAsia="zh-CN"/>
              </w:rPr>
              <w:t>2分，</w:t>
            </w:r>
            <w:r>
              <w:rPr>
                <w:rFonts w:hint="eastAsia" w:ascii="宋体" w:hAnsi="宋体" w:cs="宋体"/>
                <w:color w:val="auto"/>
                <w:kern w:val="0"/>
                <w:sz w:val="24"/>
                <w:highlight w:val="none"/>
                <w:lang w:eastAsia="zh-CN"/>
              </w:rPr>
              <w:t>部分符合得</w:t>
            </w:r>
            <w:r>
              <w:rPr>
                <w:rFonts w:hint="eastAsia" w:ascii="宋体" w:hAnsi="宋体" w:cs="宋体"/>
                <w:color w:val="auto"/>
                <w:kern w:val="0"/>
                <w:sz w:val="24"/>
                <w:highlight w:val="none"/>
                <w:lang w:val="en-US" w:eastAsia="zh-CN"/>
              </w:rPr>
              <w:t>1分，不符合</w:t>
            </w:r>
            <w:r>
              <w:rPr>
                <w:rFonts w:hint="eastAsia" w:ascii="宋体" w:hAnsi="宋体" w:cs="宋体"/>
                <w:color w:val="auto"/>
                <w:kern w:val="0"/>
                <w:sz w:val="24"/>
                <w:highlight w:val="none"/>
                <w:lang w:eastAsia="zh-CN"/>
              </w:rPr>
              <w:t>或者不提供的</w:t>
            </w:r>
            <w:r>
              <w:rPr>
                <w:rFonts w:hint="eastAsia" w:ascii="宋体" w:hAnsi="宋体" w:eastAsia="宋体" w:cs="宋体"/>
                <w:color w:val="auto"/>
                <w:kern w:val="0"/>
                <w:sz w:val="24"/>
                <w:highlight w:val="none"/>
              </w:rPr>
              <w:t>不得分。 本项最高得</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分。</w:t>
            </w:r>
          </w:p>
        </w:tc>
        <w:tc>
          <w:tcPr>
            <w:tcW w:w="706" w:type="dxa"/>
            <w:vAlign w:val="center"/>
          </w:tcPr>
          <w:p w14:paraId="0E962326">
            <w:pPr>
              <w:snapToGrid w:val="0"/>
              <w:spacing w:line="360" w:lineRule="exact"/>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0-</w:t>
            </w:r>
            <w:r>
              <w:rPr>
                <w:rFonts w:hint="eastAsia" w:ascii="宋体" w:hAnsi="宋体" w:cs="宋体"/>
                <w:color w:val="auto"/>
                <w:kern w:val="0"/>
                <w:sz w:val="24"/>
                <w:highlight w:val="none"/>
                <w:lang w:val="en-US" w:eastAsia="zh-CN"/>
              </w:rPr>
              <w:t>3</w:t>
            </w:r>
          </w:p>
        </w:tc>
        <w:tc>
          <w:tcPr>
            <w:tcW w:w="975" w:type="dxa"/>
            <w:vAlign w:val="center"/>
          </w:tcPr>
          <w:p w14:paraId="3F0A077A">
            <w:pPr>
              <w:snapToGrid w:val="0"/>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w:t>
            </w:r>
          </w:p>
        </w:tc>
        <w:tc>
          <w:tcPr>
            <w:tcW w:w="1612" w:type="dxa"/>
            <w:vAlign w:val="center"/>
          </w:tcPr>
          <w:p w14:paraId="3CCD37C3">
            <w:pPr>
              <w:snapToGrid w:val="0"/>
              <w:spacing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提质提价</w:t>
            </w:r>
          </w:p>
        </w:tc>
      </w:tr>
      <w:tr w14:paraId="7BF64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690" w:type="dxa"/>
            <w:vAlign w:val="center"/>
          </w:tcPr>
          <w:p w14:paraId="266F95ED">
            <w:pPr>
              <w:snapToGrid w:val="0"/>
              <w:spacing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15</w:t>
            </w:r>
          </w:p>
        </w:tc>
        <w:tc>
          <w:tcPr>
            <w:tcW w:w="5121" w:type="dxa"/>
            <w:vAlign w:val="center"/>
          </w:tcPr>
          <w:p w14:paraId="64A6F2D0">
            <w:pPr>
              <w:snapToGrid w:val="0"/>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结合项目实际情况，具有定制化的、有特色的</w:t>
            </w:r>
            <w:r>
              <w:rPr>
                <w:rFonts w:hint="eastAsia" w:ascii="宋体" w:hAnsi="宋体" w:eastAsia="宋体" w:cs="宋体"/>
                <w:color w:val="auto"/>
                <w:kern w:val="0"/>
                <w:sz w:val="24"/>
                <w:highlight w:val="none"/>
                <w:lang w:val="en-US" w:eastAsia="zh-CN"/>
              </w:rPr>
              <w:t>品质小区</w:t>
            </w:r>
            <w:r>
              <w:rPr>
                <w:rFonts w:hint="eastAsia" w:ascii="宋体" w:hAnsi="宋体" w:cs="宋体"/>
                <w:color w:val="auto"/>
                <w:kern w:val="0"/>
                <w:sz w:val="24"/>
                <w:highlight w:val="none"/>
                <w:lang w:val="en-US" w:eastAsia="zh-CN"/>
              </w:rPr>
              <w:t>建设</w:t>
            </w:r>
            <w:r>
              <w:rPr>
                <w:rFonts w:hint="eastAsia" w:ascii="宋体" w:hAnsi="宋体" w:eastAsia="宋体" w:cs="宋体"/>
                <w:color w:val="auto"/>
                <w:kern w:val="0"/>
                <w:sz w:val="24"/>
                <w:highlight w:val="none"/>
              </w:rPr>
              <w:t>方案</w:t>
            </w:r>
            <w:r>
              <w:rPr>
                <w:rFonts w:hint="eastAsia" w:ascii="宋体" w:hAnsi="宋体" w:eastAsia="宋体" w:cs="宋体"/>
                <w:color w:val="auto"/>
                <w:kern w:val="0"/>
                <w:sz w:val="24"/>
                <w:highlight w:val="none"/>
                <w:lang w:eastAsia="zh-CN"/>
              </w:rPr>
              <w:t>。方案</w:t>
            </w:r>
            <w:r>
              <w:rPr>
                <w:rFonts w:hint="eastAsia" w:ascii="宋体" w:hAnsi="宋体" w:eastAsia="宋体" w:cs="宋体"/>
                <w:color w:val="auto"/>
                <w:kern w:val="0"/>
                <w:sz w:val="24"/>
                <w:highlight w:val="none"/>
              </w:rPr>
              <w:t>特色鲜明亮点突出适合</w:t>
            </w:r>
            <w:r>
              <w:rPr>
                <w:rFonts w:hint="eastAsia" w:ascii="宋体" w:hAnsi="宋体" w:eastAsia="宋体" w:cs="宋体"/>
                <w:color w:val="auto"/>
                <w:kern w:val="0"/>
                <w:sz w:val="24"/>
                <w:highlight w:val="none"/>
                <w:lang w:eastAsia="zh-CN"/>
              </w:rPr>
              <w:t>社区住宅</w:t>
            </w:r>
            <w:r>
              <w:rPr>
                <w:rFonts w:hint="eastAsia" w:ascii="宋体" w:hAnsi="宋体" w:eastAsia="宋体" w:cs="宋体"/>
                <w:color w:val="auto"/>
                <w:kern w:val="0"/>
                <w:sz w:val="24"/>
                <w:highlight w:val="none"/>
              </w:rPr>
              <w:t>类</w:t>
            </w:r>
            <w:r>
              <w:rPr>
                <w:rFonts w:hint="eastAsia" w:ascii="宋体" w:hAnsi="宋体" w:eastAsia="宋体" w:cs="宋体"/>
                <w:color w:val="auto"/>
                <w:kern w:val="0"/>
                <w:sz w:val="24"/>
                <w:highlight w:val="none"/>
                <w:lang w:eastAsia="zh-CN"/>
              </w:rPr>
              <w:t>的得</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分，</w:t>
            </w:r>
            <w:r>
              <w:rPr>
                <w:rFonts w:hint="eastAsia" w:ascii="宋体" w:hAnsi="宋体" w:eastAsia="宋体" w:cs="宋体"/>
                <w:color w:val="auto"/>
                <w:kern w:val="0"/>
                <w:sz w:val="24"/>
                <w:highlight w:val="none"/>
              </w:rPr>
              <w:t>有特色鲜明亮点突出的得</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rPr>
              <w:t>分，特色亮点一般得</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分，无特色亮点</w:t>
            </w:r>
            <w:r>
              <w:rPr>
                <w:rFonts w:hint="eastAsia" w:ascii="宋体" w:hAnsi="宋体" w:eastAsia="宋体" w:cs="宋体"/>
                <w:color w:val="auto"/>
                <w:kern w:val="0"/>
                <w:sz w:val="24"/>
                <w:highlight w:val="none"/>
                <w:lang w:eastAsia="zh-CN"/>
              </w:rPr>
              <w:t>或者不提供的</w:t>
            </w:r>
            <w:r>
              <w:rPr>
                <w:rFonts w:hint="eastAsia" w:ascii="宋体" w:hAnsi="宋体" w:eastAsia="宋体" w:cs="宋体"/>
                <w:color w:val="auto"/>
                <w:kern w:val="0"/>
                <w:sz w:val="24"/>
                <w:highlight w:val="none"/>
              </w:rPr>
              <w:t>不得分。 本项最高得</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分。</w:t>
            </w:r>
          </w:p>
        </w:tc>
        <w:tc>
          <w:tcPr>
            <w:tcW w:w="706" w:type="dxa"/>
            <w:vAlign w:val="center"/>
          </w:tcPr>
          <w:p w14:paraId="43EE5D1C">
            <w:pPr>
              <w:snapToGrid w:val="0"/>
              <w:spacing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0-3</w:t>
            </w:r>
          </w:p>
        </w:tc>
        <w:tc>
          <w:tcPr>
            <w:tcW w:w="975" w:type="dxa"/>
            <w:vAlign w:val="center"/>
          </w:tcPr>
          <w:p w14:paraId="03BA4A33">
            <w:pPr>
              <w:snapToGrid w:val="0"/>
              <w:spacing w:line="360" w:lineRule="exact"/>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主观</w:t>
            </w:r>
          </w:p>
        </w:tc>
        <w:tc>
          <w:tcPr>
            <w:tcW w:w="1612" w:type="dxa"/>
            <w:vAlign w:val="center"/>
          </w:tcPr>
          <w:p w14:paraId="34A8F041">
            <w:pPr>
              <w:snapToGrid w:val="0"/>
              <w:spacing w:line="360" w:lineRule="exact"/>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特色方案</w:t>
            </w:r>
          </w:p>
        </w:tc>
      </w:tr>
      <w:tr w14:paraId="5D74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2EAC77C6">
            <w:pPr>
              <w:snapToGrid w:val="0"/>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16</w:t>
            </w:r>
          </w:p>
        </w:tc>
        <w:tc>
          <w:tcPr>
            <w:tcW w:w="5121" w:type="dxa"/>
            <w:vAlign w:val="center"/>
          </w:tcPr>
          <w:p w14:paraId="205D657B">
            <w:pPr>
              <w:snapToGrid w:val="0"/>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提供过渡计划实施方案：①企业进、出场交接计划措施；②平稳过渡实施方案等相关措施；③硬件方面（人员、场地、设备等）全部配备到位。从完整性、合理性、可行性方面进行评分，能满足服务质量标准</w:t>
            </w:r>
            <w:r>
              <w:rPr>
                <w:rFonts w:hint="eastAsia" w:ascii="宋体" w:hAnsi="宋体" w:cs="宋体"/>
                <w:color w:val="auto"/>
                <w:kern w:val="0"/>
                <w:sz w:val="24"/>
                <w:highlight w:val="none"/>
                <w:lang w:eastAsia="zh-CN"/>
              </w:rPr>
              <w:t>的每项</w:t>
            </w:r>
            <w:r>
              <w:rPr>
                <w:rFonts w:hint="eastAsia" w:ascii="宋体" w:hAnsi="宋体" w:eastAsia="宋体" w:cs="宋体"/>
                <w:color w:val="auto"/>
                <w:kern w:val="0"/>
                <w:sz w:val="24"/>
                <w:highlight w:val="none"/>
              </w:rPr>
              <w:t>得</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rPr>
              <w:t>分，部分符合</w:t>
            </w:r>
            <w:r>
              <w:rPr>
                <w:rFonts w:hint="eastAsia" w:ascii="宋体" w:hAnsi="宋体" w:cs="宋体"/>
                <w:color w:val="auto"/>
                <w:kern w:val="0"/>
                <w:sz w:val="24"/>
                <w:highlight w:val="none"/>
                <w:lang w:eastAsia="zh-CN"/>
              </w:rPr>
              <w:t>每项</w:t>
            </w:r>
            <w:r>
              <w:rPr>
                <w:rFonts w:hint="eastAsia" w:ascii="宋体" w:hAnsi="宋体" w:eastAsia="宋体" w:cs="宋体"/>
                <w:color w:val="auto"/>
                <w:kern w:val="0"/>
                <w:sz w:val="24"/>
                <w:highlight w:val="none"/>
              </w:rPr>
              <w:t>得</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分，不符合不得分。 本项最高得</w:t>
            </w:r>
            <w:r>
              <w:rPr>
                <w:rFonts w:hint="eastAsia" w:ascii="宋体" w:hAnsi="宋体" w:cs="宋体"/>
                <w:color w:val="auto"/>
                <w:kern w:val="0"/>
                <w:sz w:val="24"/>
                <w:highlight w:val="none"/>
                <w:lang w:val="en-US" w:eastAsia="zh-CN"/>
              </w:rPr>
              <w:t>6</w:t>
            </w:r>
            <w:r>
              <w:rPr>
                <w:rFonts w:hint="eastAsia" w:ascii="宋体" w:hAnsi="宋体" w:eastAsia="宋体" w:cs="宋体"/>
                <w:color w:val="auto"/>
                <w:kern w:val="0"/>
                <w:sz w:val="24"/>
                <w:highlight w:val="none"/>
              </w:rPr>
              <w:t>分。</w:t>
            </w:r>
          </w:p>
        </w:tc>
        <w:tc>
          <w:tcPr>
            <w:tcW w:w="706" w:type="dxa"/>
            <w:vAlign w:val="center"/>
          </w:tcPr>
          <w:p w14:paraId="6761414E">
            <w:pPr>
              <w:snapToGrid w:val="0"/>
              <w:spacing w:line="360" w:lineRule="exact"/>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0-</w:t>
            </w:r>
            <w:r>
              <w:rPr>
                <w:rFonts w:hint="eastAsia" w:ascii="宋体" w:hAnsi="宋体" w:cs="宋体"/>
                <w:color w:val="auto"/>
                <w:kern w:val="0"/>
                <w:sz w:val="24"/>
                <w:highlight w:val="none"/>
                <w:lang w:val="en-US" w:eastAsia="zh-CN"/>
              </w:rPr>
              <w:t>6</w:t>
            </w:r>
          </w:p>
        </w:tc>
        <w:tc>
          <w:tcPr>
            <w:tcW w:w="975" w:type="dxa"/>
            <w:vAlign w:val="center"/>
          </w:tcPr>
          <w:p w14:paraId="0EF4D788">
            <w:pPr>
              <w:snapToGrid w:val="0"/>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w:t>
            </w:r>
          </w:p>
        </w:tc>
        <w:tc>
          <w:tcPr>
            <w:tcW w:w="1612" w:type="dxa"/>
            <w:vAlign w:val="center"/>
          </w:tcPr>
          <w:p w14:paraId="24809CA2">
            <w:pPr>
              <w:snapToGrid w:val="0"/>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平稳过渡</w:t>
            </w:r>
          </w:p>
        </w:tc>
      </w:tr>
      <w:tr w14:paraId="49A31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70E4B379">
            <w:pPr>
              <w:snapToGrid w:val="0"/>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17</w:t>
            </w:r>
          </w:p>
        </w:tc>
        <w:tc>
          <w:tcPr>
            <w:tcW w:w="5121" w:type="dxa"/>
            <w:vAlign w:val="center"/>
          </w:tcPr>
          <w:p w14:paraId="418A7FB0">
            <w:pPr>
              <w:snapToGrid w:val="0"/>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评标委员会根据供应商的拟投入本项目的人员配置情况进行评议：</w:t>
            </w:r>
          </w:p>
          <w:p w14:paraId="0A4DFA27">
            <w:pPr>
              <w:snapToGrid w:val="0"/>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1、项目经理（0-</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分）：</w:t>
            </w:r>
          </w:p>
          <w:p w14:paraId="1B9380A9">
            <w:pPr>
              <w:snapToGrid w:val="0"/>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A、年龄50周岁及以下得</w:t>
            </w:r>
            <w:r>
              <w:rPr>
                <w:rFonts w:hint="eastAsia" w:ascii="宋体" w:hAnsi="宋体" w:cs="宋体"/>
                <w:color w:val="auto"/>
                <w:kern w:val="0"/>
                <w:sz w:val="24"/>
                <w:highlight w:val="none"/>
                <w:lang w:val="en-US" w:eastAsia="zh-CN"/>
              </w:rPr>
              <w:t>0.5</w:t>
            </w:r>
            <w:r>
              <w:rPr>
                <w:rFonts w:hint="eastAsia" w:ascii="宋体" w:hAnsi="宋体" w:eastAsia="宋体" w:cs="宋体"/>
                <w:color w:val="auto"/>
                <w:kern w:val="0"/>
                <w:sz w:val="24"/>
                <w:highlight w:val="none"/>
              </w:rPr>
              <w:t>分；具有本科及以上学历得</w:t>
            </w:r>
            <w:r>
              <w:rPr>
                <w:rFonts w:hint="eastAsia" w:ascii="宋体" w:hAnsi="宋体" w:cs="宋体"/>
                <w:color w:val="auto"/>
                <w:kern w:val="0"/>
                <w:sz w:val="24"/>
                <w:highlight w:val="none"/>
                <w:lang w:val="en-US" w:eastAsia="zh-CN"/>
              </w:rPr>
              <w:t>0.5</w:t>
            </w:r>
            <w:r>
              <w:rPr>
                <w:rFonts w:hint="eastAsia" w:ascii="宋体" w:hAnsi="宋体" w:eastAsia="宋体" w:cs="宋体"/>
                <w:color w:val="auto"/>
                <w:kern w:val="0"/>
                <w:sz w:val="24"/>
                <w:highlight w:val="none"/>
              </w:rPr>
              <w:t>分；</w:t>
            </w:r>
          </w:p>
          <w:p w14:paraId="7F5E2041">
            <w:pPr>
              <w:snapToGrid w:val="0"/>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B、具有</w:t>
            </w:r>
            <w:r>
              <w:rPr>
                <w:rFonts w:hint="eastAsia" w:ascii="宋体" w:hAnsi="宋体" w:eastAsia="宋体" w:cs="宋体"/>
                <w:color w:val="auto"/>
                <w:kern w:val="0"/>
                <w:sz w:val="24"/>
                <w:highlight w:val="none"/>
                <w:lang w:val="en-US" w:eastAsia="zh-CN"/>
              </w:rPr>
              <w:t>人社发的</w:t>
            </w:r>
            <w:r>
              <w:rPr>
                <w:rFonts w:hint="eastAsia" w:ascii="宋体" w:hAnsi="宋体" w:cs="宋体"/>
                <w:color w:val="auto"/>
                <w:kern w:val="0"/>
                <w:sz w:val="24"/>
                <w:highlight w:val="none"/>
                <w:lang w:val="en-US" w:eastAsia="zh-CN"/>
              </w:rPr>
              <w:t>助理</w:t>
            </w:r>
            <w:r>
              <w:rPr>
                <w:rFonts w:hint="eastAsia" w:ascii="宋体" w:hAnsi="宋体" w:eastAsia="宋体" w:cs="宋体"/>
                <w:color w:val="auto"/>
                <w:kern w:val="0"/>
                <w:sz w:val="24"/>
                <w:highlight w:val="none"/>
                <w:lang w:val="en-US" w:eastAsia="zh-CN"/>
              </w:rPr>
              <w:t>工程师</w:t>
            </w:r>
            <w:r>
              <w:rPr>
                <w:rFonts w:hint="eastAsia" w:ascii="宋体" w:hAnsi="宋体" w:cs="宋体"/>
                <w:color w:val="auto"/>
                <w:kern w:val="0"/>
                <w:sz w:val="24"/>
                <w:highlight w:val="none"/>
                <w:lang w:val="en-US" w:eastAsia="zh-CN"/>
              </w:rPr>
              <w:t>及以上证书</w:t>
            </w:r>
            <w:r>
              <w:rPr>
                <w:rFonts w:hint="eastAsia" w:ascii="宋体" w:hAnsi="宋体" w:eastAsia="宋体" w:cs="宋体"/>
                <w:color w:val="auto"/>
                <w:kern w:val="0"/>
                <w:sz w:val="24"/>
                <w:highlight w:val="none"/>
              </w:rPr>
              <w:t>，得</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分；</w:t>
            </w:r>
          </w:p>
          <w:p w14:paraId="363B95C3">
            <w:pPr>
              <w:snapToGrid w:val="0"/>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C、</w:t>
            </w:r>
            <w:r>
              <w:rPr>
                <w:rFonts w:hint="eastAsia" w:ascii="宋体" w:hAnsi="宋体" w:cs="宋体"/>
                <w:color w:val="auto"/>
                <w:kern w:val="0"/>
                <w:sz w:val="24"/>
                <w:highlight w:val="none"/>
                <w:lang w:eastAsia="zh-CN"/>
              </w:rPr>
              <w:t>具有</w:t>
            </w:r>
            <w:r>
              <w:rPr>
                <w:rFonts w:hint="eastAsia" w:ascii="宋体" w:hAnsi="宋体" w:cs="宋体"/>
                <w:color w:val="auto"/>
                <w:kern w:val="0"/>
                <w:sz w:val="24"/>
                <w:highlight w:val="none"/>
                <w:lang w:val="en-US" w:eastAsia="zh-CN"/>
              </w:rPr>
              <w:t>小区</w:t>
            </w:r>
            <w:r>
              <w:rPr>
                <w:rFonts w:hint="eastAsia" w:ascii="宋体" w:hAnsi="宋体" w:eastAsia="宋体" w:cs="宋体"/>
                <w:color w:val="auto"/>
                <w:sz w:val="24"/>
                <w:highlight w:val="none"/>
              </w:rPr>
              <w:t>物业管理经验</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年及以上得1分；</w:t>
            </w:r>
          </w:p>
          <w:p w14:paraId="59244E7C">
            <w:pPr>
              <w:snapToGrid w:val="0"/>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D、</w:t>
            </w:r>
            <w:r>
              <w:rPr>
                <w:rFonts w:hint="eastAsia" w:ascii="宋体" w:hAnsi="宋体" w:eastAsia="宋体" w:cs="宋体"/>
                <w:color w:val="auto"/>
                <w:kern w:val="0"/>
                <w:sz w:val="24"/>
                <w:highlight w:val="none"/>
              </w:rPr>
              <w:t>具有</w:t>
            </w:r>
            <w:bookmarkStart w:id="400" w:name="OLE_LINK5"/>
            <w:r>
              <w:rPr>
                <w:rFonts w:hint="eastAsia" w:ascii="宋体" w:hAnsi="宋体" w:eastAsia="宋体" w:cs="宋体"/>
                <w:color w:val="auto"/>
                <w:kern w:val="0"/>
                <w:sz w:val="24"/>
                <w:highlight w:val="none"/>
                <w:lang w:val="en-US" w:eastAsia="zh-CN"/>
              </w:rPr>
              <w:t>红十字救</w:t>
            </w:r>
            <w:r>
              <w:rPr>
                <w:rFonts w:hint="eastAsia" w:ascii="宋体" w:hAnsi="宋体" w:cs="宋体"/>
                <w:color w:val="auto"/>
                <w:kern w:val="0"/>
                <w:sz w:val="24"/>
                <w:highlight w:val="none"/>
                <w:lang w:val="en-US" w:eastAsia="zh-CN"/>
              </w:rPr>
              <w:t>护员</w:t>
            </w:r>
            <w:r>
              <w:rPr>
                <w:rFonts w:hint="eastAsia" w:ascii="宋体" w:hAnsi="宋体" w:eastAsia="宋体" w:cs="宋体"/>
                <w:color w:val="auto"/>
                <w:kern w:val="0"/>
                <w:sz w:val="24"/>
                <w:highlight w:val="none"/>
                <w:lang w:val="en-US" w:eastAsia="zh-CN"/>
              </w:rPr>
              <w:t>证</w:t>
            </w:r>
            <w:bookmarkEnd w:id="400"/>
            <w:r>
              <w:rPr>
                <w:rFonts w:hint="eastAsia" w:ascii="宋体" w:hAnsi="宋体" w:eastAsia="宋体" w:cs="宋体"/>
                <w:color w:val="auto"/>
                <w:kern w:val="0"/>
                <w:sz w:val="24"/>
                <w:highlight w:val="none"/>
              </w:rPr>
              <w:t>的得</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分；</w:t>
            </w:r>
          </w:p>
          <w:p w14:paraId="384B1DBE">
            <w:pPr>
              <w:snapToGrid w:val="0"/>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E、是中共党员的得</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分，提供党组织证明</w:t>
            </w:r>
            <w:r>
              <w:rPr>
                <w:rFonts w:hint="eastAsia" w:ascii="宋体" w:hAnsi="宋体" w:eastAsia="宋体" w:cs="宋体"/>
                <w:color w:val="auto"/>
                <w:kern w:val="0"/>
                <w:sz w:val="24"/>
                <w:highlight w:val="none"/>
              </w:rPr>
              <w:t>；</w:t>
            </w:r>
          </w:p>
          <w:p w14:paraId="2ED5B2B5">
            <w:pPr>
              <w:snapToGrid w:val="0"/>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2、工程</w:t>
            </w:r>
            <w:r>
              <w:rPr>
                <w:rFonts w:hint="eastAsia" w:ascii="宋体" w:hAnsi="宋体" w:eastAsia="宋体" w:cs="宋体"/>
                <w:color w:val="auto"/>
                <w:kern w:val="0"/>
                <w:sz w:val="24"/>
                <w:highlight w:val="none"/>
                <w:lang w:val="en-US" w:eastAsia="zh-CN"/>
              </w:rPr>
              <w:t>主管</w:t>
            </w:r>
            <w:r>
              <w:rPr>
                <w:rFonts w:hint="eastAsia" w:ascii="宋体" w:hAnsi="宋体" w:eastAsia="宋体" w:cs="宋体"/>
                <w:color w:val="auto"/>
                <w:kern w:val="0"/>
                <w:sz w:val="24"/>
                <w:highlight w:val="none"/>
              </w:rPr>
              <w:t>（0-</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分）</w:t>
            </w:r>
          </w:p>
          <w:p w14:paraId="60A51A95">
            <w:pPr>
              <w:snapToGrid w:val="0"/>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A、</w:t>
            </w:r>
            <w:r>
              <w:rPr>
                <w:rFonts w:hint="eastAsia" w:ascii="宋体" w:hAnsi="宋体" w:eastAsia="宋体" w:cs="宋体"/>
                <w:color w:val="auto"/>
                <w:kern w:val="0"/>
                <w:sz w:val="24"/>
                <w:highlight w:val="none"/>
                <w:lang w:val="en-US" w:eastAsia="zh-CN"/>
              </w:rPr>
              <w:t>年龄</w:t>
            </w:r>
            <w:r>
              <w:rPr>
                <w:rFonts w:hint="eastAsia" w:ascii="宋体" w:hAnsi="宋体" w:eastAsia="宋体" w:cs="宋体"/>
                <w:color w:val="auto"/>
                <w:kern w:val="0"/>
                <w:sz w:val="24"/>
                <w:highlight w:val="none"/>
              </w:rPr>
              <w:t>在</w:t>
            </w:r>
            <w:r>
              <w:rPr>
                <w:rFonts w:hint="eastAsia" w:ascii="宋体" w:hAnsi="宋体" w:eastAsia="宋体" w:cs="宋体"/>
                <w:color w:val="auto"/>
                <w:kern w:val="0"/>
                <w:sz w:val="24"/>
                <w:highlight w:val="none"/>
                <w:lang w:val="en-US" w:eastAsia="zh-CN"/>
              </w:rPr>
              <w:t>45</w:t>
            </w:r>
            <w:r>
              <w:rPr>
                <w:rFonts w:hint="eastAsia" w:ascii="宋体" w:hAnsi="宋体" w:eastAsia="宋体" w:cs="宋体"/>
                <w:color w:val="auto"/>
                <w:kern w:val="0"/>
                <w:sz w:val="24"/>
                <w:highlight w:val="none"/>
              </w:rPr>
              <w:t>周岁及以下得</w:t>
            </w:r>
            <w:r>
              <w:rPr>
                <w:rFonts w:hint="eastAsia" w:ascii="宋体" w:hAnsi="宋体" w:eastAsia="宋体" w:cs="宋体"/>
                <w:color w:val="auto"/>
                <w:kern w:val="0"/>
                <w:sz w:val="24"/>
                <w:highlight w:val="none"/>
                <w:lang w:val="en-US" w:eastAsia="zh-CN"/>
              </w:rPr>
              <w:t>0.5</w:t>
            </w:r>
            <w:r>
              <w:rPr>
                <w:rFonts w:hint="eastAsia" w:ascii="宋体" w:hAnsi="宋体" w:eastAsia="宋体" w:cs="宋体"/>
                <w:color w:val="auto"/>
                <w:kern w:val="0"/>
                <w:sz w:val="24"/>
                <w:highlight w:val="none"/>
              </w:rPr>
              <w:t>分；</w:t>
            </w:r>
          </w:p>
          <w:p w14:paraId="1AE13A3C">
            <w:pPr>
              <w:snapToGrid w:val="0"/>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B、具有大专及以上学历得0.5分；</w:t>
            </w:r>
          </w:p>
          <w:p w14:paraId="0F66E43F">
            <w:pPr>
              <w:snapToGrid w:val="0"/>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3、保安主管（0-</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分）</w:t>
            </w:r>
          </w:p>
          <w:p w14:paraId="6D3D72AC">
            <w:pPr>
              <w:snapToGrid w:val="0"/>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A、年龄</w:t>
            </w:r>
            <w:r>
              <w:rPr>
                <w:rFonts w:hint="eastAsia" w:ascii="宋体" w:hAnsi="宋体" w:eastAsia="宋体" w:cs="宋体"/>
                <w:color w:val="auto"/>
                <w:kern w:val="0"/>
                <w:sz w:val="24"/>
                <w:highlight w:val="none"/>
                <w:lang w:val="en-US" w:eastAsia="zh-CN"/>
              </w:rPr>
              <w:t>35</w:t>
            </w:r>
            <w:r>
              <w:rPr>
                <w:rFonts w:hint="eastAsia" w:ascii="宋体" w:hAnsi="宋体" w:eastAsia="宋体" w:cs="宋体"/>
                <w:color w:val="auto"/>
                <w:kern w:val="0"/>
                <w:sz w:val="24"/>
                <w:highlight w:val="none"/>
              </w:rPr>
              <w:t>周岁及以下得0.5分；</w:t>
            </w:r>
          </w:p>
          <w:p w14:paraId="0A466AD7">
            <w:pPr>
              <w:snapToGrid w:val="0"/>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B、具有</w:t>
            </w:r>
            <w:r>
              <w:rPr>
                <w:rFonts w:hint="eastAsia" w:ascii="宋体" w:hAnsi="宋体" w:eastAsia="宋体" w:cs="宋体"/>
                <w:color w:val="auto"/>
                <w:kern w:val="0"/>
                <w:sz w:val="24"/>
                <w:highlight w:val="none"/>
                <w:lang w:val="en-US" w:eastAsia="zh-CN"/>
              </w:rPr>
              <w:t>本科</w:t>
            </w:r>
            <w:r>
              <w:rPr>
                <w:rFonts w:hint="eastAsia" w:ascii="宋体" w:hAnsi="宋体" w:eastAsia="宋体" w:cs="宋体"/>
                <w:color w:val="auto"/>
                <w:kern w:val="0"/>
                <w:sz w:val="24"/>
                <w:highlight w:val="none"/>
              </w:rPr>
              <w:t>及以上学历得0.5分；</w:t>
            </w:r>
          </w:p>
          <w:p w14:paraId="6D22A25C">
            <w:pPr>
              <w:pStyle w:val="5"/>
              <w:ind w:left="0" w:leftChars="0" w:firstLine="0" w:firstLineChars="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保</w:t>
            </w:r>
            <w:r>
              <w:rPr>
                <w:rFonts w:hint="eastAsia" w:ascii="宋体" w:hAnsi="宋体" w:eastAsia="宋体" w:cs="宋体"/>
                <w:color w:val="auto"/>
                <w:kern w:val="0"/>
                <w:sz w:val="24"/>
                <w:highlight w:val="none"/>
                <w:lang w:val="en-US" w:eastAsia="zh-CN"/>
              </w:rPr>
              <w:t>洁专项</w:t>
            </w:r>
            <w:r>
              <w:rPr>
                <w:rFonts w:hint="eastAsia" w:ascii="宋体" w:hAnsi="宋体" w:eastAsia="宋体" w:cs="宋体"/>
                <w:color w:val="auto"/>
                <w:kern w:val="0"/>
                <w:sz w:val="24"/>
                <w:highlight w:val="none"/>
              </w:rPr>
              <w:t>主管（0-</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w:t>
            </w:r>
          </w:p>
          <w:p w14:paraId="2AFA5F6E">
            <w:pPr>
              <w:snapToGrid w:val="0"/>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A、年龄</w:t>
            </w:r>
            <w:r>
              <w:rPr>
                <w:rFonts w:hint="eastAsia" w:ascii="宋体" w:hAnsi="宋体" w:eastAsia="宋体" w:cs="宋体"/>
                <w:color w:val="auto"/>
                <w:kern w:val="0"/>
                <w:sz w:val="24"/>
                <w:highlight w:val="none"/>
                <w:lang w:val="en-US" w:eastAsia="zh-CN"/>
              </w:rPr>
              <w:t>45</w:t>
            </w:r>
            <w:r>
              <w:rPr>
                <w:rFonts w:hint="eastAsia" w:ascii="宋体" w:hAnsi="宋体" w:eastAsia="宋体" w:cs="宋体"/>
                <w:color w:val="auto"/>
                <w:kern w:val="0"/>
                <w:sz w:val="24"/>
                <w:highlight w:val="none"/>
              </w:rPr>
              <w:t>周岁及以下得0.5分；</w:t>
            </w:r>
          </w:p>
          <w:p w14:paraId="7DABA83C">
            <w:pPr>
              <w:snapToGrid w:val="0"/>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B、具有</w:t>
            </w:r>
            <w:r>
              <w:rPr>
                <w:rFonts w:hint="eastAsia" w:ascii="宋体" w:hAnsi="宋体" w:eastAsia="宋体" w:cs="宋体"/>
                <w:color w:val="auto"/>
                <w:kern w:val="0"/>
                <w:sz w:val="24"/>
                <w:highlight w:val="none"/>
                <w:lang w:val="en-US" w:eastAsia="zh-CN"/>
              </w:rPr>
              <w:t>本科</w:t>
            </w:r>
            <w:r>
              <w:rPr>
                <w:rFonts w:hint="eastAsia" w:ascii="宋体" w:hAnsi="宋体" w:eastAsia="宋体" w:cs="宋体"/>
                <w:color w:val="auto"/>
                <w:kern w:val="0"/>
                <w:sz w:val="24"/>
                <w:highlight w:val="none"/>
              </w:rPr>
              <w:t>及以上学历得0.5分；</w:t>
            </w:r>
          </w:p>
          <w:p w14:paraId="1C3B5BAD">
            <w:pPr>
              <w:snapToGrid w:val="0"/>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C、</w:t>
            </w:r>
            <w:r>
              <w:rPr>
                <w:rFonts w:hint="eastAsia" w:ascii="宋体" w:hAnsi="宋体" w:eastAsia="宋体" w:cs="宋体"/>
                <w:color w:val="auto"/>
                <w:kern w:val="0"/>
                <w:sz w:val="24"/>
                <w:highlight w:val="none"/>
                <w:lang w:val="en-US" w:eastAsia="zh-CN"/>
              </w:rPr>
              <w:t>具体街巷保洁</w:t>
            </w:r>
            <w:r>
              <w:rPr>
                <w:rFonts w:hint="eastAsia" w:ascii="宋体" w:hAnsi="宋体" w:cs="宋体"/>
                <w:color w:val="auto"/>
                <w:kern w:val="0"/>
                <w:sz w:val="24"/>
                <w:highlight w:val="none"/>
                <w:lang w:val="en-US" w:eastAsia="zh-CN"/>
              </w:rPr>
              <w:t>管理</w:t>
            </w:r>
            <w:r>
              <w:rPr>
                <w:rFonts w:hint="eastAsia" w:ascii="宋体" w:hAnsi="宋体" w:eastAsia="宋体" w:cs="宋体"/>
                <w:color w:val="auto"/>
                <w:kern w:val="0"/>
                <w:sz w:val="24"/>
                <w:highlight w:val="none"/>
                <w:lang w:val="en-US" w:eastAsia="zh-CN"/>
              </w:rPr>
              <w:t>经验2</w:t>
            </w:r>
            <w:r>
              <w:rPr>
                <w:rFonts w:hint="eastAsia" w:ascii="宋体" w:hAnsi="宋体" w:eastAsia="宋体" w:cs="宋体"/>
                <w:color w:val="auto"/>
                <w:kern w:val="0"/>
                <w:sz w:val="24"/>
                <w:highlight w:val="none"/>
              </w:rPr>
              <w:t>年及以上得1分；</w:t>
            </w:r>
          </w:p>
          <w:p w14:paraId="52E5BABB">
            <w:pPr>
              <w:pStyle w:val="5"/>
              <w:ind w:left="0" w:leftChars="0" w:firstLine="0" w:firstLineChars="0"/>
              <w:rPr>
                <w:rFonts w:hint="eastAsia" w:ascii="宋体" w:hAnsi="宋体" w:eastAsia="宋体" w:cs="宋体"/>
                <w:color w:val="auto"/>
                <w:kern w:val="0"/>
                <w:sz w:val="24"/>
                <w:highlight w:val="none"/>
              </w:rPr>
            </w:pPr>
            <w:r>
              <w:rPr>
                <w:rFonts w:hint="eastAsia" w:hAnsi="宋体" w:cs="宋体"/>
                <w:color w:val="auto"/>
                <w:kern w:val="0"/>
                <w:sz w:val="24"/>
                <w:highlight w:val="none"/>
                <w:lang w:val="en-US" w:eastAsia="zh-CN"/>
              </w:rPr>
              <w:t>5</w:t>
            </w:r>
            <w:r>
              <w:rPr>
                <w:rFonts w:hint="eastAsia" w:ascii="宋体" w:hAnsi="宋体" w:eastAsia="宋体" w:cs="宋体"/>
                <w:color w:val="auto"/>
                <w:kern w:val="0"/>
                <w:sz w:val="24"/>
                <w:highlight w:val="none"/>
                <w:lang w:val="en-US" w:eastAsia="zh-CN"/>
              </w:rPr>
              <w:t>、</w:t>
            </w:r>
            <w:r>
              <w:rPr>
                <w:rFonts w:hint="eastAsia" w:hAnsi="宋体" w:cs="宋体"/>
                <w:color w:val="auto"/>
                <w:kern w:val="0"/>
                <w:sz w:val="24"/>
                <w:highlight w:val="none"/>
                <w:lang w:val="en-US" w:eastAsia="zh-CN"/>
              </w:rPr>
              <w:t>工程人员</w:t>
            </w:r>
            <w:r>
              <w:rPr>
                <w:rFonts w:hint="eastAsia" w:ascii="宋体" w:hAnsi="宋体" w:eastAsia="宋体" w:cs="宋体"/>
                <w:color w:val="auto"/>
                <w:kern w:val="0"/>
                <w:sz w:val="24"/>
                <w:highlight w:val="none"/>
              </w:rPr>
              <w:t>（0-</w:t>
            </w:r>
            <w:r>
              <w:rPr>
                <w:rFonts w:hint="eastAsia" w:hAnsi="宋体" w:cs="宋体"/>
                <w:color w:val="auto"/>
                <w:kern w:val="0"/>
                <w:sz w:val="24"/>
                <w:highlight w:val="none"/>
                <w:lang w:val="en-US" w:eastAsia="zh-CN"/>
              </w:rPr>
              <w:t>1</w:t>
            </w:r>
            <w:r>
              <w:rPr>
                <w:rFonts w:hint="eastAsia" w:ascii="宋体" w:hAnsi="宋体" w:eastAsia="宋体" w:cs="宋体"/>
                <w:color w:val="auto"/>
                <w:kern w:val="0"/>
                <w:sz w:val="24"/>
                <w:highlight w:val="none"/>
              </w:rPr>
              <w:t>分）</w:t>
            </w:r>
          </w:p>
          <w:p w14:paraId="18054379">
            <w:pPr>
              <w:snapToGrid w:val="0"/>
              <w:spacing w:line="360" w:lineRule="exact"/>
              <w:rPr>
                <w:rFonts w:hint="eastAsia"/>
                <w:highlight w:val="none"/>
                <w:lang w:val="en-US" w:eastAsia="zh-CN"/>
              </w:rPr>
            </w:pPr>
            <w:r>
              <w:rPr>
                <w:rFonts w:hint="eastAsia" w:ascii="宋体" w:hAnsi="宋体" w:cs="宋体"/>
                <w:color w:val="auto"/>
                <w:kern w:val="0"/>
                <w:sz w:val="24"/>
                <w:highlight w:val="none"/>
                <w:lang w:val="en-US" w:eastAsia="zh-CN"/>
              </w:rPr>
              <w:t>A</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其中一名工程人员</w:t>
            </w:r>
            <w:r>
              <w:rPr>
                <w:rFonts w:hint="eastAsia" w:ascii="宋体" w:hAnsi="宋体" w:eastAsia="宋体" w:cs="宋体"/>
                <w:color w:val="auto"/>
                <w:kern w:val="0"/>
                <w:sz w:val="24"/>
                <w:highlight w:val="none"/>
              </w:rPr>
              <w:t>具有</w:t>
            </w:r>
            <w:r>
              <w:rPr>
                <w:rFonts w:hint="eastAsia" w:ascii="宋体" w:hAnsi="宋体" w:cs="宋体"/>
                <w:color w:val="auto"/>
                <w:kern w:val="0"/>
                <w:sz w:val="24"/>
                <w:highlight w:val="none"/>
                <w:lang w:val="en-US" w:eastAsia="zh-CN"/>
              </w:rPr>
              <w:t>二级建造师执业岗位证书得1</w:t>
            </w:r>
            <w:r>
              <w:rPr>
                <w:rFonts w:hint="eastAsia" w:ascii="宋体" w:hAnsi="宋体" w:eastAsia="宋体" w:cs="宋体"/>
                <w:color w:val="auto"/>
                <w:kern w:val="0"/>
                <w:sz w:val="24"/>
                <w:highlight w:val="none"/>
              </w:rPr>
              <w:t>分；</w:t>
            </w:r>
          </w:p>
          <w:p w14:paraId="047BE182">
            <w:pPr>
              <w:snapToGrid w:val="0"/>
              <w:spacing w:line="360" w:lineRule="exact"/>
              <w:rPr>
                <w:rFonts w:hint="eastAsia" w:ascii="宋体" w:hAnsi="宋体" w:eastAsia="宋体" w:cs="宋体"/>
                <w:color w:val="auto"/>
                <w:kern w:val="0"/>
                <w:sz w:val="24"/>
                <w:highlight w:val="none"/>
                <w:lang w:eastAsia="zh-CN"/>
              </w:rPr>
            </w:pPr>
            <w:r>
              <w:rPr>
                <w:rFonts w:hint="eastAsia" w:ascii="宋体" w:hAnsi="宋体" w:eastAsia="宋体" w:cs="宋体"/>
                <w:b w:val="0"/>
                <w:bCs w:val="0"/>
                <w:color w:val="auto"/>
                <w:kern w:val="0"/>
                <w:sz w:val="24"/>
                <w:highlight w:val="none"/>
              </w:rPr>
              <w:t>（上述1-</w:t>
            </w:r>
            <w:r>
              <w:rPr>
                <w:rFonts w:hint="eastAsia" w:ascii="宋体" w:hAnsi="宋体" w:eastAsia="宋体" w:cs="宋体"/>
                <w:b w:val="0"/>
                <w:bCs w:val="0"/>
                <w:color w:val="auto"/>
                <w:kern w:val="0"/>
                <w:sz w:val="24"/>
                <w:highlight w:val="none"/>
                <w:lang w:val="en-US" w:eastAsia="zh-CN"/>
              </w:rPr>
              <w:t>4</w:t>
            </w:r>
            <w:r>
              <w:rPr>
                <w:rFonts w:hint="eastAsia" w:ascii="宋体" w:hAnsi="宋体" w:eastAsia="宋体" w:cs="宋体"/>
                <w:b w:val="0"/>
                <w:bCs w:val="0"/>
                <w:color w:val="auto"/>
                <w:kern w:val="0"/>
                <w:sz w:val="24"/>
                <w:highlight w:val="none"/>
              </w:rPr>
              <w:t>项人员</w:t>
            </w:r>
            <w:r>
              <w:rPr>
                <w:rFonts w:hint="eastAsia" w:cs="仿宋_GB2312" w:asciiTheme="minorEastAsia" w:hAnsiTheme="minorEastAsia" w:eastAsiaTheme="minorEastAsia"/>
                <w:b w:val="0"/>
                <w:bCs w:val="0"/>
                <w:color w:val="auto"/>
                <w:sz w:val="24"/>
                <w:highlight w:val="none"/>
              </w:rPr>
              <w:t>须提供投标截止时间前近三个月</w:t>
            </w:r>
            <w:r>
              <w:rPr>
                <w:rFonts w:hint="eastAsia" w:cs="仿宋_GB2312" w:asciiTheme="minorEastAsia" w:hAnsiTheme="minorEastAsia" w:eastAsiaTheme="minorEastAsia"/>
                <w:b w:val="0"/>
                <w:bCs w:val="0"/>
                <w:color w:val="auto"/>
                <w:sz w:val="24"/>
                <w:highlight w:val="none"/>
                <w:lang w:eastAsia="zh-CN"/>
              </w:rPr>
              <w:t>任意一个月</w:t>
            </w:r>
            <w:r>
              <w:rPr>
                <w:rFonts w:hint="eastAsia" w:cs="仿宋_GB2312" w:asciiTheme="minorEastAsia" w:hAnsiTheme="minorEastAsia" w:eastAsiaTheme="minorEastAsia"/>
                <w:b w:val="0"/>
                <w:bCs w:val="0"/>
                <w:color w:val="auto"/>
                <w:sz w:val="24"/>
                <w:highlight w:val="none"/>
              </w:rPr>
              <w:t>缴纳在投标人单位的社保证明，相应证书证明材料</w:t>
            </w:r>
            <w:r>
              <w:rPr>
                <w:rFonts w:hint="eastAsia" w:cs="仿宋_GB2312" w:asciiTheme="minorEastAsia" w:hAnsiTheme="minorEastAsia" w:eastAsiaTheme="minorEastAsia"/>
                <w:b w:val="0"/>
                <w:bCs w:val="0"/>
                <w:color w:val="auto"/>
                <w:sz w:val="24"/>
                <w:highlight w:val="none"/>
                <w:lang w:val="en-US" w:eastAsia="zh-CN"/>
              </w:rPr>
              <w:t>及专职服务本项目的承诺书</w:t>
            </w:r>
            <w:r>
              <w:rPr>
                <w:rFonts w:hint="eastAsia" w:cs="仿宋_GB2312" w:asciiTheme="minorEastAsia" w:hAnsiTheme="minorEastAsia" w:eastAsiaTheme="minorEastAsia"/>
                <w:b w:val="0"/>
                <w:bCs w:val="0"/>
                <w:color w:val="auto"/>
                <w:sz w:val="24"/>
                <w:highlight w:val="none"/>
              </w:rPr>
              <w:t>，否则不得分</w:t>
            </w:r>
            <w:r>
              <w:rPr>
                <w:rFonts w:hint="eastAsia" w:ascii="宋体" w:hAnsi="宋体" w:eastAsia="宋体" w:cs="宋体"/>
                <w:b w:val="0"/>
                <w:bCs w:val="0"/>
                <w:color w:val="auto"/>
                <w:kern w:val="0"/>
                <w:sz w:val="24"/>
                <w:highlight w:val="none"/>
              </w:rPr>
              <w:t>）此项最高10分</w:t>
            </w:r>
            <w:r>
              <w:rPr>
                <w:rFonts w:hint="eastAsia" w:ascii="宋体" w:hAnsi="宋体" w:cs="宋体"/>
                <w:b w:val="0"/>
                <w:bCs w:val="0"/>
                <w:color w:val="auto"/>
                <w:kern w:val="0"/>
                <w:sz w:val="24"/>
                <w:highlight w:val="none"/>
                <w:lang w:eastAsia="zh-CN"/>
              </w:rPr>
              <w:t>。</w:t>
            </w:r>
          </w:p>
        </w:tc>
        <w:tc>
          <w:tcPr>
            <w:tcW w:w="706" w:type="dxa"/>
            <w:vAlign w:val="center"/>
          </w:tcPr>
          <w:p w14:paraId="122DEFA5">
            <w:pPr>
              <w:snapToGrid w:val="0"/>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0-10</w:t>
            </w:r>
          </w:p>
        </w:tc>
        <w:tc>
          <w:tcPr>
            <w:tcW w:w="975" w:type="dxa"/>
            <w:vAlign w:val="center"/>
          </w:tcPr>
          <w:p w14:paraId="1BD55F58">
            <w:pPr>
              <w:snapToGrid w:val="0"/>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客观</w:t>
            </w:r>
          </w:p>
        </w:tc>
        <w:tc>
          <w:tcPr>
            <w:tcW w:w="1612" w:type="dxa"/>
            <w:vAlign w:val="center"/>
          </w:tcPr>
          <w:p w14:paraId="58FF1463">
            <w:pPr>
              <w:snapToGrid w:val="0"/>
              <w:spacing w:line="360" w:lineRule="exact"/>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人员要求</w:t>
            </w:r>
          </w:p>
        </w:tc>
      </w:tr>
      <w:tr w14:paraId="254D0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14F3DA14">
            <w:pPr>
              <w:snapToGrid w:val="0"/>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w:t>
            </w:r>
          </w:p>
        </w:tc>
        <w:tc>
          <w:tcPr>
            <w:tcW w:w="5121" w:type="dxa"/>
            <w:vAlign w:val="center"/>
          </w:tcPr>
          <w:p w14:paraId="14455C81">
            <w:pPr>
              <w:snapToGrid w:val="0"/>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针对本项目特点接受采购人相关需求的人员培训方案，制订切实可行的员工素质能力提升培训计划等。根据培训方案合理性打分，从完整性、合理性、可行性方面进行评分，能</w:t>
            </w:r>
            <w:r>
              <w:rPr>
                <w:rFonts w:hint="eastAsia" w:ascii="宋体" w:hAnsi="宋体" w:eastAsia="宋体" w:cs="宋体"/>
                <w:color w:val="auto"/>
                <w:kern w:val="0"/>
                <w:sz w:val="24"/>
                <w:highlight w:val="none"/>
                <w:lang w:eastAsia="zh-CN"/>
              </w:rPr>
              <w:t>符合</w:t>
            </w:r>
            <w:r>
              <w:rPr>
                <w:rFonts w:hint="eastAsia" w:ascii="宋体" w:hAnsi="宋体" w:eastAsia="宋体" w:cs="宋体"/>
                <w:color w:val="auto"/>
                <w:kern w:val="0"/>
                <w:sz w:val="24"/>
                <w:highlight w:val="none"/>
              </w:rPr>
              <w:t>服务质量标准</w:t>
            </w:r>
            <w:r>
              <w:rPr>
                <w:rFonts w:hint="eastAsia" w:ascii="宋体" w:hAnsi="宋体" w:cs="宋体"/>
                <w:color w:val="auto"/>
                <w:kern w:val="0"/>
                <w:sz w:val="24"/>
                <w:highlight w:val="none"/>
                <w:lang w:eastAsia="zh-CN"/>
              </w:rPr>
              <w:t>的</w:t>
            </w:r>
            <w:r>
              <w:rPr>
                <w:rFonts w:hint="eastAsia" w:ascii="宋体" w:hAnsi="宋体" w:eastAsia="宋体" w:cs="宋体"/>
                <w:color w:val="auto"/>
                <w:kern w:val="0"/>
                <w:sz w:val="24"/>
                <w:highlight w:val="none"/>
              </w:rPr>
              <w:t>得</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分，部分</w:t>
            </w:r>
            <w:r>
              <w:rPr>
                <w:rFonts w:hint="eastAsia" w:ascii="宋体" w:hAnsi="宋体" w:eastAsia="宋体" w:cs="宋体"/>
                <w:color w:val="auto"/>
                <w:kern w:val="0"/>
                <w:sz w:val="24"/>
                <w:highlight w:val="none"/>
                <w:lang w:eastAsia="zh-CN"/>
              </w:rPr>
              <w:t>符合的</w:t>
            </w:r>
            <w:r>
              <w:rPr>
                <w:rFonts w:hint="eastAsia" w:ascii="宋体" w:hAnsi="宋体" w:eastAsia="宋体" w:cs="宋体"/>
                <w:color w:val="auto"/>
                <w:kern w:val="0"/>
                <w:sz w:val="24"/>
                <w:highlight w:val="none"/>
              </w:rPr>
              <w:t>得</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分，不符合不得分。 本项最高得</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rPr>
              <w:t>分。</w:t>
            </w:r>
          </w:p>
        </w:tc>
        <w:tc>
          <w:tcPr>
            <w:tcW w:w="706" w:type="dxa"/>
            <w:vAlign w:val="center"/>
          </w:tcPr>
          <w:p w14:paraId="2F66914B">
            <w:pPr>
              <w:snapToGrid w:val="0"/>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0-2</w:t>
            </w:r>
          </w:p>
        </w:tc>
        <w:tc>
          <w:tcPr>
            <w:tcW w:w="975" w:type="dxa"/>
            <w:vAlign w:val="center"/>
          </w:tcPr>
          <w:p w14:paraId="50E17B03">
            <w:pPr>
              <w:snapToGrid w:val="0"/>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w:t>
            </w:r>
          </w:p>
        </w:tc>
        <w:tc>
          <w:tcPr>
            <w:tcW w:w="1612" w:type="dxa"/>
            <w:vAlign w:val="center"/>
          </w:tcPr>
          <w:p w14:paraId="6C419055">
            <w:pPr>
              <w:snapToGrid w:val="0"/>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人员培训</w:t>
            </w:r>
          </w:p>
        </w:tc>
      </w:tr>
      <w:tr w14:paraId="029B6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trPr>
        <w:tc>
          <w:tcPr>
            <w:tcW w:w="690" w:type="dxa"/>
            <w:vAlign w:val="center"/>
          </w:tcPr>
          <w:p w14:paraId="628D9C70">
            <w:pPr>
              <w:snapToGrid w:val="0"/>
              <w:spacing w:line="36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19</w:t>
            </w:r>
          </w:p>
        </w:tc>
        <w:tc>
          <w:tcPr>
            <w:tcW w:w="5121" w:type="dxa"/>
            <w:vAlign w:val="center"/>
          </w:tcPr>
          <w:p w14:paraId="34ABE0FD">
            <w:pPr>
              <w:snapToGrid w:val="0"/>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针对本项目提出①消防安全事故、②防汛抗台、③雨雪冰冻、④突发性停水停电、⑤重大活动和重点区域的应急能力保障、⑥</w:t>
            </w:r>
            <w:r>
              <w:rPr>
                <w:rFonts w:hint="eastAsia" w:ascii="宋体" w:hAnsi="宋体" w:eastAsia="宋体" w:cs="宋体"/>
                <w:color w:val="auto"/>
                <w:kern w:val="0"/>
                <w:sz w:val="24"/>
                <w:highlight w:val="none"/>
                <w:lang w:val="en-US" w:eastAsia="zh-CN"/>
              </w:rPr>
              <w:t>突发治安事件的</w:t>
            </w:r>
            <w:r>
              <w:rPr>
                <w:rFonts w:hint="eastAsia" w:ascii="宋体" w:hAnsi="宋体" w:eastAsia="宋体" w:cs="宋体"/>
                <w:color w:val="auto"/>
                <w:kern w:val="0"/>
                <w:sz w:val="24"/>
                <w:highlight w:val="none"/>
              </w:rPr>
              <w:t>应急处置能力保障。根据保障力度</w:t>
            </w:r>
            <w:r>
              <w:rPr>
                <w:rFonts w:hint="eastAsia" w:ascii="宋体" w:hAnsi="宋体" w:eastAsia="宋体" w:cs="宋体"/>
                <w:color w:val="auto"/>
                <w:kern w:val="0"/>
                <w:sz w:val="24"/>
                <w:highlight w:val="none"/>
                <w:lang w:eastAsia="zh-CN"/>
              </w:rPr>
              <w:t>及应对措施的合理性打分</w:t>
            </w:r>
            <w:r>
              <w:rPr>
                <w:rFonts w:hint="eastAsia" w:ascii="宋体" w:hAnsi="宋体" w:eastAsia="宋体" w:cs="宋体"/>
                <w:color w:val="auto"/>
                <w:kern w:val="0"/>
                <w:sz w:val="24"/>
                <w:highlight w:val="none"/>
              </w:rPr>
              <w:t>，每项</w:t>
            </w:r>
            <w:r>
              <w:rPr>
                <w:rFonts w:hint="eastAsia" w:ascii="宋体" w:hAnsi="宋体" w:eastAsia="宋体" w:cs="宋体"/>
                <w:color w:val="auto"/>
                <w:kern w:val="0"/>
                <w:sz w:val="24"/>
                <w:highlight w:val="none"/>
                <w:lang w:eastAsia="zh-CN"/>
              </w:rPr>
              <w:t>最高</w:t>
            </w:r>
            <w:r>
              <w:rPr>
                <w:rFonts w:hint="eastAsia" w:ascii="宋体" w:hAnsi="宋体" w:eastAsia="宋体" w:cs="宋体"/>
                <w:color w:val="auto"/>
                <w:kern w:val="0"/>
                <w:sz w:val="24"/>
                <w:highlight w:val="none"/>
              </w:rPr>
              <w:t>0.5分，此项最高3分。</w:t>
            </w:r>
          </w:p>
        </w:tc>
        <w:tc>
          <w:tcPr>
            <w:tcW w:w="706" w:type="dxa"/>
            <w:vAlign w:val="center"/>
          </w:tcPr>
          <w:p w14:paraId="0B3BE130">
            <w:pPr>
              <w:snapToGrid w:val="0"/>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0-3</w:t>
            </w:r>
          </w:p>
        </w:tc>
        <w:tc>
          <w:tcPr>
            <w:tcW w:w="975" w:type="dxa"/>
            <w:vAlign w:val="center"/>
          </w:tcPr>
          <w:p w14:paraId="64667FF3">
            <w:pPr>
              <w:snapToGrid w:val="0"/>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w:t>
            </w:r>
          </w:p>
        </w:tc>
        <w:tc>
          <w:tcPr>
            <w:tcW w:w="1612" w:type="dxa"/>
            <w:vAlign w:val="center"/>
          </w:tcPr>
          <w:p w14:paraId="4BC650FF">
            <w:pPr>
              <w:snapToGrid w:val="0"/>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应急预案</w:t>
            </w:r>
          </w:p>
        </w:tc>
      </w:tr>
      <w:tr w14:paraId="01699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053C440F">
            <w:pPr>
              <w:snapToGrid w:val="0"/>
              <w:spacing w:line="36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20</w:t>
            </w:r>
          </w:p>
        </w:tc>
        <w:tc>
          <w:tcPr>
            <w:tcW w:w="5121" w:type="dxa"/>
            <w:vAlign w:val="center"/>
          </w:tcPr>
          <w:p w14:paraId="7701E8C9">
            <w:pPr>
              <w:snapToGrid w:val="0"/>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投标人具有:</w:t>
            </w:r>
          </w:p>
          <w:p w14:paraId="6A748E5E">
            <w:pPr>
              <w:snapToGrid w:val="0"/>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物业管理设备：（1）登高作业车（园林吊）一辆，满足得1分。（1分）</w:t>
            </w:r>
          </w:p>
          <w:p w14:paraId="741A62EA">
            <w:pPr>
              <w:snapToGrid w:val="0"/>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（2）具有CCTV管道检测仪、管道潜望镜、管道封堵气囊的，每项得1分，最高3分。（3分）</w:t>
            </w:r>
          </w:p>
          <w:p w14:paraId="16F04259">
            <w:pPr>
              <w:snapToGrid w:val="0"/>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（3）工程救险的车辆（机动车行驶证上的使用性质为工程救（抢）险）一辆，满足得1分，最高得1分。（1分）</w:t>
            </w:r>
          </w:p>
          <w:p w14:paraId="1C63BA77">
            <w:pPr>
              <w:snapToGrid w:val="0"/>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（4）投标人具有大功率排水泵车（≥1500m3/h）的得</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（1分）</w:t>
            </w:r>
          </w:p>
          <w:p w14:paraId="276D29FB">
            <w:pPr>
              <w:snapToGrid w:val="0"/>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（5）投标人具有吸污车每台得1分，最高</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w:t>
            </w:r>
          </w:p>
          <w:p w14:paraId="54520048">
            <w:pPr>
              <w:snapToGrid w:val="0"/>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以上各类机具须明确可提供的数量，并提供自有凭证或租赁合同（以上机具须提供①发票；②车辆需提供行驶证或政府部门的划拨单，</w:t>
            </w:r>
            <w:bookmarkStart w:id="401" w:name="OLE_LINK3"/>
            <w:r>
              <w:rPr>
                <w:rFonts w:hint="eastAsia" w:ascii="宋体" w:hAnsi="宋体" w:eastAsia="宋体" w:cs="宋体"/>
                <w:color w:val="auto"/>
                <w:kern w:val="0"/>
                <w:sz w:val="24"/>
                <w:highlight w:val="none"/>
              </w:rPr>
              <w:t>如租赁</w:t>
            </w:r>
            <w:bookmarkEnd w:id="401"/>
            <w:r>
              <w:rPr>
                <w:rFonts w:hint="eastAsia" w:ascii="宋体" w:hAnsi="宋体" w:eastAsia="宋体" w:cs="宋体"/>
                <w:color w:val="auto"/>
                <w:kern w:val="0"/>
                <w:sz w:val="24"/>
                <w:highlight w:val="none"/>
              </w:rPr>
              <w:t>合同需提供租赁方相关拥有机具证明材料，否则不得分）</w:t>
            </w:r>
          </w:p>
          <w:p w14:paraId="566D4E6A">
            <w:pPr>
              <w:snapToGrid w:val="0"/>
              <w:spacing w:line="360" w:lineRule="exac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（6）街巷保洁：高压冲洗车2辆,</w:t>
            </w:r>
            <w:r>
              <w:rPr>
                <w:rFonts w:hint="eastAsia" w:ascii="宋体" w:hAnsi="宋体" w:eastAsia="宋体" w:cs="宋体"/>
                <w:color w:val="auto"/>
                <w:kern w:val="0"/>
                <w:sz w:val="24"/>
                <w:highlight w:val="none"/>
                <w:lang w:val="en-US" w:eastAsia="zh-CN"/>
              </w:rPr>
              <w:t>小型巡回保洁车3</w:t>
            </w:r>
            <w:r>
              <w:rPr>
                <w:rFonts w:hint="eastAsia" w:ascii="宋体" w:hAnsi="宋体" w:eastAsia="宋体" w:cs="宋体"/>
                <w:color w:val="auto"/>
                <w:kern w:val="0"/>
                <w:sz w:val="24"/>
                <w:highlight w:val="none"/>
              </w:rPr>
              <w:t>辆，</w:t>
            </w:r>
            <w:r>
              <w:rPr>
                <w:rFonts w:hint="eastAsia" w:ascii="宋体" w:hAnsi="宋体" w:eastAsia="宋体" w:cs="宋体"/>
                <w:color w:val="auto"/>
                <w:kern w:val="0"/>
                <w:sz w:val="24"/>
                <w:highlight w:val="none"/>
                <w:lang w:val="en-US" w:eastAsia="zh-CN"/>
              </w:rPr>
              <w:t>八桶垃圾收运车1辆，</w:t>
            </w:r>
            <w:r>
              <w:rPr>
                <w:rFonts w:hint="eastAsia" w:ascii="宋体" w:hAnsi="宋体" w:eastAsia="宋体" w:cs="宋体"/>
                <w:color w:val="auto"/>
                <w:kern w:val="0"/>
                <w:sz w:val="24"/>
                <w:highlight w:val="none"/>
              </w:rPr>
              <w:t>大件垃圾运输车1辆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吹风机1台</w:t>
            </w:r>
            <w:r>
              <w:rPr>
                <w:rFonts w:hint="eastAsia" w:ascii="宋体" w:hAnsi="宋体" w:eastAsia="宋体" w:cs="宋体"/>
                <w:color w:val="auto"/>
                <w:kern w:val="0"/>
                <w:sz w:val="24"/>
                <w:highlight w:val="none"/>
              </w:rPr>
              <w:t>。每</w:t>
            </w:r>
            <w:r>
              <w:rPr>
                <w:rFonts w:hint="eastAsia" w:ascii="宋体" w:hAnsi="宋体" w:eastAsia="宋体" w:cs="宋体"/>
                <w:color w:val="auto"/>
                <w:kern w:val="0"/>
                <w:sz w:val="24"/>
                <w:highlight w:val="none"/>
                <w:lang w:val="en-US" w:eastAsia="zh-CN"/>
              </w:rPr>
              <w:t>项</w:t>
            </w:r>
            <w:r>
              <w:rPr>
                <w:rFonts w:hint="eastAsia" w:ascii="宋体" w:hAnsi="宋体" w:eastAsia="宋体" w:cs="宋体"/>
                <w:color w:val="auto"/>
                <w:kern w:val="0"/>
                <w:sz w:val="24"/>
                <w:highlight w:val="none"/>
              </w:rPr>
              <w:t>0.5分，共</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分）（街巷保洁车辆</w:t>
            </w:r>
            <w:r>
              <w:rPr>
                <w:rFonts w:hint="eastAsia" w:ascii="宋体" w:hAnsi="宋体" w:cs="宋体"/>
                <w:color w:val="auto"/>
                <w:kern w:val="0"/>
                <w:sz w:val="24"/>
                <w:highlight w:val="none"/>
                <w:lang w:val="en-US" w:eastAsia="zh-CN"/>
              </w:rPr>
              <w:t>如</w:t>
            </w:r>
            <w:r>
              <w:rPr>
                <w:rFonts w:hint="eastAsia" w:ascii="宋体" w:hAnsi="宋体" w:eastAsia="宋体" w:cs="宋体"/>
                <w:color w:val="auto"/>
                <w:kern w:val="0"/>
                <w:sz w:val="24"/>
                <w:highlight w:val="none"/>
              </w:rPr>
              <w:t>自有</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须</w:t>
            </w:r>
            <w:r>
              <w:rPr>
                <w:rFonts w:hint="eastAsia" w:ascii="宋体" w:hAnsi="宋体" w:eastAsia="宋体" w:cs="宋体"/>
                <w:color w:val="auto"/>
                <w:kern w:val="0"/>
                <w:sz w:val="24"/>
                <w:highlight w:val="none"/>
              </w:rPr>
              <w:t>提供自有发票。如租赁</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需提供租赁合同（合同需清晰体现租赁各方信息、租赁设备的型号、数量、租赁时长、租赁金额、责任条款等必要信息）、租赁双方营业执照和法人身份证复印件、租金支付发票、双方盖章的设备交接确认清单，租赁合同履约起止时间需覆盖本项目服务周期。任一租赁的车辆设备中标后3个自然日内无法到位的予以废标处理。</w:t>
            </w:r>
            <w:r>
              <w:rPr>
                <w:rFonts w:hint="eastAsia" w:ascii="宋体" w:hAnsi="宋体" w:eastAsia="宋体" w:cs="宋体"/>
                <w:color w:val="auto"/>
                <w:kern w:val="0"/>
                <w:sz w:val="24"/>
                <w:highlight w:val="none"/>
              </w:rPr>
              <w:t>所有机具还需提供保证仅用于本项目的承诺书</w:t>
            </w:r>
            <w:r>
              <w:rPr>
                <w:rFonts w:hint="eastAsia" w:ascii="宋体" w:hAnsi="宋体" w:cs="宋体"/>
                <w:color w:val="auto"/>
                <w:kern w:val="0"/>
                <w:sz w:val="24"/>
                <w:highlight w:val="none"/>
                <w:lang w:eastAsia="zh-CN"/>
              </w:rPr>
              <w:t>，否则不得分</w:t>
            </w:r>
            <w:r>
              <w:rPr>
                <w:rFonts w:hint="eastAsia" w:ascii="宋体" w:hAnsi="宋体" w:eastAsia="宋体" w:cs="宋体"/>
                <w:color w:val="auto"/>
                <w:kern w:val="0"/>
                <w:sz w:val="24"/>
                <w:highlight w:val="none"/>
              </w:rPr>
              <w:t>）</w:t>
            </w:r>
          </w:p>
          <w:p w14:paraId="2148C90D">
            <w:pPr>
              <w:snapToGrid w:val="0"/>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以上提供机具配置计划表。未提供机具配置计划表的，该项不得分。</w:t>
            </w:r>
          </w:p>
          <w:p w14:paraId="543CA272">
            <w:pPr>
              <w:snapToGrid w:val="0"/>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（7）自中标</w:t>
            </w:r>
            <w:r>
              <w:rPr>
                <w:rFonts w:hint="eastAsia" w:ascii="宋体" w:hAnsi="宋体" w:eastAsia="宋体" w:cs="宋体"/>
                <w:color w:val="auto"/>
                <w:sz w:val="24"/>
                <w:highlight w:val="none"/>
              </w:rPr>
              <w:t>起新增或更新的环卫作业车辆必须全部为新能源或清洁能源车，提供承诺书(法人签字加盖公章)得1分。</w:t>
            </w:r>
          </w:p>
        </w:tc>
        <w:tc>
          <w:tcPr>
            <w:tcW w:w="706" w:type="dxa"/>
            <w:vAlign w:val="center"/>
          </w:tcPr>
          <w:p w14:paraId="4DB246E8">
            <w:pPr>
              <w:snapToGrid w:val="0"/>
              <w:spacing w:line="360" w:lineRule="exact"/>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0-1</w:t>
            </w:r>
            <w:r>
              <w:rPr>
                <w:rFonts w:hint="eastAsia" w:ascii="宋体" w:hAnsi="宋体" w:eastAsia="宋体" w:cs="宋体"/>
                <w:color w:val="auto"/>
                <w:kern w:val="0"/>
                <w:sz w:val="24"/>
                <w:highlight w:val="none"/>
                <w:lang w:val="en-US" w:eastAsia="zh-CN"/>
              </w:rPr>
              <w:t>3</w:t>
            </w:r>
          </w:p>
        </w:tc>
        <w:tc>
          <w:tcPr>
            <w:tcW w:w="975" w:type="dxa"/>
            <w:vAlign w:val="center"/>
          </w:tcPr>
          <w:p w14:paraId="5B672747">
            <w:pPr>
              <w:snapToGrid w:val="0"/>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客观</w:t>
            </w:r>
          </w:p>
        </w:tc>
        <w:tc>
          <w:tcPr>
            <w:tcW w:w="1612" w:type="dxa"/>
            <w:vAlign w:val="center"/>
          </w:tcPr>
          <w:p w14:paraId="54321D6D">
            <w:pPr>
              <w:snapToGrid w:val="0"/>
              <w:spacing w:line="360" w:lineRule="exact"/>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设置配备</w:t>
            </w:r>
          </w:p>
        </w:tc>
      </w:tr>
      <w:tr w14:paraId="3A0CC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690" w:type="dxa"/>
            <w:vAlign w:val="center"/>
          </w:tcPr>
          <w:p w14:paraId="01005996">
            <w:pPr>
              <w:snapToGrid w:val="0"/>
              <w:spacing w:line="360" w:lineRule="exact"/>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1</w:t>
            </w:r>
          </w:p>
        </w:tc>
        <w:tc>
          <w:tcPr>
            <w:tcW w:w="5121" w:type="dxa"/>
            <w:vAlign w:val="center"/>
          </w:tcPr>
          <w:p w14:paraId="1920185C">
            <w:pPr>
              <w:snapToGrid w:val="0"/>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投标人针对本项目的质量考核办法及奖惩制度的全面性、针对性及可行性进行综合评分。方案内容全面合理有针对性的得</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分，基本符合适用的得</w:t>
            </w:r>
            <w:r>
              <w:rPr>
                <w:rFonts w:hint="eastAsia" w:ascii="宋体" w:hAnsi="宋体" w:cs="宋体"/>
                <w:color w:val="auto"/>
                <w:kern w:val="0"/>
                <w:sz w:val="24"/>
                <w:highlight w:val="none"/>
                <w:lang w:val="en-US" w:eastAsia="zh-CN"/>
              </w:rPr>
              <w:t>0.5</w:t>
            </w:r>
            <w:r>
              <w:rPr>
                <w:rFonts w:hint="eastAsia" w:ascii="宋体" w:hAnsi="宋体" w:eastAsia="宋体" w:cs="宋体"/>
                <w:color w:val="auto"/>
                <w:kern w:val="0"/>
                <w:sz w:val="24"/>
                <w:highlight w:val="none"/>
              </w:rPr>
              <w:t>分，不合理或不提供的不得分。此项最高</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分。</w:t>
            </w:r>
          </w:p>
        </w:tc>
        <w:tc>
          <w:tcPr>
            <w:tcW w:w="706" w:type="dxa"/>
            <w:vAlign w:val="center"/>
          </w:tcPr>
          <w:p w14:paraId="0808CADD">
            <w:pPr>
              <w:snapToGrid w:val="0"/>
              <w:spacing w:line="360" w:lineRule="exac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0-</w:t>
            </w:r>
            <w:r>
              <w:rPr>
                <w:rFonts w:hint="eastAsia" w:ascii="宋体" w:hAnsi="宋体" w:cs="宋体"/>
                <w:color w:val="auto"/>
                <w:kern w:val="0"/>
                <w:sz w:val="24"/>
                <w:highlight w:val="none"/>
                <w:lang w:val="en-US" w:eastAsia="zh-CN"/>
              </w:rPr>
              <w:t>1</w:t>
            </w:r>
          </w:p>
        </w:tc>
        <w:tc>
          <w:tcPr>
            <w:tcW w:w="975" w:type="dxa"/>
            <w:vAlign w:val="center"/>
          </w:tcPr>
          <w:p w14:paraId="74581676">
            <w:pPr>
              <w:snapToGrid w:val="0"/>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主观分</w:t>
            </w:r>
          </w:p>
        </w:tc>
        <w:tc>
          <w:tcPr>
            <w:tcW w:w="1612" w:type="dxa"/>
            <w:vAlign w:val="center"/>
          </w:tcPr>
          <w:p w14:paraId="5D022D1F">
            <w:pPr>
              <w:snapToGrid w:val="0"/>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质量考核</w:t>
            </w:r>
          </w:p>
        </w:tc>
      </w:tr>
      <w:tr w14:paraId="5586F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2C7F532A">
            <w:pPr>
              <w:snapToGrid w:val="0"/>
              <w:spacing w:line="36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22</w:t>
            </w:r>
          </w:p>
        </w:tc>
        <w:tc>
          <w:tcPr>
            <w:tcW w:w="5121" w:type="dxa"/>
            <w:vAlign w:val="center"/>
          </w:tcPr>
          <w:p w14:paraId="1A195BBE">
            <w:pPr>
              <w:snapToGrid w:val="0"/>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有效投标报价的最低价作为评标基准价，其最低报价为满分；按［投标报价得分=（评标基准价/投标报价）*10］的计算公式计算。</w:t>
            </w:r>
          </w:p>
        </w:tc>
        <w:tc>
          <w:tcPr>
            <w:tcW w:w="706" w:type="dxa"/>
            <w:vAlign w:val="center"/>
          </w:tcPr>
          <w:p w14:paraId="1B12B736">
            <w:pPr>
              <w:snapToGrid w:val="0"/>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0-10</w:t>
            </w:r>
          </w:p>
        </w:tc>
        <w:tc>
          <w:tcPr>
            <w:tcW w:w="975" w:type="dxa"/>
            <w:vAlign w:val="center"/>
          </w:tcPr>
          <w:p w14:paraId="51B77115">
            <w:pPr>
              <w:snapToGrid w:val="0"/>
              <w:spacing w:line="360" w:lineRule="exact"/>
              <w:jc w:val="center"/>
              <w:rPr>
                <w:rFonts w:hint="eastAsia" w:ascii="宋体" w:hAnsi="宋体" w:eastAsia="宋体" w:cs="宋体"/>
                <w:color w:val="auto"/>
                <w:kern w:val="0"/>
                <w:sz w:val="24"/>
                <w:highlight w:val="none"/>
              </w:rPr>
            </w:pPr>
          </w:p>
        </w:tc>
        <w:tc>
          <w:tcPr>
            <w:tcW w:w="1612" w:type="dxa"/>
            <w:vAlign w:val="center"/>
          </w:tcPr>
          <w:p w14:paraId="332CE815">
            <w:pPr>
              <w:snapToGrid w:val="0"/>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综合报价</w:t>
            </w:r>
          </w:p>
        </w:tc>
      </w:tr>
    </w:tbl>
    <w:p w14:paraId="034CC1FC">
      <w:pPr>
        <w:pStyle w:val="2"/>
      </w:pPr>
    </w:p>
    <w:p w14:paraId="14CC6E62">
      <w:pPr>
        <w:snapToGrid w:val="0"/>
        <w:spacing w:line="360" w:lineRule="auto"/>
        <w:rPr>
          <w:rFonts w:hint="eastAsia" w:ascii="宋体" w:hAnsi="宋体" w:cs="宋体"/>
          <w:color w:val="auto"/>
          <w:sz w:val="20"/>
          <w:szCs w:val="20"/>
          <w:highlight w:val="none"/>
          <w:shd w:val="clear" w:color="auto" w:fill="FFFFFF"/>
        </w:rPr>
      </w:pPr>
      <w:r>
        <w:rPr>
          <w:rFonts w:hint="eastAsia" w:ascii="宋体" w:hAnsi="宋体" w:cs="宋体"/>
          <w:color w:val="auto"/>
          <w:sz w:val="20"/>
          <w:szCs w:val="20"/>
          <w:highlight w:val="none"/>
          <w:shd w:val="clear" w:color="auto" w:fill="FFFFFF"/>
        </w:rPr>
        <w:t> </w:t>
      </w:r>
    </w:p>
    <w:p w14:paraId="1E53B4D4">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1313FDD0">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EF6EEA8">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4199B51B">
      <w:pPr>
        <w:adjustRightInd/>
        <w:spacing w:line="360" w:lineRule="auto"/>
        <w:rPr>
          <w:rFonts w:ascii="宋体" w:hAnsi="宋体" w:cs="宋体"/>
          <w:kern w:val="0"/>
          <w:sz w:val="24"/>
          <w:highlight w:val="none"/>
        </w:rPr>
      </w:pPr>
      <w:r>
        <w:rPr>
          <w:rFonts w:hint="eastAsia" w:ascii="宋体" w:hAnsi="宋体" w:cs="宋体"/>
          <w:b/>
          <w:color w:val="auto"/>
          <w:sz w:val="32"/>
          <w:highlight w:val="none"/>
        </w:rPr>
        <w:t>二、评标标准</w:t>
      </w:r>
    </w:p>
    <w:p w14:paraId="15B8E8D6">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1CE62AD3">
      <w:pPr>
        <w:spacing w:line="360" w:lineRule="auto"/>
        <w:outlineLvl w:val="0"/>
        <w:rPr>
          <w:rFonts w:ascii="宋体" w:hAnsi="宋体" w:cs="宋体"/>
          <w:b/>
          <w:sz w:val="36"/>
          <w:szCs w:val="36"/>
          <w:highlight w:val="none"/>
        </w:rPr>
      </w:pPr>
      <w:r>
        <w:rPr>
          <w:rFonts w:hint="eastAsia" w:ascii="宋体" w:hAnsi="宋体" w:cs="宋体"/>
          <w:b/>
          <w:sz w:val="36"/>
          <w:szCs w:val="36"/>
          <w:highlight w:val="none"/>
        </w:rPr>
        <w:t>三、评标程序</w:t>
      </w:r>
    </w:p>
    <w:p w14:paraId="735C4B5D">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0AC18B99">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0CB6F25D">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5E887975">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50595870">
      <w:pPr>
        <w:pStyle w:val="130"/>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620D721F">
      <w:pPr>
        <w:pStyle w:val="130"/>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30E79121">
      <w:pPr>
        <w:pStyle w:val="130"/>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7E1848FD">
      <w:pPr>
        <w:pStyle w:val="130"/>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10FDB487">
      <w:pPr>
        <w:pStyle w:val="130"/>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194C8B09">
      <w:pPr>
        <w:pStyle w:val="130"/>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A7DCB35">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1B1634F5">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37B03AFF">
      <w:pPr>
        <w:pStyle w:val="130"/>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710F858">
      <w:pPr>
        <w:pStyle w:val="130"/>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highlight w:val="none"/>
        </w:rPr>
        <w:t>20</w:t>
      </w:r>
      <w:r>
        <w:rPr>
          <w:rFonts w:hint="eastAsia" w:ascii="宋体" w:hAnsi="宋体" w:cs="宋体"/>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highlight w:val="none"/>
        </w:rPr>
        <w:t>6</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14:paraId="0E523C1B">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ABEA840">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AFFCD3F">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FCEE72">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14:paraId="16BDCDEC">
      <w:pPr>
        <w:pStyle w:val="130"/>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92EFC03">
      <w:pPr>
        <w:pStyle w:val="27"/>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783E2A82">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2E6DE1E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1BC398A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028457E">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6900E47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45EA93F1">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14:paraId="14B01192">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14:paraId="0E2610B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0EB33B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14:paraId="1A8F6451">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14:paraId="2F7071E6">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14:paraId="29DB5269">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34E5427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en-US" w:eastAsia="zh-CN"/>
        </w:rPr>
        <w:t>4.2.13</w:t>
      </w:r>
      <w:r>
        <w:rPr>
          <w:rFonts w:hint="eastAsia" w:ascii="宋体" w:hAnsi="宋体" w:cs="宋体"/>
          <w:kern w:val="0"/>
          <w:sz w:val="24"/>
          <w:highlight w:val="none"/>
        </w:rPr>
        <w:t>投标人未提供样品或提供的样品不满足采购需求实质性条件的，投标无效；</w:t>
      </w:r>
    </w:p>
    <w:p w14:paraId="687514B6">
      <w:pPr>
        <w:pStyle w:val="2"/>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4.2.14 投标文件不满足招标文件的其它实质性要求的；</w:t>
      </w:r>
    </w:p>
    <w:p w14:paraId="2240016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4.2.15法律、法规、规章（适用本市的）及省级以上规范性文件（适用本市的）规定的其他无效情形。</w:t>
      </w:r>
    </w:p>
    <w:p w14:paraId="20C006FB">
      <w:pPr>
        <w:pStyle w:val="27"/>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3484EB8B">
      <w:pPr>
        <w:pStyle w:val="27"/>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24D873DE">
      <w:pPr>
        <w:pStyle w:val="27"/>
        <w:snapToGrid w:val="0"/>
        <w:spacing w:line="360" w:lineRule="auto"/>
        <w:rPr>
          <w:rFonts w:cs="宋体"/>
          <w:highlight w:val="none"/>
        </w:rPr>
      </w:pPr>
      <w:r>
        <w:rPr>
          <w:rFonts w:hint="eastAsia" w:cs="宋体"/>
          <w:highlight w:val="none"/>
        </w:rPr>
        <w:t>5.2出现影响采购公正的违法、违规行为的；</w:t>
      </w:r>
    </w:p>
    <w:p w14:paraId="00D394AD">
      <w:pPr>
        <w:pStyle w:val="27"/>
        <w:snapToGrid w:val="0"/>
        <w:spacing w:line="360" w:lineRule="auto"/>
        <w:rPr>
          <w:rFonts w:cs="宋体"/>
          <w:highlight w:val="none"/>
        </w:rPr>
      </w:pPr>
      <w:r>
        <w:rPr>
          <w:rFonts w:hint="eastAsia" w:cs="宋体"/>
          <w:highlight w:val="none"/>
        </w:rPr>
        <w:t>5.3投标人的报价均超过了采购预算，采购人不能支付的；</w:t>
      </w:r>
    </w:p>
    <w:p w14:paraId="0E9BF7EB">
      <w:pPr>
        <w:pStyle w:val="27"/>
        <w:snapToGrid w:val="0"/>
        <w:spacing w:line="360" w:lineRule="auto"/>
        <w:rPr>
          <w:rFonts w:cs="宋体"/>
          <w:highlight w:val="none"/>
        </w:rPr>
      </w:pPr>
      <w:r>
        <w:rPr>
          <w:rFonts w:hint="eastAsia" w:cs="宋体"/>
          <w:highlight w:val="none"/>
        </w:rPr>
        <w:t>5.4因重大变故，采购任务取消的。</w:t>
      </w:r>
    </w:p>
    <w:p w14:paraId="5CB10AA2">
      <w:pPr>
        <w:pStyle w:val="27"/>
        <w:snapToGrid w:val="0"/>
        <w:spacing w:line="360" w:lineRule="auto"/>
        <w:rPr>
          <w:rFonts w:cs="宋体"/>
          <w:highlight w:val="none"/>
        </w:rPr>
      </w:pPr>
      <w:r>
        <w:rPr>
          <w:rFonts w:hint="eastAsia" w:cs="宋体"/>
          <w:highlight w:val="none"/>
        </w:rPr>
        <w:t>废标后，</w:t>
      </w:r>
      <w:r>
        <w:rPr>
          <w:rFonts w:hint="eastAsia" w:cs="宋体"/>
          <w:highlight w:val="none"/>
          <w:lang w:eastAsia="zh-CN"/>
        </w:rPr>
        <w:t>采购代理机构</w:t>
      </w:r>
      <w:r>
        <w:rPr>
          <w:rFonts w:hint="eastAsia" w:cs="宋体"/>
          <w:highlight w:val="none"/>
        </w:rPr>
        <w:t>应当将废标理由通知所有投标人。</w:t>
      </w:r>
    </w:p>
    <w:p w14:paraId="0D97DDA3">
      <w:pPr>
        <w:pStyle w:val="27"/>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w:t>
      </w:r>
      <w:r>
        <w:rPr>
          <w:rFonts w:hint="eastAsia" w:cs="宋体"/>
          <w:highlight w:val="none"/>
          <w:lang w:eastAsia="zh-CN"/>
        </w:rPr>
        <w:t>采购代理机构</w:t>
      </w:r>
      <w:r>
        <w:rPr>
          <w:rFonts w:hint="eastAsia" w:cs="宋体"/>
          <w:highlight w:val="none"/>
        </w:rPr>
        <w:t>沟通并作书面记录。采购人、</w:t>
      </w:r>
      <w:r>
        <w:rPr>
          <w:rFonts w:hint="eastAsia" w:cs="宋体"/>
          <w:highlight w:val="none"/>
          <w:lang w:eastAsia="zh-CN"/>
        </w:rPr>
        <w:t>采购代理机构</w:t>
      </w:r>
      <w:r>
        <w:rPr>
          <w:rFonts w:hint="eastAsia" w:cs="宋体"/>
          <w:highlight w:val="none"/>
        </w:rPr>
        <w:t>确认后，将修改招标文件，重新组织采购活动。</w:t>
      </w:r>
    </w:p>
    <w:p w14:paraId="46C67B9B">
      <w:pPr>
        <w:pStyle w:val="27"/>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5B70E1B4">
      <w:pPr>
        <w:pStyle w:val="27"/>
        <w:snapToGrid w:val="0"/>
        <w:spacing w:line="360" w:lineRule="auto"/>
        <w:rPr>
          <w:rFonts w:cs="宋体"/>
          <w:highlight w:val="none"/>
        </w:rPr>
      </w:pPr>
      <w:r>
        <w:rPr>
          <w:rFonts w:hint="eastAsia" w:cs="宋体"/>
          <w:highlight w:val="none"/>
        </w:rPr>
        <w:t>7.1未确定中标供应商的，终止本次政府采购活动，重新开展政府采购活动。</w:t>
      </w:r>
    </w:p>
    <w:p w14:paraId="2C7EA0A9">
      <w:pPr>
        <w:pStyle w:val="27"/>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68563348">
      <w:pPr>
        <w:pStyle w:val="27"/>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41111123">
      <w:pPr>
        <w:pStyle w:val="27"/>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70025B07">
      <w:pPr>
        <w:pStyle w:val="27"/>
        <w:snapToGrid w:val="0"/>
        <w:spacing w:line="360" w:lineRule="auto"/>
        <w:rPr>
          <w:rFonts w:hint="eastAsia"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0CCBFB66">
      <w:pPr>
        <w:rPr>
          <w:rFonts w:hint="eastAsia" w:cs="宋体"/>
          <w:highlight w:val="none"/>
        </w:rPr>
      </w:pPr>
    </w:p>
    <w:p w14:paraId="1C4D837C">
      <w:pPr>
        <w:pStyle w:val="27"/>
        <w:rPr>
          <w:rFonts w:hint="eastAsia" w:cs="宋体"/>
          <w:highlight w:val="none"/>
        </w:rPr>
      </w:pPr>
    </w:p>
    <w:p w14:paraId="270F4C8F">
      <w:pPr>
        <w:rPr>
          <w:rFonts w:hint="eastAsia" w:cs="宋体"/>
          <w:highlight w:val="none"/>
        </w:rPr>
      </w:pPr>
    </w:p>
    <w:p w14:paraId="1A60E0C5">
      <w:pPr>
        <w:spacing w:line="360" w:lineRule="auto"/>
        <w:ind w:left="720" w:leftChars="343" w:firstLine="1807" w:firstLineChars="500"/>
        <w:outlineLvl w:val="0"/>
        <w:rPr>
          <w:rFonts w:hint="eastAsia" w:ascii="仿宋_GB2312" w:hAnsi="仿宋" w:eastAsia="仿宋_GB2312" w:cs="仿宋_GB2312"/>
          <w:b/>
          <w:sz w:val="36"/>
          <w:szCs w:val="36"/>
          <w:highlight w:val="none"/>
        </w:rPr>
      </w:pPr>
    </w:p>
    <w:p w14:paraId="22D4ED0B">
      <w:pPr>
        <w:rPr>
          <w:rFonts w:hint="eastAsia"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br w:type="page"/>
      </w:r>
    </w:p>
    <w:p w14:paraId="567A269D">
      <w:pPr>
        <w:spacing w:line="360" w:lineRule="auto"/>
        <w:jc w:val="center"/>
        <w:outlineLvl w:val="0"/>
        <w:rPr>
          <w:rFonts w:ascii="宋体" w:hAnsi="宋体" w:cs="宋体"/>
          <w:b/>
          <w:sz w:val="36"/>
          <w:szCs w:val="36"/>
          <w:highlight w:val="none"/>
        </w:rPr>
      </w:pPr>
      <w:r>
        <w:rPr>
          <w:rFonts w:hint="eastAsia" w:ascii="仿宋_GB2312" w:hAnsi="仿宋" w:eastAsia="仿宋_GB2312" w:cs="仿宋_GB2312"/>
          <w:b/>
          <w:sz w:val="36"/>
          <w:szCs w:val="36"/>
          <w:highlight w:val="none"/>
        </w:rPr>
        <w:t>第五部分</w:t>
      </w:r>
      <w:r>
        <w:rPr>
          <w:rFonts w:hint="eastAsia" w:ascii="宋体" w:hAnsi="宋体" w:cs="宋体"/>
          <w:b/>
          <w:sz w:val="36"/>
          <w:szCs w:val="36"/>
          <w:highlight w:val="none"/>
        </w:rPr>
        <w:t xml:space="preserve"> 拟签订的合同文本</w:t>
      </w:r>
    </w:p>
    <w:p w14:paraId="5B9E2561">
      <w:pPr>
        <w:rPr>
          <w:rFonts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14:paraId="7C2A87AB">
      <w:pPr>
        <w:spacing w:line="480" w:lineRule="auto"/>
        <w:jc w:val="center"/>
        <w:rPr>
          <w:rFonts w:ascii="宋体" w:hAnsi="宋体" w:cs="宋体"/>
          <w:b/>
          <w:sz w:val="28"/>
          <w:szCs w:val="28"/>
          <w:highlight w:val="none"/>
        </w:rPr>
      </w:pPr>
    </w:p>
    <w:p w14:paraId="7A665F02">
      <w:pPr>
        <w:spacing w:line="480" w:lineRule="auto"/>
        <w:jc w:val="center"/>
        <w:rPr>
          <w:rFonts w:ascii="宋体" w:hAnsi="宋体" w:cs="宋体"/>
          <w:b/>
          <w:sz w:val="24"/>
          <w:highlight w:val="none"/>
        </w:rPr>
      </w:pPr>
    </w:p>
    <w:p w14:paraId="6EBAB9FA">
      <w:pPr>
        <w:spacing w:line="480" w:lineRule="auto"/>
        <w:jc w:val="center"/>
        <w:rPr>
          <w:rFonts w:ascii="宋体" w:hAnsi="宋体" w:cs="宋体"/>
          <w:b/>
          <w:sz w:val="24"/>
          <w:highlight w:val="none"/>
        </w:rPr>
      </w:pPr>
    </w:p>
    <w:p w14:paraId="22EF0323">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14:paraId="6F2B4C84">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（服务类）</w:t>
      </w:r>
    </w:p>
    <w:p w14:paraId="20E1C872">
      <w:pPr>
        <w:spacing w:before="120" w:line="22" w:lineRule="atLeast"/>
        <w:ind w:left="2158" w:leftChars="456" w:hanging="1200" w:hangingChars="500"/>
        <w:rPr>
          <w:rFonts w:hint="eastAsia" w:ascii="宋体" w:hAnsi="宋体" w:cs="宋体"/>
          <w:color w:val="auto"/>
          <w:sz w:val="24"/>
          <w:highlight w:val="none"/>
        </w:rPr>
      </w:pPr>
    </w:p>
    <w:p w14:paraId="44D71E07">
      <w:pPr>
        <w:spacing w:before="120" w:line="22" w:lineRule="atLeast"/>
        <w:ind w:left="2158" w:leftChars="456" w:hanging="1200" w:hangingChars="500"/>
        <w:rPr>
          <w:rFonts w:hint="eastAsia" w:ascii="宋体" w:hAnsi="宋体" w:cs="宋体"/>
          <w:color w:val="auto"/>
          <w:sz w:val="24"/>
          <w:highlight w:val="none"/>
        </w:rPr>
      </w:pPr>
    </w:p>
    <w:p w14:paraId="3BA0AD13">
      <w:pPr>
        <w:spacing w:before="120" w:line="22" w:lineRule="atLeast"/>
        <w:ind w:left="2158" w:leftChars="456" w:hanging="1200" w:hangingChars="500"/>
        <w:rPr>
          <w:rFonts w:hint="eastAsia" w:ascii="宋体" w:hAnsi="宋体" w:cs="宋体"/>
          <w:color w:val="auto"/>
          <w:sz w:val="24"/>
          <w:highlight w:val="none"/>
        </w:rPr>
      </w:pPr>
    </w:p>
    <w:p w14:paraId="0ABD4B93">
      <w:pPr>
        <w:spacing w:before="120" w:line="22" w:lineRule="atLeast"/>
        <w:ind w:left="2158" w:leftChars="456" w:hanging="1200" w:hangingChars="500"/>
        <w:rPr>
          <w:rFonts w:hint="eastAsia" w:ascii="宋体" w:hAnsi="宋体" w:cs="宋体"/>
          <w:color w:val="auto"/>
          <w:sz w:val="24"/>
          <w:highlight w:val="none"/>
        </w:rPr>
      </w:pPr>
    </w:p>
    <w:p w14:paraId="232A65C2">
      <w:pPr>
        <w:spacing w:before="120" w:line="22" w:lineRule="atLeast"/>
        <w:ind w:left="2158" w:leftChars="456" w:hanging="1200" w:hangingChars="500"/>
        <w:rPr>
          <w:rFonts w:hint="eastAsia" w:ascii="宋体" w:hAnsi="宋体" w:cs="宋体"/>
          <w:color w:val="auto"/>
          <w:sz w:val="24"/>
          <w:highlight w:val="none"/>
        </w:rPr>
      </w:pPr>
    </w:p>
    <w:p w14:paraId="03DE7070">
      <w:pPr>
        <w:spacing w:before="120" w:line="22" w:lineRule="atLeast"/>
        <w:ind w:left="2158" w:leftChars="456" w:hanging="1200" w:hangingChars="500"/>
        <w:rPr>
          <w:rFonts w:hint="eastAsia" w:ascii="宋体" w:hAnsi="宋体" w:cs="宋体"/>
          <w:color w:val="auto"/>
          <w:sz w:val="24"/>
          <w:highlight w:val="none"/>
        </w:rPr>
      </w:pPr>
    </w:p>
    <w:p w14:paraId="1C6D2475">
      <w:pPr>
        <w:spacing w:before="120" w:line="22" w:lineRule="atLeast"/>
        <w:ind w:left="2158" w:leftChars="456" w:hanging="1200" w:hangingChars="500"/>
        <w:rPr>
          <w:rFonts w:hint="eastAsia" w:ascii="宋体" w:hAnsi="宋体" w:cs="宋体"/>
          <w:color w:val="auto"/>
          <w:sz w:val="24"/>
          <w:highlight w:val="none"/>
        </w:rPr>
      </w:pPr>
    </w:p>
    <w:p w14:paraId="7172EF49">
      <w:pPr>
        <w:spacing w:before="120" w:line="22" w:lineRule="atLeast"/>
        <w:ind w:left="2158" w:leftChars="456" w:hanging="1200" w:hangingChars="500"/>
        <w:rPr>
          <w:rFonts w:hint="eastAsia" w:ascii="宋体" w:hAnsi="宋体" w:cs="宋体"/>
          <w:color w:val="auto"/>
          <w:sz w:val="24"/>
          <w:highlight w:val="none"/>
        </w:rPr>
      </w:pPr>
    </w:p>
    <w:p w14:paraId="38464C84">
      <w:pPr>
        <w:spacing w:before="120" w:line="22" w:lineRule="atLeast"/>
        <w:ind w:left="2158" w:leftChars="456" w:hanging="1200" w:hangingChars="500"/>
        <w:rPr>
          <w:rFonts w:hint="eastAsia" w:ascii="宋体" w:hAnsi="宋体" w:cs="宋体"/>
          <w:color w:val="auto"/>
          <w:sz w:val="24"/>
          <w:highlight w:val="none"/>
        </w:rPr>
      </w:pPr>
    </w:p>
    <w:p w14:paraId="318E48BB">
      <w:pPr>
        <w:spacing w:before="120" w:line="22" w:lineRule="atLeast"/>
        <w:ind w:left="2158" w:leftChars="456" w:hanging="1200" w:hangingChars="500"/>
        <w:rPr>
          <w:rFonts w:hint="eastAsia" w:ascii="宋体" w:hAnsi="宋体" w:cs="宋体"/>
          <w:color w:val="auto"/>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b w:val="0"/>
          <w:bCs/>
          <w:color w:val="auto"/>
          <w:sz w:val="24"/>
          <w:szCs w:val="24"/>
          <w:highlight w:val="none"/>
          <w:u w:val="single"/>
        </w:rPr>
        <w:t>小营街道南片6个社区（长明寺巷</w:t>
      </w:r>
      <w:r>
        <w:rPr>
          <w:rFonts w:hint="eastAsia"/>
          <w:b w:val="0"/>
          <w:bCs/>
          <w:color w:val="auto"/>
          <w:sz w:val="24"/>
          <w:szCs w:val="24"/>
          <w:highlight w:val="none"/>
          <w:u w:val="single"/>
          <w:lang w:eastAsia="zh-CN"/>
        </w:rPr>
        <w:t>、</w:t>
      </w:r>
      <w:r>
        <w:rPr>
          <w:b w:val="0"/>
          <w:bCs/>
          <w:color w:val="auto"/>
          <w:sz w:val="24"/>
          <w:szCs w:val="24"/>
          <w:highlight w:val="none"/>
          <w:u w:val="single"/>
        </w:rPr>
        <w:t>金钱巷</w:t>
      </w:r>
      <w:r>
        <w:rPr>
          <w:rFonts w:hint="eastAsia"/>
          <w:b w:val="0"/>
          <w:bCs/>
          <w:color w:val="auto"/>
          <w:sz w:val="24"/>
          <w:szCs w:val="24"/>
          <w:highlight w:val="none"/>
          <w:u w:val="single"/>
          <w:lang w:eastAsia="zh-CN"/>
        </w:rPr>
        <w:t>、</w:t>
      </w:r>
      <w:r>
        <w:rPr>
          <w:b w:val="0"/>
          <w:bCs/>
          <w:color w:val="auto"/>
          <w:sz w:val="24"/>
          <w:szCs w:val="24"/>
          <w:highlight w:val="none"/>
          <w:u w:val="single"/>
        </w:rPr>
        <w:t>茅廊巷</w:t>
      </w:r>
      <w:r>
        <w:rPr>
          <w:rFonts w:hint="eastAsia"/>
          <w:b w:val="0"/>
          <w:bCs/>
          <w:color w:val="auto"/>
          <w:sz w:val="24"/>
          <w:szCs w:val="24"/>
          <w:highlight w:val="none"/>
          <w:u w:val="single"/>
          <w:lang w:eastAsia="zh-CN"/>
        </w:rPr>
        <w:t>、</w:t>
      </w:r>
      <w:r>
        <w:rPr>
          <w:b w:val="0"/>
          <w:bCs/>
          <w:color w:val="auto"/>
          <w:sz w:val="24"/>
          <w:szCs w:val="24"/>
          <w:highlight w:val="none"/>
          <w:u w:val="single"/>
        </w:rPr>
        <w:t>西牌楼</w:t>
      </w:r>
      <w:r>
        <w:rPr>
          <w:rFonts w:hint="eastAsia"/>
          <w:b w:val="0"/>
          <w:bCs/>
          <w:color w:val="auto"/>
          <w:sz w:val="24"/>
          <w:szCs w:val="24"/>
          <w:highlight w:val="none"/>
          <w:u w:val="single"/>
          <w:lang w:eastAsia="zh-CN"/>
        </w:rPr>
        <w:t>、</w:t>
      </w:r>
      <w:r>
        <w:rPr>
          <w:rFonts w:hint="eastAsia"/>
          <w:b w:val="0"/>
          <w:bCs/>
          <w:color w:val="auto"/>
          <w:sz w:val="24"/>
          <w:szCs w:val="24"/>
          <w:highlight w:val="none"/>
          <w:u w:val="single"/>
          <w:lang w:val="en-US" w:eastAsia="zh-CN"/>
        </w:rPr>
        <w:t>梅</w:t>
      </w:r>
      <w:r>
        <w:rPr>
          <w:b w:val="0"/>
          <w:bCs/>
          <w:color w:val="auto"/>
          <w:sz w:val="24"/>
          <w:szCs w:val="24"/>
          <w:highlight w:val="none"/>
          <w:u w:val="single"/>
        </w:rPr>
        <w:t>花碑</w:t>
      </w:r>
      <w:r>
        <w:rPr>
          <w:rFonts w:hint="eastAsia"/>
          <w:b w:val="0"/>
          <w:bCs/>
          <w:color w:val="auto"/>
          <w:sz w:val="24"/>
          <w:szCs w:val="24"/>
          <w:highlight w:val="none"/>
          <w:u w:val="single"/>
          <w:lang w:eastAsia="zh-CN"/>
        </w:rPr>
        <w:t>、</w:t>
      </w:r>
      <w:r>
        <w:rPr>
          <w:b w:val="0"/>
          <w:bCs/>
          <w:color w:val="auto"/>
          <w:sz w:val="24"/>
          <w:szCs w:val="24"/>
          <w:highlight w:val="none"/>
          <w:u w:val="single"/>
        </w:rPr>
        <w:t>姚园寺巷社区）准物业服务项</w:t>
      </w:r>
      <w:r>
        <w:rPr>
          <w:rFonts w:hint="eastAsia"/>
          <w:b w:val="0"/>
          <w:bCs/>
          <w:color w:val="auto"/>
          <w:sz w:val="24"/>
          <w:szCs w:val="24"/>
          <w:highlight w:val="none"/>
          <w:u w:val="single"/>
          <w:lang w:val="en-US" w:eastAsia="zh-CN"/>
        </w:rPr>
        <w:t>目</w:t>
      </w:r>
    </w:p>
    <w:p w14:paraId="55A662DE">
      <w:pPr>
        <w:rPr>
          <w:rFonts w:hint="eastAsia" w:ascii="宋体" w:hAnsi="宋体" w:cs="宋体"/>
          <w:color w:val="auto"/>
          <w:sz w:val="24"/>
          <w:highlight w:val="none"/>
        </w:rPr>
      </w:pPr>
    </w:p>
    <w:p w14:paraId="25F637D9">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杭州市上城区人民政府小营街道办事处    </w:t>
      </w:r>
    </w:p>
    <w:p w14:paraId="1FC09949">
      <w:pPr>
        <w:spacing w:before="120" w:line="22" w:lineRule="atLeast"/>
        <w:rPr>
          <w:rFonts w:hint="eastAsia" w:ascii="宋体" w:hAnsi="宋体" w:cs="宋体"/>
          <w:color w:val="auto"/>
          <w:sz w:val="24"/>
          <w:highlight w:val="none"/>
        </w:rPr>
      </w:pPr>
    </w:p>
    <w:p w14:paraId="03140A29">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9130722">
      <w:pPr>
        <w:spacing w:before="120" w:line="22" w:lineRule="atLeas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35E99BA1">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杭州市上城区人民政府小营街道办事处  </w:t>
      </w:r>
    </w:p>
    <w:p w14:paraId="47EAB683">
      <w:pPr>
        <w:pStyle w:val="5"/>
        <w:rPr>
          <w:color w:val="auto"/>
          <w:highlight w:val="none"/>
        </w:rPr>
      </w:pPr>
    </w:p>
    <w:p w14:paraId="362DE99F">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AE8F130">
      <w:pPr>
        <w:widowControl/>
        <w:jc w:val="left"/>
        <w:rPr>
          <w:rFonts w:hint="eastAsia" w:ascii="宋体" w:hAnsi="宋体" w:cs="宋体"/>
          <w:color w:val="auto"/>
          <w:kern w:val="0"/>
          <w:sz w:val="24"/>
          <w:highlight w:val="none"/>
        </w:rPr>
        <w:sectPr>
          <w:headerReference r:id="rId8" w:type="default"/>
          <w:footerReference r:id="rId9" w:type="default"/>
          <w:pgSz w:w="11907" w:h="16840"/>
          <w:pgMar w:top="1474" w:right="1814" w:bottom="1474" w:left="1814" w:header="851" w:footer="851" w:gutter="0"/>
          <w:cols w:space="720" w:num="1"/>
        </w:sectPr>
      </w:pPr>
    </w:p>
    <w:p w14:paraId="5EA2DB00">
      <w:pPr>
        <w:spacing w:line="440" w:lineRule="exact"/>
        <w:ind w:firstLine="480" w:firstLineChars="200"/>
        <w:rPr>
          <w:rFonts w:hint="eastAsia" w:cs="宋体" w:asciiTheme="minorEastAsia" w:hAnsiTheme="minorEastAsia" w:eastAsiaTheme="minorEastAsia"/>
          <w:color w:val="auto"/>
          <w:sz w:val="24"/>
          <w:highlight w:val="none"/>
        </w:rPr>
      </w:pPr>
    </w:p>
    <w:p w14:paraId="6439BB71">
      <w:pPr>
        <w:spacing w:line="440" w:lineRule="exact"/>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甲方：</w:t>
      </w:r>
    </w:p>
    <w:p w14:paraId="156AF347">
      <w:pPr>
        <w:snapToGrid w:val="0"/>
        <w:spacing w:line="440" w:lineRule="exact"/>
        <w:ind w:firstLine="480" w:firstLineChars="200"/>
        <w:rPr>
          <w:rFonts w:hint="eastAsia" w:cs="仿宋"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乙方：</w:t>
      </w:r>
    </w:p>
    <w:p w14:paraId="73C8D8F7">
      <w:pPr>
        <w:snapToGrid w:val="0"/>
        <w:spacing w:line="440" w:lineRule="exact"/>
        <w:ind w:firstLine="480" w:firstLineChars="200"/>
        <w:rPr>
          <w:rFonts w:hint="eastAsia"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根据《中华人民共和国民法典》等法律、法规和政策，经公开招标（</w:t>
      </w:r>
      <w:r>
        <w:rPr>
          <w:rFonts w:hint="eastAsia" w:asciiTheme="minorEastAsia" w:hAnsiTheme="minorEastAsia" w:eastAsiaTheme="minorEastAsia"/>
          <w:color w:val="auto"/>
          <w:sz w:val="24"/>
          <w:highlight w:val="none"/>
        </w:rPr>
        <w:t xml:space="preserve">项目:     </w:t>
      </w:r>
      <w:r>
        <w:rPr>
          <w:rFonts w:hint="eastAsia" w:cs="宋体" w:asciiTheme="minorEastAsia" w:hAnsiTheme="minorEastAsia" w:eastAsiaTheme="minorEastAsia"/>
          <w:color w:val="auto"/>
          <w:sz w:val="24"/>
          <w:highlight w:val="none"/>
        </w:rPr>
        <w:t xml:space="preserve">招标编号:    </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确定乙方为中标单位。甲乙双方在平等、自愿、协商一致的基础上，达成如下条款。</w:t>
      </w:r>
    </w:p>
    <w:p w14:paraId="31B65691">
      <w:pPr>
        <w:pStyle w:val="257"/>
        <w:numPr>
          <w:ilvl w:val="0"/>
          <w:numId w:val="3"/>
        </w:numPr>
        <w:spacing w:line="440" w:lineRule="exact"/>
        <w:ind w:firstLineChars="0"/>
        <w:rPr>
          <w:rFonts w:hint="eastAsia" w:cs="仿宋" w:asciiTheme="minorEastAsia" w:hAnsiTheme="minorEastAsia" w:eastAsiaTheme="minorEastAsia"/>
          <w:color w:val="auto"/>
          <w:highlight w:val="none"/>
        </w:rPr>
      </w:pPr>
      <w:r>
        <w:rPr>
          <w:rFonts w:hint="eastAsia" w:cs="宋体" w:asciiTheme="minorEastAsia" w:hAnsiTheme="minorEastAsia" w:eastAsiaTheme="minorEastAsia"/>
          <w:b/>
          <w:bCs/>
          <w:color w:val="auto"/>
          <w:highlight w:val="none"/>
        </w:rPr>
        <w:t xml:space="preserve"> 服务范围：</w:t>
      </w:r>
    </w:p>
    <w:p w14:paraId="7F7185A5">
      <w:pPr>
        <w:pStyle w:val="257"/>
        <w:snapToGrid w:val="0"/>
        <w:spacing w:line="440" w:lineRule="exact"/>
        <w:ind w:left="510"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小营街道南片区东至江成路，南至望江路，西至中河中路，北至解放路，包含金钱巷、长明寺巷、茅廊巷、姚园寺巷、西牌楼、梅花碑6个社区；面积1.455平方千米；总住户12421户、楼道646个，楼道灯约4171盏，停车位713个，绿化保洁面积59312平方米。街巷保洁面积一类所属路面保洁面积48675.98平方米；二类所属路面保洁面积86662.29平方米。其中梅花碑社区辖区道路属一、二类街道。具体明细如下：</w:t>
      </w:r>
    </w:p>
    <w:p w14:paraId="0BD2EE8E">
      <w:pPr>
        <w:snapToGrid w:val="0"/>
        <w:spacing w:line="440" w:lineRule="exact"/>
        <w:ind w:firstLine="480" w:firstLineChars="200"/>
        <w:rPr>
          <w:rFonts w:hint="eastAsia"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zh-CN"/>
        </w:rPr>
        <w:t>甲方同意由乙方承包以下</w:t>
      </w:r>
      <w:r>
        <w:rPr>
          <w:rFonts w:hint="eastAsia" w:asciiTheme="minorEastAsia" w:hAnsiTheme="minorEastAsia" w:eastAsiaTheme="minorEastAsia"/>
          <w:color w:val="auto"/>
          <w:sz w:val="24"/>
          <w:highlight w:val="none"/>
        </w:rPr>
        <w:t>街巷</w:t>
      </w:r>
      <w:r>
        <w:rPr>
          <w:rFonts w:hint="eastAsia" w:asciiTheme="minorEastAsia" w:hAnsiTheme="minorEastAsia" w:eastAsiaTheme="minorEastAsia"/>
          <w:color w:val="auto"/>
          <w:sz w:val="24"/>
          <w:highlight w:val="none"/>
          <w:lang w:val="zh-CN"/>
        </w:rPr>
        <w:t>的清扫保洁工作：</w:t>
      </w:r>
    </w:p>
    <w:tbl>
      <w:tblPr>
        <w:tblStyle w:val="64"/>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067"/>
        <w:gridCol w:w="2433"/>
        <w:gridCol w:w="900"/>
        <w:gridCol w:w="1234"/>
        <w:gridCol w:w="2384"/>
      </w:tblGrid>
      <w:tr w14:paraId="6EFF3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090" w:type="dxa"/>
            <w:vAlign w:val="center"/>
          </w:tcPr>
          <w:p w14:paraId="5F4FD8FD">
            <w:pPr>
              <w:spacing w:line="440" w:lineRule="exact"/>
              <w:jc w:val="center"/>
              <w:rPr>
                <w:rFonts w:hint="eastAsia"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序号</w:t>
            </w:r>
          </w:p>
        </w:tc>
        <w:tc>
          <w:tcPr>
            <w:tcW w:w="1067" w:type="dxa"/>
            <w:vAlign w:val="center"/>
          </w:tcPr>
          <w:p w14:paraId="410FB433">
            <w:pPr>
              <w:spacing w:line="440" w:lineRule="exact"/>
              <w:rPr>
                <w:rFonts w:hint="eastAsia"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路名</w:t>
            </w:r>
          </w:p>
        </w:tc>
        <w:tc>
          <w:tcPr>
            <w:tcW w:w="2433" w:type="dxa"/>
            <w:vAlign w:val="center"/>
          </w:tcPr>
          <w:p w14:paraId="537D0171">
            <w:pPr>
              <w:spacing w:line="440" w:lineRule="exact"/>
              <w:jc w:val="center"/>
              <w:rPr>
                <w:rFonts w:hint="eastAsia"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起止地点</w:t>
            </w:r>
          </w:p>
        </w:tc>
        <w:tc>
          <w:tcPr>
            <w:tcW w:w="900" w:type="dxa"/>
            <w:vAlign w:val="center"/>
          </w:tcPr>
          <w:p w14:paraId="5E1FFD5E">
            <w:pPr>
              <w:spacing w:line="440" w:lineRule="exact"/>
              <w:jc w:val="center"/>
              <w:rPr>
                <w:rFonts w:hint="eastAsia"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类别</w:t>
            </w:r>
          </w:p>
        </w:tc>
        <w:tc>
          <w:tcPr>
            <w:tcW w:w="1234" w:type="dxa"/>
            <w:vAlign w:val="center"/>
          </w:tcPr>
          <w:p w14:paraId="09BA396C">
            <w:pPr>
              <w:spacing w:line="440" w:lineRule="exact"/>
              <w:jc w:val="center"/>
              <w:rPr>
                <w:rFonts w:hint="eastAsia"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面</w:t>
            </w:r>
            <w:r>
              <w:rPr>
                <w:rFonts w:hint="eastAsia" w:asciiTheme="minorEastAsia" w:hAnsiTheme="minorEastAsia" w:eastAsiaTheme="minorEastAsia"/>
                <w:color w:val="auto"/>
                <w:sz w:val="24"/>
                <w:highlight w:val="none"/>
                <w:lang w:val="zh-CN"/>
              </w:rPr>
              <w:t>积（</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zh-CN"/>
              </w:rPr>
              <w:t>）</w:t>
            </w:r>
          </w:p>
        </w:tc>
        <w:tc>
          <w:tcPr>
            <w:tcW w:w="2384" w:type="dxa"/>
            <w:vAlign w:val="center"/>
          </w:tcPr>
          <w:p w14:paraId="7044E35E">
            <w:pPr>
              <w:spacing w:line="440" w:lineRule="exact"/>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同一时段作业</w:t>
            </w:r>
            <w:r>
              <w:rPr>
                <w:rFonts w:hint="eastAsia" w:asciiTheme="minorEastAsia" w:hAnsiTheme="minorEastAsia" w:eastAsiaTheme="minorEastAsia"/>
                <w:color w:val="auto"/>
                <w:sz w:val="24"/>
                <w:highlight w:val="none"/>
                <w:lang w:val="zh-CN"/>
              </w:rPr>
              <w:t>人数</w:t>
            </w:r>
          </w:p>
        </w:tc>
      </w:tr>
      <w:tr w14:paraId="024F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0" w:type="dxa"/>
            <w:vAlign w:val="center"/>
          </w:tcPr>
          <w:p w14:paraId="7852BED8">
            <w:pPr>
              <w:spacing w:line="560" w:lineRule="exact"/>
              <w:ind w:firstLine="480" w:firstLineChars="200"/>
              <w:rPr>
                <w:rFonts w:hint="eastAsia" w:asciiTheme="minorEastAsia" w:hAnsiTheme="minorEastAsia" w:eastAsiaTheme="minorEastAsia"/>
                <w:color w:val="auto"/>
                <w:sz w:val="24"/>
                <w:highlight w:val="none"/>
                <w:lang w:val="zh-CN"/>
              </w:rPr>
            </w:pPr>
          </w:p>
        </w:tc>
        <w:tc>
          <w:tcPr>
            <w:tcW w:w="1067" w:type="dxa"/>
            <w:vAlign w:val="center"/>
          </w:tcPr>
          <w:p w14:paraId="143AA176">
            <w:pPr>
              <w:spacing w:line="560" w:lineRule="exact"/>
              <w:ind w:firstLine="480" w:firstLineChars="200"/>
              <w:rPr>
                <w:rFonts w:hint="eastAsia" w:asciiTheme="minorEastAsia" w:hAnsiTheme="minorEastAsia" w:eastAsiaTheme="minorEastAsia"/>
                <w:color w:val="auto"/>
                <w:sz w:val="24"/>
                <w:highlight w:val="none"/>
                <w:lang w:val="zh-CN"/>
              </w:rPr>
            </w:pPr>
          </w:p>
        </w:tc>
        <w:tc>
          <w:tcPr>
            <w:tcW w:w="2433" w:type="dxa"/>
            <w:vAlign w:val="center"/>
          </w:tcPr>
          <w:p w14:paraId="74E98035">
            <w:pPr>
              <w:spacing w:line="560" w:lineRule="exact"/>
              <w:ind w:firstLine="480" w:firstLineChars="200"/>
              <w:rPr>
                <w:rFonts w:hint="eastAsia" w:asciiTheme="minorEastAsia" w:hAnsiTheme="minorEastAsia" w:eastAsiaTheme="minorEastAsia"/>
                <w:color w:val="auto"/>
                <w:sz w:val="24"/>
                <w:highlight w:val="none"/>
                <w:lang w:val="zh-CN"/>
              </w:rPr>
            </w:pPr>
          </w:p>
        </w:tc>
        <w:tc>
          <w:tcPr>
            <w:tcW w:w="900" w:type="dxa"/>
            <w:vAlign w:val="center"/>
          </w:tcPr>
          <w:p w14:paraId="2914B11D">
            <w:pPr>
              <w:spacing w:line="560" w:lineRule="exact"/>
              <w:jc w:val="center"/>
              <w:rPr>
                <w:rFonts w:hint="eastAsia" w:asciiTheme="minorEastAsia" w:hAnsiTheme="minorEastAsia" w:eastAsiaTheme="minorEastAsia"/>
                <w:color w:val="auto"/>
                <w:sz w:val="24"/>
                <w:highlight w:val="none"/>
                <w:lang w:val="zh-CN"/>
              </w:rPr>
            </w:pPr>
          </w:p>
        </w:tc>
        <w:tc>
          <w:tcPr>
            <w:tcW w:w="1234" w:type="dxa"/>
            <w:vAlign w:val="center"/>
          </w:tcPr>
          <w:p w14:paraId="34D8BF79">
            <w:pPr>
              <w:spacing w:line="560" w:lineRule="exact"/>
              <w:jc w:val="center"/>
              <w:rPr>
                <w:rFonts w:hint="eastAsia" w:asciiTheme="minorEastAsia" w:hAnsiTheme="minorEastAsia" w:eastAsiaTheme="minorEastAsia"/>
                <w:color w:val="auto"/>
                <w:sz w:val="24"/>
                <w:highlight w:val="none"/>
                <w:lang w:val="zh-CN"/>
              </w:rPr>
            </w:pPr>
          </w:p>
        </w:tc>
        <w:tc>
          <w:tcPr>
            <w:tcW w:w="2384" w:type="dxa"/>
            <w:vAlign w:val="center"/>
          </w:tcPr>
          <w:p w14:paraId="0649E946">
            <w:pPr>
              <w:spacing w:line="560" w:lineRule="exact"/>
              <w:ind w:firstLine="480" w:firstLineChars="200"/>
              <w:rPr>
                <w:rFonts w:hint="eastAsia" w:asciiTheme="minorEastAsia" w:hAnsiTheme="minorEastAsia" w:eastAsiaTheme="minorEastAsia"/>
                <w:color w:val="auto"/>
                <w:sz w:val="24"/>
                <w:highlight w:val="none"/>
              </w:rPr>
            </w:pPr>
          </w:p>
        </w:tc>
      </w:tr>
      <w:tr w14:paraId="4A993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Align w:val="center"/>
          </w:tcPr>
          <w:p w14:paraId="307DCFE8">
            <w:pPr>
              <w:spacing w:line="560" w:lineRule="exact"/>
              <w:ind w:firstLine="480" w:firstLineChars="200"/>
              <w:rPr>
                <w:rFonts w:hint="eastAsia" w:asciiTheme="minorEastAsia" w:hAnsiTheme="minorEastAsia" w:eastAsiaTheme="minorEastAsia"/>
                <w:color w:val="auto"/>
                <w:sz w:val="24"/>
                <w:highlight w:val="none"/>
                <w:lang w:val="zh-CN"/>
              </w:rPr>
            </w:pPr>
          </w:p>
        </w:tc>
        <w:tc>
          <w:tcPr>
            <w:tcW w:w="1067" w:type="dxa"/>
            <w:vAlign w:val="center"/>
          </w:tcPr>
          <w:p w14:paraId="49FB6E41">
            <w:pPr>
              <w:spacing w:line="560" w:lineRule="exact"/>
              <w:ind w:firstLine="480" w:firstLineChars="200"/>
              <w:rPr>
                <w:rFonts w:hint="eastAsia" w:asciiTheme="minorEastAsia" w:hAnsiTheme="minorEastAsia" w:eastAsiaTheme="minorEastAsia"/>
                <w:color w:val="auto"/>
                <w:sz w:val="24"/>
                <w:highlight w:val="none"/>
                <w:lang w:val="zh-CN"/>
              </w:rPr>
            </w:pPr>
          </w:p>
        </w:tc>
        <w:tc>
          <w:tcPr>
            <w:tcW w:w="2433" w:type="dxa"/>
            <w:vAlign w:val="center"/>
          </w:tcPr>
          <w:p w14:paraId="01230FF4">
            <w:pPr>
              <w:spacing w:line="560" w:lineRule="exact"/>
              <w:ind w:firstLine="480" w:firstLineChars="200"/>
              <w:rPr>
                <w:rFonts w:hint="eastAsia" w:asciiTheme="minorEastAsia" w:hAnsiTheme="minorEastAsia" w:eastAsiaTheme="minorEastAsia"/>
                <w:color w:val="auto"/>
                <w:sz w:val="24"/>
                <w:highlight w:val="none"/>
                <w:lang w:val="zh-CN"/>
              </w:rPr>
            </w:pPr>
          </w:p>
        </w:tc>
        <w:tc>
          <w:tcPr>
            <w:tcW w:w="900" w:type="dxa"/>
            <w:vAlign w:val="center"/>
          </w:tcPr>
          <w:p w14:paraId="3E5B33DC">
            <w:pPr>
              <w:spacing w:line="560" w:lineRule="exact"/>
              <w:jc w:val="center"/>
              <w:rPr>
                <w:rFonts w:hint="eastAsia" w:asciiTheme="minorEastAsia" w:hAnsiTheme="minorEastAsia" w:eastAsiaTheme="minorEastAsia"/>
                <w:color w:val="auto"/>
                <w:sz w:val="24"/>
                <w:highlight w:val="none"/>
                <w:lang w:val="zh-CN"/>
              </w:rPr>
            </w:pPr>
          </w:p>
        </w:tc>
        <w:tc>
          <w:tcPr>
            <w:tcW w:w="1234" w:type="dxa"/>
            <w:vAlign w:val="center"/>
          </w:tcPr>
          <w:p w14:paraId="624FE418">
            <w:pPr>
              <w:spacing w:line="560" w:lineRule="exact"/>
              <w:jc w:val="center"/>
              <w:rPr>
                <w:rFonts w:hint="eastAsia" w:asciiTheme="minorEastAsia" w:hAnsiTheme="minorEastAsia" w:eastAsiaTheme="minorEastAsia"/>
                <w:color w:val="auto"/>
                <w:sz w:val="24"/>
                <w:highlight w:val="none"/>
                <w:lang w:val="zh-CN"/>
              </w:rPr>
            </w:pPr>
          </w:p>
        </w:tc>
        <w:tc>
          <w:tcPr>
            <w:tcW w:w="2384" w:type="dxa"/>
            <w:vAlign w:val="center"/>
          </w:tcPr>
          <w:p w14:paraId="2D6ED5D8">
            <w:pPr>
              <w:spacing w:line="560" w:lineRule="exact"/>
              <w:ind w:firstLine="480" w:firstLineChars="200"/>
              <w:jc w:val="center"/>
              <w:rPr>
                <w:rFonts w:hint="eastAsia" w:asciiTheme="minorEastAsia" w:hAnsiTheme="minorEastAsia" w:eastAsiaTheme="minorEastAsia"/>
                <w:color w:val="auto"/>
                <w:sz w:val="24"/>
                <w:highlight w:val="none"/>
                <w:lang w:val="zh-CN"/>
              </w:rPr>
            </w:pPr>
          </w:p>
        </w:tc>
      </w:tr>
      <w:tr w14:paraId="59CCA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Align w:val="center"/>
          </w:tcPr>
          <w:p w14:paraId="230E6275">
            <w:pPr>
              <w:spacing w:line="560" w:lineRule="exact"/>
              <w:ind w:firstLine="480" w:firstLineChars="200"/>
              <w:rPr>
                <w:rFonts w:hint="eastAsia" w:asciiTheme="minorEastAsia" w:hAnsiTheme="minorEastAsia" w:eastAsiaTheme="minorEastAsia"/>
                <w:color w:val="auto"/>
                <w:sz w:val="24"/>
                <w:highlight w:val="none"/>
                <w:lang w:val="zh-CN"/>
              </w:rPr>
            </w:pPr>
          </w:p>
        </w:tc>
        <w:tc>
          <w:tcPr>
            <w:tcW w:w="1067" w:type="dxa"/>
            <w:vAlign w:val="center"/>
          </w:tcPr>
          <w:p w14:paraId="5174DBB2">
            <w:pPr>
              <w:spacing w:line="560" w:lineRule="exact"/>
              <w:ind w:firstLine="480" w:firstLineChars="200"/>
              <w:rPr>
                <w:rFonts w:hint="eastAsia" w:asciiTheme="minorEastAsia" w:hAnsiTheme="minorEastAsia" w:eastAsiaTheme="minorEastAsia"/>
                <w:color w:val="auto"/>
                <w:sz w:val="24"/>
                <w:highlight w:val="none"/>
                <w:lang w:val="zh-CN"/>
              </w:rPr>
            </w:pPr>
          </w:p>
        </w:tc>
        <w:tc>
          <w:tcPr>
            <w:tcW w:w="2433" w:type="dxa"/>
            <w:vAlign w:val="center"/>
          </w:tcPr>
          <w:p w14:paraId="7D1BE581">
            <w:pPr>
              <w:spacing w:line="560" w:lineRule="exact"/>
              <w:ind w:firstLine="480" w:firstLineChars="200"/>
              <w:rPr>
                <w:rFonts w:hint="eastAsia" w:asciiTheme="minorEastAsia" w:hAnsiTheme="minorEastAsia" w:eastAsiaTheme="minorEastAsia"/>
                <w:color w:val="auto"/>
                <w:sz w:val="24"/>
                <w:highlight w:val="none"/>
                <w:lang w:val="zh-CN"/>
              </w:rPr>
            </w:pPr>
          </w:p>
        </w:tc>
        <w:tc>
          <w:tcPr>
            <w:tcW w:w="900" w:type="dxa"/>
            <w:vAlign w:val="center"/>
          </w:tcPr>
          <w:p w14:paraId="143DA6CC">
            <w:pPr>
              <w:spacing w:line="560" w:lineRule="exact"/>
              <w:ind w:firstLine="480" w:firstLineChars="200"/>
              <w:rPr>
                <w:rFonts w:hint="eastAsia" w:asciiTheme="minorEastAsia" w:hAnsiTheme="minorEastAsia" w:eastAsiaTheme="minorEastAsia"/>
                <w:color w:val="auto"/>
                <w:sz w:val="24"/>
                <w:highlight w:val="none"/>
                <w:lang w:val="zh-CN"/>
              </w:rPr>
            </w:pPr>
          </w:p>
        </w:tc>
        <w:tc>
          <w:tcPr>
            <w:tcW w:w="1234" w:type="dxa"/>
            <w:vAlign w:val="center"/>
          </w:tcPr>
          <w:p w14:paraId="354CB0F9">
            <w:pPr>
              <w:spacing w:line="560" w:lineRule="exact"/>
              <w:ind w:firstLine="480" w:firstLineChars="200"/>
              <w:rPr>
                <w:rFonts w:hint="eastAsia" w:asciiTheme="minorEastAsia" w:hAnsiTheme="minorEastAsia" w:eastAsiaTheme="minorEastAsia"/>
                <w:color w:val="auto"/>
                <w:sz w:val="24"/>
                <w:highlight w:val="none"/>
                <w:lang w:val="zh-CN"/>
              </w:rPr>
            </w:pPr>
          </w:p>
        </w:tc>
        <w:tc>
          <w:tcPr>
            <w:tcW w:w="2384" w:type="dxa"/>
            <w:vAlign w:val="center"/>
          </w:tcPr>
          <w:p w14:paraId="08F6A3D0">
            <w:pPr>
              <w:spacing w:line="560" w:lineRule="exact"/>
              <w:ind w:firstLine="480" w:firstLineChars="200"/>
              <w:rPr>
                <w:rFonts w:hint="eastAsia" w:asciiTheme="minorEastAsia" w:hAnsiTheme="minorEastAsia" w:eastAsiaTheme="minorEastAsia"/>
                <w:color w:val="auto"/>
                <w:sz w:val="24"/>
                <w:highlight w:val="none"/>
              </w:rPr>
            </w:pPr>
          </w:p>
        </w:tc>
      </w:tr>
      <w:tr w14:paraId="5A04A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90" w:type="dxa"/>
          </w:tcPr>
          <w:p w14:paraId="7E33DD9F">
            <w:pPr>
              <w:spacing w:line="560" w:lineRule="exact"/>
              <w:ind w:firstLine="480" w:firstLineChars="200"/>
              <w:rPr>
                <w:rFonts w:hint="eastAsia" w:asciiTheme="minorEastAsia" w:hAnsiTheme="minorEastAsia" w:eastAsiaTheme="minorEastAsia"/>
                <w:color w:val="auto"/>
                <w:sz w:val="24"/>
                <w:highlight w:val="none"/>
                <w:lang w:val="zh-CN"/>
              </w:rPr>
            </w:pPr>
          </w:p>
        </w:tc>
        <w:tc>
          <w:tcPr>
            <w:tcW w:w="4400" w:type="dxa"/>
            <w:gridSpan w:val="3"/>
          </w:tcPr>
          <w:p w14:paraId="4611C3EB">
            <w:pPr>
              <w:spacing w:line="560" w:lineRule="exact"/>
              <w:ind w:firstLine="480" w:firstLineChars="200"/>
              <w:rPr>
                <w:rFonts w:hint="eastAsia"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合计</w:t>
            </w:r>
          </w:p>
        </w:tc>
        <w:tc>
          <w:tcPr>
            <w:tcW w:w="1234" w:type="dxa"/>
            <w:vAlign w:val="center"/>
          </w:tcPr>
          <w:p w14:paraId="5C9C1215">
            <w:pPr>
              <w:spacing w:line="560" w:lineRule="exact"/>
              <w:ind w:firstLine="480" w:firstLineChars="200"/>
              <w:rPr>
                <w:rFonts w:hint="eastAsia" w:asciiTheme="minorEastAsia" w:hAnsiTheme="minorEastAsia" w:eastAsiaTheme="minorEastAsia"/>
                <w:color w:val="auto"/>
                <w:sz w:val="24"/>
                <w:highlight w:val="none"/>
              </w:rPr>
            </w:pPr>
          </w:p>
        </w:tc>
        <w:tc>
          <w:tcPr>
            <w:tcW w:w="2384" w:type="dxa"/>
            <w:vAlign w:val="center"/>
          </w:tcPr>
          <w:p w14:paraId="100FB298">
            <w:pPr>
              <w:spacing w:line="560" w:lineRule="exact"/>
              <w:ind w:firstLine="480" w:firstLineChars="200"/>
              <w:rPr>
                <w:rFonts w:hint="eastAsia" w:asciiTheme="minorEastAsia" w:hAnsiTheme="minorEastAsia" w:eastAsiaTheme="minorEastAsia"/>
                <w:color w:val="auto"/>
                <w:sz w:val="24"/>
                <w:highlight w:val="none"/>
              </w:rPr>
            </w:pPr>
          </w:p>
        </w:tc>
      </w:tr>
    </w:tbl>
    <w:p w14:paraId="504BC3E2">
      <w:pPr>
        <w:spacing w:line="560" w:lineRule="exact"/>
        <w:ind w:firstLine="480" w:firstLineChars="200"/>
        <w:rPr>
          <w:rFonts w:hint="eastAsia"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zh-CN"/>
        </w:rPr>
        <w:t>乙方拟投入机械设备一览表：</w:t>
      </w:r>
    </w:p>
    <w:tbl>
      <w:tblPr>
        <w:tblStyle w:val="6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724"/>
        <w:gridCol w:w="1523"/>
        <w:gridCol w:w="1734"/>
        <w:gridCol w:w="1675"/>
      </w:tblGrid>
      <w:tr w14:paraId="4E480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vAlign w:val="center"/>
          </w:tcPr>
          <w:p w14:paraId="11476EFD">
            <w:pPr>
              <w:spacing w:line="560" w:lineRule="exact"/>
              <w:rPr>
                <w:rFonts w:hint="eastAsia"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序号</w:t>
            </w:r>
          </w:p>
        </w:tc>
        <w:tc>
          <w:tcPr>
            <w:tcW w:w="2724" w:type="dxa"/>
            <w:vAlign w:val="center"/>
          </w:tcPr>
          <w:p w14:paraId="5765E628">
            <w:pPr>
              <w:spacing w:line="560" w:lineRule="exact"/>
              <w:ind w:firstLine="480" w:firstLineChars="200"/>
              <w:rPr>
                <w:rFonts w:hint="eastAsia"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车辆设备名称</w:t>
            </w:r>
          </w:p>
        </w:tc>
        <w:tc>
          <w:tcPr>
            <w:tcW w:w="1523" w:type="dxa"/>
            <w:vAlign w:val="center"/>
          </w:tcPr>
          <w:p w14:paraId="59EAE1BA">
            <w:pPr>
              <w:spacing w:line="560" w:lineRule="exact"/>
              <w:ind w:firstLine="480" w:firstLineChars="200"/>
              <w:rPr>
                <w:rFonts w:hint="eastAsia"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数量</w:t>
            </w:r>
          </w:p>
        </w:tc>
        <w:tc>
          <w:tcPr>
            <w:tcW w:w="1734" w:type="dxa"/>
            <w:vAlign w:val="center"/>
          </w:tcPr>
          <w:p w14:paraId="60801D46">
            <w:pPr>
              <w:spacing w:line="560" w:lineRule="exact"/>
              <w:rPr>
                <w:rFonts w:hint="eastAsia"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总质量（</w:t>
            </w:r>
            <w:r>
              <w:rPr>
                <w:rFonts w:hint="eastAsia" w:asciiTheme="minorEastAsia" w:hAnsiTheme="minorEastAsia" w:eastAsiaTheme="minorEastAsia"/>
                <w:color w:val="auto"/>
                <w:sz w:val="24"/>
                <w:highlight w:val="none"/>
              </w:rPr>
              <w:t>吨</w:t>
            </w:r>
            <w:r>
              <w:rPr>
                <w:rFonts w:hint="eastAsia" w:asciiTheme="minorEastAsia" w:hAnsiTheme="minorEastAsia" w:eastAsiaTheme="minorEastAsia"/>
                <w:color w:val="auto"/>
                <w:sz w:val="24"/>
                <w:highlight w:val="none"/>
                <w:lang w:val="zh-CN"/>
              </w:rPr>
              <w:t>）</w:t>
            </w:r>
          </w:p>
        </w:tc>
        <w:tc>
          <w:tcPr>
            <w:tcW w:w="1675" w:type="dxa"/>
            <w:vAlign w:val="center"/>
          </w:tcPr>
          <w:p w14:paraId="3C2A0429">
            <w:pPr>
              <w:spacing w:line="560" w:lineRule="exact"/>
              <w:ind w:firstLine="480" w:firstLineChars="200"/>
              <w:rPr>
                <w:rFonts w:hint="eastAsia"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备注</w:t>
            </w:r>
          </w:p>
        </w:tc>
      </w:tr>
      <w:tr w14:paraId="2672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vAlign w:val="center"/>
          </w:tcPr>
          <w:p w14:paraId="1044F00E">
            <w:pPr>
              <w:spacing w:line="560" w:lineRule="exact"/>
              <w:ind w:firstLine="480" w:firstLineChars="200"/>
              <w:rPr>
                <w:rFonts w:hint="eastAsia"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w:t>
            </w:r>
          </w:p>
        </w:tc>
        <w:tc>
          <w:tcPr>
            <w:tcW w:w="2724" w:type="dxa"/>
            <w:vAlign w:val="center"/>
          </w:tcPr>
          <w:p w14:paraId="5BBED4BC">
            <w:pPr>
              <w:spacing w:line="560" w:lineRule="exact"/>
              <w:ind w:firstLine="480" w:firstLineChars="200"/>
              <w:rPr>
                <w:rFonts w:hint="eastAsia" w:asciiTheme="minorEastAsia" w:hAnsiTheme="minorEastAsia" w:eastAsiaTheme="minorEastAsia"/>
                <w:color w:val="auto"/>
                <w:sz w:val="24"/>
                <w:highlight w:val="none"/>
              </w:rPr>
            </w:pPr>
          </w:p>
        </w:tc>
        <w:tc>
          <w:tcPr>
            <w:tcW w:w="1523" w:type="dxa"/>
            <w:vAlign w:val="center"/>
          </w:tcPr>
          <w:p w14:paraId="2C13B0C4">
            <w:pPr>
              <w:spacing w:line="560" w:lineRule="exact"/>
              <w:ind w:firstLine="480" w:firstLineChars="200"/>
              <w:rPr>
                <w:rFonts w:hint="eastAsia" w:asciiTheme="minorEastAsia" w:hAnsiTheme="minorEastAsia" w:eastAsiaTheme="minorEastAsia"/>
                <w:color w:val="auto"/>
                <w:sz w:val="24"/>
                <w:highlight w:val="none"/>
              </w:rPr>
            </w:pPr>
          </w:p>
        </w:tc>
        <w:tc>
          <w:tcPr>
            <w:tcW w:w="1734" w:type="dxa"/>
            <w:vAlign w:val="center"/>
          </w:tcPr>
          <w:p w14:paraId="3838E9CC">
            <w:pPr>
              <w:spacing w:line="560" w:lineRule="exact"/>
              <w:ind w:firstLine="480" w:firstLineChars="200"/>
              <w:rPr>
                <w:rFonts w:hint="eastAsia" w:asciiTheme="minorEastAsia" w:hAnsiTheme="minorEastAsia" w:eastAsiaTheme="minorEastAsia"/>
                <w:color w:val="auto"/>
                <w:sz w:val="24"/>
                <w:highlight w:val="none"/>
              </w:rPr>
            </w:pPr>
          </w:p>
        </w:tc>
        <w:tc>
          <w:tcPr>
            <w:tcW w:w="1675" w:type="dxa"/>
            <w:vAlign w:val="center"/>
          </w:tcPr>
          <w:p w14:paraId="7B7317A0">
            <w:pPr>
              <w:spacing w:line="560" w:lineRule="exact"/>
              <w:ind w:firstLine="480" w:firstLineChars="200"/>
              <w:rPr>
                <w:rFonts w:hint="eastAsia" w:asciiTheme="minorEastAsia" w:hAnsiTheme="minorEastAsia" w:eastAsiaTheme="minorEastAsia"/>
                <w:color w:val="auto"/>
                <w:sz w:val="24"/>
                <w:highlight w:val="none"/>
              </w:rPr>
            </w:pPr>
          </w:p>
        </w:tc>
      </w:tr>
      <w:tr w14:paraId="65109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vAlign w:val="center"/>
          </w:tcPr>
          <w:p w14:paraId="020DC9C8">
            <w:pPr>
              <w:spacing w:line="560" w:lineRule="exact"/>
              <w:ind w:firstLine="480" w:firstLineChars="200"/>
              <w:rPr>
                <w:rFonts w:hint="eastAsia"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2</w:t>
            </w:r>
          </w:p>
        </w:tc>
        <w:tc>
          <w:tcPr>
            <w:tcW w:w="2724" w:type="dxa"/>
            <w:vAlign w:val="center"/>
          </w:tcPr>
          <w:p w14:paraId="07F2D3A3">
            <w:pPr>
              <w:spacing w:line="560" w:lineRule="exact"/>
              <w:ind w:firstLine="480" w:firstLineChars="200"/>
              <w:rPr>
                <w:rFonts w:hint="eastAsia" w:asciiTheme="minorEastAsia" w:hAnsiTheme="minorEastAsia" w:eastAsiaTheme="minorEastAsia"/>
                <w:color w:val="auto"/>
                <w:sz w:val="24"/>
                <w:highlight w:val="none"/>
              </w:rPr>
            </w:pPr>
          </w:p>
        </w:tc>
        <w:tc>
          <w:tcPr>
            <w:tcW w:w="1523" w:type="dxa"/>
            <w:vAlign w:val="center"/>
          </w:tcPr>
          <w:p w14:paraId="49C48D38">
            <w:pPr>
              <w:spacing w:line="560" w:lineRule="exact"/>
              <w:ind w:firstLine="480" w:firstLineChars="200"/>
              <w:rPr>
                <w:rFonts w:hint="eastAsia" w:asciiTheme="minorEastAsia" w:hAnsiTheme="minorEastAsia" w:eastAsiaTheme="minorEastAsia"/>
                <w:color w:val="auto"/>
                <w:sz w:val="24"/>
                <w:highlight w:val="none"/>
              </w:rPr>
            </w:pPr>
          </w:p>
        </w:tc>
        <w:tc>
          <w:tcPr>
            <w:tcW w:w="1734" w:type="dxa"/>
            <w:vAlign w:val="center"/>
          </w:tcPr>
          <w:p w14:paraId="3BECD1F8">
            <w:pPr>
              <w:spacing w:line="560" w:lineRule="exact"/>
              <w:ind w:firstLine="480" w:firstLineChars="200"/>
              <w:rPr>
                <w:rFonts w:hint="eastAsia" w:asciiTheme="minorEastAsia" w:hAnsiTheme="minorEastAsia" w:eastAsiaTheme="minorEastAsia"/>
                <w:color w:val="auto"/>
                <w:sz w:val="24"/>
                <w:highlight w:val="none"/>
              </w:rPr>
            </w:pPr>
          </w:p>
        </w:tc>
        <w:tc>
          <w:tcPr>
            <w:tcW w:w="1675" w:type="dxa"/>
            <w:vAlign w:val="center"/>
          </w:tcPr>
          <w:p w14:paraId="24B1A8E8">
            <w:pPr>
              <w:spacing w:line="560" w:lineRule="exact"/>
              <w:ind w:firstLine="480" w:firstLineChars="200"/>
              <w:rPr>
                <w:rFonts w:hint="eastAsia" w:asciiTheme="minorEastAsia" w:hAnsiTheme="minorEastAsia" w:eastAsiaTheme="minorEastAsia"/>
                <w:color w:val="auto"/>
                <w:sz w:val="24"/>
                <w:highlight w:val="none"/>
              </w:rPr>
            </w:pPr>
          </w:p>
        </w:tc>
      </w:tr>
      <w:tr w14:paraId="2E043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vAlign w:val="center"/>
          </w:tcPr>
          <w:p w14:paraId="3EA92C87">
            <w:pPr>
              <w:spacing w:line="560" w:lineRule="exact"/>
              <w:ind w:firstLine="480" w:firstLineChars="200"/>
              <w:rPr>
                <w:rFonts w:hint="eastAsia"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3</w:t>
            </w:r>
          </w:p>
        </w:tc>
        <w:tc>
          <w:tcPr>
            <w:tcW w:w="2724" w:type="dxa"/>
            <w:vAlign w:val="center"/>
          </w:tcPr>
          <w:p w14:paraId="2906B632">
            <w:pPr>
              <w:spacing w:line="560" w:lineRule="exact"/>
              <w:ind w:firstLine="480" w:firstLineChars="200"/>
              <w:rPr>
                <w:rFonts w:hint="eastAsia" w:asciiTheme="minorEastAsia" w:hAnsiTheme="minorEastAsia" w:eastAsiaTheme="minorEastAsia"/>
                <w:color w:val="auto"/>
                <w:sz w:val="24"/>
                <w:highlight w:val="none"/>
                <w:lang w:val="zh-CN"/>
              </w:rPr>
            </w:pPr>
          </w:p>
        </w:tc>
        <w:tc>
          <w:tcPr>
            <w:tcW w:w="1523" w:type="dxa"/>
            <w:vAlign w:val="center"/>
          </w:tcPr>
          <w:p w14:paraId="555C8765">
            <w:pPr>
              <w:spacing w:line="560" w:lineRule="exact"/>
              <w:ind w:firstLine="480" w:firstLineChars="200"/>
              <w:rPr>
                <w:rFonts w:hint="eastAsia" w:asciiTheme="minorEastAsia" w:hAnsiTheme="minorEastAsia" w:eastAsiaTheme="minorEastAsia"/>
                <w:color w:val="auto"/>
                <w:sz w:val="24"/>
                <w:highlight w:val="none"/>
              </w:rPr>
            </w:pPr>
          </w:p>
        </w:tc>
        <w:tc>
          <w:tcPr>
            <w:tcW w:w="1734" w:type="dxa"/>
            <w:vAlign w:val="center"/>
          </w:tcPr>
          <w:p w14:paraId="2D0DA7A4">
            <w:pPr>
              <w:spacing w:line="560" w:lineRule="exact"/>
              <w:ind w:firstLine="480" w:firstLineChars="200"/>
              <w:rPr>
                <w:rFonts w:hint="eastAsia" w:asciiTheme="minorEastAsia" w:hAnsiTheme="minorEastAsia" w:eastAsiaTheme="minorEastAsia"/>
                <w:color w:val="auto"/>
                <w:sz w:val="24"/>
                <w:highlight w:val="none"/>
              </w:rPr>
            </w:pPr>
          </w:p>
        </w:tc>
        <w:tc>
          <w:tcPr>
            <w:tcW w:w="1675" w:type="dxa"/>
            <w:vAlign w:val="center"/>
          </w:tcPr>
          <w:p w14:paraId="558396C8">
            <w:pPr>
              <w:spacing w:line="560" w:lineRule="exact"/>
              <w:ind w:firstLine="480" w:firstLineChars="200"/>
              <w:rPr>
                <w:rFonts w:hint="eastAsia" w:asciiTheme="minorEastAsia" w:hAnsiTheme="minorEastAsia" w:eastAsiaTheme="minorEastAsia"/>
                <w:color w:val="auto"/>
                <w:sz w:val="24"/>
                <w:highlight w:val="none"/>
              </w:rPr>
            </w:pPr>
          </w:p>
        </w:tc>
      </w:tr>
      <w:tr w14:paraId="5A179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vAlign w:val="center"/>
          </w:tcPr>
          <w:p w14:paraId="13FEA971">
            <w:pPr>
              <w:spacing w:line="56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2724" w:type="dxa"/>
            <w:vAlign w:val="center"/>
          </w:tcPr>
          <w:p w14:paraId="755AF923">
            <w:pPr>
              <w:spacing w:line="560" w:lineRule="exact"/>
              <w:ind w:firstLine="480" w:firstLineChars="200"/>
              <w:rPr>
                <w:rFonts w:hint="eastAsia" w:asciiTheme="minorEastAsia" w:hAnsiTheme="minorEastAsia" w:eastAsiaTheme="minorEastAsia"/>
                <w:color w:val="auto"/>
                <w:sz w:val="24"/>
                <w:highlight w:val="none"/>
              </w:rPr>
            </w:pPr>
          </w:p>
        </w:tc>
        <w:tc>
          <w:tcPr>
            <w:tcW w:w="1523" w:type="dxa"/>
            <w:vAlign w:val="center"/>
          </w:tcPr>
          <w:p w14:paraId="73CC84E6">
            <w:pPr>
              <w:spacing w:line="560" w:lineRule="exact"/>
              <w:ind w:firstLine="480" w:firstLineChars="200"/>
              <w:rPr>
                <w:rFonts w:hint="eastAsia" w:asciiTheme="minorEastAsia" w:hAnsiTheme="minorEastAsia" w:eastAsiaTheme="minorEastAsia"/>
                <w:color w:val="auto"/>
                <w:sz w:val="24"/>
                <w:highlight w:val="none"/>
              </w:rPr>
            </w:pPr>
          </w:p>
        </w:tc>
        <w:tc>
          <w:tcPr>
            <w:tcW w:w="1734" w:type="dxa"/>
            <w:vAlign w:val="center"/>
          </w:tcPr>
          <w:p w14:paraId="7543473B">
            <w:pPr>
              <w:spacing w:line="560" w:lineRule="exact"/>
              <w:ind w:firstLine="480" w:firstLineChars="200"/>
              <w:rPr>
                <w:rFonts w:hint="eastAsia" w:asciiTheme="minorEastAsia" w:hAnsiTheme="minorEastAsia" w:eastAsiaTheme="minorEastAsia"/>
                <w:color w:val="auto"/>
                <w:sz w:val="24"/>
                <w:highlight w:val="none"/>
              </w:rPr>
            </w:pPr>
          </w:p>
        </w:tc>
        <w:tc>
          <w:tcPr>
            <w:tcW w:w="1675" w:type="dxa"/>
            <w:vAlign w:val="center"/>
          </w:tcPr>
          <w:p w14:paraId="59C69601">
            <w:pPr>
              <w:spacing w:line="560" w:lineRule="exact"/>
              <w:ind w:firstLine="480" w:firstLineChars="200"/>
              <w:rPr>
                <w:rFonts w:hint="eastAsia" w:asciiTheme="minorEastAsia" w:hAnsiTheme="minorEastAsia" w:eastAsiaTheme="minorEastAsia"/>
                <w:color w:val="auto"/>
                <w:sz w:val="24"/>
                <w:highlight w:val="none"/>
              </w:rPr>
            </w:pPr>
          </w:p>
        </w:tc>
      </w:tr>
      <w:tr w14:paraId="7B13A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vAlign w:val="center"/>
          </w:tcPr>
          <w:p w14:paraId="040C564A">
            <w:pPr>
              <w:spacing w:line="56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p>
        </w:tc>
        <w:tc>
          <w:tcPr>
            <w:tcW w:w="2724" w:type="dxa"/>
            <w:vAlign w:val="center"/>
          </w:tcPr>
          <w:p w14:paraId="3A082B40">
            <w:pPr>
              <w:spacing w:line="560" w:lineRule="exact"/>
              <w:ind w:firstLine="480" w:firstLineChars="200"/>
              <w:rPr>
                <w:rFonts w:hint="eastAsia" w:asciiTheme="minorEastAsia" w:hAnsiTheme="minorEastAsia" w:eastAsiaTheme="minorEastAsia"/>
                <w:color w:val="auto"/>
                <w:sz w:val="24"/>
                <w:highlight w:val="none"/>
              </w:rPr>
            </w:pPr>
          </w:p>
        </w:tc>
        <w:tc>
          <w:tcPr>
            <w:tcW w:w="1523" w:type="dxa"/>
            <w:vAlign w:val="center"/>
          </w:tcPr>
          <w:p w14:paraId="493378D2">
            <w:pPr>
              <w:spacing w:line="560" w:lineRule="exact"/>
              <w:ind w:firstLine="480" w:firstLineChars="200"/>
              <w:rPr>
                <w:rFonts w:hint="eastAsia" w:asciiTheme="minorEastAsia" w:hAnsiTheme="minorEastAsia" w:eastAsiaTheme="minorEastAsia"/>
                <w:color w:val="auto"/>
                <w:sz w:val="24"/>
                <w:highlight w:val="none"/>
              </w:rPr>
            </w:pPr>
          </w:p>
        </w:tc>
        <w:tc>
          <w:tcPr>
            <w:tcW w:w="1734" w:type="dxa"/>
            <w:vAlign w:val="center"/>
          </w:tcPr>
          <w:p w14:paraId="0E8BA097">
            <w:pPr>
              <w:spacing w:line="560" w:lineRule="exact"/>
              <w:ind w:firstLine="480" w:firstLineChars="200"/>
              <w:rPr>
                <w:rFonts w:hint="eastAsia" w:asciiTheme="minorEastAsia" w:hAnsiTheme="minorEastAsia" w:eastAsiaTheme="minorEastAsia"/>
                <w:color w:val="auto"/>
                <w:sz w:val="24"/>
                <w:highlight w:val="none"/>
              </w:rPr>
            </w:pPr>
          </w:p>
        </w:tc>
        <w:tc>
          <w:tcPr>
            <w:tcW w:w="1675" w:type="dxa"/>
            <w:vAlign w:val="center"/>
          </w:tcPr>
          <w:p w14:paraId="7B45CB9D">
            <w:pPr>
              <w:spacing w:line="560" w:lineRule="exact"/>
              <w:ind w:firstLine="480" w:firstLineChars="200"/>
              <w:rPr>
                <w:rFonts w:hint="eastAsia" w:asciiTheme="minorEastAsia" w:hAnsiTheme="minorEastAsia" w:eastAsiaTheme="minorEastAsia"/>
                <w:color w:val="auto"/>
                <w:sz w:val="24"/>
                <w:highlight w:val="none"/>
              </w:rPr>
            </w:pPr>
          </w:p>
        </w:tc>
      </w:tr>
    </w:tbl>
    <w:p w14:paraId="5BC5D835">
      <w:pPr>
        <w:spacing w:line="440" w:lineRule="exact"/>
        <w:rPr>
          <w:rFonts w:hint="eastAsia" w:cs="宋体" w:asciiTheme="minorEastAsia" w:hAnsiTheme="minorEastAsia" w:eastAsiaTheme="minorEastAsia"/>
          <w:b/>
          <w:bCs/>
          <w:color w:val="auto"/>
          <w:sz w:val="24"/>
          <w:highlight w:val="none"/>
        </w:rPr>
      </w:pPr>
      <w:r>
        <w:rPr>
          <w:rFonts w:hint="eastAsia" w:cs="仿宋" w:asciiTheme="minorEastAsia" w:hAnsiTheme="minorEastAsia" w:eastAsiaTheme="minorEastAsia"/>
          <w:b/>
          <w:color w:val="auto"/>
          <w:sz w:val="24"/>
          <w:highlight w:val="none"/>
        </w:rPr>
        <w:t>二、服务内容：</w:t>
      </w:r>
    </w:p>
    <w:p w14:paraId="084FA044">
      <w:pPr>
        <w:snapToGrid w:val="0"/>
        <w:spacing w:line="440" w:lineRule="exact"/>
        <w:ind w:firstLine="482" w:firstLineChars="200"/>
        <w:rPr>
          <w:rFonts w:hint="eastAsia"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1、街巷保洁作业内容：</w:t>
      </w:r>
    </w:p>
    <w:p w14:paraId="0B3139B2">
      <w:pPr>
        <w:pStyle w:val="130"/>
        <w:spacing w:line="440" w:lineRule="exact"/>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（1）街巷保洁按</w:t>
      </w:r>
      <w:r>
        <w:rPr>
          <w:rFonts w:hint="eastAsia" w:cs="Times New Roman" w:asciiTheme="minorEastAsia" w:hAnsiTheme="minorEastAsia" w:eastAsiaTheme="minorEastAsia"/>
          <w:color w:val="auto"/>
          <w:highlight w:val="none"/>
        </w:rPr>
        <w:t>《杭州市人民政府办公厅转发市城管委关于杭州城区整洁度检查考核试行办法的通知》（杭政办函〔2012〕177 号）、《关于进一步明确“杭州城管 驿站 ”管理相关事项的通知》（杭城管委[2018]233 号）、《关于印发&lt;杭州市 环卫作业人员着装与作业行为规范&gt;及&lt;杭州市环卫作业车辆标识与作业管理规 范&gt;的通知》（杭城管委〔2016〕130 号）、《关于印发杭州市城管行业服装统一标识规范的通知》（杭城管委﹝2018﹞ 16 号）执行、《关于印发 2022 年度各 区县（市）政府（管委会）城市管理目标考核相关评分细则的通知》（杭城管综执联办﹝2022﹞ 1 号）、《2023年度清洁度考核细则（重点）》</w:t>
      </w:r>
      <w:r>
        <w:rPr>
          <w:rFonts w:hint="eastAsia" w:cs="Times New Roman" w:asciiTheme="minorEastAsia" w:hAnsiTheme="minorEastAsia" w:eastAsiaTheme="minorEastAsia"/>
          <w:color w:val="auto"/>
          <w:highlight w:val="none"/>
          <w:lang w:eastAsia="zh-CN"/>
        </w:rPr>
        <w:t>、</w:t>
      </w:r>
      <w:r>
        <w:rPr>
          <w:rFonts w:hint="eastAsia" w:cs="Times New Roman" w:asciiTheme="minorEastAsia" w:hAnsiTheme="minorEastAsia" w:eastAsiaTheme="minorEastAsia"/>
          <w:color w:val="auto"/>
          <w:highlight w:val="none"/>
        </w:rPr>
        <w:t>《关于发布 2021 年版杭州市道路保洁经费定额的通知》（杭城管局﹝2021﹞ 138 号）、《杭州市城市市容和环境卫生管理条例》、 《</w:t>
      </w:r>
      <w:r>
        <w:rPr>
          <w:rFonts w:hint="eastAsia" w:cs="Times New Roman" w:asciiTheme="minorEastAsia" w:hAnsiTheme="minorEastAsia" w:eastAsiaTheme="minorEastAsia"/>
          <w:color w:val="auto"/>
          <w:highlight w:val="none"/>
          <w:lang w:eastAsia="zh-CN"/>
        </w:rPr>
        <w:t>城市道路清扫保洁作业规范</w:t>
      </w:r>
      <w:r>
        <w:rPr>
          <w:rFonts w:hint="eastAsia" w:cs="Times New Roman" w:asciiTheme="minorEastAsia" w:hAnsiTheme="minorEastAsia" w:eastAsiaTheme="minorEastAsia"/>
          <w:color w:val="auto"/>
          <w:highlight w:val="none"/>
        </w:rPr>
        <w:t>》</w:t>
      </w:r>
      <w:r>
        <w:rPr>
          <w:rFonts w:hint="eastAsia" w:asciiTheme="minorEastAsia" w:hAnsiTheme="minorEastAsia" w:eastAsiaTheme="minorEastAsia"/>
          <w:color w:val="auto"/>
          <w:highlight w:val="none"/>
        </w:rPr>
        <w:t>等有关规定执行。如有新的标准及规定，则按国家或相关部分发布的新标准、新规定执行。</w:t>
      </w:r>
    </w:p>
    <w:p w14:paraId="233A511F">
      <w:pPr>
        <w:pStyle w:val="130"/>
        <w:spacing w:line="440" w:lineRule="exact"/>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（2）街巷清扫、保洁（含机扫、洒水、洁面工程）必须作业到两边建筑物基石（机扫、洒水到道路侧石），道路岔道、喇叭口清扫向外延伸15米。</w:t>
      </w:r>
    </w:p>
    <w:p w14:paraId="1E2163D1">
      <w:pPr>
        <w:tabs>
          <w:tab w:val="left" w:pos="360"/>
          <w:tab w:val="left" w:pos="720"/>
        </w:tabs>
        <w:spacing w:line="44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（3）街巷两侧乱涂写清理及擦洗，无生活污水。</w:t>
      </w:r>
    </w:p>
    <w:p w14:paraId="5E28ECF5">
      <w:pPr>
        <w:tabs>
          <w:tab w:val="left" w:pos="360"/>
          <w:tab w:val="left" w:pos="720"/>
        </w:tabs>
        <w:spacing w:line="44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（4）绿化带、花坛、天井、空地、垃圾箱周围等公共场所要及时清扫并保持干净，做到无杂物、无垃圾。</w:t>
      </w:r>
    </w:p>
    <w:p w14:paraId="20141F14">
      <w:pPr>
        <w:tabs>
          <w:tab w:val="left" w:pos="360"/>
          <w:tab w:val="left" w:pos="720"/>
        </w:tabs>
        <w:spacing w:line="44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（5）路面无垃圾，无杂物，无积泥，晴天无积水。雨水井畅通干净，树圈无垃圾。</w:t>
      </w:r>
    </w:p>
    <w:p w14:paraId="4FD4AE45">
      <w:pPr>
        <w:tabs>
          <w:tab w:val="left" w:pos="360"/>
          <w:tab w:val="left" w:pos="720"/>
        </w:tabs>
        <w:spacing w:line="44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（6）出入口保持清洁。</w:t>
      </w:r>
    </w:p>
    <w:p w14:paraId="4A16B7B5">
      <w:pPr>
        <w:tabs>
          <w:tab w:val="left" w:pos="360"/>
          <w:tab w:val="left" w:pos="720"/>
        </w:tabs>
        <w:spacing w:line="44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（7）垃圾箱（房）清运时协助直运公司人员清除散落在地面的垃圾。</w:t>
      </w:r>
    </w:p>
    <w:p w14:paraId="3CCEFA0B">
      <w:pPr>
        <w:tabs>
          <w:tab w:val="left" w:pos="360"/>
          <w:tab w:val="left" w:pos="720"/>
        </w:tabs>
        <w:spacing w:line="44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（8）街巷两侧范围渣土、大件垃圾、建筑垃圾等应及时发现并及时清理、清运及处理（量较大时，应及时上报，经核实量后及时作业）。</w:t>
      </w:r>
    </w:p>
    <w:p w14:paraId="6F1C9ED0">
      <w:pPr>
        <w:tabs>
          <w:tab w:val="left" w:pos="360"/>
          <w:tab w:val="left" w:pos="720"/>
        </w:tabs>
        <w:spacing w:line="44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（9）片区清扫保洁产生的垃圾就近倾倒，不准扫入市区主次道路。</w:t>
      </w:r>
    </w:p>
    <w:p w14:paraId="77748059">
      <w:pPr>
        <w:tabs>
          <w:tab w:val="left" w:pos="360"/>
          <w:tab w:val="left" w:pos="720"/>
        </w:tabs>
        <w:spacing w:line="44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（10）垃圾箱（房）必须加盖，垃圾清运应做到车走地净，垃圾箱周围无遗留垃圾，不得沿路散落垃圾。</w:t>
      </w:r>
    </w:p>
    <w:p w14:paraId="1358C4D0">
      <w:pPr>
        <w:tabs>
          <w:tab w:val="left" w:pos="360"/>
          <w:tab w:val="left" w:pos="720"/>
        </w:tabs>
        <w:spacing w:line="44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（11）垃圾箱（房）保持整洁，每天清洗一次。</w:t>
      </w:r>
    </w:p>
    <w:p w14:paraId="27DA352E">
      <w:pPr>
        <w:pStyle w:val="130"/>
        <w:spacing w:before="0" w:line="440" w:lineRule="exact"/>
        <w:ind w:firstLine="508" w:firstLineChars="212"/>
        <w:rPr>
          <w:rFonts w:hint="eastAsia" w:cs="宋体" w:asciiTheme="minorEastAsia" w:hAnsiTheme="minorEastAsia" w:eastAsiaTheme="minorEastAsia"/>
          <w:color w:val="auto"/>
          <w:kern w:val="0"/>
          <w:szCs w:val="24"/>
          <w:highlight w:val="none"/>
        </w:rPr>
      </w:pPr>
      <w:r>
        <w:rPr>
          <w:rFonts w:hint="eastAsia" w:asciiTheme="minorEastAsia" w:hAnsiTheme="minorEastAsia" w:eastAsiaTheme="minorEastAsia"/>
          <w:color w:val="auto"/>
          <w:szCs w:val="24"/>
          <w:highlight w:val="none"/>
        </w:rPr>
        <w:t>（12）及时</w:t>
      </w:r>
      <w:r>
        <w:rPr>
          <w:rFonts w:hint="eastAsia" w:cs="宋体" w:asciiTheme="minorEastAsia" w:hAnsiTheme="minorEastAsia" w:eastAsiaTheme="minorEastAsia"/>
          <w:color w:val="auto"/>
          <w:kern w:val="0"/>
          <w:szCs w:val="24"/>
          <w:highlight w:val="none"/>
        </w:rPr>
        <w:t>制止偷倒乱倒垃圾行为，及时清除无主垃圾和废土。</w:t>
      </w:r>
    </w:p>
    <w:p w14:paraId="0A2363E7">
      <w:pPr>
        <w:pStyle w:val="130"/>
        <w:spacing w:before="0" w:line="440" w:lineRule="exact"/>
        <w:ind w:firstLine="480"/>
        <w:rPr>
          <w:rFonts w:hint="eastAsia" w:cs="宋体" w:asciiTheme="minorEastAsia" w:hAnsiTheme="minorEastAsia" w:eastAsiaTheme="minorEastAsia"/>
          <w:color w:val="auto"/>
          <w:kern w:val="0"/>
          <w:szCs w:val="24"/>
          <w:highlight w:val="none"/>
        </w:rPr>
      </w:pPr>
      <w:r>
        <w:rPr>
          <w:rFonts w:hint="eastAsia" w:asciiTheme="minorEastAsia" w:hAnsiTheme="minorEastAsia" w:eastAsiaTheme="minorEastAsia"/>
          <w:color w:val="auto"/>
          <w:szCs w:val="24"/>
          <w:highlight w:val="none"/>
        </w:rPr>
        <w:t>（13）</w:t>
      </w:r>
      <w:r>
        <w:rPr>
          <w:rFonts w:hint="eastAsia" w:cs="宋体" w:asciiTheme="minorEastAsia" w:hAnsiTheme="minorEastAsia" w:eastAsiaTheme="minorEastAsia"/>
          <w:color w:val="auto"/>
          <w:kern w:val="0"/>
          <w:szCs w:val="24"/>
          <w:highlight w:val="none"/>
        </w:rPr>
        <w:t>遇有重大活动或抗台、抗雪等突发事件，必须无条件及时组织力量做好清扫保洁等保障工作，服从甲方的统一指挥。</w:t>
      </w:r>
    </w:p>
    <w:p w14:paraId="17ADA195">
      <w:pPr>
        <w:pStyle w:val="130"/>
        <w:spacing w:before="0" w:line="440" w:lineRule="exact"/>
        <w:ind w:firstLine="480"/>
        <w:rPr>
          <w:rFonts w:hint="eastAsia" w:cs="宋体" w:asciiTheme="minorEastAsia" w:hAnsiTheme="minorEastAsia" w:eastAsiaTheme="minorEastAsia"/>
          <w:color w:val="auto"/>
          <w:kern w:val="0"/>
          <w:szCs w:val="24"/>
          <w:highlight w:val="none"/>
        </w:rPr>
      </w:pPr>
      <w:r>
        <w:rPr>
          <w:rFonts w:hint="eastAsia" w:asciiTheme="minorEastAsia" w:hAnsiTheme="minorEastAsia" w:eastAsiaTheme="minorEastAsia"/>
          <w:color w:val="auto"/>
          <w:szCs w:val="24"/>
          <w:highlight w:val="none"/>
        </w:rPr>
        <w:t>（14）</w:t>
      </w:r>
      <w:r>
        <w:rPr>
          <w:rFonts w:hint="eastAsia" w:cs="宋体" w:asciiTheme="minorEastAsia" w:hAnsiTheme="minorEastAsia" w:eastAsiaTheme="minorEastAsia"/>
          <w:color w:val="auto"/>
          <w:kern w:val="0"/>
          <w:szCs w:val="24"/>
          <w:highlight w:val="none"/>
        </w:rPr>
        <w:t>负责做好本合同标段作业范围内的城市管理类各项检查工作、长效管理抄告单、“数字城管”和群众信访、投诉处理件的处理、整改和回复工作。</w:t>
      </w:r>
    </w:p>
    <w:p w14:paraId="3B4BE049">
      <w:pPr>
        <w:autoSpaceDE w:val="0"/>
        <w:autoSpaceDN w:val="0"/>
        <w:spacing w:line="440" w:lineRule="exact"/>
        <w:ind w:firstLine="482" w:firstLineChars="200"/>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rPr>
        <w:t>2、 准物业管理作业内容</w:t>
      </w:r>
    </w:p>
    <w:p w14:paraId="2C4E7D89">
      <w:pPr>
        <w:autoSpaceDE w:val="0"/>
        <w:autoSpaceDN w:val="0"/>
        <w:spacing w:line="440" w:lineRule="exact"/>
        <w:ind w:firstLine="480" w:firstLineChars="200"/>
        <w:rPr>
          <w:rFonts w:hint="eastAsia" w:asciiTheme="minorEastAsia" w:hAnsiTheme="minorEastAsia" w:eastAsiaTheme="minorEastAsia"/>
          <w:b/>
          <w:color w:val="auto"/>
          <w:sz w:val="24"/>
          <w:highlight w:val="none"/>
        </w:rPr>
      </w:pPr>
      <w:r>
        <w:rPr>
          <w:rFonts w:hint="eastAsia" w:ascii="仿宋_GB2312" w:hAnsi="仿宋_GB2312" w:eastAsia="仿宋_GB2312" w:cs="仿宋_GB2312"/>
          <w:color w:val="auto"/>
          <w:sz w:val="24"/>
          <w:highlight w:val="none"/>
        </w:rPr>
        <w:t xml:space="preserve">   </w:t>
      </w:r>
      <w:r>
        <w:rPr>
          <w:rFonts w:hint="eastAsia" w:asciiTheme="minorEastAsia" w:hAnsiTheme="minorEastAsia" w:eastAsiaTheme="minorEastAsia"/>
          <w:color w:val="auto"/>
          <w:sz w:val="24"/>
          <w:highlight w:val="none"/>
        </w:rPr>
        <w:t xml:space="preserve"> 1.物业管理区域内物业共用部位、共用设施设备的管理及维修养护；</w:t>
      </w:r>
    </w:p>
    <w:p w14:paraId="68CAD90C">
      <w:pPr>
        <w:snapToGrid w:val="0"/>
        <w:spacing w:line="44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2.物业管理区域内公共秩序和环境卫生的维护、垃圾分类；</w:t>
      </w:r>
    </w:p>
    <w:p w14:paraId="7BB7B158">
      <w:pPr>
        <w:snapToGrid w:val="0"/>
        <w:spacing w:line="44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3.物业管理区域内的绿化养护和管理；</w:t>
      </w:r>
    </w:p>
    <w:p w14:paraId="633468A5">
      <w:pPr>
        <w:snapToGrid w:val="0"/>
        <w:spacing w:line="44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4.物业管理区域内车辆机动车和非机动车行驶、停放及场所管理；</w:t>
      </w:r>
    </w:p>
    <w:p w14:paraId="01968CCB">
      <w:pPr>
        <w:snapToGrid w:val="0"/>
        <w:spacing w:line="44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5.供水、供电、供气、电信等专业单位在物业管理区域内对相关管线、设施维修养护时，进行必要的协调和管理；</w:t>
      </w:r>
    </w:p>
    <w:p w14:paraId="302021AA">
      <w:pPr>
        <w:snapToGrid w:val="0"/>
        <w:spacing w:line="44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6.物业管理区域的日常安全巡查服务；</w:t>
      </w:r>
    </w:p>
    <w:p w14:paraId="1FFAA7C5">
      <w:pPr>
        <w:snapToGrid w:val="0"/>
        <w:spacing w:line="44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7.物业档案资料的保管及有关物业服务费用的帐务管理。</w:t>
      </w:r>
    </w:p>
    <w:p w14:paraId="2883438F">
      <w:pPr>
        <w:snapToGrid w:val="0"/>
        <w:spacing w:line="44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8.区域内业主投诉、文化建设和便民服务活动等。</w:t>
      </w:r>
    </w:p>
    <w:p w14:paraId="54775E9A">
      <w:pPr>
        <w:snapToGrid w:val="0"/>
        <w:spacing w:line="44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9.街道以及社区临时需要准物业完成、配合的各项工作。</w:t>
      </w:r>
    </w:p>
    <w:p w14:paraId="5996B93F">
      <w:pPr>
        <w:snapToGrid w:val="0"/>
        <w:spacing w:line="44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10.法律政策及合同规定的其他事项。</w:t>
      </w:r>
    </w:p>
    <w:p w14:paraId="67F02CF5">
      <w:pPr>
        <w:autoSpaceDE w:val="0"/>
        <w:autoSpaceDN w:val="0"/>
        <w:spacing w:line="440" w:lineRule="exact"/>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 xml:space="preserve"> 3、垃圾分类内容</w:t>
      </w:r>
    </w:p>
    <w:p w14:paraId="052B6F8E">
      <w:pPr>
        <w:spacing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根据甲方要求，落实人员配合推进整个区域垃圾房（垃圾投放点）承包责任制辅助细分模式，现场指导居民垃圾分类投放。</w:t>
      </w:r>
    </w:p>
    <w:p w14:paraId="2A7DC489">
      <w:pPr>
        <w:snapToGrid w:val="0"/>
        <w:spacing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1）落实保洁员负责垃圾房（垃圾投放点）</w:t>
      </w:r>
      <w:r>
        <w:rPr>
          <w:rFonts w:hint="eastAsia" w:cs="仿宋" w:asciiTheme="minorEastAsia" w:hAnsiTheme="minorEastAsia" w:eastAsiaTheme="minorEastAsia"/>
          <w:bCs/>
          <w:color w:val="auto"/>
          <w:sz w:val="24"/>
          <w:highlight w:val="none"/>
        </w:rPr>
        <w:t>居民垃圾投放劝导、宣传以及辅助分拣。</w:t>
      </w:r>
    </w:p>
    <w:p w14:paraId="54C7C89B">
      <w:pPr>
        <w:snapToGrid w:val="0"/>
        <w:spacing w:line="440" w:lineRule="exact"/>
        <w:ind w:firstLine="480" w:firstLineChars="200"/>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color w:val="auto"/>
          <w:sz w:val="24"/>
          <w:highlight w:val="none"/>
        </w:rPr>
        <w:t>2）</w:t>
      </w:r>
      <w:r>
        <w:rPr>
          <w:rFonts w:hint="eastAsia" w:cs="仿宋" w:asciiTheme="minorEastAsia" w:hAnsiTheme="minorEastAsia" w:eastAsiaTheme="minorEastAsia"/>
          <w:bCs/>
          <w:color w:val="auto"/>
          <w:sz w:val="24"/>
          <w:highlight w:val="none"/>
        </w:rPr>
        <w:t>负责垃圾分类辖区的垃圾桶（房）、投放牌破损维护、修理及缺失的排查，并及时将情况反馈至社区。</w:t>
      </w:r>
    </w:p>
    <w:p w14:paraId="3C6DEC13">
      <w:pPr>
        <w:snapToGrid w:val="0"/>
        <w:spacing w:line="440" w:lineRule="exact"/>
        <w:ind w:firstLine="480" w:firstLineChars="200"/>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3) 负责分类垃圾桶（垃圾房）的标识正确清晰，摆放正确合理。</w:t>
      </w:r>
    </w:p>
    <w:p w14:paraId="7C10BC53">
      <w:pPr>
        <w:snapToGrid w:val="0"/>
        <w:spacing w:line="440" w:lineRule="exact"/>
        <w:ind w:firstLine="480" w:firstLineChars="200"/>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4）积极参与街道、社区组织的垃圾分类活动。</w:t>
      </w:r>
    </w:p>
    <w:p w14:paraId="6A6065F1">
      <w:pPr>
        <w:snapToGrid w:val="0"/>
        <w:spacing w:line="440" w:lineRule="exact"/>
        <w:ind w:firstLine="480" w:firstLineChars="200"/>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5）完成甲方交办的垃圾分类培训等其他任务。</w:t>
      </w:r>
    </w:p>
    <w:p w14:paraId="1E0547DC">
      <w:pPr>
        <w:snapToGrid w:val="0"/>
        <w:spacing w:line="440" w:lineRule="exact"/>
        <w:ind w:firstLine="480" w:firstLineChars="200"/>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6）垃圾不落地夜间收集泔水，由专人将拖桶至统一收集点，完成清运后将桶回收；夜间收集时间由甲方确定，目前收集时间为每天晚间7点至9点。</w:t>
      </w:r>
    </w:p>
    <w:p w14:paraId="0D4309DF">
      <w:pPr>
        <w:snapToGrid w:val="0"/>
        <w:spacing w:line="440" w:lineRule="exact"/>
        <w:ind w:firstLine="482" w:firstLineChars="200"/>
        <w:rPr>
          <w:rFonts w:hint="eastAsia"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4、审计要求</w:t>
      </w:r>
    </w:p>
    <w:p w14:paraId="7EA34881">
      <w:pPr>
        <w:snapToGrid w:val="0"/>
        <w:spacing w:line="440" w:lineRule="exact"/>
        <w:ind w:firstLine="480" w:firstLineChars="200"/>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在合同服务期内，为确保</w:t>
      </w:r>
      <w:r>
        <w:rPr>
          <w:rFonts w:hint="eastAsia" w:cs="仿宋" w:asciiTheme="minorEastAsia" w:hAnsiTheme="minorEastAsia" w:eastAsiaTheme="minorEastAsia"/>
          <w:bCs/>
          <w:color w:val="auto"/>
          <w:sz w:val="24"/>
          <w:highlight w:val="none"/>
          <w:lang w:val="en-US" w:eastAsia="zh-CN"/>
        </w:rPr>
        <w:t>乙方</w:t>
      </w:r>
      <w:r>
        <w:rPr>
          <w:rFonts w:hint="eastAsia" w:cs="仿宋" w:asciiTheme="minorEastAsia" w:hAnsiTheme="minorEastAsia" w:eastAsiaTheme="minorEastAsia"/>
          <w:bCs/>
          <w:color w:val="auto"/>
          <w:sz w:val="24"/>
          <w:highlight w:val="none"/>
        </w:rPr>
        <w:t>的财务透明度及合规性，针对服务收入的使用和管理情况，</w:t>
      </w:r>
      <w:r>
        <w:rPr>
          <w:rFonts w:hint="eastAsia" w:cs="仿宋" w:asciiTheme="minorEastAsia" w:hAnsiTheme="minorEastAsia" w:eastAsiaTheme="minorEastAsia"/>
          <w:bCs/>
          <w:color w:val="auto"/>
          <w:sz w:val="24"/>
          <w:highlight w:val="none"/>
          <w:lang w:val="en-US" w:eastAsia="zh-CN"/>
        </w:rPr>
        <w:t>乙方须按甲方要求，及时无条件配合</w:t>
      </w:r>
      <w:r>
        <w:rPr>
          <w:rFonts w:hint="eastAsia" w:cs="仿宋" w:asciiTheme="minorEastAsia" w:hAnsiTheme="minorEastAsia" w:eastAsiaTheme="minorEastAsia"/>
          <w:bCs/>
          <w:color w:val="auto"/>
          <w:sz w:val="24"/>
          <w:highlight w:val="none"/>
        </w:rPr>
        <w:t>提供年度审计报告给甲方。审计费用由</w:t>
      </w:r>
      <w:r>
        <w:rPr>
          <w:rFonts w:hint="eastAsia" w:cs="仿宋" w:asciiTheme="minorEastAsia" w:hAnsiTheme="minorEastAsia" w:eastAsiaTheme="minorEastAsia"/>
          <w:bCs/>
          <w:color w:val="auto"/>
          <w:sz w:val="24"/>
          <w:highlight w:val="none"/>
          <w:lang w:val="en-US" w:eastAsia="zh-CN"/>
        </w:rPr>
        <w:t>乙方</w:t>
      </w:r>
      <w:r>
        <w:rPr>
          <w:rFonts w:hint="eastAsia" w:cs="仿宋" w:asciiTheme="minorEastAsia" w:hAnsiTheme="minorEastAsia" w:eastAsiaTheme="minorEastAsia"/>
          <w:bCs/>
          <w:color w:val="auto"/>
          <w:sz w:val="24"/>
          <w:highlight w:val="none"/>
        </w:rPr>
        <w:t>支付。</w:t>
      </w:r>
    </w:p>
    <w:p w14:paraId="46117105">
      <w:pPr>
        <w:spacing w:line="440" w:lineRule="exact"/>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三、服务人员要求：</w:t>
      </w:r>
    </w:p>
    <w:p w14:paraId="33D92392">
      <w:pPr>
        <w:autoSpaceDE w:val="0"/>
        <w:autoSpaceDN w:val="0"/>
        <w:snapToGrid w:val="0"/>
        <w:spacing w:line="440" w:lineRule="exact"/>
        <w:ind w:firstLine="480"/>
        <w:rPr>
          <w:rFonts w:hint="eastAsia" w:cs="Times New Roman" w:asciiTheme="minorEastAsia" w:hAnsiTheme="minorEastAsia" w:eastAsiaTheme="minorEastAsia"/>
          <w:color w:val="auto"/>
          <w:sz w:val="24"/>
          <w:highlight w:val="none"/>
          <w:lang w:eastAsia="zh-CN"/>
        </w:rPr>
      </w:pPr>
      <w:r>
        <w:rPr>
          <w:rFonts w:hint="eastAsia" w:cs="Times New Roman" w:asciiTheme="minorEastAsia" w:hAnsiTheme="minorEastAsia" w:eastAsiaTheme="minorEastAsia"/>
          <w:color w:val="auto"/>
          <w:sz w:val="24"/>
          <w:highlight w:val="none"/>
          <w:lang w:val="en-US" w:eastAsia="zh-CN"/>
        </w:rPr>
        <w:t>乙方的</w:t>
      </w:r>
      <w:r>
        <w:rPr>
          <w:rFonts w:hint="eastAsia" w:cs="Times New Roman" w:asciiTheme="minorEastAsia" w:hAnsiTheme="minorEastAsia" w:eastAsiaTheme="minorEastAsia"/>
          <w:color w:val="auto"/>
          <w:sz w:val="24"/>
          <w:highlight w:val="none"/>
        </w:rPr>
        <w:t>人员配置不少于109人，其中：项目负责人1人、项目助理5人、内勤6人、水电工</w:t>
      </w:r>
      <w:r>
        <w:rPr>
          <w:rFonts w:hint="eastAsia" w:cs="Times New Roman" w:asciiTheme="minorEastAsia" w:hAnsiTheme="minorEastAsia" w:eastAsiaTheme="minorEastAsia"/>
          <w:color w:val="auto"/>
          <w:sz w:val="24"/>
          <w:highlight w:val="none"/>
          <w:lang w:val="en-US" w:eastAsia="zh-CN"/>
        </w:rPr>
        <w:t>4</w:t>
      </w:r>
      <w:r>
        <w:rPr>
          <w:rFonts w:hint="eastAsia" w:cs="Times New Roman" w:asciiTheme="minorEastAsia" w:hAnsiTheme="minorEastAsia" w:eastAsiaTheme="minorEastAsia"/>
          <w:color w:val="auto"/>
          <w:sz w:val="24"/>
          <w:highlight w:val="none"/>
        </w:rPr>
        <w:t>人</w:t>
      </w:r>
      <w:r>
        <w:rPr>
          <w:rFonts w:hint="eastAsia" w:cs="Times New Roman" w:asciiTheme="minorEastAsia" w:hAnsiTheme="minorEastAsia" w:eastAsiaTheme="minorEastAsia"/>
          <w:color w:val="auto"/>
          <w:sz w:val="24"/>
          <w:highlight w:val="none"/>
          <w:lang w:eastAsia="zh-CN"/>
        </w:rPr>
        <w:t>（</w:t>
      </w:r>
      <w:r>
        <w:rPr>
          <w:rFonts w:hint="eastAsia" w:cs="Times New Roman" w:asciiTheme="minorEastAsia" w:hAnsiTheme="minorEastAsia" w:eastAsiaTheme="minorEastAsia"/>
          <w:color w:val="auto"/>
          <w:sz w:val="24"/>
          <w:highlight w:val="none"/>
          <w:lang w:val="en-US" w:eastAsia="zh-CN"/>
        </w:rPr>
        <w:t>持</w:t>
      </w:r>
      <w:r>
        <w:rPr>
          <w:rFonts w:hint="eastAsia" w:cs="Times New Roman" w:asciiTheme="minorEastAsia" w:hAnsiTheme="minorEastAsia" w:eastAsiaTheme="minorEastAsia"/>
          <w:color w:val="auto"/>
          <w:sz w:val="24"/>
          <w:highlight w:val="none"/>
        </w:rPr>
        <w:t>特种作业操作证[低压电工人员</w:t>
      </w:r>
      <w:r>
        <w:rPr>
          <w:rFonts w:hint="eastAsia" w:cs="Times New Roman" w:asciiTheme="minorEastAsia" w:hAnsiTheme="minorEastAsia" w:eastAsiaTheme="minorEastAsia"/>
          <w:color w:val="auto"/>
          <w:sz w:val="24"/>
          <w:highlight w:val="none"/>
          <w:lang w:val="en-US" w:eastAsia="zh-CN"/>
        </w:rPr>
        <w:t>或</w:t>
      </w:r>
      <w:r>
        <w:rPr>
          <w:rFonts w:hint="eastAsia" w:cs="Times New Roman" w:asciiTheme="minorEastAsia" w:hAnsiTheme="minorEastAsia" w:eastAsiaTheme="minorEastAsia"/>
          <w:color w:val="auto"/>
          <w:sz w:val="24"/>
          <w:highlight w:val="none"/>
        </w:rPr>
        <w:t>高压电工人员]</w:t>
      </w:r>
      <w:r>
        <w:rPr>
          <w:rFonts w:hint="eastAsia" w:cs="Times New Roman" w:asciiTheme="minorEastAsia" w:hAnsiTheme="minorEastAsia" w:eastAsiaTheme="minorEastAsia"/>
          <w:color w:val="auto"/>
          <w:sz w:val="24"/>
          <w:highlight w:val="none"/>
          <w:lang w:eastAsia="zh-CN"/>
        </w:rPr>
        <w:t>）</w:t>
      </w:r>
      <w:r>
        <w:rPr>
          <w:rFonts w:hint="eastAsia" w:cs="Times New Roman" w:asciiTheme="minorEastAsia" w:hAnsiTheme="minorEastAsia" w:eastAsiaTheme="minorEastAsia"/>
          <w:color w:val="auto"/>
          <w:sz w:val="24"/>
          <w:highlight w:val="none"/>
        </w:rPr>
        <w:t>、特种设备安全管理和作业人员</w:t>
      </w:r>
      <w:r>
        <w:rPr>
          <w:rFonts w:hint="eastAsia" w:cs="Times New Roman" w:asciiTheme="minorEastAsia" w:hAnsiTheme="minorEastAsia" w:eastAsiaTheme="minorEastAsia"/>
          <w:color w:val="auto"/>
          <w:sz w:val="24"/>
          <w:highlight w:val="none"/>
          <w:lang w:val="en-US" w:eastAsia="zh-CN"/>
        </w:rPr>
        <w:t>1人</w:t>
      </w:r>
      <w:r>
        <w:rPr>
          <w:rFonts w:hint="eastAsia" w:cs="Times New Roman" w:asciiTheme="minorEastAsia" w:hAnsiTheme="minorEastAsia" w:eastAsiaTheme="minorEastAsia"/>
          <w:color w:val="auto"/>
          <w:sz w:val="24"/>
          <w:highlight w:val="none"/>
        </w:rPr>
        <w:t>（项目代号A）</w:t>
      </w:r>
      <w:r>
        <w:rPr>
          <w:rFonts w:hint="eastAsia" w:cs="Times New Roman" w:asciiTheme="minorEastAsia" w:hAnsiTheme="minorEastAsia" w:eastAsiaTheme="minorEastAsia"/>
          <w:color w:val="auto"/>
          <w:sz w:val="24"/>
          <w:highlight w:val="none"/>
          <w:lang w:eastAsia="zh-CN"/>
        </w:rPr>
        <w:t>、</w:t>
      </w:r>
      <w:r>
        <w:rPr>
          <w:rFonts w:hint="eastAsia" w:cs="Times New Roman" w:asciiTheme="minorEastAsia" w:hAnsiTheme="minorEastAsia" w:eastAsiaTheme="minorEastAsia"/>
          <w:color w:val="auto"/>
          <w:sz w:val="24"/>
          <w:highlight w:val="none"/>
        </w:rPr>
        <w:t>保安13人、楼梯保洁12人、绿化养护 2人，街巷保洁</w:t>
      </w:r>
      <w:r>
        <w:rPr>
          <w:rFonts w:hint="eastAsia" w:cs="Times New Roman" w:asciiTheme="minorEastAsia" w:hAnsiTheme="minorEastAsia" w:eastAsiaTheme="minorEastAsia"/>
          <w:color w:val="auto"/>
          <w:sz w:val="24"/>
          <w:highlight w:val="none"/>
          <w:lang w:val="en-US" w:eastAsia="zh-CN"/>
        </w:rPr>
        <w:t>环卫工人</w:t>
      </w:r>
      <w:r>
        <w:rPr>
          <w:rFonts w:hint="eastAsia" w:cs="Times New Roman" w:asciiTheme="minorEastAsia" w:hAnsiTheme="minorEastAsia" w:eastAsiaTheme="minorEastAsia"/>
          <w:color w:val="auto"/>
          <w:sz w:val="24"/>
          <w:highlight w:val="none"/>
        </w:rPr>
        <w:t>35人。其他人员由投标人自行配置</w:t>
      </w:r>
      <w:r>
        <w:rPr>
          <w:rFonts w:hint="eastAsia" w:cs="Times New Roman" w:asciiTheme="minorEastAsia" w:hAnsiTheme="minorEastAsia" w:eastAsiaTheme="minorEastAsia"/>
          <w:color w:val="auto"/>
          <w:sz w:val="24"/>
          <w:highlight w:val="none"/>
          <w:lang w:eastAsia="zh-CN"/>
        </w:rPr>
        <w:t>。</w:t>
      </w:r>
    </w:p>
    <w:p w14:paraId="19C8F35E">
      <w:pPr>
        <w:autoSpaceDE w:val="0"/>
        <w:autoSpaceDN w:val="0"/>
        <w:snapToGrid w:val="0"/>
        <w:spacing w:line="440" w:lineRule="exact"/>
        <w:ind w:firstLine="480"/>
        <w:rPr>
          <w:rFonts w:hint="default"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上述乙方派遣的全部工作人员须具有完全民事行为能力，品行端正，特殊岗位须具备相应合法有效的资质；否则，甲方可提出更换要求，乙方须无条件及时予以配合响应。</w:t>
      </w:r>
    </w:p>
    <w:p w14:paraId="089AA139">
      <w:pPr>
        <w:spacing w:line="440" w:lineRule="exact"/>
        <w:ind w:firstLine="120" w:firstLineChars="50"/>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四、合同有效期</w:t>
      </w:r>
      <w:r>
        <w:rPr>
          <w:rFonts w:hint="eastAsia" w:cs="宋体" w:asciiTheme="minorEastAsia" w:hAnsiTheme="minorEastAsia" w:eastAsiaTheme="minorEastAsia"/>
          <w:color w:val="auto"/>
          <w:sz w:val="24"/>
          <w:highlight w:val="none"/>
        </w:rPr>
        <w:t>：</w:t>
      </w:r>
    </w:p>
    <w:p w14:paraId="561D8C2A">
      <w:pPr>
        <w:spacing w:line="440" w:lineRule="exact"/>
        <w:ind w:firstLine="480" w:firstLineChars="200"/>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color w:val="auto"/>
          <w:sz w:val="24"/>
          <w:highlight w:val="none"/>
        </w:rPr>
        <w:t>本项目合同期：</w:t>
      </w:r>
      <w:r>
        <w:rPr>
          <w:rFonts w:hint="eastAsia" w:cs="宋体" w:asciiTheme="minorEastAsia" w:hAnsiTheme="minorEastAsia" w:eastAsiaTheme="minorEastAsia"/>
          <w:color w:val="auto"/>
          <w:sz w:val="24"/>
          <w:highlight w:val="none"/>
          <w:lang w:val="en-US" w:eastAsia="zh-CN"/>
        </w:rPr>
        <w:t>12</w:t>
      </w:r>
      <w:r>
        <w:rPr>
          <w:rFonts w:hint="eastAsia" w:cs="宋体" w:asciiTheme="minorEastAsia" w:hAnsiTheme="minorEastAsia" w:eastAsiaTheme="minorEastAsia"/>
          <w:color w:val="auto"/>
          <w:sz w:val="24"/>
          <w:highlight w:val="none"/>
        </w:rPr>
        <w:t>个月。自</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日至</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日止</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合同期结束后，乙方须协助甲方完成新物业公司的合同签订。</w:t>
      </w:r>
    </w:p>
    <w:p w14:paraId="54047284">
      <w:pPr>
        <w:spacing w:line="440" w:lineRule="exact"/>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五、合同金额及支付方式</w:t>
      </w:r>
    </w:p>
    <w:p w14:paraId="4C31323C">
      <w:pPr>
        <w:spacing w:line="440" w:lineRule="exact"/>
        <w:ind w:firstLine="480" w:firstLineChars="200"/>
        <w:rPr>
          <w:rFonts w:hint="eastAsia" w:cs="仿宋"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项目合同总价：</w:t>
      </w:r>
      <w:r>
        <w:rPr>
          <w:rFonts w:hint="eastAsia" w:cs="宋体" w:asciiTheme="minorEastAsia" w:hAnsiTheme="minorEastAsia" w:eastAsiaTheme="minorEastAsia"/>
          <w:color w:val="auto"/>
          <w:sz w:val="24"/>
          <w:highlight w:val="none"/>
          <w:lang w:val="en-US" w:eastAsia="zh-CN"/>
        </w:rPr>
        <w:t>一</w:t>
      </w:r>
      <w:r>
        <w:rPr>
          <w:rFonts w:hint="eastAsia" w:cs="宋体" w:asciiTheme="minorEastAsia" w:hAnsiTheme="minorEastAsia" w:eastAsiaTheme="minorEastAsia"/>
          <w:color w:val="auto"/>
          <w:sz w:val="24"/>
          <w:highlight w:val="none"/>
        </w:rPr>
        <w:t xml:space="preserve">年人民币 </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 xml:space="preserve">   </w:t>
      </w:r>
      <w:r>
        <w:rPr>
          <w:rFonts w:hint="eastAsia" w:cs="仿宋" w:asciiTheme="minorEastAsia" w:hAnsiTheme="minorEastAsia" w:eastAsiaTheme="minorEastAsia"/>
          <w:color w:val="auto"/>
          <w:sz w:val="24"/>
          <w:highlight w:val="none"/>
          <w:u w:val="single"/>
        </w:rPr>
        <w:t>元</w:t>
      </w:r>
      <w:r>
        <w:rPr>
          <w:rFonts w:hint="eastAsia" w:cs="仿宋" w:asciiTheme="minorEastAsia" w:hAnsiTheme="minorEastAsia" w:eastAsiaTheme="minorEastAsia"/>
          <w:color w:val="auto"/>
          <w:sz w:val="24"/>
          <w:highlight w:val="none"/>
        </w:rPr>
        <w:t>整（</w:t>
      </w:r>
      <w:r>
        <w:rPr>
          <w:rFonts w:hint="eastAsia" w:cs="仿宋" w:asciiTheme="minorEastAsia" w:hAnsiTheme="minorEastAsia" w:eastAsiaTheme="minorEastAsia"/>
          <w:color w:val="auto"/>
          <w:sz w:val="24"/>
          <w:highlight w:val="none"/>
          <w:lang w:val="en-US" w:eastAsia="zh-CN"/>
        </w:rPr>
        <w:t xml:space="preserve">     </w:t>
      </w:r>
      <w:r>
        <w:rPr>
          <w:rFonts w:hint="eastAsia" w:cs="仿宋" w:asciiTheme="minorEastAsia" w:hAnsiTheme="minorEastAsia" w:eastAsiaTheme="minorEastAsia"/>
          <w:color w:val="auto"/>
          <w:sz w:val="24"/>
          <w:highlight w:val="none"/>
          <w:u w:val="single"/>
        </w:rPr>
        <w:t>￥</w:t>
      </w:r>
      <w:r>
        <w:rPr>
          <w:rFonts w:hint="eastAsia" w:cs="仿宋" w:asciiTheme="minorEastAsia" w:hAnsiTheme="minorEastAsia" w:eastAsiaTheme="minorEastAsia"/>
          <w:color w:val="auto"/>
          <w:sz w:val="24"/>
          <w:highlight w:val="none"/>
          <w:u w:val="single"/>
          <w:lang w:eastAsia="zh-CN"/>
        </w:rPr>
        <w:t>、</w:t>
      </w:r>
      <w:r>
        <w:rPr>
          <w:rFonts w:hint="eastAsia" w:cs="仿宋" w:asciiTheme="minorEastAsia" w:hAnsiTheme="minorEastAsia" w:eastAsiaTheme="minorEastAsia"/>
          <w:color w:val="auto"/>
          <w:sz w:val="24"/>
          <w:highlight w:val="none"/>
          <w:u w:val="single"/>
          <w:lang w:val="en-US" w:eastAsia="zh-CN"/>
        </w:rPr>
        <w:t>该价格已含增值税</w:t>
      </w:r>
      <w:r>
        <w:rPr>
          <w:rFonts w:hint="eastAsia" w:cs="仿宋" w:asciiTheme="minorEastAsia" w:hAnsiTheme="minorEastAsia" w:eastAsiaTheme="minorEastAsia"/>
          <w:color w:val="auto"/>
          <w:sz w:val="24"/>
          <w:highlight w:val="none"/>
        </w:rPr>
        <w:t>）</w:t>
      </w:r>
    </w:p>
    <w:p w14:paraId="685969B9">
      <w:pPr>
        <w:keepNext w:val="0"/>
        <w:keepLines w:val="0"/>
        <w:widowControl w:val="0"/>
        <w:suppressLineNumbers w:val="0"/>
        <w:adjustRightInd w:val="0"/>
        <w:spacing w:before="0" w:beforeAutospacing="0" w:after="0" w:afterAutospacing="0" w:line="360" w:lineRule="auto"/>
        <w:ind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其中老旧小区物业费收取按0.56/平方米15%</w:t>
      </w:r>
      <w:r>
        <w:rPr>
          <w:rFonts w:hint="eastAsia" w:ascii="宋体" w:hAnsi="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年为</w:t>
      </w:r>
      <w:r>
        <w:rPr>
          <w:rFonts w:hint="eastAsia" w:ascii="宋体" w:hAnsi="宋体" w:cs="宋体"/>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元；停车费</w:t>
      </w:r>
      <w:r>
        <w:rPr>
          <w:rFonts w:hint="eastAsia" w:ascii="宋体" w:hAnsi="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年为</w:t>
      </w:r>
      <w:r>
        <w:rPr>
          <w:rFonts w:hint="eastAsia" w:ascii="宋体" w:hAnsi="宋体" w:cs="宋体"/>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元；</w:t>
      </w:r>
      <w:r>
        <w:rPr>
          <w:rFonts w:hint="eastAsia" w:ascii="宋体" w:hAnsi="宋体" w:cs="宋体"/>
          <w:color w:val="auto"/>
          <w:sz w:val="24"/>
          <w:highlight w:val="none"/>
          <w:lang w:val="en-US" w:eastAsia="zh-CN"/>
        </w:rPr>
        <w:t>物业费与停车费如有超出部分归乙方所有</w:t>
      </w:r>
      <w:r>
        <w:rPr>
          <w:rFonts w:hint="default" w:ascii="宋体" w:hAnsi="宋体" w:cs="宋体"/>
          <w:color w:val="auto"/>
          <w:sz w:val="24"/>
          <w:highlight w:val="none"/>
        </w:rPr>
        <w:t>。</w:t>
      </w:r>
      <w:r>
        <w:rPr>
          <w:rFonts w:hint="eastAsia" w:ascii="宋体" w:hAnsi="宋体" w:cs="宋体"/>
          <w:color w:val="auto"/>
          <w:kern w:val="2"/>
          <w:sz w:val="24"/>
          <w:szCs w:val="24"/>
          <w:highlight w:val="none"/>
          <w:lang w:val="en-US" w:eastAsia="zh-CN" w:bidi="ar"/>
        </w:rPr>
        <w:t>前述费用及金额，合同双方对此均无任何异议。</w:t>
      </w:r>
      <w:r>
        <w:rPr>
          <w:rFonts w:hint="eastAsia" w:ascii="宋体" w:hAnsi="宋体" w:eastAsia="宋体" w:cs="宋体"/>
          <w:color w:val="auto"/>
          <w:kern w:val="2"/>
          <w:sz w:val="24"/>
          <w:szCs w:val="24"/>
          <w:highlight w:val="none"/>
          <w:lang w:val="en-US" w:eastAsia="zh-CN" w:bidi="ar"/>
        </w:rPr>
        <w:t>街巷保洁</w:t>
      </w:r>
      <w:r>
        <w:rPr>
          <w:rFonts w:hint="eastAsia" w:ascii="宋体" w:hAnsi="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年</w:t>
      </w:r>
      <w:r>
        <w:rPr>
          <w:rFonts w:hint="eastAsia" w:ascii="宋体" w:hAnsi="宋体" w:cs="宋体"/>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元；街道办事处补贴</w:t>
      </w:r>
      <w:r>
        <w:rPr>
          <w:rFonts w:hint="eastAsia" w:ascii="宋体" w:hAnsi="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年为</w:t>
      </w:r>
      <w:r>
        <w:rPr>
          <w:rFonts w:hint="eastAsia" w:ascii="宋体" w:hAnsi="宋体" w:cs="宋体"/>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元。</w:t>
      </w:r>
    </w:p>
    <w:p w14:paraId="069C8E76">
      <w:pPr>
        <w:snapToGrid w:val="0"/>
        <w:spacing w:line="440" w:lineRule="exact"/>
        <w:ind w:firstLine="480" w:firstLineChars="200"/>
        <w:rPr>
          <w:rFonts w:hint="eastAsia" w:cs="仿宋" w:asciiTheme="minorEastAsia" w:hAnsiTheme="minorEastAsia" w:eastAsiaTheme="minorEastAsia"/>
          <w:b/>
          <w:bCs w:val="0"/>
          <w:color w:val="auto"/>
          <w:sz w:val="24"/>
          <w:highlight w:val="none"/>
          <w:lang w:eastAsia="zh-CN"/>
        </w:rPr>
      </w:pPr>
      <w:r>
        <w:rPr>
          <w:rFonts w:hint="eastAsia" w:cs="仿宋" w:asciiTheme="minorEastAsia" w:hAnsiTheme="minorEastAsia" w:eastAsiaTheme="minorEastAsia"/>
          <w:bCs/>
          <w:color w:val="auto"/>
          <w:sz w:val="24"/>
          <w:highlight w:val="none"/>
        </w:rPr>
        <w:t>服务经费采用先服务后拨付的方式，次月10日（遇节假日顺延）前按合同期月平均经费的70%拨付；合同期月平均经费的20%作为月度考核，按月度考核成绩第三个月10日（遇节假日顺延）前发放；剩余部分10%作为年终考核，在年度期满按年度考核成绩公布后的第六个月内一次性奖励或扣除。</w:t>
      </w:r>
      <w:r>
        <w:rPr>
          <w:rFonts w:hint="eastAsia" w:cs="仿宋" w:asciiTheme="minorEastAsia" w:hAnsiTheme="minorEastAsia" w:eastAsiaTheme="minorEastAsia"/>
          <w:b/>
          <w:bCs w:val="0"/>
          <w:color w:val="auto"/>
          <w:sz w:val="24"/>
          <w:highlight w:val="none"/>
        </w:rPr>
        <w:t>最终考核扣款以社区盖章签字的考核表为依据，街道统筹</w:t>
      </w:r>
      <w:r>
        <w:rPr>
          <w:rFonts w:hint="eastAsia" w:cs="仿宋" w:asciiTheme="minorEastAsia" w:hAnsiTheme="minorEastAsia" w:eastAsiaTheme="minorEastAsia"/>
          <w:b/>
          <w:bCs w:val="0"/>
          <w:color w:val="auto"/>
          <w:sz w:val="24"/>
          <w:highlight w:val="none"/>
          <w:lang w:eastAsia="zh-CN"/>
        </w:rPr>
        <w:t>。</w:t>
      </w:r>
    </w:p>
    <w:p w14:paraId="4F72C5FC">
      <w:pPr>
        <w:spacing w:line="440" w:lineRule="exact"/>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合同总价金额中已包括</w:t>
      </w:r>
      <w:r>
        <w:rPr>
          <w:rFonts w:hint="eastAsia" w:cs="宋体" w:asciiTheme="minorEastAsia" w:hAnsiTheme="minorEastAsia" w:eastAsiaTheme="minorEastAsia"/>
          <w:color w:val="auto"/>
          <w:sz w:val="24"/>
          <w:highlight w:val="none"/>
          <w:lang w:val="en-US" w:eastAsia="zh-CN"/>
        </w:rPr>
        <w:t>人力成本、</w:t>
      </w:r>
      <w:r>
        <w:rPr>
          <w:rFonts w:hint="eastAsia" w:cs="宋体" w:asciiTheme="minorEastAsia" w:hAnsiTheme="minorEastAsia" w:eastAsiaTheme="minorEastAsia"/>
          <w:color w:val="auto"/>
          <w:sz w:val="24"/>
          <w:highlight w:val="none"/>
        </w:rPr>
        <w:t>机械设备、工具、材料等生产业务及劳动防护费用、税费等一切费用。甲方每次支付，乙方均应开具对应金额的发票，甲方凭票支付。</w:t>
      </w:r>
    </w:p>
    <w:p w14:paraId="2950EAEF">
      <w:pPr>
        <w:spacing w:line="440" w:lineRule="exact"/>
        <w:ind w:firstLine="120" w:firstLineChars="50"/>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六、甲方责任条款</w:t>
      </w:r>
    </w:p>
    <w:p w14:paraId="378ED578">
      <w:pPr>
        <w:spacing w:line="440" w:lineRule="exact"/>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1、提供街巷清扫保洁质量标准、作业规范及考核办法。</w:t>
      </w:r>
    </w:p>
    <w:p w14:paraId="74DD855C">
      <w:pPr>
        <w:spacing w:line="440" w:lineRule="exact"/>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2、按约定拨付费用。</w:t>
      </w:r>
    </w:p>
    <w:p w14:paraId="6BDFB7F4">
      <w:pPr>
        <w:spacing w:line="440" w:lineRule="exact"/>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3、如遇突发事件，协调乙方在作业工程中同其他部门的关系。</w:t>
      </w:r>
    </w:p>
    <w:p w14:paraId="5643A525">
      <w:pPr>
        <w:spacing w:line="440" w:lineRule="exact"/>
        <w:ind w:firstLine="480" w:firstLineChars="200"/>
        <w:rPr>
          <w:rFonts w:hint="eastAsia" w:cs="宋体" w:asciiTheme="minorEastAsia" w:hAnsiTheme="minorEastAsia" w:eastAsiaTheme="minorEastAsia"/>
          <w:color w:val="auto"/>
          <w:kern w:val="0"/>
          <w:sz w:val="24"/>
          <w:highlight w:val="none"/>
          <w:shd w:val="clear" w:color="auto" w:fill="FFFFFF"/>
        </w:rPr>
      </w:pPr>
      <w:r>
        <w:rPr>
          <w:rFonts w:hint="eastAsia" w:cs="宋体" w:asciiTheme="minorEastAsia" w:hAnsiTheme="minorEastAsia" w:eastAsiaTheme="minorEastAsia"/>
          <w:color w:val="auto"/>
          <w:kern w:val="0"/>
          <w:sz w:val="24"/>
          <w:highlight w:val="none"/>
        </w:rPr>
        <w:t>4、乙</w:t>
      </w:r>
      <w:r>
        <w:rPr>
          <w:rFonts w:hint="eastAsia" w:cs="宋体" w:asciiTheme="minorEastAsia" w:hAnsiTheme="minorEastAsia" w:eastAsiaTheme="minorEastAsia"/>
          <w:color w:val="auto"/>
          <w:kern w:val="0"/>
          <w:sz w:val="24"/>
          <w:highlight w:val="none"/>
          <w:shd w:val="clear" w:color="auto" w:fill="FFFFFF"/>
        </w:rPr>
        <w:t>方在街巷清扫保洁过程中达不到甲方的要求和标准，甲方有权按</w:t>
      </w:r>
      <w:r>
        <w:rPr>
          <w:rFonts w:hint="eastAsia" w:cs="宋体" w:asciiTheme="minorEastAsia" w:hAnsiTheme="minorEastAsia" w:eastAsiaTheme="minorEastAsia"/>
          <w:color w:val="auto"/>
          <w:kern w:val="0"/>
          <w:sz w:val="24"/>
          <w:highlight w:val="none"/>
          <w:shd w:val="clear" w:color="auto" w:fill="FFFFFF"/>
          <w:lang w:val="en-US" w:eastAsia="zh-CN"/>
        </w:rPr>
        <w:t>约定</w:t>
      </w:r>
      <w:r>
        <w:rPr>
          <w:rFonts w:hint="eastAsia" w:cs="宋体" w:asciiTheme="minorEastAsia" w:hAnsiTheme="minorEastAsia" w:eastAsiaTheme="minorEastAsia"/>
          <w:color w:val="auto"/>
          <w:kern w:val="0"/>
          <w:sz w:val="24"/>
          <w:highlight w:val="none"/>
          <w:shd w:val="clear" w:color="auto" w:fill="FFFFFF"/>
        </w:rPr>
        <w:t>进行</w:t>
      </w:r>
      <w:r>
        <w:rPr>
          <w:rFonts w:hint="eastAsia" w:cs="宋体" w:asciiTheme="minorEastAsia" w:hAnsiTheme="minorEastAsia" w:eastAsiaTheme="minorEastAsia"/>
          <w:color w:val="auto"/>
          <w:kern w:val="0"/>
          <w:sz w:val="24"/>
          <w:highlight w:val="none"/>
          <w:shd w:val="clear" w:color="auto" w:fill="FFFFFF"/>
          <w:lang w:val="en-US" w:eastAsia="zh-CN"/>
        </w:rPr>
        <w:t>违约责任承担的经济</w:t>
      </w:r>
      <w:r>
        <w:rPr>
          <w:rFonts w:hint="eastAsia" w:cs="宋体" w:asciiTheme="minorEastAsia" w:hAnsiTheme="minorEastAsia" w:eastAsiaTheme="minorEastAsia"/>
          <w:color w:val="auto"/>
          <w:kern w:val="0"/>
          <w:sz w:val="24"/>
          <w:highlight w:val="none"/>
          <w:shd w:val="clear" w:color="auto" w:fill="FFFFFF"/>
        </w:rPr>
        <w:t>处罚，直至</w:t>
      </w:r>
      <w:r>
        <w:rPr>
          <w:rFonts w:hint="eastAsia" w:cs="宋体" w:asciiTheme="minorEastAsia" w:hAnsiTheme="minorEastAsia" w:eastAsiaTheme="minorEastAsia"/>
          <w:color w:val="auto"/>
          <w:kern w:val="0"/>
          <w:sz w:val="24"/>
          <w:highlight w:val="none"/>
          <w:shd w:val="clear" w:color="auto" w:fill="FFFFFF"/>
          <w:lang w:val="en-US" w:eastAsia="zh-CN"/>
        </w:rPr>
        <w:t>解除本合同的履行</w:t>
      </w:r>
      <w:r>
        <w:rPr>
          <w:rFonts w:hint="eastAsia" w:cs="宋体" w:asciiTheme="minorEastAsia" w:hAnsiTheme="minorEastAsia" w:eastAsiaTheme="minorEastAsia"/>
          <w:color w:val="auto"/>
          <w:kern w:val="0"/>
          <w:sz w:val="24"/>
          <w:highlight w:val="none"/>
          <w:shd w:val="clear" w:color="auto" w:fill="FFFFFF"/>
        </w:rPr>
        <w:t>。</w:t>
      </w:r>
    </w:p>
    <w:p w14:paraId="6408CBFA">
      <w:pPr>
        <w:spacing w:line="440" w:lineRule="exact"/>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5、清扫保洁年终成绩需进入全区前五名，以市、区综合考评成绩为准。根据年终公布的街道层面清扫保洁名次，进行奖励或处罚。 </w:t>
      </w:r>
    </w:p>
    <w:p w14:paraId="4823FFE7">
      <w:pPr>
        <w:spacing w:line="440" w:lineRule="exact"/>
        <w:ind w:firstLine="480" w:firstLineChars="200"/>
        <w:rPr>
          <w:rFonts w:hint="eastAsia" w:cs="宋体" w:asciiTheme="minorEastAsia" w:hAnsiTheme="minorEastAsia" w:eastAsiaTheme="minorEastAsia"/>
          <w:color w:val="auto"/>
          <w:kern w:val="0"/>
          <w:sz w:val="24"/>
          <w:highlight w:val="none"/>
          <w:shd w:val="clear" w:color="auto" w:fill="FFFFFF"/>
        </w:rPr>
      </w:pPr>
      <w:r>
        <w:rPr>
          <w:rFonts w:hint="eastAsia" w:cs="宋体" w:asciiTheme="minorEastAsia" w:hAnsiTheme="minorEastAsia" w:eastAsiaTheme="minorEastAsia"/>
          <w:color w:val="auto"/>
          <w:kern w:val="0"/>
          <w:sz w:val="24"/>
          <w:highlight w:val="none"/>
        </w:rPr>
        <w:t>6、</w:t>
      </w:r>
      <w:r>
        <w:rPr>
          <w:rFonts w:hint="eastAsia" w:cs="宋体" w:asciiTheme="minorEastAsia" w:hAnsiTheme="minorEastAsia" w:eastAsiaTheme="minorEastAsia"/>
          <w:color w:val="auto"/>
          <w:kern w:val="0"/>
          <w:sz w:val="24"/>
          <w:highlight w:val="none"/>
          <w:shd w:val="clear" w:color="auto" w:fill="FFFFFF"/>
        </w:rPr>
        <w:t>本合同履行期内如市、区两级行政主管部门调整保洁员工工资福利标准，甲方</w:t>
      </w:r>
      <w:r>
        <w:rPr>
          <w:rFonts w:hint="eastAsia" w:cs="宋体" w:asciiTheme="minorEastAsia" w:hAnsiTheme="minorEastAsia" w:eastAsiaTheme="minorEastAsia"/>
          <w:color w:val="auto"/>
          <w:kern w:val="0"/>
          <w:sz w:val="24"/>
          <w:highlight w:val="none"/>
          <w:shd w:val="clear" w:color="auto" w:fill="FFFFFF"/>
          <w:lang w:val="en-US" w:eastAsia="zh-CN"/>
        </w:rPr>
        <w:t>可</w:t>
      </w:r>
      <w:r>
        <w:rPr>
          <w:rFonts w:hint="eastAsia" w:cs="宋体" w:asciiTheme="minorEastAsia" w:hAnsiTheme="minorEastAsia" w:eastAsiaTheme="minorEastAsia"/>
          <w:color w:val="auto"/>
          <w:kern w:val="0"/>
          <w:sz w:val="24"/>
          <w:highlight w:val="none"/>
          <w:shd w:val="clear" w:color="auto" w:fill="FFFFFF"/>
        </w:rPr>
        <w:t>按市、区两级行政主管部门文件为依据，给予乙方补增承包经费。</w:t>
      </w:r>
    </w:p>
    <w:p w14:paraId="259BB056">
      <w:pPr>
        <w:spacing w:line="440" w:lineRule="exact"/>
        <w:ind w:firstLine="120" w:firstLineChars="50"/>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七、乙方责任条款</w:t>
      </w:r>
    </w:p>
    <w:p w14:paraId="1C5B4E1E">
      <w:pPr>
        <w:spacing w:line="440" w:lineRule="exact"/>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1、街巷清扫保洁的质量标准和作业规范符合</w:t>
      </w:r>
      <w:r>
        <w:rPr>
          <w:rFonts w:hint="eastAsia" w:cs="仿宋" w:asciiTheme="minorEastAsia" w:hAnsiTheme="minorEastAsia" w:eastAsiaTheme="minorEastAsia"/>
          <w:color w:val="auto"/>
          <w:sz w:val="24"/>
          <w:highlight w:val="none"/>
        </w:rPr>
        <w:t>最新杭州市城市街巷保洁分类管理检查考核评分标准和《招</w:t>
      </w:r>
      <w:r>
        <w:rPr>
          <w:rFonts w:hint="eastAsia" w:cs="宋体" w:asciiTheme="minorEastAsia" w:hAnsiTheme="minorEastAsia" w:eastAsiaTheme="minorEastAsia"/>
          <w:color w:val="auto"/>
          <w:kern w:val="0"/>
          <w:sz w:val="24"/>
          <w:highlight w:val="none"/>
        </w:rPr>
        <w:t>标文件》的各项规定。</w:t>
      </w:r>
      <w:r>
        <w:rPr>
          <w:rFonts w:hint="eastAsia" w:cs="仿宋" w:asciiTheme="minorEastAsia" w:hAnsiTheme="minorEastAsia" w:eastAsiaTheme="minorEastAsia"/>
          <w:color w:val="auto"/>
          <w:sz w:val="24"/>
          <w:highlight w:val="none"/>
        </w:rPr>
        <w:t>每班作业人数应按投标文件中预定的人数落实到位。</w:t>
      </w:r>
    </w:p>
    <w:p w14:paraId="75C38F20">
      <w:pPr>
        <w:spacing w:line="440" w:lineRule="exact"/>
        <w:ind w:firstLine="480" w:firstLineChars="200"/>
        <w:rPr>
          <w:rFonts w:hint="default"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rPr>
        <w:t>2、严格遵守相关法律、法规</w:t>
      </w:r>
      <w:r>
        <w:rPr>
          <w:rFonts w:hint="eastAsia" w:cs="宋体" w:asciiTheme="minorEastAsia" w:hAnsiTheme="minorEastAsia" w:eastAsiaTheme="minorEastAsia"/>
          <w:color w:val="auto"/>
          <w:kern w:val="0"/>
          <w:sz w:val="24"/>
          <w:highlight w:val="none"/>
          <w:lang w:eastAsia="zh-CN"/>
        </w:rPr>
        <w:t>、</w:t>
      </w:r>
      <w:r>
        <w:rPr>
          <w:rFonts w:hint="eastAsia" w:cs="宋体" w:asciiTheme="minorEastAsia" w:hAnsiTheme="minorEastAsia" w:eastAsiaTheme="minorEastAsia"/>
          <w:color w:val="auto"/>
          <w:kern w:val="0"/>
          <w:sz w:val="24"/>
          <w:highlight w:val="none"/>
          <w:lang w:val="en-US" w:eastAsia="zh-CN"/>
        </w:rPr>
        <w:t>规章及文件的规定</w:t>
      </w:r>
      <w:r>
        <w:rPr>
          <w:rFonts w:hint="eastAsia" w:cs="宋体" w:asciiTheme="minorEastAsia" w:hAnsiTheme="minorEastAsia" w:eastAsiaTheme="minorEastAsia"/>
          <w:color w:val="auto"/>
          <w:kern w:val="0"/>
          <w:sz w:val="24"/>
          <w:highlight w:val="none"/>
        </w:rPr>
        <w:t>，开展</w:t>
      </w:r>
      <w:r>
        <w:rPr>
          <w:rFonts w:hint="eastAsia" w:cs="宋体" w:asciiTheme="minorEastAsia" w:hAnsiTheme="minorEastAsia" w:eastAsiaTheme="minorEastAsia"/>
          <w:color w:val="auto"/>
          <w:kern w:val="0"/>
          <w:sz w:val="24"/>
          <w:highlight w:val="none"/>
          <w:lang w:val="en-US" w:eastAsia="zh-CN"/>
        </w:rPr>
        <w:t>安全、</w:t>
      </w:r>
      <w:r>
        <w:rPr>
          <w:rFonts w:hint="eastAsia" w:cs="宋体" w:asciiTheme="minorEastAsia" w:hAnsiTheme="minorEastAsia" w:eastAsiaTheme="minorEastAsia"/>
          <w:color w:val="auto"/>
          <w:kern w:val="0"/>
          <w:sz w:val="24"/>
          <w:highlight w:val="none"/>
        </w:rPr>
        <w:t>文明作业，作业时出现意外事故和其它法律问题，由</w:t>
      </w:r>
      <w:r>
        <w:rPr>
          <w:rFonts w:hint="eastAsia" w:cs="宋体" w:asciiTheme="minorEastAsia" w:hAnsiTheme="minorEastAsia" w:eastAsiaTheme="minorEastAsia"/>
          <w:color w:val="auto"/>
          <w:kern w:val="0"/>
          <w:sz w:val="24"/>
          <w:highlight w:val="none"/>
          <w:lang w:val="en-US" w:eastAsia="zh-CN"/>
        </w:rPr>
        <w:t>乙方</w:t>
      </w:r>
      <w:r>
        <w:rPr>
          <w:rFonts w:hint="eastAsia" w:cs="宋体" w:asciiTheme="minorEastAsia" w:hAnsiTheme="minorEastAsia" w:eastAsiaTheme="minorEastAsia"/>
          <w:color w:val="auto"/>
          <w:kern w:val="0"/>
          <w:sz w:val="24"/>
          <w:highlight w:val="none"/>
        </w:rPr>
        <w:t>自行负责解决。</w:t>
      </w:r>
    </w:p>
    <w:p w14:paraId="6B6B4117">
      <w:pPr>
        <w:spacing w:line="440" w:lineRule="exact"/>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3、遇到突发事件或自然灾害，必须服从甲方指挥和安排。</w:t>
      </w:r>
    </w:p>
    <w:p w14:paraId="6A8D8BA9">
      <w:pPr>
        <w:spacing w:line="440" w:lineRule="exact"/>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4、协助甲方调查，并根据甲方的要求及时处理解决市民来信来访及投诉，认真整改责任内“四化”、“数字城管”等抄告问题。</w:t>
      </w:r>
    </w:p>
    <w:p w14:paraId="0B4E24E1">
      <w:pPr>
        <w:spacing w:line="440" w:lineRule="exact"/>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5、发现环卫设施损坏或缺损，及时与相关部门联系。</w:t>
      </w:r>
    </w:p>
    <w:p w14:paraId="2C1CB6A3">
      <w:pPr>
        <w:spacing w:line="440" w:lineRule="exact"/>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6、完成甲方交办的清扫保洁突击性任务。</w:t>
      </w:r>
    </w:p>
    <w:p w14:paraId="3377B01E">
      <w:pPr>
        <w:spacing w:line="440" w:lineRule="exact"/>
        <w:ind w:firstLine="480" w:firstLineChars="200"/>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7.</w:t>
      </w:r>
      <w:r>
        <w:rPr>
          <w:rFonts w:hint="eastAsia" w:cs="仿宋_GB2312" w:asciiTheme="minorEastAsia" w:hAnsiTheme="minorEastAsia" w:eastAsiaTheme="minorEastAsia"/>
          <w:color w:val="auto"/>
          <w:sz w:val="24"/>
          <w:highlight w:val="none"/>
        </w:rPr>
        <w:t>严格遵守《劳动法》、《劳动合同法》等劳动法规，保障环卫职工合法权益。认真贯彻《浙江省人民政府办公厅关于进一步改善环卫工人工作生活条件促进环卫事业持续健康发展的若干意见》（浙政办发〔2009〕190号）和《杭州市人民政府办公厅关于进一步解决环卫工人实际困难保障其合法权益的意见》（杭政办〔2008〕14号）文件精神，街巷保洁人员工资不得低于《浙江省人民政府关于调整全省最低工资标准的通知》（浙政发[2024]3号）、《杭州市人民政府关于调整市区最低工资标准的通知》（杭政函[2024]37号），项目街巷保洁人员工资不得低于杭州市最低工资标准的110%和定额内人员相关工资要求，日常加班工资按劳动法相关要求另行计算。必须为本项目人员缴纳五险（养老保险、医疗保险、失业保险、工伤保险和生育保险、意外伤害险）、住房公积金及杭政办〔2008〕14号和浙政办发〔2009〕190号文件规定的其它经费，须在杭州市本地缴纳“五险一金”，保障职工休息休假权利，加班必须足额支付加班费，环卫职工的工资、岗位津贴、加班工资等必须确保按月发放。</w:t>
      </w:r>
      <w:r>
        <w:rPr>
          <w:rFonts w:hint="eastAsia" w:cs="仿宋_GB2312" w:asciiTheme="minorEastAsia" w:hAnsiTheme="minorEastAsia" w:eastAsiaTheme="minorEastAsia"/>
          <w:color w:val="auto"/>
          <w:sz w:val="24"/>
          <w:highlight w:val="none"/>
          <w:lang w:val="en-US" w:eastAsia="zh-CN"/>
        </w:rPr>
        <w:t>若有最新工资的标准调整，按最新的标准实施。乙方</w:t>
      </w:r>
      <w:r>
        <w:rPr>
          <w:rFonts w:hint="eastAsia" w:cs="仿宋_GB2312" w:asciiTheme="minorEastAsia" w:hAnsiTheme="minorEastAsia" w:eastAsiaTheme="minorEastAsia"/>
          <w:color w:val="auto"/>
          <w:sz w:val="24"/>
          <w:highlight w:val="none"/>
        </w:rPr>
        <w:t>未达到上述任一要求的，</w:t>
      </w:r>
      <w:r>
        <w:rPr>
          <w:rFonts w:hint="eastAsia" w:cs="仿宋_GB2312" w:asciiTheme="minorEastAsia" w:hAnsiTheme="minorEastAsia" w:eastAsiaTheme="minorEastAsia"/>
          <w:color w:val="auto"/>
          <w:sz w:val="24"/>
          <w:highlight w:val="none"/>
          <w:lang w:val="en-US" w:eastAsia="zh-CN"/>
        </w:rPr>
        <w:t>甲方</w:t>
      </w:r>
      <w:r>
        <w:rPr>
          <w:rFonts w:hint="eastAsia" w:cs="仿宋_GB2312" w:asciiTheme="minorEastAsia" w:hAnsiTheme="minorEastAsia" w:eastAsiaTheme="minorEastAsia"/>
          <w:color w:val="auto"/>
          <w:sz w:val="24"/>
          <w:highlight w:val="none"/>
        </w:rPr>
        <w:t>有权立即终止本保洁合同（文件如有更新以最新文件为准）。发生意外事件的，需</w:t>
      </w:r>
      <w:r>
        <w:rPr>
          <w:rFonts w:hint="eastAsia" w:cs="仿宋_GB2312" w:asciiTheme="minorEastAsia" w:hAnsiTheme="minorEastAsia" w:eastAsiaTheme="minorEastAsia"/>
          <w:color w:val="auto"/>
          <w:sz w:val="24"/>
          <w:highlight w:val="none"/>
          <w:lang w:val="en-US" w:eastAsia="zh-CN"/>
        </w:rPr>
        <w:t>立即采取行动，尽一切可能降低各种损失的扩大，并</w:t>
      </w:r>
      <w:r>
        <w:rPr>
          <w:rFonts w:hint="eastAsia" w:cs="仿宋_GB2312" w:asciiTheme="minorEastAsia" w:hAnsiTheme="minorEastAsia" w:eastAsiaTheme="minorEastAsia"/>
          <w:color w:val="auto"/>
          <w:sz w:val="24"/>
          <w:highlight w:val="none"/>
        </w:rPr>
        <w:t>在1小时内通知</w:t>
      </w:r>
      <w:r>
        <w:rPr>
          <w:rFonts w:hint="eastAsia" w:cs="仿宋_GB2312" w:asciiTheme="minorEastAsia" w:hAnsiTheme="minorEastAsia" w:eastAsiaTheme="minorEastAsia"/>
          <w:color w:val="auto"/>
          <w:sz w:val="24"/>
          <w:highlight w:val="none"/>
          <w:lang w:val="en-US" w:eastAsia="zh-CN"/>
        </w:rPr>
        <w:t>甲方</w:t>
      </w:r>
      <w:r>
        <w:rPr>
          <w:rFonts w:hint="eastAsia" w:cs="仿宋_GB2312" w:asciiTheme="minorEastAsia" w:hAnsiTheme="minorEastAsia" w:eastAsiaTheme="minorEastAsia"/>
          <w:color w:val="auto"/>
          <w:sz w:val="24"/>
          <w:highlight w:val="none"/>
        </w:rPr>
        <w:t>。</w:t>
      </w:r>
    </w:p>
    <w:p w14:paraId="1BADC2B4">
      <w:pPr>
        <w:spacing w:line="440" w:lineRule="exact"/>
        <w:ind w:firstLine="120" w:firstLineChars="50"/>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八、项目管理考核</w:t>
      </w:r>
    </w:p>
    <w:p w14:paraId="691B664E">
      <w:pPr>
        <w:snapToGrid w:val="0"/>
        <w:spacing w:line="440" w:lineRule="exact"/>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1、考核办法：合同期内，如有新考核办法出台，以市、区、街道新考核办法执行。</w:t>
      </w:r>
    </w:p>
    <w:p w14:paraId="3256ECF7">
      <w:pPr>
        <w:spacing w:line="440" w:lineRule="exact"/>
        <w:rPr>
          <w:rFonts w:hint="eastAsia"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按</w:t>
      </w:r>
      <w:r>
        <w:rPr>
          <w:rFonts w:hint="eastAsia" w:cs="仿宋_GB2312" w:asciiTheme="minorEastAsia" w:hAnsiTheme="minorEastAsia" w:eastAsiaTheme="minorEastAsia"/>
          <w:color w:val="auto"/>
          <w:sz w:val="24"/>
          <w:highlight w:val="none"/>
        </w:rPr>
        <w:t>《杭州市人民政府办公厅转发市城管委关于杭州城区整洁度检查考核试行办法的通知》（杭政办函〔2012〕177 号）、《关于进一步明确“杭州城管 驿站 ”管理相关事项的通知》（杭城管委[2018]233 号）、《关于印发&lt;杭州市 环卫作业人员着装与作业行为规范&gt;及&lt;杭州市环卫作业车辆标识与作业管理规 范&gt;的通知》（杭城管委〔2016〕130 号）、《关于印发杭州市城管行业服装统一标识规范的通知》（杭城管委﹝2018﹞ 16 号）执行、《关于印发 2022 年度各 区县（市）政府（管委会）城市管理目标考核相关评分细则的通知》（杭城管综执联办﹝2022﹞ 1 号）、《2023年度清洁度考核细则（重点）》</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《关于发布 2021 年版杭州市道路保洁经费定额的通知》（杭城管局﹝2021﹞ 138 号）、《杭州市城市市容和环境卫生管理条例》、 《</w:t>
      </w:r>
      <w:r>
        <w:rPr>
          <w:rFonts w:hint="eastAsia" w:cs="仿宋_GB2312" w:asciiTheme="minorEastAsia" w:hAnsiTheme="minorEastAsia" w:eastAsiaTheme="minorEastAsia"/>
          <w:color w:val="auto"/>
          <w:sz w:val="24"/>
          <w:highlight w:val="none"/>
          <w:lang w:eastAsia="zh-CN"/>
        </w:rPr>
        <w:t>城市道路清扫保洁作业规范</w:t>
      </w:r>
      <w:r>
        <w:rPr>
          <w:rFonts w:hint="eastAsia" w:cs="仿宋_GB2312" w:asciiTheme="minorEastAsia" w:hAnsiTheme="minorEastAsia" w:eastAsiaTheme="minorEastAsia"/>
          <w:color w:val="auto"/>
          <w:sz w:val="24"/>
          <w:highlight w:val="none"/>
        </w:rPr>
        <w:t>》中规定的作业标准和指标执行（考核办法如有调整，按新规定执行）。</w:t>
      </w:r>
    </w:p>
    <w:p w14:paraId="49B57CBF">
      <w:pPr>
        <w:spacing w:line="440" w:lineRule="exac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管理考核采取日常巡查管理和检查考核相结合。由杭州市上城区小营街道马市街社区负责日常巡查管理、实行定期或不定期检查考核。</w:t>
      </w:r>
    </w:p>
    <w:p w14:paraId="603E12FE">
      <w:pPr>
        <w:snapToGrid w:val="0"/>
        <w:spacing w:line="440" w:lineRule="exact"/>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2、杭州市上城区小营街道南片</w:t>
      </w:r>
      <w:r>
        <w:rPr>
          <w:rFonts w:asciiTheme="minorEastAsia" w:hAnsiTheme="minorEastAsia" w:eastAsiaTheme="minorEastAsia"/>
          <w:b/>
          <w:color w:val="auto"/>
          <w:sz w:val="24"/>
          <w:highlight w:val="none"/>
        </w:rPr>
        <w:tab/>
      </w:r>
      <w:r>
        <w:rPr>
          <w:rFonts w:hint="eastAsia" w:asciiTheme="minorEastAsia" w:hAnsiTheme="minorEastAsia" w:eastAsiaTheme="minorEastAsia"/>
          <w:b/>
          <w:color w:val="auto"/>
          <w:sz w:val="24"/>
          <w:highlight w:val="none"/>
        </w:rPr>
        <w:t>区环卫保洁准物业、垃圾分类服务和管理考核办法</w:t>
      </w:r>
    </w:p>
    <w:p w14:paraId="7D4B99C9">
      <w:pPr>
        <w:pStyle w:val="20"/>
        <w:spacing w:line="440" w:lineRule="exact"/>
        <w:rPr>
          <w:rFonts w:hint="eastAsia"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为加强小营街道的环卫保洁工作，提升环卫服务企业的工作水平，根据《关于印发2022年度各区县（市）政府（管委会）城市管理目标考核相关评分细则的通知》（杭城管综执联办﹝2022﹞1号），并结合本街道实际，特制定本办法。考核办法如有调整，按新规定执行。”</w:t>
      </w:r>
    </w:p>
    <w:p w14:paraId="15FF2FF5">
      <w:pPr>
        <w:tabs>
          <w:tab w:val="left" w:pos="360"/>
          <w:tab w:val="left" w:pos="720"/>
        </w:tabs>
        <w:spacing w:line="440" w:lineRule="exact"/>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 xml:space="preserve">    （1）、指导思想：</w:t>
      </w:r>
    </w:p>
    <w:p w14:paraId="5E253B0F">
      <w:pPr>
        <w:tabs>
          <w:tab w:val="left" w:pos="360"/>
          <w:tab w:val="left" w:pos="720"/>
        </w:tabs>
        <w:spacing w:line="440" w:lineRule="exac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以不断提高社区市容环境卫生长效管理水平为重点，以实现社区的“净、绿、亮、美”为目标，坚持环境卫生长效管理为经济建设服务的指导思想，不断加大工作力度，按照“巩固、完善、提高”的方针，严格按照管理目标，认真履行工作职责，负重奋进，狠抓落实，使社区市容环境卫生得到有效改观。</w:t>
      </w:r>
    </w:p>
    <w:p w14:paraId="6F020B5C">
      <w:pPr>
        <w:tabs>
          <w:tab w:val="left" w:pos="360"/>
          <w:tab w:val="left" w:pos="720"/>
        </w:tabs>
        <w:spacing w:line="440" w:lineRule="exact"/>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 xml:space="preserve">   （2）、考核对象：</w:t>
      </w:r>
    </w:p>
    <w:p w14:paraId="7F4FD8C4">
      <w:pPr>
        <w:tabs>
          <w:tab w:val="left" w:pos="360"/>
          <w:tab w:val="left" w:pos="720"/>
        </w:tabs>
        <w:spacing w:line="440" w:lineRule="exac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环卫服务企业。</w:t>
      </w:r>
    </w:p>
    <w:p w14:paraId="5384A439">
      <w:pPr>
        <w:tabs>
          <w:tab w:val="left" w:pos="360"/>
          <w:tab w:val="left" w:pos="720"/>
        </w:tabs>
        <w:spacing w:line="440" w:lineRule="exact"/>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 xml:space="preserve">   （3）、考核范围：</w:t>
      </w:r>
    </w:p>
    <w:p w14:paraId="06B7B876">
      <w:pPr>
        <w:spacing w:line="440" w:lineRule="exact"/>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包括公共区域保洁、垃圾分类、公共安全秩序维护、停车管理、设备维保、绿化养护、道路养护、维修服务等。</w:t>
      </w:r>
    </w:p>
    <w:p w14:paraId="47B59419">
      <w:pPr>
        <w:pStyle w:val="130"/>
        <w:spacing w:before="0" w:line="440" w:lineRule="exact"/>
        <w:ind w:firstLine="482"/>
        <w:outlineLvl w:val="2"/>
        <w:rPr>
          <w:rFonts w:hint="eastAsia"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（4）、考核内容及标准</w:t>
      </w:r>
    </w:p>
    <w:p w14:paraId="46A07C8D">
      <w:pPr>
        <w:pStyle w:val="130"/>
        <w:spacing w:before="0" w:line="440" w:lineRule="exact"/>
        <w:ind w:firstLine="480"/>
        <w:outlineLvl w:val="2"/>
        <w:rPr>
          <w:rFonts w:hint="eastAsia" w:asciiTheme="minorEastAsia" w:hAnsiTheme="minorEastAsia" w:eastAsiaTheme="minorEastAsia"/>
          <w:bCs/>
          <w:color w:val="auto"/>
          <w:szCs w:val="24"/>
          <w:highlight w:val="none"/>
        </w:rPr>
      </w:pPr>
      <w:r>
        <w:rPr>
          <w:rFonts w:hint="eastAsia" w:asciiTheme="minorEastAsia" w:hAnsiTheme="minorEastAsia" w:eastAsiaTheme="minorEastAsia"/>
          <w:bCs/>
          <w:color w:val="auto"/>
          <w:szCs w:val="24"/>
          <w:highlight w:val="none"/>
        </w:rPr>
        <w:t>1、清扫作业：</w:t>
      </w:r>
    </w:p>
    <w:p w14:paraId="61A11D52">
      <w:pPr>
        <w:pStyle w:val="130"/>
        <w:spacing w:before="0" w:line="440" w:lineRule="exact"/>
        <w:ind w:firstLine="480"/>
        <w:outlineLvl w:val="2"/>
        <w:rPr>
          <w:rFonts w:hint="eastAsia" w:asciiTheme="minorEastAsia" w:hAnsiTheme="minorEastAsia" w:eastAsiaTheme="minorEastAsia"/>
          <w:bCs/>
          <w:color w:val="auto"/>
          <w:szCs w:val="24"/>
          <w:highlight w:val="none"/>
        </w:rPr>
      </w:pPr>
      <w:r>
        <w:rPr>
          <w:rFonts w:hint="eastAsia" w:asciiTheme="minorEastAsia" w:hAnsiTheme="minorEastAsia" w:eastAsiaTheme="minorEastAsia"/>
          <w:bCs/>
          <w:color w:val="auto"/>
          <w:szCs w:val="24"/>
          <w:highlight w:val="none"/>
        </w:rPr>
        <w:t>（1）早晨7时前全面清扫干净，上午7时至12时，下午14时至19时动态巡回保洁。</w:t>
      </w:r>
    </w:p>
    <w:p w14:paraId="3522A11B">
      <w:pPr>
        <w:pStyle w:val="130"/>
        <w:spacing w:before="0" w:line="440" w:lineRule="exact"/>
        <w:ind w:firstLine="480"/>
        <w:outlineLvl w:val="2"/>
        <w:rPr>
          <w:rFonts w:hint="eastAsia" w:asciiTheme="minorEastAsia" w:hAnsiTheme="minorEastAsia" w:eastAsiaTheme="minorEastAsia"/>
          <w:bCs/>
          <w:color w:val="auto"/>
          <w:szCs w:val="24"/>
          <w:highlight w:val="none"/>
        </w:rPr>
      </w:pPr>
      <w:r>
        <w:rPr>
          <w:rFonts w:hint="eastAsia" w:asciiTheme="minorEastAsia" w:hAnsiTheme="minorEastAsia" w:eastAsiaTheme="minorEastAsia"/>
          <w:bCs/>
          <w:color w:val="auto"/>
          <w:szCs w:val="24"/>
          <w:highlight w:val="none"/>
        </w:rPr>
        <w:t>（2）街巷清扫、保洁（含机扫、洒水、洁面工程）必须作业到两边建筑物基石（机扫、洒水到道路侧石），道路岔道、喇叭口清扫向外延伸5米。</w:t>
      </w:r>
    </w:p>
    <w:p w14:paraId="1FC2A949">
      <w:pPr>
        <w:pStyle w:val="130"/>
        <w:spacing w:before="0" w:line="440" w:lineRule="exact"/>
        <w:ind w:firstLine="480"/>
        <w:outlineLvl w:val="2"/>
        <w:rPr>
          <w:rFonts w:hint="eastAsia" w:asciiTheme="minorEastAsia" w:hAnsiTheme="minorEastAsia" w:eastAsiaTheme="minorEastAsia"/>
          <w:bCs/>
          <w:color w:val="auto"/>
          <w:szCs w:val="24"/>
          <w:highlight w:val="none"/>
        </w:rPr>
      </w:pPr>
      <w:r>
        <w:rPr>
          <w:rFonts w:hint="eastAsia" w:asciiTheme="minorEastAsia" w:hAnsiTheme="minorEastAsia" w:eastAsiaTheme="minorEastAsia"/>
          <w:bCs/>
          <w:color w:val="auto"/>
          <w:szCs w:val="24"/>
          <w:highlight w:val="none"/>
        </w:rPr>
        <w:t>（3）街巷沿线建筑物上乱涂写清理及擦洗。</w:t>
      </w:r>
    </w:p>
    <w:p w14:paraId="02CC6C4F">
      <w:pPr>
        <w:pStyle w:val="130"/>
        <w:spacing w:before="0" w:line="440" w:lineRule="exact"/>
        <w:ind w:firstLine="480"/>
        <w:outlineLvl w:val="2"/>
        <w:rPr>
          <w:rFonts w:hint="eastAsia" w:asciiTheme="minorEastAsia" w:hAnsiTheme="minorEastAsia" w:eastAsiaTheme="minorEastAsia"/>
          <w:bCs/>
          <w:color w:val="auto"/>
          <w:szCs w:val="24"/>
          <w:highlight w:val="none"/>
        </w:rPr>
      </w:pPr>
      <w:r>
        <w:rPr>
          <w:rFonts w:hint="eastAsia" w:asciiTheme="minorEastAsia" w:hAnsiTheme="minorEastAsia" w:eastAsiaTheme="minorEastAsia"/>
          <w:bCs/>
          <w:color w:val="auto"/>
          <w:szCs w:val="24"/>
          <w:highlight w:val="none"/>
        </w:rPr>
        <w:t>（4）机动、非机动作业车不得停放在消防栓、公交车站旁，停放离人行道侧石不超过20厘米。</w:t>
      </w:r>
    </w:p>
    <w:p w14:paraId="49D8FCAD">
      <w:pPr>
        <w:pStyle w:val="130"/>
        <w:spacing w:before="0" w:line="440" w:lineRule="exact"/>
        <w:ind w:firstLine="480"/>
        <w:outlineLvl w:val="2"/>
        <w:rPr>
          <w:rFonts w:hint="eastAsia" w:asciiTheme="minorEastAsia" w:hAnsiTheme="minorEastAsia" w:eastAsiaTheme="minorEastAsia"/>
          <w:bCs/>
          <w:color w:val="auto"/>
          <w:szCs w:val="24"/>
          <w:highlight w:val="none"/>
        </w:rPr>
      </w:pPr>
      <w:r>
        <w:rPr>
          <w:rFonts w:hint="eastAsia" w:asciiTheme="minorEastAsia" w:hAnsiTheme="minorEastAsia" w:eastAsiaTheme="minorEastAsia"/>
          <w:bCs/>
          <w:color w:val="auto"/>
          <w:szCs w:val="24"/>
          <w:highlight w:val="none"/>
        </w:rPr>
        <w:t>（5）遇有重大活动或抗台、抗雪等突发事件，必须无条件及时组织力量做好清扫保洁、应急等保障工作，服从发包单位的统一指挥。</w:t>
      </w:r>
    </w:p>
    <w:p w14:paraId="64BA6C1D">
      <w:pPr>
        <w:pStyle w:val="130"/>
        <w:spacing w:before="0" w:line="440" w:lineRule="exact"/>
        <w:ind w:firstLine="480"/>
        <w:outlineLvl w:val="2"/>
        <w:rPr>
          <w:rFonts w:hint="eastAsia" w:asciiTheme="minorEastAsia" w:hAnsiTheme="minorEastAsia" w:eastAsiaTheme="minorEastAsia"/>
          <w:bCs/>
          <w:color w:val="auto"/>
          <w:szCs w:val="24"/>
          <w:highlight w:val="none"/>
        </w:rPr>
      </w:pPr>
      <w:r>
        <w:rPr>
          <w:rFonts w:hint="eastAsia" w:asciiTheme="minorEastAsia" w:hAnsiTheme="minorEastAsia" w:eastAsiaTheme="minorEastAsia"/>
          <w:bCs/>
          <w:color w:val="auto"/>
          <w:szCs w:val="24"/>
          <w:highlight w:val="none"/>
        </w:rPr>
        <w:t>（6）绿化带、花坛、天井、空地、垃圾箱周围等公共场所要及时清扫并保持干净，路面无杂草、废土。</w:t>
      </w:r>
    </w:p>
    <w:p w14:paraId="520A9207">
      <w:pPr>
        <w:pStyle w:val="130"/>
        <w:spacing w:before="0" w:line="440" w:lineRule="exact"/>
        <w:ind w:firstLine="480"/>
        <w:outlineLvl w:val="2"/>
        <w:rPr>
          <w:rFonts w:hint="eastAsia" w:asciiTheme="minorEastAsia" w:hAnsiTheme="minorEastAsia" w:eastAsiaTheme="minorEastAsia"/>
          <w:bCs/>
          <w:color w:val="auto"/>
          <w:szCs w:val="24"/>
          <w:highlight w:val="none"/>
        </w:rPr>
      </w:pPr>
      <w:r>
        <w:rPr>
          <w:rFonts w:hint="eastAsia" w:asciiTheme="minorEastAsia" w:hAnsiTheme="minorEastAsia" w:eastAsiaTheme="minorEastAsia"/>
          <w:bCs/>
          <w:color w:val="auto"/>
          <w:szCs w:val="24"/>
          <w:highlight w:val="none"/>
        </w:rPr>
        <w:t>（7）污水沟畅通，无垃圾沉积物。</w:t>
      </w:r>
    </w:p>
    <w:p w14:paraId="429E954A">
      <w:pPr>
        <w:pStyle w:val="130"/>
        <w:spacing w:before="0" w:line="440" w:lineRule="exact"/>
        <w:ind w:firstLine="480"/>
        <w:outlineLvl w:val="2"/>
        <w:rPr>
          <w:rFonts w:hint="eastAsia" w:asciiTheme="minorEastAsia" w:hAnsiTheme="minorEastAsia" w:eastAsiaTheme="minorEastAsia"/>
          <w:bCs/>
          <w:color w:val="auto"/>
          <w:szCs w:val="24"/>
          <w:highlight w:val="none"/>
        </w:rPr>
      </w:pPr>
      <w:r>
        <w:rPr>
          <w:rFonts w:hint="eastAsia" w:asciiTheme="minorEastAsia" w:hAnsiTheme="minorEastAsia" w:eastAsiaTheme="minorEastAsia"/>
          <w:bCs/>
          <w:color w:val="auto"/>
          <w:szCs w:val="24"/>
          <w:highlight w:val="none"/>
        </w:rPr>
        <w:t>（8）楼道清扫、打尘、扶手擦洗每星期不得少于2次。</w:t>
      </w:r>
    </w:p>
    <w:p w14:paraId="0BB79BA2">
      <w:pPr>
        <w:pStyle w:val="130"/>
        <w:spacing w:before="0" w:line="440" w:lineRule="exact"/>
        <w:ind w:firstLine="480"/>
        <w:outlineLvl w:val="2"/>
        <w:rPr>
          <w:rFonts w:hint="eastAsia" w:asciiTheme="minorEastAsia" w:hAnsiTheme="minorEastAsia" w:eastAsiaTheme="minorEastAsia"/>
          <w:bCs/>
          <w:color w:val="auto"/>
          <w:szCs w:val="24"/>
          <w:highlight w:val="none"/>
        </w:rPr>
      </w:pPr>
      <w:r>
        <w:rPr>
          <w:rFonts w:hint="eastAsia" w:asciiTheme="minorEastAsia" w:hAnsiTheme="minorEastAsia" w:eastAsiaTheme="minorEastAsia"/>
          <w:bCs/>
          <w:color w:val="auto"/>
          <w:szCs w:val="24"/>
          <w:highlight w:val="none"/>
        </w:rPr>
        <w:t>（9）清扫时要注意风向，按顺风方向清扫。</w:t>
      </w:r>
    </w:p>
    <w:p w14:paraId="6DF6E978">
      <w:pPr>
        <w:pStyle w:val="130"/>
        <w:spacing w:before="0" w:line="440" w:lineRule="exact"/>
        <w:ind w:firstLine="480"/>
        <w:outlineLvl w:val="2"/>
        <w:rPr>
          <w:rFonts w:hint="eastAsia" w:asciiTheme="minorEastAsia" w:hAnsiTheme="minorEastAsia" w:eastAsiaTheme="minorEastAsia"/>
          <w:bCs/>
          <w:color w:val="auto"/>
          <w:szCs w:val="24"/>
          <w:highlight w:val="none"/>
        </w:rPr>
      </w:pPr>
      <w:r>
        <w:rPr>
          <w:rFonts w:hint="eastAsia" w:asciiTheme="minorEastAsia" w:hAnsiTheme="minorEastAsia" w:eastAsiaTheme="minorEastAsia"/>
          <w:bCs/>
          <w:color w:val="auto"/>
          <w:szCs w:val="24"/>
          <w:highlight w:val="none"/>
        </w:rPr>
        <w:t>2、清运作业：</w:t>
      </w:r>
    </w:p>
    <w:p w14:paraId="4F090EC5">
      <w:pPr>
        <w:pStyle w:val="130"/>
        <w:spacing w:before="0" w:line="440" w:lineRule="exact"/>
        <w:ind w:firstLine="480"/>
        <w:outlineLvl w:val="2"/>
        <w:rPr>
          <w:rFonts w:hint="eastAsia" w:asciiTheme="minorEastAsia" w:hAnsiTheme="minorEastAsia" w:eastAsiaTheme="minorEastAsia"/>
          <w:bCs/>
          <w:color w:val="auto"/>
          <w:szCs w:val="24"/>
          <w:highlight w:val="none"/>
        </w:rPr>
      </w:pPr>
      <w:r>
        <w:rPr>
          <w:rFonts w:hint="eastAsia" w:asciiTheme="minorEastAsia" w:hAnsiTheme="minorEastAsia" w:eastAsiaTheme="minorEastAsia"/>
          <w:bCs/>
          <w:color w:val="auto"/>
          <w:szCs w:val="24"/>
          <w:highlight w:val="none"/>
        </w:rPr>
        <w:t>（1）垃圾箱（房）要求在上午8时前清运一遍。垃圾箱（房）的垃圾不溢满、日产日清，垃圾箱（房）每天清运2次以上。</w:t>
      </w:r>
    </w:p>
    <w:p w14:paraId="0453D031">
      <w:pPr>
        <w:pStyle w:val="130"/>
        <w:spacing w:before="0" w:line="440" w:lineRule="exact"/>
        <w:ind w:firstLine="480"/>
        <w:outlineLvl w:val="2"/>
        <w:rPr>
          <w:rFonts w:hint="eastAsia" w:asciiTheme="minorEastAsia" w:hAnsiTheme="minorEastAsia" w:eastAsiaTheme="minorEastAsia"/>
          <w:bCs/>
          <w:color w:val="auto"/>
          <w:szCs w:val="24"/>
          <w:highlight w:val="none"/>
        </w:rPr>
      </w:pPr>
      <w:r>
        <w:rPr>
          <w:rFonts w:hint="eastAsia" w:asciiTheme="minorEastAsia" w:hAnsiTheme="minorEastAsia" w:eastAsiaTheme="minorEastAsia"/>
          <w:bCs/>
          <w:color w:val="auto"/>
          <w:szCs w:val="24"/>
          <w:highlight w:val="none"/>
        </w:rPr>
        <w:t>（2）街巷两侧目测范围内（人行道外边沿5米内）废土应及时发现并及时清除（量比较大时，应及时上报，经核实量后及时作业）。</w:t>
      </w:r>
    </w:p>
    <w:p w14:paraId="03CCF8BF">
      <w:pPr>
        <w:pStyle w:val="130"/>
        <w:spacing w:before="0" w:line="440" w:lineRule="exact"/>
        <w:ind w:firstLine="480"/>
        <w:outlineLvl w:val="2"/>
        <w:rPr>
          <w:rFonts w:hint="eastAsia" w:asciiTheme="minorEastAsia" w:hAnsiTheme="minorEastAsia" w:eastAsiaTheme="minorEastAsia"/>
          <w:bCs/>
          <w:color w:val="auto"/>
          <w:szCs w:val="24"/>
          <w:highlight w:val="none"/>
        </w:rPr>
      </w:pPr>
      <w:r>
        <w:rPr>
          <w:rFonts w:hint="eastAsia" w:asciiTheme="minorEastAsia" w:hAnsiTheme="minorEastAsia" w:eastAsiaTheme="minorEastAsia"/>
          <w:bCs/>
          <w:color w:val="auto"/>
          <w:szCs w:val="24"/>
          <w:highlight w:val="none"/>
        </w:rPr>
        <w:t>（3）片区清扫保洁产生的垃圾就近中转站倾倒，不准扫入市区主次街道。</w:t>
      </w:r>
    </w:p>
    <w:p w14:paraId="002088FF">
      <w:pPr>
        <w:pStyle w:val="130"/>
        <w:spacing w:before="0" w:line="440" w:lineRule="exact"/>
        <w:ind w:firstLine="480"/>
        <w:outlineLvl w:val="2"/>
        <w:rPr>
          <w:rFonts w:hint="eastAsia" w:asciiTheme="minorEastAsia" w:hAnsiTheme="minorEastAsia" w:eastAsiaTheme="minorEastAsia"/>
          <w:bCs/>
          <w:color w:val="auto"/>
          <w:szCs w:val="24"/>
          <w:highlight w:val="none"/>
        </w:rPr>
      </w:pPr>
      <w:r>
        <w:rPr>
          <w:rFonts w:hint="eastAsia" w:asciiTheme="minorEastAsia" w:hAnsiTheme="minorEastAsia" w:eastAsiaTheme="minorEastAsia"/>
          <w:bCs/>
          <w:color w:val="auto"/>
          <w:szCs w:val="24"/>
          <w:highlight w:val="none"/>
        </w:rPr>
        <w:t>（4）垃圾箱（房）必须加盖上锁，垃圾清运应做到车走地净，垃圾箱周围无遗留垃圾。垃圾收集车应按要求密闭，不得沿路散落垃圾。</w:t>
      </w:r>
    </w:p>
    <w:p w14:paraId="65FB5FEB">
      <w:pPr>
        <w:pStyle w:val="130"/>
        <w:spacing w:before="0" w:line="440" w:lineRule="exact"/>
        <w:ind w:firstLine="480"/>
        <w:outlineLvl w:val="2"/>
        <w:rPr>
          <w:rFonts w:hint="eastAsia" w:asciiTheme="minorEastAsia" w:hAnsiTheme="minorEastAsia" w:eastAsiaTheme="minorEastAsia"/>
          <w:bCs/>
          <w:color w:val="auto"/>
          <w:szCs w:val="24"/>
          <w:highlight w:val="none"/>
        </w:rPr>
      </w:pPr>
      <w:r>
        <w:rPr>
          <w:rFonts w:hint="eastAsia" w:asciiTheme="minorEastAsia" w:hAnsiTheme="minorEastAsia" w:eastAsiaTheme="minorEastAsia"/>
          <w:bCs/>
          <w:color w:val="auto"/>
          <w:szCs w:val="24"/>
          <w:highlight w:val="none"/>
        </w:rPr>
        <w:t>（5）垃圾箱保持整洁，每周清洗一次。</w:t>
      </w:r>
    </w:p>
    <w:p w14:paraId="547A33DC">
      <w:pPr>
        <w:spacing w:line="440" w:lineRule="exact"/>
        <w:ind w:firstLine="240" w:firstLineChars="100"/>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3、项目</w:t>
      </w:r>
      <w:r>
        <w:rPr>
          <w:rFonts w:asciiTheme="minorEastAsia" w:hAnsiTheme="minorEastAsia" w:eastAsiaTheme="minorEastAsia"/>
          <w:color w:val="auto"/>
          <w:sz w:val="24"/>
          <w:szCs w:val="20"/>
          <w:highlight w:val="none"/>
        </w:rPr>
        <w:t>清洁度评价</w:t>
      </w:r>
      <w:r>
        <w:rPr>
          <w:rFonts w:hint="eastAsia" w:asciiTheme="minorEastAsia" w:hAnsiTheme="minorEastAsia" w:eastAsiaTheme="minorEastAsia"/>
          <w:color w:val="auto"/>
          <w:sz w:val="24"/>
          <w:szCs w:val="20"/>
          <w:highlight w:val="none"/>
        </w:rPr>
        <w:t>标准</w:t>
      </w:r>
    </w:p>
    <w:tbl>
      <w:tblPr>
        <w:tblStyle w:val="64"/>
        <w:tblW w:w="9640" w:type="dxa"/>
        <w:tblInd w:w="-12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
      <w:tblGrid>
        <w:gridCol w:w="667"/>
        <w:gridCol w:w="510"/>
        <w:gridCol w:w="1517"/>
        <w:gridCol w:w="2410"/>
        <w:gridCol w:w="4536"/>
      </w:tblGrid>
      <w:tr w14:paraId="5BB48B7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660" w:hRule="atLeast"/>
        </w:trPr>
        <w:tc>
          <w:tcPr>
            <w:tcW w:w="667" w:type="dxa"/>
            <w:vAlign w:val="center"/>
          </w:tcPr>
          <w:p w14:paraId="51FBDC27">
            <w:pPr>
              <w:widowControl/>
              <w:jc w:val="center"/>
              <w:textAlignment w:val="center"/>
              <w:rPr>
                <w:rFonts w:hint="eastAsia" w:cs="仿宋_GB2312" w:asciiTheme="minorEastAsia" w:hAnsiTheme="minorEastAsia" w:eastAsiaTheme="minorEastAsia"/>
                <w:b/>
                <w:color w:val="auto"/>
                <w:szCs w:val="21"/>
                <w:highlight w:val="none"/>
              </w:rPr>
            </w:pPr>
            <w:r>
              <w:rPr>
                <w:rFonts w:cs="仿宋_GB2312" w:asciiTheme="minorEastAsia" w:hAnsiTheme="minorEastAsia" w:eastAsiaTheme="minorEastAsia"/>
                <w:b/>
                <w:color w:val="auto"/>
                <w:kern w:val="0"/>
                <w:szCs w:val="21"/>
                <w:highlight w:val="none"/>
              </w:rPr>
              <w:t>项目</w:t>
            </w:r>
          </w:p>
        </w:tc>
        <w:tc>
          <w:tcPr>
            <w:tcW w:w="510" w:type="dxa"/>
            <w:vAlign w:val="center"/>
          </w:tcPr>
          <w:p w14:paraId="50A2CE73">
            <w:pPr>
              <w:widowControl/>
              <w:jc w:val="left"/>
              <w:textAlignment w:val="center"/>
              <w:rPr>
                <w:rFonts w:hint="eastAsia"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kern w:val="0"/>
                <w:sz w:val="22"/>
                <w:highlight w:val="none"/>
              </w:rPr>
              <w:t>序号</w:t>
            </w:r>
          </w:p>
        </w:tc>
        <w:tc>
          <w:tcPr>
            <w:tcW w:w="1517" w:type="dxa"/>
            <w:vAlign w:val="center"/>
          </w:tcPr>
          <w:p w14:paraId="10EF82D0">
            <w:pPr>
              <w:widowControl/>
              <w:jc w:val="center"/>
              <w:textAlignment w:val="center"/>
              <w:rPr>
                <w:rFonts w:hint="eastAsia" w:cs="仿宋_GB2312" w:asciiTheme="minorEastAsia" w:hAnsiTheme="minorEastAsia" w:eastAsiaTheme="minorEastAsia"/>
                <w:b/>
                <w:color w:val="auto"/>
                <w:szCs w:val="21"/>
                <w:highlight w:val="none"/>
              </w:rPr>
            </w:pPr>
            <w:r>
              <w:rPr>
                <w:rFonts w:cs="仿宋_GB2312" w:asciiTheme="minorEastAsia" w:hAnsiTheme="minorEastAsia" w:eastAsiaTheme="minorEastAsia"/>
                <w:b/>
                <w:color w:val="auto"/>
                <w:kern w:val="0"/>
                <w:szCs w:val="21"/>
                <w:highlight w:val="none"/>
              </w:rPr>
              <w:t>检查项目</w:t>
            </w:r>
          </w:p>
        </w:tc>
        <w:tc>
          <w:tcPr>
            <w:tcW w:w="2410" w:type="dxa"/>
            <w:vAlign w:val="center"/>
          </w:tcPr>
          <w:p w14:paraId="49C1786F">
            <w:pPr>
              <w:widowControl/>
              <w:jc w:val="center"/>
              <w:textAlignment w:val="center"/>
              <w:rPr>
                <w:rFonts w:hint="eastAsia" w:cs="仿宋_GB2312" w:asciiTheme="minorEastAsia" w:hAnsiTheme="minorEastAsia" w:eastAsiaTheme="minorEastAsia"/>
                <w:b/>
                <w:color w:val="auto"/>
                <w:szCs w:val="21"/>
                <w:highlight w:val="none"/>
              </w:rPr>
            </w:pPr>
            <w:r>
              <w:rPr>
                <w:rFonts w:cs="仿宋_GB2312" w:asciiTheme="minorEastAsia" w:hAnsiTheme="minorEastAsia" w:eastAsiaTheme="minorEastAsia"/>
                <w:b/>
                <w:color w:val="auto"/>
                <w:kern w:val="0"/>
                <w:szCs w:val="21"/>
                <w:highlight w:val="none"/>
              </w:rPr>
              <w:t>管理作业标准</w:t>
            </w:r>
          </w:p>
        </w:tc>
        <w:tc>
          <w:tcPr>
            <w:tcW w:w="4536" w:type="dxa"/>
            <w:vAlign w:val="center"/>
          </w:tcPr>
          <w:p w14:paraId="6F4929D9">
            <w:pPr>
              <w:widowControl/>
              <w:jc w:val="center"/>
              <w:textAlignment w:val="center"/>
              <w:rPr>
                <w:rFonts w:hint="eastAsia" w:cs="仿宋_GB2312" w:asciiTheme="minorEastAsia" w:hAnsiTheme="minorEastAsia" w:eastAsiaTheme="minorEastAsia"/>
                <w:b/>
                <w:color w:val="auto"/>
                <w:szCs w:val="21"/>
                <w:highlight w:val="none"/>
              </w:rPr>
            </w:pPr>
            <w:r>
              <w:rPr>
                <w:rFonts w:cs="仿宋_GB2312" w:asciiTheme="minorEastAsia" w:hAnsiTheme="minorEastAsia" w:eastAsiaTheme="minorEastAsia"/>
                <w:b/>
                <w:color w:val="auto"/>
                <w:kern w:val="0"/>
                <w:szCs w:val="21"/>
                <w:highlight w:val="none"/>
              </w:rPr>
              <w:t>评分标准</w:t>
            </w:r>
          </w:p>
        </w:tc>
      </w:tr>
      <w:tr w14:paraId="45DD77B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886" w:hRule="atLeast"/>
        </w:trPr>
        <w:tc>
          <w:tcPr>
            <w:tcW w:w="667" w:type="dxa"/>
            <w:vMerge w:val="restart"/>
          </w:tcPr>
          <w:p w14:paraId="1AC76022">
            <w:pPr>
              <w:widowControl/>
              <w:textAlignment w:val="center"/>
              <w:rPr>
                <w:rFonts w:hint="eastAsia" w:cs="仿宋_GB2312" w:asciiTheme="minorEastAsia" w:hAnsiTheme="minorEastAsia" w:eastAsiaTheme="minorEastAsia"/>
                <w:b/>
                <w:color w:val="auto"/>
                <w:szCs w:val="21"/>
                <w:highlight w:val="none"/>
              </w:rPr>
            </w:pPr>
          </w:p>
        </w:tc>
        <w:tc>
          <w:tcPr>
            <w:tcW w:w="510" w:type="dxa"/>
            <w:vMerge w:val="restart"/>
            <w:vAlign w:val="center"/>
          </w:tcPr>
          <w:p w14:paraId="016573B1">
            <w:pPr>
              <w:widowControl/>
              <w:jc w:val="center"/>
              <w:textAlignment w:val="center"/>
              <w:rPr>
                <w:rFonts w:hint="eastAsia"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kern w:val="0"/>
                <w:sz w:val="22"/>
                <w:highlight w:val="none"/>
              </w:rPr>
              <w:t>1</w:t>
            </w:r>
          </w:p>
        </w:tc>
        <w:tc>
          <w:tcPr>
            <w:tcW w:w="1517" w:type="dxa"/>
            <w:vMerge w:val="restart"/>
            <w:vAlign w:val="center"/>
          </w:tcPr>
          <w:p w14:paraId="14EA6D5D">
            <w:pPr>
              <w:widowControl/>
              <w:jc w:val="center"/>
              <w:textAlignment w:val="center"/>
              <w:rPr>
                <w:rFonts w:hint="eastAsia" w:cs="仿宋_GB2312" w:asciiTheme="minorEastAsia" w:hAnsiTheme="minorEastAsia" w:eastAsiaTheme="minorEastAsia"/>
                <w:b/>
                <w:color w:val="auto"/>
                <w:szCs w:val="21"/>
                <w:highlight w:val="none"/>
              </w:rPr>
            </w:pPr>
            <w:r>
              <w:rPr>
                <w:rFonts w:hint="eastAsia" w:cs="仿宋_GB2312" w:asciiTheme="minorEastAsia" w:hAnsiTheme="minorEastAsia" w:eastAsiaTheme="minorEastAsia"/>
                <w:b/>
                <w:color w:val="auto"/>
                <w:kern w:val="0"/>
                <w:szCs w:val="21"/>
                <w:highlight w:val="none"/>
              </w:rPr>
              <w:t>街巷</w:t>
            </w:r>
            <w:r>
              <w:rPr>
                <w:rFonts w:cs="仿宋_GB2312" w:asciiTheme="minorEastAsia" w:hAnsiTheme="minorEastAsia" w:eastAsiaTheme="minorEastAsia"/>
                <w:b/>
                <w:color w:val="auto"/>
                <w:kern w:val="0"/>
                <w:szCs w:val="21"/>
                <w:highlight w:val="none"/>
              </w:rPr>
              <w:t>保洁质量</w:t>
            </w:r>
          </w:p>
        </w:tc>
        <w:tc>
          <w:tcPr>
            <w:tcW w:w="2410" w:type="dxa"/>
            <w:vAlign w:val="center"/>
          </w:tcPr>
          <w:p w14:paraId="506992F9">
            <w:pPr>
              <w:widowControl/>
              <w:snapToGrid w:val="0"/>
              <w:jc w:val="left"/>
              <w:textAlignment w:val="center"/>
              <w:rPr>
                <w:rFonts w:hint="eastAsia" w:cs="仿宋_GB2312" w:asciiTheme="minorEastAsia" w:hAnsiTheme="minorEastAsia" w:eastAsiaTheme="minorEastAsia"/>
                <w:color w:val="auto"/>
                <w:sz w:val="20"/>
                <w:szCs w:val="20"/>
                <w:highlight w:val="none"/>
              </w:rPr>
            </w:pPr>
            <w:r>
              <w:rPr>
                <w:rFonts w:cs="仿宋_GB2312" w:asciiTheme="minorEastAsia" w:hAnsiTheme="minorEastAsia" w:eastAsiaTheme="minorEastAsia"/>
                <w:color w:val="auto"/>
                <w:kern w:val="0"/>
                <w:sz w:val="20"/>
                <w:szCs w:val="20"/>
                <w:highlight w:val="none"/>
              </w:rPr>
              <w:t>按照保洁分类管理指标要求落实</w:t>
            </w:r>
            <w:r>
              <w:rPr>
                <w:rFonts w:hint="eastAsia" w:cs="仿宋_GB2312" w:asciiTheme="minorEastAsia" w:hAnsiTheme="minorEastAsia" w:eastAsiaTheme="minorEastAsia"/>
                <w:color w:val="auto"/>
                <w:kern w:val="0"/>
                <w:sz w:val="20"/>
                <w:szCs w:val="20"/>
                <w:highlight w:val="none"/>
              </w:rPr>
              <w:t>街巷</w:t>
            </w:r>
            <w:r>
              <w:rPr>
                <w:rFonts w:cs="仿宋_GB2312" w:asciiTheme="minorEastAsia" w:hAnsiTheme="minorEastAsia" w:eastAsiaTheme="minorEastAsia"/>
                <w:color w:val="auto"/>
                <w:kern w:val="0"/>
                <w:sz w:val="20"/>
                <w:szCs w:val="20"/>
                <w:highlight w:val="none"/>
              </w:rPr>
              <w:t>保洁时间。</w:t>
            </w:r>
          </w:p>
        </w:tc>
        <w:tc>
          <w:tcPr>
            <w:tcW w:w="4536" w:type="dxa"/>
            <w:vAlign w:val="center"/>
          </w:tcPr>
          <w:p w14:paraId="1F16853B">
            <w:pPr>
              <w:widowControl/>
              <w:snapToGrid w:val="0"/>
              <w:jc w:val="left"/>
              <w:textAlignment w:val="center"/>
              <w:rPr>
                <w:rFonts w:hint="eastAsia" w:cs="仿宋_GB2312" w:asciiTheme="minorEastAsia" w:hAnsiTheme="minorEastAsia" w:eastAsiaTheme="minorEastAsia"/>
                <w:color w:val="auto"/>
                <w:sz w:val="20"/>
                <w:szCs w:val="20"/>
                <w:highlight w:val="none"/>
              </w:rPr>
            </w:pPr>
            <w:r>
              <w:rPr>
                <w:rFonts w:hint="eastAsia" w:cs="仿宋_GB2312" w:asciiTheme="minorEastAsia" w:hAnsiTheme="minorEastAsia" w:eastAsiaTheme="minorEastAsia"/>
                <w:color w:val="auto"/>
                <w:kern w:val="0"/>
                <w:sz w:val="20"/>
                <w:szCs w:val="20"/>
                <w:highlight w:val="none"/>
              </w:rPr>
              <w:t>街巷</w:t>
            </w:r>
            <w:r>
              <w:rPr>
                <w:rFonts w:cs="仿宋_GB2312" w:asciiTheme="minorEastAsia" w:hAnsiTheme="minorEastAsia" w:eastAsiaTheme="minorEastAsia"/>
                <w:color w:val="auto"/>
                <w:kern w:val="0"/>
                <w:sz w:val="20"/>
                <w:szCs w:val="20"/>
                <w:highlight w:val="none"/>
              </w:rPr>
              <w:t>保洁时间未达到规定时间要求的，每条</w:t>
            </w:r>
            <w:r>
              <w:rPr>
                <w:rFonts w:hint="eastAsia" w:cs="仿宋_GB2312" w:asciiTheme="minorEastAsia" w:hAnsiTheme="minorEastAsia" w:eastAsiaTheme="minorEastAsia"/>
                <w:color w:val="auto"/>
                <w:kern w:val="0"/>
                <w:sz w:val="20"/>
                <w:szCs w:val="20"/>
                <w:highlight w:val="none"/>
              </w:rPr>
              <w:t>街巷</w:t>
            </w:r>
            <w:r>
              <w:rPr>
                <w:rFonts w:cs="仿宋_GB2312" w:asciiTheme="minorEastAsia" w:hAnsiTheme="minorEastAsia" w:eastAsiaTheme="minorEastAsia"/>
                <w:color w:val="auto"/>
                <w:kern w:val="0"/>
                <w:sz w:val="20"/>
                <w:szCs w:val="20"/>
                <w:highlight w:val="none"/>
              </w:rPr>
              <w:t>每次扣8分。</w:t>
            </w:r>
          </w:p>
        </w:tc>
      </w:tr>
      <w:tr w14:paraId="43F5990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697" w:hRule="atLeast"/>
        </w:trPr>
        <w:tc>
          <w:tcPr>
            <w:tcW w:w="667" w:type="dxa"/>
            <w:vMerge w:val="continue"/>
          </w:tcPr>
          <w:p w14:paraId="75664A2C">
            <w:pPr>
              <w:jc w:val="left"/>
              <w:rPr>
                <w:rFonts w:hint="eastAsia" w:cs="仿宋_GB2312" w:asciiTheme="minorEastAsia" w:hAnsiTheme="minorEastAsia" w:eastAsiaTheme="minorEastAsia"/>
                <w:b/>
                <w:color w:val="auto"/>
                <w:szCs w:val="21"/>
                <w:highlight w:val="none"/>
              </w:rPr>
            </w:pPr>
          </w:p>
        </w:tc>
        <w:tc>
          <w:tcPr>
            <w:tcW w:w="510" w:type="dxa"/>
            <w:vMerge w:val="continue"/>
            <w:vAlign w:val="center"/>
          </w:tcPr>
          <w:p w14:paraId="72B46067">
            <w:pPr>
              <w:rPr>
                <w:rFonts w:hint="eastAsia" w:cs="宋体" w:asciiTheme="minorEastAsia" w:hAnsiTheme="minorEastAsia" w:eastAsiaTheme="minorEastAsia"/>
                <w:color w:val="auto"/>
                <w:sz w:val="22"/>
                <w:highlight w:val="none"/>
              </w:rPr>
            </w:pPr>
          </w:p>
        </w:tc>
        <w:tc>
          <w:tcPr>
            <w:tcW w:w="1517" w:type="dxa"/>
            <w:vMerge w:val="continue"/>
            <w:vAlign w:val="center"/>
          </w:tcPr>
          <w:p w14:paraId="45363912">
            <w:pPr>
              <w:jc w:val="center"/>
              <w:rPr>
                <w:rFonts w:hint="eastAsia" w:cs="仿宋_GB2312" w:asciiTheme="minorEastAsia" w:hAnsiTheme="minorEastAsia" w:eastAsiaTheme="minorEastAsia"/>
                <w:b/>
                <w:color w:val="auto"/>
                <w:szCs w:val="21"/>
                <w:highlight w:val="none"/>
              </w:rPr>
            </w:pPr>
          </w:p>
        </w:tc>
        <w:tc>
          <w:tcPr>
            <w:tcW w:w="2410" w:type="dxa"/>
            <w:vAlign w:val="center"/>
          </w:tcPr>
          <w:p w14:paraId="5C6B761A">
            <w:pPr>
              <w:widowControl/>
              <w:snapToGrid w:val="0"/>
              <w:textAlignment w:val="center"/>
              <w:rPr>
                <w:rFonts w:hint="eastAsia" w:cs="仿宋_GB2312" w:asciiTheme="minorEastAsia" w:hAnsiTheme="minorEastAsia" w:eastAsiaTheme="minorEastAsia"/>
                <w:color w:val="auto"/>
                <w:sz w:val="20"/>
                <w:szCs w:val="20"/>
                <w:highlight w:val="none"/>
              </w:rPr>
            </w:pPr>
            <w:r>
              <w:rPr>
                <w:rFonts w:cs="仿宋_GB2312" w:asciiTheme="minorEastAsia" w:hAnsiTheme="minorEastAsia" w:eastAsiaTheme="minorEastAsia"/>
                <w:color w:val="auto"/>
                <w:kern w:val="0"/>
                <w:sz w:val="20"/>
                <w:szCs w:val="20"/>
                <w:highlight w:val="none"/>
              </w:rPr>
              <w:t>按规定时间内完成普扫。</w:t>
            </w:r>
          </w:p>
        </w:tc>
        <w:tc>
          <w:tcPr>
            <w:tcW w:w="4536" w:type="dxa"/>
            <w:vAlign w:val="center"/>
          </w:tcPr>
          <w:p w14:paraId="29B5C04C">
            <w:pPr>
              <w:widowControl/>
              <w:snapToGrid w:val="0"/>
              <w:jc w:val="left"/>
              <w:textAlignment w:val="center"/>
              <w:rPr>
                <w:rFonts w:hint="eastAsia" w:cs="仿宋_GB2312" w:asciiTheme="minorEastAsia" w:hAnsiTheme="minorEastAsia" w:eastAsiaTheme="minorEastAsia"/>
                <w:color w:val="auto"/>
                <w:sz w:val="20"/>
                <w:szCs w:val="20"/>
                <w:highlight w:val="none"/>
              </w:rPr>
            </w:pPr>
            <w:r>
              <w:rPr>
                <w:rFonts w:cs="仿宋_GB2312" w:asciiTheme="minorEastAsia" w:hAnsiTheme="minorEastAsia" w:eastAsiaTheme="minorEastAsia"/>
                <w:color w:val="auto"/>
                <w:kern w:val="0"/>
                <w:sz w:val="20"/>
                <w:szCs w:val="20"/>
                <w:highlight w:val="none"/>
              </w:rPr>
              <w:t>未在规定时间内完成普扫的每条</w:t>
            </w:r>
            <w:r>
              <w:rPr>
                <w:rFonts w:hint="eastAsia" w:cs="仿宋_GB2312" w:asciiTheme="minorEastAsia" w:hAnsiTheme="minorEastAsia" w:eastAsiaTheme="minorEastAsia"/>
                <w:color w:val="auto"/>
                <w:kern w:val="0"/>
                <w:sz w:val="20"/>
                <w:szCs w:val="20"/>
                <w:highlight w:val="none"/>
              </w:rPr>
              <w:t>街巷</w:t>
            </w:r>
            <w:r>
              <w:rPr>
                <w:rFonts w:cs="仿宋_GB2312" w:asciiTheme="minorEastAsia" w:hAnsiTheme="minorEastAsia" w:eastAsiaTheme="minorEastAsia"/>
                <w:color w:val="auto"/>
                <w:kern w:val="0"/>
                <w:sz w:val="20"/>
                <w:szCs w:val="20"/>
                <w:highlight w:val="none"/>
              </w:rPr>
              <w:t>扣5分，未全路段普扫的每条</w:t>
            </w:r>
            <w:r>
              <w:rPr>
                <w:rFonts w:hint="eastAsia" w:cs="仿宋_GB2312" w:asciiTheme="minorEastAsia" w:hAnsiTheme="minorEastAsia" w:eastAsiaTheme="minorEastAsia"/>
                <w:color w:val="auto"/>
                <w:kern w:val="0"/>
                <w:sz w:val="20"/>
                <w:szCs w:val="20"/>
                <w:highlight w:val="none"/>
              </w:rPr>
              <w:t>街巷</w:t>
            </w:r>
            <w:r>
              <w:rPr>
                <w:rFonts w:cs="仿宋_GB2312" w:asciiTheme="minorEastAsia" w:hAnsiTheme="minorEastAsia" w:eastAsiaTheme="minorEastAsia"/>
                <w:color w:val="auto"/>
                <w:kern w:val="0"/>
                <w:sz w:val="20"/>
                <w:szCs w:val="20"/>
                <w:highlight w:val="none"/>
              </w:rPr>
              <w:t>扣3分。</w:t>
            </w:r>
          </w:p>
        </w:tc>
      </w:tr>
      <w:tr w14:paraId="33DC97A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378" w:hRule="atLeast"/>
        </w:trPr>
        <w:tc>
          <w:tcPr>
            <w:tcW w:w="667" w:type="dxa"/>
            <w:vMerge w:val="continue"/>
          </w:tcPr>
          <w:p w14:paraId="57AF7ABB">
            <w:pPr>
              <w:jc w:val="left"/>
              <w:rPr>
                <w:rFonts w:hint="eastAsia" w:cs="仿宋_GB2312" w:asciiTheme="minorEastAsia" w:hAnsiTheme="minorEastAsia" w:eastAsiaTheme="minorEastAsia"/>
                <w:b/>
                <w:color w:val="auto"/>
                <w:szCs w:val="21"/>
                <w:highlight w:val="none"/>
              </w:rPr>
            </w:pPr>
          </w:p>
        </w:tc>
        <w:tc>
          <w:tcPr>
            <w:tcW w:w="510" w:type="dxa"/>
            <w:vMerge w:val="continue"/>
            <w:vAlign w:val="center"/>
          </w:tcPr>
          <w:p w14:paraId="044BDFFE">
            <w:pPr>
              <w:rPr>
                <w:rFonts w:hint="eastAsia" w:cs="宋体" w:asciiTheme="minorEastAsia" w:hAnsiTheme="minorEastAsia" w:eastAsiaTheme="minorEastAsia"/>
                <w:color w:val="auto"/>
                <w:sz w:val="22"/>
                <w:highlight w:val="none"/>
              </w:rPr>
            </w:pPr>
          </w:p>
        </w:tc>
        <w:tc>
          <w:tcPr>
            <w:tcW w:w="1517" w:type="dxa"/>
            <w:vMerge w:val="continue"/>
            <w:vAlign w:val="center"/>
          </w:tcPr>
          <w:p w14:paraId="5213A5D2">
            <w:pPr>
              <w:jc w:val="center"/>
              <w:rPr>
                <w:rFonts w:hint="eastAsia" w:cs="仿宋_GB2312" w:asciiTheme="minorEastAsia" w:hAnsiTheme="minorEastAsia" w:eastAsiaTheme="minorEastAsia"/>
                <w:b/>
                <w:color w:val="auto"/>
                <w:szCs w:val="21"/>
                <w:highlight w:val="none"/>
              </w:rPr>
            </w:pPr>
          </w:p>
        </w:tc>
        <w:tc>
          <w:tcPr>
            <w:tcW w:w="2410" w:type="dxa"/>
            <w:vAlign w:val="center"/>
          </w:tcPr>
          <w:p w14:paraId="2A0A7190">
            <w:pPr>
              <w:widowControl/>
              <w:snapToGrid w:val="0"/>
              <w:jc w:val="left"/>
              <w:textAlignment w:val="center"/>
              <w:rPr>
                <w:rFonts w:hint="eastAsia" w:cs="仿宋_GB2312" w:asciiTheme="minorEastAsia" w:hAnsiTheme="minorEastAsia" w:eastAsiaTheme="minorEastAsia"/>
                <w:color w:val="auto"/>
                <w:sz w:val="20"/>
                <w:szCs w:val="20"/>
                <w:highlight w:val="none"/>
              </w:rPr>
            </w:pPr>
            <w:r>
              <w:rPr>
                <w:rFonts w:cs="仿宋_GB2312" w:asciiTheme="minorEastAsia" w:hAnsiTheme="minorEastAsia" w:eastAsiaTheme="minorEastAsia"/>
                <w:color w:val="auto"/>
                <w:kern w:val="0"/>
                <w:sz w:val="20"/>
                <w:szCs w:val="20"/>
                <w:highlight w:val="none"/>
              </w:rPr>
              <w:t>路面无垃圾、无杂物、无积泥（沙石），晴天无积水。雨水井沟眼畅通干净，树圈清洁无垃圾、杂物，人行道板及各类井盖等处缝隙无垃圾、杂物。</w:t>
            </w:r>
          </w:p>
        </w:tc>
        <w:tc>
          <w:tcPr>
            <w:tcW w:w="4536" w:type="dxa"/>
            <w:vAlign w:val="center"/>
          </w:tcPr>
          <w:p w14:paraId="6059FA24">
            <w:pPr>
              <w:widowControl/>
              <w:snapToGrid w:val="0"/>
              <w:jc w:val="left"/>
              <w:textAlignment w:val="center"/>
              <w:rPr>
                <w:rFonts w:hint="eastAsia" w:cs="仿宋_GB2312" w:asciiTheme="minorEastAsia" w:hAnsiTheme="minorEastAsia" w:eastAsiaTheme="minorEastAsia"/>
                <w:color w:val="auto"/>
                <w:sz w:val="20"/>
                <w:szCs w:val="20"/>
                <w:highlight w:val="none"/>
              </w:rPr>
            </w:pPr>
            <w:r>
              <w:rPr>
                <w:rFonts w:cs="仿宋_GB2312" w:asciiTheme="minorEastAsia" w:hAnsiTheme="minorEastAsia" w:eastAsiaTheme="minorEastAsia"/>
                <w:color w:val="auto"/>
                <w:kern w:val="0"/>
                <w:sz w:val="20"/>
                <w:szCs w:val="20"/>
                <w:highlight w:val="none"/>
              </w:rPr>
              <w:t>路面垃圾（杂物）＜0.5㎡的每处扣0.</w:t>
            </w:r>
            <w:r>
              <w:rPr>
                <w:rStyle w:val="145"/>
                <w:rFonts w:hint="default" w:asciiTheme="minorEastAsia" w:hAnsiTheme="minorEastAsia" w:eastAsiaTheme="minorEastAsia"/>
                <w:color w:val="auto"/>
                <w:highlight w:val="none"/>
              </w:rPr>
              <w:t>5分，＜2㎡的每处扣1分,≥2㎡的每处扣2分，有暴露垃圾堆的每处扣4分。雨水井沟眼积泥（嵌石）的每处扣0.5分，树圈有垃圾（杂物）的每处扣0.5分。烟蒂每个扣0.05分。积泥（沙石）长度＜5米的每处扣1分，＜10米的每处扣2分，＜20米的每处扣2.5分，≥20米的每处扣4分。建筑垃圾(装潢垃圾)散落未袋装＜1m³的每处扣1分，≥1m³的每处扣2分。晴天积水＜3㎡的每处扣3分，≥3㎡的每处扣5分，冬季路面积水导致路面结冰的每处扣5分，导致有责交通事故的每次扣10分。人行道板间、人行道各类井盖间等缝隙有垃圾（杂物）的每处扣1分。</w:t>
            </w:r>
          </w:p>
        </w:tc>
      </w:tr>
      <w:tr w14:paraId="147E2B3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95" w:hRule="atLeast"/>
        </w:trPr>
        <w:tc>
          <w:tcPr>
            <w:tcW w:w="667" w:type="dxa"/>
            <w:vMerge w:val="continue"/>
          </w:tcPr>
          <w:p w14:paraId="2AD06F94">
            <w:pPr>
              <w:jc w:val="left"/>
              <w:rPr>
                <w:rFonts w:hint="eastAsia" w:cs="仿宋_GB2312" w:asciiTheme="minorEastAsia" w:hAnsiTheme="minorEastAsia" w:eastAsiaTheme="minorEastAsia"/>
                <w:b/>
                <w:color w:val="auto"/>
                <w:szCs w:val="21"/>
                <w:highlight w:val="none"/>
              </w:rPr>
            </w:pPr>
          </w:p>
        </w:tc>
        <w:tc>
          <w:tcPr>
            <w:tcW w:w="510" w:type="dxa"/>
            <w:vMerge w:val="continue"/>
            <w:vAlign w:val="center"/>
          </w:tcPr>
          <w:p w14:paraId="596A059D">
            <w:pPr>
              <w:rPr>
                <w:rFonts w:hint="eastAsia" w:cs="宋体" w:asciiTheme="minorEastAsia" w:hAnsiTheme="minorEastAsia" w:eastAsiaTheme="minorEastAsia"/>
                <w:color w:val="auto"/>
                <w:sz w:val="22"/>
                <w:highlight w:val="none"/>
              </w:rPr>
            </w:pPr>
          </w:p>
        </w:tc>
        <w:tc>
          <w:tcPr>
            <w:tcW w:w="1517" w:type="dxa"/>
            <w:vMerge w:val="continue"/>
            <w:vAlign w:val="center"/>
          </w:tcPr>
          <w:p w14:paraId="36B3F0DA">
            <w:pPr>
              <w:jc w:val="center"/>
              <w:rPr>
                <w:rFonts w:hint="eastAsia" w:cs="仿宋_GB2312" w:asciiTheme="minorEastAsia" w:hAnsiTheme="minorEastAsia" w:eastAsiaTheme="minorEastAsia"/>
                <w:b/>
                <w:color w:val="auto"/>
                <w:szCs w:val="21"/>
                <w:highlight w:val="none"/>
              </w:rPr>
            </w:pPr>
          </w:p>
        </w:tc>
        <w:tc>
          <w:tcPr>
            <w:tcW w:w="2410" w:type="dxa"/>
            <w:vAlign w:val="center"/>
          </w:tcPr>
          <w:p w14:paraId="76AE1EFD">
            <w:pPr>
              <w:widowControl/>
              <w:snapToGrid w:val="0"/>
              <w:spacing w:line="240" w:lineRule="atLeast"/>
              <w:jc w:val="left"/>
              <w:textAlignment w:val="center"/>
              <w:rPr>
                <w:rFonts w:hint="eastAsia" w:cs="仿宋_GB2312" w:asciiTheme="minorEastAsia" w:hAnsiTheme="minorEastAsia" w:eastAsiaTheme="minorEastAsia"/>
                <w:color w:val="auto"/>
                <w:sz w:val="20"/>
                <w:szCs w:val="20"/>
                <w:highlight w:val="none"/>
              </w:rPr>
            </w:pPr>
            <w:r>
              <w:rPr>
                <w:rFonts w:hint="eastAsia" w:cs="仿宋_GB2312" w:asciiTheme="minorEastAsia" w:hAnsiTheme="minorEastAsia" w:eastAsiaTheme="minorEastAsia"/>
                <w:color w:val="auto"/>
                <w:kern w:val="0"/>
                <w:sz w:val="20"/>
                <w:szCs w:val="20"/>
                <w:highlight w:val="none"/>
              </w:rPr>
              <w:t>街巷</w:t>
            </w:r>
            <w:r>
              <w:rPr>
                <w:rFonts w:cs="仿宋_GB2312" w:asciiTheme="minorEastAsia" w:hAnsiTheme="minorEastAsia" w:eastAsiaTheme="minorEastAsia"/>
                <w:color w:val="auto"/>
                <w:kern w:val="0"/>
                <w:sz w:val="20"/>
                <w:szCs w:val="20"/>
                <w:highlight w:val="none"/>
              </w:rPr>
              <w:t>绿地（含车道绿化隔离带、人行道绿地）保洁应与</w:t>
            </w:r>
            <w:r>
              <w:rPr>
                <w:rFonts w:hint="eastAsia" w:cs="仿宋_GB2312" w:asciiTheme="minorEastAsia" w:hAnsiTheme="minorEastAsia" w:eastAsiaTheme="minorEastAsia"/>
                <w:color w:val="auto"/>
                <w:kern w:val="0"/>
                <w:sz w:val="20"/>
                <w:szCs w:val="20"/>
                <w:highlight w:val="none"/>
              </w:rPr>
              <w:t>街巷</w:t>
            </w:r>
            <w:r>
              <w:rPr>
                <w:rFonts w:cs="仿宋_GB2312" w:asciiTheme="minorEastAsia" w:hAnsiTheme="minorEastAsia" w:eastAsiaTheme="minorEastAsia"/>
                <w:color w:val="auto"/>
                <w:kern w:val="0"/>
                <w:sz w:val="20"/>
                <w:szCs w:val="20"/>
                <w:highlight w:val="none"/>
              </w:rPr>
              <w:t>保洁同步，做到绿化带内无杂物、无垃圾。</w:t>
            </w:r>
          </w:p>
        </w:tc>
        <w:tc>
          <w:tcPr>
            <w:tcW w:w="4536" w:type="dxa"/>
            <w:vAlign w:val="center"/>
          </w:tcPr>
          <w:p w14:paraId="6848DADF">
            <w:pPr>
              <w:widowControl/>
              <w:snapToGrid w:val="0"/>
              <w:spacing w:line="240" w:lineRule="atLeast"/>
              <w:jc w:val="left"/>
              <w:textAlignment w:val="center"/>
              <w:rPr>
                <w:rFonts w:hint="eastAsia" w:cs="仿宋_GB2312" w:asciiTheme="minorEastAsia" w:hAnsiTheme="minorEastAsia" w:eastAsiaTheme="minorEastAsia"/>
                <w:color w:val="auto"/>
                <w:sz w:val="20"/>
                <w:szCs w:val="20"/>
                <w:highlight w:val="none"/>
              </w:rPr>
            </w:pPr>
            <w:r>
              <w:rPr>
                <w:rFonts w:cs="仿宋_GB2312" w:asciiTheme="minorEastAsia" w:hAnsiTheme="minorEastAsia" w:eastAsiaTheme="minorEastAsia"/>
                <w:color w:val="auto"/>
                <w:kern w:val="0"/>
                <w:sz w:val="20"/>
                <w:szCs w:val="20"/>
                <w:highlight w:val="none"/>
              </w:rPr>
              <w:t>绿地内垃圾(杂物)＜0.5</w:t>
            </w:r>
            <w:r>
              <w:rPr>
                <w:rFonts w:hint="eastAsia" w:cs="宋体" w:asciiTheme="minorEastAsia" w:hAnsiTheme="minorEastAsia" w:eastAsiaTheme="minorEastAsia"/>
                <w:color w:val="auto"/>
                <w:kern w:val="0"/>
                <w:sz w:val="20"/>
                <w:szCs w:val="20"/>
                <w:highlight w:val="none"/>
              </w:rPr>
              <w:t>㎡</w:t>
            </w:r>
            <w:r>
              <w:rPr>
                <w:rFonts w:hint="eastAsia" w:cs="仿宋_GB2312" w:asciiTheme="minorEastAsia" w:hAnsiTheme="minorEastAsia" w:eastAsiaTheme="minorEastAsia"/>
                <w:color w:val="auto"/>
                <w:kern w:val="0"/>
                <w:sz w:val="20"/>
                <w:szCs w:val="20"/>
                <w:highlight w:val="none"/>
              </w:rPr>
              <w:t>的每处扣0.5</w:t>
            </w:r>
            <w:r>
              <w:rPr>
                <w:rFonts w:cs="仿宋_GB2312" w:asciiTheme="minorEastAsia" w:hAnsiTheme="minorEastAsia" w:eastAsiaTheme="minorEastAsia"/>
                <w:color w:val="auto"/>
                <w:kern w:val="0"/>
                <w:sz w:val="20"/>
                <w:szCs w:val="20"/>
                <w:highlight w:val="none"/>
              </w:rPr>
              <w:t>分，＜2</w:t>
            </w:r>
            <w:r>
              <w:rPr>
                <w:rFonts w:hint="eastAsia" w:cs="宋体" w:asciiTheme="minorEastAsia" w:hAnsiTheme="minorEastAsia" w:eastAsiaTheme="minorEastAsia"/>
                <w:color w:val="auto"/>
                <w:kern w:val="0"/>
                <w:sz w:val="20"/>
                <w:szCs w:val="20"/>
                <w:highlight w:val="none"/>
              </w:rPr>
              <w:t>㎡</w:t>
            </w:r>
            <w:r>
              <w:rPr>
                <w:rFonts w:hint="eastAsia" w:cs="仿宋_GB2312" w:asciiTheme="minorEastAsia" w:hAnsiTheme="minorEastAsia" w:eastAsiaTheme="minorEastAsia"/>
                <w:color w:val="auto"/>
                <w:kern w:val="0"/>
                <w:sz w:val="20"/>
                <w:szCs w:val="20"/>
                <w:highlight w:val="none"/>
              </w:rPr>
              <w:t>的每处扣1</w:t>
            </w:r>
            <w:r>
              <w:rPr>
                <w:rFonts w:cs="仿宋_GB2312" w:asciiTheme="minorEastAsia" w:hAnsiTheme="minorEastAsia" w:eastAsiaTheme="minorEastAsia"/>
                <w:color w:val="auto"/>
                <w:kern w:val="0"/>
                <w:sz w:val="20"/>
                <w:szCs w:val="20"/>
                <w:highlight w:val="none"/>
              </w:rPr>
              <w:t>分,≥2</w:t>
            </w:r>
            <w:r>
              <w:rPr>
                <w:rFonts w:hint="eastAsia" w:cs="宋体" w:asciiTheme="minorEastAsia" w:hAnsiTheme="minorEastAsia" w:eastAsiaTheme="minorEastAsia"/>
                <w:color w:val="auto"/>
                <w:kern w:val="0"/>
                <w:sz w:val="20"/>
                <w:szCs w:val="20"/>
                <w:highlight w:val="none"/>
              </w:rPr>
              <w:t>㎡</w:t>
            </w:r>
            <w:r>
              <w:rPr>
                <w:rFonts w:hint="eastAsia" w:cs="仿宋_GB2312" w:asciiTheme="minorEastAsia" w:hAnsiTheme="minorEastAsia" w:eastAsiaTheme="minorEastAsia"/>
                <w:color w:val="auto"/>
                <w:kern w:val="0"/>
                <w:sz w:val="20"/>
                <w:szCs w:val="20"/>
                <w:highlight w:val="none"/>
              </w:rPr>
              <w:t>的每处扣2</w:t>
            </w:r>
            <w:r>
              <w:rPr>
                <w:rFonts w:cs="仿宋_GB2312" w:asciiTheme="minorEastAsia" w:hAnsiTheme="minorEastAsia" w:eastAsiaTheme="minorEastAsia"/>
                <w:color w:val="auto"/>
                <w:kern w:val="0"/>
                <w:sz w:val="20"/>
                <w:szCs w:val="20"/>
                <w:highlight w:val="none"/>
              </w:rPr>
              <w:t>分，有暴露垃圾堆的每处扣</w:t>
            </w:r>
            <w:r>
              <w:rPr>
                <w:rFonts w:hint="eastAsia" w:cs="仿宋_GB2312" w:asciiTheme="minorEastAsia" w:hAnsiTheme="minorEastAsia" w:eastAsiaTheme="minorEastAsia"/>
                <w:color w:val="auto"/>
                <w:kern w:val="0"/>
                <w:sz w:val="20"/>
                <w:szCs w:val="20"/>
                <w:highlight w:val="none"/>
              </w:rPr>
              <w:t>4</w:t>
            </w:r>
            <w:r>
              <w:rPr>
                <w:rFonts w:cs="仿宋_GB2312" w:asciiTheme="minorEastAsia" w:hAnsiTheme="minorEastAsia" w:eastAsiaTheme="minorEastAsia"/>
                <w:color w:val="auto"/>
                <w:kern w:val="0"/>
                <w:sz w:val="20"/>
                <w:szCs w:val="20"/>
                <w:highlight w:val="none"/>
              </w:rPr>
              <w:t>分。</w:t>
            </w:r>
            <w:r>
              <w:rPr>
                <w:rStyle w:val="145"/>
                <w:rFonts w:hint="default" w:asciiTheme="minorEastAsia" w:hAnsiTheme="minorEastAsia" w:eastAsiaTheme="minorEastAsia"/>
                <w:color w:val="auto"/>
                <w:highlight w:val="none"/>
              </w:rPr>
              <w:t>烟蒂每个扣0.05分。</w:t>
            </w:r>
          </w:p>
        </w:tc>
      </w:tr>
      <w:tr w14:paraId="05DD064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1125" w:hRule="atLeast"/>
        </w:trPr>
        <w:tc>
          <w:tcPr>
            <w:tcW w:w="667" w:type="dxa"/>
            <w:vMerge w:val="continue"/>
          </w:tcPr>
          <w:p w14:paraId="48C5E44D">
            <w:pPr>
              <w:jc w:val="left"/>
              <w:rPr>
                <w:rFonts w:hint="eastAsia" w:cs="仿宋_GB2312" w:asciiTheme="minorEastAsia" w:hAnsiTheme="minorEastAsia" w:eastAsiaTheme="minorEastAsia"/>
                <w:b/>
                <w:color w:val="auto"/>
                <w:szCs w:val="21"/>
                <w:highlight w:val="none"/>
              </w:rPr>
            </w:pPr>
          </w:p>
        </w:tc>
        <w:tc>
          <w:tcPr>
            <w:tcW w:w="510" w:type="dxa"/>
            <w:vMerge w:val="continue"/>
            <w:vAlign w:val="center"/>
          </w:tcPr>
          <w:p w14:paraId="0CCF7104">
            <w:pPr>
              <w:rPr>
                <w:rFonts w:hint="eastAsia" w:cs="宋体" w:asciiTheme="minorEastAsia" w:hAnsiTheme="minorEastAsia" w:eastAsiaTheme="minorEastAsia"/>
                <w:color w:val="auto"/>
                <w:sz w:val="22"/>
                <w:highlight w:val="none"/>
              </w:rPr>
            </w:pPr>
          </w:p>
        </w:tc>
        <w:tc>
          <w:tcPr>
            <w:tcW w:w="1517" w:type="dxa"/>
            <w:vMerge w:val="continue"/>
            <w:vAlign w:val="center"/>
          </w:tcPr>
          <w:p w14:paraId="5FEF492B">
            <w:pPr>
              <w:jc w:val="center"/>
              <w:rPr>
                <w:rFonts w:hint="eastAsia" w:cs="仿宋_GB2312" w:asciiTheme="minorEastAsia" w:hAnsiTheme="minorEastAsia" w:eastAsiaTheme="minorEastAsia"/>
                <w:b/>
                <w:color w:val="auto"/>
                <w:szCs w:val="21"/>
                <w:highlight w:val="none"/>
              </w:rPr>
            </w:pPr>
          </w:p>
        </w:tc>
        <w:tc>
          <w:tcPr>
            <w:tcW w:w="2410" w:type="dxa"/>
            <w:vAlign w:val="center"/>
          </w:tcPr>
          <w:p w14:paraId="50B4BD60">
            <w:pPr>
              <w:widowControl/>
              <w:snapToGrid w:val="0"/>
              <w:spacing w:line="240" w:lineRule="atLeast"/>
              <w:jc w:val="left"/>
              <w:textAlignment w:val="center"/>
              <w:rPr>
                <w:rFonts w:hint="eastAsia" w:cs="仿宋_GB2312" w:asciiTheme="minorEastAsia" w:hAnsiTheme="minorEastAsia" w:eastAsiaTheme="minorEastAsia"/>
                <w:color w:val="auto"/>
                <w:sz w:val="20"/>
                <w:szCs w:val="20"/>
                <w:highlight w:val="none"/>
              </w:rPr>
            </w:pPr>
            <w:r>
              <w:rPr>
                <w:rFonts w:cs="仿宋_GB2312" w:asciiTheme="minorEastAsia" w:hAnsiTheme="minorEastAsia" w:eastAsiaTheme="minorEastAsia"/>
                <w:color w:val="auto"/>
                <w:kern w:val="0"/>
                <w:sz w:val="20"/>
                <w:szCs w:val="20"/>
                <w:highlight w:val="none"/>
              </w:rPr>
              <w:t>清洗要做到路面、侧石、标志线见本色，无污渍。</w:t>
            </w:r>
          </w:p>
        </w:tc>
        <w:tc>
          <w:tcPr>
            <w:tcW w:w="4536" w:type="dxa"/>
            <w:vAlign w:val="center"/>
          </w:tcPr>
          <w:p w14:paraId="1448B8F7">
            <w:pPr>
              <w:widowControl/>
              <w:snapToGrid w:val="0"/>
              <w:spacing w:line="240" w:lineRule="atLeast"/>
              <w:jc w:val="left"/>
              <w:textAlignment w:val="center"/>
              <w:rPr>
                <w:rFonts w:hint="eastAsia" w:cs="仿宋_GB2312" w:asciiTheme="minorEastAsia" w:hAnsiTheme="minorEastAsia" w:eastAsiaTheme="minorEastAsia"/>
                <w:color w:val="auto"/>
                <w:sz w:val="20"/>
                <w:szCs w:val="20"/>
                <w:highlight w:val="none"/>
              </w:rPr>
            </w:pPr>
            <w:r>
              <w:rPr>
                <w:rFonts w:cs="仿宋_GB2312" w:asciiTheme="minorEastAsia" w:hAnsiTheme="minorEastAsia" w:eastAsiaTheme="minorEastAsia"/>
                <w:color w:val="auto"/>
                <w:kern w:val="0"/>
                <w:sz w:val="20"/>
                <w:szCs w:val="20"/>
                <w:highlight w:val="none"/>
              </w:rPr>
              <w:t>路面油污、污渍＜1㎡的每处扣1.5分，≥1㎡的每处扣</w:t>
            </w:r>
            <w:r>
              <w:rPr>
                <w:rStyle w:val="145"/>
                <w:rFonts w:hint="default" w:asciiTheme="minorEastAsia" w:hAnsiTheme="minorEastAsia" w:eastAsiaTheme="minorEastAsia"/>
                <w:color w:val="auto"/>
                <w:highlight w:val="none"/>
              </w:rPr>
              <w:t>3分，路面清洗质量不到位未见本色的，每处扣4分。</w:t>
            </w:r>
          </w:p>
        </w:tc>
      </w:tr>
      <w:tr w14:paraId="2B5F403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13" w:hRule="atLeast"/>
        </w:trPr>
        <w:tc>
          <w:tcPr>
            <w:tcW w:w="667" w:type="dxa"/>
            <w:vMerge w:val="continue"/>
          </w:tcPr>
          <w:p w14:paraId="1AAC06B8">
            <w:pPr>
              <w:jc w:val="left"/>
              <w:rPr>
                <w:rFonts w:hint="eastAsia" w:cs="仿宋_GB2312" w:asciiTheme="minorEastAsia" w:hAnsiTheme="minorEastAsia" w:eastAsiaTheme="minorEastAsia"/>
                <w:b/>
                <w:color w:val="auto"/>
                <w:szCs w:val="21"/>
                <w:highlight w:val="none"/>
              </w:rPr>
            </w:pPr>
          </w:p>
        </w:tc>
        <w:tc>
          <w:tcPr>
            <w:tcW w:w="510" w:type="dxa"/>
            <w:vMerge w:val="continue"/>
            <w:vAlign w:val="center"/>
          </w:tcPr>
          <w:p w14:paraId="55515AA0">
            <w:pPr>
              <w:rPr>
                <w:rFonts w:hint="eastAsia" w:cs="宋体" w:asciiTheme="minorEastAsia" w:hAnsiTheme="minorEastAsia" w:eastAsiaTheme="minorEastAsia"/>
                <w:color w:val="auto"/>
                <w:sz w:val="22"/>
                <w:highlight w:val="none"/>
              </w:rPr>
            </w:pPr>
          </w:p>
        </w:tc>
        <w:tc>
          <w:tcPr>
            <w:tcW w:w="1517" w:type="dxa"/>
            <w:vMerge w:val="continue"/>
            <w:vAlign w:val="center"/>
          </w:tcPr>
          <w:p w14:paraId="59E59A16">
            <w:pPr>
              <w:jc w:val="center"/>
              <w:rPr>
                <w:rFonts w:hint="eastAsia" w:cs="仿宋_GB2312" w:asciiTheme="minorEastAsia" w:hAnsiTheme="minorEastAsia" w:eastAsiaTheme="minorEastAsia"/>
                <w:b/>
                <w:color w:val="auto"/>
                <w:szCs w:val="21"/>
                <w:highlight w:val="none"/>
              </w:rPr>
            </w:pPr>
          </w:p>
        </w:tc>
        <w:tc>
          <w:tcPr>
            <w:tcW w:w="2410" w:type="dxa"/>
            <w:vAlign w:val="center"/>
          </w:tcPr>
          <w:p w14:paraId="7D211854">
            <w:pPr>
              <w:widowControl/>
              <w:snapToGrid w:val="0"/>
              <w:spacing w:line="240" w:lineRule="atLeast"/>
              <w:jc w:val="left"/>
              <w:textAlignment w:val="center"/>
              <w:rPr>
                <w:rFonts w:hint="eastAsia" w:cs="仿宋_GB2312" w:asciiTheme="minorEastAsia" w:hAnsiTheme="minorEastAsia" w:eastAsiaTheme="minorEastAsia"/>
                <w:color w:val="auto"/>
                <w:sz w:val="20"/>
                <w:szCs w:val="20"/>
                <w:highlight w:val="none"/>
              </w:rPr>
            </w:pPr>
            <w:r>
              <w:rPr>
                <w:rFonts w:hint="eastAsia" w:cs="仿宋_GB2312" w:asciiTheme="minorEastAsia" w:hAnsiTheme="minorEastAsia" w:eastAsiaTheme="minorEastAsia"/>
                <w:color w:val="auto"/>
                <w:kern w:val="0"/>
                <w:sz w:val="20"/>
                <w:szCs w:val="20"/>
                <w:highlight w:val="none"/>
              </w:rPr>
              <w:t>街巷</w:t>
            </w:r>
            <w:r>
              <w:rPr>
                <w:rFonts w:cs="仿宋_GB2312" w:asciiTheme="minorEastAsia" w:hAnsiTheme="minorEastAsia" w:eastAsiaTheme="minorEastAsia"/>
                <w:color w:val="auto"/>
                <w:kern w:val="0"/>
                <w:sz w:val="20"/>
                <w:szCs w:val="20"/>
                <w:highlight w:val="none"/>
              </w:rPr>
              <w:t>两侧建筑工地出入口前路面（或空地）清洁。</w:t>
            </w:r>
          </w:p>
        </w:tc>
        <w:tc>
          <w:tcPr>
            <w:tcW w:w="4536" w:type="dxa"/>
            <w:vAlign w:val="center"/>
          </w:tcPr>
          <w:p w14:paraId="17E1BB36">
            <w:pPr>
              <w:widowControl/>
              <w:snapToGrid w:val="0"/>
              <w:spacing w:line="240" w:lineRule="atLeast"/>
              <w:jc w:val="left"/>
              <w:textAlignment w:val="center"/>
              <w:rPr>
                <w:rFonts w:hint="eastAsia" w:cs="仿宋_GB2312" w:asciiTheme="minorEastAsia" w:hAnsiTheme="minorEastAsia" w:eastAsiaTheme="minorEastAsia"/>
                <w:color w:val="auto"/>
                <w:sz w:val="20"/>
                <w:szCs w:val="20"/>
                <w:highlight w:val="none"/>
              </w:rPr>
            </w:pPr>
            <w:r>
              <w:rPr>
                <w:rFonts w:cs="仿宋_GB2312" w:asciiTheme="minorEastAsia" w:hAnsiTheme="minorEastAsia" w:eastAsiaTheme="minorEastAsia"/>
                <w:color w:val="auto"/>
                <w:kern w:val="0"/>
                <w:sz w:val="20"/>
                <w:szCs w:val="20"/>
                <w:highlight w:val="none"/>
              </w:rPr>
              <w:t>街巷、人行道、侧石有乱涂写招贴的每处扣</w:t>
            </w:r>
            <w:r>
              <w:rPr>
                <w:rStyle w:val="145"/>
                <w:rFonts w:hint="default" w:asciiTheme="minorEastAsia" w:hAnsiTheme="minorEastAsia" w:eastAsiaTheme="minorEastAsia"/>
                <w:color w:val="auto"/>
                <w:highlight w:val="none"/>
              </w:rPr>
              <w:t>1分；生活污水污染路面＜1㎡的每处扣1分，≥1㎡的每处扣2分。</w:t>
            </w:r>
          </w:p>
        </w:tc>
      </w:tr>
      <w:tr w14:paraId="0FF5E5B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70" w:hRule="atLeast"/>
        </w:trPr>
        <w:tc>
          <w:tcPr>
            <w:tcW w:w="667" w:type="dxa"/>
            <w:vMerge w:val="continue"/>
          </w:tcPr>
          <w:p w14:paraId="423EF7D0">
            <w:pPr>
              <w:jc w:val="left"/>
              <w:rPr>
                <w:rFonts w:hint="eastAsia" w:cs="仿宋_GB2312" w:asciiTheme="minorEastAsia" w:hAnsiTheme="minorEastAsia" w:eastAsiaTheme="minorEastAsia"/>
                <w:b/>
                <w:color w:val="auto"/>
                <w:szCs w:val="21"/>
                <w:highlight w:val="none"/>
              </w:rPr>
            </w:pPr>
          </w:p>
        </w:tc>
        <w:tc>
          <w:tcPr>
            <w:tcW w:w="510" w:type="dxa"/>
            <w:vMerge w:val="restart"/>
            <w:vAlign w:val="center"/>
          </w:tcPr>
          <w:p w14:paraId="0956E6B9">
            <w:pPr>
              <w:widowControl/>
              <w:jc w:val="center"/>
              <w:textAlignment w:val="center"/>
              <w:rPr>
                <w:rFonts w:hint="eastAsia" w:cs="仿宋_GB2312" w:asciiTheme="minorEastAsia" w:hAnsiTheme="minorEastAsia" w:eastAsiaTheme="minorEastAsia"/>
                <w:b/>
                <w:color w:val="auto"/>
                <w:szCs w:val="21"/>
                <w:highlight w:val="none"/>
              </w:rPr>
            </w:pPr>
            <w:r>
              <w:rPr>
                <w:rFonts w:cs="仿宋_GB2312" w:asciiTheme="minorEastAsia" w:hAnsiTheme="minorEastAsia" w:eastAsiaTheme="minorEastAsia"/>
                <w:b/>
                <w:color w:val="auto"/>
                <w:kern w:val="0"/>
                <w:szCs w:val="21"/>
                <w:highlight w:val="none"/>
              </w:rPr>
              <w:t>2</w:t>
            </w:r>
          </w:p>
        </w:tc>
        <w:tc>
          <w:tcPr>
            <w:tcW w:w="1517" w:type="dxa"/>
            <w:vMerge w:val="restart"/>
            <w:vAlign w:val="center"/>
          </w:tcPr>
          <w:p w14:paraId="499FCAB6">
            <w:pPr>
              <w:widowControl/>
              <w:jc w:val="center"/>
              <w:textAlignment w:val="center"/>
              <w:rPr>
                <w:rFonts w:hint="eastAsia" w:cs="仿宋_GB2312" w:asciiTheme="minorEastAsia" w:hAnsiTheme="minorEastAsia" w:eastAsiaTheme="minorEastAsia"/>
                <w:b/>
                <w:color w:val="auto"/>
                <w:szCs w:val="21"/>
                <w:highlight w:val="none"/>
              </w:rPr>
            </w:pPr>
            <w:r>
              <w:rPr>
                <w:rFonts w:cs="仿宋_GB2312" w:asciiTheme="minorEastAsia" w:hAnsiTheme="minorEastAsia" w:eastAsiaTheme="minorEastAsia"/>
                <w:b/>
                <w:color w:val="auto"/>
                <w:kern w:val="0"/>
                <w:szCs w:val="21"/>
                <w:highlight w:val="none"/>
              </w:rPr>
              <w:t>环卫设施管理情况</w:t>
            </w:r>
          </w:p>
        </w:tc>
        <w:tc>
          <w:tcPr>
            <w:tcW w:w="2410" w:type="dxa"/>
            <w:vAlign w:val="center"/>
          </w:tcPr>
          <w:p w14:paraId="2BECFCBA">
            <w:pPr>
              <w:widowControl/>
              <w:snapToGrid w:val="0"/>
              <w:spacing w:line="240" w:lineRule="atLeast"/>
              <w:jc w:val="left"/>
              <w:textAlignment w:val="center"/>
              <w:rPr>
                <w:rFonts w:hint="eastAsia" w:cs="仿宋_GB2312" w:asciiTheme="minorEastAsia" w:hAnsiTheme="minorEastAsia" w:eastAsiaTheme="minorEastAsia"/>
                <w:color w:val="auto"/>
                <w:sz w:val="20"/>
                <w:szCs w:val="20"/>
                <w:highlight w:val="none"/>
              </w:rPr>
            </w:pPr>
            <w:r>
              <w:rPr>
                <w:rFonts w:cs="仿宋_GB2312" w:asciiTheme="minorEastAsia" w:hAnsiTheme="minorEastAsia" w:eastAsiaTheme="minorEastAsia"/>
                <w:color w:val="auto"/>
                <w:kern w:val="0"/>
                <w:sz w:val="20"/>
                <w:szCs w:val="20"/>
                <w:highlight w:val="none"/>
              </w:rPr>
              <w:t>按照《生活垃圾分类管理规范》设置街巷果壳箱</w:t>
            </w:r>
            <w:r>
              <w:rPr>
                <w:rStyle w:val="145"/>
                <w:rFonts w:hint="default" w:asciiTheme="minorEastAsia" w:hAnsiTheme="minorEastAsia" w:eastAsiaTheme="minorEastAsia"/>
                <w:color w:val="auto"/>
                <w:highlight w:val="none"/>
              </w:rPr>
              <w:t>。</w:t>
            </w:r>
          </w:p>
        </w:tc>
        <w:tc>
          <w:tcPr>
            <w:tcW w:w="4536" w:type="dxa"/>
            <w:vAlign w:val="center"/>
          </w:tcPr>
          <w:p w14:paraId="0EF817A1">
            <w:pPr>
              <w:widowControl/>
              <w:snapToGrid w:val="0"/>
              <w:spacing w:line="240" w:lineRule="atLeast"/>
              <w:jc w:val="left"/>
              <w:textAlignment w:val="center"/>
              <w:rPr>
                <w:rFonts w:hint="eastAsia" w:cs="仿宋_GB2312" w:asciiTheme="minorEastAsia" w:hAnsiTheme="minorEastAsia" w:eastAsiaTheme="minorEastAsia"/>
                <w:color w:val="auto"/>
                <w:sz w:val="20"/>
                <w:szCs w:val="20"/>
                <w:highlight w:val="none"/>
              </w:rPr>
            </w:pPr>
            <w:r>
              <w:rPr>
                <w:rFonts w:cs="仿宋_GB2312" w:asciiTheme="minorEastAsia" w:hAnsiTheme="minorEastAsia" w:eastAsiaTheme="minorEastAsia"/>
                <w:color w:val="auto"/>
                <w:kern w:val="0"/>
                <w:sz w:val="20"/>
                <w:szCs w:val="20"/>
                <w:highlight w:val="none"/>
              </w:rPr>
              <w:t>未按照《生活垃圾分类管理规范》设置果壳箱的，每条街巷</w:t>
            </w:r>
            <w:r>
              <w:rPr>
                <w:rFonts w:hint="eastAsia" w:cs="仿宋_GB2312" w:asciiTheme="minorEastAsia" w:hAnsiTheme="minorEastAsia" w:eastAsiaTheme="minorEastAsia"/>
                <w:color w:val="auto"/>
                <w:kern w:val="0"/>
                <w:sz w:val="20"/>
                <w:szCs w:val="20"/>
                <w:highlight w:val="none"/>
              </w:rPr>
              <w:t>扣3</w:t>
            </w:r>
            <w:r>
              <w:rPr>
                <w:rStyle w:val="145"/>
                <w:rFonts w:hint="default" w:asciiTheme="minorEastAsia" w:hAnsiTheme="minorEastAsia" w:eastAsiaTheme="minorEastAsia"/>
                <w:color w:val="auto"/>
                <w:highlight w:val="none"/>
              </w:rPr>
              <w:t>分。</w:t>
            </w:r>
          </w:p>
        </w:tc>
      </w:tr>
      <w:tr w14:paraId="2F766C7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1800" w:hRule="atLeast"/>
        </w:trPr>
        <w:tc>
          <w:tcPr>
            <w:tcW w:w="667" w:type="dxa"/>
            <w:vMerge w:val="continue"/>
            <w:vAlign w:val="center"/>
          </w:tcPr>
          <w:p w14:paraId="49DD2DB5">
            <w:pPr>
              <w:jc w:val="center"/>
              <w:rPr>
                <w:rFonts w:hint="eastAsia" w:cs="仿宋_GB2312" w:asciiTheme="minorEastAsia" w:hAnsiTheme="minorEastAsia" w:eastAsiaTheme="minorEastAsia"/>
                <w:b/>
                <w:color w:val="auto"/>
                <w:szCs w:val="21"/>
                <w:highlight w:val="none"/>
              </w:rPr>
            </w:pPr>
          </w:p>
        </w:tc>
        <w:tc>
          <w:tcPr>
            <w:tcW w:w="510" w:type="dxa"/>
            <w:vMerge w:val="continue"/>
            <w:vAlign w:val="center"/>
          </w:tcPr>
          <w:p w14:paraId="53B7602E">
            <w:pPr>
              <w:jc w:val="center"/>
              <w:rPr>
                <w:rFonts w:hint="eastAsia" w:cs="仿宋_GB2312" w:asciiTheme="minorEastAsia" w:hAnsiTheme="minorEastAsia" w:eastAsiaTheme="minorEastAsia"/>
                <w:b/>
                <w:color w:val="auto"/>
                <w:szCs w:val="21"/>
                <w:highlight w:val="none"/>
              </w:rPr>
            </w:pPr>
          </w:p>
        </w:tc>
        <w:tc>
          <w:tcPr>
            <w:tcW w:w="1517" w:type="dxa"/>
            <w:vMerge w:val="continue"/>
            <w:vAlign w:val="center"/>
          </w:tcPr>
          <w:p w14:paraId="44DAEF82">
            <w:pPr>
              <w:jc w:val="center"/>
              <w:rPr>
                <w:rFonts w:hint="eastAsia" w:cs="仿宋_GB2312" w:asciiTheme="minorEastAsia" w:hAnsiTheme="minorEastAsia" w:eastAsiaTheme="minorEastAsia"/>
                <w:b/>
                <w:color w:val="auto"/>
                <w:szCs w:val="21"/>
                <w:highlight w:val="none"/>
              </w:rPr>
            </w:pPr>
          </w:p>
        </w:tc>
        <w:tc>
          <w:tcPr>
            <w:tcW w:w="2410" w:type="dxa"/>
            <w:vAlign w:val="center"/>
          </w:tcPr>
          <w:p w14:paraId="3E31C550">
            <w:pPr>
              <w:widowControl/>
              <w:snapToGrid w:val="0"/>
              <w:spacing w:line="240" w:lineRule="atLeast"/>
              <w:jc w:val="left"/>
              <w:textAlignment w:val="center"/>
              <w:rPr>
                <w:rFonts w:hint="eastAsia" w:cs="仿宋_GB2312" w:asciiTheme="minorEastAsia" w:hAnsiTheme="minorEastAsia" w:eastAsiaTheme="minorEastAsia"/>
                <w:color w:val="auto"/>
                <w:sz w:val="20"/>
                <w:szCs w:val="20"/>
                <w:highlight w:val="none"/>
              </w:rPr>
            </w:pPr>
            <w:r>
              <w:rPr>
                <w:rFonts w:cs="仿宋_GB2312" w:asciiTheme="minorEastAsia" w:hAnsiTheme="minorEastAsia" w:eastAsiaTheme="minorEastAsia"/>
                <w:color w:val="auto"/>
                <w:kern w:val="0"/>
                <w:sz w:val="20"/>
                <w:szCs w:val="20"/>
                <w:highlight w:val="none"/>
              </w:rPr>
              <w:t>垃圾收集容器完好。</w:t>
            </w:r>
          </w:p>
        </w:tc>
        <w:tc>
          <w:tcPr>
            <w:tcW w:w="4536" w:type="dxa"/>
            <w:vAlign w:val="center"/>
          </w:tcPr>
          <w:p w14:paraId="3343BB40">
            <w:pPr>
              <w:widowControl/>
              <w:snapToGrid w:val="0"/>
              <w:spacing w:line="240" w:lineRule="atLeast"/>
              <w:jc w:val="left"/>
              <w:textAlignment w:val="center"/>
              <w:rPr>
                <w:rFonts w:hint="eastAsia" w:cs="仿宋_GB2312" w:asciiTheme="minorEastAsia" w:hAnsiTheme="minorEastAsia" w:eastAsiaTheme="minorEastAsia"/>
                <w:color w:val="auto"/>
                <w:sz w:val="20"/>
                <w:szCs w:val="20"/>
                <w:highlight w:val="none"/>
              </w:rPr>
            </w:pPr>
            <w:r>
              <w:rPr>
                <w:rFonts w:cs="仿宋_GB2312" w:asciiTheme="minorEastAsia" w:hAnsiTheme="minorEastAsia" w:eastAsiaTheme="minorEastAsia"/>
                <w:color w:val="auto"/>
                <w:kern w:val="0"/>
                <w:sz w:val="20"/>
                <w:szCs w:val="20"/>
                <w:highlight w:val="none"/>
              </w:rPr>
              <w:t>街巷两侧的果壳箱破损的每处扣</w:t>
            </w:r>
            <w:r>
              <w:rPr>
                <w:rStyle w:val="145"/>
                <w:rFonts w:hint="default" w:asciiTheme="minorEastAsia" w:hAnsiTheme="minorEastAsia" w:eastAsiaTheme="minorEastAsia"/>
                <w:color w:val="auto"/>
                <w:highlight w:val="none"/>
              </w:rPr>
              <w:t>1分，油漆剥落（或严重褪色）、歪斜的每处扣1分，箱门未关闭的每处扣1分；垃圾桶破损的每处扣2分，未在规定时限内修复的每只扣2分。桶盖未盖好的每处扣2分。垃圾房门敞开未关闭的每处扣2分,破损、锈蚀、外墙面和地面有积存污垢，周围地面有积存污水的每处扣3分。</w:t>
            </w:r>
          </w:p>
        </w:tc>
      </w:tr>
      <w:tr w14:paraId="6E9A905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1695" w:hRule="atLeast"/>
        </w:trPr>
        <w:tc>
          <w:tcPr>
            <w:tcW w:w="667" w:type="dxa"/>
            <w:vMerge w:val="restart"/>
            <w:vAlign w:val="center"/>
          </w:tcPr>
          <w:p w14:paraId="79C4A850">
            <w:pPr>
              <w:widowControl/>
              <w:jc w:val="center"/>
              <w:textAlignment w:val="center"/>
              <w:rPr>
                <w:rFonts w:hint="eastAsia" w:cs="仿宋_GB2312" w:asciiTheme="minorEastAsia" w:hAnsiTheme="minorEastAsia" w:eastAsiaTheme="minorEastAsia"/>
                <w:b/>
                <w:color w:val="auto"/>
                <w:kern w:val="0"/>
                <w:szCs w:val="21"/>
                <w:highlight w:val="none"/>
              </w:rPr>
            </w:pPr>
            <w:r>
              <w:rPr>
                <w:rFonts w:cs="仿宋_GB2312" w:asciiTheme="minorEastAsia" w:hAnsiTheme="minorEastAsia" w:eastAsiaTheme="minorEastAsia"/>
                <w:b/>
                <w:color w:val="auto"/>
                <w:kern w:val="0"/>
                <w:szCs w:val="21"/>
                <w:highlight w:val="none"/>
              </w:rPr>
              <w:t>街巷现场评价</w:t>
            </w:r>
          </w:p>
        </w:tc>
        <w:tc>
          <w:tcPr>
            <w:tcW w:w="510" w:type="dxa"/>
            <w:vMerge w:val="restart"/>
            <w:vAlign w:val="center"/>
          </w:tcPr>
          <w:p w14:paraId="6E787411">
            <w:pPr>
              <w:jc w:val="center"/>
              <w:rPr>
                <w:rFonts w:hint="eastAsia" w:cs="仿宋_GB2312" w:asciiTheme="minorEastAsia" w:hAnsiTheme="minorEastAsia" w:eastAsiaTheme="minorEastAsia"/>
                <w:b/>
                <w:color w:val="auto"/>
                <w:szCs w:val="21"/>
                <w:highlight w:val="none"/>
              </w:rPr>
            </w:pPr>
            <w:r>
              <w:rPr>
                <w:rFonts w:hint="eastAsia" w:cs="仿宋_GB2312" w:asciiTheme="minorEastAsia" w:hAnsiTheme="minorEastAsia" w:eastAsiaTheme="minorEastAsia"/>
                <w:b/>
                <w:color w:val="auto"/>
                <w:szCs w:val="21"/>
                <w:highlight w:val="none"/>
              </w:rPr>
              <w:t>2</w:t>
            </w:r>
          </w:p>
        </w:tc>
        <w:tc>
          <w:tcPr>
            <w:tcW w:w="1517" w:type="dxa"/>
            <w:vMerge w:val="restart"/>
            <w:vAlign w:val="center"/>
          </w:tcPr>
          <w:p w14:paraId="78E9762A">
            <w:pPr>
              <w:jc w:val="center"/>
              <w:rPr>
                <w:rFonts w:hint="eastAsia" w:cs="仿宋_GB2312" w:asciiTheme="minorEastAsia" w:hAnsiTheme="minorEastAsia" w:eastAsiaTheme="minorEastAsia"/>
                <w:b/>
                <w:color w:val="auto"/>
                <w:szCs w:val="21"/>
                <w:highlight w:val="none"/>
              </w:rPr>
            </w:pPr>
            <w:r>
              <w:rPr>
                <w:rFonts w:cs="仿宋_GB2312" w:asciiTheme="minorEastAsia" w:hAnsiTheme="minorEastAsia" w:eastAsiaTheme="minorEastAsia"/>
                <w:b/>
                <w:color w:val="auto"/>
                <w:kern w:val="0"/>
                <w:szCs w:val="21"/>
                <w:highlight w:val="none"/>
              </w:rPr>
              <w:t>环卫设施管理情况</w:t>
            </w:r>
          </w:p>
        </w:tc>
        <w:tc>
          <w:tcPr>
            <w:tcW w:w="2410" w:type="dxa"/>
            <w:vAlign w:val="center"/>
          </w:tcPr>
          <w:p w14:paraId="30223930">
            <w:pPr>
              <w:widowControl/>
              <w:jc w:val="left"/>
              <w:textAlignment w:val="center"/>
              <w:rPr>
                <w:rFonts w:hint="eastAsia" w:cs="仿宋_GB2312" w:asciiTheme="minorEastAsia" w:hAnsiTheme="minorEastAsia" w:eastAsiaTheme="minorEastAsia"/>
                <w:color w:val="auto"/>
                <w:sz w:val="20"/>
                <w:szCs w:val="20"/>
                <w:highlight w:val="none"/>
              </w:rPr>
            </w:pPr>
            <w:r>
              <w:rPr>
                <w:rFonts w:cs="仿宋_GB2312" w:asciiTheme="minorEastAsia" w:hAnsiTheme="minorEastAsia" w:eastAsiaTheme="minorEastAsia"/>
                <w:color w:val="auto"/>
                <w:kern w:val="0"/>
                <w:sz w:val="20"/>
                <w:szCs w:val="20"/>
                <w:highlight w:val="none"/>
              </w:rPr>
              <w:t>垃圾桶不乱堆乱放，果壳箱、垃圾桶无积存垃圾，日产日清。果壳箱、垃圾桶、垃圾房清洁无污垢、无垃圾满溢现象，箱（桶、房）外无暴露垃圾。</w:t>
            </w:r>
          </w:p>
        </w:tc>
        <w:tc>
          <w:tcPr>
            <w:tcW w:w="4536" w:type="dxa"/>
            <w:vAlign w:val="center"/>
          </w:tcPr>
          <w:p w14:paraId="670A9DDB">
            <w:pPr>
              <w:widowControl/>
              <w:jc w:val="left"/>
              <w:textAlignment w:val="center"/>
              <w:rPr>
                <w:rFonts w:hint="eastAsia" w:cs="仿宋_GB2312" w:asciiTheme="minorEastAsia" w:hAnsiTheme="minorEastAsia" w:eastAsiaTheme="minorEastAsia"/>
                <w:color w:val="auto"/>
                <w:sz w:val="20"/>
                <w:szCs w:val="20"/>
                <w:highlight w:val="none"/>
              </w:rPr>
            </w:pPr>
            <w:r>
              <w:rPr>
                <w:rFonts w:cs="仿宋_GB2312" w:asciiTheme="minorEastAsia" w:hAnsiTheme="minorEastAsia" w:eastAsiaTheme="minorEastAsia"/>
                <w:color w:val="auto"/>
                <w:kern w:val="0"/>
                <w:sz w:val="20"/>
                <w:szCs w:val="20"/>
                <w:highlight w:val="none"/>
              </w:rPr>
              <w:t>垃圾桶乱堆放，每个扣</w:t>
            </w:r>
            <w:r>
              <w:rPr>
                <w:rStyle w:val="145"/>
                <w:rFonts w:hint="default" w:asciiTheme="minorEastAsia" w:hAnsiTheme="minorEastAsia" w:eastAsiaTheme="minorEastAsia"/>
                <w:color w:val="auto"/>
                <w:highlight w:val="none"/>
              </w:rPr>
              <w:t>1分。垃圾未日产日清的每处扣2分，垃圾超出果壳箱、垃圾桶投放口平面的每处扣1分。垃圾收集容器边有暴露垃圾的每处扣2分，周边地面有垃圾污水、每处扣2分；果壳箱(垃圾箱、桶）等垃圾收集容器清洗不到位，外观不洁有污垢的每处扣2分。</w:t>
            </w:r>
          </w:p>
        </w:tc>
      </w:tr>
      <w:tr w14:paraId="57EB2F3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1142" w:hRule="atLeast"/>
        </w:trPr>
        <w:tc>
          <w:tcPr>
            <w:tcW w:w="667" w:type="dxa"/>
            <w:vMerge w:val="continue"/>
            <w:vAlign w:val="center"/>
          </w:tcPr>
          <w:p w14:paraId="46A3ACE0">
            <w:pPr>
              <w:jc w:val="center"/>
              <w:rPr>
                <w:rFonts w:hint="eastAsia" w:cs="仿宋_GB2312" w:asciiTheme="minorEastAsia" w:hAnsiTheme="minorEastAsia" w:eastAsiaTheme="minorEastAsia"/>
                <w:b/>
                <w:color w:val="auto"/>
                <w:szCs w:val="21"/>
                <w:highlight w:val="none"/>
              </w:rPr>
            </w:pPr>
          </w:p>
        </w:tc>
        <w:tc>
          <w:tcPr>
            <w:tcW w:w="510" w:type="dxa"/>
            <w:vMerge w:val="continue"/>
            <w:vAlign w:val="center"/>
          </w:tcPr>
          <w:p w14:paraId="06E21397">
            <w:pPr>
              <w:jc w:val="center"/>
              <w:rPr>
                <w:rFonts w:hint="eastAsia" w:cs="仿宋_GB2312" w:asciiTheme="minorEastAsia" w:hAnsiTheme="minorEastAsia" w:eastAsiaTheme="minorEastAsia"/>
                <w:b/>
                <w:color w:val="auto"/>
                <w:szCs w:val="21"/>
                <w:highlight w:val="none"/>
              </w:rPr>
            </w:pPr>
          </w:p>
        </w:tc>
        <w:tc>
          <w:tcPr>
            <w:tcW w:w="1517" w:type="dxa"/>
            <w:vMerge w:val="continue"/>
            <w:vAlign w:val="center"/>
          </w:tcPr>
          <w:p w14:paraId="578B55D5">
            <w:pPr>
              <w:jc w:val="center"/>
              <w:rPr>
                <w:rFonts w:hint="eastAsia" w:cs="仿宋_GB2312" w:asciiTheme="minorEastAsia" w:hAnsiTheme="minorEastAsia" w:eastAsiaTheme="minorEastAsia"/>
                <w:b/>
                <w:color w:val="auto"/>
                <w:szCs w:val="21"/>
                <w:highlight w:val="none"/>
              </w:rPr>
            </w:pPr>
          </w:p>
        </w:tc>
        <w:tc>
          <w:tcPr>
            <w:tcW w:w="2410" w:type="dxa"/>
            <w:vAlign w:val="center"/>
          </w:tcPr>
          <w:p w14:paraId="76932021">
            <w:pPr>
              <w:widowControl/>
              <w:jc w:val="left"/>
              <w:textAlignment w:val="center"/>
              <w:rPr>
                <w:rFonts w:hint="eastAsia" w:cs="仿宋_GB2312" w:asciiTheme="minorEastAsia" w:hAnsiTheme="minorEastAsia" w:eastAsiaTheme="minorEastAsia"/>
                <w:color w:val="auto"/>
                <w:sz w:val="20"/>
                <w:szCs w:val="20"/>
                <w:highlight w:val="none"/>
              </w:rPr>
            </w:pPr>
            <w:r>
              <w:rPr>
                <w:rFonts w:cs="仿宋_GB2312" w:asciiTheme="minorEastAsia" w:hAnsiTheme="minorEastAsia" w:eastAsiaTheme="minorEastAsia"/>
                <w:color w:val="auto"/>
                <w:kern w:val="0"/>
                <w:sz w:val="20"/>
                <w:szCs w:val="20"/>
                <w:highlight w:val="none"/>
              </w:rPr>
              <w:t>环卫作业车辆统一环卫标志标识，轮毂刷白。外观整洁、无破损。</w:t>
            </w:r>
          </w:p>
        </w:tc>
        <w:tc>
          <w:tcPr>
            <w:tcW w:w="4536" w:type="dxa"/>
            <w:vAlign w:val="center"/>
          </w:tcPr>
          <w:p w14:paraId="3913AC5B">
            <w:pPr>
              <w:widowControl/>
              <w:jc w:val="left"/>
              <w:textAlignment w:val="center"/>
              <w:rPr>
                <w:rFonts w:hint="eastAsia" w:cs="仿宋_GB2312" w:asciiTheme="minorEastAsia" w:hAnsiTheme="minorEastAsia" w:eastAsiaTheme="minorEastAsia"/>
                <w:color w:val="auto"/>
                <w:sz w:val="20"/>
                <w:szCs w:val="20"/>
                <w:highlight w:val="none"/>
              </w:rPr>
            </w:pPr>
            <w:r>
              <w:rPr>
                <w:rFonts w:cs="仿宋_GB2312" w:asciiTheme="minorEastAsia" w:hAnsiTheme="minorEastAsia" w:eastAsiaTheme="minorEastAsia"/>
                <w:color w:val="auto"/>
                <w:kern w:val="0"/>
                <w:sz w:val="20"/>
                <w:szCs w:val="20"/>
                <w:highlight w:val="none"/>
              </w:rPr>
              <w:t>环卫作业车辆未统一标识的，每辆车扣</w:t>
            </w:r>
            <w:r>
              <w:rPr>
                <w:rStyle w:val="145"/>
                <w:rFonts w:hint="default" w:asciiTheme="minorEastAsia" w:hAnsiTheme="minorEastAsia" w:eastAsiaTheme="minorEastAsia"/>
                <w:color w:val="auto"/>
                <w:highlight w:val="none"/>
              </w:rPr>
              <w:t>2分，轮毂未刷白的，每辆车扣1分。外观不洁、积尘、破损、车身油漆剥落（剥落面积大于15cm×15cm）扣3分。</w:t>
            </w:r>
          </w:p>
        </w:tc>
      </w:tr>
      <w:tr w14:paraId="0E5735F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1395" w:hRule="atLeast"/>
        </w:trPr>
        <w:tc>
          <w:tcPr>
            <w:tcW w:w="667" w:type="dxa"/>
            <w:vMerge w:val="continue"/>
            <w:vAlign w:val="center"/>
          </w:tcPr>
          <w:p w14:paraId="22FC80DD">
            <w:pPr>
              <w:jc w:val="center"/>
              <w:rPr>
                <w:rFonts w:hint="eastAsia" w:cs="仿宋_GB2312" w:asciiTheme="minorEastAsia" w:hAnsiTheme="minorEastAsia" w:eastAsiaTheme="minorEastAsia"/>
                <w:b/>
                <w:color w:val="auto"/>
                <w:szCs w:val="21"/>
                <w:highlight w:val="none"/>
              </w:rPr>
            </w:pPr>
          </w:p>
        </w:tc>
        <w:tc>
          <w:tcPr>
            <w:tcW w:w="510" w:type="dxa"/>
            <w:vMerge w:val="restart"/>
            <w:vAlign w:val="center"/>
          </w:tcPr>
          <w:p w14:paraId="6319E7AC">
            <w:pPr>
              <w:widowControl/>
              <w:jc w:val="center"/>
              <w:textAlignment w:val="center"/>
              <w:rPr>
                <w:rFonts w:hint="eastAsia" w:cs="仿宋_GB2312" w:asciiTheme="minorEastAsia" w:hAnsiTheme="minorEastAsia" w:eastAsiaTheme="minorEastAsia"/>
                <w:b/>
                <w:color w:val="auto"/>
                <w:szCs w:val="21"/>
                <w:highlight w:val="none"/>
              </w:rPr>
            </w:pPr>
            <w:r>
              <w:rPr>
                <w:rFonts w:cs="仿宋_GB2312" w:asciiTheme="minorEastAsia" w:hAnsiTheme="minorEastAsia" w:eastAsiaTheme="minorEastAsia"/>
                <w:b/>
                <w:color w:val="auto"/>
                <w:kern w:val="0"/>
                <w:szCs w:val="21"/>
                <w:highlight w:val="none"/>
              </w:rPr>
              <w:t>3</w:t>
            </w:r>
          </w:p>
        </w:tc>
        <w:tc>
          <w:tcPr>
            <w:tcW w:w="1517" w:type="dxa"/>
            <w:vMerge w:val="restart"/>
            <w:vAlign w:val="center"/>
          </w:tcPr>
          <w:p w14:paraId="6AC1B536">
            <w:pPr>
              <w:widowControl/>
              <w:jc w:val="center"/>
              <w:textAlignment w:val="center"/>
              <w:rPr>
                <w:rFonts w:hint="eastAsia" w:cs="仿宋_GB2312" w:asciiTheme="minorEastAsia" w:hAnsiTheme="minorEastAsia" w:eastAsiaTheme="minorEastAsia"/>
                <w:b/>
                <w:color w:val="auto"/>
                <w:szCs w:val="21"/>
                <w:highlight w:val="none"/>
              </w:rPr>
            </w:pPr>
            <w:r>
              <w:rPr>
                <w:rFonts w:cs="仿宋_GB2312" w:asciiTheme="minorEastAsia" w:hAnsiTheme="minorEastAsia" w:eastAsiaTheme="minorEastAsia"/>
                <w:b/>
                <w:color w:val="auto"/>
                <w:kern w:val="0"/>
                <w:szCs w:val="21"/>
                <w:highlight w:val="none"/>
              </w:rPr>
              <w:t>现场作业规范</w:t>
            </w:r>
          </w:p>
        </w:tc>
        <w:tc>
          <w:tcPr>
            <w:tcW w:w="2410" w:type="dxa"/>
            <w:vAlign w:val="center"/>
          </w:tcPr>
          <w:p w14:paraId="03CAE268">
            <w:pPr>
              <w:widowControl/>
              <w:ind w:firstLine="200" w:firstLineChars="100"/>
              <w:jc w:val="left"/>
              <w:textAlignment w:val="center"/>
              <w:rPr>
                <w:rFonts w:hint="eastAsia" w:cs="仿宋_GB2312" w:asciiTheme="minorEastAsia" w:hAnsiTheme="minorEastAsia" w:eastAsiaTheme="minorEastAsia"/>
                <w:color w:val="auto"/>
                <w:sz w:val="20"/>
                <w:szCs w:val="20"/>
                <w:highlight w:val="none"/>
              </w:rPr>
            </w:pPr>
            <w:r>
              <w:rPr>
                <w:rFonts w:cs="仿宋_GB2312" w:asciiTheme="minorEastAsia" w:hAnsiTheme="minorEastAsia" w:eastAsiaTheme="minorEastAsia"/>
                <w:color w:val="auto"/>
                <w:kern w:val="0"/>
                <w:sz w:val="20"/>
                <w:szCs w:val="20"/>
                <w:highlight w:val="none"/>
              </w:rPr>
              <w:t>不得采用跟踪检查组、临时突击保洁等不正常方式应对检查。</w:t>
            </w:r>
          </w:p>
        </w:tc>
        <w:tc>
          <w:tcPr>
            <w:tcW w:w="4536" w:type="dxa"/>
            <w:vAlign w:val="center"/>
          </w:tcPr>
          <w:p w14:paraId="2C151B90">
            <w:pPr>
              <w:widowControl/>
              <w:textAlignment w:val="center"/>
              <w:rPr>
                <w:rFonts w:hint="eastAsia" w:cs="仿宋_GB2312" w:asciiTheme="minorEastAsia" w:hAnsiTheme="minorEastAsia" w:eastAsiaTheme="minorEastAsia"/>
                <w:color w:val="auto"/>
                <w:sz w:val="20"/>
                <w:szCs w:val="20"/>
                <w:highlight w:val="none"/>
              </w:rPr>
            </w:pPr>
            <w:r>
              <w:rPr>
                <w:rFonts w:cs="仿宋_GB2312" w:asciiTheme="minorEastAsia" w:hAnsiTheme="minorEastAsia" w:eastAsiaTheme="minorEastAsia"/>
                <w:color w:val="auto"/>
                <w:kern w:val="0"/>
                <w:sz w:val="20"/>
                <w:szCs w:val="20"/>
                <w:highlight w:val="none"/>
              </w:rPr>
              <w:t>对利用各种交通工具或其他手段有意跟踪检查组，干扰正常检查秩序的，每发生1次扣1分。阻挠、延误检查人员开展检查的，每发生1次扣1分</w:t>
            </w:r>
            <w:r>
              <w:rPr>
                <w:rStyle w:val="145"/>
                <w:rFonts w:hint="default" w:asciiTheme="minorEastAsia" w:hAnsiTheme="minorEastAsia" w:eastAsiaTheme="minorEastAsia"/>
                <w:color w:val="auto"/>
                <w:highlight w:val="none"/>
              </w:rPr>
              <w:t>。发生跟踪、突击保洁的企业每发现一次，企业资信得分扣1分，并纳入招标资信库</w:t>
            </w:r>
          </w:p>
        </w:tc>
      </w:tr>
      <w:tr w14:paraId="3EFBD7D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2700" w:hRule="atLeast"/>
        </w:trPr>
        <w:tc>
          <w:tcPr>
            <w:tcW w:w="667" w:type="dxa"/>
            <w:vMerge w:val="continue"/>
            <w:vAlign w:val="center"/>
          </w:tcPr>
          <w:p w14:paraId="484BF16A">
            <w:pPr>
              <w:jc w:val="center"/>
              <w:rPr>
                <w:rFonts w:hint="eastAsia" w:cs="仿宋_GB2312" w:asciiTheme="minorEastAsia" w:hAnsiTheme="minorEastAsia" w:eastAsiaTheme="minorEastAsia"/>
                <w:b/>
                <w:color w:val="auto"/>
                <w:szCs w:val="21"/>
                <w:highlight w:val="none"/>
              </w:rPr>
            </w:pPr>
          </w:p>
        </w:tc>
        <w:tc>
          <w:tcPr>
            <w:tcW w:w="510" w:type="dxa"/>
            <w:vMerge w:val="continue"/>
            <w:vAlign w:val="center"/>
          </w:tcPr>
          <w:p w14:paraId="39E470CB">
            <w:pPr>
              <w:jc w:val="center"/>
              <w:rPr>
                <w:rFonts w:hint="eastAsia" w:cs="仿宋_GB2312" w:asciiTheme="minorEastAsia" w:hAnsiTheme="minorEastAsia" w:eastAsiaTheme="minorEastAsia"/>
                <w:b/>
                <w:color w:val="auto"/>
                <w:szCs w:val="21"/>
                <w:highlight w:val="none"/>
              </w:rPr>
            </w:pPr>
          </w:p>
        </w:tc>
        <w:tc>
          <w:tcPr>
            <w:tcW w:w="1517" w:type="dxa"/>
            <w:vMerge w:val="continue"/>
            <w:vAlign w:val="center"/>
          </w:tcPr>
          <w:p w14:paraId="0D995966">
            <w:pPr>
              <w:jc w:val="center"/>
              <w:rPr>
                <w:rFonts w:hint="eastAsia" w:cs="仿宋_GB2312" w:asciiTheme="minorEastAsia" w:hAnsiTheme="minorEastAsia" w:eastAsiaTheme="minorEastAsia"/>
                <w:b/>
                <w:color w:val="auto"/>
                <w:szCs w:val="21"/>
                <w:highlight w:val="none"/>
              </w:rPr>
            </w:pPr>
          </w:p>
        </w:tc>
        <w:tc>
          <w:tcPr>
            <w:tcW w:w="2410" w:type="dxa"/>
            <w:vAlign w:val="center"/>
          </w:tcPr>
          <w:p w14:paraId="08A0590E">
            <w:pPr>
              <w:widowControl/>
              <w:textAlignment w:val="center"/>
              <w:rPr>
                <w:rFonts w:hint="eastAsia" w:cs="仿宋_GB2312" w:asciiTheme="minorEastAsia" w:hAnsiTheme="minorEastAsia" w:eastAsiaTheme="minorEastAsia"/>
                <w:color w:val="auto"/>
                <w:sz w:val="20"/>
                <w:szCs w:val="20"/>
                <w:highlight w:val="none"/>
              </w:rPr>
            </w:pPr>
            <w:r>
              <w:rPr>
                <w:rFonts w:cs="仿宋_GB2312" w:asciiTheme="minorEastAsia" w:hAnsiTheme="minorEastAsia" w:eastAsiaTheme="minorEastAsia"/>
                <w:color w:val="auto"/>
                <w:kern w:val="0"/>
                <w:sz w:val="20"/>
                <w:szCs w:val="20"/>
                <w:highlight w:val="none"/>
              </w:rPr>
              <w:t>人工清扫保洁作业时，不得漏扫、反扫，垃圾应归拢、归堆并清除彻底，清扫保洁时不得将垃圾扫入雨水井、河道、绿地；垃圾清运小车作业时不得将垃圾直接落地转运；垃圾接驳时垃圾分类存放处置，不得混装混运；人工清雪作业时不得向路面洒雪。</w:t>
            </w:r>
          </w:p>
        </w:tc>
        <w:tc>
          <w:tcPr>
            <w:tcW w:w="4536" w:type="dxa"/>
          </w:tcPr>
          <w:p w14:paraId="74AD9858">
            <w:pPr>
              <w:widowControl/>
              <w:textAlignment w:val="top"/>
              <w:rPr>
                <w:rFonts w:hint="eastAsia" w:cs="仿宋_GB2312" w:asciiTheme="minorEastAsia" w:hAnsiTheme="minorEastAsia" w:eastAsiaTheme="minorEastAsia"/>
                <w:color w:val="auto"/>
                <w:sz w:val="20"/>
                <w:szCs w:val="20"/>
                <w:highlight w:val="none"/>
              </w:rPr>
            </w:pPr>
            <w:r>
              <w:rPr>
                <w:rFonts w:cs="仿宋_GB2312" w:asciiTheme="minorEastAsia" w:hAnsiTheme="minorEastAsia" w:eastAsiaTheme="minorEastAsia"/>
                <w:color w:val="auto"/>
                <w:kern w:val="0"/>
                <w:sz w:val="20"/>
                <w:szCs w:val="20"/>
                <w:highlight w:val="none"/>
              </w:rPr>
              <w:t>漏扫的每处扣1分，垃圾归拢、归堆未清除的每处扣2分，清除不彻底的每处扣2分，清扫保洁时将垃圾扫入窨井、雨水井、河道、绿地、沟渠的，每发生1次扣3分；垃圾清运小车将垃圾直接接触路面（或地面）进行转运的，每发生1次，扣2分；垃圾接驳时混装混运的，每发现一次扣2分，清雪作业时向路面洒雪的，每发生1次，扣2分。</w:t>
            </w:r>
          </w:p>
        </w:tc>
      </w:tr>
      <w:tr w14:paraId="32EB7DC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2435" w:hRule="atLeast"/>
        </w:trPr>
        <w:tc>
          <w:tcPr>
            <w:tcW w:w="667" w:type="dxa"/>
            <w:vMerge w:val="continue"/>
            <w:vAlign w:val="center"/>
          </w:tcPr>
          <w:p w14:paraId="3C52C423">
            <w:pPr>
              <w:jc w:val="center"/>
              <w:rPr>
                <w:rFonts w:hint="eastAsia" w:cs="仿宋_GB2312" w:asciiTheme="minorEastAsia" w:hAnsiTheme="minorEastAsia" w:eastAsiaTheme="minorEastAsia"/>
                <w:b/>
                <w:color w:val="auto"/>
                <w:szCs w:val="21"/>
                <w:highlight w:val="none"/>
              </w:rPr>
            </w:pPr>
          </w:p>
        </w:tc>
        <w:tc>
          <w:tcPr>
            <w:tcW w:w="510" w:type="dxa"/>
            <w:vMerge w:val="continue"/>
            <w:vAlign w:val="center"/>
          </w:tcPr>
          <w:p w14:paraId="0761E829">
            <w:pPr>
              <w:jc w:val="center"/>
              <w:rPr>
                <w:rFonts w:hint="eastAsia" w:cs="仿宋_GB2312" w:asciiTheme="minorEastAsia" w:hAnsiTheme="minorEastAsia" w:eastAsiaTheme="minorEastAsia"/>
                <w:b/>
                <w:color w:val="auto"/>
                <w:szCs w:val="21"/>
                <w:highlight w:val="none"/>
              </w:rPr>
            </w:pPr>
          </w:p>
        </w:tc>
        <w:tc>
          <w:tcPr>
            <w:tcW w:w="1517" w:type="dxa"/>
            <w:vMerge w:val="continue"/>
            <w:vAlign w:val="center"/>
          </w:tcPr>
          <w:p w14:paraId="3B4768CC">
            <w:pPr>
              <w:jc w:val="center"/>
              <w:rPr>
                <w:rFonts w:hint="eastAsia" w:cs="仿宋_GB2312" w:asciiTheme="minorEastAsia" w:hAnsiTheme="minorEastAsia" w:eastAsiaTheme="minorEastAsia"/>
                <w:b/>
                <w:color w:val="auto"/>
                <w:szCs w:val="21"/>
                <w:highlight w:val="none"/>
              </w:rPr>
            </w:pPr>
          </w:p>
        </w:tc>
        <w:tc>
          <w:tcPr>
            <w:tcW w:w="2410" w:type="dxa"/>
            <w:vAlign w:val="center"/>
          </w:tcPr>
          <w:p w14:paraId="7E40F70C">
            <w:pPr>
              <w:widowControl/>
              <w:jc w:val="left"/>
              <w:textAlignment w:val="center"/>
              <w:rPr>
                <w:rFonts w:hint="eastAsia" w:cs="仿宋_GB2312" w:asciiTheme="minorEastAsia" w:hAnsiTheme="minorEastAsia" w:eastAsiaTheme="minorEastAsia"/>
                <w:color w:val="auto"/>
                <w:sz w:val="20"/>
                <w:szCs w:val="20"/>
                <w:highlight w:val="none"/>
              </w:rPr>
            </w:pPr>
            <w:r>
              <w:rPr>
                <w:rFonts w:cs="仿宋_GB2312" w:asciiTheme="minorEastAsia" w:hAnsiTheme="minorEastAsia" w:eastAsiaTheme="minorEastAsia"/>
                <w:color w:val="auto"/>
                <w:kern w:val="0"/>
                <w:sz w:val="20"/>
                <w:szCs w:val="20"/>
                <w:highlight w:val="none"/>
              </w:rPr>
              <w:t>气温低于2度时暂停清洗（含油污、积泥）作业，冰冻天气禁止洒水、清洗（含油污、积泥）作业。环卫作业车辆取水规范，无违规取水</w:t>
            </w:r>
            <w:r>
              <w:rPr>
                <w:rStyle w:val="145"/>
                <w:rFonts w:hint="default" w:asciiTheme="minorEastAsia" w:hAnsiTheme="minorEastAsia" w:eastAsiaTheme="minorEastAsia"/>
                <w:color w:val="auto"/>
                <w:highlight w:val="none"/>
              </w:rPr>
              <w:t>、取电现象。</w:t>
            </w:r>
          </w:p>
        </w:tc>
        <w:tc>
          <w:tcPr>
            <w:tcW w:w="4536" w:type="dxa"/>
            <w:vAlign w:val="center"/>
          </w:tcPr>
          <w:p w14:paraId="14FD25CB">
            <w:pPr>
              <w:widowControl/>
              <w:jc w:val="left"/>
              <w:textAlignment w:val="center"/>
              <w:rPr>
                <w:rFonts w:hint="eastAsia" w:cs="仿宋_GB2312" w:asciiTheme="minorEastAsia" w:hAnsiTheme="minorEastAsia" w:eastAsiaTheme="minorEastAsia"/>
                <w:color w:val="auto"/>
                <w:sz w:val="20"/>
                <w:szCs w:val="20"/>
                <w:highlight w:val="none"/>
              </w:rPr>
            </w:pPr>
            <w:r>
              <w:rPr>
                <w:rStyle w:val="145"/>
                <w:rFonts w:hint="default" w:asciiTheme="minorEastAsia" w:hAnsiTheme="minorEastAsia" w:eastAsiaTheme="minorEastAsia"/>
                <w:color w:val="auto"/>
                <w:highlight w:val="none"/>
              </w:rPr>
              <w:t>冬季洒水使路面结冰发生有责投诉的，每发生1次，扣5分，导致有责交通事故的，扣10分。环卫作业车辆发生违规取水现象，每发生1次扣5分。发生企业违规取水取电现象的，每发生1次扣5分。违规取水取电的企业资信扣5分，并纳入招标资信库。</w:t>
            </w:r>
          </w:p>
        </w:tc>
      </w:tr>
      <w:tr w14:paraId="3D50D99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1140" w:hRule="atLeast"/>
        </w:trPr>
        <w:tc>
          <w:tcPr>
            <w:tcW w:w="667" w:type="dxa"/>
            <w:vMerge w:val="continue"/>
            <w:vAlign w:val="center"/>
          </w:tcPr>
          <w:p w14:paraId="056EB4E0">
            <w:pPr>
              <w:jc w:val="center"/>
              <w:rPr>
                <w:rFonts w:hint="eastAsia" w:cs="仿宋_GB2312" w:asciiTheme="minorEastAsia" w:hAnsiTheme="minorEastAsia" w:eastAsiaTheme="minorEastAsia"/>
                <w:b/>
                <w:color w:val="auto"/>
                <w:szCs w:val="21"/>
                <w:highlight w:val="none"/>
              </w:rPr>
            </w:pPr>
          </w:p>
        </w:tc>
        <w:tc>
          <w:tcPr>
            <w:tcW w:w="510" w:type="dxa"/>
            <w:vMerge w:val="continue"/>
            <w:vAlign w:val="center"/>
          </w:tcPr>
          <w:p w14:paraId="032674D3">
            <w:pPr>
              <w:jc w:val="center"/>
              <w:rPr>
                <w:rFonts w:hint="eastAsia" w:cs="仿宋_GB2312" w:asciiTheme="minorEastAsia" w:hAnsiTheme="minorEastAsia" w:eastAsiaTheme="minorEastAsia"/>
                <w:b/>
                <w:color w:val="auto"/>
                <w:szCs w:val="21"/>
                <w:highlight w:val="none"/>
              </w:rPr>
            </w:pPr>
          </w:p>
        </w:tc>
        <w:tc>
          <w:tcPr>
            <w:tcW w:w="1517" w:type="dxa"/>
            <w:vMerge w:val="continue"/>
            <w:vAlign w:val="center"/>
          </w:tcPr>
          <w:p w14:paraId="032B44B3">
            <w:pPr>
              <w:jc w:val="center"/>
              <w:rPr>
                <w:rFonts w:hint="eastAsia" w:cs="仿宋_GB2312" w:asciiTheme="minorEastAsia" w:hAnsiTheme="minorEastAsia" w:eastAsiaTheme="minorEastAsia"/>
                <w:b/>
                <w:color w:val="auto"/>
                <w:szCs w:val="21"/>
                <w:highlight w:val="none"/>
              </w:rPr>
            </w:pPr>
          </w:p>
        </w:tc>
        <w:tc>
          <w:tcPr>
            <w:tcW w:w="2410" w:type="dxa"/>
            <w:vAlign w:val="center"/>
          </w:tcPr>
          <w:p w14:paraId="4C10846C">
            <w:pPr>
              <w:widowControl/>
              <w:jc w:val="left"/>
              <w:textAlignment w:val="center"/>
              <w:rPr>
                <w:rFonts w:hint="eastAsia" w:cs="仿宋_GB2312" w:asciiTheme="minorEastAsia" w:hAnsiTheme="minorEastAsia" w:eastAsiaTheme="minorEastAsia"/>
                <w:color w:val="auto"/>
                <w:sz w:val="20"/>
                <w:szCs w:val="20"/>
                <w:highlight w:val="none"/>
              </w:rPr>
            </w:pPr>
            <w:r>
              <w:rPr>
                <w:rFonts w:cs="仿宋_GB2312" w:asciiTheme="minorEastAsia" w:hAnsiTheme="minorEastAsia" w:eastAsiaTheme="minorEastAsia"/>
                <w:color w:val="auto"/>
                <w:kern w:val="0"/>
                <w:sz w:val="20"/>
                <w:szCs w:val="20"/>
                <w:highlight w:val="none"/>
              </w:rPr>
              <w:t>环卫工人统一配置捡拾垃圾的手动钳、畚斗等作业工具，作业工具按规定放置在工具间等管理用房内。</w:t>
            </w:r>
          </w:p>
        </w:tc>
        <w:tc>
          <w:tcPr>
            <w:tcW w:w="4536" w:type="dxa"/>
            <w:vAlign w:val="center"/>
          </w:tcPr>
          <w:p w14:paraId="0AF6ED08">
            <w:pPr>
              <w:widowControl/>
              <w:jc w:val="left"/>
              <w:textAlignment w:val="center"/>
              <w:rPr>
                <w:rFonts w:hint="eastAsia" w:cs="仿宋_GB2312" w:asciiTheme="minorEastAsia" w:hAnsiTheme="minorEastAsia" w:eastAsiaTheme="minorEastAsia"/>
                <w:color w:val="auto"/>
                <w:sz w:val="20"/>
                <w:szCs w:val="20"/>
                <w:highlight w:val="none"/>
              </w:rPr>
            </w:pPr>
            <w:r>
              <w:rPr>
                <w:rFonts w:cs="仿宋_GB2312" w:asciiTheme="minorEastAsia" w:hAnsiTheme="minorEastAsia" w:eastAsiaTheme="minorEastAsia"/>
                <w:color w:val="auto"/>
                <w:kern w:val="0"/>
                <w:sz w:val="20"/>
                <w:szCs w:val="20"/>
                <w:highlight w:val="none"/>
              </w:rPr>
              <w:t>环卫工人未使用统一的保洁工具的每人次扣</w:t>
            </w:r>
            <w:r>
              <w:rPr>
                <w:rStyle w:val="145"/>
                <w:rFonts w:hint="default" w:asciiTheme="minorEastAsia" w:hAnsiTheme="minorEastAsia" w:eastAsiaTheme="minorEastAsia"/>
                <w:color w:val="auto"/>
                <w:highlight w:val="none"/>
              </w:rPr>
              <w:t>1分；将作业工具堆在绿化带等露天场所现象的，每次扣1分。</w:t>
            </w:r>
          </w:p>
        </w:tc>
      </w:tr>
      <w:tr w14:paraId="098615D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876" w:hRule="atLeast"/>
        </w:trPr>
        <w:tc>
          <w:tcPr>
            <w:tcW w:w="667" w:type="dxa"/>
            <w:vMerge w:val="continue"/>
            <w:vAlign w:val="center"/>
          </w:tcPr>
          <w:p w14:paraId="04015A13">
            <w:pPr>
              <w:jc w:val="center"/>
              <w:rPr>
                <w:rFonts w:hint="eastAsia" w:cs="仿宋_GB2312" w:asciiTheme="minorEastAsia" w:hAnsiTheme="minorEastAsia" w:eastAsiaTheme="minorEastAsia"/>
                <w:b/>
                <w:color w:val="auto"/>
                <w:szCs w:val="21"/>
                <w:highlight w:val="none"/>
              </w:rPr>
            </w:pPr>
          </w:p>
        </w:tc>
        <w:tc>
          <w:tcPr>
            <w:tcW w:w="510" w:type="dxa"/>
            <w:vMerge w:val="continue"/>
            <w:vAlign w:val="center"/>
          </w:tcPr>
          <w:p w14:paraId="2C6539DC">
            <w:pPr>
              <w:jc w:val="center"/>
              <w:rPr>
                <w:rFonts w:hint="eastAsia" w:cs="仿宋_GB2312" w:asciiTheme="minorEastAsia" w:hAnsiTheme="minorEastAsia" w:eastAsiaTheme="minorEastAsia"/>
                <w:b/>
                <w:color w:val="auto"/>
                <w:szCs w:val="21"/>
                <w:highlight w:val="none"/>
              </w:rPr>
            </w:pPr>
          </w:p>
        </w:tc>
        <w:tc>
          <w:tcPr>
            <w:tcW w:w="1517" w:type="dxa"/>
            <w:vMerge w:val="continue"/>
            <w:vAlign w:val="center"/>
          </w:tcPr>
          <w:p w14:paraId="4037A836">
            <w:pPr>
              <w:jc w:val="center"/>
              <w:rPr>
                <w:rFonts w:hint="eastAsia" w:cs="仿宋_GB2312" w:asciiTheme="minorEastAsia" w:hAnsiTheme="minorEastAsia" w:eastAsiaTheme="minorEastAsia"/>
                <w:b/>
                <w:color w:val="auto"/>
                <w:szCs w:val="21"/>
                <w:highlight w:val="none"/>
              </w:rPr>
            </w:pPr>
          </w:p>
        </w:tc>
        <w:tc>
          <w:tcPr>
            <w:tcW w:w="2410" w:type="dxa"/>
            <w:vAlign w:val="center"/>
          </w:tcPr>
          <w:p w14:paraId="1C2982FD">
            <w:pPr>
              <w:widowControl/>
              <w:jc w:val="left"/>
              <w:textAlignment w:val="center"/>
              <w:rPr>
                <w:rFonts w:hint="eastAsia" w:cs="仿宋_GB2312" w:asciiTheme="minorEastAsia" w:hAnsiTheme="minorEastAsia" w:eastAsiaTheme="minorEastAsia"/>
                <w:color w:val="auto"/>
                <w:sz w:val="20"/>
                <w:szCs w:val="20"/>
                <w:highlight w:val="none"/>
              </w:rPr>
            </w:pPr>
            <w:r>
              <w:rPr>
                <w:rFonts w:cs="仿宋_GB2312" w:asciiTheme="minorEastAsia" w:hAnsiTheme="minorEastAsia" w:eastAsiaTheme="minorEastAsia"/>
                <w:color w:val="auto"/>
                <w:kern w:val="0"/>
                <w:sz w:val="20"/>
                <w:szCs w:val="20"/>
                <w:highlight w:val="none"/>
              </w:rPr>
              <w:t>垃圾应倾倒在规定地点，不得焚烧垃圾、树叶。落叶旺季做到及时清扫和转运处理。</w:t>
            </w:r>
          </w:p>
        </w:tc>
        <w:tc>
          <w:tcPr>
            <w:tcW w:w="4536" w:type="dxa"/>
            <w:vAlign w:val="center"/>
          </w:tcPr>
          <w:p w14:paraId="14A6EC25">
            <w:pPr>
              <w:widowControl/>
              <w:jc w:val="left"/>
              <w:textAlignment w:val="center"/>
              <w:rPr>
                <w:rFonts w:hint="eastAsia" w:cs="仿宋_GB2312" w:asciiTheme="minorEastAsia" w:hAnsiTheme="minorEastAsia" w:eastAsiaTheme="minorEastAsia"/>
                <w:color w:val="auto"/>
                <w:sz w:val="20"/>
                <w:szCs w:val="20"/>
                <w:highlight w:val="none"/>
              </w:rPr>
            </w:pPr>
            <w:r>
              <w:rPr>
                <w:rFonts w:cs="仿宋_GB2312" w:asciiTheme="minorEastAsia" w:hAnsiTheme="minorEastAsia" w:eastAsiaTheme="minorEastAsia"/>
                <w:color w:val="auto"/>
                <w:kern w:val="0"/>
                <w:sz w:val="20"/>
                <w:szCs w:val="20"/>
                <w:highlight w:val="none"/>
              </w:rPr>
              <w:t>垃圾未倾倒在规定地点或焚烧垃圾、树叶的每次扣</w:t>
            </w:r>
            <w:r>
              <w:rPr>
                <w:rStyle w:val="145"/>
                <w:rFonts w:hint="default" w:asciiTheme="minorEastAsia" w:hAnsiTheme="minorEastAsia" w:eastAsiaTheme="minorEastAsia"/>
                <w:color w:val="auto"/>
                <w:highlight w:val="none"/>
              </w:rPr>
              <w:t>5分。落叶旺季未及时清扫落叶的每条扣2分，未及时转运处理树叶的每次扣2分。</w:t>
            </w:r>
          </w:p>
        </w:tc>
      </w:tr>
      <w:tr w14:paraId="77E3C4D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1215" w:hRule="atLeast"/>
        </w:trPr>
        <w:tc>
          <w:tcPr>
            <w:tcW w:w="667" w:type="dxa"/>
            <w:vMerge w:val="continue"/>
            <w:vAlign w:val="center"/>
          </w:tcPr>
          <w:p w14:paraId="378B78F0">
            <w:pPr>
              <w:jc w:val="center"/>
              <w:rPr>
                <w:rFonts w:hint="eastAsia" w:cs="仿宋_GB2312" w:asciiTheme="minorEastAsia" w:hAnsiTheme="minorEastAsia" w:eastAsiaTheme="minorEastAsia"/>
                <w:b/>
                <w:color w:val="auto"/>
                <w:szCs w:val="21"/>
                <w:highlight w:val="none"/>
              </w:rPr>
            </w:pPr>
          </w:p>
        </w:tc>
        <w:tc>
          <w:tcPr>
            <w:tcW w:w="510" w:type="dxa"/>
            <w:vMerge w:val="continue"/>
            <w:vAlign w:val="center"/>
          </w:tcPr>
          <w:p w14:paraId="7F0F98DB">
            <w:pPr>
              <w:jc w:val="center"/>
              <w:rPr>
                <w:rFonts w:hint="eastAsia" w:cs="仿宋_GB2312" w:asciiTheme="minorEastAsia" w:hAnsiTheme="minorEastAsia" w:eastAsiaTheme="minorEastAsia"/>
                <w:b/>
                <w:color w:val="auto"/>
                <w:szCs w:val="21"/>
                <w:highlight w:val="none"/>
              </w:rPr>
            </w:pPr>
          </w:p>
        </w:tc>
        <w:tc>
          <w:tcPr>
            <w:tcW w:w="1517" w:type="dxa"/>
            <w:vMerge w:val="continue"/>
            <w:vAlign w:val="center"/>
          </w:tcPr>
          <w:p w14:paraId="7CA60B38">
            <w:pPr>
              <w:jc w:val="center"/>
              <w:rPr>
                <w:rFonts w:hint="eastAsia" w:cs="仿宋_GB2312" w:asciiTheme="minorEastAsia" w:hAnsiTheme="minorEastAsia" w:eastAsiaTheme="minorEastAsia"/>
                <w:b/>
                <w:color w:val="auto"/>
                <w:szCs w:val="21"/>
                <w:highlight w:val="none"/>
              </w:rPr>
            </w:pPr>
          </w:p>
        </w:tc>
        <w:tc>
          <w:tcPr>
            <w:tcW w:w="2410" w:type="dxa"/>
            <w:vAlign w:val="center"/>
          </w:tcPr>
          <w:p w14:paraId="7AE7302D">
            <w:pPr>
              <w:widowControl/>
              <w:jc w:val="left"/>
              <w:textAlignment w:val="center"/>
              <w:rPr>
                <w:rFonts w:hint="eastAsia" w:cs="仿宋_GB2312" w:asciiTheme="minorEastAsia" w:hAnsiTheme="minorEastAsia" w:eastAsiaTheme="minorEastAsia"/>
                <w:color w:val="auto"/>
                <w:sz w:val="20"/>
                <w:szCs w:val="20"/>
                <w:highlight w:val="none"/>
              </w:rPr>
            </w:pPr>
            <w:r>
              <w:rPr>
                <w:rFonts w:cs="仿宋_GB2312" w:asciiTheme="minorEastAsia" w:hAnsiTheme="minorEastAsia" w:eastAsiaTheme="minorEastAsia"/>
                <w:color w:val="auto"/>
                <w:kern w:val="0"/>
                <w:sz w:val="20"/>
                <w:szCs w:val="20"/>
                <w:highlight w:val="none"/>
              </w:rPr>
              <w:t>环卫工人应穿着统一配发的工作服、工作帽，配戴市级监管部门统一编码备案的工号牌。着装要整齐、整洁。环卫工人服只限于在工作时间或因工作需要时穿着，衣服整洁，不破旧，无污渍。</w:t>
            </w:r>
          </w:p>
        </w:tc>
        <w:tc>
          <w:tcPr>
            <w:tcW w:w="4536" w:type="dxa"/>
            <w:vAlign w:val="center"/>
          </w:tcPr>
          <w:p w14:paraId="09D2AE42">
            <w:pPr>
              <w:widowControl/>
              <w:jc w:val="left"/>
              <w:textAlignment w:val="center"/>
              <w:rPr>
                <w:rFonts w:hint="eastAsia" w:cs="仿宋_GB2312" w:asciiTheme="minorEastAsia" w:hAnsiTheme="minorEastAsia" w:eastAsiaTheme="minorEastAsia"/>
                <w:color w:val="auto"/>
                <w:sz w:val="20"/>
                <w:szCs w:val="20"/>
                <w:highlight w:val="none"/>
              </w:rPr>
            </w:pPr>
            <w:r>
              <w:rPr>
                <w:rFonts w:cs="仿宋_GB2312" w:asciiTheme="minorEastAsia" w:hAnsiTheme="minorEastAsia" w:eastAsiaTheme="minorEastAsia"/>
                <w:color w:val="auto"/>
                <w:kern w:val="0"/>
                <w:sz w:val="20"/>
                <w:szCs w:val="20"/>
                <w:highlight w:val="none"/>
              </w:rPr>
              <w:t>环卫工人着装不规范，衣冠不整（如钮扣不扣、工作帽歪戴、穿拖鞋上岗等）、服装不洁、未穿着统一的工作服，非工作原因穿着工人服，每人次扣</w:t>
            </w:r>
            <w:r>
              <w:rPr>
                <w:rStyle w:val="145"/>
                <w:rFonts w:hint="default" w:asciiTheme="minorEastAsia" w:hAnsiTheme="minorEastAsia" w:eastAsiaTheme="minorEastAsia"/>
                <w:color w:val="auto"/>
                <w:highlight w:val="none"/>
              </w:rPr>
              <w:t>1分，未佩戴工号牌、工号牌佩戴不规范的每人次扣1分。</w:t>
            </w:r>
          </w:p>
        </w:tc>
      </w:tr>
      <w:tr w14:paraId="11F6B6E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975" w:hRule="atLeast"/>
        </w:trPr>
        <w:tc>
          <w:tcPr>
            <w:tcW w:w="667" w:type="dxa"/>
            <w:vMerge w:val="continue"/>
            <w:vAlign w:val="center"/>
          </w:tcPr>
          <w:p w14:paraId="65265CD3">
            <w:pPr>
              <w:jc w:val="center"/>
              <w:rPr>
                <w:rFonts w:hint="eastAsia" w:cs="仿宋_GB2312" w:asciiTheme="minorEastAsia" w:hAnsiTheme="minorEastAsia" w:eastAsiaTheme="minorEastAsia"/>
                <w:b/>
                <w:color w:val="auto"/>
                <w:szCs w:val="21"/>
                <w:highlight w:val="none"/>
              </w:rPr>
            </w:pPr>
          </w:p>
        </w:tc>
        <w:tc>
          <w:tcPr>
            <w:tcW w:w="510" w:type="dxa"/>
            <w:vMerge w:val="continue"/>
            <w:vAlign w:val="center"/>
          </w:tcPr>
          <w:p w14:paraId="5F94481B">
            <w:pPr>
              <w:jc w:val="center"/>
              <w:rPr>
                <w:rFonts w:hint="eastAsia" w:cs="仿宋_GB2312" w:asciiTheme="minorEastAsia" w:hAnsiTheme="minorEastAsia" w:eastAsiaTheme="minorEastAsia"/>
                <w:b/>
                <w:color w:val="auto"/>
                <w:szCs w:val="21"/>
                <w:highlight w:val="none"/>
              </w:rPr>
            </w:pPr>
          </w:p>
        </w:tc>
        <w:tc>
          <w:tcPr>
            <w:tcW w:w="1517" w:type="dxa"/>
            <w:vMerge w:val="continue"/>
            <w:vAlign w:val="center"/>
          </w:tcPr>
          <w:p w14:paraId="7222FE0A">
            <w:pPr>
              <w:jc w:val="center"/>
              <w:rPr>
                <w:rFonts w:hint="eastAsia" w:cs="仿宋_GB2312" w:asciiTheme="minorEastAsia" w:hAnsiTheme="minorEastAsia" w:eastAsiaTheme="minorEastAsia"/>
                <w:b/>
                <w:color w:val="auto"/>
                <w:szCs w:val="21"/>
                <w:highlight w:val="none"/>
              </w:rPr>
            </w:pPr>
          </w:p>
        </w:tc>
        <w:tc>
          <w:tcPr>
            <w:tcW w:w="2410" w:type="dxa"/>
            <w:vAlign w:val="center"/>
          </w:tcPr>
          <w:p w14:paraId="0455BA7B">
            <w:pPr>
              <w:widowControl/>
              <w:jc w:val="left"/>
              <w:textAlignment w:val="center"/>
              <w:rPr>
                <w:rFonts w:hint="eastAsia" w:cs="仿宋_GB2312" w:asciiTheme="minorEastAsia" w:hAnsiTheme="minorEastAsia" w:eastAsiaTheme="minorEastAsia"/>
                <w:color w:val="auto"/>
                <w:sz w:val="20"/>
                <w:szCs w:val="20"/>
                <w:highlight w:val="none"/>
              </w:rPr>
            </w:pPr>
            <w:r>
              <w:rPr>
                <w:rFonts w:cs="仿宋_GB2312" w:asciiTheme="minorEastAsia" w:hAnsiTheme="minorEastAsia" w:eastAsiaTheme="minorEastAsia"/>
                <w:color w:val="auto"/>
                <w:kern w:val="0"/>
                <w:sz w:val="20"/>
                <w:szCs w:val="20"/>
                <w:highlight w:val="none"/>
              </w:rPr>
              <w:t>环卫工人在工作期间不得做与工作无关的事情（特殊情况除外）。不准边作业边吸烟、吃东西。不得成群闲聊，聚众打牌休闲。</w:t>
            </w:r>
          </w:p>
        </w:tc>
        <w:tc>
          <w:tcPr>
            <w:tcW w:w="4536" w:type="dxa"/>
            <w:vAlign w:val="center"/>
          </w:tcPr>
          <w:p w14:paraId="648B5C12">
            <w:pPr>
              <w:widowControl/>
              <w:jc w:val="left"/>
              <w:textAlignment w:val="center"/>
              <w:rPr>
                <w:rFonts w:hint="eastAsia" w:cs="仿宋_GB2312" w:asciiTheme="minorEastAsia" w:hAnsiTheme="minorEastAsia" w:eastAsiaTheme="minorEastAsia"/>
                <w:color w:val="auto"/>
                <w:sz w:val="20"/>
                <w:szCs w:val="20"/>
                <w:highlight w:val="none"/>
              </w:rPr>
            </w:pPr>
            <w:r>
              <w:rPr>
                <w:rFonts w:cs="仿宋_GB2312" w:asciiTheme="minorEastAsia" w:hAnsiTheme="minorEastAsia" w:eastAsiaTheme="minorEastAsia"/>
                <w:color w:val="auto"/>
                <w:kern w:val="0"/>
                <w:sz w:val="20"/>
                <w:szCs w:val="20"/>
                <w:highlight w:val="none"/>
              </w:rPr>
              <w:t>环卫工人在工作期间边作业边吸烟、吃东西，成群闲聊，聚众打牌的，每人次扣</w:t>
            </w:r>
            <w:r>
              <w:rPr>
                <w:rStyle w:val="145"/>
                <w:rFonts w:hint="default" w:asciiTheme="minorEastAsia" w:hAnsiTheme="minorEastAsia" w:eastAsiaTheme="minorEastAsia"/>
                <w:color w:val="auto"/>
                <w:highlight w:val="none"/>
              </w:rPr>
              <w:t>1分。</w:t>
            </w:r>
          </w:p>
        </w:tc>
      </w:tr>
      <w:tr w14:paraId="1EEE37B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2010" w:hRule="atLeast"/>
        </w:trPr>
        <w:tc>
          <w:tcPr>
            <w:tcW w:w="667" w:type="dxa"/>
            <w:vMerge w:val="continue"/>
            <w:vAlign w:val="center"/>
          </w:tcPr>
          <w:p w14:paraId="57DA73BC">
            <w:pPr>
              <w:jc w:val="center"/>
              <w:rPr>
                <w:rFonts w:hint="eastAsia" w:cs="仿宋_GB2312" w:asciiTheme="minorEastAsia" w:hAnsiTheme="minorEastAsia" w:eastAsiaTheme="minorEastAsia"/>
                <w:b/>
                <w:color w:val="auto"/>
                <w:szCs w:val="21"/>
                <w:highlight w:val="none"/>
              </w:rPr>
            </w:pPr>
          </w:p>
        </w:tc>
        <w:tc>
          <w:tcPr>
            <w:tcW w:w="510" w:type="dxa"/>
            <w:vMerge w:val="continue"/>
            <w:vAlign w:val="center"/>
          </w:tcPr>
          <w:p w14:paraId="5981226F">
            <w:pPr>
              <w:jc w:val="center"/>
              <w:rPr>
                <w:rFonts w:hint="eastAsia" w:cs="仿宋_GB2312" w:asciiTheme="minorEastAsia" w:hAnsiTheme="minorEastAsia" w:eastAsiaTheme="minorEastAsia"/>
                <w:b/>
                <w:color w:val="auto"/>
                <w:szCs w:val="21"/>
                <w:highlight w:val="none"/>
              </w:rPr>
            </w:pPr>
          </w:p>
        </w:tc>
        <w:tc>
          <w:tcPr>
            <w:tcW w:w="1517" w:type="dxa"/>
            <w:vMerge w:val="continue"/>
            <w:vAlign w:val="center"/>
          </w:tcPr>
          <w:p w14:paraId="38F5259B">
            <w:pPr>
              <w:jc w:val="center"/>
              <w:rPr>
                <w:rFonts w:hint="eastAsia" w:cs="仿宋_GB2312" w:asciiTheme="minorEastAsia" w:hAnsiTheme="minorEastAsia" w:eastAsiaTheme="minorEastAsia"/>
                <w:b/>
                <w:color w:val="auto"/>
                <w:szCs w:val="21"/>
                <w:highlight w:val="none"/>
              </w:rPr>
            </w:pPr>
          </w:p>
        </w:tc>
        <w:tc>
          <w:tcPr>
            <w:tcW w:w="2410" w:type="dxa"/>
            <w:vAlign w:val="center"/>
          </w:tcPr>
          <w:p w14:paraId="04ED7826">
            <w:pPr>
              <w:widowControl/>
              <w:jc w:val="left"/>
              <w:textAlignment w:val="center"/>
              <w:rPr>
                <w:rFonts w:hint="eastAsia" w:cs="仿宋_GB2312" w:asciiTheme="minorEastAsia" w:hAnsiTheme="minorEastAsia" w:eastAsiaTheme="minorEastAsia"/>
                <w:color w:val="auto"/>
                <w:sz w:val="20"/>
                <w:szCs w:val="20"/>
                <w:highlight w:val="none"/>
              </w:rPr>
            </w:pPr>
            <w:r>
              <w:rPr>
                <w:rFonts w:cs="仿宋_GB2312" w:asciiTheme="minorEastAsia" w:hAnsiTheme="minorEastAsia" w:eastAsiaTheme="minorEastAsia"/>
                <w:color w:val="auto"/>
                <w:kern w:val="0"/>
                <w:sz w:val="20"/>
                <w:szCs w:val="20"/>
                <w:highlight w:val="none"/>
              </w:rPr>
              <w:t>环卫工人进行保洁作业时要遵守交通规则，环卫作业要实行顺行作业，不准横穿马路，不准逆向行驶，不准乱闯交通信号灯，不准攀爬隔离护栏。驾驶环卫电动车辆时严禁骑车带人或上机动车道行驶(临时借道除外)。</w:t>
            </w:r>
          </w:p>
        </w:tc>
        <w:tc>
          <w:tcPr>
            <w:tcW w:w="4536" w:type="dxa"/>
            <w:vAlign w:val="center"/>
          </w:tcPr>
          <w:p w14:paraId="2DFC8829">
            <w:pPr>
              <w:widowControl/>
              <w:jc w:val="left"/>
              <w:textAlignment w:val="center"/>
              <w:rPr>
                <w:rFonts w:hint="eastAsia" w:cs="仿宋_GB2312" w:asciiTheme="minorEastAsia" w:hAnsiTheme="minorEastAsia" w:eastAsiaTheme="minorEastAsia"/>
                <w:color w:val="auto"/>
                <w:sz w:val="20"/>
                <w:szCs w:val="20"/>
                <w:highlight w:val="none"/>
              </w:rPr>
            </w:pPr>
            <w:r>
              <w:rPr>
                <w:rFonts w:cs="仿宋_GB2312" w:asciiTheme="minorEastAsia" w:hAnsiTheme="minorEastAsia" w:eastAsiaTheme="minorEastAsia"/>
                <w:color w:val="auto"/>
                <w:kern w:val="0"/>
                <w:sz w:val="20"/>
                <w:szCs w:val="20"/>
                <w:highlight w:val="none"/>
              </w:rPr>
              <w:t>保洁员不遵守交通规则，在非机动车道骑自行车逆向行驶的每人次扣</w:t>
            </w:r>
            <w:r>
              <w:rPr>
                <w:rStyle w:val="145"/>
                <w:rFonts w:hint="default" w:asciiTheme="minorEastAsia" w:hAnsiTheme="minorEastAsia" w:eastAsiaTheme="minorEastAsia"/>
                <w:color w:val="auto"/>
                <w:highlight w:val="none"/>
              </w:rPr>
              <w:t>2分；乱穿、乱闯交通信号灯，攀爬隔离护栏的，驾驶环卫电动车辆时骑车带人或上机动车道行驶（临时借道除外）的每人次扣2分。</w:t>
            </w:r>
          </w:p>
        </w:tc>
      </w:tr>
      <w:tr w14:paraId="2FC3E6A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519" w:hRule="atLeast"/>
        </w:trPr>
        <w:tc>
          <w:tcPr>
            <w:tcW w:w="667" w:type="dxa"/>
            <w:vAlign w:val="center"/>
          </w:tcPr>
          <w:p w14:paraId="7D08D9AF">
            <w:pPr>
              <w:jc w:val="center"/>
              <w:rPr>
                <w:rFonts w:hint="eastAsia" w:cs="仿宋_GB2312" w:asciiTheme="minorEastAsia" w:hAnsiTheme="minorEastAsia" w:eastAsiaTheme="minorEastAsia"/>
                <w:b/>
                <w:color w:val="auto"/>
                <w:kern w:val="0"/>
                <w:szCs w:val="21"/>
                <w:highlight w:val="none"/>
              </w:rPr>
            </w:pPr>
            <w:r>
              <w:rPr>
                <w:rFonts w:hint="eastAsia" w:cs="仿宋_GB2312" w:asciiTheme="minorEastAsia" w:hAnsiTheme="minorEastAsia" w:eastAsiaTheme="minorEastAsia"/>
                <w:b/>
                <w:color w:val="auto"/>
                <w:kern w:val="0"/>
                <w:szCs w:val="21"/>
                <w:highlight w:val="none"/>
              </w:rPr>
              <w:t xml:space="preserve">属地管理 现场      </w:t>
            </w:r>
          </w:p>
        </w:tc>
        <w:tc>
          <w:tcPr>
            <w:tcW w:w="510" w:type="dxa"/>
            <w:vAlign w:val="center"/>
          </w:tcPr>
          <w:p w14:paraId="38319025">
            <w:pPr>
              <w:jc w:val="center"/>
              <w:rPr>
                <w:rFonts w:hint="eastAsia" w:cs="仿宋_GB2312" w:asciiTheme="minorEastAsia" w:hAnsiTheme="minorEastAsia" w:eastAsiaTheme="minorEastAsia"/>
                <w:b/>
                <w:color w:val="auto"/>
                <w:kern w:val="0"/>
                <w:szCs w:val="21"/>
                <w:highlight w:val="none"/>
              </w:rPr>
            </w:pPr>
            <w:r>
              <w:rPr>
                <w:rFonts w:hint="eastAsia" w:cs="仿宋_GB2312" w:asciiTheme="minorEastAsia" w:hAnsiTheme="minorEastAsia" w:eastAsiaTheme="minorEastAsia"/>
                <w:b/>
                <w:color w:val="auto"/>
                <w:kern w:val="0"/>
                <w:szCs w:val="21"/>
                <w:highlight w:val="none"/>
              </w:rPr>
              <w:t>1</w:t>
            </w:r>
          </w:p>
        </w:tc>
        <w:tc>
          <w:tcPr>
            <w:tcW w:w="1517" w:type="dxa"/>
            <w:vAlign w:val="center"/>
          </w:tcPr>
          <w:p w14:paraId="1971D1EB">
            <w:pPr>
              <w:jc w:val="center"/>
              <w:rPr>
                <w:rFonts w:hint="eastAsia" w:cs="仿宋_GB2312" w:asciiTheme="minorEastAsia" w:hAnsiTheme="minorEastAsia" w:eastAsiaTheme="minorEastAsia"/>
                <w:b/>
                <w:color w:val="auto"/>
                <w:kern w:val="0"/>
                <w:szCs w:val="21"/>
                <w:highlight w:val="none"/>
              </w:rPr>
            </w:pPr>
            <w:r>
              <w:rPr>
                <w:rFonts w:cs="仿宋_GB2312" w:asciiTheme="minorEastAsia" w:hAnsiTheme="minorEastAsia" w:eastAsiaTheme="minorEastAsia"/>
                <w:b/>
                <w:color w:val="auto"/>
                <w:kern w:val="0"/>
                <w:szCs w:val="21"/>
                <w:highlight w:val="none"/>
              </w:rPr>
              <w:t>现场作业标准</w:t>
            </w:r>
          </w:p>
        </w:tc>
        <w:tc>
          <w:tcPr>
            <w:tcW w:w="2410" w:type="dxa"/>
          </w:tcPr>
          <w:p w14:paraId="0ED27904">
            <w:pPr>
              <w:widowControl/>
              <w:textAlignment w:val="top"/>
              <w:rPr>
                <w:rFonts w:hint="eastAsia" w:cs="仿宋_GB2312" w:asciiTheme="minorEastAsia" w:hAnsiTheme="minorEastAsia" w:eastAsiaTheme="minorEastAsia"/>
                <w:color w:val="auto"/>
                <w:szCs w:val="21"/>
                <w:highlight w:val="none"/>
              </w:rPr>
            </w:pPr>
            <w:r>
              <w:rPr>
                <w:rFonts w:cs="仿宋_GB2312" w:asciiTheme="minorEastAsia" w:hAnsiTheme="minorEastAsia" w:eastAsiaTheme="minorEastAsia"/>
                <w:color w:val="auto"/>
                <w:kern w:val="0"/>
                <w:szCs w:val="21"/>
                <w:highlight w:val="none"/>
              </w:rPr>
              <w:t>强化属地管理，建立保洁质量问责考核机制；加大对辖区内环卫保洁行业、对外开放卫生间指导服务和督办工作。创新管理思路及手段，加强辖区内环卫薄弱环节的管理，全覆盖进行监管。</w:t>
            </w:r>
          </w:p>
        </w:tc>
        <w:tc>
          <w:tcPr>
            <w:tcW w:w="4536" w:type="dxa"/>
          </w:tcPr>
          <w:p w14:paraId="334A0DC6">
            <w:pPr>
              <w:widowControl/>
              <w:textAlignment w:val="top"/>
              <w:rPr>
                <w:rFonts w:hint="eastAsia" w:cs="仿宋_GB2312" w:asciiTheme="minorEastAsia" w:hAnsiTheme="minorEastAsia" w:eastAsiaTheme="minorEastAsia"/>
                <w:color w:val="auto"/>
                <w:szCs w:val="21"/>
                <w:highlight w:val="none"/>
              </w:rPr>
            </w:pPr>
            <w:r>
              <w:rPr>
                <w:rFonts w:cs="仿宋_GB2312" w:asciiTheme="minorEastAsia" w:hAnsiTheme="minorEastAsia" w:eastAsiaTheme="minorEastAsia"/>
                <w:color w:val="auto"/>
                <w:kern w:val="0"/>
                <w:szCs w:val="21"/>
                <w:highlight w:val="none"/>
              </w:rPr>
              <w:t>发生发现问题未及时</w:t>
            </w:r>
            <w:r>
              <w:rPr>
                <w:rFonts w:hint="eastAsia" w:cs="仿宋_GB2312" w:asciiTheme="minorEastAsia" w:hAnsiTheme="minorEastAsia" w:eastAsiaTheme="minorEastAsia"/>
                <w:color w:val="auto"/>
                <w:kern w:val="0"/>
                <w:szCs w:val="21"/>
                <w:highlight w:val="none"/>
              </w:rPr>
              <w:t>整改</w:t>
            </w:r>
            <w:r>
              <w:rPr>
                <w:rFonts w:cs="仿宋_GB2312" w:asciiTheme="minorEastAsia" w:hAnsiTheme="minorEastAsia" w:eastAsiaTheme="minorEastAsia"/>
                <w:color w:val="auto"/>
                <w:kern w:val="0"/>
                <w:szCs w:val="21"/>
                <w:highlight w:val="none"/>
              </w:rPr>
              <w:t>，每发现一次扣</w:t>
            </w:r>
            <w:r>
              <w:rPr>
                <w:rFonts w:hint="eastAsia" w:cs="仿宋_GB2312" w:asciiTheme="minorEastAsia" w:hAnsiTheme="minorEastAsia" w:eastAsiaTheme="minorEastAsia"/>
                <w:color w:val="auto"/>
                <w:kern w:val="0"/>
                <w:szCs w:val="21"/>
                <w:highlight w:val="none"/>
              </w:rPr>
              <w:t>10</w:t>
            </w:r>
            <w:r>
              <w:rPr>
                <w:rFonts w:cs="仿宋_GB2312" w:asciiTheme="minorEastAsia" w:hAnsiTheme="minorEastAsia" w:eastAsiaTheme="minorEastAsia"/>
                <w:color w:val="auto"/>
                <w:kern w:val="0"/>
                <w:szCs w:val="21"/>
                <w:highlight w:val="none"/>
              </w:rPr>
              <w:t>分。</w:t>
            </w:r>
            <w:r>
              <w:rPr>
                <w:rFonts w:hint="eastAsia" w:cs="仿宋_GB2312" w:asciiTheme="minorEastAsia" w:hAnsiTheme="minorEastAsia" w:eastAsiaTheme="minorEastAsia"/>
                <w:color w:val="auto"/>
                <w:kern w:val="0"/>
                <w:szCs w:val="21"/>
                <w:highlight w:val="none"/>
              </w:rPr>
              <w:t>被市民、领导投诉的，每发生一起扣10分，媒体负面曝光的每发生一起扣15分。</w:t>
            </w:r>
          </w:p>
        </w:tc>
      </w:tr>
      <w:tr w14:paraId="3E73517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1515" w:hRule="atLeast"/>
        </w:trPr>
        <w:tc>
          <w:tcPr>
            <w:tcW w:w="667" w:type="dxa"/>
            <w:vAlign w:val="center"/>
          </w:tcPr>
          <w:p w14:paraId="3B2F8DDC">
            <w:pPr>
              <w:jc w:val="center"/>
              <w:rPr>
                <w:rFonts w:hint="eastAsia" w:cs="仿宋_GB2312" w:asciiTheme="minorEastAsia" w:hAnsiTheme="minorEastAsia" w:eastAsiaTheme="minorEastAsia"/>
                <w:b/>
                <w:color w:val="auto"/>
                <w:kern w:val="0"/>
                <w:szCs w:val="21"/>
                <w:highlight w:val="none"/>
              </w:rPr>
            </w:pPr>
            <w:r>
              <w:rPr>
                <w:rFonts w:hint="eastAsia" w:cs="仿宋_GB2312" w:asciiTheme="minorEastAsia" w:hAnsiTheme="minorEastAsia" w:eastAsiaTheme="minorEastAsia"/>
                <w:b/>
                <w:color w:val="auto"/>
                <w:kern w:val="0"/>
                <w:szCs w:val="21"/>
                <w:highlight w:val="none"/>
              </w:rPr>
              <w:t xml:space="preserve">数字城管管理现场    </w:t>
            </w:r>
          </w:p>
        </w:tc>
        <w:tc>
          <w:tcPr>
            <w:tcW w:w="510" w:type="dxa"/>
            <w:vAlign w:val="center"/>
          </w:tcPr>
          <w:p w14:paraId="2AC5AF6B">
            <w:pPr>
              <w:jc w:val="center"/>
              <w:rPr>
                <w:rFonts w:hint="eastAsia" w:cs="仿宋_GB2312" w:asciiTheme="minorEastAsia" w:hAnsiTheme="minorEastAsia" w:eastAsiaTheme="minorEastAsia"/>
                <w:b/>
                <w:color w:val="auto"/>
                <w:kern w:val="0"/>
                <w:szCs w:val="21"/>
                <w:highlight w:val="none"/>
              </w:rPr>
            </w:pPr>
            <w:r>
              <w:rPr>
                <w:rFonts w:hint="eastAsia" w:cs="仿宋_GB2312" w:asciiTheme="minorEastAsia" w:hAnsiTheme="minorEastAsia" w:eastAsiaTheme="minorEastAsia"/>
                <w:b/>
                <w:color w:val="auto"/>
                <w:kern w:val="0"/>
                <w:szCs w:val="21"/>
                <w:highlight w:val="none"/>
              </w:rPr>
              <w:t>1</w:t>
            </w:r>
          </w:p>
        </w:tc>
        <w:tc>
          <w:tcPr>
            <w:tcW w:w="1517" w:type="dxa"/>
            <w:vAlign w:val="center"/>
          </w:tcPr>
          <w:p w14:paraId="00EA5746">
            <w:pPr>
              <w:jc w:val="center"/>
              <w:rPr>
                <w:rFonts w:hint="eastAsia" w:cs="仿宋_GB2312" w:asciiTheme="minorEastAsia" w:hAnsiTheme="minorEastAsia" w:eastAsiaTheme="minorEastAsia"/>
                <w:b/>
                <w:color w:val="auto"/>
                <w:kern w:val="0"/>
                <w:szCs w:val="21"/>
                <w:highlight w:val="none"/>
              </w:rPr>
            </w:pPr>
            <w:r>
              <w:rPr>
                <w:rFonts w:cs="仿宋_GB2312" w:asciiTheme="minorEastAsia" w:hAnsiTheme="minorEastAsia" w:eastAsiaTheme="minorEastAsia"/>
                <w:b/>
                <w:color w:val="auto"/>
                <w:kern w:val="0"/>
                <w:szCs w:val="21"/>
                <w:highlight w:val="none"/>
              </w:rPr>
              <w:t>现场作业标准</w:t>
            </w:r>
          </w:p>
        </w:tc>
        <w:tc>
          <w:tcPr>
            <w:tcW w:w="2410" w:type="dxa"/>
          </w:tcPr>
          <w:p w14:paraId="19C2D4D9">
            <w:pPr>
              <w:widowControl/>
              <w:textAlignment w:val="top"/>
              <w:rPr>
                <w:rFonts w:hint="eastAsia" w:cs="仿宋_GB2312" w:asciiTheme="minorEastAsia" w:hAnsiTheme="minorEastAsia" w:eastAsiaTheme="minorEastAsia"/>
                <w:color w:val="auto"/>
                <w:szCs w:val="21"/>
                <w:highlight w:val="none"/>
              </w:rPr>
            </w:pPr>
            <w:r>
              <w:rPr>
                <w:rFonts w:cs="仿宋_GB2312" w:asciiTheme="minorEastAsia" w:hAnsiTheme="minorEastAsia" w:eastAsiaTheme="minorEastAsia"/>
                <w:color w:val="auto"/>
                <w:kern w:val="0"/>
                <w:szCs w:val="21"/>
                <w:highlight w:val="none"/>
              </w:rPr>
              <w:t>数字城管采纳问题及时落实整改。</w:t>
            </w:r>
          </w:p>
        </w:tc>
        <w:tc>
          <w:tcPr>
            <w:tcW w:w="4536" w:type="dxa"/>
          </w:tcPr>
          <w:p w14:paraId="10FCEC19">
            <w:pPr>
              <w:widowControl/>
              <w:textAlignment w:val="top"/>
              <w:rPr>
                <w:rFonts w:hint="eastAsia" w:cs="仿宋_GB2312" w:asciiTheme="minorEastAsia" w:hAnsiTheme="minorEastAsia" w:eastAsiaTheme="minorEastAsia"/>
                <w:color w:val="auto"/>
                <w:szCs w:val="21"/>
                <w:highlight w:val="none"/>
              </w:rPr>
            </w:pPr>
            <w:r>
              <w:rPr>
                <w:rFonts w:cs="仿宋_GB2312" w:asciiTheme="minorEastAsia" w:hAnsiTheme="minorEastAsia" w:eastAsiaTheme="minorEastAsia"/>
                <w:color w:val="auto"/>
                <w:kern w:val="0"/>
                <w:szCs w:val="21"/>
                <w:highlight w:val="none"/>
              </w:rPr>
              <w:t>数字城管问题经分析纳入考核。</w:t>
            </w:r>
          </w:p>
        </w:tc>
      </w:tr>
      <w:tr w14:paraId="68C0D07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2074" w:hRule="atLeast"/>
        </w:trPr>
        <w:tc>
          <w:tcPr>
            <w:tcW w:w="667" w:type="dxa"/>
            <w:vMerge w:val="restart"/>
            <w:vAlign w:val="center"/>
          </w:tcPr>
          <w:p w14:paraId="6376366D">
            <w:pPr>
              <w:jc w:val="center"/>
              <w:rPr>
                <w:rFonts w:hint="eastAsia" w:cs="仿宋_GB2312" w:asciiTheme="minorEastAsia" w:hAnsiTheme="minorEastAsia" w:eastAsiaTheme="minorEastAsia"/>
                <w:b/>
                <w:color w:val="auto"/>
                <w:kern w:val="0"/>
                <w:szCs w:val="21"/>
                <w:highlight w:val="none"/>
              </w:rPr>
            </w:pPr>
            <w:r>
              <w:rPr>
                <w:rFonts w:hint="eastAsia" w:cs="仿宋_GB2312" w:asciiTheme="minorEastAsia" w:hAnsiTheme="minorEastAsia" w:eastAsiaTheme="minorEastAsia"/>
                <w:b/>
                <w:color w:val="auto"/>
                <w:kern w:val="0"/>
                <w:szCs w:val="21"/>
                <w:highlight w:val="none"/>
              </w:rPr>
              <w:t>保洁垃圾分类管理</w:t>
            </w:r>
          </w:p>
        </w:tc>
        <w:tc>
          <w:tcPr>
            <w:tcW w:w="510" w:type="dxa"/>
            <w:vMerge w:val="restart"/>
            <w:vAlign w:val="center"/>
          </w:tcPr>
          <w:p w14:paraId="1AD779DB">
            <w:pPr>
              <w:jc w:val="center"/>
              <w:rPr>
                <w:rFonts w:hint="eastAsia" w:cs="仿宋_GB2312" w:asciiTheme="minorEastAsia" w:hAnsiTheme="minorEastAsia" w:eastAsiaTheme="minorEastAsia"/>
                <w:b/>
                <w:color w:val="auto"/>
                <w:kern w:val="0"/>
                <w:szCs w:val="21"/>
                <w:highlight w:val="none"/>
              </w:rPr>
            </w:pPr>
            <w:r>
              <w:rPr>
                <w:rFonts w:hint="eastAsia" w:cs="仿宋_GB2312" w:asciiTheme="minorEastAsia" w:hAnsiTheme="minorEastAsia" w:eastAsiaTheme="minorEastAsia"/>
                <w:b/>
                <w:color w:val="auto"/>
                <w:kern w:val="0"/>
                <w:szCs w:val="21"/>
                <w:highlight w:val="none"/>
              </w:rPr>
              <w:t>1</w:t>
            </w:r>
          </w:p>
        </w:tc>
        <w:tc>
          <w:tcPr>
            <w:tcW w:w="1517" w:type="dxa"/>
            <w:vMerge w:val="restart"/>
            <w:vAlign w:val="center"/>
          </w:tcPr>
          <w:p w14:paraId="2FF328EE">
            <w:pPr>
              <w:jc w:val="center"/>
              <w:rPr>
                <w:rFonts w:hint="eastAsia" w:cs="仿宋_GB2312" w:asciiTheme="minorEastAsia" w:hAnsiTheme="minorEastAsia" w:eastAsiaTheme="minorEastAsia"/>
                <w:b/>
                <w:color w:val="auto"/>
                <w:kern w:val="0"/>
                <w:szCs w:val="21"/>
                <w:highlight w:val="none"/>
              </w:rPr>
            </w:pPr>
            <w:r>
              <w:rPr>
                <w:rFonts w:hint="eastAsia" w:cs="仿宋_GB2312" w:asciiTheme="minorEastAsia" w:hAnsiTheme="minorEastAsia" w:eastAsiaTheme="minorEastAsia"/>
                <w:b/>
                <w:color w:val="auto"/>
                <w:kern w:val="0"/>
                <w:szCs w:val="21"/>
                <w:highlight w:val="none"/>
              </w:rPr>
              <w:t>机制</w:t>
            </w:r>
            <w:r>
              <w:rPr>
                <w:rFonts w:cs="仿宋_GB2312" w:asciiTheme="minorEastAsia" w:hAnsiTheme="minorEastAsia" w:eastAsiaTheme="minorEastAsia"/>
                <w:b/>
                <w:color w:val="auto"/>
                <w:kern w:val="0"/>
                <w:szCs w:val="21"/>
                <w:highlight w:val="none"/>
              </w:rPr>
              <w:t>规范及作业标准</w:t>
            </w:r>
          </w:p>
        </w:tc>
        <w:tc>
          <w:tcPr>
            <w:tcW w:w="2410" w:type="dxa"/>
          </w:tcPr>
          <w:p w14:paraId="46982B9F">
            <w:pPr>
              <w:widowControl/>
              <w:textAlignment w:val="top"/>
              <w:rPr>
                <w:rFonts w:hint="eastAsia" w:cs="仿宋_GB2312" w:asciiTheme="minorEastAsia" w:hAnsiTheme="minorEastAsia" w:eastAsiaTheme="minorEastAsia"/>
                <w:color w:val="auto"/>
                <w:kern w:val="0"/>
                <w:szCs w:val="21"/>
                <w:highlight w:val="none"/>
              </w:rPr>
            </w:pPr>
            <w:r>
              <w:rPr>
                <w:rFonts w:hint="eastAsia" w:cs="仿宋_GB2312" w:asciiTheme="minorEastAsia" w:hAnsiTheme="minorEastAsia" w:eastAsiaTheme="minorEastAsia"/>
                <w:color w:val="auto"/>
                <w:kern w:val="0"/>
                <w:szCs w:val="21"/>
                <w:highlight w:val="none"/>
              </w:rPr>
              <w:t>将分类理念、要求融入日常保洁作业中，各项目建立保洁分类融合领导小组，完善内部考核评价机制，改造垃圾清扫、收集、接驳、运输设施设备，做到清扫垃圾分类投放、分类收运、分类利用、分类处置。</w:t>
            </w:r>
          </w:p>
        </w:tc>
        <w:tc>
          <w:tcPr>
            <w:tcW w:w="4536" w:type="dxa"/>
          </w:tcPr>
          <w:p w14:paraId="551B2235">
            <w:pPr>
              <w:rPr>
                <w:rFonts w:hint="eastAsia" w:asciiTheme="minorEastAsia" w:hAnsiTheme="minorEastAsia" w:eastAsiaTheme="minorEastAsia"/>
                <w:color w:val="auto"/>
                <w:highlight w:val="none"/>
              </w:rPr>
            </w:pPr>
            <w:r>
              <w:rPr>
                <w:rFonts w:hint="eastAsia" w:cs="仿宋_GB2312" w:asciiTheme="minorEastAsia" w:hAnsiTheme="minorEastAsia" w:eastAsiaTheme="minorEastAsia"/>
                <w:color w:val="auto"/>
                <w:kern w:val="0"/>
                <w:szCs w:val="21"/>
                <w:highlight w:val="none"/>
              </w:rPr>
              <w:t>各项目未建立保洁分类融合领导小组的扣5分，未建立完善内部考核评价机制的扣5分，未对清扫、收集、接驳、运输设施设备进行改造的，每发现一次扣2分，未对清扫垃圾实施分类投放、分类收运、分类利用、分类处置的，每发现一次扣3分。</w:t>
            </w:r>
          </w:p>
        </w:tc>
      </w:tr>
      <w:tr w14:paraId="48FF167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2074" w:hRule="atLeast"/>
        </w:trPr>
        <w:tc>
          <w:tcPr>
            <w:tcW w:w="667" w:type="dxa"/>
            <w:vMerge w:val="continue"/>
            <w:vAlign w:val="center"/>
          </w:tcPr>
          <w:p w14:paraId="2C3CA248">
            <w:pPr>
              <w:jc w:val="center"/>
              <w:rPr>
                <w:rFonts w:hint="eastAsia" w:cs="仿宋_GB2312" w:asciiTheme="minorEastAsia" w:hAnsiTheme="minorEastAsia" w:eastAsiaTheme="minorEastAsia"/>
                <w:b/>
                <w:color w:val="auto"/>
                <w:kern w:val="0"/>
                <w:szCs w:val="21"/>
                <w:highlight w:val="none"/>
              </w:rPr>
            </w:pPr>
          </w:p>
        </w:tc>
        <w:tc>
          <w:tcPr>
            <w:tcW w:w="510" w:type="dxa"/>
            <w:vMerge w:val="continue"/>
            <w:vAlign w:val="center"/>
          </w:tcPr>
          <w:p w14:paraId="26C9A336">
            <w:pPr>
              <w:jc w:val="center"/>
              <w:rPr>
                <w:rFonts w:hint="eastAsia" w:cs="仿宋_GB2312" w:asciiTheme="minorEastAsia" w:hAnsiTheme="minorEastAsia" w:eastAsiaTheme="minorEastAsia"/>
                <w:b/>
                <w:color w:val="auto"/>
                <w:kern w:val="0"/>
                <w:szCs w:val="21"/>
                <w:highlight w:val="none"/>
              </w:rPr>
            </w:pPr>
          </w:p>
        </w:tc>
        <w:tc>
          <w:tcPr>
            <w:tcW w:w="1517" w:type="dxa"/>
            <w:vMerge w:val="continue"/>
            <w:vAlign w:val="center"/>
          </w:tcPr>
          <w:p w14:paraId="537081A9">
            <w:pPr>
              <w:jc w:val="center"/>
              <w:rPr>
                <w:rFonts w:hint="eastAsia" w:cs="仿宋_GB2312" w:asciiTheme="minorEastAsia" w:hAnsiTheme="minorEastAsia" w:eastAsiaTheme="minorEastAsia"/>
                <w:b/>
                <w:color w:val="auto"/>
                <w:kern w:val="0"/>
                <w:szCs w:val="21"/>
                <w:highlight w:val="none"/>
              </w:rPr>
            </w:pPr>
          </w:p>
        </w:tc>
        <w:tc>
          <w:tcPr>
            <w:tcW w:w="2410" w:type="dxa"/>
          </w:tcPr>
          <w:p w14:paraId="5A5FDDF9">
            <w:pPr>
              <w:widowControl/>
              <w:textAlignment w:val="top"/>
              <w:rPr>
                <w:rFonts w:hint="eastAsia" w:cs="仿宋_GB2312" w:asciiTheme="minorEastAsia" w:hAnsiTheme="minorEastAsia" w:eastAsiaTheme="minorEastAsia"/>
                <w:color w:val="auto"/>
                <w:kern w:val="0"/>
                <w:szCs w:val="21"/>
                <w:highlight w:val="none"/>
              </w:rPr>
            </w:pPr>
            <w:r>
              <w:rPr>
                <w:rFonts w:hint="eastAsia" w:cs="仿宋_GB2312" w:asciiTheme="minorEastAsia" w:hAnsiTheme="minorEastAsia" w:eastAsiaTheme="minorEastAsia"/>
                <w:color w:val="auto"/>
                <w:kern w:val="0"/>
                <w:szCs w:val="21"/>
                <w:highlight w:val="none"/>
              </w:rPr>
              <w:t>强化大件垃圾、建筑垃圾、可回收物、固体废弃物管理，实施定点集中、定时清运，无随意放置丢弃现象，保障集中、清运点周边环境卫生整洁，避免对市民群众生产生活造成干扰。</w:t>
            </w:r>
          </w:p>
        </w:tc>
        <w:tc>
          <w:tcPr>
            <w:tcW w:w="4536" w:type="dxa"/>
          </w:tcPr>
          <w:p w14:paraId="363C1380">
            <w:pPr>
              <w:rPr>
                <w:rFonts w:hint="eastAsia" w:asciiTheme="minorEastAsia" w:hAnsiTheme="minorEastAsia" w:eastAsiaTheme="minorEastAsia"/>
                <w:color w:val="auto"/>
                <w:highlight w:val="none"/>
              </w:rPr>
            </w:pPr>
            <w:r>
              <w:rPr>
                <w:rFonts w:hint="eastAsia" w:cs="仿宋_GB2312" w:asciiTheme="minorEastAsia" w:hAnsiTheme="minorEastAsia" w:eastAsiaTheme="minorEastAsia"/>
                <w:color w:val="auto"/>
                <w:kern w:val="0"/>
                <w:szCs w:val="21"/>
                <w:highlight w:val="none"/>
              </w:rPr>
              <w:t>未实施定点集中、定时清运的，每发现一次扣5分，随意放置、随意丢弃、长时间堆放未清运影响整体环境面貌的，每发现一次扣10分，对市民群众正常生产生活造成干扰，引发投诉经核查有责的，扣10分/次。</w:t>
            </w:r>
          </w:p>
        </w:tc>
      </w:tr>
    </w:tbl>
    <w:p w14:paraId="5D0DFDD2">
      <w:pPr>
        <w:pStyle w:val="130"/>
        <w:spacing w:before="0" w:line="440" w:lineRule="exact"/>
        <w:ind w:firstLine="480"/>
        <w:outlineLvl w:val="2"/>
        <w:rPr>
          <w:rFonts w:hint="eastAsia" w:asciiTheme="minorEastAsia" w:hAnsiTheme="minorEastAsia" w:eastAsiaTheme="minorEastAsia"/>
          <w:bCs/>
          <w:color w:val="auto"/>
          <w:szCs w:val="24"/>
          <w:highlight w:val="none"/>
        </w:rPr>
      </w:pPr>
      <w:r>
        <w:rPr>
          <w:rFonts w:hint="eastAsia" w:asciiTheme="minorEastAsia" w:hAnsiTheme="minorEastAsia" w:eastAsiaTheme="minorEastAsia"/>
          <w:bCs/>
          <w:color w:val="auto"/>
          <w:szCs w:val="24"/>
          <w:highlight w:val="none"/>
        </w:rPr>
        <w:t>4、物业考核：</w:t>
      </w:r>
    </w:p>
    <w:p w14:paraId="3EC24636">
      <w:pPr>
        <w:snapToGrid w:val="0"/>
        <w:spacing w:line="440" w:lineRule="exact"/>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（1）环境秩序：在保洁方面，首先负责物业范围内的全区域卫生，环境卫生要求按照街道、社区考核要求进行，其次对沿街店铺出店经营、门前三包工作做好对应的劝导工作，做到整齐划一。</w:t>
      </w:r>
    </w:p>
    <w:p w14:paraId="78033FE1">
      <w:pPr>
        <w:snapToGrid w:val="0"/>
        <w:spacing w:line="440" w:lineRule="exact"/>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（2）绿化养护：在绿化养护方面，要求实施专业绿化养护管理，定期修剪养护，清理杂草，确保绿地树木存活率，绿地植被覆盖良好，进一步美化小区环境。</w:t>
      </w:r>
    </w:p>
    <w:p w14:paraId="57FD70EE">
      <w:pPr>
        <w:snapToGrid w:val="0"/>
        <w:spacing w:line="440" w:lineRule="exact"/>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（3）设施维修：要求建立完善的信息资源库，制定管理工作流程、工作制度及工作职责，安排专业的维修人员，对小区内出现的公共设施问题，能够在最短的时间内得到解决，从而为居民提供优质高效的服务。</w:t>
      </w:r>
    </w:p>
    <w:p w14:paraId="55368BB5">
      <w:pPr>
        <w:snapToGrid w:val="0"/>
        <w:spacing w:line="440" w:lineRule="exact"/>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为避免因基础设施陈旧影响居民日常生活的问题，现小区内电控门、楼道灯、大铁门、垃圾房、窨井盖、空调雨水管、落水管、公共雨棚、公共晾衣架、屋面沿沟、雨水井、污水井、绿化等公共设施均列入综合管理范围（考虑到可变因素较大，屋顶补漏不列入本综合管理服务范围内），6个社区的社区公共管理维修，亦由物业公司全面接管，每个社区费用设定为30000元，总计年度费用达180000元/年。</w:t>
      </w:r>
    </w:p>
    <w:p w14:paraId="091A2C35">
      <w:pPr>
        <w:snapToGrid w:val="0"/>
        <w:spacing w:line="440" w:lineRule="exact"/>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（4）楼道亮灯：居民楼里老人多，且房子老旧；夜间出行如遇楼道灯故障会非常不便，同时也存在安全隐患。对于故障的楼道灯，中标单位维修人员须在24小时内进行修复，以保证居民出行的安全。</w:t>
      </w:r>
    </w:p>
    <w:p w14:paraId="071B6981">
      <w:pPr>
        <w:snapToGrid w:val="0"/>
        <w:spacing w:line="440" w:lineRule="exact"/>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停车管理：中标单位须负责中标服务区域内车辆有序及安全停放管理，包含：小区内车辆有序及安全停放管理、保证小区内车辆的有序进出及小区道路的顺畅通行。中标单位还须负责门禁系统及门禁道闸的操作、管理、维护，确保居民及访客的顺畅出入。</w:t>
      </w:r>
    </w:p>
    <w:p w14:paraId="5CFC5588">
      <w:pPr>
        <w:spacing w:line="460" w:lineRule="exact"/>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6）消防、安全防范：指整个金钱巷、长明寺巷、茅廊巷、姚园寺巷、西牌楼、梅花碑组成南片区域的安保，安全监控系统24小时值班管理，公共区域24小时巡防。每日防火巡查，重点对电动自行车集中充停区域、消防车车道、楼道堆积物、公共消防器材等进行定期整治和维护。以及公共楼道、车库灭火器、小区室外消火栓消防设施、器材的增补和维护保养工作。通过努力达到稳定、和谐、规范、有序，确保安全，争创省内服务领先水平。</w:t>
      </w:r>
    </w:p>
    <w:p w14:paraId="3132C955">
      <w:pPr>
        <w:snapToGrid w:val="0"/>
        <w:spacing w:line="440" w:lineRule="exact"/>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（7）垃圾分类：指整个区域的生活垃圾定时定点专人负责分类点的分类服务；倡导智慧分类、规范收运处置、提升整体质量；建筑垃圾规范，装修施工监管、垃圾清运、日常处置监管。</w:t>
      </w:r>
    </w:p>
    <w:p w14:paraId="3D9500AD">
      <w:pPr>
        <w:snapToGrid w:val="0"/>
        <w:spacing w:line="440" w:lineRule="exact"/>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8）其他服务：物业公司在现场应设有服务接待中心，公示24小时服务电话。有完整的报修、维修和回访记录，包括但不限于公共部位、业主的接报修等服务。协助组织开展社区文化和便民服务活动，积极开展老旧小区党建和文化建设，为居民提供丰富多彩的文化生活，提升老旧住宅小区居住幸福感和满意度。</w:t>
      </w:r>
    </w:p>
    <w:p w14:paraId="6790C6CC">
      <w:pPr>
        <w:snapToGrid w:val="0"/>
        <w:spacing w:line="440" w:lineRule="exact"/>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（9）提质提价：根据区住建要求，推进南片区所有准物业小区物业费从0.15元/㎡提高到0.56元/㎡；</w:t>
      </w:r>
    </w:p>
    <w:p w14:paraId="1C3AC6EE">
      <w:pPr>
        <w:snapToGrid w:val="0"/>
        <w:spacing w:line="440" w:lineRule="exact"/>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10）品牌小区创建要求总投入60万：打造梅花碑社区信余里小区、金钱巷社区南班巷小区，作为品牌示范小区，通过增设形象岗、加大巡逻、保洁频次，打造绿化小景点、24小时入户维修服务等手段多方位打造品质小区。</w:t>
      </w:r>
    </w:p>
    <w:p w14:paraId="287E6EF3">
      <w:pPr>
        <w:snapToGrid w:val="0"/>
        <w:spacing w:line="440" w:lineRule="exact"/>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w:t>
      </w:r>
      <w:r>
        <w:rPr>
          <w:rFonts w:hint="eastAsia" w:asciiTheme="minorEastAsia" w:hAnsiTheme="minorEastAsia" w:eastAsiaTheme="minorEastAsia"/>
          <w:bCs/>
          <w:color w:val="auto"/>
          <w:sz w:val="24"/>
          <w:highlight w:val="none"/>
          <w:lang w:val="en-US" w:eastAsia="zh-CN"/>
        </w:rPr>
        <w:t>1</w:t>
      </w:r>
      <w:r>
        <w:rPr>
          <w:rFonts w:hint="eastAsia" w:asciiTheme="minorEastAsia" w:hAnsiTheme="minorEastAsia" w:eastAsiaTheme="minorEastAsia"/>
          <w:bCs/>
          <w:color w:val="auto"/>
          <w:sz w:val="24"/>
          <w:highlight w:val="none"/>
        </w:rPr>
        <w:t>）物业关于</w:t>
      </w: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rPr>
        <w:t>美丽杭州</w:t>
      </w: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lang w:val="en-US" w:eastAsia="zh-CN"/>
        </w:rPr>
        <w:t>问题处置情况</w:t>
      </w:r>
      <w:r>
        <w:rPr>
          <w:rFonts w:hint="eastAsia" w:asciiTheme="minorEastAsia" w:hAnsiTheme="minorEastAsia" w:eastAsiaTheme="minorEastAsia"/>
          <w:bCs/>
          <w:color w:val="auto"/>
          <w:sz w:val="24"/>
          <w:highlight w:val="none"/>
        </w:rPr>
        <w:t>扣款细则</w:t>
      </w:r>
    </w:p>
    <w:tbl>
      <w:tblPr>
        <w:tblStyle w:val="965"/>
        <w:tblW w:w="92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86"/>
        <w:gridCol w:w="2891"/>
      </w:tblGrid>
      <w:tr w14:paraId="580804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6386" w:type="dxa"/>
            <w:vAlign w:val="center"/>
          </w:tcPr>
          <w:p w14:paraId="1CAB64FD">
            <w:pPr>
              <w:snapToGrid w:val="0"/>
              <w:spacing w:line="440" w:lineRule="exact"/>
              <w:ind w:firstLine="480" w:firstLineChars="200"/>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检查及考核细则</w:t>
            </w:r>
          </w:p>
        </w:tc>
        <w:tc>
          <w:tcPr>
            <w:tcW w:w="2891" w:type="dxa"/>
            <w:vAlign w:val="center"/>
          </w:tcPr>
          <w:p w14:paraId="34A06265">
            <w:pPr>
              <w:snapToGrid w:val="0"/>
              <w:spacing w:line="440" w:lineRule="exact"/>
              <w:ind w:firstLine="480" w:firstLineChars="200"/>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扣除金额（元）</w:t>
            </w:r>
          </w:p>
        </w:tc>
      </w:tr>
      <w:tr w14:paraId="76B3A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6386" w:type="dxa"/>
            <w:vAlign w:val="center"/>
          </w:tcPr>
          <w:p w14:paraId="69D63F27">
            <w:pPr>
              <w:snapToGrid w:val="0"/>
              <w:spacing w:line="440" w:lineRule="exact"/>
              <w:ind w:firstLine="480" w:firstLineChars="200"/>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案卷处置超时倍数，问题实际处置时间超过规定处置时间的倍数</w:t>
            </w:r>
          </w:p>
        </w:tc>
        <w:tc>
          <w:tcPr>
            <w:tcW w:w="2891" w:type="dxa"/>
            <w:vAlign w:val="center"/>
          </w:tcPr>
          <w:p w14:paraId="5CDDD5FB">
            <w:pPr>
              <w:snapToGrid w:val="0"/>
              <w:spacing w:line="440" w:lineRule="exact"/>
              <w:ind w:firstLine="480" w:firstLineChars="200"/>
              <w:rPr>
                <w:rFonts w:hint="default"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300元/倍</w:t>
            </w:r>
          </w:p>
        </w:tc>
      </w:tr>
      <w:tr w14:paraId="5BBDB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6386" w:type="dxa"/>
            <w:vAlign w:val="center"/>
          </w:tcPr>
          <w:p w14:paraId="48D582F3">
            <w:pPr>
              <w:snapToGrid w:val="0"/>
              <w:spacing w:line="440" w:lineRule="exact"/>
              <w:ind w:firstLine="480" w:firstLineChars="200"/>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推诿件，责任明确但拒绝处置的</w:t>
            </w:r>
          </w:p>
        </w:tc>
        <w:tc>
          <w:tcPr>
            <w:tcW w:w="2891" w:type="dxa"/>
            <w:vAlign w:val="center"/>
          </w:tcPr>
          <w:p w14:paraId="0A1AFC67">
            <w:pPr>
              <w:snapToGrid w:val="0"/>
              <w:spacing w:line="440" w:lineRule="exact"/>
              <w:ind w:firstLine="480" w:firstLineChars="200"/>
              <w:rPr>
                <w:rFonts w:hint="default"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500元/次</w:t>
            </w:r>
          </w:p>
        </w:tc>
      </w:tr>
      <w:tr w14:paraId="0C7AA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jc w:val="center"/>
        </w:trPr>
        <w:tc>
          <w:tcPr>
            <w:tcW w:w="6386" w:type="dxa"/>
            <w:vAlign w:val="center"/>
          </w:tcPr>
          <w:p w14:paraId="78404336">
            <w:pPr>
              <w:snapToGrid w:val="0"/>
              <w:spacing w:line="440" w:lineRule="exact"/>
              <w:ind w:firstLine="480" w:firstLineChars="200"/>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有责差错件，问题处置、反馈不规范，影响问题处置的</w:t>
            </w:r>
          </w:p>
        </w:tc>
        <w:tc>
          <w:tcPr>
            <w:tcW w:w="2891" w:type="dxa"/>
            <w:vAlign w:val="center"/>
          </w:tcPr>
          <w:p w14:paraId="35936AA6">
            <w:pPr>
              <w:snapToGrid w:val="0"/>
              <w:spacing w:line="440" w:lineRule="exact"/>
              <w:ind w:firstLine="480" w:firstLineChars="200"/>
              <w:rPr>
                <w:rFonts w:hint="default"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300元/次</w:t>
            </w:r>
          </w:p>
        </w:tc>
      </w:tr>
      <w:tr w14:paraId="505C6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6386" w:type="dxa"/>
            <w:vAlign w:val="center"/>
          </w:tcPr>
          <w:p w14:paraId="625A420D">
            <w:pPr>
              <w:snapToGrid w:val="0"/>
              <w:spacing w:line="440" w:lineRule="exact"/>
              <w:ind w:firstLine="480" w:firstLineChars="200"/>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重复举报数，同一市民举报同一问题 2 次及以上的</w:t>
            </w:r>
          </w:p>
        </w:tc>
        <w:tc>
          <w:tcPr>
            <w:tcW w:w="2891" w:type="dxa"/>
            <w:vAlign w:val="center"/>
          </w:tcPr>
          <w:p w14:paraId="01122874">
            <w:pPr>
              <w:snapToGrid w:val="0"/>
              <w:spacing w:line="440" w:lineRule="exact"/>
              <w:ind w:firstLine="480" w:firstLineChars="200"/>
              <w:rPr>
                <w:rFonts w:hint="default"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扣100元，每增加一次多扣100元</w:t>
            </w:r>
          </w:p>
        </w:tc>
      </w:tr>
      <w:tr w14:paraId="46CCA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jc w:val="center"/>
        </w:trPr>
        <w:tc>
          <w:tcPr>
            <w:tcW w:w="6386" w:type="dxa"/>
            <w:vAlign w:val="center"/>
          </w:tcPr>
          <w:p w14:paraId="018B33A1">
            <w:pPr>
              <w:snapToGrid w:val="0"/>
              <w:spacing w:line="440" w:lineRule="exact"/>
              <w:ind w:firstLine="480" w:firstLineChars="200"/>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返工案卷</w:t>
            </w:r>
          </w:p>
        </w:tc>
        <w:tc>
          <w:tcPr>
            <w:tcW w:w="2891" w:type="dxa"/>
            <w:vAlign w:val="center"/>
          </w:tcPr>
          <w:p w14:paraId="2EEF55AB">
            <w:pPr>
              <w:snapToGrid w:val="0"/>
              <w:spacing w:line="440" w:lineRule="exact"/>
              <w:ind w:firstLine="480" w:firstLineChars="200"/>
              <w:rPr>
                <w:rFonts w:hint="default"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200元/个</w:t>
            </w:r>
          </w:p>
        </w:tc>
      </w:tr>
      <w:tr w14:paraId="02E5C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jc w:val="center"/>
        </w:trPr>
        <w:tc>
          <w:tcPr>
            <w:tcW w:w="6386" w:type="dxa"/>
            <w:vAlign w:val="center"/>
          </w:tcPr>
          <w:p w14:paraId="760CCA87">
            <w:pPr>
              <w:snapToGrid w:val="0"/>
              <w:spacing w:line="440" w:lineRule="exact"/>
              <w:ind w:firstLine="480" w:firstLineChars="200"/>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超缓办数，每条案卷最多可缓办 2 次，按次累计，月度缓办数不超过月度应解决数的 0.1%</w:t>
            </w:r>
          </w:p>
        </w:tc>
        <w:tc>
          <w:tcPr>
            <w:tcW w:w="2891" w:type="dxa"/>
            <w:vAlign w:val="center"/>
          </w:tcPr>
          <w:p w14:paraId="5D445369">
            <w:pPr>
              <w:snapToGrid w:val="0"/>
              <w:spacing w:line="440" w:lineRule="exact"/>
              <w:ind w:firstLine="480" w:firstLineChars="200"/>
              <w:rPr>
                <w:rFonts w:hint="default"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超出扣500元</w:t>
            </w:r>
          </w:p>
        </w:tc>
      </w:tr>
      <w:tr w14:paraId="50967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jc w:val="center"/>
        </w:trPr>
        <w:tc>
          <w:tcPr>
            <w:tcW w:w="6386" w:type="dxa"/>
            <w:vAlign w:val="center"/>
          </w:tcPr>
          <w:p w14:paraId="38FBFFB9">
            <w:pPr>
              <w:snapToGrid w:val="0"/>
              <w:spacing w:line="440" w:lineRule="exact"/>
              <w:ind w:firstLine="480" w:firstLineChars="200"/>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反复发生件，被市数字城管判定为两同案卷的</w:t>
            </w:r>
          </w:p>
        </w:tc>
        <w:tc>
          <w:tcPr>
            <w:tcW w:w="2891" w:type="dxa"/>
            <w:vAlign w:val="center"/>
          </w:tcPr>
          <w:p w14:paraId="05307CAD">
            <w:pPr>
              <w:snapToGrid w:val="0"/>
              <w:spacing w:line="440" w:lineRule="exact"/>
              <w:ind w:firstLine="480" w:firstLineChars="200"/>
              <w:rPr>
                <w:rFonts w:hint="default"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500元/个</w:t>
            </w:r>
          </w:p>
        </w:tc>
      </w:tr>
      <w:tr w14:paraId="37459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jc w:val="center"/>
        </w:trPr>
        <w:tc>
          <w:tcPr>
            <w:tcW w:w="6386" w:type="dxa"/>
            <w:vAlign w:val="center"/>
          </w:tcPr>
          <w:p w14:paraId="328F4F73">
            <w:pPr>
              <w:snapToGrid w:val="0"/>
              <w:spacing w:line="440" w:lineRule="exact"/>
              <w:ind w:firstLine="480" w:firstLineChars="200"/>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建筑垃圾(装潢垃圾)散落未袋装</w:t>
            </w:r>
          </w:p>
        </w:tc>
        <w:tc>
          <w:tcPr>
            <w:tcW w:w="2891" w:type="dxa"/>
            <w:vAlign w:val="center"/>
          </w:tcPr>
          <w:p w14:paraId="59067F22">
            <w:pPr>
              <w:snapToGrid w:val="0"/>
              <w:spacing w:line="440" w:lineRule="exact"/>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 1m³ , 150元/处</w:t>
            </w:r>
          </w:p>
          <w:p w14:paraId="2769E9B5">
            <w:pPr>
              <w:snapToGrid w:val="0"/>
              <w:spacing w:line="440" w:lineRule="exact"/>
              <w:rPr>
                <w:rFonts w:hint="default"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 1m³ , 200元/处</w:t>
            </w:r>
          </w:p>
        </w:tc>
      </w:tr>
    </w:tbl>
    <w:p w14:paraId="14F04FB2">
      <w:pPr>
        <w:pStyle w:val="5"/>
        <w:ind w:left="0" w:leftChars="0" w:firstLine="0" w:firstLineChars="0"/>
        <w:rPr>
          <w:rFonts w:hint="eastAsia" w:asciiTheme="minorEastAsia" w:hAnsiTheme="minorEastAsia" w:eastAsiaTheme="minorEastAsia"/>
          <w:bCs/>
          <w:color w:val="auto"/>
          <w:sz w:val="24"/>
          <w:highlight w:val="none"/>
        </w:rPr>
      </w:pPr>
      <w:r>
        <w:rPr>
          <w:rFonts w:hint="eastAsia" w:cs="Times New Roman" w:asciiTheme="minorEastAsia" w:hAnsiTheme="minorEastAsia" w:eastAsiaTheme="minorEastAsia"/>
          <w:bCs/>
          <w:snapToGrid/>
          <w:color w:val="auto"/>
          <w:kern w:val="2"/>
          <w:sz w:val="24"/>
          <w:szCs w:val="24"/>
          <w:highlight w:val="none"/>
          <w:lang w:val="en-US" w:eastAsia="zh-CN" w:bidi="ar-SA"/>
        </w:rPr>
        <w:t xml:space="preserve"> </w:t>
      </w:r>
      <w:r>
        <w:rPr>
          <w:rFonts w:hint="eastAsia" w:asciiTheme="minorEastAsia" w:hAnsiTheme="minorEastAsia" w:eastAsiaTheme="minorEastAsia"/>
          <w:bCs/>
          <w:color w:val="auto"/>
          <w:sz w:val="24"/>
          <w:highlight w:val="none"/>
        </w:rPr>
        <w:t>（1</w:t>
      </w:r>
      <w:r>
        <w:rPr>
          <w:rFonts w:hint="eastAsia" w:asciiTheme="minorEastAsia" w:hAnsiTheme="minorEastAsia" w:eastAsiaTheme="minorEastAsia"/>
          <w:bCs/>
          <w:color w:val="auto"/>
          <w:sz w:val="24"/>
          <w:highlight w:val="none"/>
          <w:lang w:val="en-US" w:eastAsia="zh-CN"/>
        </w:rPr>
        <w:t>2</w:t>
      </w:r>
      <w:r>
        <w:rPr>
          <w:rFonts w:hint="eastAsia" w:asciiTheme="minorEastAsia" w:hAnsiTheme="minorEastAsia" w:eastAsiaTheme="minorEastAsia"/>
          <w:bCs/>
          <w:color w:val="auto"/>
          <w:sz w:val="24"/>
          <w:highlight w:val="none"/>
        </w:rPr>
        <w:t>）</w:t>
      </w:r>
      <w:r>
        <w:rPr>
          <w:rFonts w:hint="eastAsia" w:cs="Times New Roman" w:asciiTheme="minorEastAsia" w:hAnsiTheme="minorEastAsia" w:eastAsiaTheme="minorEastAsia"/>
          <w:bCs/>
          <w:snapToGrid/>
          <w:color w:val="auto"/>
          <w:kern w:val="2"/>
          <w:sz w:val="24"/>
          <w:szCs w:val="24"/>
          <w:highlight w:val="none"/>
          <w:lang w:val="en-US" w:eastAsia="zh-CN" w:bidi="ar-SA"/>
        </w:rPr>
        <w:t>其它投诉考核：</w:t>
      </w:r>
      <w:r>
        <w:rPr>
          <w:rFonts w:hint="default" w:cs="Times New Roman" w:asciiTheme="minorEastAsia" w:hAnsiTheme="minorEastAsia" w:eastAsiaTheme="minorEastAsia"/>
          <w:bCs/>
          <w:snapToGrid/>
          <w:color w:val="auto"/>
          <w:kern w:val="2"/>
          <w:sz w:val="24"/>
          <w:szCs w:val="24"/>
          <w:highlight w:val="none"/>
          <w:lang w:val="en-US" w:eastAsia="zh-CN" w:bidi="ar-SA"/>
        </w:rPr>
        <w:t>12345</w:t>
      </w:r>
      <w:r>
        <w:rPr>
          <w:rFonts w:hint="eastAsia" w:cs="Times New Roman" w:asciiTheme="minorEastAsia" w:hAnsiTheme="minorEastAsia" w:eastAsiaTheme="minorEastAsia"/>
          <w:bCs/>
          <w:snapToGrid/>
          <w:color w:val="auto"/>
          <w:kern w:val="2"/>
          <w:sz w:val="24"/>
          <w:szCs w:val="24"/>
          <w:highlight w:val="none"/>
          <w:lang w:val="en-US" w:eastAsia="zh-CN" w:bidi="ar-SA"/>
        </w:rPr>
        <w:t>信访投诉</w:t>
      </w:r>
      <w:r>
        <w:rPr>
          <w:rFonts w:hint="default" w:cs="Times New Roman" w:asciiTheme="minorEastAsia" w:hAnsiTheme="minorEastAsia" w:eastAsiaTheme="minorEastAsia"/>
          <w:bCs/>
          <w:snapToGrid/>
          <w:color w:val="auto"/>
          <w:kern w:val="2"/>
          <w:sz w:val="24"/>
          <w:szCs w:val="24"/>
          <w:highlight w:val="none"/>
          <w:lang w:val="en-US" w:eastAsia="zh-CN" w:bidi="ar-SA"/>
        </w:rPr>
        <w:t>1</w:t>
      </w:r>
      <w:r>
        <w:rPr>
          <w:rFonts w:hint="eastAsia" w:cs="Times New Roman" w:asciiTheme="minorEastAsia" w:hAnsiTheme="minorEastAsia" w:eastAsiaTheme="minorEastAsia"/>
          <w:bCs/>
          <w:snapToGrid/>
          <w:color w:val="auto"/>
          <w:kern w:val="2"/>
          <w:sz w:val="24"/>
          <w:szCs w:val="24"/>
          <w:highlight w:val="none"/>
          <w:lang w:val="en-US" w:eastAsia="zh-CN" w:bidi="ar-SA"/>
        </w:rPr>
        <w:t>次扣</w:t>
      </w:r>
      <w:r>
        <w:rPr>
          <w:rFonts w:hint="default" w:cs="Times New Roman" w:asciiTheme="minorEastAsia" w:hAnsiTheme="minorEastAsia" w:eastAsiaTheme="minorEastAsia"/>
          <w:bCs/>
          <w:snapToGrid/>
          <w:color w:val="auto"/>
          <w:kern w:val="2"/>
          <w:sz w:val="24"/>
          <w:szCs w:val="24"/>
          <w:highlight w:val="none"/>
          <w:lang w:val="en-US" w:eastAsia="zh-CN" w:bidi="ar-SA"/>
        </w:rPr>
        <w:t>200</w:t>
      </w:r>
      <w:r>
        <w:rPr>
          <w:rFonts w:hint="eastAsia" w:cs="Times New Roman" w:asciiTheme="minorEastAsia" w:hAnsiTheme="minorEastAsia" w:eastAsiaTheme="minorEastAsia"/>
          <w:bCs/>
          <w:snapToGrid/>
          <w:color w:val="auto"/>
          <w:kern w:val="2"/>
          <w:sz w:val="24"/>
          <w:szCs w:val="24"/>
          <w:highlight w:val="none"/>
          <w:lang w:val="en-US" w:eastAsia="zh-CN" w:bidi="ar-SA"/>
        </w:rPr>
        <w:t>元；上级部门转发信访投诉、多次重复信访投诉扣</w:t>
      </w:r>
      <w:r>
        <w:rPr>
          <w:rFonts w:hint="default" w:cs="Times New Roman" w:asciiTheme="minorEastAsia" w:hAnsiTheme="minorEastAsia" w:eastAsiaTheme="minorEastAsia"/>
          <w:bCs/>
          <w:snapToGrid/>
          <w:color w:val="auto"/>
          <w:kern w:val="2"/>
          <w:sz w:val="24"/>
          <w:szCs w:val="24"/>
          <w:highlight w:val="none"/>
          <w:lang w:val="en-US" w:eastAsia="zh-CN" w:bidi="ar-SA"/>
        </w:rPr>
        <w:t>500</w:t>
      </w:r>
      <w:r>
        <w:rPr>
          <w:rFonts w:hint="eastAsia" w:cs="Times New Roman" w:asciiTheme="minorEastAsia" w:hAnsiTheme="minorEastAsia" w:eastAsiaTheme="minorEastAsia"/>
          <w:bCs/>
          <w:snapToGrid/>
          <w:color w:val="auto"/>
          <w:kern w:val="2"/>
          <w:sz w:val="24"/>
          <w:szCs w:val="24"/>
          <w:highlight w:val="none"/>
          <w:lang w:val="en-US" w:eastAsia="zh-CN" w:bidi="ar-SA"/>
        </w:rPr>
        <w:t>元。</w:t>
      </w:r>
    </w:p>
    <w:p w14:paraId="4D823F46">
      <w:pPr>
        <w:pStyle w:val="130"/>
        <w:spacing w:before="0" w:line="500" w:lineRule="exact"/>
        <w:ind w:firstLine="480"/>
        <w:outlineLvl w:val="2"/>
        <w:rPr>
          <w:rFonts w:hint="eastAsia" w:asciiTheme="minorEastAsia" w:hAnsiTheme="minorEastAsia" w:eastAsiaTheme="minorEastAsia"/>
          <w:bCs/>
          <w:color w:val="auto"/>
          <w:szCs w:val="24"/>
          <w:highlight w:val="none"/>
        </w:rPr>
      </w:pPr>
      <w:r>
        <w:rPr>
          <w:rFonts w:hint="eastAsia" w:asciiTheme="minorEastAsia" w:hAnsiTheme="minorEastAsia" w:eastAsiaTheme="minorEastAsia"/>
          <w:bCs/>
          <w:color w:val="auto"/>
          <w:szCs w:val="24"/>
          <w:highlight w:val="none"/>
        </w:rPr>
        <w:t>5、垃圾分类考核：</w:t>
      </w:r>
    </w:p>
    <w:tbl>
      <w:tblPr>
        <w:tblStyle w:val="64"/>
        <w:tblW w:w="9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50"/>
        <w:gridCol w:w="2337"/>
      </w:tblGrid>
      <w:tr w14:paraId="45138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6750" w:type="dxa"/>
            <w:noWrap/>
            <w:tcMar>
              <w:top w:w="15" w:type="dxa"/>
              <w:left w:w="15" w:type="dxa"/>
              <w:right w:w="15" w:type="dxa"/>
            </w:tcMar>
            <w:vAlign w:val="center"/>
          </w:tcPr>
          <w:p w14:paraId="31B4D60D">
            <w:pPr>
              <w:widowControl/>
              <w:jc w:val="center"/>
              <w:textAlignment w:val="center"/>
              <w:rPr>
                <w:rFonts w:hint="eastAsia" w:cs="仿宋" w:asciiTheme="majorEastAsia" w:hAnsiTheme="majorEastAsia" w:eastAsiaTheme="majorEastAsia"/>
                <w:color w:val="auto"/>
                <w:szCs w:val="21"/>
                <w:highlight w:val="none"/>
              </w:rPr>
            </w:pPr>
            <w:r>
              <w:rPr>
                <w:rFonts w:hint="eastAsia" w:cs="仿宋" w:asciiTheme="majorEastAsia" w:hAnsiTheme="majorEastAsia" w:eastAsiaTheme="majorEastAsia"/>
                <w:color w:val="auto"/>
                <w:kern w:val="0"/>
                <w:szCs w:val="21"/>
                <w:highlight w:val="none"/>
                <w:lang w:bidi="ar"/>
              </w:rPr>
              <w:t>检查及考核细则</w:t>
            </w:r>
          </w:p>
        </w:tc>
        <w:tc>
          <w:tcPr>
            <w:tcW w:w="2337" w:type="dxa"/>
            <w:tcMar>
              <w:top w:w="15" w:type="dxa"/>
              <w:left w:w="15" w:type="dxa"/>
              <w:right w:w="15" w:type="dxa"/>
            </w:tcMar>
            <w:vAlign w:val="center"/>
          </w:tcPr>
          <w:p w14:paraId="23935B3C">
            <w:pPr>
              <w:widowControl/>
              <w:jc w:val="center"/>
              <w:textAlignment w:val="center"/>
              <w:rPr>
                <w:rFonts w:hint="eastAsia" w:cs="仿宋" w:asciiTheme="majorEastAsia" w:hAnsiTheme="majorEastAsia" w:eastAsiaTheme="majorEastAsia"/>
                <w:color w:val="auto"/>
                <w:szCs w:val="21"/>
                <w:highlight w:val="none"/>
              </w:rPr>
            </w:pPr>
            <w:r>
              <w:rPr>
                <w:rFonts w:hint="eastAsia" w:cs="仿宋" w:asciiTheme="majorEastAsia" w:hAnsiTheme="majorEastAsia" w:eastAsiaTheme="majorEastAsia"/>
                <w:color w:val="auto"/>
                <w:kern w:val="0"/>
                <w:szCs w:val="21"/>
                <w:highlight w:val="none"/>
                <w:lang w:bidi="ar"/>
              </w:rPr>
              <w:t>扣除金额（元）</w:t>
            </w:r>
          </w:p>
        </w:tc>
      </w:tr>
      <w:tr w14:paraId="0F1DD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6750" w:type="dxa"/>
            <w:tcMar>
              <w:top w:w="15" w:type="dxa"/>
              <w:left w:w="15" w:type="dxa"/>
              <w:right w:w="15" w:type="dxa"/>
            </w:tcMar>
            <w:vAlign w:val="center"/>
          </w:tcPr>
          <w:p w14:paraId="21933020">
            <w:pPr>
              <w:widowControl/>
              <w:jc w:val="center"/>
              <w:textAlignment w:val="center"/>
              <w:rPr>
                <w:rFonts w:hint="eastAsia" w:cs="仿宋" w:asciiTheme="majorEastAsia" w:hAnsiTheme="majorEastAsia" w:eastAsiaTheme="majorEastAsia"/>
                <w:color w:val="auto"/>
                <w:szCs w:val="21"/>
                <w:highlight w:val="none"/>
              </w:rPr>
            </w:pPr>
            <w:r>
              <w:rPr>
                <w:rFonts w:hint="eastAsia" w:cs="仿宋" w:asciiTheme="majorEastAsia" w:hAnsiTheme="majorEastAsia" w:eastAsiaTheme="majorEastAsia"/>
                <w:color w:val="auto"/>
                <w:kern w:val="0"/>
                <w:szCs w:val="21"/>
                <w:highlight w:val="none"/>
                <w:lang w:bidi="ar"/>
              </w:rPr>
              <w:t>垃圾房内外（包括分类桶）不干净、不整洁</w:t>
            </w:r>
          </w:p>
        </w:tc>
        <w:tc>
          <w:tcPr>
            <w:tcW w:w="2337" w:type="dxa"/>
            <w:tcMar>
              <w:top w:w="15" w:type="dxa"/>
              <w:left w:w="15" w:type="dxa"/>
              <w:right w:w="15" w:type="dxa"/>
            </w:tcMar>
            <w:vAlign w:val="center"/>
          </w:tcPr>
          <w:p w14:paraId="09AD8509">
            <w:pPr>
              <w:widowControl/>
              <w:jc w:val="center"/>
              <w:textAlignment w:val="center"/>
              <w:rPr>
                <w:rFonts w:hint="eastAsia" w:cs="仿宋" w:asciiTheme="majorEastAsia" w:hAnsiTheme="majorEastAsia" w:eastAsiaTheme="majorEastAsia"/>
                <w:color w:val="auto"/>
                <w:szCs w:val="21"/>
                <w:highlight w:val="none"/>
              </w:rPr>
            </w:pPr>
            <w:r>
              <w:rPr>
                <w:rFonts w:hint="eastAsia" w:cs="仿宋" w:asciiTheme="majorEastAsia" w:hAnsiTheme="majorEastAsia" w:eastAsiaTheme="majorEastAsia"/>
                <w:color w:val="auto"/>
                <w:kern w:val="0"/>
                <w:szCs w:val="21"/>
                <w:highlight w:val="none"/>
                <w:lang w:bidi="ar"/>
              </w:rPr>
              <w:t>50元/次</w:t>
            </w:r>
          </w:p>
        </w:tc>
      </w:tr>
      <w:tr w14:paraId="491B5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6750" w:type="dxa"/>
            <w:tcMar>
              <w:top w:w="15" w:type="dxa"/>
              <w:left w:w="15" w:type="dxa"/>
              <w:right w:w="15" w:type="dxa"/>
            </w:tcMar>
            <w:vAlign w:val="center"/>
          </w:tcPr>
          <w:p w14:paraId="70768240">
            <w:pPr>
              <w:widowControl/>
              <w:jc w:val="center"/>
              <w:textAlignment w:val="center"/>
              <w:rPr>
                <w:rFonts w:hint="eastAsia" w:cs="仿宋" w:asciiTheme="majorEastAsia" w:hAnsiTheme="majorEastAsia" w:eastAsiaTheme="majorEastAsia"/>
                <w:color w:val="auto"/>
                <w:kern w:val="0"/>
                <w:szCs w:val="21"/>
                <w:highlight w:val="none"/>
                <w:lang w:bidi="ar"/>
              </w:rPr>
            </w:pPr>
            <w:r>
              <w:rPr>
                <w:rFonts w:hint="eastAsia" w:cs="仿宋" w:asciiTheme="majorEastAsia" w:hAnsiTheme="majorEastAsia" w:eastAsiaTheme="majorEastAsia"/>
                <w:color w:val="auto"/>
                <w:kern w:val="0"/>
                <w:szCs w:val="21"/>
                <w:highlight w:val="none"/>
                <w:lang w:bidi="ar"/>
              </w:rPr>
              <w:t>其他垃圾桶内发现垃圾错投或分类错误</w:t>
            </w:r>
          </w:p>
        </w:tc>
        <w:tc>
          <w:tcPr>
            <w:tcW w:w="2337" w:type="dxa"/>
            <w:tcMar>
              <w:top w:w="15" w:type="dxa"/>
              <w:left w:w="15" w:type="dxa"/>
              <w:right w:w="15" w:type="dxa"/>
            </w:tcMar>
            <w:vAlign w:val="center"/>
          </w:tcPr>
          <w:p w14:paraId="61577209">
            <w:pPr>
              <w:widowControl/>
              <w:jc w:val="center"/>
              <w:textAlignment w:val="center"/>
              <w:rPr>
                <w:rFonts w:hint="eastAsia" w:cs="仿宋" w:asciiTheme="majorEastAsia" w:hAnsiTheme="majorEastAsia" w:eastAsiaTheme="majorEastAsia"/>
                <w:color w:val="auto"/>
                <w:szCs w:val="21"/>
                <w:highlight w:val="none"/>
              </w:rPr>
            </w:pPr>
            <w:r>
              <w:rPr>
                <w:rFonts w:hint="eastAsia" w:cs="仿宋" w:asciiTheme="majorEastAsia" w:hAnsiTheme="majorEastAsia" w:eastAsiaTheme="majorEastAsia"/>
                <w:color w:val="auto"/>
                <w:kern w:val="0"/>
                <w:szCs w:val="21"/>
                <w:highlight w:val="none"/>
                <w:lang w:bidi="ar"/>
              </w:rPr>
              <w:t>80元/次</w:t>
            </w:r>
          </w:p>
        </w:tc>
      </w:tr>
      <w:tr w14:paraId="5307D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6750" w:type="dxa"/>
            <w:tcMar>
              <w:top w:w="15" w:type="dxa"/>
              <w:left w:w="15" w:type="dxa"/>
              <w:right w:w="15" w:type="dxa"/>
            </w:tcMar>
            <w:vAlign w:val="center"/>
          </w:tcPr>
          <w:p w14:paraId="4DB281A6">
            <w:pPr>
              <w:widowControl/>
              <w:jc w:val="center"/>
              <w:textAlignment w:val="center"/>
              <w:rPr>
                <w:rFonts w:hint="eastAsia" w:cs="仿宋" w:asciiTheme="majorEastAsia" w:hAnsiTheme="majorEastAsia" w:eastAsiaTheme="majorEastAsia"/>
                <w:color w:val="auto"/>
                <w:szCs w:val="21"/>
                <w:highlight w:val="none"/>
              </w:rPr>
            </w:pPr>
            <w:r>
              <w:rPr>
                <w:rFonts w:hint="eastAsia" w:cs="仿宋" w:asciiTheme="majorEastAsia" w:hAnsiTheme="majorEastAsia" w:eastAsiaTheme="majorEastAsia"/>
                <w:color w:val="auto"/>
                <w:kern w:val="0"/>
                <w:szCs w:val="21"/>
                <w:highlight w:val="none"/>
                <w:lang w:bidi="ar"/>
              </w:rPr>
              <w:t>易腐垃圾桶内发现垃圾错投或分类错误</w:t>
            </w:r>
          </w:p>
        </w:tc>
        <w:tc>
          <w:tcPr>
            <w:tcW w:w="2337" w:type="dxa"/>
            <w:tcMar>
              <w:top w:w="15" w:type="dxa"/>
              <w:left w:w="15" w:type="dxa"/>
              <w:right w:w="15" w:type="dxa"/>
            </w:tcMar>
            <w:vAlign w:val="center"/>
          </w:tcPr>
          <w:p w14:paraId="367765A2">
            <w:pPr>
              <w:widowControl/>
              <w:jc w:val="center"/>
              <w:textAlignment w:val="center"/>
              <w:rPr>
                <w:rFonts w:hint="eastAsia" w:cs="仿宋" w:asciiTheme="majorEastAsia" w:hAnsiTheme="majorEastAsia" w:eastAsiaTheme="majorEastAsia"/>
                <w:color w:val="auto"/>
                <w:szCs w:val="21"/>
                <w:highlight w:val="none"/>
              </w:rPr>
            </w:pPr>
            <w:r>
              <w:rPr>
                <w:rFonts w:hint="eastAsia" w:cs="仿宋" w:asciiTheme="majorEastAsia" w:hAnsiTheme="majorEastAsia" w:eastAsiaTheme="majorEastAsia"/>
                <w:color w:val="auto"/>
                <w:kern w:val="0"/>
                <w:szCs w:val="21"/>
                <w:highlight w:val="none"/>
                <w:lang w:bidi="ar"/>
              </w:rPr>
              <w:t>100元/次</w:t>
            </w:r>
          </w:p>
        </w:tc>
      </w:tr>
      <w:tr w14:paraId="7E7F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6750" w:type="dxa"/>
            <w:tcMar>
              <w:top w:w="15" w:type="dxa"/>
              <w:left w:w="15" w:type="dxa"/>
              <w:right w:w="15" w:type="dxa"/>
            </w:tcMar>
            <w:vAlign w:val="center"/>
          </w:tcPr>
          <w:p w14:paraId="3FFC51F0">
            <w:pPr>
              <w:widowControl/>
              <w:jc w:val="center"/>
              <w:textAlignment w:val="center"/>
              <w:rPr>
                <w:rFonts w:hint="eastAsia" w:cs="仿宋" w:asciiTheme="majorEastAsia" w:hAnsiTheme="majorEastAsia" w:eastAsiaTheme="majorEastAsia"/>
                <w:color w:val="auto"/>
                <w:szCs w:val="21"/>
                <w:highlight w:val="none"/>
              </w:rPr>
            </w:pPr>
            <w:r>
              <w:rPr>
                <w:rFonts w:hint="eastAsia" w:cs="仿宋" w:asciiTheme="majorEastAsia" w:hAnsiTheme="majorEastAsia" w:eastAsiaTheme="majorEastAsia"/>
                <w:color w:val="auto"/>
                <w:kern w:val="0"/>
                <w:szCs w:val="21"/>
                <w:highlight w:val="none"/>
                <w:lang w:bidi="ar"/>
              </w:rPr>
              <w:t>可回收物、有毒有害垃圾桶内发现错投或分类错误</w:t>
            </w:r>
          </w:p>
        </w:tc>
        <w:tc>
          <w:tcPr>
            <w:tcW w:w="2337" w:type="dxa"/>
            <w:tcMar>
              <w:top w:w="15" w:type="dxa"/>
              <w:left w:w="15" w:type="dxa"/>
              <w:right w:w="15" w:type="dxa"/>
            </w:tcMar>
            <w:vAlign w:val="center"/>
          </w:tcPr>
          <w:p w14:paraId="3EF851AE">
            <w:pPr>
              <w:widowControl/>
              <w:jc w:val="center"/>
              <w:textAlignment w:val="center"/>
              <w:rPr>
                <w:rFonts w:hint="eastAsia" w:cs="仿宋" w:asciiTheme="majorEastAsia" w:hAnsiTheme="majorEastAsia" w:eastAsiaTheme="majorEastAsia"/>
                <w:color w:val="auto"/>
                <w:szCs w:val="21"/>
                <w:highlight w:val="none"/>
              </w:rPr>
            </w:pPr>
            <w:r>
              <w:rPr>
                <w:rFonts w:hint="eastAsia" w:cs="仿宋" w:asciiTheme="majorEastAsia" w:hAnsiTheme="majorEastAsia" w:eastAsiaTheme="majorEastAsia"/>
                <w:color w:val="auto"/>
                <w:kern w:val="0"/>
                <w:szCs w:val="21"/>
                <w:highlight w:val="none"/>
                <w:lang w:bidi="ar"/>
              </w:rPr>
              <w:t>50元/次</w:t>
            </w:r>
          </w:p>
        </w:tc>
      </w:tr>
      <w:tr w14:paraId="3F0F1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6750" w:type="dxa"/>
            <w:tcMar>
              <w:top w:w="15" w:type="dxa"/>
              <w:left w:w="15" w:type="dxa"/>
              <w:right w:w="15" w:type="dxa"/>
            </w:tcMar>
            <w:vAlign w:val="center"/>
          </w:tcPr>
          <w:p w14:paraId="72067F21">
            <w:pPr>
              <w:widowControl/>
              <w:jc w:val="center"/>
              <w:textAlignment w:val="center"/>
              <w:rPr>
                <w:rFonts w:hint="eastAsia" w:cs="仿宋" w:asciiTheme="majorEastAsia" w:hAnsiTheme="majorEastAsia" w:eastAsiaTheme="majorEastAsia"/>
                <w:color w:val="auto"/>
                <w:szCs w:val="21"/>
                <w:highlight w:val="none"/>
              </w:rPr>
            </w:pPr>
            <w:r>
              <w:rPr>
                <w:rFonts w:hint="eastAsia" w:cs="仿宋" w:asciiTheme="majorEastAsia" w:hAnsiTheme="majorEastAsia" w:eastAsiaTheme="majorEastAsia"/>
                <w:color w:val="auto"/>
                <w:kern w:val="0"/>
                <w:szCs w:val="21"/>
                <w:highlight w:val="none"/>
                <w:lang w:bidi="ar"/>
              </w:rPr>
              <w:t>细分点投放时间内，现场无人分类、劝导、管理</w:t>
            </w:r>
          </w:p>
        </w:tc>
        <w:tc>
          <w:tcPr>
            <w:tcW w:w="2337" w:type="dxa"/>
            <w:tcMar>
              <w:top w:w="15" w:type="dxa"/>
              <w:left w:w="15" w:type="dxa"/>
              <w:right w:w="15" w:type="dxa"/>
            </w:tcMar>
            <w:vAlign w:val="center"/>
          </w:tcPr>
          <w:p w14:paraId="0817C44D">
            <w:pPr>
              <w:widowControl/>
              <w:jc w:val="center"/>
              <w:textAlignment w:val="center"/>
              <w:rPr>
                <w:rFonts w:hint="eastAsia" w:cs="仿宋" w:asciiTheme="majorEastAsia" w:hAnsiTheme="majorEastAsia" w:eastAsiaTheme="majorEastAsia"/>
                <w:color w:val="auto"/>
                <w:szCs w:val="21"/>
                <w:highlight w:val="none"/>
              </w:rPr>
            </w:pPr>
            <w:r>
              <w:rPr>
                <w:rFonts w:hint="eastAsia" w:cs="仿宋" w:asciiTheme="majorEastAsia" w:hAnsiTheme="majorEastAsia" w:eastAsiaTheme="majorEastAsia"/>
                <w:color w:val="auto"/>
                <w:kern w:val="0"/>
                <w:szCs w:val="21"/>
                <w:highlight w:val="none"/>
                <w:lang w:bidi="ar"/>
              </w:rPr>
              <w:t>100元/次</w:t>
            </w:r>
          </w:p>
        </w:tc>
      </w:tr>
      <w:tr w14:paraId="5A4B7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6750" w:type="dxa"/>
            <w:tcMar>
              <w:top w:w="15" w:type="dxa"/>
              <w:left w:w="15" w:type="dxa"/>
              <w:right w:w="15" w:type="dxa"/>
            </w:tcMar>
            <w:vAlign w:val="center"/>
          </w:tcPr>
          <w:p w14:paraId="06845D45">
            <w:pPr>
              <w:widowControl/>
              <w:jc w:val="center"/>
              <w:textAlignment w:val="center"/>
              <w:rPr>
                <w:rFonts w:hint="eastAsia" w:cs="仿宋" w:asciiTheme="majorEastAsia" w:hAnsiTheme="majorEastAsia" w:eastAsiaTheme="majorEastAsia"/>
                <w:color w:val="auto"/>
                <w:szCs w:val="21"/>
                <w:highlight w:val="none"/>
              </w:rPr>
            </w:pPr>
            <w:r>
              <w:rPr>
                <w:rFonts w:hint="eastAsia" w:cs="仿宋" w:asciiTheme="majorEastAsia" w:hAnsiTheme="majorEastAsia" w:eastAsiaTheme="majorEastAsia"/>
                <w:color w:val="auto"/>
                <w:kern w:val="0"/>
                <w:szCs w:val="21"/>
                <w:highlight w:val="none"/>
                <w:lang w:bidi="ar"/>
              </w:rPr>
              <w:t>垃圾房存在杂桶、设施破损</w:t>
            </w:r>
          </w:p>
        </w:tc>
        <w:tc>
          <w:tcPr>
            <w:tcW w:w="2337" w:type="dxa"/>
            <w:tcMar>
              <w:top w:w="15" w:type="dxa"/>
              <w:left w:w="15" w:type="dxa"/>
              <w:right w:w="15" w:type="dxa"/>
            </w:tcMar>
            <w:vAlign w:val="center"/>
          </w:tcPr>
          <w:p w14:paraId="6B274A5A">
            <w:pPr>
              <w:widowControl/>
              <w:jc w:val="center"/>
              <w:textAlignment w:val="center"/>
              <w:rPr>
                <w:rFonts w:hint="eastAsia" w:cs="仿宋" w:asciiTheme="majorEastAsia" w:hAnsiTheme="majorEastAsia" w:eastAsiaTheme="majorEastAsia"/>
                <w:color w:val="auto"/>
                <w:szCs w:val="21"/>
                <w:highlight w:val="none"/>
              </w:rPr>
            </w:pPr>
            <w:r>
              <w:rPr>
                <w:rFonts w:hint="eastAsia" w:cs="仿宋" w:asciiTheme="majorEastAsia" w:hAnsiTheme="majorEastAsia" w:eastAsiaTheme="majorEastAsia"/>
                <w:color w:val="auto"/>
                <w:szCs w:val="21"/>
                <w:highlight w:val="none"/>
              </w:rPr>
              <w:t>100元</w:t>
            </w:r>
            <w:r>
              <w:rPr>
                <w:rFonts w:hint="eastAsia" w:cs="仿宋" w:asciiTheme="majorEastAsia" w:hAnsiTheme="majorEastAsia" w:eastAsiaTheme="majorEastAsia"/>
                <w:color w:val="auto"/>
                <w:kern w:val="0"/>
                <w:szCs w:val="21"/>
                <w:highlight w:val="none"/>
                <w:lang w:bidi="ar"/>
              </w:rPr>
              <w:t>/次</w:t>
            </w:r>
          </w:p>
        </w:tc>
      </w:tr>
      <w:tr w14:paraId="58F2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6750" w:type="dxa"/>
            <w:tcMar>
              <w:top w:w="15" w:type="dxa"/>
              <w:left w:w="15" w:type="dxa"/>
              <w:right w:w="15" w:type="dxa"/>
            </w:tcMar>
            <w:vAlign w:val="center"/>
          </w:tcPr>
          <w:p w14:paraId="00A7B99E">
            <w:pPr>
              <w:widowControl/>
              <w:jc w:val="center"/>
              <w:textAlignment w:val="center"/>
              <w:rPr>
                <w:rFonts w:hint="eastAsia" w:cs="仿宋" w:asciiTheme="majorEastAsia" w:hAnsiTheme="majorEastAsia" w:eastAsiaTheme="majorEastAsia"/>
                <w:color w:val="auto"/>
                <w:szCs w:val="21"/>
                <w:highlight w:val="none"/>
              </w:rPr>
            </w:pPr>
            <w:r>
              <w:rPr>
                <w:rFonts w:hint="eastAsia" w:cs="仿宋" w:asciiTheme="majorEastAsia" w:hAnsiTheme="majorEastAsia" w:eastAsiaTheme="majorEastAsia"/>
                <w:color w:val="auto"/>
                <w:kern w:val="0"/>
                <w:szCs w:val="21"/>
                <w:highlight w:val="none"/>
                <w:lang w:bidi="ar"/>
              </w:rPr>
              <w:t>垃圾房、分类桶、小区橱窗宣传缺失、宣传内容破损、错误，未及时更新</w:t>
            </w:r>
          </w:p>
        </w:tc>
        <w:tc>
          <w:tcPr>
            <w:tcW w:w="2337" w:type="dxa"/>
            <w:tcMar>
              <w:top w:w="15" w:type="dxa"/>
              <w:left w:w="15" w:type="dxa"/>
              <w:right w:w="15" w:type="dxa"/>
            </w:tcMar>
            <w:vAlign w:val="center"/>
          </w:tcPr>
          <w:p w14:paraId="01D5DA53">
            <w:pPr>
              <w:widowControl/>
              <w:jc w:val="center"/>
              <w:textAlignment w:val="center"/>
              <w:rPr>
                <w:rFonts w:hint="eastAsia" w:cs="仿宋" w:asciiTheme="majorEastAsia" w:hAnsiTheme="majorEastAsia" w:eastAsiaTheme="majorEastAsia"/>
                <w:color w:val="auto"/>
                <w:szCs w:val="21"/>
                <w:highlight w:val="none"/>
              </w:rPr>
            </w:pPr>
            <w:r>
              <w:rPr>
                <w:rFonts w:hint="eastAsia" w:cs="仿宋" w:asciiTheme="majorEastAsia" w:hAnsiTheme="majorEastAsia" w:eastAsiaTheme="majorEastAsia"/>
                <w:color w:val="auto"/>
                <w:szCs w:val="21"/>
                <w:highlight w:val="none"/>
              </w:rPr>
              <w:t>50元/次</w:t>
            </w:r>
          </w:p>
        </w:tc>
      </w:tr>
      <w:tr w14:paraId="42788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6750" w:type="dxa"/>
            <w:tcMar>
              <w:top w:w="15" w:type="dxa"/>
              <w:left w:w="15" w:type="dxa"/>
              <w:right w:w="15" w:type="dxa"/>
            </w:tcMar>
            <w:vAlign w:val="center"/>
          </w:tcPr>
          <w:p w14:paraId="3ADD9639">
            <w:pPr>
              <w:widowControl/>
              <w:jc w:val="center"/>
              <w:textAlignment w:val="center"/>
              <w:rPr>
                <w:rFonts w:hint="eastAsia" w:cs="仿宋" w:asciiTheme="majorEastAsia" w:hAnsiTheme="majorEastAsia" w:eastAsiaTheme="majorEastAsia"/>
                <w:color w:val="auto"/>
                <w:szCs w:val="21"/>
                <w:highlight w:val="none"/>
              </w:rPr>
            </w:pPr>
            <w:r>
              <w:rPr>
                <w:rFonts w:hint="eastAsia" w:cs="仿宋" w:asciiTheme="majorEastAsia" w:hAnsiTheme="majorEastAsia" w:eastAsiaTheme="majorEastAsia"/>
                <w:color w:val="auto"/>
                <w:kern w:val="0"/>
                <w:szCs w:val="21"/>
                <w:highlight w:val="none"/>
                <w:lang w:bidi="ar"/>
              </w:rPr>
              <w:t>建筑（装修）垃圾、大件垃圾宣传牌未公示</w:t>
            </w:r>
          </w:p>
        </w:tc>
        <w:tc>
          <w:tcPr>
            <w:tcW w:w="2337" w:type="dxa"/>
            <w:tcMar>
              <w:top w:w="15" w:type="dxa"/>
              <w:left w:w="15" w:type="dxa"/>
              <w:right w:w="15" w:type="dxa"/>
            </w:tcMar>
            <w:vAlign w:val="center"/>
          </w:tcPr>
          <w:p w14:paraId="78569980">
            <w:pPr>
              <w:widowControl/>
              <w:jc w:val="center"/>
              <w:textAlignment w:val="center"/>
              <w:rPr>
                <w:rFonts w:hint="eastAsia" w:cs="仿宋" w:asciiTheme="majorEastAsia" w:hAnsiTheme="majorEastAsia" w:eastAsiaTheme="majorEastAsia"/>
                <w:color w:val="auto"/>
                <w:szCs w:val="21"/>
                <w:highlight w:val="none"/>
              </w:rPr>
            </w:pPr>
            <w:r>
              <w:rPr>
                <w:rFonts w:hint="eastAsia" w:cs="仿宋" w:asciiTheme="majorEastAsia" w:hAnsiTheme="majorEastAsia" w:eastAsiaTheme="majorEastAsia"/>
                <w:color w:val="auto"/>
                <w:szCs w:val="21"/>
                <w:highlight w:val="none"/>
              </w:rPr>
              <w:t>80元/次</w:t>
            </w:r>
          </w:p>
        </w:tc>
      </w:tr>
      <w:tr w14:paraId="26992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6750" w:type="dxa"/>
            <w:tcMar>
              <w:top w:w="15" w:type="dxa"/>
              <w:left w:w="15" w:type="dxa"/>
              <w:right w:w="15" w:type="dxa"/>
            </w:tcMar>
            <w:vAlign w:val="center"/>
          </w:tcPr>
          <w:p w14:paraId="6D2A3A28">
            <w:pPr>
              <w:widowControl/>
              <w:jc w:val="center"/>
              <w:textAlignment w:val="center"/>
              <w:rPr>
                <w:rFonts w:hint="eastAsia" w:cs="仿宋" w:asciiTheme="majorEastAsia" w:hAnsiTheme="majorEastAsia" w:eastAsiaTheme="majorEastAsia"/>
                <w:color w:val="auto"/>
                <w:szCs w:val="21"/>
                <w:highlight w:val="none"/>
              </w:rPr>
            </w:pPr>
            <w:r>
              <w:rPr>
                <w:rFonts w:hint="eastAsia" w:cs="仿宋" w:asciiTheme="majorEastAsia" w:hAnsiTheme="majorEastAsia" w:eastAsiaTheme="majorEastAsia"/>
                <w:color w:val="auto"/>
                <w:kern w:val="0"/>
                <w:szCs w:val="21"/>
                <w:highlight w:val="none"/>
                <w:lang w:bidi="ar"/>
              </w:rPr>
              <w:t>小区投放点位未按标准规范设置四分类桶</w:t>
            </w:r>
          </w:p>
        </w:tc>
        <w:tc>
          <w:tcPr>
            <w:tcW w:w="2337" w:type="dxa"/>
            <w:tcMar>
              <w:top w:w="15" w:type="dxa"/>
              <w:left w:w="15" w:type="dxa"/>
              <w:right w:w="15" w:type="dxa"/>
            </w:tcMar>
            <w:vAlign w:val="center"/>
          </w:tcPr>
          <w:p w14:paraId="3529BF26">
            <w:pPr>
              <w:widowControl/>
              <w:jc w:val="center"/>
              <w:textAlignment w:val="center"/>
              <w:rPr>
                <w:rFonts w:hint="eastAsia" w:cs="仿宋" w:asciiTheme="majorEastAsia" w:hAnsiTheme="majorEastAsia" w:eastAsiaTheme="majorEastAsia"/>
                <w:color w:val="auto"/>
                <w:szCs w:val="21"/>
                <w:highlight w:val="none"/>
              </w:rPr>
            </w:pPr>
            <w:r>
              <w:rPr>
                <w:rFonts w:hint="eastAsia" w:cs="仿宋" w:asciiTheme="majorEastAsia" w:hAnsiTheme="majorEastAsia" w:eastAsiaTheme="majorEastAsia"/>
                <w:color w:val="auto"/>
                <w:szCs w:val="21"/>
                <w:highlight w:val="none"/>
              </w:rPr>
              <w:t>100元/次</w:t>
            </w:r>
          </w:p>
        </w:tc>
      </w:tr>
      <w:tr w14:paraId="0B071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6750" w:type="dxa"/>
            <w:tcMar>
              <w:top w:w="15" w:type="dxa"/>
              <w:left w:w="15" w:type="dxa"/>
              <w:right w:w="15" w:type="dxa"/>
            </w:tcMar>
            <w:vAlign w:val="center"/>
          </w:tcPr>
          <w:p w14:paraId="375E00A8">
            <w:pPr>
              <w:widowControl/>
              <w:jc w:val="center"/>
              <w:textAlignment w:val="center"/>
              <w:rPr>
                <w:rFonts w:hint="eastAsia" w:cs="仿宋" w:asciiTheme="majorEastAsia" w:hAnsiTheme="majorEastAsia" w:eastAsiaTheme="majorEastAsia"/>
                <w:color w:val="auto"/>
                <w:kern w:val="0"/>
                <w:szCs w:val="21"/>
                <w:highlight w:val="none"/>
                <w:lang w:bidi="ar"/>
              </w:rPr>
            </w:pPr>
            <w:r>
              <w:rPr>
                <w:rFonts w:hint="eastAsia" w:cs="仿宋" w:asciiTheme="majorEastAsia" w:hAnsiTheme="majorEastAsia" w:eastAsiaTheme="majorEastAsia"/>
                <w:color w:val="auto"/>
                <w:kern w:val="0"/>
                <w:szCs w:val="21"/>
                <w:highlight w:val="none"/>
                <w:lang w:bidi="ar"/>
              </w:rPr>
              <w:t>投放点位四分类桶已摆放但不便于居民投放</w:t>
            </w:r>
          </w:p>
        </w:tc>
        <w:tc>
          <w:tcPr>
            <w:tcW w:w="2337" w:type="dxa"/>
            <w:tcMar>
              <w:top w:w="15" w:type="dxa"/>
              <w:left w:w="15" w:type="dxa"/>
              <w:right w:w="15" w:type="dxa"/>
            </w:tcMar>
            <w:vAlign w:val="center"/>
          </w:tcPr>
          <w:p w14:paraId="79C475FE">
            <w:pPr>
              <w:widowControl/>
              <w:jc w:val="center"/>
              <w:textAlignment w:val="center"/>
              <w:rPr>
                <w:rFonts w:hint="eastAsia" w:cs="仿宋" w:asciiTheme="majorEastAsia" w:hAnsiTheme="majorEastAsia" w:eastAsiaTheme="majorEastAsia"/>
                <w:color w:val="auto"/>
                <w:szCs w:val="21"/>
                <w:highlight w:val="none"/>
              </w:rPr>
            </w:pPr>
            <w:r>
              <w:rPr>
                <w:rFonts w:hint="eastAsia" w:cs="仿宋" w:asciiTheme="majorEastAsia" w:hAnsiTheme="majorEastAsia" w:eastAsiaTheme="majorEastAsia"/>
                <w:color w:val="auto"/>
                <w:szCs w:val="21"/>
                <w:highlight w:val="none"/>
              </w:rPr>
              <w:t>100元/次</w:t>
            </w:r>
          </w:p>
        </w:tc>
      </w:tr>
      <w:tr w14:paraId="4D1B9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6750" w:type="dxa"/>
            <w:tcMar>
              <w:top w:w="15" w:type="dxa"/>
              <w:left w:w="15" w:type="dxa"/>
              <w:right w:w="15" w:type="dxa"/>
            </w:tcMar>
            <w:vAlign w:val="center"/>
          </w:tcPr>
          <w:p w14:paraId="2C3E74AA">
            <w:pPr>
              <w:widowControl/>
              <w:jc w:val="center"/>
              <w:textAlignment w:val="center"/>
              <w:rPr>
                <w:rFonts w:hint="eastAsia" w:cs="仿宋" w:asciiTheme="majorEastAsia" w:hAnsiTheme="majorEastAsia" w:eastAsiaTheme="majorEastAsia"/>
                <w:color w:val="auto"/>
                <w:szCs w:val="21"/>
                <w:highlight w:val="none"/>
              </w:rPr>
            </w:pPr>
            <w:r>
              <w:rPr>
                <w:rFonts w:hint="eastAsia" w:cs="仿宋" w:asciiTheme="majorEastAsia" w:hAnsiTheme="majorEastAsia" w:eastAsiaTheme="majorEastAsia"/>
                <w:color w:val="auto"/>
                <w:kern w:val="0"/>
                <w:szCs w:val="21"/>
                <w:highlight w:val="none"/>
                <w:lang w:bidi="ar"/>
              </w:rPr>
              <w:t>小区入户宣传率未达到100%</w:t>
            </w:r>
          </w:p>
        </w:tc>
        <w:tc>
          <w:tcPr>
            <w:tcW w:w="2337" w:type="dxa"/>
            <w:tcMar>
              <w:top w:w="15" w:type="dxa"/>
              <w:left w:w="15" w:type="dxa"/>
              <w:right w:w="15" w:type="dxa"/>
            </w:tcMar>
            <w:vAlign w:val="center"/>
          </w:tcPr>
          <w:p w14:paraId="5EBDA0B8">
            <w:pPr>
              <w:widowControl/>
              <w:jc w:val="center"/>
              <w:textAlignment w:val="center"/>
              <w:rPr>
                <w:rFonts w:hint="eastAsia" w:cs="仿宋" w:asciiTheme="majorEastAsia" w:hAnsiTheme="majorEastAsia" w:eastAsiaTheme="majorEastAsia"/>
                <w:color w:val="auto"/>
                <w:szCs w:val="21"/>
                <w:highlight w:val="none"/>
              </w:rPr>
            </w:pPr>
            <w:r>
              <w:rPr>
                <w:rFonts w:hint="eastAsia" w:cs="仿宋" w:asciiTheme="majorEastAsia" w:hAnsiTheme="majorEastAsia" w:eastAsiaTheme="majorEastAsia"/>
                <w:color w:val="auto"/>
                <w:szCs w:val="21"/>
                <w:highlight w:val="none"/>
              </w:rPr>
              <w:t>10元/户</w:t>
            </w:r>
          </w:p>
        </w:tc>
      </w:tr>
      <w:tr w14:paraId="485DE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6750" w:type="dxa"/>
            <w:tcMar>
              <w:top w:w="15" w:type="dxa"/>
              <w:left w:w="15" w:type="dxa"/>
              <w:right w:w="15" w:type="dxa"/>
            </w:tcMar>
            <w:vAlign w:val="center"/>
          </w:tcPr>
          <w:p w14:paraId="0B3BD907">
            <w:pPr>
              <w:widowControl/>
              <w:jc w:val="center"/>
              <w:textAlignment w:val="center"/>
              <w:rPr>
                <w:rFonts w:hint="eastAsia" w:cs="仿宋" w:asciiTheme="majorEastAsia" w:hAnsiTheme="majorEastAsia" w:eastAsiaTheme="majorEastAsia"/>
                <w:color w:val="auto"/>
                <w:szCs w:val="21"/>
                <w:highlight w:val="none"/>
              </w:rPr>
            </w:pPr>
            <w:r>
              <w:rPr>
                <w:rFonts w:hint="eastAsia" w:cs="仿宋" w:asciiTheme="majorEastAsia" w:hAnsiTheme="majorEastAsia" w:eastAsiaTheme="majorEastAsia"/>
                <w:color w:val="auto"/>
                <w:szCs w:val="21"/>
                <w:highlight w:val="none"/>
              </w:rPr>
              <w:t>区级通报垃圾分类黑榜小区</w:t>
            </w:r>
          </w:p>
        </w:tc>
        <w:tc>
          <w:tcPr>
            <w:tcW w:w="2337" w:type="dxa"/>
            <w:tcMar>
              <w:top w:w="15" w:type="dxa"/>
              <w:left w:w="15" w:type="dxa"/>
              <w:right w:w="15" w:type="dxa"/>
            </w:tcMar>
            <w:vAlign w:val="center"/>
          </w:tcPr>
          <w:p w14:paraId="5CD2D01D">
            <w:pPr>
              <w:widowControl/>
              <w:jc w:val="center"/>
              <w:textAlignment w:val="center"/>
              <w:rPr>
                <w:rFonts w:hint="eastAsia" w:cs="仿宋" w:asciiTheme="majorEastAsia" w:hAnsiTheme="majorEastAsia" w:eastAsiaTheme="majorEastAsia"/>
                <w:color w:val="auto"/>
                <w:szCs w:val="21"/>
                <w:highlight w:val="none"/>
              </w:rPr>
            </w:pPr>
            <w:r>
              <w:rPr>
                <w:rFonts w:hint="eastAsia" w:cs="仿宋" w:asciiTheme="majorEastAsia" w:hAnsiTheme="majorEastAsia" w:eastAsiaTheme="majorEastAsia"/>
                <w:color w:val="auto"/>
                <w:szCs w:val="21"/>
                <w:highlight w:val="none"/>
              </w:rPr>
              <w:t>800元/次</w:t>
            </w:r>
          </w:p>
        </w:tc>
      </w:tr>
      <w:tr w14:paraId="6902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6750" w:type="dxa"/>
            <w:tcMar>
              <w:top w:w="15" w:type="dxa"/>
              <w:left w:w="15" w:type="dxa"/>
              <w:right w:w="15" w:type="dxa"/>
            </w:tcMar>
            <w:vAlign w:val="center"/>
          </w:tcPr>
          <w:p w14:paraId="08FC269B">
            <w:pPr>
              <w:widowControl/>
              <w:jc w:val="center"/>
              <w:textAlignment w:val="center"/>
              <w:rPr>
                <w:rFonts w:hint="eastAsia" w:cs="仿宋" w:asciiTheme="majorEastAsia" w:hAnsiTheme="majorEastAsia" w:eastAsiaTheme="majorEastAsia"/>
                <w:color w:val="auto"/>
                <w:szCs w:val="21"/>
                <w:highlight w:val="none"/>
              </w:rPr>
            </w:pPr>
            <w:r>
              <w:rPr>
                <w:rFonts w:hint="eastAsia" w:cs="仿宋" w:asciiTheme="majorEastAsia" w:hAnsiTheme="majorEastAsia" w:eastAsiaTheme="majorEastAsia"/>
                <w:color w:val="auto"/>
                <w:kern w:val="0"/>
                <w:szCs w:val="21"/>
                <w:highlight w:val="none"/>
                <w:lang w:bidi="ar"/>
              </w:rPr>
              <w:t>市级通报垃圾分类黑榜小区</w:t>
            </w:r>
          </w:p>
        </w:tc>
        <w:tc>
          <w:tcPr>
            <w:tcW w:w="2337" w:type="dxa"/>
            <w:tcMar>
              <w:top w:w="15" w:type="dxa"/>
              <w:left w:w="15" w:type="dxa"/>
              <w:right w:w="15" w:type="dxa"/>
            </w:tcMar>
            <w:vAlign w:val="center"/>
          </w:tcPr>
          <w:p w14:paraId="124572DB">
            <w:pPr>
              <w:widowControl/>
              <w:jc w:val="center"/>
              <w:textAlignment w:val="center"/>
              <w:rPr>
                <w:rFonts w:hint="eastAsia" w:cs="仿宋" w:asciiTheme="majorEastAsia" w:hAnsiTheme="majorEastAsia" w:eastAsiaTheme="majorEastAsia"/>
                <w:color w:val="auto"/>
                <w:szCs w:val="21"/>
                <w:highlight w:val="none"/>
              </w:rPr>
            </w:pPr>
            <w:r>
              <w:rPr>
                <w:rFonts w:hint="eastAsia" w:cs="仿宋" w:asciiTheme="majorEastAsia" w:hAnsiTheme="majorEastAsia" w:eastAsiaTheme="majorEastAsia"/>
                <w:color w:val="auto"/>
                <w:szCs w:val="21"/>
                <w:highlight w:val="none"/>
              </w:rPr>
              <w:t>4000元/次</w:t>
            </w:r>
          </w:p>
        </w:tc>
      </w:tr>
      <w:tr w14:paraId="23C1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6750" w:type="dxa"/>
            <w:tcMar>
              <w:top w:w="15" w:type="dxa"/>
              <w:left w:w="15" w:type="dxa"/>
              <w:right w:w="15" w:type="dxa"/>
            </w:tcMar>
            <w:vAlign w:val="center"/>
          </w:tcPr>
          <w:p w14:paraId="732920B6">
            <w:pPr>
              <w:widowControl/>
              <w:jc w:val="center"/>
              <w:textAlignment w:val="center"/>
              <w:rPr>
                <w:rFonts w:hint="eastAsia" w:cs="仿宋" w:asciiTheme="majorEastAsia" w:hAnsiTheme="majorEastAsia" w:eastAsiaTheme="majorEastAsia"/>
                <w:color w:val="auto"/>
                <w:kern w:val="0"/>
                <w:szCs w:val="21"/>
                <w:highlight w:val="none"/>
                <w:lang w:bidi="ar"/>
              </w:rPr>
            </w:pPr>
            <w:r>
              <w:rPr>
                <w:rFonts w:hint="eastAsia" w:cs="仿宋" w:asciiTheme="majorEastAsia" w:hAnsiTheme="majorEastAsia" w:eastAsiaTheme="majorEastAsia"/>
                <w:color w:val="auto"/>
                <w:kern w:val="0"/>
                <w:szCs w:val="21"/>
                <w:highlight w:val="none"/>
                <w:lang w:bidi="ar"/>
              </w:rPr>
              <w:t>市级检查低于80分小区</w:t>
            </w:r>
          </w:p>
        </w:tc>
        <w:tc>
          <w:tcPr>
            <w:tcW w:w="2337" w:type="dxa"/>
            <w:tcMar>
              <w:top w:w="15" w:type="dxa"/>
              <w:left w:w="15" w:type="dxa"/>
              <w:right w:w="15" w:type="dxa"/>
            </w:tcMar>
            <w:vAlign w:val="center"/>
          </w:tcPr>
          <w:p w14:paraId="06918F8A">
            <w:pPr>
              <w:widowControl/>
              <w:jc w:val="center"/>
              <w:textAlignment w:val="center"/>
              <w:rPr>
                <w:rFonts w:hint="eastAsia" w:cs="仿宋" w:asciiTheme="majorEastAsia" w:hAnsiTheme="majorEastAsia" w:eastAsiaTheme="majorEastAsia"/>
                <w:color w:val="auto"/>
                <w:szCs w:val="21"/>
                <w:highlight w:val="none"/>
              </w:rPr>
            </w:pPr>
            <w:r>
              <w:rPr>
                <w:rFonts w:hint="eastAsia" w:cs="仿宋" w:asciiTheme="majorEastAsia" w:hAnsiTheme="majorEastAsia" w:eastAsiaTheme="majorEastAsia"/>
                <w:color w:val="auto"/>
                <w:szCs w:val="21"/>
                <w:highlight w:val="none"/>
              </w:rPr>
              <w:t>1000元/次</w:t>
            </w:r>
          </w:p>
        </w:tc>
      </w:tr>
      <w:tr w14:paraId="380D6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6750" w:type="dxa"/>
            <w:tcMar>
              <w:top w:w="15" w:type="dxa"/>
              <w:left w:w="15" w:type="dxa"/>
              <w:right w:w="15" w:type="dxa"/>
            </w:tcMar>
            <w:vAlign w:val="center"/>
          </w:tcPr>
          <w:p w14:paraId="7357EB16">
            <w:pPr>
              <w:widowControl/>
              <w:jc w:val="center"/>
              <w:textAlignment w:val="center"/>
              <w:rPr>
                <w:rFonts w:hint="eastAsia" w:cs="仿宋" w:asciiTheme="majorEastAsia" w:hAnsiTheme="majorEastAsia" w:eastAsiaTheme="majorEastAsia"/>
                <w:color w:val="auto"/>
                <w:kern w:val="0"/>
                <w:szCs w:val="21"/>
                <w:highlight w:val="none"/>
                <w:lang w:bidi="ar"/>
              </w:rPr>
            </w:pPr>
            <w:r>
              <w:rPr>
                <w:rFonts w:hint="eastAsia" w:cs="仿宋" w:asciiTheme="majorEastAsia" w:hAnsiTheme="majorEastAsia" w:eastAsiaTheme="majorEastAsia"/>
                <w:color w:val="auto"/>
                <w:kern w:val="0"/>
                <w:szCs w:val="21"/>
                <w:highlight w:val="none"/>
                <w:lang w:bidi="ar"/>
              </w:rPr>
              <w:t>区级检查低于80分小区</w:t>
            </w:r>
          </w:p>
        </w:tc>
        <w:tc>
          <w:tcPr>
            <w:tcW w:w="2337" w:type="dxa"/>
            <w:tcMar>
              <w:top w:w="15" w:type="dxa"/>
              <w:left w:w="15" w:type="dxa"/>
              <w:right w:w="15" w:type="dxa"/>
            </w:tcMar>
            <w:vAlign w:val="center"/>
          </w:tcPr>
          <w:p w14:paraId="13FC61D1">
            <w:pPr>
              <w:widowControl/>
              <w:jc w:val="center"/>
              <w:textAlignment w:val="center"/>
              <w:rPr>
                <w:rFonts w:hint="eastAsia" w:cs="仿宋" w:asciiTheme="majorEastAsia" w:hAnsiTheme="majorEastAsia" w:eastAsiaTheme="majorEastAsia"/>
                <w:color w:val="auto"/>
                <w:szCs w:val="21"/>
                <w:highlight w:val="none"/>
              </w:rPr>
            </w:pPr>
            <w:r>
              <w:rPr>
                <w:rFonts w:hint="eastAsia" w:cs="仿宋" w:asciiTheme="majorEastAsia" w:hAnsiTheme="majorEastAsia" w:eastAsiaTheme="majorEastAsia"/>
                <w:color w:val="auto"/>
                <w:szCs w:val="21"/>
                <w:highlight w:val="none"/>
              </w:rPr>
              <w:t>300元/次</w:t>
            </w:r>
          </w:p>
        </w:tc>
      </w:tr>
      <w:tr w14:paraId="0EC69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6750" w:type="dxa"/>
            <w:tcMar>
              <w:top w:w="15" w:type="dxa"/>
              <w:left w:w="15" w:type="dxa"/>
              <w:right w:w="15" w:type="dxa"/>
            </w:tcMar>
            <w:vAlign w:val="center"/>
          </w:tcPr>
          <w:p w14:paraId="41F08623">
            <w:pPr>
              <w:widowControl/>
              <w:jc w:val="center"/>
              <w:textAlignment w:val="center"/>
              <w:rPr>
                <w:rFonts w:hint="eastAsia" w:cs="仿宋" w:asciiTheme="majorEastAsia" w:hAnsiTheme="majorEastAsia" w:eastAsiaTheme="majorEastAsia"/>
                <w:color w:val="auto"/>
                <w:kern w:val="0"/>
                <w:szCs w:val="21"/>
                <w:highlight w:val="none"/>
                <w:lang w:bidi="ar"/>
              </w:rPr>
            </w:pPr>
            <w:r>
              <w:rPr>
                <w:rFonts w:hint="eastAsia" w:cs="仿宋" w:asciiTheme="majorEastAsia" w:hAnsiTheme="majorEastAsia" w:eastAsiaTheme="majorEastAsia"/>
                <w:color w:val="auto"/>
                <w:kern w:val="0"/>
                <w:szCs w:val="21"/>
                <w:highlight w:val="none"/>
                <w:lang w:bidi="ar"/>
              </w:rPr>
              <w:t>街道检查低于80分小区</w:t>
            </w:r>
          </w:p>
        </w:tc>
        <w:tc>
          <w:tcPr>
            <w:tcW w:w="2337" w:type="dxa"/>
            <w:tcMar>
              <w:top w:w="15" w:type="dxa"/>
              <w:left w:w="15" w:type="dxa"/>
              <w:right w:w="15" w:type="dxa"/>
            </w:tcMar>
            <w:vAlign w:val="center"/>
          </w:tcPr>
          <w:p w14:paraId="258FCBEE">
            <w:pPr>
              <w:widowControl/>
              <w:jc w:val="center"/>
              <w:textAlignment w:val="center"/>
              <w:rPr>
                <w:rFonts w:hint="eastAsia" w:cs="仿宋" w:asciiTheme="majorEastAsia" w:hAnsiTheme="majorEastAsia" w:eastAsiaTheme="majorEastAsia"/>
                <w:color w:val="auto"/>
                <w:szCs w:val="21"/>
                <w:highlight w:val="none"/>
              </w:rPr>
            </w:pPr>
            <w:r>
              <w:rPr>
                <w:rFonts w:hint="eastAsia" w:cs="仿宋" w:asciiTheme="majorEastAsia" w:hAnsiTheme="majorEastAsia" w:eastAsiaTheme="majorEastAsia"/>
                <w:color w:val="auto"/>
                <w:szCs w:val="21"/>
                <w:highlight w:val="none"/>
              </w:rPr>
              <w:t>100元/次</w:t>
            </w:r>
          </w:p>
        </w:tc>
      </w:tr>
      <w:tr w14:paraId="19292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6750" w:type="dxa"/>
            <w:tcMar>
              <w:top w:w="15" w:type="dxa"/>
              <w:left w:w="15" w:type="dxa"/>
              <w:right w:w="15" w:type="dxa"/>
            </w:tcMar>
            <w:vAlign w:val="center"/>
          </w:tcPr>
          <w:p w14:paraId="337B91E4">
            <w:pPr>
              <w:widowControl/>
              <w:jc w:val="center"/>
              <w:textAlignment w:val="center"/>
              <w:rPr>
                <w:rFonts w:hint="eastAsia" w:cs="仿宋" w:asciiTheme="majorEastAsia" w:hAnsiTheme="majorEastAsia" w:eastAsiaTheme="majorEastAsia"/>
                <w:color w:val="auto"/>
                <w:szCs w:val="21"/>
                <w:highlight w:val="none"/>
              </w:rPr>
            </w:pPr>
            <w:r>
              <w:rPr>
                <w:rFonts w:hint="eastAsia" w:cs="仿宋" w:asciiTheme="majorEastAsia" w:hAnsiTheme="majorEastAsia" w:eastAsiaTheme="majorEastAsia"/>
                <w:color w:val="auto"/>
                <w:kern w:val="0"/>
                <w:szCs w:val="21"/>
                <w:highlight w:val="none"/>
                <w:lang w:bidi="ar"/>
              </w:rPr>
              <w:t>未按要求设立特殊垃圾堆放点位，再生资源回收点位</w:t>
            </w:r>
          </w:p>
        </w:tc>
        <w:tc>
          <w:tcPr>
            <w:tcW w:w="2337" w:type="dxa"/>
            <w:tcMar>
              <w:top w:w="15" w:type="dxa"/>
              <w:left w:w="15" w:type="dxa"/>
              <w:right w:w="15" w:type="dxa"/>
            </w:tcMar>
            <w:vAlign w:val="center"/>
          </w:tcPr>
          <w:p w14:paraId="69193FC0">
            <w:pPr>
              <w:widowControl/>
              <w:jc w:val="center"/>
              <w:textAlignment w:val="center"/>
              <w:rPr>
                <w:rFonts w:hint="eastAsia" w:cs="仿宋" w:asciiTheme="majorEastAsia" w:hAnsiTheme="majorEastAsia" w:eastAsiaTheme="majorEastAsia"/>
                <w:color w:val="auto"/>
                <w:szCs w:val="21"/>
                <w:highlight w:val="none"/>
              </w:rPr>
            </w:pPr>
            <w:r>
              <w:rPr>
                <w:rFonts w:hint="eastAsia" w:cs="仿宋" w:asciiTheme="majorEastAsia" w:hAnsiTheme="majorEastAsia" w:eastAsiaTheme="majorEastAsia"/>
                <w:color w:val="auto"/>
                <w:szCs w:val="21"/>
                <w:highlight w:val="none"/>
              </w:rPr>
              <w:t>200元/次</w:t>
            </w:r>
          </w:p>
        </w:tc>
      </w:tr>
      <w:tr w14:paraId="6014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6750" w:type="dxa"/>
            <w:tcMar>
              <w:top w:w="15" w:type="dxa"/>
              <w:left w:w="15" w:type="dxa"/>
              <w:right w:w="15" w:type="dxa"/>
            </w:tcMar>
            <w:vAlign w:val="center"/>
          </w:tcPr>
          <w:p w14:paraId="7FA4DD2E">
            <w:pPr>
              <w:widowControl/>
              <w:jc w:val="center"/>
              <w:textAlignment w:val="center"/>
              <w:rPr>
                <w:rFonts w:hint="eastAsia" w:cs="仿宋" w:asciiTheme="majorEastAsia" w:hAnsiTheme="majorEastAsia" w:eastAsiaTheme="majorEastAsia"/>
                <w:color w:val="auto"/>
                <w:kern w:val="0"/>
                <w:szCs w:val="21"/>
                <w:highlight w:val="none"/>
                <w:lang w:bidi="ar"/>
              </w:rPr>
            </w:pPr>
            <w:r>
              <w:rPr>
                <w:rFonts w:hint="eastAsia" w:cs="仿宋" w:asciiTheme="majorEastAsia" w:hAnsiTheme="majorEastAsia" w:eastAsiaTheme="majorEastAsia"/>
                <w:color w:val="auto"/>
                <w:kern w:val="0"/>
                <w:szCs w:val="21"/>
                <w:highlight w:val="none"/>
                <w:lang w:bidi="ar"/>
              </w:rPr>
              <w:t>特殊垃圾堆放点位未按要求分类</w:t>
            </w:r>
          </w:p>
        </w:tc>
        <w:tc>
          <w:tcPr>
            <w:tcW w:w="2337" w:type="dxa"/>
            <w:tcMar>
              <w:top w:w="15" w:type="dxa"/>
              <w:left w:w="15" w:type="dxa"/>
              <w:right w:w="15" w:type="dxa"/>
            </w:tcMar>
            <w:vAlign w:val="center"/>
          </w:tcPr>
          <w:p w14:paraId="3E6AB850">
            <w:pPr>
              <w:widowControl/>
              <w:jc w:val="center"/>
              <w:textAlignment w:val="center"/>
              <w:rPr>
                <w:rFonts w:hint="eastAsia" w:cs="仿宋" w:asciiTheme="majorEastAsia" w:hAnsiTheme="majorEastAsia" w:eastAsiaTheme="majorEastAsia"/>
                <w:color w:val="auto"/>
                <w:szCs w:val="21"/>
                <w:highlight w:val="none"/>
              </w:rPr>
            </w:pPr>
            <w:r>
              <w:rPr>
                <w:rFonts w:hint="eastAsia" w:cs="仿宋" w:asciiTheme="majorEastAsia" w:hAnsiTheme="majorEastAsia" w:eastAsiaTheme="majorEastAsia"/>
                <w:color w:val="auto"/>
                <w:szCs w:val="21"/>
                <w:highlight w:val="none"/>
              </w:rPr>
              <w:t>100元/次</w:t>
            </w:r>
          </w:p>
        </w:tc>
      </w:tr>
      <w:tr w14:paraId="5BDEE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6750" w:type="dxa"/>
            <w:tcMar>
              <w:top w:w="15" w:type="dxa"/>
              <w:left w:w="15" w:type="dxa"/>
              <w:right w:w="15" w:type="dxa"/>
            </w:tcMar>
            <w:vAlign w:val="center"/>
          </w:tcPr>
          <w:p w14:paraId="669BCC5D">
            <w:pPr>
              <w:widowControl/>
              <w:jc w:val="center"/>
              <w:textAlignment w:val="center"/>
              <w:rPr>
                <w:rFonts w:hint="eastAsia" w:cs="仿宋" w:asciiTheme="majorEastAsia" w:hAnsiTheme="majorEastAsia" w:eastAsiaTheme="majorEastAsia"/>
                <w:color w:val="auto"/>
                <w:kern w:val="0"/>
                <w:szCs w:val="21"/>
                <w:highlight w:val="none"/>
                <w:lang w:bidi="ar"/>
              </w:rPr>
            </w:pPr>
            <w:r>
              <w:rPr>
                <w:rFonts w:hint="eastAsia" w:cs="仿宋" w:asciiTheme="majorEastAsia" w:hAnsiTheme="majorEastAsia" w:eastAsiaTheme="majorEastAsia"/>
                <w:color w:val="auto"/>
                <w:kern w:val="0"/>
                <w:szCs w:val="21"/>
                <w:highlight w:val="none"/>
                <w:lang w:bidi="ar"/>
              </w:rPr>
              <w:t>是否开门有人，关门撤桶</w:t>
            </w:r>
          </w:p>
        </w:tc>
        <w:tc>
          <w:tcPr>
            <w:tcW w:w="2337" w:type="dxa"/>
            <w:tcMar>
              <w:top w:w="15" w:type="dxa"/>
              <w:left w:w="15" w:type="dxa"/>
              <w:right w:w="15" w:type="dxa"/>
            </w:tcMar>
            <w:vAlign w:val="center"/>
          </w:tcPr>
          <w:p w14:paraId="65C06BE7">
            <w:pPr>
              <w:widowControl/>
              <w:jc w:val="center"/>
              <w:textAlignment w:val="center"/>
              <w:rPr>
                <w:rFonts w:hint="eastAsia" w:cs="仿宋" w:asciiTheme="majorEastAsia" w:hAnsiTheme="majorEastAsia" w:eastAsiaTheme="majorEastAsia"/>
                <w:color w:val="auto"/>
                <w:szCs w:val="21"/>
                <w:highlight w:val="none"/>
              </w:rPr>
            </w:pPr>
            <w:r>
              <w:rPr>
                <w:rFonts w:hint="eastAsia" w:cs="仿宋" w:asciiTheme="majorEastAsia" w:hAnsiTheme="majorEastAsia" w:eastAsiaTheme="majorEastAsia"/>
                <w:color w:val="auto"/>
                <w:szCs w:val="21"/>
                <w:highlight w:val="none"/>
              </w:rPr>
              <w:t>50元/次</w:t>
            </w:r>
          </w:p>
        </w:tc>
      </w:tr>
      <w:tr w14:paraId="12F9A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6750" w:type="dxa"/>
            <w:tcMar>
              <w:top w:w="15" w:type="dxa"/>
              <w:left w:w="15" w:type="dxa"/>
              <w:right w:w="15" w:type="dxa"/>
            </w:tcMar>
            <w:vAlign w:val="center"/>
          </w:tcPr>
          <w:p w14:paraId="4927BF98">
            <w:pPr>
              <w:widowControl/>
              <w:jc w:val="center"/>
              <w:textAlignment w:val="center"/>
              <w:rPr>
                <w:rFonts w:hint="eastAsia" w:cs="仿宋" w:asciiTheme="majorEastAsia" w:hAnsiTheme="majorEastAsia" w:eastAsiaTheme="majorEastAsia"/>
                <w:color w:val="auto"/>
                <w:kern w:val="0"/>
                <w:szCs w:val="21"/>
                <w:highlight w:val="none"/>
                <w:lang w:bidi="ar"/>
              </w:rPr>
            </w:pPr>
            <w:r>
              <w:rPr>
                <w:rFonts w:hint="eastAsia" w:cs="仿宋" w:asciiTheme="majorEastAsia" w:hAnsiTheme="majorEastAsia" w:eastAsiaTheme="majorEastAsia"/>
                <w:color w:val="auto"/>
                <w:kern w:val="0"/>
                <w:szCs w:val="21"/>
                <w:highlight w:val="none"/>
                <w:lang w:bidi="ar"/>
              </w:rPr>
              <w:t>垃圾桶满溢</w:t>
            </w:r>
          </w:p>
        </w:tc>
        <w:tc>
          <w:tcPr>
            <w:tcW w:w="2337" w:type="dxa"/>
            <w:tcMar>
              <w:top w:w="15" w:type="dxa"/>
              <w:left w:w="15" w:type="dxa"/>
              <w:right w:w="15" w:type="dxa"/>
            </w:tcMar>
            <w:vAlign w:val="center"/>
          </w:tcPr>
          <w:p w14:paraId="047D9E6E">
            <w:pPr>
              <w:widowControl/>
              <w:jc w:val="center"/>
              <w:textAlignment w:val="center"/>
              <w:rPr>
                <w:rFonts w:hint="eastAsia" w:cs="仿宋" w:asciiTheme="majorEastAsia" w:hAnsiTheme="majorEastAsia" w:eastAsiaTheme="majorEastAsia"/>
                <w:color w:val="auto"/>
                <w:szCs w:val="21"/>
                <w:highlight w:val="none"/>
              </w:rPr>
            </w:pPr>
            <w:r>
              <w:rPr>
                <w:rFonts w:hint="eastAsia" w:cs="仿宋" w:asciiTheme="majorEastAsia" w:hAnsiTheme="majorEastAsia" w:eastAsiaTheme="majorEastAsia"/>
                <w:color w:val="auto"/>
                <w:szCs w:val="21"/>
                <w:highlight w:val="none"/>
              </w:rPr>
              <w:t>50元/桶</w:t>
            </w:r>
          </w:p>
        </w:tc>
      </w:tr>
      <w:tr w14:paraId="178E2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6750" w:type="dxa"/>
            <w:tcMar>
              <w:top w:w="15" w:type="dxa"/>
              <w:left w:w="15" w:type="dxa"/>
              <w:right w:w="15" w:type="dxa"/>
            </w:tcMar>
            <w:vAlign w:val="center"/>
          </w:tcPr>
          <w:p w14:paraId="497007D0">
            <w:pPr>
              <w:widowControl/>
              <w:jc w:val="center"/>
              <w:textAlignment w:val="center"/>
              <w:rPr>
                <w:rFonts w:hint="eastAsia" w:cs="仿宋" w:asciiTheme="majorEastAsia" w:hAnsiTheme="majorEastAsia" w:eastAsiaTheme="majorEastAsia"/>
                <w:color w:val="auto"/>
                <w:kern w:val="0"/>
                <w:szCs w:val="21"/>
                <w:highlight w:val="none"/>
                <w:lang w:bidi="ar"/>
              </w:rPr>
            </w:pPr>
            <w:r>
              <w:rPr>
                <w:rFonts w:hint="eastAsia" w:cs="仿宋" w:asciiTheme="majorEastAsia" w:hAnsiTheme="majorEastAsia" w:eastAsiaTheme="majorEastAsia"/>
                <w:color w:val="auto"/>
                <w:kern w:val="0"/>
                <w:szCs w:val="21"/>
                <w:highlight w:val="none"/>
                <w:lang w:bidi="ar"/>
              </w:rPr>
              <w:t>垃圾房、垃圾桶外有垃圾包</w:t>
            </w:r>
          </w:p>
        </w:tc>
        <w:tc>
          <w:tcPr>
            <w:tcW w:w="2337" w:type="dxa"/>
            <w:tcMar>
              <w:top w:w="15" w:type="dxa"/>
              <w:left w:w="15" w:type="dxa"/>
              <w:right w:w="15" w:type="dxa"/>
            </w:tcMar>
            <w:vAlign w:val="center"/>
          </w:tcPr>
          <w:p w14:paraId="1AC5A3E7">
            <w:pPr>
              <w:widowControl/>
              <w:jc w:val="center"/>
              <w:textAlignment w:val="center"/>
              <w:rPr>
                <w:rFonts w:hint="eastAsia" w:cs="仿宋" w:asciiTheme="majorEastAsia" w:hAnsiTheme="majorEastAsia" w:eastAsiaTheme="majorEastAsia"/>
                <w:color w:val="auto"/>
                <w:szCs w:val="21"/>
                <w:highlight w:val="none"/>
              </w:rPr>
            </w:pPr>
            <w:r>
              <w:rPr>
                <w:rFonts w:hint="eastAsia" w:cs="仿宋" w:asciiTheme="majorEastAsia" w:hAnsiTheme="majorEastAsia" w:eastAsiaTheme="majorEastAsia"/>
                <w:color w:val="auto"/>
                <w:szCs w:val="21"/>
                <w:highlight w:val="none"/>
              </w:rPr>
              <w:t>20元/包</w:t>
            </w:r>
          </w:p>
        </w:tc>
      </w:tr>
      <w:tr w14:paraId="4C249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6750" w:type="dxa"/>
            <w:tcMar>
              <w:top w:w="15" w:type="dxa"/>
              <w:left w:w="15" w:type="dxa"/>
              <w:right w:w="15" w:type="dxa"/>
            </w:tcMar>
            <w:vAlign w:val="center"/>
          </w:tcPr>
          <w:p w14:paraId="55A5CE01">
            <w:pPr>
              <w:widowControl/>
              <w:jc w:val="center"/>
              <w:textAlignment w:val="center"/>
              <w:rPr>
                <w:rFonts w:hint="eastAsia" w:cs="仿宋" w:asciiTheme="majorEastAsia" w:hAnsiTheme="majorEastAsia" w:eastAsiaTheme="majorEastAsia"/>
                <w:color w:val="auto"/>
                <w:szCs w:val="21"/>
                <w:highlight w:val="none"/>
              </w:rPr>
            </w:pPr>
            <w:r>
              <w:rPr>
                <w:rFonts w:hint="eastAsia" w:cs="仿宋" w:asciiTheme="majorEastAsia" w:hAnsiTheme="majorEastAsia" w:eastAsiaTheme="majorEastAsia"/>
                <w:color w:val="auto"/>
                <w:kern w:val="0"/>
                <w:szCs w:val="21"/>
                <w:highlight w:val="none"/>
                <w:lang w:bidi="ar"/>
              </w:rPr>
              <w:t>未按时处理数字城管案卷、居民来信、来电投诉；</w:t>
            </w:r>
          </w:p>
        </w:tc>
        <w:tc>
          <w:tcPr>
            <w:tcW w:w="2337" w:type="dxa"/>
            <w:tcMar>
              <w:top w:w="15" w:type="dxa"/>
              <w:left w:w="15" w:type="dxa"/>
              <w:right w:w="15" w:type="dxa"/>
            </w:tcMar>
            <w:vAlign w:val="center"/>
          </w:tcPr>
          <w:p w14:paraId="7D5B346E">
            <w:pPr>
              <w:widowControl/>
              <w:jc w:val="center"/>
              <w:textAlignment w:val="center"/>
              <w:rPr>
                <w:rFonts w:hint="eastAsia" w:cs="仿宋" w:asciiTheme="majorEastAsia" w:hAnsiTheme="majorEastAsia" w:eastAsiaTheme="majorEastAsia"/>
                <w:color w:val="auto"/>
                <w:szCs w:val="21"/>
                <w:highlight w:val="none"/>
              </w:rPr>
            </w:pPr>
            <w:r>
              <w:rPr>
                <w:rFonts w:hint="eastAsia" w:cs="仿宋" w:asciiTheme="majorEastAsia" w:hAnsiTheme="majorEastAsia" w:eastAsiaTheme="majorEastAsia"/>
                <w:color w:val="auto"/>
                <w:szCs w:val="21"/>
                <w:highlight w:val="none"/>
              </w:rPr>
              <w:t>200元/次</w:t>
            </w:r>
          </w:p>
        </w:tc>
      </w:tr>
      <w:tr w14:paraId="5733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6750" w:type="dxa"/>
            <w:tcMar>
              <w:top w:w="15" w:type="dxa"/>
              <w:left w:w="15" w:type="dxa"/>
              <w:right w:w="15" w:type="dxa"/>
            </w:tcMar>
            <w:vAlign w:val="center"/>
          </w:tcPr>
          <w:p w14:paraId="7C6FCC9A">
            <w:pPr>
              <w:widowControl/>
              <w:jc w:val="center"/>
              <w:textAlignment w:val="center"/>
              <w:rPr>
                <w:rFonts w:hint="eastAsia" w:cs="仿宋" w:asciiTheme="majorEastAsia" w:hAnsiTheme="majorEastAsia" w:eastAsiaTheme="majorEastAsia"/>
                <w:color w:val="auto"/>
                <w:kern w:val="0"/>
                <w:szCs w:val="21"/>
                <w:highlight w:val="none"/>
                <w:lang w:bidi="ar"/>
              </w:rPr>
            </w:pPr>
            <w:r>
              <w:rPr>
                <w:rFonts w:hint="eastAsia" w:cs="仿宋" w:asciiTheme="majorEastAsia" w:hAnsiTheme="majorEastAsia" w:eastAsiaTheme="majorEastAsia"/>
                <w:color w:val="auto"/>
                <w:kern w:val="0"/>
                <w:szCs w:val="21"/>
                <w:highlight w:val="none"/>
                <w:lang w:bidi="ar"/>
              </w:rPr>
              <w:t>承包员未及时上传分类数据</w:t>
            </w:r>
          </w:p>
        </w:tc>
        <w:tc>
          <w:tcPr>
            <w:tcW w:w="2337" w:type="dxa"/>
            <w:tcMar>
              <w:top w:w="15" w:type="dxa"/>
              <w:left w:w="15" w:type="dxa"/>
              <w:right w:w="15" w:type="dxa"/>
            </w:tcMar>
            <w:vAlign w:val="center"/>
          </w:tcPr>
          <w:p w14:paraId="5088D6E6">
            <w:pPr>
              <w:widowControl/>
              <w:jc w:val="center"/>
              <w:textAlignment w:val="center"/>
              <w:rPr>
                <w:rFonts w:hint="eastAsia" w:cs="仿宋" w:asciiTheme="majorEastAsia" w:hAnsiTheme="majorEastAsia" w:eastAsiaTheme="majorEastAsia"/>
                <w:color w:val="auto"/>
                <w:szCs w:val="21"/>
                <w:highlight w:val="none"/>
              </w:rPr>
            </w:pPr>
            <w:r>
              <w:rPr>
                <w:rFonts w:hint="eastAsia" w:cs="仿宋" w:asciiTheme="majorEastAsia" w:hAnsiTheme="majorEastAsia" w:eastAsiaTheme="majorEastAsia"/>
                <w:color w:val="auto"/>
                <w:szCs w:val="21"/>
                <w:highlight w:val="none"/>
              </w:rPr>
              <w:t>30元/次</w:t>
            </w:r>
          </w:p>
        </w:tc>
      </w:tr>
      <w:tr w14:paraId="148DB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6750" w:type="dxa"/>
            <w:tcMar>
              <w:top w:w="15" w:type="dxa"/>
              <w:left w:w="15" w:type="dxa"/>
              <w:right w:w="15" w:type="dxa"/>
            </w:tcMar>
            <w:vAlign w:val="center"/>
          </w:tcPr>
          <w:p w14:paraId="25A98338">
            <w:pPr>
              <w:widowControl/>
              <w:jc w:val="center"/>
              <w:textAlignment w:val="center"/>
              <w:rPr>
                <w:rFonts w:hint="eastAsia" w:cs="仿宋" w:asciiTheme="majorEastAsia" w:hAnsiTheme="majorEastAsia" w:eastAsiaTheme="majorEastAsia"/>
                <w:color w:val="auto"/>
                <w:kern w:val="0"/>
                <w:szCs w:val="21"/>
                <w:highlight w:val="none"/>
                <w:lang w:bidi="ar"/>
              </w:rPr>
            </w:pPr>
            <w:r>
              <w:rPr>
                <w:rFonts w:hint="eastAsia" w:cs="仿宋" w:asciiTheme="majorEastAsia" w:hAnsiTheme="majorEastAsia" w:eastAsiaTheme="majorEastAsia"/>
                <w:color w:val="auto"/>
                <w:kern w:val="0"/>
                <w:szCs w:val="21"/>
                <w:highlight w:val="none"/>
                <w:lang w:bidi="ar"/>
              </w:rPr>
              <w:t>区级通报垃圾分类红榜小区</w:t>
            </w:r>
          </w:p>
        </w:tc>
        <w:tc>
          <w:tcPr>
            <w:tcW w:w="2337" w:type="dxa"/>
            <w:tcMar>
              <w:top w:w="15" w:type="dxa"/>
              <w:left w:w="15" w:type="dxa"/>
              <w:right w:w="15" w:type="dxa"/>
            </w:tcMar>
            <w:vAlign w:val="center"/>
          </w:tcPr>
          <w:p w14:paraId="457F4CFA">
            <w:pPr>
              <w:widowControl/>
              <w:jc w:val="center"/>
              <w:textAlignment w:val="center"/>
              <w:rPr>
                <w:rFonts w:hint="eastAsia" w:cs="仿宋" w:asciiTheme="majorEastAsia" w:hAnsiTheme="majorEastAsia" w:eastAsiaTheme="majorEastAsia"/>
                <w:color w:val="auto"/>
                <w:szCs w:val="21"/>
                <w:highlight w:val="none"/>
              </w:rPr>
            </w:pPr>
            <w:r>
              <w:rPr>
                <w:rFonts w:hint="eastAsia" w:cs="仿宋" w:asciiTheme="majorEastAsia" w:hAnsiTheme="majorEastAsia" w:eastAsiaTheme="majorEastAsia"/>
                <w:color w:val="auto"/>
                <w:szCs w:val="21"/>
                <w:highlight w:val="none"/>
              </w:rPr>
              <w:t>奖励800元/次</w:t>
            </w:r>
          </w:p>
        </w:tc>
      </w:tr>
      <w:tr w14:paraId="3041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6750" w:type="dxa"/>
            <w:tcMar>
              <w:top w:w="15" w:type="dxa"/>
              <w:left w:w="15" w:type="dxa"/>
              <w:right w:w="15" w:type="dxa"/>
            </w:tcMar>
            <w:vAlign w:val="center"/>
          </w:tcPr>
          <w:p w14:paraId="4FC4E181">
            <w:pPr>
              <w:widowControl/>
              <w:jc w:val="center"/>
              <w:textAlignment w:val="center"/>
              <w:rPr>
                <w:rFonts w:hint="eastAsia" w:cs="仿宋" w:asciiTheme="majorEastAsia" w:hAnsiTheme="majorEastAsia" w:eastAsiaTheme="majorEastAsia"/>
                <w:color w:val="auto"/>
                <w:kern w:val="0"/>
                <w:szCs w:val="21"/>
                <w:highlight w:val="none"/>
                <w:lang w:bidi="ar"/>
              </w:rPr>
            </w:pPr>
            <w:r>
              <w:rPr>
                <w:rFonts w:hint="eastAsia" w:cs="仿宋" w:asciiTheme="majorEastAsia" w:hAnsiTheme="majorEastAsia" w:eastAsiaTheme="majorEastAsia"/>
                <w:color w:val="auto"/>
                <w:kern w:val="0"/>
                <w:szCs w:val="21"/>
                <w:highlight w:val="none"/>
                <w:lang w:bidi="ar"/>
              </w:rPr>
              <w:t>市级通报垃圾分类红榜小区</w:t>
            </w:r>
          </w:p>
        </w:tc>
        <w:tc>
          <w:tcPr>
            <w:tcW w:w="2337" w:type="dxa"/>
            <w:tcMar>
              <w:top w:w="15" w:type="dxa"/>
              <w:left w:w="15" w:type="dxa"/>
              <w:right w:w="15" w:type="dxa"/>
            </w:tcMar>
            <w:vAlign w:val="center"/>
          </w:tcPr>
          <w:p w14:paraId="636FC1A0">
            <w:pPr>
              <w:widowControl/>
              <w:jc w:val="center"/>
              <w:textAlignment w:val="center"/>
              <w:rPr>
                <w:rFonts w:hint="eastAsia" w:cs="仿宋" w:asciiTheme="majorEastAsia" w:hAnsiTheme="majorEastAsia" w:eastAsiaTheme="majorEastAsia"/>
                <w:color w:val="auto"/>
                <w:szCs w:val="21"/>
                <w:highlight w:val="none"/>
              </w:rPr>
            </w:pPr>
            <w:r>
              <w:rPr>
                <w:rFonts w:hint="eastAsia" w:cs="仿宋" w:asciiTheme="majorEastAsia" w:hAnsiTheme="majorEastAsia" w:eastAsiaTheme="majorEastAsia"/>
                <w:color w:val="auto"/>
                <w:szCs w:val="21"/>
                <w:highlight w:val="none"/>
              </w:rPr>
              <w:t>奖励4000元/次</w:t>
            </w:r>
          </w:p>
        </w:tc>
      </w:tr>
    </w:tbl>
    <w:p w14:paraId="639408C8">
      <w:pPr>
        <w:pStyle w:val="130"/>
        <w:spacing w:before="0"/>
        <w:ind w:firstLine="0" w:firstLineChars="0"/>
        <w:outlineLvl w:val="2"/>
        <w:rPr>
          <w:rFonts w:hint="default" w:asciiTheme="minorEastAsia" w:hAnsiTheme="minorEastAsia" w:eastAsiaTheme="minorEastAsia"/>
          <w:bCs/>
          <w:color w:val="auto"/>
          <w:szCs w:val="24"/>
          <w:highlight w:val="none"/>
          <w:lang w:val="en-US" w:eastAsia="zh-CN"/>
        </w:rPr>
      </w:pPr>
      <w:r>
        <w:rPr>
          <w:rFonts w:hint="eastAsia" w:asciiTheme="minorEastAsia" w:hAnsiTheme="minorEastAsia" w:eastAsiaTheme="minorEastAsia"/>
          <w:bCs/>
          <w:color w:val="auto"/>
          <w:szCs w:val="24"/>
          <w:highlight w:val="none"/>
          <w:lang w:val="en-US" w:eastAsia="zh-CN"/>
        </w:rPr>
        <w:t xml:space="preserve">    本条约定的项目管理考核的各种扣款行为，均被视为乙方各种违约责任承担的方式。</w:t>
      </w:r>
    </w:p>
    <w:p w14:paraId="55CBEDA7">
      <w:pPr>
        <w:spacing w:line="440" w:lineRule="exact"/>
        <w:ind w:firstLine="472" w:firstLineChars="196"/>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九、质量要求</w:t>
      </w:r>
    </w:p>
    <w:p w14:paraId="3FF4B3D9">
      <w:pPr>
        <w:snapToGrid w:val="0"/>
        <w:spacing w:line="440" w:lineRule="exact"/>
        <w:ind w:firstLine="480" w:firstLineChars="200"/>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严格按</w:t>
      </w:r>
      <w:r>
        <w:rPr>
          <w:rFonts w:hint="eastAsia" w:asciiTheme="minorEastAsia" w:hAnsiTheme="minorEastAsia" w:eastAsiaTheme="minorEastAsia"/>
          <w:color w:val="auto"/>
          <w:sz w:val="24"/>
          <w:highlight w:val="none"/>
        </w:rPr>
        <w:t>《关于印发2022年度各区县（市）政府（管委会）城市管理目标考核相关评分细则的通知》（杭城管综执联办﹝2022﹞1号）、《2019年杭州市垃圾分类日常管理检查考核办法》</w:t>
      </w:r>
      <w:r>
        <w:rPr>
          <w:rFonts w:hint="eastAsia" w:cs="仿宋" w:asciiTheme="minorEastAsia" w:hAnsiTheme="minorEastAsia" w:eastAsiaTheme="minorEastAsia"/>
          <w:bCs/>
          <w:color w:val="auto"/>
          <w:sz w:val="24"/>
          <w:highlight w:val="none"/>
        </w:rPr>
        <w:t>中明确的相关要求执行。</w:t>
      </w:r>
    </w:p>
    <w:p w14:paraId="4141398C">
      <w:pPr>
        <w:snapToGrid w:val="0"/>
        <w:spacing w:line="440" w:lineRule="exact"/>
        <w:ind w:firstLine="480" w:firstLineChars="200"/>
        <w:rPr>
          <w:rFonts w:hint="eastAsia" w:cs="仿宋" w:asciiTheme="minorEastAsia" w:hAnsiTheme="minorEastAsia" w:eastAsiaTheme="minorEastAsia"/>
          <w:b/>
          <w:bCs/>
          <w:color w:val="auto"/>
          <w:sz w:val="24"/>
          <w:highlight w:val="none"/>
        </w:rPr>
      </w:pPr>
      <w:r>
        <w:rPr>
          <w:rFonts w:hint="eastAsia" w:cs="仿宋" w:asciiTheme="minorEastAsia" w:hAnsiTheme="minorEastAsia" w:eastAsiaTheme="minorEastAsia"/>
          <w:bCs/>
          <w:color w:val="auto"/>
          <w:sz w:val="24"/>
          <w:highlight w:val="none"/>
        </w:rPr>
        <w:t>实行街巷清扫保洁时间段内不间断巡回保洁，各类街巷每日规定时间前完成一遍普扫，慢车道、人行道需安排保洁人员落实全天候巡回保洁。</w:t>
      </w:r>
    </w:p>
    <w:p w14:paraId="5AEC1B50">
      <w:pPr>
        <w:snapToGrid w:val="0"/>
        <w:spacing w:line="440" w:lineRule="exact"/>
        <w:ind w:firstLine="480" w:firstLineChars="200"/>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 xml:space="preserve">道路垃圾不得反扫、漏扫，垃圾不得扫入窨井、绿地等。 </w:t>
      </w:r>
    </w:p>
    <w:p w14:paraId="3BC7F82C">
      <w:pPr>
        <w:snapToGrid w:val="0"/>
        <w:spacing w:line="440" w:lineRule="exact"/>
        <w:ind w:firstLine="480" w:firstLineChars="200"/>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保洁质量应达到路面、人行道“五无”、“五净”。即“五无”：道路无垃圾、无杂物、无积泥、无积水、无污迹；“五净”：路面干净、绿地和树圈干净，边角侧石干净，雨水井沟眼畅通干净，垃圾桶、果壳箱等环卫设施及交通隔离栏（墩）、路灯杆和交通信号杆（2.2米以下部分）干净。</w:t>
      </w:r>
    </w:p>
    <w:p w14:paraId="14284C95">
      <w:pPr>
        <w:spacing w:line="440" w:lineRule="exact"/>
        <w:ind w:firstLine="354" w:firstLineChars="147"/>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十、安全管理</w:t>
      </w:r>
    </w:p>
    <w:p w14:paraId="078C0491">
      <w:pPr>
        <w:spacing w:line="440" w:lineRule="exact"/>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乙方必须加强安全管理工作，定期进行安全培训。发生各类事故后乙方应及时向甲方报告，并自行负责处理。如事故因乙方责任导致发生的，甲方将视情况对乙方做出经济处罚，情节严重的可直接终止合同。</w:t>
      </w:r>
    </w:p>
    <w:p w14:paraId="073FE012">
      <w:pPr>
        <w:spacing w:line="440" w:lineRule="exact"/>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乙方在履行过程中，若给自身及任何第三方造成人身及财产损失的，相应的行政、经济、法律责任，均由乙方承担</w:t>
      </w:r>
      <w:r>
        <w:rPr>
          <w:rFonts w:hint="eastAsia" w:cs="宋体" w:asciiTheme="minorEastAsia" w:hAnsiTheme="minorEastAsia" w:eastAsiaTheme="minorEastAsia"/>
          <w:color w:val="auto"/>
          <w:kern w:val="0"/>
          <w:sz w:val="24"/>
          <w:highlight w:val="none"/>
          <w:lang w:val="en-US" w:eastAsia="zh-CN"/>
        </w:rPr>
        <w:t>；若甲方已先行垫付，乙方须立即支付甲方。</w:t>
      </w:r>
    </w:p>
    <w:p w14:paraId="484BE980">
      <w:pPr>
        <w:spacing w:line="440" w:lineRule="exact"/>
        <w:ind w:firstLine="482" w:firstLineChars="200"/>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十一、警告</w:t>
      </w:r>
      <w:r>
        <w:rPr>
          <w:rFonts w:hint="eastAsia" w:cs="宋体" w:asciiTheme="minorEastAsia" w:hAnsiTheme="minorEastAsia" w:eastAsiaTheme="minorEastAsia"/>
          <w:b/>
          <w:bCs/>
          <w:color w:val="auto"/>
          <w:sz w:val="24"/>
          <w:highlight w:val="none"/>
          <w:lang w:val="en-US" w:eastAsia="zh-CN"/>
        </w:rPr>
        <w:t>及解除、</w:t>
      </w:r>
      <w:r>
        <w:rPr>
          <w:rFonts w:hint="eastAsia" w:cs="宋体" w:asciiTheme="minorEastAsia" w:hAnsiTheme="minorEastAsia" w:eastAsiaTheme="minorEastAsia"/>
          <w:b/>
          <w:bCs/>
          <w:color w:val="auto"/>
          <w:sz w:val="24"/>
          <w:highlight w:val="none"/>
        </w:rPr>
        <w:t>退出办法</w:t>
      </w:r>
    </w:p>
    <w:p w14:paraId="089D403C">
      <w:pPr>
        <w:spacing w:line="440" w:lineRule="exact"/>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1、警告。在项目管理中，有下列情景之一的给予一次警告：</w:t>
      </w:r>
    </w:p>
    <w:p w14:paraId="2D335478">
      <w:pPr>
        <w:spacing w:line="440" w:lineRule="exact"/>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（1）合同标段数字城管问题及时整改率未达到100%的。</w:t>
      </w:r>
    </w:p>
    <w:p w14:paraId="3C5843F3">
      <w:pPr>
        <w:spacing w:line="440" w:lineRule="exact"/>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（2）市、区领导检查发现抄告问题未限期整改到位的。</w:t>
      </w:r>
    </w:p>
    <w:p w14:paraId="0D39092D">
      <w:pPr>
        <w:spacing w:line="440" w:lineRule="exact"/>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（3）管理混乱，发生长期拖欠工资或保洁人员集体上访的。</w:t>
      </w:r>
    </w:p>
    <w:p w14:paraId="555095CD">
      <w:pPr>
        <w:spacing w:line="440" w:lineRule="exact"/>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（4）不遵守交通法规，未按照规程操作发生有责交通事故的。</w:t>
      </w:r>
    </w:p>
    <w:p w14:paraId="4EC79FF6">
      <w:pPr>
        <w:spacing w:line="440" w:lineRule="exact"/>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（5）遇有重大活动或突发事件时，未按要求落实作业机具和人员，保障不力而造成严重不良影响的。</w:t>
      </w:r>
    </w:p>
    <w:p w14:paraId="3093631F">
      <w:pPr>
        <w:spacing w:line="440" w:lineRule="exact"/>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2、退出。在项目管理中，符合以下之一的予以退出，</w:t>
      </w:r>
      <w:r>
        <w:rPr>
          <w:rFonts w:hint="eastAsia" w:cs="宋体" w:asciiTheme="minorEastAsia" w:hAnsiTheme="minorEastAsia" w:eastAsiaTheme="minorEastAsia"/>
          <w:color w:val="auto"/>
          <w:sz w:val="24"/>
          <w:highlight w:val="none"/>
          <w:lang w:val="en-US" w:eastAsia="zh-CN"/>
        </w:rPr>
        <w:t>甲方可单方</w:t>
      </w:r>
      <w:r>
        <w:rPr>
          <w:rFonts w:hint="eastAsia" w:cs="宋体" w:asciiTheme="minorEastAsia" w:hAnsiTheme="minorEastAsia" w:eastAsiaTheme="minorEastAsia"/>
          <w:color w:val="auto"/>
          <w:sz w:val="24"/>
          <w:highlight w:val="none"/>
        </w:rPr>
        <w:t>提前</w:t>
      </w:r>
      <w:r>
        <w:rPr>
          <w:rFonts w:hint="eastAsia" w:cs="宋体" w:asciiTheme="minorEastAsia" w:hAnsiTheme="minorEastAsia" w:eastAsiaTheme="minorEastAsia"/>
          <w:color w:val="auto"/>
          <w:sz w:val="24"/>
          <w:highlight w:val="none"/>
          <w:lang w:val="en-US" w:eastAsia="zh-CN"/>
        </w:rPr>
        <w:t>解除</w:t>
      </w:r>
      <w:r>
        <w:rPr>
          <w:rFonts w:hint="eastAsia" w:cs="宋体" w:asciiTheme="minorEastAsia" w:hAnsiTheme="minorEastAsia" w:eastAsiaTheme="minorEastAsia"/>
          <w:color w:val="auto"/>
          <w:sz w:val="24"/>
          <w:highlight w:val="none"/>
        </w:rPr>
        <w:t>终止合同</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解除效力自甲方的解除通知送达乙方之日起生效</w:t>
      </w:r>
      <w:r>
        <w:rPr>
          <w:rFonts w:hint="eastAsia" w:cs="宋体" w:asciiTheme="minorEastAsia" w:hAnsiTheme="minorEastAsia" w:eastAsiaTheme="minorEastAsia"/>
          <w:color w:val="auto"/>
          <w:sz w:val="24"/>
          <w:highlight w:val="none"/>
        </w:rPr>
        <w:t>：</w:t>
      </w:r>
    </w:p>
    <w:p w14:paraId="4C507561">
      <w:pPr>
        <w:spacing w:line="440" w:lineRule="exact"/>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（1）组织管理机构、人员素质、保洁人数与投标承诺不符，无法完成项目服务任务的。</w:t>
      </w:r>
    </w:p>
    <w:p w14:paraId="5DA837CE">
      <w:pPr>
        <w:spacing w:line="440" w:lineRule="exact"/>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（2）同一合同标段在合同期一年内累计被警告3次以上的。</w:t>
      </w:r>
    </w:p>
    <w:p w14:paraId="2FD419AF">
      <w:pPr>
        <w:spacing w:line="440" w:lineRule="exact"/>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（3）未落实《杭州市人民政府办公厅关于进一步解决环卫工人实际困难保障其合法权益的意见》（杭政办〔2008〕14号）文件相关规定要求的。</w:t>
      </w:r>
    </w:p>
    <w:p w14:paraId="35AB947D">
      <w:pPr>
        <w:spacing w:line="440" w:lineRule="exact"/>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未落实《杭州市人民政府办公厅关于进一步解决环卫工人实际困难保障其合法权益的意见》（杭政办〔2008〕14号）文件相关规定要求，导致保洁、保安人员发生集体上访、聚集等群体性事件的，属乙方责任的；视情节由乙方承担违约责任10万元至20万元。</w:t>
      </w:r>
    </w:p>
    <w:p w14:paraId="32C6B2D9">
      <w:pPr>
        <w:spacing w:line="440" w:lineRule="exact"/>
        <w:ind w:firstLine="480" w:firstLineChars="200"/>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本条约定的解除或终止合同，甲方并不承担任何赔偿及违约责任。</w:t>
      </w:r>
    </w:p>
    <w:p w14:paraId="5C5044A4">
      <w:pPr>
        <w:snapToGrid w:val="0"/>
        <w:spacing w:line="440" w:lineRule="exact"/>
        <w:ind w:firstLine="482" w:firstLineChars="200"/>
        <w:rPr>
          <w:rFonts w:hint="eastAsia" w:cs="仿宋"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十二、履约保证金</w:t>
      </w:r>
    </w:p>
    <w:p w14:paraId="394C3167">
      <w:pPr>
        <w:snapToGrid w:val="0"/>
        <w:spacing w:line="440" w:lineRule="exact"/>
        <w:ind w:firstLine="480" w:firstLineChars="200"/>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rPr>
        <w:t>1、</w:t>
      </w:r>
      <w:r>
        <w:rPr>
          <w:rFonts w:hint="eastAsia" w:cs="仿宋" w:asciiTheme="minorEastAsia" w:hAnsiTheme="minorEastAsia" w:eastAsiaTheme="minorEastAsia"/>
          <w:color w:val="auto"/>
          <w:sz w:val="24"/>
          <w:highlight w:val="none"/>
          <w:lang w:val="en-US" w:eastAsia="zh-CN"/>
        </w:rPr>
        <w:t>乙方</w:t>
      </w:r>
      <w:r>
        <w:rPr>
          <w:rFonts w:hint="eastAsia" w:cs="仿宋" w:asciiTheme="minorEastAsia" w:hAnsiTheme="minorEastAsia" w:eastAsiaTheme="minorEastAsia"/>
          <w:color w:val="auto"/>
          <w:sz w:val="24"/>
          <w:highlight w:val="none"/>
        </w:rPr>
        <w:t>在收到中标通知书后，需向</w:t>
      </w:r>
      <w:r>
        <w:rPr>
          <w:rFonts w:hint="eastAsia" w:cs="仿宋" w:asciiTheme="minorEastAsia" w:hAnsiTheme="minorEastAsia" w:eastAsiaTheme="minorEastAsia"/>
          <w:color w:val="auto"/>
          <w:sz w:val="24"/>
          <w:highlight w:val="none"/>
          <w:lang w:val="en-US" w:eastAsia="zh-CN"/>
        </w:rPr>
        <w:t>甲方</w:t>
      </w:r>
      <w:r>
        <w:rPr>
          <w:rFonts w:hint="eastAsia" w:cs="仿宋" w:asciiTheme="minorEastAsia" w:hAnsiTheme="minorEastAsia" w:eastAsiaTheme="minorEastAsia"/>
          <w:color w:val="auto"/>
          <w:sz w:val="24"/>
          <w:highlight w:val="none"/>
        </w:rPr>
        <w:t>提供合同总价1％的履约保证金。履约保证金在</w:t>
      </w:r>
      <w:r>
        <w:rPr>
          <w:rFonts w:hint="eastAsia" w:cs="仿宋" w:asciiTheme="minorEastAsia" w:hAnsiTheme="minorEastAsia" w:eastAsiaTheme="minorEastAsia"/>
          <w:color w:val="auto"/>
          <w:sz w:val="24"/>
          <w:highlight w:val="none"/>
          <w:lang w:val="en-US" w:eastAsia="zh-CN"/>
        </w:rPr>
        <w:t>合同双方</w:t>
      </w:r>
      <w:r>
        <w:rPr>
          <w:rFonts w:hint="eastAsia" w:cs="仿宋" w:asciiTheme="minorEastAsia" w:hAnsiTheme="minorEastAsia" w:eastAsiaTheme="minorEastAsia"/>
          <w:color w:val="auto"/>
          <w:sz w:val="24"/>
          <w:highlight w:val="none"/>
        </w:rPr>
        <w:t>签订合同前递交。履约保证金自提交之日起至项目结束前有效。</w:t>
      </w:r>
    </w:p>
    <w:p w14:paraId="27BD810D">
      <w:pPr>
        <w:snapToGrid w:val="0"/>
        <w:spacing w:line="440" w:lineRule="exact"/>
        <w:ind w:firstLine="480" w:firstLineChars="200"/>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rPr>
        <w:t xml:space="preserve">    2、甲方有权从履约保证金中扣除用于修复乙方损坏甲方的设备、设施、场地或因乙方违约而导致损失的金额或违约金，且乙方应在接到扣除履约保证金通知后一周内补足扣除差额，保证承包期间履约保证金的完整。</w:t>
      </w:r>
    </w:p>
    <w:p w14:paraId="44AB5F1C">
      <w:pPr>
        <w:snapToGrid w:val="0"/>
        <w:spacing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    3、甲方认为乙方在承包期内没有涉及甲方</w:t>
      </w:r>
      <w:r>
        <w:rPr>
          <w:rFonts w:hint="eastAsia" w:cs="仿宋" w:asciiTheme="minorEastAsia" w:hAnsiTheme="minorEastAsia" w:eastAsiaTheme="minorEastAsia"/>
          <w:color w:val="auto"/>
          <w:sz w:val="24"/>
          <w:highlight w:val="none"/>
          <w:lang w:val="en-US" w:eastAsia="zh-CN"/>
        </w:rPr>
        <w:t>或第三方</w:t>
      </w:r>
      <w:r>
        <w:rPr>
          <w:rFonts w:hint="eastAsia" w:cs="仿宋" w:asciiTheme="minorEastAsia" w:hAnsiTheme="minorEastAsia" w:eastAsiaTheme="minorEastAsia"/>
          <w:color w:val="auto"/>
          <w:sz w:val="24"/>
          <w:highlight w:val="none"/>
        </w:rPr>
        <w:t>的应付而未付金额或违约行为，甲方在承包期满后或提前终止承包后一个月内全额退还履约保证金</w:t>
      </w:r>
      <w:r>
        <w:rPr>
          <w:rFonts w:hint="eastAsia" w:cs="仿宋" w:asciiTheme="minorEastAsia" w:hAnsiTheme="minorEastAsia" w:eastAsiaTheme="minorEastAsia"/>
          <w:color w:val="auto"/>
          <w:sz w:val="24"/>
          <w:highlight w:val="none"/>
          <w:lang w:val="en-US" w:eastAsia="zh-CN"/>
        </w:rPr>
        <w:t>本金</w:t>
      </w:r>
      <w:r>
        <w:rPr>
          <w:rFonts w:hint="eastAsia" w:cs="仿宋" w:asciiTheme="minorEastAsia" w:hAnsiTheme="minorEastAsia" w:eastAsiaTheme="minorEastAsia"/>
          <w:color w:val="auto"/>
          <w:sz w:val="24"/>
          <w:highlight w:val="none"/>
        </w:rPr>
        <w:t>，否则，甲方将在扣除乙方应付金额或违约金后退还保证金</w:t>
      </w:r>
      <w:r>
        <w:rPr>
          <w:rFonts w:hint="eastAsia" w:cs="仿宋" w:asciiTheme="minorEastAsia" w:hAnsiTheme="minorEastAsia" w:eastAsiaTheme="minorEastAsia"/>
          <w:color w:val="auto"/>
          <w:sz w:val="24"/>
          <w:highlight w:val="none"/>
          <w:lang w:val="en-US" w:eastAsia="zh-CN"/>
        </w:rPr>
        <w:t>本金</w:t>
      </w:r>
      <w:r>
        <w:rPr>
          <w:rFonts w:hint="eastAsia" w:cs="仿宋" w:asciiTheme="minorEastAsia" w:hAnsiTheme="minorEastAsia" w:eastAsiaTheme="minorEastAsia"/>
          <w:color w:val="auto"/>
          <w:sz w:val="24"/>
          <w:highlight w:val="none"/>
        </w:rPr>
        <w:t xml:space="preserve">余额。   </w:t>
      </w:r>
    </w:p>
    <w:p w14:paraId="04762ED4">
      <w:pPr>
        <w:spacing w:line="440" w:lineRule="exact"/>
        <w:ind w:firstLine="482" w:firstLineChars="200"/>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十三、违约责任</w:t>
      </w:r>
    </w:p>
    <w:p w14:paraId="6565B08A">
      <w:pPr>
        <w:spacing w:line="440" w:lineRule="exact"/>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1、乙方不得以任何形式</w:t>
      </w:r>
      <w:r>
        <w:rPr>
          <w:rFonts w:hint="eastAsia" w:cs="宋体" w:asciiTheme="minorEastAsia" w:hAnsiTheme="minorEastAsia" w:eastAsiaTheme="minorEastAsia"/>
          <w:color w:val="auto"/>
          <w:sz w:val="24"/>
          <w:highlight w:val="none"/>
          <w:lang w:val="en-US" w:eastAsia="zh-CN"/>
        </w:rPr>
        <w:t>及理由</w:t>
      </w:r>
      <w:r>
        <w:rPr>
          <w:rFonts w:hint="eastAsia" w:cs="宋体" w:asciiTheme="minorEastAsia" w:hAnsiTheme="minorEastAsia" w:eastAsiaTheme="minorEastAsia"/>
          <w:color w:val="auto"/>
          <w:sz w:val="24"/>
          <w:highlight w:val="none"/>
        </w:rPr>
        <w:t>将本合同项下之义务</w:t>
      </w:r>
      <w:r>
        <w:rPr>
          <w:rFonts w:hint="eastAsia" w:cs="宋体" w:asciiTheme="minorEastAsia" w:hAnsiTheme="minorEastAsia" w:eastAsiaTheme="minorEastAsia"/>
          <w:color w:val="auto"/>
          <w:sz w:val="24"/>
          <w:highlight w:val="none"/>
          <w:lang w:val="en-US" w:eastAsia="zh-CN"/>
        </w:rPr>
        <w:t>的部分及全部，</w:t>
      </w:r>
      <w:r>
        <w:rPr>
          <w:rFonts w:hint="eastAsia" w:cs="宋体" w:asciiTheme="minorEastAsia" w:hAnsiTheme="minorEastAsia" w:eastAsiaTheme="minorEastAsia"/>
          <w:color w:val="auto"/>
          <w:sz w:val="24"/>
          <w:highlight w:val="none"/>
        </w:rPr>
        <w:t>转（分）包给任何第三方实施；</w:t>
      </w:r>
      <w:r>
        <w:rPr>
          <w:rFonts w:hint="eastAsia" w:cs="宋体" w:asciiTheme="minorEastAsia" w:hAnsiTheme="minorEastAsia" w:eastAsiaTheme="minorEastAsia"/>
          <w:color w:val="auto"/>
          <w:sz w:val="24"/>
          <w:highlight w:val="none"/>
          <w:lang w:val="en-US" w:eastAsia="zh-CN"/>
        </w:rPr>
        <w:t>且乙方承诺其在本合同履行期间，完全具备履行本合同所需具备的真实、合法、有效的资质；</w:t>
      </w:r>
      <w:r>
        <w:rPr>
          <w:rFonts w:hint="eastAsia" w:cs="宋体" w:asciiTheme="minorEastAsia" w:hAnsiTheme="minorEastAsia" w:eastAsiaTheme="minorEastAsia"/>
          <w:color w:val="auto"/>
          <w:sz w:val="24"/>
          <w:highlight w:val="none"/>
        </w:rPr>
        <w:t>否则，甲方可提前解除本合同，并由乙方承担合同总价20%的违约责任。</w:t>
      </w:r>
    </w:p>
    <w:p w14:paraId="745D34CE">
      <w:pPr>
        <w:spacing w:line="440" w:lineRule="exact"/>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2、合同履行后，未经对方书面许可，任何乙方不得提前终止本合同的履行；否则，违约方应承担合同总价20%的违约责任。</w:t>
      </w:r>
    </w:p>
    <w:p w14:paraId="03F5F253">
      <w:pPr>
        <w:spacing w:line="440" w:lineRule="exact"/>
        <w:ind w:firstLine="480" w:firstLineChars="200"/>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3、本合同不论以何种原因解除、终止，乙方均须无条件按甲方要求，及时配合向甲方及第三方进行移交、交接，并将全部人员及乙方物品全部撤场。不配合或逾期履行本项义务的，视为乙方违约，承担合同总价20%违约金。</w:t>
      </w:r>
    </w:p>
    <w:p w14:paraId="5873ADAD">
      <w:pPr>
        <w:spacing w:line="440" w:lineRule="exact"/>
        <w:ind w:firstLine="482" w:firstLineChars="200"/>
        <w:rPr>
          <w:rFonts w:hint="default" w:cs="宋体" w:asciiTheme="minorEastAsia" w:hAnsiTheme="minorEastAsia" w:eastAsiaTheme="minorEastAsia"/>
          <w:b/>
          <w:bCs/>
          <w:color w:val="auto"/>
          <w:sz w:val="24"/>
          <w:highlight w:val="none"/>
          <w:lang w:val="en-US" w:eastAsia="zh-CN"/>
        </w:rPr>
      </w:pPr>
      <w:r>
        <w:rPr>
          <w:rFonts w:hint="eastAsia" w:cs="宋体" w:asciiTheme="minorEastAsia" w:hAnsiTheme="minorEastAsia" w:eastAsiaTheme="minorEastAsia"/>
          <w:b/>
          <w:bCs/>
          <w:color w:val="auto"/>
          <w:sz w:val="24"/>
          <w:highlight w:val="none"/>
        </w:rPr>
        <w:t>十四、合同变更及解除</w:t>
      </w:r>
      <w:r>
        <w:rPr>
          <w:rFonts w:hint="eastAsia" w:cs="宋体" w:asciiTheme="minorEastAsia" w:hAnsiTheme="minorEastAsia" w:eastAsiaTheme="minorEastAsia"/>
          <w:b/>
          <w:bCs/>
          <w:color w:val="auto"/>
          <w:sz w:val="24"/>
          <w:highlight w:val="none"/>
          <w:lang w:eastAsia="zh-CN"/>
        </w:rPr>
        <w:t>、</w:t>
      </w:r>
      <w:r>
        <w:rPr>
          <w:rFonts w:hint="eastAsia" w:cs="宋体" w:asciiTheme="minorEastAsia" w:hAnsiTheme="minorEastAsia" w:eastAsiaTheme="minorEastAsia"/>
          <w:b/>
          <w:bCs/>
          <w:color w:val="auto"/>
          <w:sz w:val="24"/>
          <w:highlight w:val="none"/>
          <w:lang w:val="en-US" w:eastAsia="zh-CN"/>
        </w:rPr>
        <w:t>管辖</w:t>
      </w:r>
    </w:p>
    <w:p w14:paraId="53B0085A">
      <w:pPr>
        <w:spacing w:line="440" w:lineRule="exact"/>
        <w:ind w:firstLine="480" w:firstLineChars="200"/>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rPr>
        <w:t xml:space="preserve">    1、在承包期间发生地震、火灾及其他双方不能控制的原因，导致承包区域不能正常经营，合同不能或不能全部履行。双方可以按以下各项执行：</w:t>
      </w:r>
    </w:p>
    <w:p w14:paraId="2C0F0938">
      <w:pPr>
        <w:spacing w:line="440" w:lineRule="exact"/>
        <w:ind w:firstLine="480" w:firstLineChars="200"/>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rPr>
        <w:t xml:space="preserve">    2、任何一方可以书面形式终止合同无需做出任何赔偿。</w:t>
      </w:r>
    </w:p>
    <w:p w14:paraId="32E4FF34">
      <w:pPr>
        <w:spacing w:line="440" w:lineRule="exact"/>
        <w:ind w:firstLine="480" w:firstLineChars="200"/>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rPr>
        <w:t xml:space="preserve">    3、因不可抗力导致合同终止，并不影响任何一方对不可抗力先前发生的违约行为合法追偿。</w:t>
      </w:r>
    </w:p>
    <w:p w14:paraId="37961DDC">
      <w:pPr>
        <w:spacing w:line="440" w:lineRule="exact"/>
        <w:ind w:firstLine="480" w:firstLineChars="200"/>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rPr>
        <w:t xml:space="preserve">    4、甲方不负责因不可抗力造成合同不能正常履行的责任。</w:t>
      </w:r>
    </w:p>
    <w:p w14:paraId="396A562A">
      <w:pPr>
        <w:spacing w:line="440" w:lineRule="exact"/>
        <w:ind w:firstLine="480" w:firstLineChars="200"/>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rPr>
        <w:t xml:space="preserve">    5、因不可抗力造成甲方的损害，甲方的保险赔偿不受影响。对恢复承包合同期间的价格及其它费用双方可以协商解决。</w:t>
      </w:r>
    </w:p>
    <w:p w14:paraId="0F236449">
      <w:pPr>
        <w:spacing w:line="440" w:lineRule="exact"/>
        <w:ind w:firstLine="480" w:firstLineChars="200"/>
        <w:rPr>
          <w:rFonts w:hint="eastAsia" w:cs="宋体" w:asciiTheme="minorEastAsia" w:hAnsiTheme="minorEastAsia" w:eastAsiaTheme="minorEastAsia"/>
          <w:b/>
          <w:bCs/>
          <w:color w:val="auto"/>
          <w:sz w:val="24"/>
          <w:highlight w:val="none"/>
        </w:rPr>
      </w:pPr>
      <w:r>
        <w:rPr>
          <w:rFonts w:hint="eastAsia" w:cs="仿宋" w:asciiTheme="minorEastAsia" w:hAnsiTheme="minorEastAsia" w:eastAsiaTheme="minorEastAsia"/>
          <w:color w:val="auto"/>
          <w:sz w:val="24"/>
          <w:highlight w:val="none"/>
        </w:rPr>
        <w:t xml:space="preserve">    6、遇国家政策性调整，影响合同履行，双方协商解决。</w:t>
      </w:r>
    </w:p>
    <w:p w14:paraId="73EDCE39">
      <w:pPr>
        <w:spacing w:line="440" w:lineRule="exact"/>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7、本合同如发生纠纷，甲、乙双方应当及时协商解决，如协商不成，交由甲方所在地人民法院裁决。</w:t>
      </w:r>
    </w:p>
    <w:p w14:paraId="2B8C046E">
      <w:pPr>
        <w:spacing w:line="440" w:lineRule="exact"/>
        <w:ind w:firstLine="482" w:firstLineChars="200"/>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十五、其它</w:t>
      </w:r>
    </w:p>
    <w:p w14:paraId="21C18C10">
      <w:pPr>
        <w:pStyle w:val="35"/>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本合同一式陆份，甲乙双方各执二份，上级市容环卫主管部门执一份，采购代理机构执一份。本合同经甲乙双方法定代表人或其委托人签字</w:t>
      </w:r>
      <w:r>
        <w:rPr>
          <w:rFonts w:hint="eastAsia" w:cs="宋体" w:asciiTheme="minorEastAsia" w:hAnsiTheme="minorEastAsia" w:eastAsiaTheme="minorEastAsia"/>
          <w:color w:val="auto"/>
          <w:sz w:val="24"/>
          <w:szCs w:val="24"/>
          <w:highlight w:val="none"/>
          <w:lang w:val="en-US" w:eastAsia="zh-CN"/>
        </w:rPr>
        <w:t>并</w:t>
      </w:r>
      <w:r>
        <w:rPr>
          <w:rFonts w:hint="eastAsia" w:cs="宋体" w:asciiTheme="minorEastAsia" w:hAnsiTheme="minorEastAsia" w:eastAsiaTheme="minorEastAsia"/>
          <w:color w:val="auto"/>
          <w:sz w:val="24"/>
          <w:szCs w:val="24"/>
          <w:highlight w:val="none"/>
        </w:rPr>
        <w:t>盖章后生效。</w:t>
      </w:r>
    </w:p>
    <w:p w14:paraId="13A0CA7F">
      <w:pPr>
        <w:pStyle w:val="35"/>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本合同双方预留地址为真实、合法、有效地址，若以该地址为送达邮寄地址的，均被视文书的</w:t>
      </w:r>
      <w:r>
        <w:rPr>
          <w:rFonts w:hint="eastAsia" w:cs="宋体" w:asciiTheme="minorEastAsia" w:hAnsiTheme="minorEastAsia" w:eastAsiaTheme="minorEastAsia"/>
          <w:color w:val="auto"/>
          <w:sz w:val="24"/>
          <w:szCs w:val="24"/>
          <w:highlight w:val="none"/>
          <w:lang w:val="en-US" w:eastAsia="zh-CN"/>
        </w:rPr>
        <w:t>真实、</w:t>
      </w:r>
      <w:r>
        <w:rPr>
          <w:rFonts w:hint="eastAsia" w:cs="宋体" w:asciiTheme="minorEastAsia" w:hAnsiTheme="minorEastAsia" w:eastAsiaTheme="minorEastAsia"/>
          <w:color w:val="auto"/>
          <w:sz w:val="24"/>
          <w:szCs w:val="24"/>
          <w:highlight w:val="none"/>
        </w:rPr>
        <w:t>合法、有效送达。</w:t>
      </w:r>
    </w:p>
    <w:p w14:paraId="081C5EDA">
      <w:pPr>
        <w:pStyle w:val="35"/>
        <w:spacing w:line="440" w:lineRule="exact"/>
        <w:ind w:firstLine="480" w:firstLineChars="200"/>
        <w:rPr>
          <w:rFonts w:hint="default"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lang w:val="en-US" w:eastAsia="zh-CN"/>
        </w:rPr>
        <w:t>本合同全部附件均为本合同有效组成部分，与本合同同样具有法律效力。</w:t>
      </w:r>
    </w:p>
    <w:p w14:paraId="30282BDD">
      <w:pPr>
        <w:pStyle w:val="35"/>
        <w:spacing w:line="440" w:lineRule="exact"/>
        <w:ind w:firstLine="482" w:firstLineChars="200"/>
        <w:rPr>
          <w:rFonts w:hint="eastAsia" w:cs="宋体" w:asciiTheme="minorEastAsia" w:hAnsiTheme="minorEastAsia" w:eastAsiaTheme="minorEastAsia"/>
          <w:b/>
          <w:bCs/>
          <w:color w:val="auto"/>
          <w:sz w:val="24"/>
          <w:szCs w:val="24"/>
          <w:highlight w:val="none"/>
        </w:rPr>
      </w:pPr>
    </w:p>
    <w:p w14:paraId="2BD90041">
      <w:pPr>
        <w:pStyle w:val="35"/>
        <w:spacing w:line="440" w:lineRule="exact"/>
        <w:ind w:firstLine="480" w:firstLineChars="200"/>
        <w:rPr>
          <w:rFonts w:hint="eastAsia" w:cs="宋体" w:asciiTheme="minorEastAsia" w:hAnsiTheme="minorEastAsia" w:eastAsiaTheme="minorEastAsia"/>
          <w:color w:val="auto"/>
          <w:sz w:val="24"/>
          <w:szCs w:val="24"/>
          <w:highlight w:val="none"/>
        </w:rPr>
      </w:pPr>
    </w:p>
    <w:p w14:paraId="2F52AB9A">
      <w:pPr>
        <w:spacing w:line="440" w:lineRule="exact"/>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甲方：（盖章）                       乙方：（盖章）</w:t>
      </w:r>
    </w:p>
    <w:p w14:paraId="676DC615">
      <w:pPr>
        <w:spacing w:line="440" w:lineRule="exact"/>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                           法定代表人</w:t>
      </w:r>
    </w:p>
    <w:p w14:paraId="15A59966">
      <w:pPr>
        <w:spacing w:line="440" w:lineRule="exact"/>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或其委托人（签字）：                 或其委托人（签字）：</w:t>
      </w:r>
    </w:p>
    <w:p w14:paraId="20CC45DA">
      <w:pPr>
        <w:pStyle w:val="35"/>
        <w:spacing w:line="440" w:lineRule="exact"/>
        <w:ind w:left="5100" w:leftChars="200" w:hanging="4680" w:hangingChars="195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地址：                               地址：</w:t>
      </w:r>
    </w:p>
    <w:p w14:paraId="4F8A5EA1">
      <w:pPr>
        <w:pStyle w:val="35"/>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电话：                               电话：</w:t>
      </w:r>
    </w:p>
    <w:p w14:paraId="329437D2">
      <w:pPr>
        <w:pStyle w:val="35"/>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传真：                               传真：</w:t>
      </w:r>
    </w:p>
    <w:p w14:paraId="494E16C9">
      <w:pPr>
        <w:spacing w:line="440" w:lineRule="exact"/>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开户银行：                           开户银行：</w:t>
      </w:r>
    </w:p>
    <w:p w14:paraId="4FC7F778">
      <w:pPr>
        <w:spacing w:line="440" w:lineRule="exact"/>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账号：                               账号：</w:t>
      </w:r>
    </w:p>
    <w:p w14:paraId="318C623D">
      <w:pPr>
        <w:pStyle w:val="27"/>
        <w:ind w:firstLine="0" w:firstLineChars="0"/>
        <w:rPr>
          <w:color w:val="auto"/>
          <w:highlight w:val="none"/>
        </w:rPr>
      </w:pPr>
    </w:p>
    <w:p w14:paraId="044AC342">
      <w:pPr>
        <w:rPr>
          <w:rFonts w:hint="eastAsia"/>
          <w:color w:val="auto"/>
          <w:highlight w:val="none"/>
          <w:lang w:eastAsia="zh-CN"/>
        </w:rPr>
      </w:pPr>
    </w:p>
    <w:p w14:paraId="2A24D7A4">
      <w:pPr>
        <w:rPr>
          <w:color w:val="auto"/>
          <w:highlight w:val="none"/>
        </w:rPr>
      </w:pPr>
    </w:p>
    <w:p w14:paraId="3815007C">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附件一：作业内容和质量细则要求</w:t>
      </w:r>
    </w:p>
    <w:p w14:paraId="4E320028">
      <w:pPr>
        <w:pStyle w:val="3"/>
        <w:widowControl/>
        <w:tabs>
          <w:tab w:val="left" w:pos="7665"/>
        </w:tabs>
        <w:adjustRightInd/>
        <w:spacing w:before="0" w:after="0" w:line="600" w:lineRule="exact"/>
        <w:ind w:left="0" w:firstLine="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街巷保洁：</w:t>
      </w:r>
    </w:p>
    <w:p w14:paraId="2FFE87B7">
      <w:pPr>
        <w:pStyle w:val="3"/>
        <w:widowControl/>
        <w:tabs>
          <w:tab w:val="left" w:pos="7665"/>
        </w:tabs>
        <w:adjustRightInd/>
        <w:spacing w:before="0" w:after="0" w:line="600" w:lineRule="exact"/>
        <w:ind w:left="0" w:firstLine="0"/>
        <w:rPr>
          <w:rFonts w:hint="eastAsia" w:cs="仿宋" w:asciiTheme="minorEastAsia" w:hAnsiTheme="minorEastAsia" w:eastAsiaTheme="minorEastAsia"/>
          <w:b w:val="0"/>
          <w:bCs w:val="0"/>
          <w:color w:val="auto"/>
          <w:sz w:val="24"/>
          <w:highlight w:val="none"/>
        </w:rPr>
      </w:pPr>
      <w:r>
        <w:rPr>
          <w:rFonts w:hint="eastAsia" w:cs="仿宋" w:asciiTheme="minorEastAsia" w:hAnsiTheme="minorEastAsia" w:eastAsiaTheme="minorEastAsia"/>
          <w:b w:val="0"/>
          <w:bCs w:val="0"/>
          <w:color w:val="auto"/>
          <w:sz w:val="24"/>
          <w:highlight w:val="none"/>
        </w:rPr>
        <w:t>一、街巷范围：</w:t>
      </w:r>
    </w:p>
    <w:p w14:paraId="4BE349F3">
      <w:pPr>
        <w:pStyle w:val="3"/>
        <w:widowControl/>
        <w:tabs>
          <w:tab w:val="left" w:pos="7665"/>
        </w:tabs>
        <w:adjustRightInd/>
        <w:spacing w:before="0" w:after="0" w:line="600" w:lineRule="exact"/>
        <w:ind w:left="214" w:leftChars="102" w:firstLine="352" w:firstLineChars="147"/>
        <w:rPr>
          <w:rFonts w:hint="eastAsia" w:cs="仿宋" w:asciiTheme="minorEastAsia" w:hAnsiTheme="minorEastAsia" w:eastAsiaTheme="minorEastAsia"/>
          <w:b w:val="0"/>
          <w:bCs w:val="0"/>
          <w:color w:val="auto"/>
          <w:kern w:val="2"/>
          <w:sz w:val="24"/>
          <w:szCs w:val="24"/>
          <w:highlight w:val="none"/>
        </w:rPr>
      </w:pPr>
      <w:r>
        <w:rPr>
          <w:rFonts w:hint="eastAsia" w:cs="仿宋" w:asciiTheme="minorEastAsia" w:hAnsiTheme="minorEastAsia" w:eastAsiaTheme="minorEastAsia"/>
          <w:b w:val="0"/>
          <w:bCs w:val="0"/>
          <w:color w:val="auto"/>
          <w:sz w:val="24"/>
          <w:highlight w:val="none"/>
        </w:rPr>
        <w:t>杭州市上城区小营街道南片区（包括金钱巷、长明寺巷、茅廊巷、姚园寺巷、西牌楼、梅花碑6个社区）街巷保洁物业管理一体化服务采购项目，根据杭州市区道路分类保洁管理定额标准，小营街道南片区道路属一类、二类街巷，日均保洁时间为14小时。其中，一类街巷面积：48675.98平方米（定额19.99元/平方米）；二类街巷面积：</w:t>
      </w:r>
      <w:r>
        <w:rPr>
          <w:rFonts w:hint="eastAsia" w:hAnsi="仿宋_GB2312" w:cs="仿宋_GB2312"/>
          <w:b w:val="0"/>
          <w:bCs w:val="0"/>
          <w:color w:val="auto"/>
          <w:kern w:val="2"/>
          <w:sz w:val="24"/>
          <w:szCs w:val="24"/>
          <w:highlight w:val="none"/>
        </w:rPr>
        <w:t>86662.29</w:t>
      </w:r>
      <w:r>
        <w:rPr>
          <w:rFonts w:hint="eastAsia" w:cs="仿宋" w:asciiTheme="minorEastAsia" w:hAnsiTheme="minorEastAsia" w:eastAsiaTheme="minorEastAsia"/>
          <w:b w:val="0"/>
          <w:bCs w:val="0"/>
          <w:color w:val="auto"/>
          <w:sz w:val="24"/>
          <w:highlight w:val="none"/>
        </w:rPr>
        <w:t>平方米（定额18.47元/平方米），绿化保洁面积59312平方米，楼道646个。</w:t>
      </w:r>
      <w:r>
        <w:rPr>
          <w:rFonts w:hint="eastAsia" w:cs="仿宋" w:asciiTheme="minorEastAsia" w:hAnsiTheme="minorEastAsia" w:eastAsiaTheme="minorEastAsia"/>
          <w:b w:val="0"/>
          <w:bCs w:val="0"/>
          <w:color w:val="auto"/>
          <w:kern w:val="2"/>
          <w:sz w:val="24"/>
          <w:szCs w:val="24"/>
          <w:highlight w:val="none"/>
        </w:rPr>
        <w:t>具体如下：</w:t>
      </w:r>
    </w:p>
    <w:p w14:paraId="37E22C42">
      <w:pPr>
        <w:spacing w:line="440" w:lineRule="exact"/>
        <w:ind w:firstLine="480" w:firstLineChars="200"/>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rPr>
        <w:t>1、建筑物内：楼房公共的楼道的路面、扶手、墙面、灯、单元防盗门、公共卫生间、电梯间和电梯内、集中信箱、消防栓、水箱、公共库房、设备房、停车房、管道井、平改坡阁楼、地下室等等。</w:t>
      </w:r>
    </w:p>
    <w:p w14:paraId="4FE9C9F6">
      <w:pPr>
        <w:spacing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    2、建筑物外：小区内大小公共路面、幢间空地，绿化带、护拦、路灯、标识牌、休息椅、公共车棚、垃圾箱（桶）、露天娱乐配套设施、天井平台、墙门院内等。对于雨水井、污水井等设施故障要做好监督和上报处理工作。</w:t>
      </w:r>
    </w:p>
    <w:p w14:paraId="0477D431">
      <w:pPr>
        <w:spacing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二、具体作业要求：</w:t>
      </w:r>
    </w:p>
    <w:p w14:paraId="2BDC01C4">
      <w:pPr>
        <w:spacing w:line="440" w:lineRule="exact"/>
        <w:ind w:left="479" w:leftChars="228"/>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rPr>
        <w:t>（一）住宅小区每天的保洁工作内容：</w:t>
      </w:r>
    </w:p>
    <w:p w14:paraId="2E96E534">
      <w:pPr>
        <w:spacing w:line="440" w:lineRule="exact"/>
        <w:ind w:left="479" w:leftChars="228"/>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rPr>
        <w:t>（1）清运垃圾、清洗垃圾箱（桶）；</w:t>
      </w:r>
    </w:p>
    <w:p w14:paraId="436831F3">
      <w:pPr>
        <w:spacing w:line="440" w:lineRule="exact"/>
        <w:ind w:left="479" w:leftChars="228"/>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（2）清扫小区内大小道路、墙门院内、幢间空地等；</w:t>
      </w:r>
    </w:p>
    <w:p w14:paraId="28396139">
      <w:pPr>
        <w:spacing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（3）清理小区建筑物外部及内部的牛皮癣等；</w:t>
      </w:r>
    </w:p>
    <w:p w14:paraId="46A472E3">
      <w:pPr>
        <w:spacing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（4）清扫小区公共车棚内部及顶部；</w:t>
      </w:r>
    </w:p>
    <w:p w14:paraId="120CE027">
      <w:pPr>
        <w:spacing w:line="440" w:lineRule="exact"/>
        <w:ind w:left="479" w:leftChars="228"/>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rPr>
        <w:t>（5）清扫绿化带内垃圾、杂草等；</w:t>
      </w:r>
    </w:p>
    <w:p w14:paraId="42FD94BD">
      <w:pPr>
        <w:spacing w:line="440" w:lineRule="exact"/>
        <w:ind w:left="479" w:leftChars="228"/>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rPr>
        <w:t>（6）清扫露天娱乐配套设施；</w:t>
      </w:r>
    </w:p>
    <w:p w14:paraId="36B79ADF">
      <w:pPr>
        <w:spacing w:line="440" w:lineRule="exact"/>
        <w:ind w:left="479" w:leftChars="228"/>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（7）擦洗休息椅、草坪灯、指示牌；</w:t>
      </w:r>
    </w:p>
    <w:p w14:paraId="3FB6E030">
      <w:pPr>
        <w:spacing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（8）清理对于乱停放在绿化带及路面上的共享单车（可与保安配套作业，具体由物业公司进行安排分配）；</w:t>
      </w:r>
    </w:p>
    <w:p w14:paraId="010DC8C4">
      <w:pPr>
        <w:spacing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（9）按照相关考核及检查要求完成辖区内垃圾分类减量工作及数字城管案卷处置等。</w:t>
      </w:r>
    </w:p>
    <w:p w14:paraId="57CD63AD">
      <w:pPr>
        <w:spacing w:line="440" w:lineRule="exact"/>
        <w:ind w:left="479" w:leftChars="228"/>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rPr>
        <w:t>（二）、住宅小区每周的保洁内容：</w:t>
      </w:r>
    </w:p>
    <w:p w14:paraId="30AC57BF">
      <w:pPr>
        <w:spacing w:line="440" w:lineRule="exact"/>
        <w:ind w:left="479" w:leftChars="228"/>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（1）清扫楼道内地面、墙面、明沟及辖区卫生死角等；</w:t>
      </w:r>
    </w:p>
    <w:p w14:paraId="4921F1E6">
      <w:pPr>
        <w:spacing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（2）清擦楼道扶手、楼道窗户、墙面附属物（消防栓、公告栏等）、单元防盗门、集中信箱；</w:t>
      </w:r>
    </w:p>
    <w:p w14:paraId="39411D23">
      <w:pPr>
        <w:spacing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（3）老鼠、蟑螂和蚊蝇的消灭（按政府相关规定根据活动及生长规律时间而定）；</w:t>
      </w:r>
    </w:p>
    <w:p w14:paraId="07AC461D">
      <w:pPr>
        <w:spacing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（4）在雨雪天气，应及时对区域内主路、干路，积雪进行清扫；</w:t>
      </w:r>
    </w:p>
    <w:p w14:paraId="0BEF32C7">
      <w:pPr>
        <w:spacing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（5）对于地下车库、平改坡阁楼、楼道内堆积物等定期进行清理。</w:t>
      </w:r>
    </w:p>
    <w:p w14:paraId="00D1C033">
      <w:pPr>
        <w:widowControl/>
        <w:snapToGrid w:val="0"/>
        <w:spacing w:line="440" w:lineRule="exact"/>
        <w:ind w:firstLine="482" w:firstLineChars="200"/>
        <w:rPr>
          <w:rFonts w:hint="eastAsia"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（一）环境卫生：</w:t>
      </w:r>
    </w:p>
    <w:p w14:paraId="48222811">
      <w:pPr>
        <w:spacing w:line="440" w:lineRule="exact"/>
        <w:ind w:firstLine="482" w:firstLineChars="200"/>
        <w:rPr>
          <w:rFonts w:hint="eastAsia"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（1）保洁作业要求</w:t>
      </w:r>
    </w:p>
    <w:p w14:paraId="73BBA4CC">
      <w:pPr>
        <w:spacing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1、清扫作业（以下结合保洁作业附件1相关要求进行考核）</w:t>
      </w:r>
    </w:p>
    <w:p w14:paraId="4982548B">
      <w:pPr>
        <w:spacing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（1）早晨7时前全面清扫干净，上午7时至12时，下午14时至19时动态巡回保洁。</w:t>
      </w:r>
    </w:p>
    <w:p w14:paraId="2C3D98D0">
      <w:pPr>
        <w:spacing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（2）街巷清扫、保洁（含机扫、洒水、洁面工程）必须作业到两边建筑物基石（机扫、洒水到道路侧石），道路岔道、喇叭口清扫向外延伸5米。</w:t>
      </w:r>
    </w:p>
    <w:p w14:paraId="6E18CF0D">
      <w:pPr>
        <w:spacing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车行道、人行道、绿化带（花坛）、天井平台、墙门院内、空地等卫生死角、垃圾箱周围等公共场所要及时清扫并保持干净，路面无杂草、废土；楼道内、地下车库、平改坡阁楼和顶部的公共区域堆积物的定期清理及保洁；污水沟畅通，无垃圾沉积物。</w:t>
      </w:r>
    </w:p>
    <w:p w14:paraId="54160048">
      <w:pPr>
        <w:spacing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（4）街巷沿线、楼道门及楼道内的“牛皮癣”清理及擦洗；楼道清扫、打尘、扶手擦洗每星期不得少于2次。</w:t>
      </w:r>
    </w:p>
    <w:p w14:paraId="18142641">
      <w:pPr>
        <w:spacing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（5）监督沿街街巷两侧店家生活垃圾（包括垃圾桶）的规范投放与清洗，督促店家不得积存垃圾、无明显污迹，对不能自主修复的垃圾桶（箱）应及时上报管理部门。</w:t>
      </w:r>
    </w:p>
    <w:p w14:paraId="74308292">
      <w:pPr>
        <w:spacing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（6）遇有重大活动或抗台、抗雪等突发事件，必须无条件及时组织力量做好清扫保洁、应急等保障工作，服从甲方代表（马市街社区）的统一指挥。</w:t>
      </w:r>
    </w:p>
    <w:p w14:paraId="20056BED">
      <w:pPr>
        <w:spacing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（7）机动、非机动作业车不得停放在消防栓、公交车站旁，停放离人行道侧石不超过20厘米。</w:t>
      </w:r>
    </w:p>
    <w:p w14:paraId="3CD14B67">
      <w:pPr>
        <w:spacing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（8）清扫时要注意风向，按顺风方向清扫。</w:t>
      </w:r>
    </w:p>
    <w:p w14:paraId="1F488AF2">
      <w:pPr>
        <w:spacing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2、清运作业：</w:t>
      </w:r>
    </w:p>
    <w:p w14:paraId="1E70D371">
      <w:pPr>
        <w:spacing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（1）垃圾箱（房）要求在上午8时前清运一遍。垃圾箱（房）的垃圾不溢满、日产日清，垃圾箱（房）每天清运2次以上。</w:t>
      </w:r>
    </w:p>
    <w:p w14:paraId="63D63F44">
      <w:pPr>
        <w:spacing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（2）街巷两侧目测范围内（人行道外边沿5米内）废土应及时发现并及时清除（量比较大时，应及时上报，经核实量后及时作业）。</w:t>
      </w:r>
    </w:p>
    <w:p w14:paraId="03213BAF">
      <w:pPr>
        <w:spacing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（3）片区清扫保洁产生的垃圾按照垃圾减量要求分类入桶，不得扫入市区主次街道。</w:t>
      </w:r>
    </w:p>
    <w:p w14:paraId="6173A5FE">
      <w:pPr>
        <w:spacing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（4）垃圾箱（房）必须加盖上锁，垃圾清运应做到车走地净，垃圾箱周围无遗留垃圾。垃圾收集车应按要求密闭，不得沿路散落垃圾。</w:t>
      </w:r>
    </w:p>
    <w:p w14:paraId="63AD6974">
      <w:pPr>
        <w:spacing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（5）垃圾箱（桶）保持整洁，每天清洗一次。对破损的垃圾桶及时更换，保持美观。</w:t>
      </w:r>
    </w:p>
    <w:p w14:paraId="24172F49">
      <w:pPr>
        <w:spacing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（6）辖区内大件垃圾及时清运、负责对于辖区内居民户新装修产生的垃圾的监管工作，不得影响居民日常生活。</w:t>
      </w:r>
    </w:p>
    <w:p w14:paraId="1C7A2646">
      <w:pPr>
        <w:spacing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（7）做好辖区内垃圾分类服务（定点定人开展垃圾分类服务等），要符合市、区、街道等部门对垃圾分类工作的考核和管理要求。</w:t>
      </w:r>
    </w:p>
    <w:p w14:paraId="225A69A6">
      <w:pPr>
        <w:spacing w:line="440" w:lineRule="exact"/>
        <w:ind w:firstLine="482" w:firstLineChars="200"/>
        <w:rPr>
          <w:rFonts w:hint="eastAsia"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（2）清洁度评价标准</w:t>
      </w:r>
    </w:p>
    <w:p w14:paraId="236C9AB7">
      <w:pPr>
        <w:spacing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清洁度评价依照《关于印发2022年度各区县（市）政府（管委会）城市管理目标考核相关评分细则的通知》（杭城管综执联办﹝2022﹞1号）文件规定执行。</w:t>
      </w:r>
    </w:p>
    <w:p w14:paraId="441BF025">
      <w:pPr>
        <w:spacing w:line="440" w:lineRule="exact"/>
        <w:ind w:firstLine="482" w:firstLineChars="200"/>
        <w:rPr>
          <w:rFonts w:hint="eastAsia"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（3）服务作业及着装规范</w:t>
      </w:r>
    </w:p>
    <w:p w14:paraId="72E844C8">
      <w:pPr>
        <w:spacing w:line="440" w:lineRule="exact"/>
        <w:ind w:firstLine="482" w:firstLineChars="200"/>
        <w:rPr>
          <w:rFonts w:hint="eastAsia"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1）服务规范</w:t>
      </w:r>
    </w:p>
    <w:p w14:paraId="1E7E60ED">
      <w:pPr>
        <w:spacing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1.1  应做到文明、清洁、安全和有序，最大限度地减少对环境的污染和对公众生活的影响。</w:t>
      </w:r>
    </w:p>
    <w:p w14:paraId="6A0DE377">
      <w:pPr>
        <w:spacing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1.2  环卫作业人员应持证上岗。工作期间应穿工作服（含鞋、帽），佩戴工号牌或工作证,着装整洁。</w:t>
      </w:r>
    </w:p>
    <w:p w14:paraId="7B294603">
      <w:pPr>
        <w:spacing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1.3  环卫作业车辆出车前应进行检查，确保车况良好，车容整洁。当日作业结束后，应对车辆进行清洗，保持车辆外观整洁，并做好车辆维护和保养工作。非工作需要不得随意使用环卫专用车辆。</w:t>
      </w:r>
    </w:p>
    <w:p w14:paraId="72093CD5">
      <w:pPr>
        <w:spacing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1.4  合理安排作业计划。在清晨或深夜在居民住宅小区或周边进行环卫作业时，不得大声喧哗，并应注意控制机具噪音。</w:t>
      </w:r>
    </w:p>
    <w:p w14:paraId="0DC0338D">
      <w:pPr>
        <w:spacing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1.5  在寒冷季节，当日作业结束后，应将环卫作业车辆水箱、水管中的水排尽，以防止冻裂。</w:t>
      </w:r>
    </w:p>
    <w:p w14:paraId="0401AF2F">
      <w:pPr>
        <w:spacing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1.6  下雪及雪后应根据需要，及时进行路面除雪作业，消除路面积雪、结冰，为交通畅通创造良好通行条件。</w:t>
      </w:r>
      <w:r>
        <w:rPr>
          <w:rFonts w:hint="eastAsia" w:cs="仿宋" w:asciiTheme="minorEastAsia" w:hAnsiTheme="minorEastAsia" w:eastAsiaTheme="minorEastAsia"/>
          <w:bCs/>
          <w:color w:val="auto"/>
          <w:sz w:val="24"/>
          <w:highlight w:val="none"/>
        </w:rPr>
        <w:t>清理的积雪不得堆放在雨水井口,禁止向路面、绿化带、绿地抛撒积雪。</w:t>
      </w:r>
    </w:p>
    <w:p w14:paraId="1AEBC8AC">
      <w:pPr>
        <w:spacing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1.7  人工清洗作业时应设置荧光锥形筒等警示标识围护清扫保洁区域。</w:t>
      </w:r>
    </w:p>
    <w:p w14:paraId="02497AF3">
      <w:pPr>
        <w:spacing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1.8  环卫作业车辆禁止停放在消防通道、公交车站、盲道等影响车辆和行人通行的公共通道。</w:t>
      </w:r>
    </w:p>
    <w:p w14:paraId="3189A4CE">
      <w:pPr>
        <w:spacing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1.9  垃圾箱（房）、垃圾桶保持整洁，每周至少清洗两次</w:t>
      </w:r>
    </w:p>
    <w:p w14:paraId="460EE1D2">
      <w:pPr>
        <w:spacing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1.10 街巷、楼道沿线张贴物、污染物清理及隔离设施擦洗。</w:t>
      </w:r>
    </w:p>
    <w:p w14:paraId="0BAA14D3">
      <w:pPr>
        <w:spacing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1.11 机动、非机动作业车不得停放在消防栓、公交车站旁，停放离人行道侧石不超过20厘米。</w:t>
      </w:r>
    </w:p>
    <w:p w14:paraId="23FC9946">
      <w:pPr>
        <w:spacing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1.12 遇有重大活动或抗台、抗雪等突发事件，必须无条件及时组织力量做好清扫保洁等保障工作，服从招标单位的统一指挥。</w:t>
      </w:r>
    </w:p>
    <w:p w14:paraId="0CABFD20">
      <w:pPr>
        <w:spacing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1.13 车行道、人行道、绿化带、花坛、天井、空地、垃圾箱周围等公共场所要及时清扫并保持干净，路面无杂草、废土。</w:t>
      </w:r>
    </w:p>
    <w:p w14:paraId="7C303036">
      <w:pPr>
        <w:spacing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1.14 污水沟畅通，无垃圾沉积物。</w:t>
      </w:r>
    </w:p>
    <w:p w14:paraId="68BC2B7E">
      <w:pPr>
        <w:spacing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1.15 对居民废弃的非生活垃圾（如旧家具、旧家电）应及时安排人员运输到甲方指定的场地内，对单位废弃的非生活垃圾（如旧家具、旧家电）应督促自行处置或委托处置。</w:t>
      </w:r>
    </w:p>
    <w:p w14:paraId="2D5ED5ED">
      <w:pPr>
        <w:spacing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1.16 及时清除楼道、公共车库（棚）、公共地下车库（室）内各种垃圾、杂物，目视楼道公共车库（棚）、公共地下车库（棚）及其他设施:无烟头、果皮、纸屑、广告纸、蜘蛛网、积尘、污迹等。</w:t>
      </w:r>
    </w:p>
    <w:p w14:paraId="4FBF5703">
      <w:pPr>
        <w:spacing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1.17 楼道、公共车库（棚）、公共地下车库（室）清扫、打尘、扶手擦洗每星期不得少于二次，地面、墙面不得有污迹、污损，楼道台阶每月用拖把拖抹二次；窗户玻璃每月清洁二次,不得有明显水迹、手印、灰尘；电控门、电表箱、配电箱、信报箱、消防设备等每月清洁二次；新出现楼道堆积物一周内清除完毕，目视楼道无堆积物，目视天花板表面无污迹、灰尘、蜘蛛网；保持居住环境的整洁，保证保洁人员工作规范，作风优良。</w:t>
      </w:r>
    </w:p>
    <w:p w14:paraId="19676A9B">
      <w:pPr>
        <w:spacing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1.18 综合管理区域内楼道、公共车库（棚）、公共地下车库（室）的环境卫生管理，包括楼道（台阶）、扶手、电控门、电表箱、配电箱、信报箱、墙面、</w:t>
      </w:r>
      <w:r>
        <w:rPr>
          <w:color w:val="auto"/>
          <w:highlight w:val="none"/>
        </w:rPr>
        <w:fldChar w:fldCharType="begin"/>
      </w:r>
      <w:r>
        <w:rPr>
          <w:color w:val="auto"/>
          <w:highlight w:val="none"/>
        </w:rPr>
        <w:instrText xml:space="preserve"> HYPERLINK "http://www.fdcew.com/wgwd/baxf/Index.html" \t "_blank" </w:instrText>
      </w:r>
      <w:r>
        <w:rPr>
          <w:color w:val="auto"/>
          <w:highlight w:val="none"/>
        </w:rPr>
        <w:fldChar w:fldCharType="separate"/>
      </w:r>
      <w:r>
        <w:rPr>
          <w:rFonts w:hint="eastAsia" w:cs="仿宋" w:asciiTheme="minorEastAsia" w:hAnsiTheme="minorEastAsia" w:eastAsiaTheme="minorEastAsia"/>
          <w:color w:val="auto"/>
          <w:sz w:val="24"/>
          <w:highlight w:val="none"/>
        </w:rPr>
        <w:t>消防</w:t>
      </w:r>
      <w:r>
        <w:rPr>
          <w:rFonts w:hint="eastAsia" w:cs="仿宋" w:asciiTheme="minorEastAsia" w:hAnsiTheme="minorEastAsia" w:eastAsiaTheme="minorEastAsia"/>
          <w:color w:val="auto"/>
          <w:sz w:val="24"/>
          <w:highlight w:val="none"/>
        </w:rPr>
        <w:fldChar w:fldCharType="end"/>
      </w:r>
      <w:r>
        <w:rPr>
          <w:rFonts w:hint="eastAsia" w:cs="仿宋" w:asciiTheme="minorEastAsia" w:hAnsiTheme="minorEastAsia" w:eastAsiaTheme="minorEastAsia"/>
          <w:color w:val="auto"/>
          <w:sz w:val="24"/>
          <w:highlight w:val="none"/>
        </w:rPr>
        <w:t>设备、楼道窗户、楼道灯开关等日常保洁保养。</w:t>
      </w:r>
    </w:p>
    <w:p w14:paraId="4BF98FD7">
      <w:pPr>
        <w:spacing w:line="440" w:lineRule="exact"/>
        <w:ind w:firstLine="482" w:firstLineChars="200"/>
        <w:rPr>
          <w:rFonts w:hint="eastAsia"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2）仪表规范</w:t>
      </w:r>
    </w:p>
    <w:p w14:paraId="0CC7B04D">
      <w:pPr>
        <w:spacing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环卫作业人员工作期间应严格按照规定要求穿着环卫工作服，作业时必须穿戴统一配发的工作服、佩带工作证；应保持着装整洁，工作服无破损、不洁、荧光条无剥落。作业时必须带工作帽、防护手套，雨天必须着统一雨衣、雨裤、雨鞋作业。</w:t>
      </w:r>
    </w:p>
    <w:p w14:paraId="10C7E0D4">
      <w:pPr>
        <w:spacing w:line="440" w:lineRule="exact"/>
        <w:ind w:firstLine="480" w:firstLineChars="200"/>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2.1夏季着装时间为每年6月-10月，其余时间段均应着春秋季工作服。冬季着装时间为10月-次年3月，冬季着装时必须内着春秋季工作服。换装具体日期由杭州市城管委统一通知。</w:t>
      </w:r>
    </w:p>
    <w:p w14:paraId="6186B231">
      <w:pPr>
        <w:spacing w:line="440" w:lineRule="exact"/>
        <w:ind w:firstLine="480" w:firstLineChars="200"/>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2.2  作业时衣冠整齐，拉链及风纪扣必须拉拢扣好，工作帽正带。内着衣服的帽子等物不得翻出工作服，不得穿拖鞋，不得加带袖套、腿套、围裙等物，不得卷裤腿、衣袖。不得用其它制式服装替代环卫工作服，不得将衣物悬挂在环卫作业车辆上。在非工作时间，不得穿戴环卫工作服。</w:t>
      </w:r>
    </w:p>
    <w:p w14:paraId="1DB5E38B">
      <w:pPr>
        <w:spacing w:line="440" w:lineRule="exact"/>
        <w:ind w:firstLine="480" w:firstLineChars="200"/>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2.3  环卫作业人员工作证，一人一证，不得转借。凡离开环卫作业队伍时，工作服和工作证一律上交。工作证要求佩戴在左胸前表袋内部，表面保持干净，工作证信息朝外，清晰准确。</w:t>
      </w:r>
    </w:p>
    <w:p w14:paraId="630A0225">
      <w:pPr>
        <w:spacing w:line="440" w:lineRule="exact"/>
        <w:ind w:firstLine="480" w:firstLineChars="200"/>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2.4  环卫作业人员仪表应当整洁。环卫作业人员上岗时不允许佩带耳环、戒指、项链、手镯等装饰物（手表除外），不得留长指甲。男性作业人员不得留长发、蓄长须；女性作业人员应把头发盘夹好，头发不得露出工作帽外。不允许带浓妆，涂带色指甲油。</w:t>
      </w:r>
    </w:p>
    <w:p w14:paraId="069D7601">
      <w:pPr>
        <w:spacing w:line="440" w:lineRule="exact"/>
        <w:ind w:firstLine="482" w:firstLineChars="200"/>
        <w:rPr>
          <w:rFonts w:hint="eastAsia"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3）行为规范</w:t>
      </w:r>
    </w:p>
    <w:p w14:paraId="689CC74A">
      <w:pPr>
        <w:spacing w:line="440" w:lineRule="exact"/>
        <w:ind w:firstLine="480" w:firstLineChars="200"/>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3.1  环卫作业人员应自觉做到文明礼仪，文明用语，礼让行人，规范作业，不得与他人、单位发生冲突。</w:t>
      </w:r>
    </w:p>
    <w:p w14:paraId="4738B9AB">
      <w:pPr>
        <w:spacing w:line="440" w:lineRule="exact"/>
        <w:ind w:firstLine="480" w:firstLineChars="200"/>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3.2  环卫作业人员作业期间应精神振作，姿态良好。不得边作业边吸烟、吃东西，不得成群闲聊、打牌休闲，不得从事与工作无关的其它活动。</w:t>
      </w:r>
    </w:p>
    <w:p w14:paraId="4638EDEE">
      <w:pPr>
        <w:spacing w:line="440" w:lineRule="exact"/>
        <w:ind w:firstLine="480" w:firstLineChars="200"/>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3.3  环卫作业人员应自觉遵守交通法规，严禁闯红灯、不走人行横道线、骑车带人、向车外扔杂物或吐痰；驾驶环卫作业车辆时不得逆向行驶、强行超车、超载，遇到人行横道线时，要减速慢行，做到车让行人。</w:t>
      </w:r>
    </w:p>
    <w:p w14:paraId="17318777">
      <w:pPr>
        <w:snapToGrid w:val="0"/>
        <w:spacing w:line="440" w:lineRule="exact"/>
        <w:rPr>
          <w:rFonts w:hint="eastAsia" w:asciiTheme="minorEastAsia" w:hAnsiTheme="minorEastAsia" w:eastAsiaTheme="minorEastAsia"/>
          <w:b/>
          <w:color w:val="auto"/>
          <w:sz w:val="24"/>
          <w:highlight w:val="none"/>
        </w:rPr>
      </w:pPr>
    </w:p>
    <w:p w14:paraId="2905C500">
      <w:pPr>
        <w:snapToGrid w:val="0"/>
        <w:spacing w:line="440" w:lineRule="exact"/>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准物业管理：</w:t>
      </w:r>
    </w:p>
    <w:p w14:paraId="1FB9B004">
      <w:pPr>
        <w:snapToGrid w:val="0"/>
        <w:spacing w:line="440" w:lineRule="exact"/>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（1）环境秩序：在保洁方面，首先负责物业范围内的全区域卫生，环境卫生要求按照街道、社区考核要求进行，其次对沿街店铺出店经营、门前三包工作做好对应的劝导工作，做到整齐划一。</w:t>
      </w:r>
    </w:p>
    <w:p w14:paraId="69B757F9">
      <w:pPr>
        <w:snapToGrid w:val="0"/>
        <w:spacing w:line="440" w:lineRule="exact"/>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（2）绿化养护：在绿化养护方面，要求实施专业绿化养护管理，定期修剪养护，清理杂草，确保绿地树木存活率，绿地植被覆盖良好，进一步美化小区环境。</w:t>
      </w:r>
    </w:p>
    <w:p w14:paraId="1192EEA1">
      <w:pPr>
        <w:snapToGrid w:val="0"/>
        <w:spacing w:line="440" w:lineRule="exact"/>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（3）设施维修：要求建立完善的信息资源库，制定管理工作流程、工作制度及工作职责，安排专业的维修人员，对小区内出现的公共设施问题，能够在最短的时间内得到解决，从而为居民提供优质高效的服务。</w:t>
      </w:r>
    </w:p>
    <w:p w14:paraId="582A97FE">
      <w:pPr>
        <w:snapToGrid w:val="0"/>
        <w:spacing w:line="440" w:lineRule="exact"/>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为避免因基础设施陈旧影响居民日常生活的问题，现小区内电控门、楼道灯、大铁门、垃圾房、窨井盖、空调雨水管、落水管、公共雨棚、公共晾衣架、屋面沿沟、雨水井、污水井、绿化等公共设施均列入综合管理范围（考虑到可变因素较大，屋顶补漏不列入本综合管理服务范围内），6个社区的社区公共管理维修，亦由物业公司全面接管，每个社区费用设定为30000元，总计年度费用达180000元/年。</w:t>
      </w:r>
    </w:p>
    <w:p w14:paraId="51094841">
      <w:pPr>
        <w:snapToGrid w:val="0"/>
        <w:spacing w:line="440" w:lineRule="exact"/>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（4）楼道亮灯：居民楼里老人多，且房子老旧；夜间出行如遇楼道灯故障会非常不便，同时也存在安全隐患。对于故障的楼道灯，中标单位维修人员须在24小时内进行修复，以保证居民出行的安全。</w:t>
      </w:r>
    </w:p>
    <w:p w14:paraId="3AF002AA">
      <w:pPr>
        <w:snapToGrid w:val="0"/>
        <w:spacing w:line="440" w:lineRule="exact"/>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停车管理：中标单位须负责中标服务区域内车辆有序及安全停放管理，包含：小区内车辆有序及安全停放管理、保证小区内车辆的有序进出及小区道路的顺畅通行。中标单位还须负责门禁系统及门禁道闸的操作、管理、维护，确保居民及访客的顺畅出入。</w:t>
      </w:r>
    </w:p>
    <w:p w14:paraId="3F9E51B3">
      <w:pPr>
        <w:spacing w:line="460" w:lineRule="exact"/>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6）消防、安全防范：指整个金钱巷、长明寺巷、茅廊巷、姚园寺巷、西牌楼、梅花碑组成南片区域的安保，安全监控系统24小时值班管理，公共区域24小时巡防。每日防火巡查，重点对电动自行车集中充停区域、消防车车道、楼道堆积物、公共消防器材等进行定期整治和维护。以及公共楼道、车库灭火器、小区室外消火栓消防设施、器材的增补和维护保养工作。通过努力达到稳定、和谐、规范、有序，确保安全，争创省内服务领先水平。</w:t>
      </w:r>
    </w:p>
    <w:p w14:paraId="43774EB0">
      <w:pPr>
        <w:tabs>
          <w:tab w:val="left" w:pos="312"/>
        </w:tabs>
        <w:snapToGrid w:val="0"/>
        <w:spacing w:line="440" w:lineRule="exact"/>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（7）垃圾分类：指整个区域的生活垃圾定时定点专人负责分类点的分类服务；倡导智慧分类、规范收运处置、提升整体质量；建筑垃圾规范，装修施工监管、垃圾清运、日常处置监管。</w:t>
      </w:r>
    </w:p>
    <w:p w14:paraId="3F1AC239">
      <w:pPr>
        <w:snapToGrid w:val="0"/>
        <w:spacing w:line="440" w:lineRule="exact"/>
        <w:ind w:firstLine="480" w:firstLineChars="200"/>
        <w:rPr>
          <w:rFonts w:hint="eastAsia" w:asciiTheme="minorEastAsia" w:hAnsiTheme="minorEastAsia" w:eastAsiaTheme="minorEastAsia"/>
          <w:bCs/>
          <w:sz w:val="24"/>
          <w:highlight w:val="none"/>
        </w:rPr>
      </w:pPr>
      <w:r>
        <w:rPr>
          <w:rFonts w:hint="eastAsia" w:asciiTheme="minorEastAsia" w:hAnsiTheme="minorEastAsia" w:eastAsiaTheme="minorEastAsia"/>
          <w:bCs/>
          <w:color w:val="auto"/>
          <w:sz w:val="24"/>
          <w:highlight w:val="none"/>
        </w:rPr>
        <w:t>（8）其他服务：物业公司在现场应设有服务接待中心，公示24小时服务电话。有完整的报修、维修和回访记录，包括但不限于公共部位、业主的接报修等服务。协助组</w:t>
      </w:r>
      <w:r>
        <w:rPr>
          <w:rFonts w:hint="eastAsia" w:asciiTheme="minorEastAsia" w:hAnsiTheme="minorEastAsia" w:eastAsiaTheme="minorEastAsia"/>
          <w:bCs/>
          <w:sz w:val="24"/>
          <w:highlight w:val="none"/>
        </w:rPr>
        <w:t>织开展社区文化和便民服务活动，积极开展老旧小区党建和文化建设，为居民提供丰富多彩的文化生活，提升老旧住宅小区居住幸福感和满意度。</w:t>
      </w:r>
    </w:p>
    <w:p w14:paraId="4EDCEB45">
      <w:pPr>
        <w:snapToGrid w:val="0"/>
        <w:spacing w:line="440" w:lineRule="exact"/>
        <w:ind w:firstLine="480" w:firstLineChars="200"/>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（9）提质提价：根据区住建要求，推进南片区所有准物业小区物业费从0.15元/㎡提高到0.56元/㎡；</w:t>
      </w:r>
    </w:p>
    <w:p w14:paraId="6C00522E">
      <w:pPr>
        <w:snapToGrid w:val="0"/>
        <w:spacing w:line="440" w:lineRule="exact"/>
        <w:ind w:firstLine="480" w:firstLineChars="200"/>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10）品牌小区创建要求总投入60万：打造梅花碑社区信余里小区、金钱巷社区南班巷小区，作为品牌示范小区，通过增设形象岗、加大巡逻、保洁频次，打造绿化小景点、24小时入户维修服务等手段多方位打造品质小区。</w:t>
      </w:r>
    </w:p>
    <w:p w14:paraId="521DBEA8">
      <w:pPr>
        <w:snapToGrid w:val="0"/>
        <w:spacing w:line="440" w:lineRule="exact"/>
        <w:ind w:firstLine="480" w:firstLineChars="200"/>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highlight w:val="none"/>
          <w:lang w:val="en-US" w:eastAsia="zh-CN"/>
        </w:rPr>
        <w:t>11</w:t>
      </w:r>
      <w:r>
        <w:rPr>
          <w:rFonts w:hint="eastAsia" w:asciiTheme="minorEastAsia" w:hAnsiTheme="minorEastAsia" w:eastAsiaTheme="minorEastAsia"/>
          <w:bCs/>
          <w:sz w:val="24"/>
          <w:highlight w:val="none"/>
        </w:rPr>
        <w:t>）物业关于</w:t>
      </w:r>
      <w:r>
        <w:rPr>
          <w:rFonts w:hint="eastAsia" w:asciiTheme="minorEastAsia" w:hAnsiTheme="minorEastAsia" w:eastAsiaTheme="minorEastAsia"/>
          <w:bCs/>
          <w:sz w:val="24"/>
          <w:highlight w:val="none"/>
          <w:lang w:eastAsia="zh-CN"/>
        </w:rPr>
        <w:t>“</w:t>
      </w:r>
      <w:r>
        <w:rPr>
          <w:rFonts w:hint="eastAsia" w:asciiTheme="minorEastAsia" w:hAnsiTheme="minorEastAsia" w:eastAsiaTheme="minorEastAsia"/>
          <w:bCs/>
          <w:sz w:val="24"/>
          <w:highlight w:val="none"/>
        </w:rPr>
        <w:t>美丽杭州</w:t>
      </w:r>
      <w:r>
        <w:rPr>
          <w:rFonts w:hint="eastAsia" w:asciiTheme="minorEastAsia" w:hAnsiTheme="minorEastAsia" w:eastAsiaTheme="minorEastAsia"/>
          <w:bCs/>
          <w:sz w:val="24"/>
          <w:highlight w:val="none"/>
          <w:lang w:eastAsia="zh-CN"/>
        </w:rPr>
        <w:t>”</w:t>
      </w:r>
      <w:r>
        <w:rPr>
          <w:rFonts w:hint="eastAsia" w:asciiTheme="minorEastAsia" w:hAnsiTheme="minorEastAsia" w:eastAsiaTheme="minorEastAsia"/>
          <w:bCs/>
          <w:sz w:val="24"/>
          <w:highlight w:val="none"/>
          <w:lang w:val="en-US" w:eastAsia="zh-CN"/>
        </w:rPr>
        <w:t>问题处置情况</w:t>
      </w:r>
      <w:r>
        <w:rPr>
          <w:rFonts w:hint="eastAsia" w:asciiTheme="minorEastAsia" w:hAnsiTheme="minorEastAsia" w:eastAsiaTheme="minorEastAsia"/>
          <w:bCs/>
          <w:sz w:val="24"/>
          <w:highlight w:val="none"/>
        </w:rPr>
        <w:t>扣款细则</w:t>
      </w:r>
    </w:p>
    <w:tbl>
      <w:tblPr>
        <w:tblStyle w:val="965"/>
        <w:tblW w:w="92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86"/>
        <w:gridCol w:w="2891"/>
      </w:tblGrid>
      <w:tr w14:paraId="27B3F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6386" w:type="dxa"/>
            <w:vAlign w:val="center"/>
          </w:tcPr>
          <w:p w14:paraId="0F23C4A5">
            <w:pPr>
              <w:snapToGrid w:val="0"/>
              <w:spacing w:line="440" w:lineRule="exact"/>
              <w:ind w:firstLine="480" w:firstLineChars="200"/>
              <w:rPr>
                <w:rFonts w:hint="eastAsia" w:asciiTheme="minorEastAsia" w:hAnsiTheme="minorEastAsia" w:eastAsiaTheme="minorEastAsia"/>
                <w:bCs/>
                <w:sz w:val="24"/>
                <w:highlight w:val="none"/>
                <w:lang w:val="en-US" w:eastAsia="zh-CN"/>
              </w:rPr>
            </w:pPr>
            <w:r>
              <w:rPr>
                <w:rFonts w:hint="eastAsia" w:asciiTheme="minorEastAsia" w:hAnsiTheme="minorEastAsia" w:eastAsiaTheme="minorEastAsia"/>
                <w:bCs/>
                <w:sz w:val="24"/>
                <w:highlight w:val="none"/>
                <w:lang w:val="en-US" w:eastAsia="zh-CN"/>
              </w:rPr>
              <w:t>检查及考核细则</w:t>
            </w:r>
          </w:p>
        </w:tc>
        <w:tc>
          <w:tcPr>
            <w:tcW w:w="2891" w:type="dxa"/>
            <w:vAlign w:val="center"/>
          </w:tcPr>
          <w:p w14:paraId="30E44D2C">
            <w:pPr>
              <w:snapToGrid w:val="0"/>
              <w:spacing w:line="440" w:lineRule="exact"/>
              <w:ind w:firstLine="480" w:firstLineChars="200"/>
              <w:rPr>
                <w:rFonts w:hint="eastAsia" w:asciiTheme="minorEastAsia" w:hAnsiTheme="minorEastAsia" w:eastAsiaTheme="minorEastAsia"/>
                <w:bCs/>
                <w:sz w:val="24"/>
                <w:highlight w:val="none"/>
                <w:lang w:val="en-US" w:eastAsia="zh-CN"/>
              </w:rPr>
            </w:pPr>
            <w:r>
              <w:rPr>
                <w:rFonts w:hint="eastAsia" w:asciiTheme="minorEastAsia" w:hAnsiTheme="minorEastAsia" w:eastAsiaTheme="minorEastAsia"/>
                <w:bCs/>
                <w:sz w:val="24"/>
                <w:highlight w:val="none"/>
                <w:lang w:val="en-US" w:eastAsia="zh-CN"/>
              </w:rPr>
              <w:t>扣除金额（元）</w:t>
            </w:r>
          </w:p>
        </w:tc>
      </w:tr>
      <w:tr w14:paraId="3FF64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6386" w:type="dxa"/>
            <w:vAlign w:val="center"/>
          </w:tcPr>
          <w:p w14:paraId="54BD3C58">
            <w:pPr>
              <w:snapToGrid w:val="0"/>
              <w:spacing w:line="440" w:lineRule="exact"/>
              <w:ind w:firstLine="480" w:firstLineChars="200"/>
              <w:rPr>
                <w:rFonts w:hint="eastAsia" w:asciiTheme="minorEastAsia" w:hAnsiTheme="minorEastAsia" w:eastAsiaTheme="minorEastAsia"/>
                <w:bCs/>
                <w:sz w:val="24"/>
                <w:highlight w:val="none"/>
                <w:lang w:val="en-US" w:eastAsia="zh-CN"/>
              </w:rPr>
            </w:pPr>
            <w:r>
              <w:rPr>
                <w:rFonts w:hint="eastAsia" w:asciiTheme="minorEastAsia" w:hAnsiTheme="minorEastAsia" w:eastAsiaTheme="minorEastAsia"/>
                <w:bCs/>
                <w:sz w:val="24"/>
                <w:highlight w:val="none"/>
                <w:lang w:val="en-US" w:eastAsia="zh-CN"/>
              </w:rPr>
              <w:t>案卷处置超时倍数，问题实际处置时间超过规定处置时间的倍数</w:t>
            </w:r>
          </w:p>
        </w:tc>
        <w:tc>
          <w:tcPr>
            <w:tcW w:w="2891" w:type="dxa"/>
            <w:vAlign w:val="center"/>
          </w:tcPr>
          <w:p w14:paraId="67B1A2F4">
            <w:pPr>
              <w:snapToGrid w:val="0"/>
              <w:spacing w:line="440" w:lineRule="exact"/>
              <w:ind w:firstLine="480" w:firstLineChars="200"/>
              <w:rPr>
                <w:rFonts w:hint="default" w:asciiTheme="minorEastAsia" w:hAnsiTheme="minorEastAsia" w:eastAsiaTheme="minorEastAsia"/>
                <w:bCs/>
                <w:sz w:val="24"/>
                <w:highlight w:val="none"/>
                <w:lang w:val="en-US" w:eastAsia="zh-CN"/>
              </w:rPr>
            </w:pPr>
            <w:r>
              <w:rPr>
                <w:rFonts w:hint="eastAsia" w:asciiTheme="minorEastAsia" w:hAnsiTheme="minorEastAsia" w:eastAsiaTheme="minorEastAsia"/>
                <w:bCs/>
                <w:sz w:val="24"/>
                <w:highlight w:val="none"/>
                <w:lang w:val="en-US" w:eastAsia="zh-CN"/>
              </w:rPr>
              <w:t>300元/倍</w:t>
            </w:r>
          </w:p>
        </w:tc>
      </w:tr>
      <w:tr w14:paraId="30D26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6386" w:type="dxa"/>
            <w:vAlign w:val="center"/>
          </w:tcPr>
          <w:p w14:paraId="2D3CD509">
            <w:pPr>
              <w:snapToGrid w:val="0"/>
              <w:spacing w:line="440" w:lineRule="exact"/>
              <w:ind w:firstLine="480" w:firstLineChars="200"/>
              <w:rPr>
                <w:rFonts w:hint="eastAsia" w:asciiTheme="minorEastAsia" w:hAnsiTheme="minorEastAsia" w:eastAsiaTheme="minorEastAsia"/>
                <w:bCs/>
                <w:sz w:val="24"/>
                <w:highlight w:val="none"/>
                <w:lang w:val="en-US" w:eastAsia="zh-CN"/>
              </w:rPr>
            </w:pPr>
            <w:r>
              <w:rPr>
                <w:rFonts w:hint="eastAsia" w:asciiTheme="minorEastAsia" w:hAnsiTheme="minorEastAsia" w:eastAsiaTheme="minorEastAsia"/>
                <w:bCs/>
                <w:sz w:val="24"/>
                <w:highlight w:val="none"/>
                <w:lang w:val="en-US" w:eastAsia="zh-CN"/>
              </w:rPr>
              <w:t>推诿件，责任明确但拒绝处置的</w:t>
            </w:r>
          </w:p>
        </w:tc>
        <w:tc>
          <w:tcPr>
            <w:tcW w:w="2891" w:type="dxa"/>
            <w:vAlign w:val="center"/>
          </w:tcPr>
          <w:p w14:paraId="435D7D27">
            <w:pPr>
              <w:snapToGrid w:val="0"/>
              <w:spacing w:line="440" w:lineRule="exact"/>
              <w:ind w:firstLine="480" w:firstLineChars="200"/>
              <w:rPr>
                <w:rFonts w:hint="default" w:asciiTheme="minorEastAsia" w:hAnsiTheme="minorEastAsia" w:eastAsiaTheme="minorEastAsia"/>
                <w:bCs/>
                <w:sz w:val="24"/>
                <w:highlight w:val="none"/>
                <w:lang w:val="en-US" w:eastAsia="zh-CN"/>
              </w:rPr>
            </w:pPr>
            <w:r>
              <w:rPr>
                <w:rFonts w:hint="eastAsia" w:asciiTheme="minorEastAsia" w:hAnsiTheme="minorEastAsia" w:eastAsiaTheme="minorEastAsia"/>
                <w:bCs/>
                <w:sz w:val="24"/>
                <w:highlight w:val="none"/>
                <w:lang w:val="en-US" w:eastAsia="zh-CN"/>
              </w:rPr>
              <w:t>500元/次</w:t>
            </w:r>
          </w:p>
        </w:tc>
      </w:tr>
      <w:tr w14:paraId="6380A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jc w:val="center"/>
        </w:trPr>
        <w:tc>
          <w:tcPr>
            <w:tcW w:w="6386" w:type="dxa"/>
            <w:vAlign w:val="center"/>
          </w:tcPr>
          <w:p w14:paraId="7BEAB91E">
            <w:pPr>
              <w:snapToGrid w:val="0"/>
              <w:spacing w:line="440" w:lineRule="exact"/>
              <w:ind w:firstLine="480" w:firstLineChars="200"/>
              <w:rPr>
                <w:rFonts w:hint="eastAsia" w:asciiTheme="minorEastAsia" w:hAnsiTheme="minorEastAsia" w:eastAsiaTheme="minorEastAsia"/>
                <w:bCs/>
                <w:sz w:val="24"/>
                <w:highlight w:val="none"/>
                <w:lang w:val="en-US" w:eastAsia="zh-CN"/>
              </w:rPr>
            </w:pPr>
            <w:r>
              <w:rPr>
                <w:rFonts w:hint="eastAsia" w:asciiTheme="minorEastAsia" w:hAnsiTheme="minorEastAsia" w:eastAsiaTheme="minorEastAsia"/>
                <w:bCs/>
                <w:sz w:val="24"/>
                <w:highlight w:val="none"/>
                <w:lang w:val="en-US" w:eastAsia="zh-CN"/>
              </w:rPr>
              <w:t>有责差错件，问题处置、反馈不规范，影响问题处置的</w:t>
            </w:r>
          </w:p>
        </w:tc>
        <w:tc>
          <w:tcPr>
            <w:tcW w:w="2891" w:type="dxa"/>
            <w:vAlign w:val="center"/>
          </w:tcPr>
          <w:p w14:paraId="7A82987E">
            <w:pPr>
              <w:snapToGrid w:val="0"/>
              <w:spacing w:line="440" w:lineRule="exact"/>
              <w:ind w:firstLine="480" w:firstLineChars="200"/>
              <w:rPr>
                <w:rFonts w:hint="default" w:asciiTheme="minorEastAsia" w:hAnsiTheme="minorEastAsia" w:eastAsiaTheme="minorEastAsia"/>
                <w:bCs/>
                <w:sz w:val="24"/>
                <w:highlight w:val="none"/>
                <w:lang w:val="en-US" w:eastAsia="zh-CN"/>
              </w:rPr>
            </w:pPr>
            <w:r>
              <w:rPr>
                <w:rFonts w:hint="eastAsia" w:asciiTheme="minorEastAsia" w:hAnsiTheme="minorEastAsia" w:eastAsiaTheme="minorEastAsia"/>
                <w:bCs/>
                <w:sz w:val="24"/>
                <w:highlight w:val="none"/>
                <w:lang w:val="en-US" w:eastAsia="zh-CN"/>
              </w:rPr>
              <w:t>300元/次</w:t>
            </w:r>
          </w:p>
        </w:tc>
      </w:tr>
      <w:tr w14:paraId="4297E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6386" w:type="dxa"/>
            <w:vAlign w:val="center"/>
          </w:tcPr>
          <w:p w14:paraId="3A498CAE">
            <w:pPr>
              <w:snapToGrid w:val="0"/>
              <w:spacing w:line="440" w:lineRule="exact"/>
              <w:ind w:firstLine="480" w:firstLineChars="200"/>
              <w:rPr>
                <w:rFonts w:hint="eastAsia" w:asciiTheme="minorEastAsia" w:hAnsiTheme="minorEastAsia" w:eastAsiaTheme="minorEastAsia"/>
                <w:bCs/>
                <w:sz w:val="24"/>
                <w:highlight w:val="none"/>
                <w:lang w:val="en-US" w:eastAsia="zh-CN"/>
              </w:rPr>
            </w:pPr>
            <w:r>
              <w:rPr>
                <w:rFonts w:hint="eastAsia" w:asciiTheme="minorEastAsia" w:hAnsiTheme="minorEastAsia" w:eastAsiaTheme="minorEastAsia"/>
                <w:bCs/>
                <w:sz w:val="24"/>
                <w:highlight w:val="none"/>
                <w:lang w:val="en-US" w:eastAsia="zh-CN"/>
              </w:rPr>
              <w:t>重复举报数，同一市民举报同一问题 2 次及以上的</w:t>
            </w:r>
          </w:p>
        </w:tc>
        <w:tc>
          <w:tcPr>
            <w:tcW w:w="2891" w:type="dxa"/>
            <w:vAlign w:val="center"/>
          </w:tcPr>
          <w:p w14:paraId="72261FC6">
            <w:pPr>
              <w:snapToGrid w:val="0"/>
              <w:spacing w:line="440" w:lineRule="exact"/>
              <w:ind w:firstLine="480" w:firstLineChars="200"/>
              <w:rPr>
                <w:rFonts w:hint="default" w:asciiTheme="minorEastAsia" w:hAnsiTheme="minorEastAsia" w:eastAsiaTheme="minorEastAsia"/>
                <w:bCs/>
                <w:sz w:val="24"/>
                <w:highlight w:val="none"/>
                <w:lang w:val="en-US" w:eastAsia="zh-CN"/>
              </w:rPr>
            </w:pPr>
            <w:r>
              <w:rPr>
                <w:rFonts w:hint="eastAsia" w:asciiTheme="minorEastAsia" w:hAnsiTheme="minorEastAsia" w:eastAsiaTheme="minorEastAsia"/>
                <w:bCs/>
                <w:sz w:val="24"/>
                <w:highlight w:val="none"/>
                <w:lang w:val="en-US" w:eastAsia="zh-CN"/>
              </w:rPr>
              <w:t>扣100元，每增加一次多扣100元</w:t>
            </w:r>
          </w:p>
        </w:tc>
      </w:tr>
      <w:tr w14:paraId="39906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jc w:val="center"/>
        </w:trPr>
        <w:tc>
          <w:tcPr>
            <w:tcW w:w="6386" w:type="dxa"/>
            <w:vAlign w:val="center"/>
          </w:tcPr>
          <w:p w14:paraId="5AA79537">
            <w:pPr>
              <w:snapToGrid w:val="0"/>
              <w:spacing w:line="440" w:lineRule="exact"/>
              <w:ind w:firstLine="480" w:firstLineChars="200"/>
              <w:rPr>
                <w:rFonts w:hint="eastAsia" w:asciiTheme="minorEastAsia" w:hAnsiTheme="minorEastAsia" w:eastAsiaTheme="minorEastAsia"/>
                <w:bCs/>
                <w:sz w:val="24"/>
                <w:highlight w:val="none"/>
                <w:lang w:val="en-US" w:eastAsia="zh-CN"/>
              </w:rPr>
            </w:pPr>
            <w:r>
              <w:rPr>
                <w:rFonts w:hint="eastAsia" w:asciiTheme="minorEastAsia" w:hAnsiTheme="minorEastAsia" w:eastAsiaTheme="minorEastAsia"/>
                <w:bCs/>
                <w:sz w:val="24"/>
                <w:highlight w:val="none"/>
                <w:lang w:val="en-US" w:eastAsia="zh-CN"/>
              </w:rPr>
              <w:t>返工案卷</w:t>
            </w:r>
          </w:p>
        </w:tc>
        <w:tc>
          <w:tcPr>
            <w:tcW w:w="2891" w:type="dxa"/>
            <w:vAlign w:val="center"/>
          </w:tcPr>
          <w:p w14:paraId="6FCD6343">
            <w:pPr>
              <w:snapToGrid w:val="0"/>
              <w:spacing w:line="440" w:lineRule="exact"/>
              <w:ind w:firstLine="480" w:firstLineChars="200"/>
              <w:rPr>
                <w:rFonts w:hint="default" w:asciiTheme="minorEastAsia" w:hAnsiTheme="minorEastAsia" w:eastAsiaTheme="minorEastAsia"/>
                <w:bCs/>
                <w:sz w:val="24"/>
                <w:highlight w:val="none"/>
                <w:lang w:val="en-US" w:eastAsia="zh-CN"/>
              </w:rPr>
            </w:pPr>
            <w:r>
              <w:rPr>
                <w:rFonts w:hint="eastAsia" w:asciiTheme="minorEastAsia" w:hAnsiTheme="minorEastAsia" w:eastAsiaTheme="minorEastAsia"/>
                <w:bCs/>
                <w:sz w:val="24"/>
                <w:highlight w:val="none"/>
                <w:lang w:val="en-US" w:eastAsia="zh-CN"/>
              </w:rPr>
              <w:t>200元/个</w:t>
            </w:r>
          </w:p>
        </w:tc>
      </w:tr>
      <w:tr w14:paraId="4CDED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jc w:val="center"/>
        </w:trPr>
        <w:tc>
          <w:tcPr>
            <w:tcW w:w="6386" w:type="dxa"/>
            <w:vAlign w:val="center"/>
          </w:tcPr>
          <w:p w14:paraId="0EB9C636">
            <w:pPr>
              <w:snapToGrid w:val="0"/>
              <w:spacing w:line="440" w:lineRule="exact"/>
              <w:ind w:firstLine="480" w:firstLineChars="200"/>
              <w:rPr>
                <w:rFonts w:hint="eastAsia" w:asciiTheme="minorEastAsia" w:hAnsiTheme="minorEastAsia" w:eastAsiaTheme="minorEastAsia"/>
                <w:bCs/>
                <w:sz w:val="24"/>
                <w:highlight w:val="none"/>
                <w:lang w:val="en-US" w:eastAsia="zh-CN"/>
              </w:rPr>
            </w:pPr>
            <w:r>
              <w:rPr>
                <w:rFonts w:hint="eastAsia" w:asciiTheme="minorEastAsia" w:hAnsiTheme="minorEastAsia" w:eastAsiaTheme="minorEastAsia"/>
                <w:bCs/>
                <w:sz w:val="24"/>
                <w:highlight w:val="none"/>
                <w:lang w:val="en-US" w:eastAsia="zh-CN"/>
              </w:rPr>
              <w:t>超缓办数，每条案卷最多可缓办 2 次，按次累计，月度缓办数不超过月度应解决数的 0.1%</w:t>
            </w:r>
          </w:p>
        </w:tc>
        <w:tc>
          <w:tcPr>
            <w:tcW w:w="2891" w:type="dxa"/>
            <w:vAlign w:val="center"/>
          </w:tcPr>
          <w:p w14:paraId="6790E95C">
            <w:pPr>
              <w:snapToGrid w:val="0"/>
              <w:spacing w:line="440" w:lineRule="exact"/>
              <w:ind w:firstLine="480" w:firstLineChars="200"/>
              <w:rPr>
                <w:rFonts w:hint="default" w:asciiTheme="minorEastAsia" w:hAnsiTheme="minorEastAsia" w:eastAsiaTheme="minorEastAsia"/>
                <w:bCs/>
                <w:sz w:val="24"/>
                <w:highlight w:val="none"/>
                <w:lang w:val="en-US" w:eastAsia="zh-CN"/>
              </w:rPr>
            </w:pPr>
            <w:r>
              <w:rPr>
                <w:rFonts w:hint="eastAsia" w:asciiTheme="minorEastAsia" w:hAnsiTheme="minorEastAsia" w:eastAsiaTheme="minorEastAsia"/>
                <w:bCs/>
                <w:sz w:val="24"/>
                <w:highlight w:val="none"/>
                <w:lang w:val="en-US" w:eastAsia="zh-CN"/>
              </w:rPr>
              <w:t>超出扣500元</w:t>
            </w:r>
          </w:p>
        </w:tc>
      </w:tr>
      <w:tr w14:paraId="1423B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jc w:val="center"/>
        </w:trPr>
        <w:tc>
          <w:tcPr>
            <w:tcW w:w="6386" w:type="dxa"/>
            <w:vAlign w:val="center"/>
          </w:tcPr>
          <w:p w14:paraId="37AB3AD7">
            <w:pPr>
              <w:snapToGrid w:val="0"/>
              <w:spacing w:line="440" w:lineRule="exact"/>
              <w:ind w:firstLine="480" w:firstLineChars="200"/>
              <w:rPr>
                <w:rFonts w:hint="eastAsia" w:asciiTheme="minorEastAsia" w:hAnsiTheme="minorEastAsia" w:eastAsiaTheme="minorEastAsia"/>
                <w:bCs/>
                <w:sz w:val="24"/>
                <w:highlight w:val="none"/>
                <w:lang w:val="en-US" w:eastAsia="zh-CN"/>
              </w:rPr>
            </w:pPr>
            <w:r>
              <w:rPr>
                <w:rFonts w:hint="eastAsia" w:asciiTheme="minorEastAsia" w:hAnsiTheme="minorEastAsia" w:eastAsiaTheme="minorEastAsia"/>
                <w:bCs/>
                <w:sz w:val="24"/>
                <w:highlight w:val="none"/>
                <w:lang w:val="en-US" w:eastAsia="zh-CN"/>
              </w:rPr>
              <w:t>反复发生件，被市数字城管判定为两同案卷的</w:t>
            </w:r>
          </w:p>
        </w:tc>
        <w:tc>
          <w:tcPr>
            <w:tcW w:w="2891" w:type="dxa"/>
            <w:vAlign w:val="center"/>
          </w:tcPr>
          <w:p w14:paraId="77F57267">
            <w:pPr>
              <w:snapToGrid w:val="0"/>
              <w:spacing w:line="440" w:lineRule="exact"/>
              <w:ind w:firstLine="480" w:firstLineChars="200"/>
              <w:rPr>
                <w:rFonts w:hint="default" w:asciiTheme="minorEastAsia" w:hAnsiTheme="minorEastAsia" w:eastAsiaTheme="minorEastAsia"/>
                <w:bCs/>
                <w:sz w:val="24"/>
                <w:highlight w:val="none"/>
                <w:lang w:val="en-US" w:eastAsia="zh-CN"/>
              </w:rPr>
            </w:pPr>
            <w:r>
              <w:rPr>
                <w:rFonts w:hint="eastAsia" w:asciiTheme="minorEastAsia" w:hAnsiTheme="minorEastAsia" w:eastAsiaTheme="minorEastAsia"/>
                <w:bCs/>
                <w:sz w:val="24"/>
                <w:highlight w:val="none"/>
                <w:lang w:val="en-US" w:eastAsia="zh-CN"/>
              </w:rPr>
              <w:t>500元/个</w:t>
            </w:r>
          </w:p>
        </w:tc>
      </w:tr>
      <w:tr w14:paraId="2B68A4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jc w:val="center"/>
        </w:trPr>
        <w:tc>
          <w:tcPr>
            <w:tcW w:w="6386" w:type="dxa"/>
            <w:vAlign w:val="center"/>
          </w:tcPr>
          <w:p w14:paraId="365C04A1">
            <w:pPr>
              <w:snapToGrid w:val="0"/>
              <w:spacing w:line="440" w:lineRule="exact"/>
              <w:ind w:firstLine="480" w:firstLineChars="200"/>
              <w:rPr>
                <w:rFonts w:hint="eastAsia" w:asciiTheme="minorEastAsia" w:hAnsiTheme="minorEastAsia" w:eastAsiaTheme="minorEastAsia"/>
                <w:bCs/>
                <w:sz w:val="24"/>
                <w:highlight w:val="none"/>
                <w:lang w:val="en-US" w:eastAsia="zh-CN"/>
              </w:rPr>
            </w:pPr>
            <w:r>
              <w:rPr>
                <w:rFonts w:hint="eastAsia" w:asciiTheme="minorEastAsia" w:hAnsiTheme="minorEastAsia" w:eastAsiaTheme="minorEastAsia"/>
                <w:bCs/>
                <w:sz w:val="24"/>
                <w:highlight w:val="none"/>
                <w:lang w:val="en-US" w:eastAsia="zh-CN"/>
              </w:rPr>
              <w:t>建筑垃圾(装潢垃圾)散落未袋装</w:t>
            </w:r>
          </w:p>
        </w:tc>
        <w:tc>
          <w:tcPr>
            <w:tcW w:w="2891" w:type="dxa"/>
            <w:vAlign w:val="center"/>
          </w:tcPr>
          <w:p w14:paraId="3908BCF1">
            <w:pPr>
              <w:snapToGrid w:val="0"/>
              <w:spacing w:line="440" w:lineRule="exact"/>
              <w:ind w:firstLine="480" w:firstLineChars="200"/>
              <w:rPr>
                <w:rFonts w:hint="eastAsia" w:asciiTheme="minorEastAsia" w:hAnsiTheme="minorEastAsia" w:eastAsiaTheme="minorEastAsia"/>
                <w:bCs/>
                <w:sz w:val="24"/>
                <w:highlight w:val="none"/>
                <w:lang w:val="en-US" w:eastAsia="zh-CN"/>
              </w:rPr>
            </w:pPr>
            <w:r>
              <w:rPr>
                <w:rFonts w:hint="eastAsia" w:asciiTheme="minorEastAsia" w:hAnsiTheme="minorEastAsia" w:eastAsiaTheme="minorEastAsia"/>
                <w:bCs/>
                <w:sz w:val="24"/>
                <w:highlight w:val="none"/>
                <w:lang w:val="en-US" w:eastAsia="zh-CN"/>
              </w:rPr>
              <w:t>＜ 1m³ , 150元/处</w:t>
            </w:r>
          </w:p>
          <w:p w14:paraId="0CBFD724">
            <w:pPr>
              <w:snapToGrid w:val="0"/>
              <w:spacing w:line="440" w:lineRule="exact"/>
              <w:ind w:firstLine="480" w:firstLineChars="200"/>
              <w:rPr>
                <w:rFonts w:hint="default" w:asciiTheme="minorEastAsia" w:hAnsiTheme="minorEastAsia" w:eastAsiaTheme="minorEastAsia"/>
                <w:bCs/>
                <w:sz w:val="24"/>
                <w:highlight w:val="none"/>
                <w:lang w:val="en-US" w:eastAsia="zh-CN"/>
              </w:rPr>
            </w:pPr>
            <w:r>
              <w:rPr>
                <w:rFonts w:hint="eastAsia" w:asciiTheme="minorEastAsia" w:hAnsiTheme="minorEastAsia" w:eastAsiaTheme="minorEastAsia"/>
                <w:bCs/>
                <w:sz w:val="24"/>
                <w:highlight w:val="none"/>
                <w:lang w:val="en-US" w:eastAsia="zh-CN"/>
              </w:rPr>
              <w:t>≥ 1m³ , 200元/处</w:t>
            </w:r>
          </w:p>
        </w:tc>
      </w:tr>
    </w:tbl>
    <w:p w14:paraId="71748267">
      <w:pPr>
        <w:widowControl/>
        <w:snapToGrid w:val="0"/>
        <w:spacing w:line="440" w:lineRule="exact"/>
        <w:rPr>
          <w:rFonts w:hint="eastAsia" w:cs="仿宋" w:asciiTheme="minorEastAsia" w:hAnsiTheme="minorEastAsia" w:eastAsiaTheme="minorEastAsia"/>
          <w:b/>
          <w:bCs/>
          <w:color w:val="000000" w:themeColor="text1"/>
          <w:sz w:val="24"/>
          <w:highlight w:val="none"/>
          <w14:textFill>
            <w14:solidFill>
              <w14:schemeClr w14:val="tx1"/>
            </w14:solidFill>
          </w14:textFill>
        </w:rPr>
      </w:pPr>
    </w:p>
    <w:p w14:paraId="64B7331B">
      <w:pPr>
        <w:widowControl/>
        <w:snapToGrid w:val="0"/>
        <w:spacing w:line="440" w:lineRule="exact"/>
        <w:rPr>
          <w:rFonts w:hint="eastAsia" w:cs="仿宋" w:asciiTheme="minorEastAsia" w:hAnsiTheme="minorEastAsia" w:eastAsiaTheme="minorEastAsia"/>
          <w:b/>
          <w:bCs/>
          <w:color w:val="000000" w:themeColor="text1"/>
          <w:sz w:val="24"/>
          <w:highlight w:val="none"/>
          <w14:textFill>
            <w14:solidFill>
              <w14:schemeClr w14:val="tx1"/>
            </w14:solidFill>
          </w14:textFill>
        </w:rPr>
      </w:pPr>
      <w:r>
        <w:rPr>
          <w:rFonts w:hint="eastAsia" w:cs="仿宋" w:asciiTheme="minorEastAsia" w:hAnsiTheme="minorEastAsia" w:eastAsiaTheme="minorEastAsia"/>
          <w:b/>
          <w:bCs/>
          <w:color w:val="000000" w:themeColor="text1"/>
          <w:sz w:val="24"/>
          <w:highlight w:val="none"/>
          <w14:textFill>
            <w14:solidFill>
              <w14:schemeClr w14:val="tx1"/>
            </w14:solidFill>
          </w14:textFill>
        </w:rPr>
        <w:t>垃圾分类</w:t>
      </w:r>
    </w:p>
    <w:p w14:paraId="730DCD8F">
      <w:pPr>
        <w:spacing w:line="440" w:lineRule="exact"/>
        <w:ind w:firstLine="480" w:firstLineChars="200"/>
        <w:rPr>
          <w:rFonts w:hint="eastAsia"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根据甲方要求，落实人员配合推进整个区域垃圾房（垃圾投放点）承包责任制辅助细分模式，现场指导居民垃圾分类投放。</w:t>
      </w:r>
    </w:p>
    <w:p w14:paraId="3ACDD7DC">
      <w:pPr>
        <w:snapToGrid w:val="0"/>
        <w:spacing w:line="440" w:lineRule="exact"/>
        <w:ind w:firstLine="480" w:firstLineChars="200"/>
        <w:rPr>
          <w:rFonts w:hint="eastAsia"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1）落实保洁员负责垃圾房（垃圾投放点）</w:t>
      </w:r>
      <w:r>
        <w:rPr>
          <w:rFonts w:hint="eastAsia" w:cs="仿宋" w:asciiTheme="minorEastAsia" w:hAnsiTheme="minorEastAsia" w:eastAsiaTheme="minorEastAsia"/>
          <w:bCs/>
          <w:color w:val="000000" w:themeColor="text1"/>
          <w:sz w:val="24"/>
          <w:highlight w:val="none"/>
          <w14:textFill>
            <w14:solidFill>
              <w14:schemeClr w14:val="tx1"/>
            </w14:solidFill>
          </w14:textFill>
        </w:rPr>
        <w:t>居民垃圾投放劝导、宣传以及辅助分拣。</w:t>
      </w:r>
    </w:p>
    <w:p w14:paraId="3A888C1D">
      <w:pPr>
        <w:snapToGrid w:val="0"/>
        <w:spacing w:line="440" w:lineRule="exact"/>
        <w:ind w:firstLine="480" w:firstLineChars="200"/>
        <w:rPr>
          <w:rFonts w:hint="eastAsia" w:cs="仿宋" w:asciiTheme="minorEastAsia" w:hAnsiTheme="minorEastAsia" w:eastAsiaTheme="minorEastAsia"/>
          <w:bCs/>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2）</w:t>
      </w:r>
      <w:r>
        <w:rPr>
          <w:rFonts w:hint="eastAsia" w:cs="仿宋" w:asciiTheme="minorEastAsia" w:hAnsiTheme="minorEastAsia" w:eastAsiaTheme="minorEastAsia"/>
          <w:bCs/>
          <w:color w:val="000000" w:themeColor="text1"/>
          <w:sz w:val="24"/>
          <w:highlight w:val="none"/>
          <w14:textFill>
            <w14:solidFill>
              <w14:schemeClr w14:val="tx1"/>
            </w14:solidFill>
          </w14:textFill>
        </w:rPr>
        <w:t>负责垃圾分类辖区的垃圾桶（房）、投放牌破损维护、修理及缺失的排查，并及时将情况反馈至社区。</w:t>
      </w:r>
    </w:p>
    <w:p w14:paraId="0B25B6F3">
      <w:pPr>
        <w:snapToGrid w:val="0"/>
        <w:spacing w:line="440" w:lineRule="exact"/>
        <w:ind w:firstLine="480" w:firstLineChars="200"/>
        <w:rPr>
          <w:rFonts w:hint="eastAsia" w:cs="仿宋" w:asciiTheme="minorEastAsia" w:hAnsiTheme="minorEastAsia" w:eastAsiaTheme="minorEastAsia"/>
          <w:bCs/>
          <w:color w:val="000000" w:themeColor="text1"/>
          <w:sz w:val="24"/>
          <w:highlight w:val="none"/>
          <w14:textFill>
            <w14:solidFill>
              <w14:schemeClr w14:val="tx1"/>
            </w14:solidFill>
          </w14:textFill>
        </w:rPr>
      </w:pPr>
      <w:r>
        <w:rPr>
          <w:rFonts w:hint="eastAsia" w:cs="仿宋" w:asciiTheme="minorEastAsia" w:hAnsiTheme="minorEastAsia" w:eastAsiaTheme="minorEastAsia"/>
          <w:bCs/>
          <w:color w:val="000000" w:themeColor="text1"/>
          <w:sz w:val="24"/>
          <w:highlight w:val="none"/>
          <w14:textFill>
            <w14:solidFill>
              <w14:schemeClr w14:val="tx1"/>
            </w14:solidFill>
          </w14:textFill>
        </w:rPr>
        <w:t>3) 负责分类垃圾桶（垃圾房）的标识正确清晰，摆放正确合理。</w:t>
      </w:r>
    </w:p>
    <w:p w14:paraId="55912647">
      <w:pPr>
        <w:snapToGrid w:val="0"/>
        <w:spacing w:line="440" w:lineRule="exact"/>
        <w:ind w:firstLine="480" w:firstLineChars="200"/>
        <w:rPr>
          <w:rFonts w:hint="eastAsia" w:cs="仿宋" w:asciiTheme="minorEastAsia" w:hAnsiTheme="minorEastAsia" w:eastAsiaTheme="minorEastAsia"/>
          <w:bCs/>
          <w:color w:val="000000" w:themeColor="text1"/>
          <w:sz w:val="24"/>
          <w:highlight w:val="none"/>
          <w14:textFill>
            <w14:solidFill>
              <w14:schemeClr w14:val="tx1"/>
            </w14:solidFill>
          </w14:textFill>
        </w:rPr>
      </w:pPr>
      <w:r>
        <w:rPr>
          <w:rFonts w:hint="eastAsia" w:cs="仿宋" w:asciiTheme="minorEastAsia" w:hAnsiTheme="minorEastAsia" w:eastAsiaTheme="minorEastAsia"/>
          <w:bCs/>
          <w:color w:val="000000" w:themeColor="text1"/>
          <w:sz w:val="24"/>
          <w:highlight w:val="none"/>
          <w14:textFill>
            <w14:solidFill>
              <w14:schemeClr w14:val="tx1"/>
            </w14:solidFill>
          </w14:textFill>
        </w:rPr>
        <w:t>4）积极参与街道、社区组织的垃圾分类活动。</w:t>
      </w:r>
    </w:p>
    <w:p w14:paraId="63D16E57">
      <w:pPr>
        <w:snapToGrid w:val="0"/>
        <w:spacing w:line="440" w:lineRule="exact"/>
        <w:ind w:firstLine="480" w:firstLineChars="200"/>
        <w:rPr>
          <w:rFonts w:hint="eastAsia" w:cs="仿宋" w:asciiTheme="minorEastAsia" w:hAnsiTheme="minorEastAsia" w:eastAsiaTheme="minorEastAsia"/>
          <w:bCs/>
          <w:color w:val="000000" w:themeColor="text1"/>
          <w:sz w:val="24"/>
          <w:highlight w:val="none"/>
          <w14:textFill>
            <w14:solidFill>
              <w14:schemeClr w14:val="tx1"/>
            </w14:solidFill>
          </w14:textFill>
        </w:rPr>
      </w:pPr>
      <w:r>
        <w:rPr>
          <w:rFonts w:hint="eastAsia" w:cs="仿宋" w:asciiTheme="minorEastAsia" w:hAnsiTheme="minorEastAsia" w:eastAsiaTheme="minorEastAsia"/>
          <w:bCs/>
          <w:color w:val="000000" w:themeColor="text1"/>
          <w:sz w:val="24"/>
          <w:highlight w:val="none"/>
          <w14:textFill>
            <w14:solidFill>
              <w14:schemeClr w14:val="tx1"/>
            </w14:solidFill>
          </w14:textFill>
        </w:rPr>
        <w:t>5）完成甲方交办的垃圾分类培训等其他任务。</w:t>
      </w:r>
    </w:p>
    <w:p w14:paraId="3FB3AEB2">
      <w:pPr>
        <w:snapToGrid w:val="0"/>
        <w:spacing w:line="440" w:lineRule="exact"/>
        <w:ind w:firstLine="480" w:firstLineChars="200"/>
        <w:rPr>
          <w:rFonts w:hint="eastAsia" w:cs="仿宋" w:asciiTheme="minorEastAsia" w:hAnsiTheme="minorEastAsia" w:eastAsiaTheme="minorEastAsia"/>
          <w:bCs/>
          <w:color w:val="000000" w:themeColor="text1"/>
          <w:sz w:val="24"/>
          <w:highlight w:val="none"/>
          <w14:textFill>
            <w14:solidFill>
              <w14:schemeClr w14:val="tx1"/>
            </w14:solidFill>
          </w14:textFill>
        </w:rPr>
      </w:pPr>
      <w:r>
        <w:rPr>
          <w:rFonts w:hint="eastAsia" w:cs="仿宋" w:asciiTheme="minorEastAsia" w:hAnsiTheme="minorEastAsia" w:eastAsiaTheme="minorEastAsia"/>
          <w:bCs/>
          <w:color w:val="000000" w:themeColor="text1"/>
          <w:sz w:val="24"/>
          <w:highlight w:val="none"/>
          <w14:textFill>
            <w14:solidFill>
              <w14:schemeClr w14:val="tx1"/>
            </w14:solidFill>
          </w14:textFill>
        </w:rPr>
        <w:t>6）垃圾不落地夜间收集泔水，由专人将拖桶至统一收集点，完成清运后将桶回收；夜间收集时间由甲方确定，目前收集时间为每天晚间7点至9点。</w:t>
      </w:r>
    </w:p>
    <w:p w14:paraId="44B3DCBA">
      <w:pPr>
        <w:spacing w:line="440" w:lineRule="exact"/>
        <w:rPr>
          <w:rFonts w:hint="eastAsia" w:cs="仿宋" w:asciiTheme="minorEastAsia" w:hAnsiTheme="minorEastAsia" w:eastAsiaTheme="minorEastAsia"/>
          <w:b/>
          <w:color w:val="000000" w:themeColor="text1"/>
          <w:sz w:val="24"/>
          <w:highlight w:val="none"/>
          <w14:textFill>
            <w14:solidFill>
              <w14:schemeClr w14:val="tx1"/>
            </w14:solidFill>
          </w14:textFill>
        </w:rPr>
      </w:pPr>
    </w:p>
    <w:p w14:paraId="29B7F099">
      <w:pPr>
        <w:spacing w:line="440" w:lineRule="exact"/>
        <w:rPr>
          <w:rFonts w:hint="eastAsia" w:cs="仿宋" w:asciiTheme="minorEastAsia" w:hAnsiTheme="minorEastAsia" w:eastAsiaTheme="minorEastAsia"/>
          <w:b/>
          <w:color w:val="000000" w:themeColor="text1"/>
          <w:sz w:val="24"/>
          <w:highlight w:val="none"/>
          <w14:textFill>
            <w14:solidFill>
              <w14:schemeClr w14:val="tx1"/>
            </w14:solidFill>
          </w14:textFill>
        </w:rPr>
      </w:pPr>
      <w:r>
        <w:rPr>
          <w:rFonts w:hint="eastAsia" w:cs="仿宋" w:asciiTheme="minorEastAsia" w:hAnsiTheme="minorEastAsia" w:eastAsiaTheme="minorEastAsia"/>
          <w:b/>
          <w:color w:val="000000" w:themeColor="text1"/>
          <w:sz w:val="24"/>
          <w:highlight w:val="none"/>
          <w14:textFill>
            <w14:solidFill>
              <w14:schemeClr w14:val="tx1"/>
            </w14:solidFill>
          </w14:textFill>
        </w:rPr>
        <w:t>四、准物业费用收缴</w:t>
      </w:r>
    </w:p>
    <w:p w14:paraId="59A200F5">
      <w:pPr>
        <w:snapToGrid w:val="0"/>
        <w:spacing w:line="560" w:lineRule="exact"/>
        <w:ind w:firstLine="480" w:firstLineChars="200"/>
        <w:rPr>
          <w:rFonts w:hint="eastAsia" w:cs="仿宋" w:asciiTheme="minorEastAsia" w:hAnsiTheme="minorEastAsia" w:eastAsiaTheme="minorEastAsia"/>
          <w:bCs/>
          <w:color w:val="000000" w:themeColor="text1"/>
          <w:sz w:val="24"/>
          <w:highlight w:val="none"/>
          <w14:textFill>
            <w14:solidFill>
              <w14:schemeClr w14:val="tx1"/>
            </w14:solidFill>
          </w14:textFill>
        </w:rPr>
      </w:pPr>
      <w:r>
        <w:rPr>
          <w:rFonts w:hint="eastAsia" w:cs="仿宋" w:asciiTheme="minorEastAsia" w:hAnsiTheme="minorEastAsia" w:eastAsiaTheme="minorEastAsia"/>
          <w:bCs/>
          <w:color w:val="000000" w:themeColor="text1"/>
          <w:sz w:val="24"/>
          <w:highlight w:val="none"/>
          <w14:textFill>
            <w14:solidFill>
              <w14:schemeClr w14:val="tx1"/>
            </w14:solidFill>
          </w14:textFill>
        </w:rPr>
        <w:t>提质提价：根据区住建要求，推进南片区所有准物业小区物业费从0.15元/㎡提高到0.56元/㎡；</w:t>
      </w:r>
    </w:p>
    <w:p w14:paraId="312EDB2A">
      <w:pPr>
        <w:rPr>
          <w:rFonts w:hint="eastAsia" w:ascii="微软雅黑" w:hAnsi="微软雅黑" w:eastAsia="微软雅黑" w:cs="微软雅黑"/>
          <w:sz w:val="24"/>
          <w:szCs w:val="24"/>
          <w:highlight w:val="none"/>
        </w:rPr>
      </w:pPr>
    </w:p>
    <w:p w14:paraId="76553AE6">
      <w:pPr>
        <w:rPr>
          <w:highlight w:val="none"/>
        </w:rPr>
      </w:pPr>
    </w:p>
    <w:p w14:paraId="45B91FB7">
      <w:pPr>
        <w:rPr>
          <w:b/>
          <w:color w:val="auto"/>
          <w:sz w:val="24"/>
          <w:szCs w:val="24"/>
          <w:highlight w:val="none"/>
        </w:rPr>
      </w:pPr>
    </w:p>
    <w:p w14:paraId="2B34A082">
      <w:pPr>
        <w:pStyle w:val="701"/>
        <w:spacing w:line="560" w:lineRule="exact"/>
        <w:ind w:firstLine="482"/>
        <w:jc w:val="center"/>
        <w:rPr>
          <w:rFonts w:hint="eastAsia" w:ascii="宋体" w:hAnsi="宋体"/>
          <w:b/>
          <w:color w:val="auto"/>
          <w:szCs w:val="24"/>
          <w:highlight w:val="none"/>
        </w:rPr>
        <w:sectPr>
          <w:headerReference r:id="rId11" w:type="first"/>
          <w:footerReference r:id="rId14" w:type="first"/>
          <w:headerReference r:id="rId10" w:type="default"/>
          <w:footerReference r:id="rId12" w:type="default"/>
          <w:footerReference r:id="rId13" w:type="even"/>
          <w:pgSz w:w="11906" w:h="16838"/>
          <w:pgMar w:top="1276" w:right="1418" w:bottom="1247" w:left="1418" w:header="851" w:footer="992" w:gutter="0"/>
          <w:cols w:space="720" w:num="1"/>
          <w:titlePg/>
          <w:docGrid w:linePitch="312" w:charSpace="0"/>
        </w:sectPr>
      </w:pPr>
    </w:p>
    <w:p w14:paraId="3BEC8E99">
      <w:pPr>
        <w:pStyle w:val="26"/>
        <w:rPr>
          <w:highlight w:val="none"/>
        </w:rPr>
      </w:pPr>
    </w:p>
    <w:bookmarkEnd w:id="27"/>
    <w:p w14:paraId="14A6FD10">
      <w:pPr>
        <w:widowControl/>
        <w:numPr>
          <w:ilvl w:val="0"/>
          <w:numId w:val="4"/>
        </w:numPr>
        <w:adjustRightInd/>
        <w:jc w:val="center"/>
        <w:rPr>
          <w:rFonts w:hint="eastAsia" w:ascii="宋体" w:hAnsi="宋体" w:cs="宋体"/>
          <w:b/>
          <w:sz w:val="36"/>
          <w:szCs w:val="20"/>
          <w:highlight w:val="none"/>
        </w:rPr>
      </w:pPr>
      <w:r>
        <w:rPr>
          <w:rFonts w:hint="eastAsia" w:ascii="宋体" w:hAnsi="宋体" w:cs="宋体"/>
          <w:b/>
          <w:sz w:val="36"/>
          <w:szCs w:val="20"/>
          <w:highlight w:val="none"/>
        </w:rPr>
        <w:t>应提交的有关格式范例</w:t>
      </w:r>
    </w:p>
    <w:p w14:paraId="7E573E8C">
      <w:pPr>
        <w:pStyle w:val="24"/>
        <w:numPr>
          <w:ilvl w:val="0"/>
          <w:numId w:val="0"/>
        </w:numPr>
        <w:rPr>
          <w:highlight w:val="none"/>
        </w:rPr>
      </w:pPr>
    </w:p>
    <w:p w14:paraId="710BE50D">
      <w:pPr>
        <w:spacing w:line="360" w:lineRule="auto"/>
        <w:jc w:val="center"/>
        <w:outlineLvl w:val="0"/>
        <w:rPr>
          <w:rFonts w:hint="eastAsia" w:ascii="宋体" w:hAnsi="宋体" w:cs="宋体"/>
          <w:b/>
          <w:kern w:val="0"/>
          <w:sz w:val="36"/>
          <w:szCs w:val="36"/>
          <w:highlight w:val="none"/>
        </w:rPr>
      </w:pPr>
      <w:r>
        <w:rPr>
          <w:rFonts w:hint="eastAsia" w:ascii="宋体" w:hAnsi="宋体" w:cs="宋体"/>
          <w:b/>
          <w:kern w:val="0"/>
          <w:sz w:val="36"/>
          <w:szCs w:val="36"/>
          <w:highlight w:val="none"/>
        </w:rPr>
        <w:t>资格文件部分</w:t>
      </w:r>
    </w:p>
    <w:p w14:paraId="0531C603">
      <w:pPr>
        <w:pStyle w:val="63"/>
        <w:rPr>
          <w:rFonts w:hint="default" w:eastAsia="宋体"/>
          <w:highlight w:val="none"/>
          <w:lang w:val="en-US" w:eastAsia="zh-CN"/>
        </w:rPr>
      </w:pPr>
    </w:p>
    <w:p w14:paraId="55360D71">
      <w:pPr>
        <w:pStyle w:val="63"/>
        <w:rPr>
          <w:highlight w:val="none"/>
        </w:rPr>
      </w:pPr>
    </w:p>
    <w:p w14:paraId="7A852C40">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16EC715D">
      <w:pPr>
        <w:spacing w:line="360" w:lineRule="auto"/>
        <w:jc w:val="center"/>
        <w:outlineLvl w:val="0"/>
        <w:rPr>
          <w:rFonts w:ascii="宋体" w:hAnsi="宋体" w:cs="宋体"/>
          <w:b/>
          <w:kern w:val="0"/>
          <w:sz w:val="36"/>
          <w:szCs w:val="36"/>
          <w:highlight w:val="none"/>
        </w:rPr>
      </w:pPr>
    </w:p>
    <w:p w14:paraId="608492A0">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3372D9F3">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napToGrid w:val="0"/>
          <w:kern w:val="28"/>
          <w:sz w:val="24"/>
          <w:szCs w:val="20"/>
          <w:highlight w:val="none"/>
          <w:lang w:eastAsia="zh-CN"/>
        </w:rPr>
        <w:t>（如果有）</w:t>
      </w:r>
      <w:r>
        <w:rPr>
          <w:rFonts w:hint="eastAsia" w:ascii="宋体" w:hAnsi="宋体" w:cs="宋体"/>
          <w:sz w:val="24"/>
          <w:highlight w:val="none"/>
        </w:rPr>
        <w:t>…………………………………………………（页码）</w:t>
      </w:r>
    </w:p>
    <w:p w14:paraId="548CC11E">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14:paraId="688B3147">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14:paraId="0ABAB944">
      <w:pPr>
        <w:snapToGrid w:val="0"/>
        <w:spacing w:line="360" w:lineRule="auto"/>
        <w:ind w:firstLine="480" w:firstLineChars="200"/>
        <w:rPr>
          <w:rFonts w:ascii="宋体" w:hAnsi="宋体" w:cs="宋体"/>
          <w:sz w:val="24"/>
          <w:highlight w:val="none"/>
        </w:rPr>
      </w:pPr>
    </w:p>
    <w:p w14:paraId="715E8592">
      <w:pPr>
        <w:spacing w:line="360" w:lineRule="auto"/>
        <w:ind w:firstLine="480" w:firstLineChars="200"/>
        <w:rPr>
          <w:rFonts w:ascii="宋体" w:hAnsi="宋体" w:cs="宋体"/>
          <w:sz w:val="24"/>
          <w:highlight w:val="none"/>
        </w:rPr>
      </w:pPr>
    </w:p>
    <w:p w14:paraId="444232E5">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14:paraId="53BD670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杭州市上城区人民政府小营街道办事处</w:t>
      </w:r>
      <w:r>
        <w:rPr>
          <w:rFonts w:hint="eastAsia" w:ascii="宋体" w:hAnsi="宋体" w:cs="宋体"/>
          <w:color w:val="auto"/>
          <w:sz w:val="24"/>
          <w:highlight w:val="none"/>
        </w:rPr>
        <w:t>、</w:t>
      </w:r>
      <w:r>
        <w:rPr>
          <w:rFonts w:hint="eastAsia" w:cs="仿宋_GB2312" w:asciiTheme="minorEastAsia" w:hAnsiTheme="minorEastAsia" w:eastAsiaTheme="minorEastAsia"/>
          <w:color w:val="auto"/>
          <w:sz w:val="24"/>
          <w:highlight w:val="none"/>
        </w:rPr>
        <w:t>杭州市公共资源交易中心上城分中心</w:t>
      </w:r>
      <w:r>
        <w:rPr>
          <w:rFonts w:hint="eastAsia" w:ascii="宋体" w:hAnsi="宋体" w:cs="宋体"/>
          <w:color w:val="auto"/>
          <w:sz w:val="24"/>
          <w:highlight w:val="none"/>
        </w:rPr>
        <w:t>：</w:t>
      </w:r>
    </w:p>
    <w:p w14:paraId="39522A8F">
      <w:pPr>
        <w:snapToGrid w:val="0"/>
        <w:spacing w:line="360" w:lineRule="auto"/>
        <w:ind w:firstLine="480" w:firstLineChars="200"/>
        <w:rPr>
          <w:rFonts w:ascii="宋体" w:hAnsi="宋体" w:cs="宋体"/>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杭州市上城区小营街道南片6个社区（长明寺巷、金钱巷、茅廊巷、西牌楼、梅花碑、姚园寺巷社区）准物业服务项目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SCCG2025-GK-03</w:t>
      </w:r>
      <w:r>
        <w:rPr>
          <w:rFonts w:hint="eastAsia" w:ascii="宋体" w:hAnsi="宋体" w:cs="宋体"/>
          <w:color w:val="auto"/>
          <w:sz w:val="24"/>
          <w:highlight w:val="none"/>
        </w:rPr>
        <w:t>】</w:t>
      </w:r>
      <w:r>
        <w:rPr>
          <w:rFonts w:hint="eastAsia" w:ascii="宋体" w:hAnsi="宋体" w:cs="宋体"/>
          <w:sz w:val="24"/>
          <w:highlight w:val="none"/>
        </w:rPr>
        <w:t>政府采购活动，郑重承诺：</w:t>
      </w:r>
    </w:p>
    <w:p w14:paraId="0DFB8A01">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36F3F0B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4AF4C60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4D39553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6D6C53E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364E888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35FE644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5BA1AD4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058D010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689345B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338B881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02D25174">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6183684F">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02DF3ED1">
      <w:pPr>
        <w:snapToGrid w:val="0"/>
        <w:spacing w:line="360" w:lineRule="auto"/>
        <w:ind w:right="480" w:firstLine="480" w:firstLineChars="200"/>
        <w:jc w:val="left"/>
        <w:rPr>
          <w:rFonts w:ascii="宋体" w:hAnsi="宋体" w:cs="宋体"/>
          <w:b/>
          <w:kern w:val="0"/>
          <w:sz w:val="32"/>
          <w:szCs w:val="32"/>
          <w:highlight w:val="none"/>
        </w:rPr>
      </w:pPr>
      <w:r>
        <w:rPr>
          <w:rFonts w:hint="eastAsia" w:cs="仿宋_GB2312" w:asciiTheme="minorEastAsia" w:hAnsiTheme="minorEastAsia" w:eastAsiaTheme="minorEastAsia"/>
          <w:sz w:val="24"/>
          <w:highlight w:val="none"/>
          <w:lang w:val="en-US" w:eastAsia="zh-CN"/>
        </w:rPr>
        <w:t>注：</w:t>
      </w:r>
      <w:r>
        <w:rPr>
          <w:rFonts w:hint="eastAsia" w:cs="仿宋_GB2312" w:asciiTheme="minorEastAsia" w:hAnsiTheme="minorEastAsia" w:eastAsiaTheme="minorEastAsia"/>
          <w:sz w:val="24"/>
          <w:highlight w:val="none"/>
        </w:rPr>
        <w:t>根据《</w:t>
      </w:r>
      <w:r>
        <w:rPr>
          <w:rFonts w:cs="仿宋_GB2312" w:asciiTheme="minorEastAsia" w:hAnsiTheme="minorEastAsia" w:eastAsiaTheme="minorEastAsia"/>
          <w:sz w:val="24"/>
          <w:highlight w:val="none"/>
        </w:rPr>
        <w:t>关于规范政府采购供应商资格设定及资格审查的通知</w:t>
      </w: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浙财采监[2013]24号</w:t>
      </w:r>
      <w:r>
        <w:rPr>
          <w:rFonts w:hint="eastAsia" w:cs="仿宋_GB2312" w:asciiTheme="minorEastAsia" w:hAnsiTheme="minorEastAsia" w:eastAsiaTheme="minorEastAsia"/>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77639F84">
      <w:pPr>
        <w:widowControl/>
        <w:adjustRightInd/>
        <w:jc w:val="left"/>
        <w:rPr>
          <w:rFonts w:ascii="宋体" w:hAnsi="宋体" w:cs="宋体"/>
          <w:b/>
          <w:kern w:val="0"/>
          <w:sz w:val="32"/>
          <w:szCs w:val="32"/>
          <w:highlight w:val="none"/>
        </w:rPr>
      </w:pPr>
    </w:p>
    <w:p w14:paraId="2AD3846E">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kern w:val="0"/>
          <w:sz w:val="32"/>
          <w:szCs w:val="32"/>
          <w:highlight w:val="none"/>
        </w:rPr>
        <w:t>二、联合协议</w:t>
      </w:r>
      <w:r>
        <w:rPr>
          <w:rFonts w:hint="eastAsia" w:ascii="宋体" w:hAnsi="宋体" w:cs="宋体"/>
          <w:b/>
          <w:color w:val="auto"/>
          <w:kern w:val="0"/>
          <w:sz w:val="32"/>
          <w:szCs w:val="32"/>
          <w:highlight w:val="none"/>
        </w:rPr>
        <w:t>（如果有）</w:t>
      </w:r>
    </w:p>
    <w:p w14:paraId="09D40AC2">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0E31827F">
      <w:pPr>
        <w:snapToGrid w:val="0"/>
        <w:spacing w:line="360" w:lineRule="auto"/>
        <w:ind w:right="480"/>
        <w:jc w:val="center"/>
        <w:rPr>
          <w:rFonts w:ascii="宋体" w:hAnsi="宋体" w:cs="宋体"/>
          <w:b/>
          <w:kern w:val="0"/>
          <w:sz w:val="32"/>
          <w:szCs w:val="32"/>
          <w:highlight w:val="none"/>
        </w:rPr>
      </w:pPr>
    </w:p>
    <w:p w14:paraId="615EF523">
      <w:pPr>
        <w:snapToGrid w:val="0"/>
        <w:spacing w:line="360" w:lineRule="auto"/>
        <w:ind w:right="480"/>
        <w:jc w:val="center"/>
        <w:rPr>
          <w:rFonts w:ascii="宋体" w:hAnsi="宋体" w:cs="宋体"/>
          <w:b/>
          <w:kern w:val="0"/>
          <w:sz w:val="32"/>
          <w:szCs w:val="32"/>
          <w:highlight w:val="none"/>
        </w:rPr>
      </w:pPr>
    </w:p>
    <w:p w14:paraId="617AE24C">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57029E59">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359B9BEB">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.专门面向中小企业，服务全部由符合政策要求的</w:t>
      </w:r>
      <w:r>
        <w:rPr>
          <w:rFonts w:hint="eastAsia" w:ascii="宋体" w:hAnsi="宋体" w:cs="宋体"/>
          <w:sz w:val="24"/>
          <w:highlight w:val="none"/>
          <w:lang w:eastAsia="zh-CN"/>
        </w:rPr>
        <w:t>中小</w:t>
      </w:r>
      <w:r>
        <w:rPr>
          <w:rFonts w:hint="eastAsia" w:ascii="宋体" w:hAnsi="宋体" w:cs="宋体"/>
          <w:sz w:val="24"/>
          <w:highlight w:val="none"/>
        </w:rPr>
        <w:t>企业承接的，提供相应的中小企业声明函（附件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14:paraId="7C7C9CA5">
      <w:pPr>
        <w:widowControl/>
        <w:spacing w:line="360" w:lineRule="auto"/>
        <w:ind w:left="150"/>
        <w:jc w:val="center"/>
        <w:rPr>
          <w:rFonts w:ascii="宋体" w:hAnsi="宋体" w:cs="宋体"/>
          <w:b/>
          <w:kern w:val="0"/>
          <w:sz w:val="32"/>
          <w:szCs w:val="32"/>
          <w:highlight w:val="none"/>
        </w:rPr>
      </w:pPr>
    </w:p>
    <w:p w14:paraId="7E9E3B5C">
      <w:pPr>
        <w:pStyle w:val="2"/>
        <w:rPr>
          <w:highlight w:val="none"/>
        </w:rPr>
      </w:pPr>
    </w:p>
    <w:p w14:paraId="4588CEAB">
      <w:pPr>
        <w:rPr>
          <w:highlight w:val="none"/>
        </w:rPr>
      </w:pPr>
    </w:p>
    <w:p w14:paraId="257F1027">
      <w:pPr>
        <w:pStyle w:val="2"/>
        <w:rPr>
          <w:highlight w:val="none"/>
        </w:rPr>
      </w:pPr>
    </w:p>
    <w:p w14:paraId="3872747C">
      <w:pPr>
        <w:rPr>
          <w:highlight w:val="none"/>
        </w:rPr>
      </w:pPr>
    </w:p>
    <w:p w14:paraId="574295CB">
      <w:pPr>
        <w:pStyle w:val="2"/>
        <w:rPr>
          <w:highlight w:val="none"/>
        </w:rPr>
      </w:pPr>
    </w:p>
    <w:p w14:paraId="02FF6CC9">
      <w:pPr>
        <w:rPr>
          <w:highlight w:val="none"/>
        </w:rPr>
      </w:pPr>
    </w:p>
    <w:p w14:paraId="3394FC36">
      <w:pPr>
        <w:pStyle w:val="2"/>
        <w:rPr>
          <w:highlight w:val="none"/>
        </w:rPr>
      </w:pPr>
    </w:p>
    <w:p w14:paraId="63D19610">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173770B4">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23AE883C">
      <w:pPr>
        <w:rPr>
          <w:rFonts w:ascii="宋体" w:hAnsi="宋体" w:cs="宋体"/>
          <w:highlight w:val="none"/>
        </w:rPr>
      </w:pPr>
    </w:p>
    <w:p w14:paraId="2C8208DA">
      <w:pPr>
        <w:snapToGrid w:val="0"/>
        <w:spacing w:line="360" w:lineRule="auto"/>
        <w:ind w:right="480"/>
        <w:jc w:val="center"/>
        <w:rPr>
          <w:rFonts w:ascii="宋体" w:hAnsi="宋体" w:cs="宋体"/>
          <w:b/>
          <w:kern w:val="0"/>
          <w:sz w:val="32"/>
          <w:szCs w:val="32"/>
          <w:highlight w:val="none"/>
        </w:rPr>
      </w:pPr>
    </w:p>
    <w:p w14:paraId="57C2D7FB">
      <w:pPr>
        <w:widowControl/>
        <w:adjustRightInd/>
        <w:jc w:val="left"/>
        <w:rPr>
          <w:rFonts w:ascii="宋体" w:hAnsi="宋体" w:cs="宋体"/>
          <w:b/>
          <w:kern w:val="0"/>
          <w:sz w:val="36"/>
          <w:szCs w:val="36"/>
          <w:highlight w:val="none"/>
        </w:rPr>
      </w:pPr>
      <w:r>
        <w:rPr>
          <w:rFonts w:ascii="宋体" w:hAnsi="宋体" w:cs="宋体"/>
          <w:b/>
          <w:kern w:val="0"/>
          <w:sz w:val="36"/>
          <w:szCs w:val="36"/>
          <w:highlight w:val="none"/>
        </w:rPr>
        <w:br w:type="page"/>
      </w:r>
    </w:p>
    <w:p w14:paraId="06527E90">
      <w:pPr>
        <w:spacing w:line="360" w:lineRule="auto"/>
        <w:ind w:right="420" w:firstLine="3614" w:firstLineChars="1000"/>
        <w:rPr>
          <w:rFonts w:hint="eastAsia"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69D4E0B7">
      <w:pPr>
        <w:pStyle w:val="24"/>
        <w:rPr>
          <w:rFonts w:hint="eastAsia"/>
          <w:highlight w:val="none"/>
        </w:rPr>
      </w:pPr>
    </w:p>
    <w:p w14:paraId="74498C6D">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74CAB8C9">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2EC9673B">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z w:val="24"/>
          <w:highlight w:val="none"/>
          <w:lang w:eastAsia="zh-CN"/>
        </w:rPr>
        <w:t>（如果有）</w:t>
      </w:r>
      <w:r>
        <w:rPr>
          <w:rFonts w:hint="eastAsia" w:ascii="宋体" w:hAnsi="宋体" w:cs="宋体"/>
          <w:highlight w:val="none"/>
        </w:rPr>
        <w:t>…………………………………………………………（页码）</w:t>
      </w:r>
    </w:p>
    <w:p w14:paraId="45ABEF0F">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14:paraId="26450DF8">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）投标标的清单</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7</w:t>
      </w:r>
      <w:r>
        <w:rPr>
          <w:rFonts w:hint="eastAsia" w:ascii="宋体" w:hAnsi="宋体" w:cs="宋体"/>
          <w:sz w:val="24"/>
          <w:highlight w:val="none"/>
        </w:rPr>
        <w:t>）商务技术偏离表</w:t>
      </w:r>
      <w:r>
        <w:rPr>
          <w:rFonts w:hint="eastAsia" w:ascii="宋体" w:hAnsi="宋体" w:cs="宋体"/>
          <w:highlight w:val="none"/>
        </w:rPr>
        <w:t>………………………………………………………………………（页码）</w:t>
      </w:r>
    </w:p>
    <w:p w14:paraId="2A7B2FE5">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3F24F974">
      <w:pPr>
        <w:snapToGrid w:val="0"/>
        <w:spacing w:line="360" w:lineRule="auto"/>
        <w:jc w:val="center"/>
        <w:rPr>
          <w:rFonts w:ascii="宋体" w:hAnsi="宋体" w:cs="宋体"/>
          <w:b/>
          <w:kern w:val="0"/>
          <w:sz w:val="32"/>
          <w:szCs w:val="32"/>
          <w:highlight w:val="none"/>
          <w:lang w:val="zh-CN"/>
        </w:rPr>
      </w:pPr>
    </w:p>
    <w:p w14:paraId="04FD2249">
      <w:pPr>
        <w:snapToGrid w:val="0"/>
        <w:spacing w:line="360" w:lineRule="auto"/>
        <w:jc w:val="center"/>
        <w:rPr>
          <w:rFonts w:ascii="宋体" w:hAnsi="宋体" w:cs="宋体"/>
          <w:b/>
          <w:kern w:val="0"/>
          <w:sz w:val="32"/>
          <w:szCs w:val="32"/>
          <w:highlight w:val="none"/>
          <w:lang w:val="zh-CN"/>
        </w:rPr>
      </w:pPr>
    </w:p>
    <w:p w14:paraId="32BF3B4D">
      <w:pPr>
        <w:snapToGrid w:val="0"/>
        <w:spacing w:line="360" w:lineRule="auto"/>
        <w:jc w:val="center"/>
        <w:rPr>
          <w:rFonts w:ascii="宋体" w:hAnsi="宋体" w:cs="宋体"/>
          <w:b/>
          <w:kern w:val="0"/>
          <w:sz w:val="32"/>
          <w:szCs w:val="32"/>
          <w:highlight w:val="none"/>
          <w:lang w:val="zh-CN"/>
        </w:rPr>
      </w:pPr>
    </w:p>
    <w:p w14:paraId="193126A0">
      <w:pPr>
        <w:snapToGrid w:val="0"/>
        <w:spacing w:line="360" w:lineRule="auto"/>
        <w:jc w:val="center"/>
        <w:rPr>
          <w:rFonts w:ascii="宋体" w:hAnsi="宋体" w:cs="宋体"/>
          <w:b/>
          <w:kern w:val="0"/>
          <w:sz w:val="32"/>
          <w:szCs w:val="32"/>
          <w:highlight w:val="none"/>
          <w:lang w:val="zh-CN"/>
        </w:rPr>
      </w:pPr>
    </w:p>
    <w:p w14:paraId="62B67D42">
      <w:pPr>
        <w:snapToGrid w:val="0"/>
        <w:spacing w:line="360" w:lineRule="auto"/>
        <w:jc w:val="center"/>
        <w:rPr>
          <w:rFonts w:ascii="宋体" w:hAnsi="宋体" w:cs="宋体"/>
          <w:b/>
          <w:kern w:val="0"/>
          <w:sz w:val="32"/>
          <w:szCs w:val="32"/>
          <w:highlight w:val="none"/>
          <w:lang w:val="zh-CN"/>
        </w:rPr>
      </w:pPr>
    </w:p>
    <w:p w14:paraId="2CB170CD">
      <w:pPr>
        <w:snapToGrid w:val="0"/>
        <w:spacing w:line="360" w:lineRule="auto"/>
        <w:jc w:val="center"/>
        <w:rPr>
          <w:rFonts w:ascii="宋体" w:hAnsi="宋体" w:cs="宋体"/>
          <w:b/>
          <w:kern w:val="0"/>
          <w:sz w:val="32"/>
          <w:szCs w:val="32"/>
          <w:highlight w:val="none"/>
          <w:lang w:val="zh-CN"/>
        </w:rPr>
      </w:pPr>
    </w:p>
    <w:p w14:paraId="156CF2EC">
      <w:pPr>
        <w:snapToGrid w:val="0"/>
        <w:spacing w:line="360" w:lineRule="auto"/>
        <w:jc w:val="center"/>
        <w:rPr>
          <w:rFonts w:ascii="宋体" w:hAnsi="宋体" w:cs="宋体"/>
          <w:b/>
          <w:kern w:val="0"/>
          <w:sz w:val="32"/>
          <w:szCs w:val="32"/>
          <w:highlight w:val="none"/>
          <w:lang w:val="zh-CN"/>
        </w:rPr>
      </w:pPr>
    </w:p>
    <w:p w14:paraId="00D8873F">
      <w:pPr>
        <w:snapToGrid w:val="0"/>
        <w:spacing w:line="360" w:lineRule="auto"/>
        <w:jc w:val="center"/>
        <w:rPr>
          <w:rFonts w:ascii="宋体" w:hAnsi="宋体" w:cs="宋体"/>
          <w:b/>
          <w:kern w:val="0"/>
          <w:sz w:val="32"/>
          <w:szCs w:val="32"/>
          <w:highlight w:val="none"/>
          <w:lang w:val="zh-CN"/>
        </w:rPr>
      </w:pPr>
    </w:p>
    <w:p w14:paraId="31930A35">
      <w:pPr>
        <w:snapToGrid w:val="0"/>
        <w:spacing w:line="360" w:lineRule="auto"/>
        <w:jc w:val="center"/>
        <w:rPr>
          <w:rFonts w:ascii="宋体" w:hAnsi="宋体" w:cs="宋体"/>
          <w:b/>
          <w:kern w:val="0"/>
          <w:sz w:val="32"/>
          <w:szCs w:val="32"/>
          <w:highlight w:val="none"/>
          <w:lang w:val="zh-CN"/>
        </w:rPr>
      </w:pPr>
    </w:p>
    <w:p w14:paraId="3A0BD6DD">
      <w:pPr>
        <w:snapToGrid w:val="0"/>
        <w:spacing w:line="360" w:lineRule="auto"/>
        <w:jc w:val="center"/>
        <w:rPr>
          <w:rFonts w:ascii="宋体" w:hAnsi="宋体" w:cs="宋体"/>
          <w:b/>
          <w:kern w:val="0"/>
          <w:sz w:val="32"/>
          <w:szCs w:val="32"/>
          <w:highlight w:val="none"/>
          <w:lang w:val="zh-CN"/>
        </w:rPr>
      </w:pPr>
    </w:p>
    <w:p w14:paraId="1E04B8B2">
      <w:pPr>
        <w:snapToGrid w:val="0"/>
        <w:spacing w:line="360" w:lineRule="auto"/>
        <w:jc w:val="center"/>
        <w:rPr>
          <w:rFonts w:ascii="宋体" w:hAnsi="宋体" w:cs="宋体"/>
          <w:b/>
          <w:kern w:val="0"/>
          <w:sz w:val="32"/>
          <w:szCs w:val="32"/>
          <w:highlight w:val="none"/>
          <w:lang w:val="zh-CN"/>
        </w:rPr>
      </w:pPr>
    </w:p>
    <w:p w14:paraId="2FA6C7E2">
      <w:pPr>
        <w:snapToGrid w:val="0"/>
        <w:spacing w:line="360" w:lineRule="auto"/>
        <w:jc w:val="center"/>
        <w:rPr>
          <w:rFonts w:ascii="宋体" w:hAnsi="宋体" w:cs="宋体"/>
          <w:b/>
          <w:kern w:val="0"/>
          <w:sz w:val="32"/>
          <w:szCs w:val="32"/>
          <w:highlight w:val="none"/>
          <w:lang w:val="zh-CN"/>
        </w:rPr>
      </w:pPr>
    </w:p>
    <w:p w14:paraId="030903F2">
      <w:pPr>
        <w:rPr>
          <w:rFonts w:ascii="宋体" w:hAnsi="宋体" w:cs="宋体"/>
          <w:b/>
          <w:kern w:val="0"/>
          <w:sz w:val="32"/>
          <w:szCs w:val="32"/>
          <w:highlight w:val="none"/>
          <w:lang w:val="zh-CN"/>
        </w:rPr>
      </w:pPr>
    </w:p>
    <w:p w14:paraId="117C3879">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4F6F096C">
      <w:pPr>
        <w:snapToGrid w:val="0"/>
        <w:spacing w:line="360" w:lineRule="auto"/>
        <w:jc w:val="center"/>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7B97BD6E">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杭州市上城区人民政府小营街道办事处</w:t>
      </w:r>
      <w:r>
        <w:rPr>
          <w:rFonts w:hint="eastAsia" w:ascii="宋体" w:hAnsi="宋体" w:cs="宋体"/>
          <w:color w:val="auto"/>
          <w:sz w:val="24"/>
          <w:highlight w:val="none"/>
        </w:rPr>
        <w:t>、</w:t>
      </w:r>
      <w:r>
        <w:rPr>
          <w:rFonts w:hint="eastAsia" w:cs="仿宋_GB2312" w:asciiTheme="minorEastAsia" w:hAnsiTheme="minorEastAsia" w:eastAsiaTheme="minorEastAsia"/>
          <w:color w:val="auto"/>
          <w:sz w:val="24"/>
          <w:highlight w:val="none"/>
        </w:rPr>
        <w:t>杭州市公共资源交易中心上城分中心</w:t>
      </w:r>
      <w:r>
        <w:rPr>
          <w:rFonts w:hint="eastAsia" w:ascii="宋体" w:hAnsi="宋体" w:cs="宋体"/>
          <w:color w:val="auto"/>
          <w:sz w:val="24"/>
          <w:highlight w:val="none"/>
        </w:rPr>
        <w:t>：</w:t>
      </w:r>
    </w:p>
    <w:p w14:paraId="648ACD0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杭州市上城区小营街道南片6个社区（长明寺巷、金钱巷、茅廊巷、西牌楼、梅花碑、姚园寺巷社区）准物业服务项目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SCCG2025-GK-03</w:t>
      </w:r>
      <w:r>
        <w:rPr>
          <w:rFonts w:hint="eastAsia" w:ascii="宋体" w:hAnsi="宋体" w:cs="宋体"/>
          <w:color w:val="auto"/>
          <w:sz w:val="24"/>
          <w:highlight w:val="none"/>
        </w:rPr>
        <w:t>】招标的有关活动，并对此项目进行投标。为此：</w:t>
      </w:r>
    </w:p>
    <w:p w14:paraId="521115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62BA5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11381FAB">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52DC038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14:paraId="47DC7CF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w:t>
      </w:r>
      <w:bookmarkStart w:id="402" w:name="_Hlk101257010"/>
      <w:r>
        <w:rPr>
          <w:rFonts w:hint="eastAsia" w:ascii="宋体" w:hAnsi="宋体" w:cs="宋体"/>
          <w:color w:val="auto"/>
          <w:sz w:val="24"/>
          <w:highlight w:val="none"/>
        </w:rPr>
        <w:t>（如果有)</w:t>
      </w:r>
      <w:bookmarkEnd w:id="402"/>
      <w:r>
        <w:rPr>
          <w:rFonts w:hint="eastAsia" w:ascii="宋体" w:hAnsi="宋体" w:cs="宋体"/>
          <w:snapToGrid w:val="0"/>
          <w:color w:val="auto"/>
          <w:kern w:val="28"/>
          <w:sz w:val="24"/>
          <w:szCs w:val="20"/>
          <w:highlight w:val="none"/>
        </w:rPr>
        <w:t>；</w:t>
      </w:r>
    </w:p>
    <w:p w14:paraId="4DAB858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69FE1EA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7688B9B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5101A3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610784F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6E1952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0C8FEA3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14:paraId="51F2D1CF">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14:paraId="0E7319EA">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ascii="宋体" w:hAnsi="宋体" w:cs="宋体"/>
          <w:sz w:val="24"/>
          <w:highlight w:val="none"/>
        </w:rPr>
        <w:t>投标标的清单；</w:t>
      </w:r>
    </w:p>
    <w:p w14:paraId="4EE11302">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rPr>
        <w:t>商务技术偏离表；</w:t>
      </w:r>
    </w:p>
    <w:p w14:paraId="66840C68">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7CC631F3">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0D21B3C4">
      <w:pPr>
        <w:snapToGrid w:val="0"/>
        <w:spacing w:line="360" w:lineRule="auto"/>
        <w:ind w:left="420" w:leftChars="200" w:firstLine="480" w:firstLineChars="200"/>
        <w:rPr>
          <w:rFonts w:hint="eastAsia" w:ascii="宋体" w:hAnsi="宋体" w:eastAsia="宋体" w:cs="宋体"/>
          <w:sz w:val="24"/>
          <w:highlight w:val="none"/>
          <w:lang w:eastAsia="zh-CN"/>
        </w:rPr>
      </w:pPr>
      <w:r>
        <w:rPr>
          <w:rFonts w:hint="eastAsia" w:ascii="宋体" w:hAnsi="宋体" w:cs="宋体"/>
          <w:sz w:val="24"/>
          <w:highlight w:val="none"/>
        </w:rPr>
        <w:t>2.3.1开标一览表（报价表）</w:t>
      </w:r>
      <w:r>
        <w:rPr>
          <w:rFonts w:hint="eastAsia" w:ascii="宋体" w:hAnsi="宋体" w:cs="宋体"/>
          <w:sz w:val="24"/>
          <w:highlight w:val="none"/>
          <w:lang w:eastAsia="zh-CN"/>
        </w:rPr>
        <w:t>。</w:t>
      </w:r>
    </w:p>
    <w:p w14:paraId="2CBC431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14:paraId="71EA008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144CB4AB">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31AD3F94">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339CFF25">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579764B9">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5F9C2F01">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79102F47">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0036F008">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694952D9">
      <w:pPr>
        <w:snapToGrid w:val="0"/>
        <w:spacing w:line="360" w:lineRule="auto"/>
        <w:ind w:left="420" w:leftChars="200" w:firstLine="4200" w:firstLineChars="1750"/>
        <w:rPr>
          <w:rFonts w:ascii="宋体" w:hAnsi="宋体" w:cs="宋体"/>
          <w:kern w:val="0"/>
          <w:sz w:val="24"/>
          <w:highlight w:val="none"/>
          <w:u w:val="single"/>
        </w:rPr>
      </w:pPr>
    </w:p>
    <w:p w14:paraId="79AA0E43">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19602E9">
      <w:pPr>
        <w:snapToGrid w:val="0"/>
        <w:spacing w:line="360" w:lineRule="auto"/>
        <w:jc w:val="center"/>
        <w:rPr>
          <w:rFonts w:ascii="宋体" w:hAnsi="宋体" w:cs="宋体"/>
          <w:b/>
          <w:kern w:val="0"/>
          <w:sz w:val="32"/>
          <w:szCs w:val="32"/>
          <w:highlight w:val="none"/>
        </w:rPr>
      </w:pPr>
    </w:p>
    <w:p w14:paraId="7CEA1B36">
      <w:pPr>
        <w:snapToGrid w:val="0"/>
        <w:spacing w:line="360" w:lineRule="auto"/>
        <w:rPr>
          <w:rFonts w:ascii="宋体" w:hAnsi="宋体" w:cs="宋体"/>
          <w:sz w:val="24"/>
          <w:highlight w:val="none"/>
        </w:rPr>
      </w:pPr>
    </w:p>
    <w:p w14:paraId="7A037387">
      <w:pPr>
        <w:jc w:val="center"/>
        <w:rPr>
          <w:rFonts w:ascii="宋体" w:hAnsi="宋体" w:cs="宋体"/>
          <w:b/>
          <w:kern w:val="0"/>
          <w:sz w:val="32"/>
          <w:szCs w:val="32"/>
          <w:highlight w:val="none"/>
        </w:rPr>
      </w:pPr>
    </w:p>
    <w:p w14:paraId="2DBBFC6E">
      <w:pPr>
        <w:jc w:val="center"/>
        <w:rPr>
          <w:rFonts w:ascii="宋体" w:hAnsi="宋体" w:cs="宋体"/>
          <w:b/>
          <w:kern w:val="0"/>
          <w:sz w:val="32"/>
          <w:szCs w:val="32"/>
          <w:highlight w:val="none"/>
        </w:rPr>
      </w:pPr>
    </w:p>
    <w:p w14:paraId="1C4F11D4">
      <w:pPr>
        <w:jc w:val="center"/>
        <w:rPr>
          <w:rFonts w:ascii="宋体" w:hAnsi="宋体" w:cs="宋体"/>
          <w:b/>
          <w:kern w:val="0"/>
          <w:sz w:val="32"/>
          <w:szCs w:val="32"/>
          <w:highlight w:val="none"/>
        </w:rPr>
      </w:pPr>
    </w:p>
    <w:p w14:paraId="5654BCE3">
      <w:pPr>
        <w:jc w:val="center"/>
        <w:rPr>
          <w:rFonts w:ascii="宋体" w:hAnsi="宋体" w:cs="宋体"/>
          <w:b/>
          <w:kern w:val="0"/>
          <w:sz w:val="32"/>
          <w:szCs w:val="32"/>
          <w:highlight w:val="none"/>
        </w:rPr>
      </w:pPr>
    </w:p>
    <w:p w14:paraId="3A6E463D">
      <w:pPr>
        <w:jc w:val="center"/>
        <w:rPr>
          <w:rFonts w:ascii="宋体" w:hAnsi="宋体" w:cs="宋体"/>
          <w:b/>
          <w:kern w:val="0"/>
          <w:sz w:val="32"/>
          <w:szCs w:val="32"/>
          <w:highlight w:val="none"/>
        </w:rPr>
      </w:pPr>
    </w:p>
    <w:p w14:paraId="2C8D6E3F">
      <w:pPr>
        <w:jc w:val="center"/>
        <w:rPr>
          <w:rFonts w:ascii="宋体" w:hAnsi="宋体" w:cs="宋体"/>
          <w:b/>
          <w:kern w:val="0"/>
          <w:sz w:val="32"/>
          <w:szCs w:val="32"/>
          <w:highlight w:val="none"/>
        </w:rPr>
      </w:pPr>
    </w:p>
    <w:p w14:paraId="3B600FF5">
      <w:pPr>
        <w:jc w:val="center"/>
        <w:rPr>
          <w:rFonts w:ascii="宋体" w:hAnsi="宋体" w:cs="宋体"/>
          <w:b/>
          <w:kern w:val="0"/>
          <w:sz w:val="32"/>
          <w:szCs w:val="32"/>
          <w:highlight w:val="none"/>
        </w:rPr>
      </w:pPr>
    </w:p>
    <w:p w14:paraId="6B865A52">
      <w:pPr>
        <w:jc w:val="center"/>
        <w:rPr>
          <w:rFonts w:ascii="宋体" w:hAnsi="宋体" w:cs="宋体"/>
          <w:b/>
          <w:kern w:val="0"/>
          <w:sz w:val="32"/>
          <w:szCs w:val="32"/>
          <w:highlight w:val="none"/>
        </w:rPr>
      </w:pPr>
    </w:p>
    <w:p w14:paraId="5403D290">
      <w:pPr>
        <w:jc w:val="center"/>
        <w:rPr>
          <w:rFonts w:ascii="宋体" w:hAnsi="宋体" w:cs="宋体"/>
          <w:b/>
          <w:kern w:val="0"/>
          <w:sz w:val="32"/>
          <w:szCs w:val="32"/>
          <w:highlight w:val="none"/>
        </w:rPr>
      </w:pPr>
    </w:p>
    <w:p w14:paraId="2E20E49C">
      <w:pPr>
        <w:jc w:val="center"/>
        <w:rPr>
          <w:rFonts w:ascii="宋体" w:hAnsi="宋体" w:cs="宋体"/>
          <w:b/>
          <w:kern w:val="0"/>
          <w:sz w:val="32"/>
          <w:szCs w:val="32"/>
          <w:highlight w:val="none"/>
        </w:rPr>
      </w:pPr>
    </w:p>
    <w:p w14:paraId="60F9C415">
      <w:pPr>
        <w:jc w:val="center"/>
        <w:rPr>
          <w:rFonts w:ascii="宋体" w:hAnsi="宋体" w:cs="宋体"/>
          <w:b/>
          <w:kern w:val="0"/>
          <w:sz w:val="32"/>
          <w:szCs w:val="32"/>
          <w:highlight w:val="none"/>
        </w:rPr>
      </w:pPr>
    </w:p>
    <w:p w14:paraId="08AB9AD3">
      <w:pPr>
        <w:jc w:val="center"/>
        <w:rPr>
          <w:rFonts w:ascii="宋体" w:hAnsi="宋体" w:cs="宋体"/>
          <w:b/>
          <w:kern w:val="0"/>
          <w:sz w:val="32"/>
          <w:szCs w:val="32"/>
          <w:highlight w:val="none"/>
        </w:rPr>
      </w:pPr>
    </w:p>
    <w:p w14:paraId="1778CA31">
      <w:pPr>
        <w:jc w:val="center"/>
        <w:rPr>
          <w:rFonts w:ascii="宋体" w:hAnsi="宋体" w:cs="宋体"/>
          <w:b/>
          <w:kern w:val="0"/>
          <w:sz w:val="32"/>
          <w:szCs w:val="32"/>
          <w:highlight w:val="none"/>
        </w:rPr>
      </w:pPr>
    </w:p>
    <w:p w14:paraId="20180DAB">
      <w:pPr>
        <w:jc w:val="center"/>
        <w:rPr>
          <w:rFonts w:ascii="宋体" w:hAnsi="宋体" w:cs="宋体"/>
          <w:b/>
          <w:kern w:val="0"/>
          <w:sz w:val="32"/>
          <w:szCs w:val="32"/>
          <w:highlight w:val="none"/>
        </w:rPr>
      </w:pPr>
    </w:p>
    <w:p w14:paraId="45EE1F58">
      <w:pPr>
        <w:jc w:val="center"/>
        <w:rPr>
          <w:rFonts w:ascii="宋体" w:hAnsi="宋体" w:cs="宋体"/>
          <w:b/>
          <w:kern w:val="0"/>
          <w:sz w:val="32"/>
          <w:szCs w:val="32"/>
          <w:highlight w:val="none"/>
        </w:rPr>
      </w:pPr>
    </w:p>
    <w:p w14:paraId="2F6FD8CD">
      <w:pPr>
        <w:jc w:val="center"/>
        <w:rPr>
          <w:rFonts w:ascii="宋体" w:hAnsi="宋体" w:cs="宋体"/>
          <w:b/>
          <w:kern w:val="0"/>
          <w:sz w:val="32"/>
          <w:szCs w:val="32"/>
          <w:highlight w:val="none"/>
        </w:rPr>
      </w:pPr>
    </w:p>
    <w:p w14:paraId="7097C14B">
      <w:pPr>
        <w:jc w:val="center"/>
        <w:rPr>
          <w:rFonts w:ascii="宋体" w:hAnsi="宋体" w:cs="宋体"/>
          <w:b/>
          <w:kern w:val="0"/>
          <w:sz w:val="32"/>
          <w:szCs w:val="32"/>
          <w:highlight w:val="none"/>
        </w:rPr>
      </w:pPr>
    </w:p>
    <w:p w14:paraId="7A7DA9FF">
      <w:pPr>
        <w:jc w:val="center"/>
        <w:rPr>
          <w:rFonts w:ascii="宋体" w:hAnsi="宋体" w:cs="宋体"/>
          <w:b/>
          <w:kern w:val="0"/>
          <w:sz w:val="32"/>
          <w:szCs w:val="32"/>
          <w:highlight w:val="none"/>
        </w:rPr>
      </w:pPr>
    </w:p>
    <w:p w14:paraId="07E19C0F">
      <w:pPr>
        <w:jc w:val="center"/>
        <w:rPr>
          <w:rFonts w:ascii="宋体" w:hAnsi="宋体" w:cs="宋体"/>
          <w:b/>
          <w:kern w:val="0"/>
          <w:sz w:val="32"/>
          <w:szCs w:val="32"/>
          <w:highlight w:val="none"/>
        </w:rPr>
      </w:pPr>
    </w:p>
    <w:p w14:paraId="33E949FC">
      <w:pPr>
        <w:jc w:val="center"/>
        <w:rPr>
          <w:rFonts w:ascii="宋体" w:hAnsi="宋体" w:cs="宋体"/>
          <w:b/>
          <w:kern w:val="0"/>
          <w:sz w:val="32"/>
          <w:szCs w:val="32"/>
          <w:highlight w:val="none"/>
        </w:rPr>
      </w:pPr>
    </w:p>
    <w:p w14:paraId="016A47E1">
      <w:pPr>
        <w:pStyle w:val="2"/>
        <w:rPr>
          <w:highlight w:val="none"/>
          <w:lang w:val="en-US"/>
        </w:rPr>
      </w:pPr>
    </w:p>
    <w:p w14:paraId="776D55D7">
      <w:pPr>
        <w:jc w:val="center"/>
        <w:rPr>
          <w:rFonts w:ascii="宋体" w:hAnsi="宋体" w:cs="宋体"/>
          <w:b/>
          <w:kern w:val="0"/>
          <w:sz w:val="32"/>
          <w:szCs w:val="32"/>
          <w:highlight w:val="none"/>
        </w:rPr>
      </w:pPr>
    </w:p>
    <w:p w14:paraId="3E5EB9D4">
      <w:pPr>
        <w:jc w:val="center"/>
        <w:rPr>
          <w:rFonts w:ascii="宋体" w:hAnsi="宋体" w:cs="宋体"/>
          <w:b/>
          <w:kern w:val="0"/>
          <w:sz w:val="32"/>
          <w:szCs w:val="32"/>
          <w:highlight w:val="none"/>
        </w:rPr>
      </w:pPr>
    </w:p>
    <w:p w14:paraId="47068692">
      <w:pPr>
        <w:rPr>
          <w:rFonts w:hint="eastAsia" w:ascii="宋体" w:hAnsi="宋体" w:cs="宋体"/>
          <w:b/>
          <w:kern w:val="0"/>
          <w:sz w:val="32"/>
          <w:szCs w:val="32"/>
          <w:highlight w:val="none"/>
          <w:lang w:val="zh-CN"/>
        </w:rPr>
      </w:pPr>
      <w:r>
        <w:rPr>
          <w:rFonts w:hint="eastAsia" w:ascii="宋体" w:hAnsi="宋体" w:cs="宋体"/>
          <w:b/>
          <w:kern w:val="0"/>
          <w:sz w:val="32"/>
          <w:szCs w:val="32"/>
          <w:highlight w:val="none"/>
          <w:lang w:val="zh-CN"/>
        </w:rPr>
        <w:br w:type="page"/>
      </w:r>
    </w:p>
    <w:p w14:paraId="5D280B37">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45D136A5">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7D67ADAD">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11E427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杭州市上城区人民政府小营街道办事处</w:t>
      </w:r>
      <w:r>
        <w:rPr>
          <w:rFonts w:hint="eastAsia" w:ascii="宋体" w:hAnsi="宋体" w:cs="宋体"/>
          <w:color w:val="auto"/>
          <w:sz w:val="24"/>
          <w:highlight w:val="none"/>
        </w:rPr>
        <w:t>、</w:t>
      </w:r>
      <w:r>
        <w:rPr>
          <w:rFonts w:hint="eastAsia" w:cs="仿宋_GB2312" w:asciiTheme="minorEastAsia" w:hAnsiTheme="minorEastAsia" w:eastAsiaTheme="minorEastAsia"/>
          <w:color w:val="auto"/>
          <w:sz w:val="24"/>
          <w:highlight w:val="none"/>
        </w:rPr>
        <w:t>杭州市公共资源交易中心上城分中心</w:t>
      </w:r>
      <w:r>
        <w:rPr>
          <w:rFonts w:hint="eastAsia" w:ascii="宋体" w:hAnsi="宋体" w:cs="宋体"/>
          <w:color w:val="auto"/>
          <w:kern w:val="0"/>
          <w:sz w:val="24"/>
          <w:highlight w:val="none"/>
          <w:lang w:val="zh-CN"/>
        </w:rPr>
        <w:t>：</w:t>
      </w:r>
    </w:p>
    <w:p w14:paraId="63A9EFB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杭州市上城区小营街道南片6个社区（长明寺巷、金钱巷、茅廊巷、西牌楼、梅花碑、姚园寺巷社区）准物业服务项目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SCCG2025-GK-03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59F9F89">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1E6DABD4">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0C8C5657">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78A11DC4">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2BF23D4A">
      <w:pPr>
        <w:snapToGrid w:val="0"/>
        <w:spacing w:line="360" w:lineRule="auto"/>
        <w:rPr>
          <w:rFonts w:ascii="宋体" w:hAnsi="宋体" w:cs="宋体"/>
          <w:sz w:val="24"/>
          <w:highlight w:val="none"/>
        </w:rPr>
      </w:pPr>
    </w:p>
    <w:p w14:paraId="01E77827">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67208AF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杭州市上城区人民政府小营街道办事处</w:t>
      </w:r>
      <w:r>
        <w:rPr>
          <w:rFonts w:hint="eastAsia" w:ascii="宋体" w:hAnsi="宋体" w:cs="宋体"/>
          <w:color w:val="auto"/>
          <w:sz w:val="24"/>
          <w:highlight w:val="none"/>
        </w:rPr>
        <w:t>、</w:t>
      </w:r>
      <w:r>
        <w:rPr>
          <w:rFonts w:hint="eastAsia" w:cs="仿宋_GB2312" w:asciiTheme="minorEastAsia" w:hAnsiTheme="minorEastAsia" w:eastAsiaTheme="minorEastAsia"/>
          <w:color w:val="auto"/>
          <w:sz w:val="24"/>
          <w:highlight w:val="none"/>
        </w:rPr>
        <w:t>杭州市公共资源交易中心上城分中心</w:t>
      </w:r>
      <w:r>
        <w:rPr>
          <w:rFonts w:hint="eastAsia" w:ascii="宋体" w:hAnsi="宋体" w:cs="宋体"/>
          <w:color w:val="auto"/>
          <w:kern w:val="0"/>
          <w:sz w:val="24"/>
          <w:highlight w:val="none"/>
          <w:lang w:val="zh-CN"/>
        </w:rPr>
        <w:t>：</w:t>
      </w:r>
    </w:p>
    <w:p w14:paraId="6DD2C6BD">
      <w:pPr>
        <w:snapToGrid w:val="0"/>
        <w:spacing w:line="360" w:lineRule="auto"/>
        <w:ind w:firstLine="576"/>
        <w:rPr>
          <w:rFonts w:ascii="宋体" w:hAnsi="宋体" w:cs="宋体"/>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杭州市上城区小营街道南片6个社区（长明寺巷、金钱巷、茅廊巷、西牌楼、梅花碑、姚园寺巷社区）准物业服务项目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SCCG2025-GK-03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w:t>
      </w:r>
      <w:r>
        <w:rPr>
          <w:rFonts w:hint="eastAsia" w:ascii="宋体" w:hAnsi="宋体" w:cs="宋体"/>
          <w:kern w:val="0"/>
          <w:sz w:val="24"/>
          <w:highlight w:val="none"/>
          <w:lang w:val="zh-CN"/>
        </w:rPr>
        <w:t>承担。</w:t>
      </w:r>
    </w:p>
    <w:p w14:paraId="0AC1DE29">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5867AA07">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23BE4BDB">
      <w:pPr>
        <w:jc w:val="center"/>
        <w:rPr>
          <w:rFonts w:ascii="宋体" w:hAnsi="宋体" w:cs="宋体"/>
          <w:b/>
          <w:kern w:val="0"/>
          <w:sz w:val="32"/>
          <w:szCs w:val="32"/>
          <w:highlight w:val="none"/>
        </w:rPr>
      </w:pPr>
    </w:p>
    <w:p w14:paraId="15E94CBB">
      <w:pPr>
        <w:rPr>
          <w:rFonts w:ascii="宋体" w:hAnsi="宋体" w:cs="宋体"/>
          <w:highlight w:val="none"/>
        </w:rPr>
      </w:pPr>
    </w:p>
    <w:p w14:paraId="42FAA16F">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32DEA80E">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238BB2DD">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2A8D8F91">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527D7328">
      <w:pPr>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en-US" w:eastAsia="zh-CN"/>
        </w:rPr>
        <w:t>注：</w:t>
      </w:r>
      <w:r>
        <w:rPr>
          <w:rFonts w:hint="eastAsia" w:ascii="宋体" w:hAnsi="宋体" w:cs="宋体"/>
          <w:kern w:val="0"/>
          <w:sz w:val="24"/>
          <w:highlight w:val="none"/>
          <w:lang w:val="zh-CN"/>
        </w:rPr>
        <w:t>▲供应商委派不在本单位缴纳社保的人员作为授权代表（代理人）的，应当在投标（响应）文件中，说明具体原因、授权代表缴纳社保的单位，并附列该授权代表缴纳社保清单。</w:t>
      </w:r>
    </w:p>
    <w:p w14:paraId="5EB76B79">
      <w:pPr>
        <w:autoSpaceDE w:val="0"/>
        <w:autoSpaceDN w:val="0"/>
        <w:spacing w:line="360" w:lineRule="auto"/>
        <w:jc w:val="center"/>
        <w:rPr>
          <w:rFonts w:ascii="宋体" w:hAnsi="宋体" w:cs="宋体"/>
          <w:b/>
          <w:kern w:val="0"/>
          <w:sz w:val="32"/>
          <w:szCs w:val="32"/>
          <w:highlight w:val="none"/>
          <w:lang w:val="zh-CN"/>
        </w:rPr>
      </w:pPr>
    </w:p>
    <w:p w14:paraId="418A63E4">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66118264">
      <w:pPr>
        <w:pStyle w:val="148"/>
        <w:spacing w:line="360" w:lineRule="auto"/>
        <w:rPr>
          <w:rFonts w:hAnsi="宋体" w:cs="宋体"/>
          <w:bCs/>
          <w:sz w:val="24"/>
          <w:highlight w:val="none"/>
        </w:rPr>
      </w:pPr>
      <w:r>
        <w:rPr>
          <w:rFonts w:hint="eastAsia" w:hAnsi="宋体" w:cs="宋体"/>
          <w:bCs/>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6635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73F8393">
            <w:pPr>
              <w:pStyle w:val="148"/>
              <w:adjustRightInd w:val="0"/>
              <w:spacing w:line="360" w:lineRule="auto"/>
              <w:rPr>
                <w:rFonts w:hAnsi="宋体" w:cs="宋体"/>
                <w:bCs/>
                <w:sz w:val="24"/>
                <w:highlight w:val="none"/>
              </w:rPr>
            </w:pPr>
            <w:r>
              <w:rPr>
                <w:rFonts w:hint="eastAsia" w:hAnsi="宋体" w:cs="宋体"/>
                <w:bCs/>
                <w:sz w:val="24"/>
                <w:highlight w:val="none"/>
              </w:rPr>
              <w:t>正面：                                 反面：</w:t>
            </w:r>
          </w:p>
          <w:p w14:paraId="75A2D8D4">
            <w:pPr>
              <w:pStyle w:val="148"/>
              <w:adjustRightInd w:val="0"/>
              <w:spacing w:line="360" w:lineRule="auto"/>
              <w:rPr>
                <w:rFonts w:hAnsi="宋体" w:cs="宋体"/>
                <w:bCs/>
                <w:sz w:val="24"/>
                <w:highlight w:val="none"/>
              </w:rPr>
            </w:pPr>
          </w:p>
        </w:tc>
      </w:tr>
    </w:tbl>
    <w:p w14:paraId="3F52FC3B">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2AB390BF">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148E9843">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26616A91">
      <w:pPr>
        <w:jc w:val="center"/>
        <w:rPr>
          <w:rFonts w:ascii="宋体" w:hAnsi="宋体" w:cs="宋体"/>
          <w:b/>
          <w:kern w:val="0"/>
          <w:sz w:val="32"/>
          <w:szCs w:val="32"/>
          <w:highlight w:val="none"/>
        </w:rPr>
      </w:pPr>
    </w:p>
    <w:p w14:paraId="64CD5BD7">
      <w:pPr>
        <w:jc w:val="center"/>
        <w:rPr>
          <w:rFonts w:ascii="宋体" w:hAnsi="宋体" w:cs="宋体"/>
          <w:b/>
          <w:kern w:val="0"/>
          <w:sz w:val="32"/>
          <w:szCs w:val="32"/>
          <w:highlight w:val="none"/>
        </w:rPr>
      </w:pPr>
    </w:p>
    <w:p w14:paraId="60995507">
      <w:pPr>
        <w:jc w:val="center"/>
        <w:rPr>
          <w:rFonts w:ascii="宋体" w:hAnsi="宋体" w:cs="宋体"/>
          <w:b/>
          <w:kern w:val="0"/>
          <w:sz w:val="32"/>
          <w:szCs w:val="32"/>
          <w:highlight w:val="none"/>
        </w:rPr>
      </w:pPr>
    </w:p>
    <w:p w14:paraId="54AF0943">
      <w:pPr>
        <w:jc w:val="center"/>
        <w:rPr>
          <w:rFonts w:ascii="宋体" w:hAnsi="宋体" w:cs="宋体"/>
          <w:b/>
          <w:kern w:val="0"/>
          <w:sz w:val="32"/>
          <w:szCs w:val="32"/>
          <w:highlight w:val="none"/>
        </w:rPr>
      </w:pPr>
    </w:p>
    <w:p w14:paraId="57B4FC5B">
      <w:pPr>
        <w:jc w:val="center"/>
        <w:rPr>
          <w:rFonts w:ascii="宋体" w:hAnsi="宋体" w:cs="宋体"/>
          <w:b/>
          <w:kern w:val="0"/>
          <w:sz w:val="32"/>
          <w:szCs w:val="32"/>
          <w:highlight w:val="none"/>
        </w:rPr>
      </w:pPr>
    </w:p>
    <w:p w14:paraId="0B9ADF0A">
      <w:pPr>
        <w:jc w:val="center"/>
        <w:rPr>
          <w:rFonts w:ascii="宋体" w:hAnsi="宋体" w:cs="宋体"/>
          <w:b/>
          <w:kern w:val="0"/>
          <w:sz w:val="32"/>
          <w:szCs w:val="32"/>
          <w:highlight w:val="none"/>
        </w:rPr>
      </w:pPr>
    </w:p>
    <w:p w14:paraId="18A99D25">
      <w:pPr>
        <w:jc w:val="center"/>
        <w:rPr>
          <w:rFonts w:ascii="宋体" w:hAnsi="宋体" w:cs="宋体"/>
          <w:b/>
          <w:kern w:val="0"/>
          <w:sz w:val="32"/>
          <w:szCs w:val="32"/>
          <w:highlight w:val="none"/>
        </w:rPr>
      </w:pPr>
    </w:p>
    <w:p w14:paraId="0F6F35C1">
      <w:pPr>
        <w:jc w:val="center"/>
        <w:rPr>
          <w:rFonts w:ascii="宋体" w:hAnsi="宋体" w:cs="宋体"/>
          <w:b/>
          <w:kern w:val="0"/>
          <w:sz w:val="32"/>
          <w:szCs w:val="32"/>
          <w:highlight w:val="none"/>
        </w:rPr>
      </w:pPr>
    </w:p>
    <w:p w14:paraId="3FF24D1D">
      <w:pPr>
        <w:jc w:val="center"/>
        <w:rPr>
          <w:rFonts w:ascii="宋体" w:hAnsi="宋体" w:cs="宋体"/>
          <w:b/>
          <w:kern w:val="0"/>
          <w:sz w:val="32"/>
          <w:szCs w:val="32"/>
          <w:highlight w:val="none"/>
        </w:rPr>
      </w:pPr>
    </w:p>
    <w:p w14:paraId="2A59C620">
      <w:pPr>
        <w:jc w:val="center"/>
        <w:rPr>
          <w:rFonts w:ascii="宋体" w:hAnsi="宋体" w:cs="宋体"/>
          <w:b/>
          <w:kern w:val="0"/>
          <w:sz w:val="32"/>
          <w:szCs w:val="32"/>
          <w:highlight w:val="none"/>
        </w:rPr>
      </w:pPr>
    </w:p>
    <w:p w14:paraId="3A89499B">
      <w:pPr>
        <w:snapToGrid w:val="0"/>
        <w:spacing w:line="360" w:lineRule="auto"/>
        <w:ind w:right="480"/>
        <w:rPr>
          <w:rFonts w:ascii="宋体" w:hAnsi="宋体" w:cs="宋体"/>
          <w:b/>
          <w:kern w:val="0"/>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36E90F5E">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B1B348A">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p w14:paraId="0C88B3DB">
      <w:pPr>
        <w:snapToGrid w:val="0"/>
        <w:spacing w:line="360" w:lineRule="auto"/>
        <w:rPr>
          <w:rFonts w:ascii="宋体" w:hAnsi="宋体" w:cs="宋体"/>
          <w:kern w:val="0"/>
          <w:sz w:val="24"/>
          <w:highlight w:val="none"/>
        </w:rPr>
      </w:pPr>
    </w:p>
    <w:p w14:paraId="332BD6F9">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0D803DA3">
      <w:pPr>
        <w:jc w:val="center"/>
        <w:rPr>
          <w:rFonts w:ascii="宋体" w:hAnsi="宋体" w:cs="宋体"/>
          <w:b/>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C502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34DCFF8">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6DE9DBB0">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586C007A">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4A3A9D87">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30388F09">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47E8D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5846A7">
            <w:pPr>
              <w:jc w:val="center"/>
              <w:rPr>
                <w:rFonts w:ascii="宋体" w:hAnsi="宋体" w:cs="宋体"/>
                <w:sz w:val="24"/>
                <w:highlight w:val="none"/>
              </w:rPr>
            </w:pPr>
            <w:r>
              <w:rPr>
                <w:rFonts w:hint="eastAsia" w:ascii="宋体" w:hAnsi="宋体" w:cs="宋体"/>
                <w:sz w:val="24"/>
                <w:highlight w:val="none"/>
              </w:rPr>
              <w:t>1</w:t>
            </w:r>
          </w:p>
        </w:tc>
        <w:tc>
          <w:tcPr>
            <w:tcW w:w="4991" w:type="dxa"/>
          </w:tcPr>
          <w:p w14:paraId="61968B74">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6A429331">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14:paraId="46548119">
            <w:pPr>
              <w:rPr>
                <w:rFonts w:ascii="宋体" w:hAnsi="宋体" w:cs="宋体"/>
                <w:sz w:val="24"/>
                <w:highlight w:val="none"/>
              </w:rPr>
            </w:pPr>
          </w:p>
          <w:p w14:paraId="2CC07CD9">
            <w:pPr>
              <w:rPr>
                <w:rFonts w:ascii="宋体" w:hAnsi="宋体" w:cs="宋体"/>
                <w:sz w:val="24"/>
                <w:highlight w:val="none"/>
              </w:rPr>
            </w:pPr>
            <w:r>
              <w:rPr>
                <w:rFonts w:hint="eastAsia" w:ascii="宋体" w:hAnsi="宋体" w:cs="宋体"/>
                <w:sz w:val="24"/>
                <w:highlight w:val="none"/>
              </w:rPr>
              <w:t>见投标文件</w:t>
            </w:r>
          </w:p>
          <w:p w14:paraId="36961FAB">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5BBF6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C2EC2D">
            <w:pPr>
              <w:jc w:val="center"/>
              <w:rPr>
                <w:rFonts w:ascii="宋体" w:hAnsi="宋体" w:cs="宋体"/>
                <w:sz w:val="24"/>
                <w:highlight w:val="none"/>
              </w:rPr>
            </w:pPr>
            <w:r>
              <w:rPr>
                <w:rFonts w:hint="eastAsia" w:ascii="宋体" w:hAnsi="宋体" w:cs="宋体"/>
                <w:sz w:val="24"/>
                <w:highlight w:val="none"/>
              </w:rPr>
              <w:t>2</w:t>
            </w:r>
          </w:p>
        </w:tc>
        <w:tc>
          <w:tcPr>
            <w:tcW w:w="4991" w:type="dxa"/>
          </w:tcPr>
          <w:p w14:paraId="21ABA603">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67D60186">
            <w:pPr>
              <w:rPr>
                <w:rFonts w:ascii="宋体" w:hAnsi="宋体" w:cs="宋体"/>
                <w:sz w:val="24"/>
                <w:highlight w:val="none"/>
              </w:rPr>
            </w:pPr>
            <w:r>
              <w:rPr>
                <w:rFonts w:hint="eastAsia" w:ascii="宋体" w:hAnsi="宋体" w:cs="宋体"/>
                <w:sz w:val="24"/>
                <w:highlight w:val="none"/>
              </w:rPr>
              <w:t>投标函</w:t>
            </w:r>
          </w:p>
        </w:tc>
        <w:tc>
          <w:tcPr>
            <w:tcW w:w="1418" w:type="dxa"/>
          </w:tcPr>
          <w:p w14:paraId="59C12B26">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61050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9CC7F9">
            <w:pPr>
              <w:jc w:val="center"/>
              <w:rPr>
                <w:rFonts w:ascii="宋体" w:hAnsi="宋体" w:cs="宋体"/>
                <w:sz w:val="24"/>
                <w:highlight w:val="none"/>
              </w:rPr>
            </w:pPr>
            <w:r>
              <w:rPr>
                <w:rFonts w:hint="eastAsia" w:ascii="宋体" w:hAnsi="宋体" w:cs="宋体"/>
                <w:sz w:val="24"/>
                <w:highlight w:val="none"/>
              </w:rPr>
              <w:t>3</w:t>
            </w:r>
          </w:p>
        </w:tc>
        <w:tc>
          <w:tcPr>
            <w:tcW w:w="4991" w:type="dxa"/>
          </w:tcPr>
          <w:p w14:paraId="25CDA26A">
            <w:pPr>
              <w:spacing w:line="360" w:lineRule="auto"/>
              <w:rPr>
                <w:rFonts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vAlign w:val="center"/>
          </w:tcPr>
          <w:p w14:paraId="7520DE0C">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tcPr>
          <w:p w14:paraId="3F09B48D">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7A434D13">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5BB05D4">
      <w:pPr>
        <w:jc w:val="center"/>
        <w:rPr>
          <w:rFonts w:ascii="宋体" w:hAnsi="宋体" w:cs="宋体"/>
          <w:b/>
          <w:kern w:val="0"/>
          <w:sz w:val="32"/>
          <w:szCs w:val="32"/>
          <w:highlight w:val="none"/>
        </w:rPr>
      </w:pPr>
    </w:p>
    <w:p w14:paraId="65DC6126">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1016557E">
      <w:pPr>
        <w:jc w:val="center"/>
        <w:rPr>
          <w:rFonts w:ascii="宋体" w:hAnsi="宋体" w:cs="宋体"/>
          <w:b/>
          <w:kern w:val="0"/>
          <w:sz w:val="32"/>
          <w:szCs w:val="32"/>
          <w:highlight w:val="none"/>
        </w:rPr>
      </w:pPr>
    </w:p>
    <w:p w14:paraId="056F3359">
      <w:pPr>
        <w:jc w:val="center"/>
        <w:rPr>
          <w:rFonts w:ascii="宋体" w:hAnsi="宋体" w:cs="宋体"/>
          <w:b/>
          <w:kern w:val="0"/>
          <w:sz w:val="32"/>
          <w:szCs w:val="32"/>
          <w:highlight w:val="none"/>
        </w:rPr>
      </w:pPr>
    </w:p>
    <w:p w14:paraId="0EA4586F">
      <w:pPr>
        <w:jc w:val="center"/>
        <w:rPr>
          <w:rFonts w:ascii="宋体" w:hAnsi="宋体" w:cs="宋体"/>
          <w:b/>
          <w:kern w:val="0"/>
          <w:sz w:val="32"/>
          <w:szCs w:val="32"/>
          <w:highlight w:val="none"/>
        </w:rPr>
      </w:pPr>
    </w:p>
    <w:p w14:paraId="1E5DAE0F">
      <w:pPr>
        <w:jc w:val="center"/>
        <w:rPr>
          <w:rFonts w:ascii="宋体" w:hAnsi="宋体" w:cs="宋体"/>
          <w:b/>
          <w:kern w:val="0"/>
          <w:sz w:val="32"/>
          <w:szCs w:val="32"/>
          <w:highlight w:val="none"/>
        </w:rPr>
      </w:pPr>
    </w:p>
    <w:p w14:paraId="3EA4635D">
      <w:pPr>
        <w:jc w:val="center"/>
        <w:rPr>
          <w:rFonts w:ascii="宋体" w:hAnsi="宋体" w:cs="宋体"/>
          <w:b/>
          <w:kern w:val="0"/>
          <w:sz w:val="32"/>
          <w:szCs w:val="32"/>
          <w:highlight w:val="none"/>
        </w:rPr>
      </w:pPr>
    </w:p>
    <w:p w14:paraId="4AF12D06">
      <w:pPr>
        <w:jc w:val="center"/>
        <w:rPr>
          <w:rFonts w:ascii="宋体" w:hAnsi="宋体" w:cs="宋体"/>
          <w:b/>
          <w:kern w:val="0"/>
          <w:sz w:val="32"/>
          <w:szCs w:val="32"/>
          <w:highlight w:val="none"/>
        </w:rPr>
      </w:pPr>
    </w:p>
    <w:p w14:paraId="67B8A3BB">
      <w:pPr>
        <w:jc w:val="center"/>
        <w:rPr>
          <w:rFonts w:ascii="宋体" w:hAnsi="宋体" w:cs="宋体"/>
          <w:b/>
          <w:kern w:val="0"/>
          <w:sz w:val="32"/>
          <w:szCs w:val="32"/>
          <w:highlight w:val="none"/>
        </w:rPr>
      </w:pPr>
    </w:p>
    <w:p w14:paraId="41CC7F7C">
      <w:pPr>
        <w:jc w:val="center"/>
        <w:rPr>
          <w:rFonts w:ascii="宋体" w:hAnsi="宋体" w:cs="宋体"/>
          <w:b/>
          <w:kern w:val="0"/>
          <w:sz w:val="32"/>
          <w:szCs w:val="32"/>
          <w:highlight w:val="none"/>
        </w:rPr>
      </w:pPr>
    </w:p>
    <w:p w14:paraId="7CC4C4C1">
      <w:pPr>
        <w:jc w:val="center"/>
        <w:rPr>
          <w:rFonts w:ascii="宋体" w:hAnsi="宋体" w:cs="宋体"/>
          <w:b/>
          <w:kern w:val="0"/>
          <w:sz w:val="32"/>
          <w:szCs w:val="32"/>
          <w:highlight w:val="none"/>
        </w:rPr>
      </w:pPr>
    </w:p>
    <w:p w14:paraId="5883C1F0">
      <w:pPr>
        <w:jc w:val="center"/>
        <w:rPr>
          <w:rFonts w:ascii="宋体" w:hAnsi="宋体" w:cs="宋体"/>
          <w:b/>
          <w:kern w:val="0"/>
          <w:sz w:val="32"/>
          <w:szCs w:val="32"/>
          <w:highlight w:val="none"/>
        </w:rPr>
      </w:pPr>
    </w:p>
    <w:p w14:paraId="3E9899FA">
      <w:pPr>
        <w:jc w:val="center"/>
        <w:rPr>
          <w:rFonts w:ascii="宋体" w:hAnsi="宋体" w:cs="宋体"/>
          <w:b/>
          <w:kern w:val="0"/>
          <w:sz w:val="32"/>
          <w:szCs w:val="32"/>
          <w:highlight w:val="none"/>
        </w:rPr>
      </w:pPr>
    </w:p>
    <w:p w14:paraId="41B9E492">
      <w:pPr>
        <w:jc w:val="center"/>
        <w:rPr>
          <w:rFonts w:ascii="宋体" w:hAnsi="宋体" w:cs="宋体"/>
          <w:b/>
          <w:kern w:val="0"/>
          <w:sz w:val="32"/>
          <w:szCs w:val="32"/>
          <w:highlight w:val="none"/>
        </w:rPr>
      </w:pPr>
    </w:p>
    <w:p w14:paraId="120B3749">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06221908">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65A287D1">
      <w:pPr>
        <w:jc w:val="center"/>
        <w:rPr>
          <w:rFonts w:ascii="宋体" w:hAnsi="宋体" w:cs="宋体"/>
          <w:b/>
          <w:kern w:val="0"/>
          <w:sz w:val="32"/>
          <w:szCs w:val="32"/>
          <w:highlight w:val="none"/>
        </w:rPr>
      </w:pPr>
    </w:p>
    <w:p w14:paraId="024DD66F">
      <w:pPr>
        <w:jc w:val="center"/>
        <w:rPr>
          <w:rFonts w:ascii="宋体" w:hAnsi="宋体" w:cs="宋体"/>
          <w:b/>
          <w:kern w:val="0"/>
          <w:sz w:val="32"/>
          <w:szCs w:val="32"/>
          <w:highlight w:val="none"/>
        </w:rPr>
      </w:pPr>
    </w:p>
    <w:p w14:paraId="673400F8">
      <w:pPr>
        <w:jc w:val="center"/>
        <w:rPr>
          <w:rFonts w:ascii="宋体" w:hAnsi="宋体" w:cs="宋体"/>
          <w:b/>
          <w:kern w:val="0"/>
          <w:sz w:val="32"/>
          <w:szCs w:val="32"/>
          <w:highlight w:val="none"/>
        </w:rPr>
      </w:pPr>
    </w:p>
    <w:p w14:paraId="5F08CB18">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DAA5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14312FB">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DAA248F">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6AD605C7">
            <w:pPr>
              <w:spacing w:line="360" w:lineRule="auto"/>
              <w:jc w:val="center"/>
              <w:rPr>
                <w:rFonts w:ascii="宋体" w:hAnsi="宋体" w:cs="宋体"/>
                <w:b/>
                <w:sz w:val="24"/>
                <w:highlight w:val="none"/>
              </w:rPr>
            </w:pPr>
          </w:p>
          <w:p w14:paraId="478FC787">
            <w:pPr>
              <w:spacing w:line="360" w:lineRule="auto"/>
              <w:jc w:val="center"/>
              <w:rPr>
                <w:rFonts w:ascii="宋体" w:hAnsi="宋体" w:cs="宋体"/>
                <w:b/>
                <w:sz w:val="24"/>
                <w:highlight w:val="none"/>
              </w:rPr>
            </w:pPr>
            <w:r>
              <w:rPr>
                <w:rFonts w:hint="eastAsia" w:ascii="宋体" w:hAnsi="宋体" w:cs="宋体"/>
                <w:b/>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D933AB6">
            <w:pPr>
              <w:spacing w:line="360" w:lineRule="auto"/>
              <w:jc w:val="center"/>
              <w:rPr>
                <w:rFonts w:ascii="宋体" w:hAnsi="宋体" w:cs="宋体"/>
                <w:b/>
                <w:sz w:val="24"/>
                <w:highlight w:val="none"/>
              </w:rPr>
            </w:pPr>
            <w:r>
              <w:rPr>
                <w:rFonts w:hint="eastAsia" w:ascii="宋体" w:hAnsi="宋体" w:cs="宋体"/>
                <w:b/>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E4968A2">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44062DE">
            <w:pPr>
              <w:spacing w:line="360" w:lineRule="auto"/>
              <w:jc w:val="center"/>
              <w:rPr>
                <w:rFonts w:ascii="宋体" w:hAnsi="宋体" w:cs="宋体"/>
                <w:b/>
                <w:sz w:val="24"/>
                <w:highlight w:val="none"/>
              </w:rPr>
            </w:pPr>
            <w:r>
              <w:rPr>
                <w:rFonts w:hint="eastAsia" w:ascii="宋体" w:hAnsi="宋体" w:cs="宋体"/>
                <w:b/>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A205E04">
            <w:pPr>
              <w:spacing w:line="360" w:lineRule="auto"/>
              <w:jc w:val="center"/>
              <w:rPr>
                <w:rFonts w:ascii="宋体" w:hAnsi="宋体" w:cs="宋体"/>
                <w:b/>
                <w:sz w:val="24"/>
                <w:highlight w:val="none"/>
              </w:rPr>
            </w:pPr>
          </w:p>
          <w:p w14:paraId="7B5901DB">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380A16AB">
            <w:pPr>
              <w:spacing w:line="360" w:lineRule="auto"/>
              <w:jc w:val="center"/>
              <w:rPr>
                <w:rFonts w:ascii="宋体" w:hAnsi="宋体" w:cs="宋体"/>
                <w:b/>
                <w:sz w:val="24"/>
                <w:highlight w:val="none"/>
              </w:rPr>
            </w:pPr>
          </w:p>
        </w:tc>
      </w:tr>
      <w:tr w14:paraId="249ED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C5D13E3">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492D953">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E7CDBE9">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0237421">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4AFA9E4">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E142A81">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4AFE161">
            <w:pPr>
              <w:spacing w:line="360" w:lineRule="auto"/>
              <w:jc w:val="center"/>
              <w:rPr>
                <w:rFonts w:ascii="宋体" w:hAnsi="宋体" w:cs="宋体"/>
                <w:sz w:val="24"/>
                <w:highlight w:val="none"/>
              </w:rPr>
            </w:pPr>
          </w:p>
        </w:tc>
      </w:tr>
      <w:tr w14:paraId="16227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2B1AB0">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82DEE91">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71F73D4">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87DCCC3">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F0491A7">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2373C47">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E8D1C91">
            <w:pPr>
              <w:spacing w:line="360" w:lineRule="auto"/>
              <w:jc w:val="center"/>
              <w:rPr>
                <w:rFonts w:ascii="宋体" w:hAnsi="宋体" w:cs="宋体"/>
                <w:sz w:val="24"/>
                <w:highlight w:val="none"/>
              </w:rPr>
            </w:pPr>
          </w:p>
        </w:tc>
      </w:tr>
      <w:tr w14:paraId="7B43D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63C280">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B2CF075">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A050984">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7B62B26">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4C72EDF">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ED0BD92">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B5D68BE">
            <w:pPr>
              <w:spacing w:line="360" w:lineRule="auto"/>
              <w:jc w:val="center"/>
              <w:rPr>
                <w:rFonts w:ascii="宋体" w:hAnsi="宋体" w:cs="宋体"/>
                <w:sz w:val="24"/>
                <w:highlight w:val="none"/>
              </w:rPr>
            </w:pPr>
          </w:p>
        </w:tc>
      </w:tr>
    </w:tbl>
    <w:p w14:paraId="4D5CDB78">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FF349B7">
      <w:pPr>
        <w:jc w:val="center"/>
        <w:rPr>
          <w:rFonts w:ascii="宋体" w:hAnsi="宋体" w:cs="宋体"/>
          <w:b/>
          <w:kern w:val="0"/>
          <w:sz w:val="32"/>
          <w:szCs w:val="32"/>
          <w:highlight w:val="none"/>
        </w:rPr>
      </w:pPr>
    </w:p>
    <w:p w14:paraId="2DBCAD20">
      <w:pPr>
        <w:jc w:val="center"/>
        <w:rPr>
          <w:rFonts w:ascii="宋体" w:hAnsi="宋体" w:cs="宋体"/>
          <w:b/>
          <w:kern w:val="0"/>
          <w:sz w:val="32"/>
          <w:szCs w:val="32"/>
          <w:highlight w:val="none"/>
        </w:rPr>
      </w:pPr>
    </w:p>
    <w:p w14:paraId="4BDDCF81">
      <w:pPr>
        <w:jc w:val="center"/>
        <w:rPr>
          <w:rFonts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3B01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1D026D1">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14:paraId="5209020B">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14:paraId="70C28EEC">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14:paraId="0CC5856C">
            <w:pPr>
              <w:jc w:val="center"/>
              <w:rPr>
                <w:rFonts w:ascii="宋体" w:hAnsi="宋体" w:cs="宋体"/>
                <w:b/>
                <w:bCs/>
                <w:sz w:val="24"/>
                <w:highlight w:val="none"/>
              </w:rPr>
            </w:pPr>
            <w:r>
              <w:rPr>
                <w:rFonts w:hint="eastAsia" w:ascii="宋体" w:hAnsi="宋体" w:cs="宋体"/>
                <w:b/>
                <w:bCs/>
                <w:sz w:val="24"/>
                <w:highlight w:val="none"/>
              </w:rPr>
              <w:t>偏离说明</w:t>
            </w:r>
          </w:p>
        </w:tc>
      </w:tr>
      <w:tr w14:paraId="226AF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AD9751">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14:paraId="67228FFD">
            <w:pPr>
              <w:jc w:val="center"/>
              <w:rPr>
                <w:rFonts w:ascii="宋体" w:hAnsi="宋体" w:cs="宋体"/>
                <w:b/>
                <w:kern w:val="0"/>
                <w:sz w:val="32"/>
                <w:szCs w:val="32"/>
                <w:highlight w:val="none"/>
              </w:rPr>
            </w:pPr>
          </w:p>
        </w:tc>
        <w:tc>
          <w:tcPr>
            <w:tcW w:w="3546" w:type="dxa"/>
          </w:tcPr>
          <w:p w14:paraId="4A30B30E">
            <w:pPr>
              <w:jc w:val="center"/>
              <w:rPr>
                <w:rFonts w:ascii="宋体" w:hAnsi="宋体" w:cs="宋体"/>
                <w:b/>
                <w:kern w:val="0"/>
                <w:sz w:val="32"/>
                <w:szCs w:val="32"/>
                <w:highlight w:val="none"/>
              </w:rPr>
            </w:pPr>
          </w:p>
        </w:tc>
        <w:tc>
          <w:tcPr>
            <w:tcW w:w="1276" w:type="dxa"/>
          </w:tcPr>
          <w:p w14:paraId="78CB423D">
            <w:pPr>
              <w:jc w:val="center"/>
              <w:rPr>
                <w:rFonts w:ascii="宋体" w:hAnsi="宋体" w:cs="宋体"/>
                <w:b/>
                <w:kern w:val="0"/>
                <w:sz w:val="32"/>
                <w:szCs w:val="32"/>
                <w:highlight w:val="none"/>
              </w:rPr>
            </w:pPr>
          </w:p>
        </w:tc>
      </w:tr>
      <w:tr w14:paraId="7093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738091A">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14:paraId="7EE5380B">
            <w:pPr>
              <w:jc w:val="center"/>
              <w:rPr>
                <w:rFonts w:ascii="宋体" w:hAnsi="宋体" w:cs="宋体"/>
                <w:b/>
                <w:kern w:val="0"/>
                <w:sz w:val="32"/>
                <w:szCs w:val="32"/>
                <w:highlight w:val="none"/>
              </w:rPr>
            </w:pPr>
          </w:p>
        </w:tc>
        <w:tc>
          <w:tcPr>
            <w:tcW w:w="3546" w:type="dxa"/>
          </w:tcPr>
          <w:p w14:paraId="1DFC9E44">
            <w:pPr>
              <w:jc w:val="center"/>
              <w:rPr>
                <w:rFonts w:ascii="宋体" w:hAnsi="宋体" w:cs="宋体"/>
                <w:b/>
                <w:kern w:val="0"/>
                <w:sz w:val="32"/>
                <w:szCs w:val="32"/>
                <w:highlight w:val="none"/>
              </w:rPr>
            </w:pPr>
          </w:p>
        </w:tc>
        <w:tc>
          <w:tcPr>
            <w:tcW w:w="1276" w:type="dxa"/>
          </w:tcPr>
          <w:p w14:paraId="512D7FFC">
            <w:pPr>
              <w:jc w:val="center"/>
              <w:rPr>
                <w:rFonts w:ascii="宋体" w:hAnsi="宋体" w:cs="宋体"/>
                <w:b/>
                <w:kern w:val="0"/>
                <w:sz w:val="32"/>
                <w:szCs w:val="32"/>
                <w:highlight w:val="none"/>
              </w:rPr>
            </w:pPr>
          </w:p>
        </w:tc>
      </w:tr>
      <w:tr w14:paraId="09D68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7F0415">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14:paraId="76D3C574">
            <w:pPr>
              <w:jc w:val="center"/>
              <w:rPr>
                <w:rFonts w:ascii="宋体" w:hAnsi="宋体" w:cs="宋体"/>
                <w:b/>
                <w:kern w:val="0"/>
                <w:sz w:val="32"/>
                <w:szCs w:val="32"/>
                <w:highlight w:val="none"/>
              </w:rPr>
            </w:pPr>
          </w:p>
        </w:tc>
        <w:tc>
          <w:tcPr>
            <w:tcW w:w="3546" w:type="dxa"/>
          </w:tcPr>
          <w:p w14:paraId="79E29E9B">
            <w:pPr>
              <w:jc w:val="center"/>
              <w:rPr>
                <w:rFonts w:ascii="宋体" w:hAnsi="宋体" w:cs="宋体"/>
                <w:b/>
                <w:kern w:val="0"/>
                <w:sz w:val="32"/>
                <w:szCs w:val="32"/>
                <w:highlight w:val="none"/>
              </w:rPr>
            </w:pPr>
          </w:p>
        </w:tc>
        <w:tc>
          <w:tcPr>
            <w:tcW w:w="1276" w:type="dxa"/>
          </w:tcPr>
          <w:p w14:paraId="19AC3C59">
            <w:pPr>
              <w:jc w:val="center"/>
              <w:rPr>
                <w:rFonts w:ascii="宋体" w:hAnsi="宋体" w:cs="宋体"/>
                <w:b/>
                <w:kern w:val="0"/>
                <w:sz w:val="32"/>
                <w:szCs w:val="32"/>
                <w:highlight w:val="none"/>
              </w:rPr>
            </w:pPr>
          </w:p>
        </w:tc>
      </w:tr>
    </w:tbl>
    <w:p w14:paraId="56D898F8">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5A1ECEF4">
      <w:pPr>
        <w:jc w:val="center"/>
        <w:rPr>
          <w:rFonts w:ascii="宋体" w:hAnsi="宋体" w:cs="宋体"/>
          <w:b/>
          <w:kern w:val="0"/>
          <w:sz w:val="32"/>
          <w:szCs w:val="32"/>
          <w:highlight w:val="none"/>
        </w:rPr>
      </w:pPr>
    </w:p>
    <w:p w14:paraId="56DCAAAA">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7B09628">
      <w:pPr>
        <w:ind w:firstLine="1911" w:firstLineChars="595"/>
        <w:rPr>
          <w:rFonts w:ascii="宋体" w:hAnsi="宋体" w:cs="宋体"/>
          <w:b/>
          <w:bCs/>
          <w:sz w:val="32"/>
          <w:szCs w:val="32"/>
          <w:highlight w:val="none"/>
        </w:rPr>
      </w:pPr>
    </w:p>
    <w:p w14:paraId="4DF88AA9">
      <w:pPr>
        <w:ind w:firstLine="1911" w:firstLineChars="595"/>
        <w:rPr>
          <w:rFonts w:ascii="宋体" w:hAnsi="宋体" w:cs="宋体"/>
          <w:b/>
          <w:bCs/>
          <w:sz w:val="32"/>
          <w:szCs w:val="32"/>
          <w:highlight w:val="none"/>
        </w:rPr>
      </w:pPr>
    </w:p>
    <w:p w14:paraId="6F0E7E97">
      <w:pPr>
        <w:ind w:firstLine="1911" w:firstLineChars="595"/>
        <w:rPr>
          <w:rFonts w:ascii="宋体" w:hAnsi="宋体" w:cs="宋体"/>
          <w:b/>
          <w:bCs/>
          <w:sz w:val="32"/>
          <w:szCs w:val="32"/>
          <w:highlight w:val="none"/>
        </w:rPr>
      </w:pPr>
    </w:p>
    <w:p w14:paraId="03E059D1">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14:paraId="655C9434">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335E99D3">
      <w:pPr>
        <w:snapToGrid w:val="0"/>
        <w:spacing w:line="360" w:lineRule="auto"/>
        <w:rPr>
          <w:rFonts w:ascii="宋体" w:hAnsi="宋体" w:cs="宋体"/>
          <w:sz w:val="24"/>
          <w:highlight w:val="none"/>
        </w:rPr>
      </w:pPr>
    </w:p>
    <w:p w14:paraId="31A571A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杭州市上城区人民政府小营街道办事处</w:t>
      </w:r>
      <w:r>
        <w:rPr>
          <w:rFonts w:hint="eastAsia" w:ascii="宋体" w:hAnsi="宋体" w:cs="宋体"/>
          <w:color w:val="auto"/>
          <w:sz w:val="24"/>
          <w:highlight w:val="none"/>
        </w:rPr>
        <w:t>、</w:t>
      </w:r>
      <w:r>
        <w:rPr>
          <w:rFonts w:hint="eastAsia" w:cs="仿宋_GB2312" w:asciiTheme="minorEastAsia" w:hAnsiTheme="minorEastAsia" w:eastAsiaTheme="minorEastAsia"/>
          <w:color w:val="auto"/>
          <w:sz w:val="24"/>
          <w:highlight w:val="none"/>
        </w:rPr>
        <w:t>杭州市公共资源交易中心上城分中心</w:t>
      </w:r>
      <w:r>
        <w:rPr>
          <w:rFonts w:hint="eastAsia" w:ascii="宋体" w:hAnsi="宋体" w:cs="宋体"/>
          <w:color w:val="auto"/>
          <w:kern w:val="0"/>
          <w:sz w:val="24"/>
          <w:highlight w:val="none"/>
          <w:lang w:val="zh-CN"/>
        </w:rPr>
        <w:t>：</w:t>
      </w:r>
    </w:p>
    <w:p w14:paraId="1216E5DE">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56D0DD32">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54308C88">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5A222A56">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6DA32736">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5E387DF6">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655D760C">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783EB29C">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487D25AA">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6196A7A3">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7128EFD2">
      <w:pPr>
        <w:autoSpaceDE w:val="0"/>
        <w:autoSpaceDN w:val="0"/>
        <w:spacing w:line="360" w:lineRule="auto"/>
        <w:ind w:left="2"/>
        <w:jc w:val="left"/>
        <w:rPr>
          <w:rFonts w:ascii="宋体" w:hAnsi="宋体" w:cs="宋体"/>
          <w:kern w:val="0"/>
          <w:sz w:val="24"/>
          <w:highlight w:val="none"/>
          <w:lang w:val="zh-CN"/>
        </w:rPr>
      </w:pPr>
    </w:p>
    <w:p w14:paraId="1066E50E">
      <w:pPr>
        <w:autoSpaceDE w:val="0"/>
        <w:autoSpaceDN w:val="0"/>
        <w:spacing w:line="360" w:lineRule="auto"/>
        <w:ind w:left="2"/>
        <w:jc w:val="left"/>
        <w:rPr>
          <w:rFonts w:ascii="宋体" w:hAnsi="宋体" w:cs="宋体"/>
          <w:kern w:val="0"/>
          <w:sz w:val="24"/>
          <w:highlight w:val="none"/>
          <w:lang w:val="zh-CN"/>
        </w:rPr>
      </w:pPr>
    </w:p>
    <w:p w14:paraId="0AF6BC83">
      <w:pPr>
        <w:autoSpaceDE w:val="0"/>
        <w:autoSpaceDN w:val="0"/>
        <w:spacing w:line="360" w:lineRule="auto"/>
        <w:ind w:left="2"/>
        <w:jc w:val="left"/>
        <w:rPr>
          <w:rFonts w:ascii="宋体" w:hAnsi="宋体" w:cs="宋体"/>
          <w:kern w:val="0"/>
          <w:sz w:val="24"/>
          <w:highlight w:val="none"/>
          <w:lang w:val="zh-CN"/>
        </w:rPr>
      </w:pPr>
    </w:p>
    <w:p w14:paraId="32327453">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0B32C8A4">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12D2B4E3">
      <w:pPr>
        <w:spacing w:line="360" w:lineRule="auto"/>
        <w:jc w:val="center"/>
        <w:rPr>
          <w:rFonts w:ascii="宋体" w:hAnsi="宋体" w:cs="宋体"/>
          <w:b/>
          <w:bCs/>
          <w:sz w:val="24"/>
          <w:highlight w:val="none"/>
        </w:rPr>
      </w:pPr>
    </w:p>
    <w:p w14:paraId="4914A54C">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CC04462">
      <w:pPr>
        <w:spacing w:line="360" w:lineRule="auto"/>
        <w:jc w:val="center"/>
        <w:rPr>
          <w:rFonts w:ascii="宋体" w:hAnsi="宋体" w:cs="宋体"/>
          <w:b/>
          <w:bCs/>
          <w:sz w:val="24"/>
          <w:highlight w:val="none"/>
        </w:rPr>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pPr>
    </w:p>
    <w:p w14:paraId="4B79F3C0">
      <w:pPr>
        <w:spacing w:line="360" w:lineRule="auto"/>
        <w:jc w:val="center"/>
        <w:outlineLvl w:val="0"/>
        <w:rPr>
          <w:rFonts w:hint="eastAsia" w:ascii="宋体" w:hAnsi="宋体" w:cs="宋体"/>
          <w:b/>
          <w:kern w:val="0"/>
          <w:sz w:val="36"/>
          <w:szCs w:val="36"/>
          <w:highlight w:val="none"/>
        </w:rPr>
      </w:pPr>
      <w:r>
        <w:rPr>
          <w:rFonts w:hint="eastAsia" w:ascii="宋体" w:hAnsi="宋体" w:cs="宋体"/>
          <w:b/>
          <w:kern w:val="0"/>
          <w:sz w:val="36"/>
          <w:szCs w:val="36"/>
          <w:highlight w:val="none"/>
        </w:rPr>
        <w:t>报价文件部分</w:t>
      </w:r>
    </w:p>
    <w:p w14:paraId="544F131E">
      <w:pPr>
        <w:pStyle w:val="27"/>
        <w:ind w:left="0" w:leftChars="0" w:firstLine="0" w:firstLineChars="0"/>
        <w:rPr>
          <w:rFonts w:hint="eastAsia"/>
          <w:highlight w:val="none"/>
          <w:lang w:eastAsia="zh-CN"/>
        </w:rPr>
      </w:pPr>
    </w:p>
    <w:p w14:paraId="54BD0BEA">
      <w:pPr>
        <w:spacing w:line="360" w:lineRule="auto"/>
        <w:jc w:val="center"/>
        <w:outlineLvl w:val="0"/>
        <w:rPr>
          <w:highlight w:val="none"/>
        </w:rPr>
      </w:pPr>
      <w:r>
        <w:rPr>
          <w:rFonts w:hint="eastAsia" w:ascii="宋体" w:hAnsi="宋体" w:cs="宋体"/>
          <w:b/>
          <w:kern w:val="0"/>
          <w:sz w:val="36"/>
          <w:szCs w:val="36"/>
          <w:highlight w:val="none"/>
        </w:rPr>
        <w:t>目录</w:t>
      </w:r>
    </w:p>
    <w:p w14:paraId="1DA91D61">
      <w:pPr>
        <w:spacing w:line="360" w:lineRule="auto"/>
        <w:jc w:val="center"/>
        <w:outlineLvl w:val="0"/>
        <w:rPr>
          <w:rFonts w:ascii="宋体" w:hAnsi="宋体" w:cs="宋体"/>
          <w:b/>
          <w:kern w:val="0"/>
          <w:sz w:val="36"/>
          <w:szCs w:val="36"/>
          <w:highlight w:val="none"/>
        </w:rPr>
      </w:pPr>
    </w:p>
    <w:p w14:paraId="7D3C24E6">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14:paraId="6C7B63BB">
      <w:pPr>
        <w:snapToGrid w:val="0"/>
        <w:spacing w:line="360" w:lineRule="auto"/>
        <w:ind w:right="480"/>
        <w:jc w:val="center"/>
        <w:rPr>
          <w:rFonts w:ascii="宋体" w:hAnsi="宋体" w:cs="宋体"/>
          <w:b/>
          <w:kern w:val="0"/>
          <w:sz w:val="32"/>
          <w:szCs w:val="32"/>
          <w:highlight w:val="none"/>
        </w:rPr>
      </w:pPr>
    </w:p>
    <w:p w14:paraId="631B8825">
      <w:pPr>
        <w:snapToGrid w:val="0"/>
        <w:spacing w:line="360" w:lineRule="auto"/>
        <w:ind w:right="480"/>
        <w:jc w:val="center"/>
        <w:rPr>
          <w:rFonts w:ascii="宋体" w:hAnsi="宋体" w:cs="宋体"/>
          <w:b/>
          <w:kern w:val="0"/>
          <w:sz w:val="32"/>
          <w:szCs w:val="32"/>
          <w:highlight w:val="none"/>
        </w:rPr>
      </w:pPr>
    </w:p>
    <w:p w14:paraId="25EC3411">
      <w:pPr>
        <w:snapToGrid w:val="0"/>
        <w:spacing w:line="360" w:lineRule="auto"/>
        <w:ind w:right="480"/>
        <w:jc w:val="center"/>
        <w:rPr>
          <w:rFonts w:ascii="宋体" w:hAnsi="宋体" w:cs="宋体"/>
          <w:b/>
          <w:kern w:val="0"/>
          <w:sz w:val="32"/>
          <w:szCs w:val="32"/>
          <w:highlight w:val="none"/>
        </w:rPr>
      </w:pPr>
    </w:p>
    <w:p w14:paraId="228F7F80">
      <w:pPr>
        <w:snapToGrid w:val="0"/>
        <w:spacing w:line="360" w:lineRule="auto"/>
        <w:ind w:right="480"/>
        <w:jc w:val="center"/>
        <w:rPr>
          <w:rFonts w:ascii="宋体" w:hAnsi="宋体" w:cs="宋体"/>
          <w:b/>
          <w:kern w:val="0"/>
          <w:sz w:val="32"/>
          <w:szCs w:val="32"/>
          <w:highlight w:val="none"/>
        </w:rPr>
      </w:pPr>
    </w:p>
    <w:p w14:paraId="73847504">
      <w:pPr>
        <w:snapToGrid w:val="0"/>
        <w:spacing w:line="360" w:lineRule="auto"/>
        <w:ind w:right="480"/>
        <w:jc w:val="center"/>
        <w:rPr>
          <w:rFonts w:ascii="宋体" w:hAnsi="宋体" w:cs="宋体"/>
          <w:b/>
          <w:kern w:val="0"/>
          <w:sz w:val="32"/>
          <w:szCs w:val="32"/>
          <w:highlight w:val="none"/>
        </w:rPr>
      </w:pPr>
    </w:p>
    <w:p w14:paraId="2CEDF98F">
      <w:pPr>
        <w:snapToGrid w:val="0"/>
        <w:spacing w:line="360" w:lineRule="auto"/>
        <w:ind w:right="480"/>
        <w:jc w:val="center"/>
        <w:rPr>
          <w:rFonts w:ascii="宋体" w:hAnsi="宋体" w:cs="宋体"/>
          <w:b/>
          <w:kern w:val="0"/>
          <w:sz w:val="32"/>
          <w:szCs w:val="32"/>
          <w:highlight w:val="none"/>
        </w:rPr>
      </w:pPr>
    </w:p>
    <w:p w14:paraId="51A575FE">
      <w:pPr>
        <w:snapToGrid w:val="0"/>
        <w:spacing w:line="360" w:lineRule="auto"/>
        <w:ind w:right="480"/>
        <w:jc w:val="center"/>
        <w:rPr>
          <w:rFonts w:ascii="宋体" w:hAnsi="宋体" w:cs="宋体"/>
          <w:b/>
          <w:kern w:val="0"/>
          <w:sz w:val="32"/>
          <w:szCs w:val="32"/>
          <w:highlight w:val="none"/>
        </w:rPr>
      </w:pPr>
    </w:p>
    <w:p w14:paraId="458E1459">
      <w:pPr>
        <w:snapToGrid w:val="0"/>
        <w:spacing w:line="360" w:lineRule="auto"/>
        <w:ind w:right="480"/>
        <w:jc w:val="center"/>
        <w:rPr>
          <w:rFonts w:ascii="宋体" w:hAnsi="宋体" w:cs="宋体"/>
          <w:b/>
          <w:kern w:val="0"/>
          <w:sz w:val="32"/>
          <w:szCs w:val="32"/>
          <w:highlight w:val="none"/>
        </w:rPr>
      </w:pPr>
    </w:p>
    <w:p w14:paraId="69D60767">
      <w:pPr>
        <w:snapToGrid w:val="0"/>
        <w:spacing w:line="360" w:lineRule="auto"/>
        <w:ind w:right="480"/>
        <w:jc w:val="center"/>
        <w:rPr>
          <w:rFonts w:ascii="宋体" w:hAnsi="宋体" w:cs="宋体"/>
          <w:b/>
          <w:kern w:val="0"/>
          <w:sz w:val="32"/>
          <w:szCs w:val="32"/>
          <w:highlight w:val="none"/>
        </w:rPr>
      </w:pPr>
    </w:p>
    <w:p w14:paraId="02649C69">
      <w:pPr>
        <w:snapToGrid w:val="0"/>
        <w:spacing w:line="360" w:lineRule="auto"/>
        <w:ind w:right="480"/>
        <w:jc w:val="center"/>
        <w:rPr>
          <w:rFonts w:ascii="宋体" w:hAnsi="宋体" w:cs="宋体"/>
          <w:b/>
          <w:kern w:val="0"/>
          <w:sz w:val="32"/>
          <w:szCs w:val="32"/>
          <w:highlight w:val="none"/>
        </w:rPr>
      </w:pPr>
    </w:p>
    <w:p w14:paraId="17178DF7">
      <w:pPr>
        <w:snapToGrid w:val="0"/>
        <w:spacing w:line="360" w:lineRule="auto"/>
        <w:ind w:right="480"/>
        <w:jc w:val="center"/>
        <w:rPr>
          <w:rFonts w:ascii="宋体" w:hAnsi="宋体" w:cs="宋体"/>
          <w:b/>
          <w:kern w:val="0"/>
          <w:sz w:val="32"/>
          <w:szCs w:val="32"/>
          <w:highlight w:val="none"/>
        </w:rPr>
      </w:pPr>
    </w:p>
    <w:p w14:paraId="48FFC409">
      <w:pPr>
        <w:snapToGrid w:val="0"/>
        <w:spacing w:line="360" w:lineRule="auto"/>
        <w:ind w:right="480"/>
        <w:jc w:val="center"/>
        <w:rPr>
          <w:rFonts w:ascii="宋体" w:hAnsi="宋体" w:cs="宋体"/>
          <w:b/>
          <w:kern w:val="0"/>
          <w:sz w:val="32"/>
          <w:szCs w:val="32"/>
          <w:highlight w:val="none"/>
        </w:rPr>
      </w:pPr>
    </w:p>
    <w:p w14:paraId="662EB4BA">
      <w:pPr>
        <w:snapToGrid w:val="0"/>
        <w:spacing w:line="360" w:lineRule="auto"/>
        <w:ind w:right="480"/>
        <w:jc w:val="center"/>
        <w:rPr>
          <w:rFonts w:ascii="宋体" w:hAnsi="宋体" w:cs="宋体"/>
          <w:b/>
          <w:kern w:val="0"/>
          <w:sz w:val="32"/>
          <w:szCs w:val="32"/>
          <w:highlight w:val="none"/>
        </w:rPr>
      </w:pPr>
    </w:p>
    <w:p w14:paraId="43C40F97">
      <w:pPr>
        <w:snapToGrid w:val="0"/>
        <w:spacing w:line="360" w:lineRule="auto"/>
        <w:ind w:right="480"/>
        <w:jc w:val="center"/>
        <w:rPr>
          <w:rFonts w:ascii="宋体" w:hAnsi="宋体" w:cs="宋体"/>
          <w:b/>
          <w:kern w:val="0"/>
          <w:sz w:val="32"/>
          <w:szCs w:val="32"/>
          <w:highlight w:val="none"/>
        </w:rPr>
      </w:pPr>
    </w:p>
    <w:p w14:paraId="3D531C9A">
      <w:pPr>
        <w:snapToGrid w:val="0"/>
        <w:spacing w:line="360" w:lineRule="auto"/>
        <w:ind w:right="480"/>
        <w:jc w:val="center"/>
        <w:rPr>
          <w:rFonts w:ascii="宋体" w:hAnsi="宋体" w:cs="宋体"/>
          <w:b/>
          <w:kern w:val="0"/>
          <w:sz w:val="32"/>
          <w:szCs w:val="32"/>
          <w:highlight w:val="none"/>
        </w:rPr>
      </w:pPr>
    </w:p>
    <w:p w14:paraId="7E47C0FB">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24" w:type="first"/>
          <w:footerReference r:id="rId26" w:type="first"/>
          <w:headerReference r:id="rId23" w:type="default"/>
          <w:footerReference r:id="rId25" w:type="default"/>
          <w:pgSz w:w="11906" w:h="16838"/>
          <w:pgMar w:top="1276" w:right="1418" w:bottom="1247" w:left="1418" w:header="851" w:footer="992" w:gutter="0"/>
          <w:cols w:space="720" w:num="1"/>
          <w:titlePg/>
          <w:docGrid w:linePitch="312" w:charSpace="0"/>
        </w:sectPr>
      </w:pPr>
    </w:p>
    <w:p w14:paraId="31139A11">
      <w:pPr>
        <w:pStyle w:val="692"/>
        <w:keepNext w:val="0"/>
        <w:pageBreakBefore w:val="0"/>
        <w:tabs>
          <w:tab w:val="clear" w:pos="720"/>
        </w:tabs>
        <w:snapToGrid w:val="0"/>
        <w:spacing w:before="120" w:after="120"/>
        <w:ind w:firstLine="643"/>
        <w:outlineLvl w:val="9"/>
        <w:rPr>
          <w:rFonts w:hint="default" w:ascii="宋体" w:hAnsi="宋体" w:eastAsia="宋体" w:cs="宋体"/>
          <w:kern w:val="2"/>
          <w:sz w:val="32"/>
          <w:szCs w:val="32"/>
          <w:highlight w:val="none"/>
          <w:lang w:val="en-US" w:eastAsia="zh-CN"/>
        </w:rPr>
      </w:pPr>
      <w:r>
        <w:rPr>
          <w:rFonts w:hint="eastAsia" w:ascii="宋体" w:hAnsi="宋体" w:eastAsia="宋体" w:cs="宋体"/>
          <w:kern w:val="2"/>
          <w:sz w:val="32"/>
          <w:szCs w:val="32"/>
          <w:highlight w:val="none"/>
        </w:rPr>
        <w:t>一、开标一览表（报价表）</w:t>
      </w:r>
    </w:p>
    <w:p w14:paraId="2CD7FAC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杭州市上城区人民政府小营街道办事处</w:t>
      </w:r>
      <w:r>
        <w:rPr>
          <w:rFonts w:hint="eastAsia" w:ascii="宋体" w:hAnsi="宋体" w:cs="宋体"/>
          <w:color w:val="auto"/>
          <w:sz w:val="24"/>
          <w:highlight w:val="none"/>
        </w:rPr>
        <w:t>、</w:t>
      </w:r>
      <w:r>
        <w:rPr>
          <w:rFonts w:hint="eastAsia" w:cs="仿宋_GB2312" w:asciiTheme="minorEastAsia" w:hAnsiTheme="minorEastAsia" w:eastAsiaTheme="minorEastAsia"/>
          <w:color w:val="auto"/>
          <w:sz w:val="24"/>
          <w:highlight w:val="none"/>
        </w:rPr>
        <w:t>杭州市公共资源交易中心上城分中心</w:t>
      </w:r>
      <w:r>
        <w:rPr>
          <w:rFonts w:hint="eastAsia" w:ascii="宋体" w:hAnsi="宋体" w:cs="宋体"/>
          <w:color w:val="auto"/>
          <w:kern w:val="0"/>
          <w:sz w:val="24"/>
          <w:highlight w:val="none"/>
          <w:lang w:val="zh-CN"/>
        </w:rPr>
        <w:t>：</w:t>
      </w:r>
    </w:p>
    <w:p w14:paraId="41C4CFB5">
      <w:pPr>
        <w:snapToGrid w:val="0"/>
        <w:spacing w:line="360" w:lineRule="auto"/>
        <w:ind w:firstLine="482"/>
        <w:rPr>
          <w:rFonts w:ascii="宋体" w:hAnsi="宋体" w:cs="宋体"/>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杭州市上城区小营街道南片6个社区（长明寺巷、金钱巷、茅廊巷、西牌楼、梅花碑、姚园寺巷社区）准物业服务项目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SCCG2025-GK-03</w:t>
      </w:r>
      <w:r>
        <w:rPr>
          <w:rFonts w:hint="eastAsia" w:ascii="宋体" w:hAnsi="宋体" w:cs="宋体"/>
          <w:color w:val="auto"/>
          <w:sz w:val="24"/>
          <w:highlight w:val="none"/>
        </w:rPr>
        <w:t>】的实施</w:t>
      </w:r>
      <w:r>
        <w:rPr>
          <w:rFonts w:hint="eastAsia" w:ascii="宋体" w:hAnsi="宋体" w:cs="宋体"/>
          <w:kern w:val="0"/>
          <w:sz w:val="24"/>
          <w:highlight w:val="none"/>
          <w:lang w:val="zh-CN"/>
        </w:rPr>
        <w:t>。</w:t>
      </w:r>
    </w:p>
    <w:p w14:paraId="591E2E89">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4"/>
        <w:tblpPr w:leftFromText="180" w:rightFromText="180" w:vertAnchor="text" w:horzAnchor="page" w:tblpX="1256" w:tblpY="458"/>
        <w:tblOverlap w:val="never"/>
        <w:tblW w:w="15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771"/>
        <w:gridCol w:w="1890"/>
        <w:gridCol w:w="2098"/>
        <w:gridCol w:w="1757"/>
        <w:gridCol w:w="1829"/>
        <w:gridCol w:w="1941"/>
        <w:gridCol w:w="2100"/>
      </w:tblGrid>
      <w:tr w14:paraId="7A7B9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F85A6B8">
            <w:pPr>
              <w:spacing w:line="360" w:lineRule="auto"/>
              <w:jc w:val="center"/>
              <w:rPr>
                <w:rFonts w:hint="eastAsia" w:ascii="宋体" w:hAnsi="宋体" w:cs="宋体"/>
                <w:b/>
                <w:sz w:val="24"/>
                <w:highlight w:val="none"/>
              </w:rPr>
            </w:pPr>
            <w:r>
              <w:rPr>
                <w:rFonts w:hint="eastAsia" w:ascii="宋体" w:hAnsi="宋体" w:cs="宋体"/>
                <w:b/>
                <w:sz w:val="24"/>
                <w:highlight w:val="none"/>
              </w:rPr>
              <w:t>序号</w:t>
            </w:r>
          </w:p>
        </w:tc>
        <w:tc>
          <w:tcPr>
            <w:tcW w:w="2771" w:type="dxa"/>
            <w:vAlign w:val="center"/>
          </w:tcPr>
          <w:p w14:paraId="6F67115B">
            <w:pPr>
              <w:spacing w:line="360" w:lineRule="auto"/>
              <w:jc w:val="center"/>
              <w:rPr>
                <w:rFonts w:hint="eastAsia" w:ascii="宋体" w:hAnsi="宋体" w:cs="宋体"/>
                <w:b/>
                <w:sz w:val="24"/>
                <w:highlight w:val="none"/>
              </w:rPr>
            </w:pPr>
            <w:r>
              <w:rPr>
                <w:rFonts w:hint="eastAsia" w:ascii="宋体" w:hAnsi="宋体" w:cs="宋体"/>
                <w:b/>
                <w:sz w:val="24"/>
                <w:highlight w:val="none"/>
              </w:rPr>
              <w:t>名称</w:t>
            </w:r>
          </w:p>
        </w:tc>
        <w:tc>
          <w:tcPr>
            <w:tcW w:w="1890" w:type="dxa"/>
          </w:tcPr>
          <w:p w14:paraId="4BB512A9">
            <w:pPr>
              <w:spacing w:line="360" w:lineRule="auto"/>
              <w:jc w:val="center"/>
              <w:rPr>
                <w:rFonts w:hint="eastAsia" w:ascii="宋体" w:hAnsi="宋体" w:cs="宋体"/>
                <w:b/>
                <w:sz w:val="24"/>
                <w:highlight w:val="none"/>
              </w:rPr>
            </w:pPr>
          </w:p>
          <w:p w14:paraId="4BA2B892">
            <w:pPr>
              <w:spacing w:line="360" w:lineRule="auto"/>
              <w:jc w:val="center"/>
              <w:rPr>
                <w:rFonts w:hint="eastAsia" w:ascii="宋体" w:hAnsi="宋体" w:cs="宋体"/>
                <w:b/>
                <w:sz w:val="24"/>
                <w:highlight w:val="none"/>
              </w:rPr>
            </w:pPr>
            <w:r>
              <w:rPr>
                <w:rFonts w:hint="eastAsia" w:ascii="宋体" w:hAnsi="宋体" w:cs="宋体"/>
                <w:b/>
                <w:sz w:val="24"/>
                <w:highlight w:val="none"/>
              </w:rPr>
              <w:t>服务范围</w:t>
            </w:r>
          </w:p>
        </w:tc>
        <w:tc>
          <w:tcPr>
            <w:tcW w:w="2098" w:type="dxa"/>
            <w:vAlign w:val="center"/>
          </w:tcPr>
          <w:p w14:paraId="05A5DD93">
            <w:pPr>
              <w:spacing w:line="360" w:lineRule="auto"/>
              <w:jc w:val="center"/>
              <w:rPr>
                <w:rFonts w:hint="eastAsia" w:ascii="宋体" w:hAnsi="宋体" w:cs="宋体"/>
                <w:b/>
                <w:sz w:val="24"/>
                <w:highlight w:val="none"/>
              </w:rPr>
            </w:pPr>
            <w:r>
              <w:rPr>
                <w:rFonts w:hint="eastAsia" w:ascii="宋体" w:hAnsi="宋体" w:cs="宋体"/>
                <w:b/>
                <w:sz w:val="24"/>
                <w:highlight w:val="none"/>
              </w:rPr>
              <w:t>服务要求</w:t>
            </w:r>
          </w:p>
        </w:tc>
        <w:tc>
          <w:tcPr>
            <w:tcW w:w="1757" w:type="dxa"/>
            <w:vAlign w:val="center"/>
          </w:tcPr>
          <w:p w14:paraId="3FF31F79">
            <w:pPr>
              <w:spacing w:line="360" w:lineRule="auto"/>
              <w:jc w:val="center"/>
              <w:rPr>
                <w:rFonts w:hint="eastAsia" w:ascii="宋体" w:hAnsi="宋体" w:cs="宋体"/>
                <w:b/>
                <w:sz w:val="24"/>
                <w:highlight w:val="none"/>
              </w:rPr>
            </w:pPr>
            <w:r>
              <w:rPr>
                <w:rFonts w:hint="eastAsia" w:ascii="宋体" w:hAnsi="宋体" w:cs="宋体"/>
                <w:b/>
                <w:sz w:val="24"/>
                <w:highlight w:val="none"/>
              </w:rPr>
              <w:t>服务时间</w:t>
            </w:r>
          </w:p>
        </w:tc>
        <w:tc>
          <w:tcPr>
            <w:tcW w:w="1829" w:type="dxa"/>
            <w:vAlign w:val="center"/>
          </w:tcPr>
          <w:p w14:paraId="27A7F5CC">
            <w:pPr>
              <w:spacing w:line="360" w:lineRule="auto"/>
              <w:jc w:val="center"/>
              <w:rPr>
                <w:rFonts w:hint="eastAsia" w:ascii="宋体" w:hAnsi="宋体" w:cs="宋体"/>
                <w:b/>
                <w:sz w:val="24"/>
                <w:highlight w:val="none"/>
              </w:rPr>
            </w:pPr>
            <w:r>
              <w:rPr>
                <w:rFonts w:hint="eastAsia" w:ascii="宋体" w:hAnsi="宋体" w:cs="宋体"/>
                <w:b/>
                <w:sz w:val="24"/>
                <w:highlight w:val="none"/>
              </w:rPr>
              <w:t>服务标准</w:t>
            </w:r>
          </w:p>
        </w:tc>
        <w:tc>
          <w:tcPr>
            <w:tcW w:w="1941" w:type="dxa"/>
          </w:tcPr>
          <w:p w14:paraId="42BF34EF">
            <w:pPr>
              <w:spacing w:line="360" w:lineRule="auto"/>
              <w:jc w:val="center"/>
              <w:rPr>
                <w:rFonts w:hint="eastAsia" w:ascii="宋体" w:hAnsi="宋体" w:cs="宋体"/>
                <w:b/>
                <w:sz w:val="24"/>
                <w:highlight w:val="none"/>
              </w:rPr>
            </w:pPr>
          </w:p>
          <w:p w14:paraId="4250CAAA">
            <w:pPr>
              <w:spacing w:line="360" w:lineRule="auto"/>
              <w:jc w:val="center"/>
              <w:rPr>
                <w:rFonts w:hint="eastAsia" w:ascii="宋体" w:hAnsi="宋体" w:cs="宋体"/>
                <w:b/>
                <w:sz w:val="24"/>
                <w:highlight w:val="none"/>
              </w:rPr>
            </w:pPr>
            <w:r>
              <w:rPr>
                <w:rFonts w:hint="eastAsia" w:ascii="宋体" w:hAnsi="宋体" w:cs="宋体"/>
                <w:b/>
                <w:sz w:val="24"/>
                <w:highlight w:val="none"/>
              </w:rPr>
              <w:t>服务人数</w:t>
            </w:r>
          </w:p>
        </w:tc>
        <w:tc>
          <w:tcPr>
            <w:tcW w:w="2100" w:type="dxa"/>
            <w:vAlign w:val="center"/>
          </w:tcPr>
          <w:p w14:paraId="7CE3492E">
            <w:pPr>
              <w:spacing w:line="360" w:lineRule="auto"/>
              <w:jc w:val="center"/>
              <w:rPr>
                <w:rFonts w:hint="eastAsia" w:ascii="宋体" w:hAnsi="宋体" w:cs="宋体"/>
                <w:b/>
                <w:sz w:val="24"/>
                <w:highlight w:val="none"/>
              </w:rPr>
            </w:pPr>
          </w:p>
          <w:p w14:paraId="2BA183A1">
            <w:pPr>
              <w:spacing w:line="360" w:lineRule="auto"/>
              <w:jc w:val="center"/>
              <w:rPr>
                <w:rFonts w:hint="eastAsia" w:ascii="宋体" w:hAnsi="宋体" w:cs="宋体"/>
                <w:b/>
                <w:sz w:val="24"/>
                <w:highlight w:val="none"/>
              </w:rPr>
            </w:pPr>
            <w:r>
              <w:rPr>
                <w:rFonts w:hint="eastAsia" w:ascii="宋体" w:hAnsi="宋体" w:cs="宋体"/>
                <w:b/>
                <w:sz w:val="24"/>
                <w:highlight w:val="none"/>
              </w:rPr>
              <w:t>备注（如果有）</w:t>
            </w:r>
          </w:p>
          <w:p w14:paraId="21F138A0">
            <w:pPr>
              <w:spacing w:line="360" w:lineRule="auto"/>
              <w:jc w:val="center"/>
              <w:rPr>
                <w:rFonts w:hint="eastAsia" w:ascii="宋体" w:hAnsi="宋体" w:cs="宋体"/>
                <w:b/>
                <w:sz w:val="24"/>
                <w:highlight w:val="none"/>
              </w:rPr>
            </w:pPr>
          </w:p>
        </w:tc>
      </w:tr>
      <w:tr w14:paraId="2EFFB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A4DC77F">
            <w:pPr>
              <w:spacing w:line="360" w:lineRule="auto"/>
              <w:jc w:val="center"/>
              <w:rPr>
                <w:rFonts w:hint="eastAsia" w:ascii="宋体" w:hAnsi="宋体" w:cs="宋体"/>
                <w:color w:val="0000FF"/>
                <w:sz w:val="24"/>
                <w:highlight w:val="none"/>
              </w:rPr>
            </w:pPr>
            <w:r>
              <w:rPr>
                <w:rFonts w:hint="eastAsia" w:ascii="宋体" w:hAnsi="宋体" w:cs="宋体"/>
                <w:sz w:val="24"/>
                <w:highlight w:val="none"/>
              </w:rPr>
              <w:t>1</w:t>
            </w:r>
          </w:p>
        </w:tc>
        <w:tc>
          <w:tcPr>
            <w:tcW w:w="2771" w:type="dxa"/>
            <w:vAlign w:val="center"/>
          </w:tcPr>
          <w:p w14:paraId="5AF741B4">
            <w:pPr>
              <w:snapToGrid w:val="0"/>
              <w:spacing w:line="360" w:lineRule="auto"/>
              <w:jc w:val="center"/>
              <w:rPr>
                <w:rFonts w:hint="eastAsia" w:ascii="宋体" w:hAnsi="宋体" w:cs="宋体"/>
                <w:color w:val="0000FF"/>
                <w:sz w:val="24"/>
                <w:highlight w:val="none"/>
              </w:rPr>
            </w:pPr>
            <w:r>
              <w:rPr>
                <w:rFonts w:hint="eastAsia" w:ascii="宋体" w:hAnsi="宋体" w:cs="宋体"/>
                <w:color w:val="auto"/>
                <w:sz w:val="24"/>
                <w:highlight w:val="none"/>
                <w:lang w:eastAsia="zh-CN"/>
              </w:rPr>
              <w:t>杭州市上城区小营街道南片6个社区（长明寺巷、金钱巷、茅廊巷、西牌楼、梅花碑、姚园寺巷社区）准物业服务项目</w:t>
            </w:r>
          </w:p>
        </w:tc>
        <w:tc>
          <w:tcPr>
            <w:tcW w:w="1890" w:type="dxa"/>
            <w:vAlign w:val="center"/>
          </w:tcPr>
          <w:p w14:paraId="7ABE256B">
            <w:pPr>
              <w:snapToGrid w:val="0"/>
              <w:spacing w:line="360" w:lineRule="auto"/>
              <w:jc w:val="center"/>
              <w:rPr>
                <w:rFonts w:hint="eastAsia" w:ascii="宋体" w:hAnsi="宋体" w:cs="宋体"/>
                <w:sz w:val="24"/>
                <w:highlight w:val="none"/>
              </w:rPr>
            </w:pPr>
          </w:p>
        </w:tc>
        <w:tc>
          <w:tcPr>
            <w:tcW w:w="2098" w:type="dxa"/>
            <w:vAlign w:val="center"/>
          </w:tcPr>
          <w:p w14:paraId="7DBE9C9E">
            <w:pPr>
              <w:snapToGrid w:val="0"/>
              <w:spacing w:line="360" w:lineRule="auto"/>
              <w:jc w:val="center"/>
              <w:rPr>
                <w:rFonts w:hint="eastAsia" w:ascii="宋体" w:hAnsi="宋体" w:cs="宋体"/>
                <w:sz w:val="24"/>
                <w:highlight w:val="none"/>
              </w:rPr>
            </w:pPr>
          </w:p>
        </w:tc>
        <w:tc>
          <w:tcPr>
            <w:tcW w:w="1757" w:type="dxa"/>
            <w:vAlign w:val="center"/>
          </w:tcPr>
          <w:p w14:paraId="0B5EA167">
            <w:pPr>
              <w:snapToGrid w:val="0"/>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年</w:t>
            </w:r>
          </w:p>
        </w:tc>
        <w:tc>
          <w:tcPr>
            <w:tcW w:w="1829" w:type="dxa"/>
            <w:vAlign w:val="center"/>
          </w:tcPr>
          <w:p w14:paraId="4CC23107">
            <w:pPr>
              <w:spacing w:line="360" w:lineRule="auto"/>
              <w:jc w:val="center"/>
              <w:rPr>
                <w:rFonts w:hint="eastAsia" w:ascii="宋体" w:hAnsi="宋体" w:cs="宋体"/>
                <w:sz w:val="24"/>
                <w:highlight w:val="none"/>
              </w:rPr>
            </w:pPr>
          </w:p>
        </w:tc>
        <w:tc>
          <w:tcPr>
            <w:tcW w:w="1941" w:type="dxa"/>
          </w:tcPr>
          <w:p w14:paraId="1B4CACB7">
            <w:pPr>
              <w:spacing w:line="360" w:lineRule="auto"/>
              <w:jc w:val="center"/>
              <w:rPr>
                <w:rFonts w:hint="eastAsia" w:ascii="宋体" w:hAnsi="宋体" w:cs="宋体"/>
                <w:sz w:val="24"/>
                <w:highlight w:val="none"/>
              </w:rPr>
            </w:pPr>
          </w:p>
        </w:tc>
        <w:tc>
          <w:tcPr>
            <w:tcW w:w="2100" w:type="dxa"/>
            <w:vAlign w:val="center"/>
          </w:tcPr>
          <w:p w14:paraId="455880FD">
            <w:pPr>
              <w:spacing w:line="360" w:lineRule="auto"/>
              <w:jc w:val="center"/>
              <w:rPr>
                <w:rFonts w:hint="eastAsia" w:ascii="宋体" w:hAnsi="宋体" w:cs="宋体"/>
                <w:sz w:val="24"/>
                <w:highlight w:val="none"/>
              </w:rPr>
            </w:pPr>
          </w:p>
        </w:tc>
      </w:tr>
      <w:tr w14:paraId="5C5B0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478" w:type="dxa"/>
            <w:gridSpan w:val="3"/>
            <w:vAlign w:val="center"/>
          </w:tcPr>
          <w:p w14:paraId="786C2E57">
            <w:pPr>
              <w:spacing w:line="360" w:lineRule="auto"/>
              <w:jc w:val="center"/>
              <w:rPr>
                <w:rFonts w:hint="eastAsia" w:ascii="宋体" w:hAnsi="宋体" w:cs="宋体"/>
                <w:b/>
                <w:sz w:val="24"/>
                <w:highlight w:val="none"/>
              </w:rPr>
            </w:pPr>
            <w:r>
              <w:rPr>
                <w:rFonts w:hint="eastAsia" w:ascii="宋体" w:hAnsi="宋体" w:cs="宋体"/>
                <w:b/>
                <w:sz w:val="24"/>
                <w:highlight w:val="none"/>
              </w:rPr>
              <w:t>投标报价（小写）</w:t>
            </w:r>
          </w:p>
        </w:tc>
        <w:tc>
          <w:tcPr>
            <w:tcW w:w="9725" w:type="dxa"/>
            <w:gridSpan w:val="5"/>
          </w:tcPr>
          <w:p w14:paraId="34FEB25A">
            <w:pPr>
              <w:spacing w:line="360" w:lineRule="auto"/>
              <w:jc w:val="center"/>
              <w:rPr>
                <w:rFonts w:hint="eastAsia" w:ascii="宋体" w:hAnsi="宋体" w:cs="宋体"/>
                <w:sz w:val="24"/>
                <w:highlight w:val="none"/>
              </w:rPr>
            </w:pPr>
          </w:p>
        </w:tc>
      </w:tr>
      <w:tr w14:paraId="6D0C2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478" w:type="dxa"/>
            <w:gridSpan w:val="3"/>
            <w:vAlign w:val="center"/>
          </w:tcPr>
          <w:p w14:paraId="49056B5E">
            <w:pPr>
              <w:spacing w:line="360" w:lineRule="auto"/>
              <w:jc w:val="center"/>
              <w:rPr>
                <w:rFonts w:hint="eastAsia" w:ascii="宋体" w:hAnsi="宋体" w:cs="宋体"/>
                <w:b/>
                <w:sz w:val="24"/>
                <w:highlight w:val="none"/>
              </w:rPr>
            </w:pPr>
            <w:r>
              <w:rPr>
                <w:rFonts w:hint="eastAsia" w:ascii="宋体" w:hAnsi="宋体" w:cs="宋体"/>
                <w:b/>
                <w:sz w:val="24"/>
                <w:highlight w:val="none"/>
              </w:rPr>
              <w:t>投标报价（大写）</w:t>
            </w:r>
          </w:p>
        </w:tc>
        <w:tc>
          <w:tcPr>
            <w:tcW w:w="9725" w:type="dxa"/>
            <w:gridSpan w:val="5"/>
          </w:tcPr>
          <w:p w14:paraId="29A444A6">
            <w:pPr>
              <w:spacing w:line="360" w:lineRule="auto"/>
              <w:jc w:val="center"/>
              <w:rPr>
                <w:rFonts w:hint="eastAsia" w:ascii="宋体" w:hAnsi="宋体" w:cs="宋体"/>
                <w:sz w:val="24"/>
                <w:highlight w:val="none"/>
              </w:rPr>
            </w:pPr>
          </w:p>
        </w:tc>
      </w:tr>
    </w:tbl>
    <w:p w14:paraId="4DEEDD37">
      <w:pPr>
        <w:snapToGrid w:val="0"/>
        <w:spacing w:line="360" w:lineRule="auto"/>
        <w:ind w:left="480"/>
        <w:rPr>
          <w:rFonts w:hint="eastAsia" w:ascii="宋体" w:hAnsi="宋体" w:cs="宋体"/>
          <w:b/>
          <w:kern w:val="0"/>
          <w:sz w:val="24"/>
          <w:highlight w:val="none"/>
          <w:lang w:val="zh-CN"/>
        </w:rPr>
      </w:pPr>
    </w:p>
    <w:p w14:paraId="67C0CDB2">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7E7EA12F">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lang w:val="en-US" w:eastAsia="zh-CN"/>
        </w:rPr>
        <w:t>.</w:t>
      </w:r>
      <w:r>
        <w:rPr>
          <w:rFonts w:hint="eastAsia" w:ascii="宋体" w:hAnsi="宋体" w:cs="宋体"/>
          <w:kern w:val="0"/>
          <w:sz w:val="24"/>
          <w:highlight w:val="none"/>
          <w:lang w:val="zh-CN"/>
        </w:rPr>
        <w:t>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w:t>
      </w:r>
      <w:r>
        <w:rPr>
          <w:rFonts w:hint="eastAsia" w:ascii="宋体" w:hAnsi="宋体" w:cs="宋体"/>
          <w:kern w:val="0"/>
          <w:sz w:val="24"/>
          <w:highlight w:val="none"/>
          <w:lang w:val="zh-CN"/>
        </w:rPr>
        <w:t>。</w:t>
      </w:r>
    </w:p>
    <w:p w14:paraId="006F823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w:t>
      </w:r>
      <w:r>
        <w:rPr>
          <w:rFonts w:hint="eastAsia" w:ascii="宋体" w:hAnsi="宋体" w:cs="宋体"/>
          <w:kern w:val="0"/>
          <w:sz w:val="24"/>
          <w:highlight w:val="none"/>
          <w:lang w:val="en-US" w:eastAsia="zh-CN"/>
        </w:rPr>
        <w:t>.</w:t>
      </w:r>
      <w:r>
        <w:rPr>
          <w:rFonts w:hint="eastAsia" w:ascii="宋体" w:hAnsi="宋体" w:cs="宋体"/>
          <w:kern w:val="0"/>
          <w:sz w:val="24"/>
          <w:highlight w:val="none"/>
          <w:lang w:val="zh-CN"/>
        </w:rPr>
        <w:t>有关本项目实施所涉及的一切费用均计入报价。合同总价不为零，报价明细表中部分产品、服务单价为零的，视作已包含在总价中。</w:t>
      </w:r>
      <w:r>
        <w:rPr>
          <w:rFonts w:hint="eastAsia" w:ascii="宋体" w:hAnsi="宋体" w:cs="宋体"/>
          <w:b/>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164FEDB9">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w:t>
      </w:r>
      <w:r>
        <w:rPr>
          <w:rFonts w:hint="eastAsia" w:ascii="宋体" w:hAnsi="宋体" w:cs="宋体"/>
          <w:kern w:val="0"/>
          <w:sz w:val="24"/>
          <w:highlight w:val="none"/>
          <w:lang w:val="en-US" w:eastAsia="zh-CN"/>
        </w:rPr>
        <w:t>.</w:t>
      </w:r>
      <w:r>
        <w:rPr>
          <w:rFonts w:hint="eastAsia" w:ascii="宋体" w:hAnsi="宋体" w:cs="宋体"/>
          <w:kern w:val="0"/>
          <w:sz w:val="24"/>
          <w:highlight w:val="none"/>
          <w:lang w:val="zh-CN"/>
        </w:rPr>
        <w:t>特别提示：采购代理机构将对项目名称和项目编号，中标供应商名称、地址和中标金额，主要中标标的名称、服务范围、服务要求、服务时间、服务标准等予以公示。</w:t>
      </w:r>
    </w:p>
    <w:p w14:paraId="0168B6BC">
      <w:pPr>
        <w:snapToGrid w:val="0"/>
        <w:spacing w:line="360" w:lineRule="auto"/>
        <w:ind w:firstLine="480" w:firstLineChars="200"/>
        <w:jc w:val="left"/>
        <w:rPr>
          <w:rFonts w:hint="eastAsia" w:ascii="宋体" w:hAnsi="宋体" w:cs="宋体"/>
          <w:color w:val="FF0000"/>
          <w:kern w:val="0"/>
          <w:sz w:val="24"/>
          <w:highlight w:val="none"/>
          <w:lang w:val="zh-CN"/>
        </w:rPr>
      </w:pPr>
      <w:r>
        <w:rPr>
          <w:rFonts w:ascii="宋体" w:hAnsi="宋体" w:cs="宋体"/>
          <w:color w:val="FF0000"/>
          <w:kern w:val="0"/>
          <w:sz w:val="24"/>
          <w:szCs w:val="22"/>
          <w:highlight w:val="none"/>
          <w:lang w:val="zh-CN"/>
        </w:rPr>
        <w:t>4</w:t>
      </w:r>
      <w:r>
        <w:rPr>
          <w:rFonts w:hint="eastAsia" w:ascii="宋体" w:hAnsi="宋体" w:cs="宋体"/>
          <w:color w:val="FF0000"/>
          <w:kern w:val="0"/>
          <w:sz w:val="24"/>
          <w:szCs w:val="22"/>
          <w:highlight w:val="none"/>
          <w:lang w:val="en-US" w:eastAsia="zh-CN"/>
        </w:rPr>
        <w:t>.</w:t>
      </w:r>
      <w:r>
        <w:rPr>
          <w:rFonts w:hint="eastAsia" w:ascii="宋体" w:hAnsi="宋体" w:cs="宋体"/>
          <w:color w:val="FF0000"/>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5516831">
      <w:p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lang w:val="en-US" w:eastAsia="zh-CN"/>
        </w:rPr>
        <w:t>5.</w:t>
      </w:r>
      <w:r>
        <w:rPr>
          <w:rFonts w:hint="eastAsia" w:ascii="宋体" w:hAnsi="宋体" w:cs="宋体"/>
          <w:b/>
          <w:sz w:val="24"/>
          <w:highlight w:val="none"/>
        </w:rPr>
        <w:t>特别说明：▲供应商报价低于项目预算50%的，应当在报价文件中详细阐述不影响产品质量或者诚信履约的具体原因。</w:t>
      </w:r>
    </w:p>
    <w:p w14:paraId="316256D8">
      <w:pPr>
        <w:snapToGrid w:val="0"/>
        <w:spacing w:line="360" w:lineRule="auto"/>
        <w:ind w:firstLine="480" w:firstLineChars="200"/>
        <w:jc w:val="left"/>
        <w:rPr>
          <w:rFonts w:hint="eastAsia" w:asciiTheme="minorEastAsia" w:hAnsiTheme="minorEastAsia" w:eastAsiaTheme="minorEastAsia" w:cstheme="minorEastAsia"/>
          <w:kern w:val="0"/>
          <w:sz w:val="24"/>
          <w:highlight w:val="none"/>
          <w:lang w:val="zh-CN"/>
        </w:rPr>
      </w:pPr>
      <w:r>
        <w:rPr>
          <w:rFonts w:hint="eastAsia" w:ascii="宋体" w:hAnsi="宋体" w:cs="宋体"/>
          <w:kern w:val="0"/>
          <w:sz w:val="24"/>
          <w:highlight w:val="none"/>
        </w:rPr>
        <w:t>6.</w:t>
      </w:r>
      <w:r>
        <w:rPr>
          <w:rFonts w:hint="eastAsia" w:asciiTheme="minorEastAsia" w:hAnsiTheme="minorEastAsia" w:eastAsiaTheme="minorEastAsia" w:cstheme="minorEastAsia"/>
          <w:kern w:val="0"/>
          <w:sz w:val="24"/>
          <w:highlight w:val="none"/>
          <w:lang w:val="zh-CN"/>
        </w:rPr>
        <w:t>人员工资不得低于市政府公布的最低工资标准相关工资要求，并充分考虑最低工资调整因素。</w:t>
      </w:r>
    </w:p>
    <w:p w14:paraId="2EA8828D">
      <w:pPr>
        <w:rPr>
          <w:rFonts w:hint="eastAsia"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kern w:val="0"/>
          <w:sz w:val="24"/>
          <w:highlight w:val="none"/>
          <w:lang w:val="zh-CN"/>
        </w:rPr>
        <w:br w:type="page"/>
      </w:r>
    </w:p>
    <w:p w14:paraId="615D8271">
      <w:pPr>
        <w:pStyle w:val="2"/>
        <w:rPr>
          <w:lang w:val="zh-CN"/>
        </w:rPr>
      </w:pPr>
    </w:p>
    <w:p w14:paraId="3630380C">
      <w:pPr>
        <w:snapToGrid w:val="0"/>
        <w:spacing w:line="500" w:lineRule="exact"/>
        <w:jc w:val="center"/>
        <w:rPr>
          <w:rFonts w:hint="eastAsia" w:ascii="仿宋" w:hAnsi="仿宋" w:eastAsia="仿宋"/>
          <w:b/>
          <w:sz w:val="28"/>
          <w:szCs w:val="28"/>
          <w:highlight w:val="none"/>
        </w:rPr>
      </w:pPr>
      <w:r>
        <w:rPr>
          <w:rFonts w:hint="eastAsia" w:ascii="仿宋" w:hAnsi="仿宋" w:eastAsia="仿宋"/>
          <w:b/>
          <w:sz w:val="28"/>
          <w:szCs w:val="28"/>
          <w:highlight w:val="none"/>
        </w:rPr>
        <w:t>报价明细清单</w:t>
      </w:r>
    </w:p>
    <w:tbl>
      <w:tblPr>
        <w:tblStyle w:val="64"/>
        <w:tblW w:w="14278" w:type="dxa"/>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13" w:type="dxa"/>
          <w:bottom w:w="0" w:type="dxa"/>
          <w:right w:w="113" w:type="dxa"/>
        </w:tblCellMar>
      </w:tblPr>
      <w:tblGrid>
        <w:gridCol w:w="872"/>
        <w:gridCol w:w="624"/>
        <w:gridCol w:w="673"/>
        <w:gridCol w:w="2600"/>
        <w:gridCol w:w="2101"/>
        <w:gridCol w:w="2508"/>
        <w:gridCol w:w="2505"/>
        <w:gridCol w:w="2395"/>
      </w:tblGrid>
      <w:tr w14:paraId="0AA9076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54" w:hRule="atLeast"/>
        </w:trPr>
        <w:tc>
          <w:tcPr>
            <w:tcW w:w="872" w:type="dxa"/>
            <w:vAlign w:val="center"/>
          </w:tcPr>
          <w:p w14:paraId="093A0E42">
            <w:pPr>
              <w:shd w:val="clear" w:color="auto" w:fill="FFFFFF"/>
              <w:snapToGrid w:val="0"/>
              <w:spacing w:line="300" w:lineRule="auto"/>
              <w:jc w:val="center"/>
              <w:rPr>
                <w:rFonts w:hint="eastAsia" w:ascii="仿宋" w:hAnsi="仿宋" w:eastAsia="仿宋" w:cs="Arial"/>
                <w:szCs w:val="21"/>
                <w:highlight w:val="none"/>
              </w:rPr>
            </w:pPr>
            <w:r>
              <w:rPr>
                <w:rFonts w:hint="eastAsia" w:ascii="仿宋" w:hAnsi="仿宋" w:eastAsia="仿宋" w:cs="Arial"/>
                <w:szCs w:val="21"/>
                <w:highlight w:val="none"/>
              </w:rPr>
              <w:t>序号</w:t>
            </w:r>
          </w:p>
        </w:tc>
        <w:tc>
          <w:tcPr>
            <w:tcW w:w="3897" w:type="dxa"/>
            <w:gridSpan w:val="3"/>
            <w:vAlign w:val="center"/>
          </w:tcPr>
          <w:p w14:paraId="557602AF">
            <w:pPr>
              <w:shd w:val="clear" w:color="auto" w:fill="FFFFFF"/>
              <w:snapToGrid w:val="0"/>
              <w:spacing w:line="300" w:lineRule="auto"/>
              <w:jc w:val="center"/>
              <w:rPr>
                <w:rFonts w:hint="eastAsia" w:ascii="仿宋" w:hAnsi="仿宋" w:eastAsia="仿宋" w:cs="Arial"/>
                <w:szCs w:val="21"/>
                <w:highlight w:val="none"/>
              </w:rPr>
            </w:pPr>
            <w:r>
              <w:rPr>
                <w:rFonts w:hint="eastAsia" w:ascii="仿宋" w:hAnsi="仿宋" w:eastAsia="仿宋" w:cs="Arial"/>
                <w:szCs w:val="21"/>
                <w:highlight w:val="none"/>
              </w:rPr>
              <w:t>名称</w:t>
            </w:r>
          </w:p>
        </w:tc>
        <w:tc>
          <w:tcPr>
            <w:tcW w:w="2101" w:type="dxa"/>
            <w:vAlign w:val="center"/>
          </w:tcPr>
          <w:p w14:paraId="11C37545">
            <w:pPr>
              <w:shd w:val="clear" w:color="auto" w:fill="FFFFFF"/>
              <w:snapToGrid w:val="0"/>
              <w:spacing w:line="300" w:lineRule="auto"/>
              <w:jc w:val="center"/>
              <w:rPr>
                <w:rFonts w:hint="eastAsia" w:ascii="仿宋" w:hAnsi="仿宋" w:eastAsia="仿宋" w:cs="Arial"/>
                <w:szCs w:val="21"/>
                <w:highlight w:val="none"/>
              </w:rPr>
            </w:pPr>
            <w:r>
              <w:rPr>
                <w:rFonts w:hint="eastAsia" w:ascii="仿宋" w:hAnsi="仿宋" w:eastAsia="仿宋" w:cs="Arial"/>
                <w:szCs w:val="21"/>
                <w:highlight w:val="none"/>
              </w:rPr>
              <w:t>单价（元/年）</w:t>
            </w:r>
          </w:p>
        </w:tc>
        <w:tc>
          <w:tcPr>
            <w:tcW w:w="2508" w:type="dxa"/>
            <w:vAlign w:val="center"/>
          </w:tcPr>
          <w:p w14:paraId="5951D6B6">
            <w:pPr>
              <w:shd w:val="clear" w:color="auto" w:fill="FFFFFF"/>
              <w:snapToGrid w:val="0"/>
              <w:spacing w:line="300" w:lineRule="auto"/>
              <w:jc w:val="center"/>
              <w:rPr>
                <w:rFonts w:hint="eastAsia" w:ascii="仿宋" w:hAnsi="仿宋" w:eastAsia="仿宋" w:cs="Arial"/>
                <w:szCs w:val="21"/>
                <w:highlight w:val="none"/>
              </w:rPr>
            </w:pPr>
            <w:r>
              <w:rPr>
                <w:rFonts w:hint="eastAsia" w:ascii="仿宋" w:hAnsi="仿宋" w:eastAsia="仿宋" w:cs="Arial"/>
                <w:szCs w:val="21"/>
                <w:highlight w:val="none"/>
              </w:rPr>
              <w:t>数量（年）</w:t>
            </w:r>
          </w:p>
        </w:tc>
        <w:tc>
          <w:tcPr>
            <w:tcW w:w="2505" w:type="dxa"/>
            <w:vAlign w:val="center"/>
          </w:tcPr>
          <w:p w14:paraId="7C606EC4">
            <w:pPr>
              <w:shd w:val="clear" w:color="auto" w:fill="FFFFFF"/>
              <w:snapToGrid w:val="0"/>
              <w:spacing w:line="300" w:lineRule="auto"/>
              <w:jc w:val="center"/>
              <w:rPr>
                <w:rFonts w:hint="eastAsia" w:ascii="仿宋" w:hAnsi="仿宋" w:eastAsia="仿宋" w:cs="Arial"/>
                <w:szCs w:val="21"/>
                <w:highlight w:val="none"/>
              </w:rPr>
            </w:pPr>
            <w:r>
              <w:rPr>
                <w:rFonts w:hint="eastAsia" w:ascii="仿宋" w:hAnsi="仿宋" w:eastAsia="仿宋" w:cs="Arial"/>
                <w:szCs w:val="21"/>
                <w:highlight w:val="none"/>
              </w:rPr>
              <w:t>总计</w:t>
            </w:r>
          </w:p>
        </w:tc>
        <w:tc>
          <w:tcPr>
            <w:tcW w:w="2395" w:type="dxa"/>
            <w:vAlign w:val="center"/>
          </w:tcPr>
          <w:p w14:paraId="1880D629">
            <w:pPr>
              <w:shd w:val="clear" w:color="auto" w:fill="FFFFFF"/>
              <w:snapToGrid w:val="0"/>
              <w:spacing w:line="300" w:lineRule="auto"/>
              <w:jc w:val="center"/>
              <w:rPr>
                <w:rFonts w:hint="eastAsia" w:ascii="仿宋" w:hAnsi="仿宋" w:eastAsia="仿宋" w:cs="Arial"/>
                <w:szCs w:val="21"/>
                <w:highlight w:val="none"/>
              </w:rPr>
            </w:pPr>
            <w:r>
              <w:rPr>
                <w:rFonts w:hint="eastAsia" w:ascii="仿宋" w:hAnsi="仿宋" w:eastAsia="仿宋" w:cs="Arial"/>
                <w:szCs w:val="21"/>
                <w:highlight w:val="none"/>
              </w:rPr>
              <w:t>备注</w:t>
            </w:r>
          </w:p>
        </w:tc>
      </w:tr>
      <w:tr w14:paraId="2A9F0DF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55" w:hRule="atLeast"/>
        </w:trPr>
        <w:tc>
          <w:tcPr>
            <w:tcW w:w="872" w:type="dxa"/>
            <w:vMerge w:val="restart"/>
            <w:vAlign w:val="center"/>
          </w:tcPr>
          <w:p w14:paraId="6BCD30AA">
            <w:pPr>
              <w:shd w:val="clear" w:color="auto" w:fill="FFFFFF"/>
              <w:snapToGrid w:val="0"/>
              <w:spacing w:line="300" w:lineRule="auto"/>
              <w:jc w:val="center"/>
              <w:rPr>
                <w:rFonts w:hint="eastAsia" w:ascii="仿宋" w:hAnsi="仿宋" w:eastAsia="仿宋" w:cs="Arial"/>
                <w:szCs w:val="21"/>
                <w:highlight w:val="none"/>
              </w:rPr>
            </w:pPr>
            <w:r>
              <w:rPr>
                <w:rFonts w:hint="eastAsia" w:ascii="仿宋" w:hAnsi="仿宋" w:eastAsia="仿宋" w:cs="Arial"/>
                <w:szCs w:val="21"/>
                <w:highlight w:val="none"/>
              </w:rPr>
              <w:t>1</w:t>
            </w:r>
          </w:p>
        </w:tc>
        <w:tc>
          <w:tcPr>
            <w:tcW w:w="624" w:type="dxa"/>
            <w:vMerge w:val="restart"/>
            <w:vAlign w:val="center"/>
          </w:tcPr>
          <w:p w14:paraId="3FE45B88">
            <w:pPr>
              <w:shd w:val="clear" w:color="auto" w:fill="FFFFFF"/>
              <w:snapToGrid w:val="0"/>
              <w:spacing w:line="300" w:lineRule="auto"/>
              <w:jc w:val="center"/>
              <w:rPr>
                <w:rFonts w:hint="eastAsia" w:ascii="仿宋" w:hAnsi="仿宋" w:eastAsia="仿宋" w:cs="Arial"/>
                <w:szCs w:val="21"/>
                <w:highlight w:val="none"/>
              </w:rPr>
            </w:pPr>
            <w:r>
              <w:rPr>
                <w:rFonts w:hint="eastAsia" w:ascii="仿宋" w:hAnsi="仿宋" w:eastAsia="仿宋" w:cs="Arial"/>
                <w:szCs w:val="21"/>
                <w:highlight w:val="none"/>
              </w:rPr>
              <w:t>人工费用</w:t>
            </w:r>
          </w:p>
        </w:tc>
        <w:tc>
          <w:tcPr>
            <w:tcW w:w="3273" w:type="dxa"/>
            <w:gridSpan w:val="2"/>
            <w:vAlign w:val="center"/>
          </w:tcPr>
          <w:p w14:paraId="1410ADD4">
            <w:pPr>
              <w:shd w:val="clear" w:color="auto" w:fill="FFFFFF"/>
              <w:snapToGrid w:val="0"/>
              <w:spacing w:line="300" w:lineRule="auto"/>
              <w:jc w:val="center"/>
              <w:rPr>
                <w:rFonts w:hint="eastAsia" w:ascii="仿宋" w:hAnsi="仿宋" w:eastAsia="仿宋" w:cs="Arial"/>
                <w:szCs w:val="21"/>
                <w:highlight w:val="none"/>
              </w:rPr>
            </w:pPr>
            <w:r>
              <w:rPr>
                <w:rFonts w:hint="eastAsia" w:ascii="仿宋" w:hAnsi="仿宋" w:eastAsia="仿宋" w:cs="Arial"/>
                <w:szCs w:val="21"/>
                <w:highlight w:val="none"/>
              </w:rPr>
              <w:t>人员基础工资</w:t>
            </w:r>
          </w:p>
        </w:tc>
        <w:tc>
          <w:tcPr>
            <w:tcW w:w="2101" w:type="dxa"/>
            <w:vMerge w:val="restart"/>
            <w:vAlign w:val="center"/>
          </w:tcPr>
          <w:p w14:paraId="71539FB0">
            <w:pPr>
              <w:shd w:val="clear" w:color="auto" w:fill="FFFFFF"/>
              <w:snapToGrid w:val="0"/>
              <w:spacing w:line="300" w:lineRule="auto"/>
              <w:jc w:val="center"/>
              <w:rPr>
                <w:rFonts w:hint="eastAsia" w:ascii="仿宋" w:hAnsi="仿宋" w:eastAsia="仿宋" w:cs="Arial"/>
                <w:szCs w:val="21"/>
                <w:highlight w:val="none"/>
              </w:rPr>
            </w:pPr>
            <w:r>
              <w:rPr>
                <w:rFonts w:hint="eastAsia" w:ascii="仿宋" w:hAnsi="仿宋" w:eastAsia="仿宋" w:cs="Arial"/>
                <w:szCs w:val="21"/>
                <w:highlight w:val="none"/>
              </w:rPr>
              <w:t xml:space="preserve">   人/年/元</w:t>
            </w:r>
          </w:p>
        </w:tc>
        <w:tc>
          <w:tcPr>
            <w:tcW w:w="2508" w:type="dxa"/>
            <w:vMerge w:val="restart"/>
            <w:vAlign w:val="center"/>
          </w:tcPr>
          <w:p w14:paraId="44B618AF">
            <w:pPr>
              <w:shd w:val="clear" w:color="auto" w:fill="FFFFFF"/>
              <w:snapToGrid w:val="0"/>
              <w:spacing w:line="300" w:lineRule="auto"/>
              <w:jc w:val="center"/>
              <w:rPr>
                <w:rFonts w:hint="eastAsia" w:ascii="仿宋" w:hAnsi="仿宋" w:eastAsia="仿宋" w:cs="Arial"/>
                <w:szCs w:val="21"/>
                <w:highlight w:val="none"/>
              </w:rPr>
            </w:pPr>
          </w:p>
        </w:tc>
        <w:tc>
          <w:tcPr>
            <w:tcW w:w="2505" w:type="dxa"/>
            <w:vMerge w:val="restart"/>
            <w:vAlign w:val="center"/>
          </w:tcPr>
          <w:p w14:paraId="098B3E78">
            <w:pPr>
              <w:shd w:val="clear" w:color="auto" w:fill="FFFFFF"/>
              <w:snapToGrid w:val="0"/>
              <w:spacing w:line="300" w:lineRule="auto"/>
              <w:jc w:val="center"/>
              <w:rPr>
                <w:rFonts w:hint="eastAsia" w:ascii="仿宋" w:hAnsi="仿宋" w:eastAsia="仿宋" w:cs="Arial"/>
                <w:szCs w:val="21"/>
                <w:highlight w:val="none"/>
              </w:rPr>
            </w:pPr>
          </w:p>
        </w:tc>
        <w:tc>
          <w:tcPr>
            <w:tcW w:w="2395" w:type="dxa"/>
            <w:vMerge w:val="restart"/>
            <w:vAlign w:val="center"/>
          </w:tcPr>
          <w:p w14:paraId="0D2393A0">
            <w:pPr>
              <w:shd w:val="clear" w:color="auto" w:fill="FFFFFF"/>
              <w:snapToGrid w:val="0"/>
              <w:spacing w:line="300" w:lineRule="auto"/>
              <w:jc w:val="center"/>
              <w:rPr>
                <w:rFonts w:hint="eastAsia" w:ascii="仿宋" w:hAnsi="仿宋" w:eastAsia="仿宋" w:cs="Arial"/>
                <w:szCs w:val="21"/>
                <w:highlight w:val="none"/>
              </w:rPr>
            </w:pPr>
          </w:p>
        </w:tc>
      </w:tr>
      <w:tr w14:paraId="75B6092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54" w:hRule="atLeast"/>
        </w:trPr>
        <w:tc>
          <w:tcPr>
            <w:tcW w:w="872" w:type="dxa"/>
            <w:vMerge w:val="continue"/>
            <w:vAlign w:val="center"/>
          </w:tcPr>
          <w:p w14:paraId="1166C609">
            <w:pPr>
              <w:shd w:val="clear" w:color="auto" w:fill="FFFFFF"/>
              <w:snapToGrid w:val="0"/>
              <w:spacing w:line="300" w:lineRule="auto"/>
              <w:jc w:val="center"/>
              <w:rPr>
                <w:rFonts w:hint="eastAsia" w:ascii="仿宋" w:hAnsi="仿宋" w:eastAsia="仿宋" w:cs="Arial"/>
                <w:szCs w:val="21"/>
                <w:highlight w:val="none"/>
              </w:rPr>
            </w:pPr>
          </w:p>
        </w:tc>
        <w:tc>
          <w:tcPr>
            <w:tcW w:w="624" w:type="dxa"/>
            <w:vMerge w:val="continue"/>
            <w:vAlign w:val="center"/>
          </w:tcPr>
          <w:p w14:paraId="43974CA1">
            <w:pPr>
              <w:shd w:val="clear" w:color="auto" w:fill="FFFFFF"/>
              <w:snapToGrid w:val="0"/>
              <w:spacing w:line="300" w:lineRule="auto"/>
              <w:jc w:val="center"/>
              <w:rPr>
                <w:rFonts w:hint="eastAsia" w:ascii="仿宋" w:hAnsi="仿宋" w:eastAsia="仿宋" w:cs="Arial"/>
                <w:szCs w:val="21"/>
                <w:highlight w:val="none"/>
              </w:rPr>
            </w:pPr>
          </w:p>
        </w:tc>
        <w:tc>
          <w:tcPr>
            <w:tcW w:w="3273" w:type="dxa"/>
            <w:gridSpan w:val="2"/>
            <w:vAlign w:val="center"/>
          </w:tcPr>
          <w:p w14:paraId="6F54C610">
            <w:pPr>
              <w:shd w:val="clear" w:color="auto" w:fill="FFFFFF"/>
              <w:snapToGrid w:val="0"/>
              <w:spacing w:line="300" w:lineRule="auto"/>
              <w:jc w:val="center"/>
              <w:rPr>
                <w:rFonts w:hint="eastAsia" w:ascii="仿宋" w:hAnsi="仿宋" w:eastAsia="仿宋" w:cs="Arial"/>
                <w:szCs w:val="21"/>
                <w:highlight w:val="none"/>
              </w:rPr>
            </w:pPr>
            <w:r>
              <w:rPr>
                <w:rFonts w:hint="eastAsia" w:ascii="仿宋" w:hAnsi="仿宋" w:eastAsia="仿宋" w:cs="Arial"/>
                <w:szCs w:val="21"/>
                <w:highlight w:val="none"/>
              </w:rPr>
              <w:t>环卫特殊岗位津贴</w:t>
            </w:r>
          </w:p>
        </w:tc>
        <w:tc>
          <w:tcPr>
            <w:tcW w:w="2101" w:type="dxa"/>
            <w:vMerge w:val="continue"/>
            <w:vAlign w:val="center"/>
          </w:tcPr>
          <w:p w14:paraId="7CE87C2A">
            <w:pPr>
              <w:shd w:val="clear" w:color="auto" w:fill="FFFFFF"/>
              <w:snapToGrid w:val="0"/>
              <w:spacing w:line="300" w:lineRule="auto"/>
              <w:jc w:val="center"/>
              <w:rPr>
                <w:rFonts w:hint="eastAsia" w:ascii="仿宋" w:hAnsi="仿宋" w:eastAsia="仿宋" w:cs="Arial"/>
                <w:szCs w:val="21"/>
                <w:highlight w:val="none"/>
              </w:rPr>
            </w:pPr>
          </w:p>
        </w:tc>
        <w:tc>
          <w:tcPr>
            <w:tcW w:w="2508" w:type="dxa"/>
            <w:vMerge w:val="continue"/>
            <w:vAlign w:val="center"/>
          </w:tcPr>
          <w:p w14:paraId="1E108AD9">
            <w:pPr>
              <w:shd w:val="clear" w:color="auto" w:fill="FFFFFF"/>
              <w:snapToGrid w:val="0"/>
              <w:spacing w:line="300" w:lineRule="auto"/>
              <w:jc w:val="center"/>
              <w:rPr>
                <w:rFonts w:hint="eastAsia" w:ascii="仿宋" w:hAnsi="仿宋" w:eastAsia="仿宋" w:cs="Arial"/>
                <w:szCs w:val="21"/>
                <w:highlight w:val="none"/>
              </w:rPr>
            </w:pPr>
          </w:p>
        </w:tc>
        <w:tc>
          <w:tcPr>
            <w:tcW w:w="2505" w:type="dxa"/>
            <w:vMerge w:val="continue"/>
            <w:vAlign w:val="center"/>
          </w:tcPr>
          <w:p w14:paraId="5A2BFF48">
            <w:pPr>
              <w:shd w:val="clear" w:color="auto" w:fill="FFFFFF"/>
              <w:snapToGrid w:val="0"/>
              <w:spacing w:line="300" w:lineRule="auto"/>
              <w:jc w:val="center"/>
              <w:rPr>
                <w:rFonts w:hint="eastAsia" w:ascii="仿宋" w:hAnsi="仿宋" w:eastAsia="仿宋" w:cs="Arial"/>
                <w:szCs w:val="21"/>
                <w:highlight w:val="none"/>
              </w:rPr>
            </w:pPr>
          </w:p>
        </w:tc>
        <w:tc>
          <w:tcPr>
            <w:tcW w:w="2395" w:type="dxa"/>
            <w:vMerge w:val="continue"/>
            <w:vAlign w:val="center"/>
          </w:tcPr>
          <w:p w14:paraId="52DFF763">
            <w:pPr>
              <w:shd w:val="clear" w:color="auto" w:fill="FFFFFF"/>
              <w:snapToGrid w:val="0"/>
              <w:spacing w:line="300" w:lineRule="auto"/>
              <w:jc w:val="center"/>
              <w:rPr>
                <w:rFonts w:hint="eastAsia" w:ascii="仿宋" w:hAnsi="仿宋" w:eastAsia="仿宋" w:cs="Arial"/>
                <w:szCs w:val="21"/>
                <w:highlight w:val="none"/>
              </w:rPr>
            </w:pPr>
          </w:p>
        </w:tc>
      </w:tr>
      <w:tr w14:paraId="236901B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54" w:hRule="atLeast"/>
        </w:trPr>
        <w:tc>
          <w:tcPr>
            <w:tcW w:w="872" w:type="dxa"/>
            <w:vMerge w:val="continue"/>
            <w:vAlign w:val="center"/>
          </w:tcPr>
          <w:p w14:paraId="168E0AD6">
            <w:pPr>
              <w:shd w:val="clear" w:color="auto" w:fill="FFFFFF"/>
              <w:snapToGrid w:val="0"/>
              <w:spacing w:line="300" w:lineRule="auto"/>
              <w:jc w:val="center"/>
              <w:rPr>
                <w:rFonts w:hint="eastAsia" w:ascii="仿宋" w:hAnsi="仿宋" w:eastAsia="仿宋" w:cs="Arial"/>
                <w:szCs w:val="21"/>
                <w:highlight w:val="none"/>
              </w:rPr>
            </w:pPr>
          </w:p>
        </w:tc>
        <w:tc>
          <w:tcPr>
            <w:tcW w:w="624" w:type="dxa"/>
            <w:vMerge w:val="continue"/>
            <w:vAlign w:val="center"/>
          </w:tcPr>
          <w:p w14:paraId="28F056F9">
            <w:pPr>
              <w:shd w:val="clear" w:color="auto" w:fill="FFFFFF"/>
              <w:snapToGrid w:val="0"/>
              <w:spacing w:line="300" w:lineRule="auto"/>
              <w:jc w:val="center"/>
              <w:rPr>
                <w:rFonts w:hint="eastAsia" w:ascii="仿宋" w:hAnsi="仿宋" w:eastAsia="仿宋" w:cs="Arial"/>
                <w:szCs w:val="21"/>
                <w:highlight w:val="none"/>
              </w:rPr>
            </w:pPr>
          </w:p>
        </w:tc>
        <w:tc>
          <w:tcPr>
            <w:tcW w:w="3273" w:type="dxa"/>
            <w:gridSpan w:val="2"/>
            <w:vAlign w:val="center"/>
          </w:tcPr>
          <w:p w14:paraId="7177CCA3">
            <w:pPr>
              <w:shd w:val="clear" w:color="auto" w:fill="FFFFFF"/>
              <w:snapToGrid w:val="0"/>
              <w:spacing w:line="300" w:lineRule="auto"/>
              <w:jc w:val="center"/>
              <w:rPr>
                <w:rFonts w:hint="eastAsia" w:ascii="仿宋" w:hAnsi="仿宋" w:eastAsia="仿宋" w:cs="Arial"/>
                <w:szCs w:val="21"/>
                <w:highlight w:val="none"/>
              </w:rPr>
            </w:pPr>
            <w:r>
              <w:rPr>
                <w:rFonts w:hint="eastAsia" w:ascii="仿宋" w:hAnsi="仿宋" w:eastAsia="仿宋" w:cs="Arial"/>
                <w:szCs w:val="21"/>
                <w:highlight w:val="none"/>
              </w:rPr>
              <w:t>高温费</w:t>
            </w:r>
          </w:p>
        </w:tc>
        <w:tc>
          <w:tcPr>
            <w:tcW w:w="2101" w:type="dxa"/>
            <w:vMerge w:val="continue"/>
            <w:vAlign w:val="center"/>
          </w:tcPr>
          <w:p w14:paraId="5907B7FD">
            <w:pPr>
              <w:shd w:val="clear" w:color="auto" w:fill="FFFFFF"/>
              <w:snapToGrid w:val="0"/>
              <w:spacing w:line="300" w:lineRule="auto"/>
              <w:jc w:val="center"/>
              <w:rPr>
                <w:rFonts w:hint="eastAsia" w:ascii="仿宋" w:hAnsi="仿宋" w:eastAsia="仿宋" w:cs="Arial"/>
                <w:szCs w:val="21"/>
                <w:highlight w:val="none"/>
              </w:rPr>
            </w:pPr>
          </w:p>
        </w:tc>
        <w:tc>
          <w:tcPr>
            <w:tcW w:w="2508" w:type="dxa"/>
            <w:vMerge w:val="continue"/>
            <w:vAlign w:val="center"/>
          </w:tcPr>
          <w:p w14:paraId="1AF2D5FC">
            <w:pPr>
              <w:shd w:val="clear" w:color="auto" w:fill="FFFFFF"/>
              <w:snapToGrid w:val="0"/>
              <w:spacing w:line="300" w:lineRule="auto"/>
              <w:jc w:val="center"/>
              <w:rPr>
                <w:rFonts w:hint="eastAsia" w:ascii="仿宋" w:hAnsi="仿宋" w:eastAsia="仿宋" w:cs="Arial"/>
                <w:szCs w:val="21"/>
                <w:highlight w:val="none"/>
              </w:rPr>
            </w:pPr>
          </w:p>
        </w:tc>
        <w:tc>
          <w:tcPr>
            <w:tcW w:w="2505" w:type="dxa"/>
            <w:vMerge w:val="continue"/>
            <w:vAlign w:val="center"/>
          </w:tcPr>
          <w:p w14:paraId="58878890">
            <w:pPr>
              <w:shd w:val="clear" w:color="auto" w:fill="FFFFFF"/>
              <w:snapToGrid w:val="0"/>
              <w:spacing w:line="300" w:lineRule="auto"/>
              <w:jc w:val="center"/>
              <w:rPr>
                <w:rFonts w:hint="eastAsia" w:ascii="仿宋" w:hAnsi="仿宋" w:eastAsia="仿宋" w:cs="Arial"/>
                <w:szCs w:val="21"/>
                <w:highlight w:val="none"/>
              </w:rPr>
            </w:pPr>
          </w:p>
        </w:tc>
        <w:tc>
          <w:tcPr>
            <w:tcW w:w="2395" w:type="dxa"/>
            <w:vMerge w:val="continue"/>
            <w:vAlign w:val="center"/>
          </w:tcPr>
          <w:p w14:paraId="052B8A82">
            <w:pPr>
              <w:shd w:val="clear" w:color="auto" w:fill="FFFFFF"/>
              <w:snapToGrid w:val="0"/>
              <w:spacing w:line="300" w:lineRule="auto"/>
              <w:jc w:val="center"/>
              <w:rPr>
                <w:rFonts w:hint="eastAsia" w:ascii="仿宋" w:hAnsi="仿宋" w:eastAsia="仿宋" w:cs="Arial"/>
                <w:szCs w:val="21"/>
                <w:highlight w:val="none"/>
              </w:rPr>
            </w:pPr>
          </w:p>
        </w:tc>
      </w:tr>
      <w:tr w14:paraId="0C2EBA2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54" w:hRule="atLeast"/>
        </w:trPr>
        <w:tc>
          <w:tcPr>
            <w:tcW w:w="872" w:type="dxa"/>
            <w:vMerge w:val="continue"/>
            <w:vAlign w:val="center"/>
          </w:tcPr>
          <w:p w14:paraId="6BC269BF">
            <w:pPr>
              <w:shd w:val="clear" w:color="auto" w:fill="FFFFFF"/>
              <w:snapToGrid w:val="0"/>
              <w:spacing w:line="300" w:lineRule="auto"/>
              <w:jc w:val="center"/>
              <w:rPr>
                <w:rFonts w:hint="eastAsia" w:ascii="仿宋" w:hAnsi="仿宋" w:eastAsia="仿宋" w:cs="Arial"/>
                <w:szCs w:val="21"/>
                <w:highlight w:val="none"/>
              </w:rPr>
            </w:pPr>
          </w:p>
        </w:tc>
        <w:tc>
          <w:tcPr>
            <w:tcW w:w="624" w:type="dxa"/>
            <w:vMerge w:val="continue"/>
            <w:vAlign w:val="center"/>
          </w:tcPr>
          <w:p w14:paraId="158C79ED">
            <w:pPr>
              <w:shd w:val="clear" w:color="auto" w:fill="FFFFFF"/>
              <w:snapToGrid w:val="0"/>
              <w:spacing w:line="300" w:lineRule="auto"/>
              <w:jc w:val="center"/>
              <w:rPr>
                <w:rFonts w:hint="eastAsia" w:ascii="仿宋" w:hAnsi="仿宋" w:eastAsia="仿宋" w:cs="Arial"/>
                <w:szCs w:val="21"/>
                <w:highlight w:val="none"/>
              </w:rPr>
            </w:pPr>
          </w:p>
        </w:tc>
        <w:tc>
          <w:tcPr>
            <w:tcW w:w="3273" w:type="dxa"/>
            <w:gridSpan w:val="2"/>
            <w:vAlign w:val="center"/>
          </w:tcPr>
          <w:p w14:paraId="17E33DA0">
            <w:pPr>
              <w:shd w:val="clear" w:color="auto" w:fill="FFFFFF"/>
              <w:snapToGrid w:val="0"/>
              <w:spacing w:line="300" w:lineRule="auto"/>
              <w:jc w:val="center"/>
              <w:rPr>
                <w:rFonts w:hint="eastAsia" w:ascii="仿宋" w:hAnsi="仿宋" w:eastAsia="仿宋" w:cs="Arial"/>
                <w:szCs w:val="21"/>
                <w:highlight w:val="none"/>
              </w:rPr>
            </w:pPr>
            <w:r>
              <w:rPr>
                <w:rFonts w:hint="eastAsia" w:ascii="仿宋" w:hAnsi="仿宋" w:eastAsia="仿宋" w:cs="Arial"/>
                <w:szCs w:val="21"/>
                <w:highlight w:val="none"/>
              </w:rPr>
              <w:t>社会保险费</w:t>
            </w:r>
          </w:p>
        </w:tc>
        <w:tc>
          <w:tcPr>
            <w:tcW w:w="2101" w:type="dxa"/>
            <w:vMerge w:val="continue"/>
            <w:vAlign w:val="center"/>
          </w:tcPr>
          <w:p w14:paraId="37DF4BDA">
            <w:pPr>
              <w:shd w:val="clear" w:color="auto" w:fill="FFFFFF"/>
              <w:snapToGrid w:val="0"/>
              <w:spacing w:line="300" w:lineRule="auto"/>
              <w:jc w:val="center"/>
              <w:rPr>
                <w:rFonts w:hint="eastAsia" w:ascii="仿宋" w:hAnsi="仿宋" w:eastAsia="仿宋" w:cs="Arial"/>
                <w:szCs w:val="21"/>
                <w:highlight w:val="none"/>
              </w:rPr>
            </w:pPr>
          </w:p>
        </w:tc>
        <w:tc>
          <w:tcPr>
            <w:tcW w:w="2508" w:type="dxa"/>
            <w:vMerge w:val="continue"/>
            <w:vAlign w:val="center"/>
          </w:tcPr>
          <w:p w14:paraId="3DF8ACE8">
            <w:pPr>
              <w:shd w:val="clear" w:color="auto" w:fill="FFFFFF"/>
              <w:snapToGrid w:val="0"/>
              <w:spacing w:line="300" w:lineRule="auto"/>
              <w:jc w:val="center"/>
              <w:rPr>
                <w:rFonts w:hint="eastAsia" w:ascii="仿宋" w:hAnsi="仿宋" w:eastAsia="仿宋" w:cs="Arial"/>
                <w:szCs w:val="21"/>
                <w:highlight w:val="none"/>
              </w:rPr>
            </w:pPr>
          </w:p>
        </w:tc>
        <w:tc>
          <w:tcPr>
            <w:tcW w:w="2505" w:type="dxa"/>
            <w:vMerge w:val="continue"/>
            <w:vAlign w:val="center"/>
          </w:tcPr>
          <w:p w14:paraId="1B2C2872">
            <w:pPr>
              <w:shd w:val="clear" w:color="auto" w:fill="FFFFFF"/>
              <w:snapToGrid w:val="0"/>
              <w:spacing w:line="300" w:lineRule="auto"/>
              <w:jc w:val="center"/>
              <w:rPr>
                <w:rFonts w:hint="eastAsia" w:ascii="仿宋" w:hAnsi="仿宋" w:eastAsia="仿宋" w:cs="Arial"/>
                <w:szCs w:val="21"/>
                <w:highlight w:val="none"/>
              </w:rPr>
            </w:pPr>
          </w:p>
        </w:tc>
        <w:tc>
          <w:tcPr>
            <w:tcW w:w="2395" w:type="dxa"/>
            <w:vMerge w:val="continue"/>
            <w:vAlign w:val="center"/>
          </w:tcPr>
          <w:p w14:paraId="67D60206">
            <w:pPr>
              <w:shd w:val="clear" w:color="auto" w:fill="FFFFFF"/>
              <w:snapToGrid w:val="0"/>
              <w:spacing w:line="300" w:lineRule="auto"/>
              <w:jc w:val="center"/>
              <w:rPr>
                <w:rFonts w:hint="eastAsia" w:ascii="仿宋" w:hAnsi="仿宋" w:eastAsia="仿宋" w:cs="Arial"/>
                <w:szCs w:val="21"/>
                <w:highlight w:val="none"/>
              </w:rPr>
            </w:pPr>
          </w:p>
        </w:tc>
      </w:tr>
      <w:tr w14:paraId="388952F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54" w:hRule="atLeast"/>
        </w:trPr>
        <w:tc>
          <w:tcPr>
            <w:tcW w:w="872" w:type="dxa"/>
            <w:vMerge w:val="continue"/>
            <w:vAlign w:val="center"/>
          </w:tcPr>
          <w:p w14:paraId="5234DEFF">
            <w:pPr>
              <w:shd w:val="clear" w:color="auto" w:fill="FFFFFF"/>
              <w:snapToGrid w:val="0"/>
              <w:spacing w:line="300" w:lineRule="auto"/>
              <w:jc w:val="center"/>
              <w:rPr>
                <w:rFonts w:hint="eastAsia" w:ascii="仿宋" w:hAnsi="仿宋" w:eastAsia="仿宋" w:cs="Arial"/>
                <w:szCs w:val="21"/>
                <w:highlight w:val="none"/>
              </w:rPr>
            </w:pPr>
          </w:p>
        </w:tc>
        <w:tc>
          <w:tcPr>
            <w:tcW w:w="624" w:type="dxa"/>
            <w:vMerge w:val="continue"/>
            <w:vAlign w:val="center"/>
          </w:tcPr>
          <w:p w14:paraId="28BEA77E">
            <w:pPr>
              <w:shd w:val="clear" w:color="auto" w:fill="FFFFFF"/>
              <w:snapToGrid w:val="0"/>
              <w:spacing w:line="300" w:lineRule="auto"/>
              <w:jc w:val="center"/>
              <w:rPr>
                <w:rFonts w:hint="eastAsia" w:ascii="仿宋" w:hAnsi="仿宋" w:eastAsia="仿宋" w:cs="Arial"/>
                <w:szCs w:val="21"/>
                <w:highlight w:val="none"/>
              </w:rPr>
            </w:pPr>
          </w:p>
        </w:tc>
        <w:tc>
          <w:tcPr>
            <w:tcW w:w="3273" w:type="dxa"/>
            <w:gridSpan w:val="2"/>
            <w:vAlign w:val="center"/>
          </w:tcPr>
          <w:p w14:paraId="1A037ADE">
            <w:pPr>
              <w:shd w:val="clear" w:color="auto" w:fill="FFFFFF"/>
              <w:snapToGrid w:val="0"/>
              <w:spacing w:line="300" w:lineRule="auto"/>
              <w:jc w:val="center"/>
              <w:rPr>
                <w:rFonts w:hint="eastAsia" w:ascii="仿宋" w:hAnsi="仿宋" w:eastAsia="仿宋" w:cs="Arial"/>
                <w:szCs w:val="21"/>
                <w:highlight w:val="none"/>
              </w:rPr>
            </w:pPr>
            <w:r>
              <w:rPr>
                <w:rFonts w:hint="eastAsia" w:ascii="仿宋" w:hAnsi="仿宋" w:eastAsia="仿宋" w:cs="Arial"/>
                <w:szCs w:val="21"/>
                <w:highlight w:val="none"/>
              </w:rPr>
              <w:t>住房公积金</w:t>
            </w:r>
          </w:p>
        </w:tc>
        <w:tc>
          <w:tcPr>
            <w:tcW w:w="2101" w:type="dxa"/>
            <w:vMerge w:val="continue"/>
            <w:vAlign w:val="center"/>
          </w:tcPr>
          <w:p w14:paraId="4C2BD6F0">
            <w:pPr>
              <w:shd w:val="clear" w:color="auto" w:fill="FFFFFF"/>
              <w:snapToGrid w:val="0"/>
              <w:spacing w:line="300" w:lineRule="auto"/>
              <w:jc w:val="center"/>
              <w:rPr>
                <w:rFonts w:hint="eastAsia" w:ascii="仿宋" w:hAnsi="仿宋" w:eastAsia="仿宋" w:cs="Arial"/>
                <w:szCs w:val="21"/>
                <w:highlight w:val="none"/>
              </w:rPr>
            </w:pPr>
          </w:p>
        </w:tc>
        <w:tc>
          <w:tcPr>
            <w:tcW w:w="2508" w:type="dxa"/>
            <w:vMerge w:val="continue"/>
            <w:vAlign w:val="center"/>
          </w:tcPr>
          <w:p w14:paraId="120FDDA3">
            <w:pPr>
              <w:shd w:val="clear" w:color="auto" w:fill="FFFFFF"/>
              <w:snapToGrid w:val="0"/>
              <w:spacing w:line="300" w:lineRule="auto"/>
              <w:jc w:val="center"/>
              <w:rPr>
                <w:rFonts w:hint="eastAsia" w:ascii="仿宋" w:hAnsi="仿宋" w:eastAsia="仿宋" w:cs="Arial"/>
                <w:szCs w:val="21"/>
                <w:highlight w:val="none"/>
              </w:rPr>
            </w:pPr>
          </w:p>
        </w:tc>
        <w:tc>
          <w:tcPr>
            <w:tcW w:w="2505" w:type="dxa"/>
            <w:vMerge w:val="continue"/>
            <w:vAlign w:val="center"/>
          </w:tcPr>
          <w:p w14:paraId="31E549E5">
            <w:pPr>
              <w:shd w:val="clear" w:color="auto" w:fill="FFFFFF"/>
              <w:snapToGrid w:val="0"/>
              <w:spacing w:line="300" w:lineRule="auto"/>
              <w:jc w:val="center"/>
              <w:rPr>
                <w:rFonts w:hint="eastAsia" w:ascii="仿宋" w:hAnsi="仿宋" w:eastAsia="仿宋" w:cs="Arial"/>
                <w:szCs w:val="21"/>
                <w:highlight w:val="none"/>
              </w:rPr>
            </w:pPr>
          </w:p>
        </w:tc>
        <w:tc>
          <w:tcPr>
            <w:tcW w:w="2395" w:type="dxa"/>
            <w:vMerge w:val="continue"/>
            <w:vAlign w:val="center"/>
          </w:tcPr>
          <w:p w14:paraId="2C6E40E1">
            <w:pPr>
              <w:shd w:val="clear" w:color="auto" w:fill="FFFFFF"/>
              <w:snapToGrid w:val="0"/>
              <w:spacing w:line="300" w:lineRule="auto"/>
              <w:jc w:val="center"/>
              <w:rPr>
                <w:rFonts w:hint="eastAsia" w:ascii="仿宋" w:hAnsi="仿宋" w:eastAsia="仿宋" w:cs="Arial"/>
                <w:szCs w:val="21"/>
                <w:highlight w:val="none"/>
              </w:rPr>
            </w:pPr>
          </w:p>
        </w:tc>
      </w:tr>
      <w:tr w14:paraId="5A13744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54" w:hRule="atLeast"/>
        </w:trPr>
        <w:tc>
          <w:tcPr>
            <w:tcW w:w="872" w:type="dxa"/>
            <w:vMerge w:val="continue"/>
            <w:vAlign w:val="center"/>
          </w:tcPr>
          <w:p w14:paraId="06D99BC8">
            <w:pPr>
              <w:shd w:val="clear" w:color="auto" w:fill="FFFFFF"/>
              <w:snapToGrid w:val="0"/>
              <w:spacing w:line="300" w:lineRule="auto"/>
              <w:jc w:val="center"/>
              <w:rPr>
                <w:rFonts w:hint="eastAsia" w:ascii="仿宋" w:hAnsi="仿宋" w:eastAsia="仿宋" w:cs="Arial"/>
                <w:szCs w:val="21"/>
                <w:highlight w:val="none"/>
              </w:rPr>
            </w:pPr>
          </w:p>
        </w:tc>
        <w:tc>
          <w:tcPr>
            <w:tcW w:w="624" w:type="dxa"/>
            <w:vMerge w:val="continue"/>
            <w:vAlign w:val="center"/>
          </w:tcPr>
          <w:p w14:paraId="18C5096A">
            <w:pPr>
              <w:shd w:val="clear" w:color="auto" w:fill="FFFFFF"/>
              <w:snapToGrid w:val="0"/>
              <w:spacing w:line="300" w:lineRule="auto"/>
              <w:jc w:val="center"/>
              <w:rPr>
                <w:rFonts w:hint="eastAsia" w:ascii="仿宋" w:hAnsi="仿宋" w:eastAsia="仿宋" w:cs="Arial"/>
                <w:szCs w:val="21"/>
                <w:highlight w:val="none"/>
              </w:rPr>
            </w:pPr>
          </w:p>
        </w:tc>
        <w:tc>
          <w:tcPr>
            <w:tcW w:w="3273" w:type="dxa"/>
            <w:gridSpan w:val="2"/>
            <w:vAlign w:val="center"/>
          </w:tcPr>
          <w:p w14:paraId="68826B93">
            <w:pPr>
              <w:shd w:val="clear" w:color="auto" w:fill="FFFFFF"/>
              <w:snapToGrid w:val="0"/>
              <w:spacing w:line="300" w:lineRule="auto"/>
              <w:jc w:val="center"/>
              <w:rPr>
                <w:rFonts w:hint="eastAsia" w:ascii="仿宋" w:hAnsi="仿宋" w:eastAsia="仿宋" w:cs="Arial"/>
                <w:szCs w:val="21"/>
                <w:highlight w:val="none"/>
              </w:rPr>
            </w:pPr>
            <w:r>
              <w:rPr>
                <w:rFonts w:hint="eastAsia" w:ascii="仿宋" w:hAnsi="仿宋" w:eastAsia="仿宋" w:cs="Arial"/>
                <w:szCs w:val="21"/>
                <w:highlight w:val="none"/>
              </w:rPr>
              <w:t>双休日及法定节假日加班费</w:t>
            </w:r>
          </w:p>
        </w:tc>
        <w:tc>
          <w:tcPr>
            <w:tcW w:w="2101" w:type="dxa"/>
            <w:vMerge w:val="continue"/>
            <w:vAlign w:val="center"/>
          </w:tcPr>
          <w:p w14:paraId="6E9291FD">
            <w:pPr>
              <w:shd w:val="clear" w:color="auto" w:fill="FFFFFF"/>
              <w:snapToGrid w:val="0"/>
              <w:spacing w:line="300" w:lineRule="auto"/>
              <w:jc w:val="center"/>
              <w:rPr>
                <w:rFonts w:hint="eastAsia" w:ascii="仿宋" w:hAnsi="仿宋" w:eastAsia="仿宋" w:cs="Arial"/>
                <w:szCs w:val="21"/>
                <w:highlight w:val="none"/>
              </w:rPr>
            </w:pPr>
          </w:p>
        </w:tc>
        <w:tc>
          <w:tcPr>
            <w:tcW w:w="2508" w:type="dxa"/>
            <w:vMerge w:val="continue"/>
            <w:vAlign w:val="center"/>
          </w:tcPr>
          <w:p w14:paraId="2CE81352">
            <w:pPr>
              <w:shd w:val="clear" w:color="auto" w:fill="FFFFFF"/>
              <w:snapToGrid w:val="0"/>
              <w:spacing w:line="300" w:lineRule="auto"/>
              <w:jc w:val="center"/>
              <w:rPr>
                <w:rFonts w:hint="eastAsia" w:ascii="仿宋" w:hAnsi="仿宋" w:eastAsia="仿宋" w:cs="Arial"/>
                <w:szCs w:val="21"/>
                <w:highlight w:val="none"/>
              </w:rPr>
            </w:pPr>
          </w:p>
        </w:tc>
        <w:tc>
          <w:tcPr>
            <w:tcW w:w="2505" w:type="dxa"/>
            <w:vMerge w:val="continue"/>
            <w:vAlign w:val="center"/>
          </w:tcPr>
          <w:p w14:paraId="23A12A12">
            <w:pPr>
              <w:shd w:val="clear" w:color="auto" w:fill="FFFFFF"/>
              <w:snapToGrid w:val="0"/>
              <w:spacing w:line="300" w:lineRule="auto"/>
              <w:jc w:val="center"/>
              <w:rPr>
                <w:rFonts w:hint="eastAsia" w:ascii="仿宋" w:hAnsi="仿宋" w:eastAsia="仿宋" w:cs="Arial"/>
                <w:szCs w:val="21"/>
                <w:highlight w:val="none"/>
              </w:rPr>
            </w:pPr>
          </w:p>
        </w:tc>
        <w:tc>
          <w:tcPr>
            <w:tcW w:w="2395" w:type="dxa"/>
            <w:vMerge w:val="continue"/>
            <w:vAlign w:val="center"/>
          </w:tcPr>
          <w:p w14:paraId="7571D73B">
            <w:pPr>
              <w:shd w:val="clear" w:color="auto" w:fill="FFFFFF"/>
              <w:snapToGrid w:val="0"/>
              <w:spacing w:line="300" w:lineRule="auto"/>
              <w:jc w:val="center"/>
              <w:rPr>
                <w:rFonts w:hint="eastAsia" w:ascii="仿宋" w:hAnsi="仿宋" w:eastAsia="仿宋" w:cs="Arial"/>
                <w:szCs w:val="21"/>
                <w:highlight w:val="none"/>
              </w:rPr>
            </w:pPr>
          </w:p>
        </w:tc>
      </w:tr>
      <w:tr w14:paraId="2CA9F81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54" w:hRule="atLeast"/>
        </w:trPr>
        <w:tc>
          <w:tcPr>
            <w:tcW w:w="872" w:type="dxa"/>
            <w:vMerge w:val="continue"/>
            <w:vAlign w:val="center"/>
          </w:tcPr>
          <w:p w14:paraId="3717DEC3">
            <w:pPr>
              <w:shd w:val="clear" w:color="auto" w:fill="FFFFFF"/>
              <w:snapToGrid w:val="0"/>
              <w:spacing w:line="300" w:lineRule="auto"/>
              <w:jc w:val="center"/>
              <w:rPr>
                <w:rFonts w:hint="eastAsia" w:ascii="仿宋" w:hAnsi="仿宋" w:eastAsia="仿宋" w:cs="Arial"/>
                <w:szCs w:val="21"/>
                <w:highlight w:val="none"/>
              </w:rPr>
            </w:pPr>
          </w:p>
        </w:tc>
        <w:tc>
          <w:tcPr>
            <w:tcW w:w="624" w:type="dxa"/>
            <w:vMerge w:val="continue"/>
            <w:vAlign w:val="center"/>
          </w:tcPr>
          <w:p w14:paraId="5B567C58">
            <w:pPr>
              <w:shd w:val="clear" w:color="auto" w:fill="FFFFFF"/>
              <w:snapToGrid w:val="0"/>
              <w:spacing w:line="300" w:lineRule="auto"/>
              <w:jc w:val="center"/>
              <w:rPr>
                <w:rFonts w:hint="eastAsia" w:ascii="仿宋" w:hAnsi="仿宋" w:eastAsia="仿宋" w:cs="Arial"/>
                <w:szCs w:val="21"/>
                <w:highlight w:val="none"/>
              </w:rPr>
            </w:pPr>
          </w:p>
        </w:tc>
        <w:tc>
          <w:tcPr>
            <w:tcW w:w="3273" w:type="dxa"/>
            <w:gridSpan w:val="2"/>
            <w:vAlign w:val="center"/>
          </w:tcPr>
          <w:p w14:paraId="220E883A">
            <w:pPr>
              <w:shd w:val="clear" w:color="auto" w:fill="FFFFFF"/>
              <w:snapToGrid w:val="0"/>
              <w:spacing w:line="300" w:lineRule="auto"/>
              <w:jc w:val="center"/>
              <w:rPr>
                <w:rFonts w:hint="eastAsia" w:ascii="仿宋" w:hAnsi="仿宋" w:eastAsia="仿宋" w:cs="Arial"/>
                <w:szCs w:val="21"/>
                <w:highlight w:val="none"/>
              </w:rPr>
            </w:pPr>
            <w:r>
              <w:rPr>
                <w:rFonts w:hint="eastAsia" w:ascii="仿宋" w:hAnsi="仿宋" w:eastAsia="仿宋" w:cs="Arial"/>
                <w:szCs w:val="21"/>
                <w:highlight w:val="none"/>
              </w:rPr>
              <w:t>医疗体检费</w:t>
            </w:r>
          </w:p>
        </w:tc>
        <w:tc>
          <w:tcPr>
            <w:tcW w:w="2101" w:type="dxa"/>
            <w:vMerge w:val="continue"/>
            <w:vAlign w:val="center"/>
          </w:tcPr>
          <w:p w14:paraId="662113AB">
            <w:pPr>
              <w:shd w:val="clear" w:color="auto" w:fill="FFFFFF"/>
              <w:snapToGrid w:val="0"/>
              <w:spacing w:line="300" w:lineRule="auto"/>
              <w:jc w:val="center"/>
              <w:rPr>
                <w:rFonts w:hint="eastAsia" w:ascii="仿宋" w:hAnsi="仿宋" w:eastAsia="仿宋" w:cs="Arial"/>
                <w:szCs w:val="21"/>
                <w:highlight w:val="none"/>
              </w:rPr>
            </w:pPr>
          </w:p>
        </w:tc>
        <w:tc>
          <w:tcPr>
            <w:tcW w:w="2508" w:type="dxa"/>
            <w:vMerge w:val="continue"/>
            <w:vAlign w:val="center"/>
          </w:tcPr>
          <w:p w14:paraId="7D182402">
            <w:pPr>
              <w:shd w:val="clear" w:color="auto" w:fill="FFFFFF"/>
              <w:snapToGrid w:val="0"/>
              <w:spacing w:line="300" w:lineRule="auto"/>
              <w:jc w:val="center"/>
              <w:rPr>
                <w:rFonts w:hint="eastAsia" w:ascii="仿宋" w:hAnsi="仿宋" w:eastAsia="仿宋" w:cs="Arial"/>
                <w:szCs w:val="21"/>
                <w:highlight w:val="none"/>
              </w:rPr>
            </w:pPr>
          </w:p>
        </w:tc>
        <w:tc>
          <w:tcPr>
            <w:tcW w:w="2505" w:type="dxa"/>
            <w:vMerge w:val="continue"/>
            <w:vAlign w:val="center"/>
          </w:tcPr>
          <w:p w14:paraId="682C69A9">
            <w:pPr>
              <w:shd w:val="clear" w:color="auto" w:fill="FFFFFF"/>
              <w:snapToGrid w:val="0"/>
              <w:spacing w:line="300" w:lineRule="auto"/>
              <w:jc w:val="center"/>
              <w:rPr>
                <w:rFonts w:hint="eastAsia" w:ascii="仿宋" w:hAnsi="仿宋" w:eastAsia="仿宋" w:cs="Arial"/>
                <w:szCs w:val="21"/>
                <w:highlight w:val="none"/>
              </w:rPr>
            </w:pPr>
          </w:p>
        </w:tc>
        <w:tc>
          <w:tcPr>
            <w:tcW w:w="2395" w:type="dxa"/>
            <w:vMerge w:val="continue"/>
            <w:vAlign w:val="center"/>
          </w:tcPr>
          <w:p w14:paraId="0CFC71CD">
            <w:pPr>
              <w:shd w:val="clear" w:color="auto" w:fill="FFFFFF"/>
              <w:snapToGrid w:val="0"/>
              <w:spacing w:line="300" w:lineRule="auto"/>
              <w:jc w:val="center"/>
              <w:rPr>
                <w:rFonts w:hint="eastAsia" w:ascii="仿宋" w:hAnsi="仿宋" w:eastAsia="仿宋" w:cs="Arial"/>
                <w:szCs w:val="21"/>
                <w:highlight w:val="none"/>
              </w:rPr>
            </w:pPr>
          </w:p>
        </w:tc>
      </w:tr>
      <w:tr w14:paraId="0FC2824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64" w:hRule="atLeast"/>
        </w:trPr>
        <w:tc>
          <w:tcPr>
            <w:tcW w:w="872" w:type="dxa"/>
            <w:vAlign w:val="center"/>
          </w:tcPr>
          <w:p w14:paraId="046483CA">
            <w:pPr>
              <w:shd w:val="clear" w:color="auto" w:fill="FFFFFF"/>
              <w:snapToGrid w:val="0"/>
              <w:spacing w:line="300" w:lineRule="auto"/>
              <w:jc w:val="center"/>
              <w:rPr>
                <w:rFonts w:hint="eastAsia" w:ascii="仿宋" w:hAnsi="仿宋" w:eastAsia="仿宋" w:cs="Arial"/>
                <w:szCs w:val="21"/>
                <w:highlight w:val="none"/>
              </w:rPr>
            </w:pPr>
            <w:r>
              <w:rPr>
                <w:rFonts w:hint="eastAsia" w:ascii="仿宋" w:hAnsi="仿宋" w:eastAsia="仿宋" w:cs="Arial"/>
                <w:szCs w:val="21"/>
                <w:highlight w:val="none"/>
              </w:rPr>
              <w:t>2</w:t>
            </w:r>
          </w:p>
        </w:tc>
        <w:tc>
          <w:tcPr>
            <w:tcW w:w="3897" w:type="dxa"/>
            <w:gridSpan w:val="3"/>
            <w:vAlign w:val="center"/>
          </w:tcPr>
          <w:p w14:paraId="1353C1C4">
            <w:pPr>
              <w:shd w:val="clear" w:color="auto" w:fill="FFFFFF"/>
              <w:snapToGrid w:val="0"/>
              <w:spacing w:line="300" w:lineRule="auto"/>
              <w:jc w:val="center"/>
              <w:rPr>
                <w:rFonts w:hint="eastAsia" w:ascii="仿宋" w:hAnsi="仿宋" w:eastAsia="仿宋" w:cs="Arial"/>
                <w:szCs w:val="21"/>
                <w:highlight w:val="none"/>
              </w:rPr>
            </w:pPr>
            <w:r>
              <w:rPr>
                <w:rFonts w:hint="eastAsia" w:ascii="仿宋" w:hAnsi="仿宋" w:eastAsia="仿宋" w:cs="Arial"/>
                <w:szCs w:val="21"/>
                <w:highlight w:val="none"/>
              </w:rPr>
              <w:t>日常办公费用</w:t>
            </w:r>
          </w:p>
        </w:tc>
        <w:tc>
          <w:tcPr>
            <w:tcW w:w="2101" w:type="dxa"/>
            <w:vAlign w:val="center"/>
          </w:tcPr>
          <w:p w14:paraId="7BE795C4">
            <w:pPr>
              <w:shd w:val="clear" w:color="auto" w:fill="FFFFFF"/>
              <w:snapToGrid w:val="0"/>
              <w:spacing w:line="300" w:lineRule="auto"/>
              <w:jc w:val="center"/>
              <w:rPr>
                <w:rFonts w:hint="eastAsia" w:ascii="仿宋" w:hAnsi="仿宋" w:eastAsia="仿宋" w:cs="Arial"/>
                <w:szCs w:val="21"/>
                <w:highlight w:val="none"/>
              </w:rPr>
            </w:pPr>
          </w:p>
        </w:tc>
        <w:tc>
          <w:tcPr>
            <w:tcW w:w="2508" w:type="dxa"/>
            <w:vAlign w:val="center"/>
          </w:tcPr>
          <w:p w14:paraId="65037D97">
            <w:pPr>
              <w:shd w:val="clear" w:color="auto" w:fill="FFFFFF"/>
              <w:snapToGrid w:val="0"/>
              <w:spacing w:line="300" w:lineRule="auto"/>
              <w:jc w:val="center"/>
              <w:rPr>
                <w:rFonts w:hint="eastAsia" w:ascii="仿宋" w:hAnsi="仿宋" w:eastAsia="仿宋" w:cs="Arial"/>
                <w:szCs w:val="21"/>
                <w:highlight w:val="none"/>
              </w:rPr>
            </w:pPr>
          </w:p>
        </w:tc>
        <w:tc>
          <w:tcPr>
            <w:tcW w:w="2505" w:type="dxa"/>
            <w:vAlign w:val="center"/>
          </w:tcPr>
          <w:p w14:paraId="33855E7F">
            <w:pPr>
              <w:shd w:val="clear" w:color="auto" w:fill="FFFFFF"/>
              <w:snapToGrid w:val="0"/>
              <w:spacing w:line="300" w:lineRule="auto"/>
              <w:jc w:val="center"/>
              <w:rPr>
                <w:rFonts w:hint="eastAsia" w:ascii="仿宋" w:hAnsi="仿宋" w:eastAsia="仿宋" w:cs="Arial"/>
                <w:szCs w:val="21"/>
                <w:highlight w:val="none"/>
              </w:rPr>
            </w:pPr>
          </w:p>
        </w:tc>
        <w:tc>
          <w:tcPr>
            <w:tcW w:w="2395" w:type="dxa"/>
            <w:vAlign w:val="center"/>
          </w:tcPr>
          <w:p w14:paraId="2630CCAA">
            <w:pPr>
              <w:shd w:val="clear" w:color="auto" w:fill="FFFFFF"/>
              <w:snapToGrid w:val="0"/>
              <w:spacing w:line="300" w:lineRule="auto"/>
              <w:jc w:val="center"/>
              <w:rPr>
                <w:rFonts w:hint="eastAsia" w:ascii="仿宋" w:hAnsi="仿宋" w:eastAsia="仿宋" w:cs="Arial"/>
                <w:szCs w:val="21"/>
                <w:highlight w:val="none"/>
              </w:rPr>
            </w:pPr>
          </w:p>
        </w:tc>
      </w:tr>
      <w:tr w14:paraId="04A95D7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95" w:hRule="atLeast"/>
        </w:trPr>
        <w:tc>
          <w:tcPr>
            <w:tcW w:w="872" w:type="dxa"/>
            <w:tcBorders>
              <w:bottom w:val="single" w:color="auto" w:sz="4" w:space="0"/>
            </w:tcBorders>
            <w:vAlign w:val="center"/>
          </w:tcPr>
          <w:p w14:paraId="428C4DB3">
            <w:pPr>
              <w:shd w:val="clear" w:color="auto" w:fill="FFFFFF"/>
              <w:snapToGrid w:val="0"/>
              <w:spacing w:line="300" w:lineRule="auto"/>
              <w:jc w:val="center"/>
              <w:rPr>
                <w:rFonts w:hint="eastAsia" w:ascii="仿宋" w:hAnsi="仿宋" w:eastAsia="仿宋" w:cs="Arial"/>
                <w:szCs w:val="21"/>
                <w:highlight w:val="none"/>
              </w:rPr>
            </w:pPr>
            <w:r>
              <w:rPr>
                <w:rFonts w:hint="eastAsia" w:ascii="仿宋" w:hAnsi="仿宋" w:eastAsia="仿宋" w:cs="Arial"/>
                <w:szCs w:val="21"/>
                <w:highlight w:val="none"/>
              </w:rPr>
              <w:t>3</w:t>
            </w:r>
          </w:p>
        </w:tc>
        <w:tc>
          <w:tcPr>
            <w:tcW w:w="3897" w:type="dxa"/>
            <w:gridSpan w:val="3"/>
            <w:tcBorders>
              <w:bottom w:val="single" w:color="auto" w:sz="4" w:space="0"/>
            </w:tcBorders>
            <w:vAlign w:val="center"/>
          </w:tcPr>
          <w:p w14:paraId="79CE02D9">
            <w:pPr>
              <w:shd w:val="clear" w:color="auto" w:fill="FFFFFF"/>
              <w:snapToGrid w:val="0"/>
              <w:spacing w:line="300" w:lineRule="auto"/>
              <w:jc w:val="center"/>
              <w:rPr>
                <w:rFonts w:hint="eastAsia" w:ascii="仿宋" w:hAnsi="仿宋" w:eastAsia="仿宋" w:cs="Arial"/>
                <w:szCs w:val="21"/>
                <w:highlight w:val="none"/>
              </w:rPr>
            </w:pPr>
            <w:r>
              <w:rPr>
                <w:rFonts w:hint="eastAsia" w:ascii="仿宋" w:hAnsi="仿宋" w:eastAsia="仿宋" w:cs="Arial"/>
                <w:szCs w:val="21"/>
                <w:highlight w:val="none"/>
              </w:rPr>
              <w:t>秩序维护部运行费用</w:t>
            </w:r>
          </w:p>
        </w:tc>
        <w:tc>
          <w:tcPr>
            <w:tcW w:w="2101" w:type="dxa"/>
            <w:tcBorders>
              <w:bottom w:val="single" w:color="auto" w:sz="4" w:space="0"/>
            </w:tcBorders>
            <w:vAlign w:val="center"/>
          </w:tcPr>
          <w:p w14:paraId="48DDBF11">
            <w:pPr>
              <w:shd w:val="clear" w:color="auto" w:fill="FFFFFF"/>
              <w:snapToGrid w:val="0"/>
              <w:spacing w:line="300" w:lineRule="auto"/>
              <w:jc w:val="center"/>
              <w:rPr>
                <w:rFonts w:hint="eastAsia" w:ascii="仿宋" w:hAnsi="仿宋" w:eastAsia="仿宋" w:cs="Arial"/>
                <w:szCs w:val="21"/>
                <w:highlight w:val="none"/>
              </w:rPr>
            </w:pPr>
          </w:p>
        </w:tc>
        <w:tc>
          <w:tcPr>
            <w:tcW w:w="2508" w:type="dxa"/>
            <w:tcBorders>
              <w:bottom w:val="single" w:color="auto" w:sz="4" w:space="0"/>
            </w:tcBorders>
            <w:vAlign w:val="center"/>
          </w:tcPr>
          <w:p w14:paraId="2491691D">
            <w:pPr>
              <w:shd w:val="clear" w:color="auto" w:fill="FFFFFF"/>
              <w:snapToGrid w:val="0"/>
              <w:spacing w:line="300" w:lineRule="auto"/>
              <w:jc w:val="center"/>
              <w:rPr>
                <w:rFonts w:hint="eastAsia" w:ascii="仿宋" w:hAnsi="仿宋" w:eastAsia="仿宋" w:cs="Arial"/>
                <w:szCs w:val="21"/>
                <w:highlight w:val="none"/>
              </w:rPr>
            </w:pPr>
          </w:p>
        </w:tc>
        <w:tc>
          <w:tcPr>
            <w:tcW w:w="2505" w:type="dxa"/>
            <w:tcBorders>
              <w:bottom w:val="single" w:color="auto" w:sz="4" w:space="0"/>
            </w:tcBorders>
            <w:vAlign w:val="center"/>
          </w:tcPr>
          <w:p w14:paraId="595CEBEB">
            <w:pPr>
              <w:shd w:val="clear" w:color="auto" w:fill="FFFFFF"/>
              <w:snapToGrid w:val="0"/>
              <w:spacing w:line="300" w:lineRule="auto"/>
              <w:jc w:val="center"/>
              <w:rPr>
                <w:rFonts w:hint="eastAsia" w:ascii="仿宋" w:hAnsi="仿宋" w:eastAsia="仿宋" w:cs="Arial"/>
                <w:szCs w:val="21"/>
                <w:highlight w:val="none"/>
              </w:rPr>
            </w:pPr>
          </w:p>
        </w:tc>
        <w:tc>
          <w:tcPr>
            <w:tcW w:w="2395" w:type="dxa"/>
            <w:tcBorders>
              <w:bottom w:val="single" w:color="auto" w:sz="4" w:space="0"/>
            </w:tcBorders>
            <w:vAlign w:val="center"/>
          </w:tcPr>
          <w:p w14:paraId="0C6F3065">
            <w:pPr>
              <w:shd w:val="clear" w:color="auto" w:fill="FFFFFF"/>
              <w:snapToGrid w:val="0"/>
              <w:spacing w:line="300" w:lineRule="auto"/>
              <w:jc w:val="center"/>
              <w:rPr>
                <w:rFonts w:hint="eastAsia" w:ascii="仿宋" w:hAnsi="仿宋" w:eastAsia="仿宋" w:cs="Arial"/>
                <w:szCs w:val="21"/>
                <w:highlight w:val="none"/>
              </w:rPr>
            </w:pPr>
          </w:p>
        </w:tc>
      </w:tr>
      <w:tr w14:paraId="0AF6D2A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80" w:hRule="atLeast"/>
        </w:trPr>
        <w:tc>
          <w:tcPr>
            <w:tcW w:w="872" w:type="dxa"/>
            <w:tcBorders>
              <w:top w:val="single" w:color="auto" w:sz="4" w:space="0"/>
              <w:bottom w:val="single" w:color="auto" w:sz="4" w:space="0"/>
            </w:tcBorders>
            <w:vAlign w:val="center"/>
          </w:tcPr>
          <w:p w14:paraId="2BD621E3">
            <w:pPr>
              <w:shd w:val="clear" w:color="auto" w:fill="FFFFFF"/>
              <w:snapToGrid w:val="0"/>
              <w:spacing w:line="300" w:lineRule="auto"/>
              <w:jc w:val="center"/>
              <w:rPr>
                <w:rFonts w:hint="eastAsia" w:ascii="仿宋" w:hAnsi="仿宋" w:eastAsia="仿宋" w:cs="Arial"/>
                <w:szCs w:val="21"/>
                <w:highlight w:val="none"/>
              </w:rPr>
            </w:pPr>
            <w:r>
              <w:rPr>
                <w:rFonts w:hint="eastAsia" w:ascii="仿宋" w:hAnsi="仿宋" w:eastAsia="仿宋" w:cs="Arial"/>
                <w:szCs w:val="21"/>
                <w:highlight w:val="none"/>
              </w:rPr>
              <w:t>4</w:t>
            </w:r>
          </w:p>
        </w:tc>
        <w:tc>
          <w:tcPr>
            <w:tcW w:w="3897" w:type="dxa"/>
            <w:gridSpan w:val="3"/>
            <w:tcBorders>
              <w:top w:val="single" w:color="auto" w:sz="4" w:space="0"/>
              <w:bottom w:val="single" w:color="auto" w:sz="4" w:space="0"/>
            </w:tcBorders>
            <w:vAlign w:val="center"/>
          </w:tcPr>
          <w:p w14:paraId="6F9CD4F8">
            <w:pPr>
              <w:shd w:val="clear" w:color="auto" w:fill="FFFFFF"/>
              <w:snapToGrid w:val="0"/>
              <w:spacing w:line="300" w:lineRule="auto"/>
              <w:jc w:val="center"/>
              <w:rPr>
                <w:rFonts w:hint="eastAsia" w:ascii="仿宋" w:hAnsi="仿宋" w:eastAsia="仿宋" w:cs="Arial"/>
                <w:szCs w:val="21"/>
                <w:highlight w:val="none"/>
              </w:rPr>
            </w:pPr>
            <w:r>
              <w:rPr>
                <w:rFonts w:hint="eastAsia" w:ascii="仿宋" w:hAnsi="仿宋" w:eastAsia="仿宋" w:cs="Arial"/>
                <w:szCs w:val="21"/>
                <w:highlight w:val="none"/>
              </w:rPr>
              <w:t>保洁绿化部运行费用</w:t>
            </w:r>
          </w:p>
        </w:tc>
        <w:tc>
          <w:tcPr>
            <w:tcW w:w="2101" w:type="dxa"/>
            <w:tcBorders>
              <w:top w:val="single" w:color="auto" w:sz="4" w:space="0"/>
              <w:bottom w:val="single" w:color="auto" w:sz="4" w:space="0"/>
            </w:tcBorders>
            <w:vAlign w:val="center"/>
          </w:tcPr>
          <w:p w14:paraId="18D02EAC">
            <w:pPr>
              <w:shd w:val="clear" w:color="auto" w:fill="FFFFFF"/>
              <w:snapToGrid w:val="0"/>
              <w:spacing w:line="300" w:lineRule="auto"/>
              <w:jc w:val="center"/>
              <w:rPr>
                <w:rFonts w:hint="eastAsia" w:ascii="仿宋" w:hAnsi="仿宋" w:eastAsia="仿宋" w:cs="Arial"/>
                <w:szCs w:val="21"/>
                <w:highlight w:val="none"/>
              </w:rPr>
            </w:pPr>
          </w:p>
        </w:tc>
        <w:tc>
          <w:tcPr>
            <w:tcW w:w="2508" w:type="dxa"/>
            <w:tcBorders>
              <w:top w:val="single" w:color="auto" w:sz="4" w:space="0"/>
              <w:bottom w:val="single" w:color="auto" w:sz="4" w:space="0"/>
            </w:tcBorders>
            <w:vAlign w:val="center"/>
          </w:tcPr>
          <w:p w14:paraId="000AE365">
            <w:pPr>
              <w:shd w:val="clear" w:color="auto" w:fill="FFFFFF"/>
              <w:snapToGrid w:val="0"/>
              <w:spacing w:line="300" w:lineRule="auto"/>
              <w:jc w:val="center"/>
              <w:rPr>
                <w:rFonts w:hint="eastAsia" w:ascii="仿宋" w:hAnsi="仿宋" w:eastAsia="仿宋" w:cs="Arial"/>
                <w:szCs w:val="21"/>
                <w:highlight w:val="none"/>
              </w:rPr>
            </w:pPr>
          </w:p>
        </w:tc>
        <w:tc>
          <w:tcPr>
            <w:tcW w:w="2505" w:type="dxa"/>
            <w:tcBorders>
              <w:top w:val="single" w:color="auto" w:sz="4" w:space="0"/>
              <w:bottom w:val="single" w:color="auto" w:sz="4" w:space="0"/>
            </w:tcBorders>
            <w:vAlign w:val="center"/>
          </w:tcPr>
          <w:p w14:paraId="45111386">
            <w:pPr>
              <w:shd w:val="clear" w:color="auto" w:fill="FFFFFF"/>
              <w:snapToGrid w:val="0"/>
              <w:spacing w:line="300" w:lineRule="auto"/>
              <w:jc w:val="center"/>
              <w:rPr>
                <w:rFonts w:hint="eastAsia" w:ascii="仿宋" w:hAnsi="仿宋" w:eastAsia="仿宋" w:cs="Arial"/>
                <w:szCs w:val="21"/>
                <w:highlight w:val="none"/>
              </w:rPr>
            </w:pPr>
          </w:p>
        </w:tc>
        <w:tc>
          <w:tcPr>
            <w:tcW w:w="2395" w:type="dxa"/>
            <w:tcBorders>
              <w:top w:val="single" w:color="auto" w:sz="4" w:space="0"/>
              <w:bottom w:val="single" w:color="auto" w:sz="4" w:space="0"/>
            </w:tcBorders>
            <w:vAlign w:val="center"/>
          </w:tcPr>
          <w:p w14:paraId="61C3C596">
            <w:pPr>
              <w:shd w:val="clear" w:color="auto" w:fill="FFFFFF"/>
              <w:snapToGrid w:val="0"/>
              <w:spacing w:line="300" w:lineRule="auto"/>
              <w:jc w:val="center"/>
              <w:rPr>
                <w:rFonts w:hint="eastAsia" w:ascii="仿宋" w:hAnsi="仿宋" w:eastAsia="仿宋" w:cs="Arial"/>
                <w:szCs w:val="21"/>
                <w:highlight w:val="none"/>
              </w:rPr>
            </w:pPr>
          </w:p>
        </w:tc>
      </w:tr>
      <w:tr w14:paraId="21EB9B4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80" w:hRule="atLeast"/>
        </w:trPr>
        <w:tc>
          <w:tcPr>
            <w:tcW w:w="872" w:type="dxa"/>
            <w:tcBorders>
              <w:top w:val="single" w:color="auto" w:sz="4" w:space="0"/>
              <w:bottom w:val="single" w:color="auto" w:sz="4" w:space="0"/>
            </w:tcBorders>
            <w:vAlign w:val="center"/>
          </w:tcPr>
          <w:p w14:paraId="2153F17D">
            <w:pPr>
              <w:shd w:val="clear" w:color="auto" w:fill="FFFFFF"/>
              <w:snapToGrid w:val="0"/>
              <w:spacing w:line="300" w:lineRule="auto"/>
              <w:jc w:val="center"/>
              <w:rPr>
                <w:rFonts w:hint="eastAsia" w:ascii="仿宋" w:hAnsi="仿宋" w:eastAsia="仿宋" w:cs="Arial"/>
                <w:szCs w:val="21"/>
                <w:highlight w:val="none"/>
              </w:rPr>
            </w:pPr>
            <w:r>
              <w:rPr>
                <w:rFonts w:hint="eastAsia" w:ascii="仿宋" w:hAnsi="仿宋" w:eastAsia="仿宋" w:cs="Arial"/>
                <w:szCs w:val="21"/>
                <w:highlight w:val="none"/>
              </w:rPr>
              <w:t>5</w:t>
            </w:r>
          </w:p>
        </w:tc>
        <w:tc>
          <w:tcPr>
            <w:tcW w:w="3897" w:type="dxa"/>
            <w:gridSpan w:val="3"/>
            <w:tcBorders>
              <w:top w:val="single" w:color="auto" w:sz="4" w:space="0"/>
              <w:bottom w:val="single" w:color="auto" w:sz="4" w:space="0"/>
            </w:tcBorders>
            <w:vAlign w:val="center"/>
          </w:tcPr>
          <w:p w14:paraId="1684ED6C">
            <w:pPr>
              <w:shd w:val="clear" w:color="auto" w:fill="FFFFFF"/>
              <w:snapToGrid w:val="0"/>
              <w:spacing w:line="300" w:lineRule="auto"/>
              <w:jc w:val="center"/>
              <w:rPr>
                <w:rFonts w:hint="eastAsia" w:ascii="仿宋" w:hAnsi="仿宋" w:eastAsia="仿宋" w:cs="Arial"/>
                <w:szCs w:val="21"/>
                <w:highlight w:val="none"/>
              </w:rPr>
            </w:pPr>
            <w:r>
              <w:rPr>
                <w:rFonts w:hint="eastAsia" w:ascii="仿宋" w:hAnsi="仿宋" w:eastAsia="仿宋" w:cs="Arial"/>
                <w:szCs w:val="21"/>
                <w:highlight w:val="none"/>
              </w:rPr>
              <w:t>公共设施设备年检、维护费用</w:t>
            </w:r>
          </w:p>
        </w:tc>
        <w:tc>
          <w:tcPr>
            <w:tcW w:w="2101" w:type="dxa"/>
            <w:tcBorders>
              <w:top w:val="single" w:color="auto" w:sz="4" w:space="0"/>
              <w:bottom w:val="single" w:color="auto" w:sz="4" w:space="0"/>
            </w:tcBorders>
            <w:vAlign w:val="center"/>
          </w:tcPr>
          <w:p w14:paraId="341A15DA">
            <w:pPr>
              <w:shd w:val="clear" w:color="auto" w:fill="FFFFFF"/>
              <w:snapToGrid w:val="0"/>
              <w:spacing w:line="300" w:lineRule="auto"/>
              <w:jc w:val="center"/>
              <w:rPr>
                <w:rFonts w:hint="eastAsia" w:ascii="仿宋" w:hAnsi="仿宋" w:eastAsia="仿宋" w:cs="Arial"/>
                <w:szCs w:val="21"/>
                <w:highlight w:val="none"/>
              </w:rPr>
            </w:pPr>
          </w:p>
        </w:tc>
        <w:tc>
          <w:tcPr>
            <w:tcW w:w="2508" w:type="dxa"/>
            <w:tcBorders>
              <w:top w:val="single" w:color="auto" w:sz="4" w:space="0"/>
              <w:bottom w:val="single" w:color="auto" w:sz="4" w:space="0"/>
            </w:tcBorders>
            <w:vAlign w:val="center"/>
          </w:tcPr>
          <w:p w14:paraId="26BADF43">
            <w:pPr>
              <w:shd w:val="clear" w:color="auto" w:fill="FFFFFF"/>
              <w:snapToGrid w:val="0"/>
              <w:spacing w:line="300" w:lineRule="auto"/>
              <w:jc w:val="center"/>
              <w:rPr>
                <w:rFonts w:hint="eastAsia" w:ascii="仿宋" w:hAnsi="仿宋" w:eastAsia="仿宋" w:cs="Arial"/>
                <w:szCs w:val="21"/>
                <w:highlight w:val="none"/>
              </w:rPr>
            </w:pPr>
          </w:p>
        </w:tc>
        <w:tc>
          <w:tcPr>
            <w:tcW w:w="2505" w:type="dxa"/>
            <w:tcBorders>
              <w:top w:val="single" w:color="auto" w:sz="4" w:space="0"/>
              <w:bottom w:val="single" w:color="auto" w:sz="4" w:space="0"/>
            </w:tcBorders>
            <w:vAlign w:val="center"/>
          </w:tcPr>
          <w:p w14:paraId="096750D6">
            <w:pPr>
              <w:shd w:val="clear" w:color="auto" w:fill="FFFFFF"/>
              <w:snapToGrid w:val="0"/>
              <w:spacing w:line="300" w:lineRule="auto"/>
              <w:jc w:val="center"/>
              <w:rPr>
                <w:rFonts w:hint="eastAsia" w:ascii="仿宋" w:hAnsi="仿宋" w:eastAsia="仿宋" w:cs="Arial"/>
                <w:szCs w:val="21"/>
                <w:highlight w:val="none"/>
              </w:rPr>
            </w:pPr>
          </w:p>
        </w:tc>
        <w:tc>
          <w:tcPr>
            <w:tcW w:w="2395" w:type="dxa"/>
            <w:tcBorders>
              <w:top w:val="single" w:color="auto" w:sz="4" w:space="0"/>
              <w:bottom w:val="single" w:color="auto" w:sz="4" w:space="0"/>
            </w:tcBorders>
            <w:vAlign w:val="center"/>
          </w:tcPr>
          <w:p w14:paraId="1B1A9644">
            <w:pPr>
              <w:shd w:val="clear" w:color="auto" w:fill="FFFFFF"/>
              <w:snapToGrid w:val="0"/>
              <w:spacing w:line="300" w:lineRule="auto"/>
              <w:jc w:val="center"/>
              <w:rPr>
                <w:rFonts w:hint="eastAsia" w:ascii="仿宋" w:hAnsi="仿宋" w:eastAsia="仿宋" w:cs="Arial"/>
                <w:szCs w:val="21"/>
                <w:highlight w:val="none"/>
              </w:rPr>
            </w:pPr>
          </w:p>
        </w:tc>
      </w:tr>
      <w:tr w14:paraId="5C252B4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54" w:hRule="atLeast"/>
        </w:trPr>
        <w:tc>
          <w:tcPr>
            <w:tcW w:w="872" w:type="dxa"/>
            <w:vAlign w:val="center"/>
          </w:tcPr>
          <w:p w14:paraId="201952A3">
            <w:pPr>
              <w:shd w:val="clear" w:color="auto" w:fill="FFFFFF"/>
              <w:snapToGrid w:val="0"/>
              <w:spacing w:line="300" w:lineRule="auto"/>
              <w:jc w:val="center"/>
              <w:rPr>
                <w:rFonts w:hint="eastAsia" w:ascii="仿宋" w:hAnsi="仿宋" w:eastAsia="仿宋" w:cs="Arial"/>
                <w:szCs w:val="21"/>
                <w:highlight w:val="none"/>
              </w:rPr>
            </w:pPr>
            <w:r>
              <w:rPr>
                <w:rFonts w:hint="eastAsia" w:ascii="仿宋" w:hAnsi="仿宋" w:eastAsia="仿宋" w:cs="Arial"/>
                <w:szCs w:val="21"/>
                <w:highlight w:val="none"/>
              </w:rPr>
              <w:t>6</w:t>
            </w:r>
          </w:p>
        </w:tc>
        <w:tc>
          <w:tcPr>
            <w:tcW w:w="3897" w:type="dxa"/>
            <w:gridSpan w:val="3"/>
            <w:vAlign w:val="center"/>
          </w:tcPr>
          <w:p w14:paraId="5BC5B498">
            <w:pPr>
              <w:shd w:val="clear" w:color="auto" w:fill="FFFFFF"/>
              <w:snapToGrid w:val="0"/>
              <w:spacing w:line="300" w:lineRule="auto"/>
              <w:jc w:val="center"/>
              <w:rPr>
                <w:rFonts w:hint="eastAsia" w:ascii="仿宋" w:hAnsi="仿宋" w:eastAsia="仿宋" w:cs="Arial"/>
                <w:szCs w:val="21"/>
                <w:highlight w:val="none"/>
              </w:rPr>
            </w:pPr>
            <w:r>
              <w:rPr>
                <w:rFonts w:hint="eastAsia" w:ascii="仿宋" w:hAnsi="仿宋" w:eastAsia="仿宋" w:cs="Arial"/>
                <w:szCs w:val="21"/>
                <w:highlight w:val="none"/>
              </w:rPr>
              <w:t>管理费</w:t>
            </w:r>
          </w:p>
        </w:tc>
        <w:tc>
          <w:tcPr>
            <w:tcW w:w="2101" w:type="dxa"/>
            <w:vAlign w:val="center"/>
          </w:tcPr>
          <w:p w14:paraId="47500CAD">
            <w:pPr>
              <w:shd w:val="clear" w:color="auto" w:fill="FFFFFF"/>
              <w:snapToGrid w:val="0"/>
              <w:spacing w:line="300" w:lineRule="auto"/>
              <w:jc w:val="center"/>
              <w:rPr>
                <w:rFonts w:hint="eastAsia" w:ascii="仿宋" w:hAnsi="仿宋" w:eastAsia="仿宋" w:cs="Arial"/>
                <w:szCs w:val="21"/>
                <w:highlight w:val="none"/>
              </w:rPr>
            </w:pPr>
          </w:p>
        </w:tc>
        <w:tc>
          <w:tcPr>
            <w:tcW w:w="2508" w:type="dxa"/>
            <w:vAlign w:val="center"/>
          </w:tcPr>
          <w:p w14:paraId="006FC42A">
            <w:pPr>
              <w:shd w:val="clear" w:color="auto" w:fill="FFFFFF"/>
              <w:snapToGrid w:val="0"/>
              <w:spacing w:line="300" w:lineRule="auto"/>
              <w:jc w:val="center"/>
              <w:rPr>
                <w:rFonts w:hint="eastAsia" w:ascii="仿宋" w:hAnsi="仿宋" w:eastAsia="仿宋" w:cs="Arial"/>
                <w:szCs w:val="21"/>
                <w:highlight w:val="none"/>
              </w:rPr>
            </w:pPr>
          </w:p>
        </w:tc>
        <w:tc>
          <w:tcPr>
            <w:tcW w:w="2505" w:type="dxa"/>
            <w:vAlign w:val="center"/>
          </w:tcPr>
          <w:p w14:paraId="4E96698B">
            <w:pPr>
              <w:shd w:val="clear" w:color="auto" w:fill="FFFFFF"/>
              <w:snapToGrid w:val="0"/>
              <w:spacing w:line="300" w:lineRule="auto"/>
              <w:jc w:val="center"/>
              <w:rPr>
                <w:rFonts w:hint="eastAsia" w:ascii="仿宋" w:hAnsi="仿宋" w:eastAsia="仿宋" w:cs="Arial"/>
                <w:szCs w:val="21"/>
                <w:highlight w:val="none"/>
              </w:rPr>
            </w:pPr>
          </w:p>
        </w:tc>
        <w:tc>
          <w:tcPr>
            <w:tcW w:w="2395" w:type="dxa"/>
            <w:vAlign w:val="center"/>
          </w:tcPr>
          <w:p w14:paraId="724DC2BE">
            <w:pPr>
              <w:shd w:val="clear" w:color="auto" w:fill="FFFFFF"/>
              <w:snapToGrid w:val="0"/>
              <w:spacing w:line="300" w:lineRule="auto"/>
              <w:jc w:val="center"/>
              <w:rPr>
                <w:rFonts w:hint="eastAsia" w:ascii="仿宋" w:hAnsi="仿宋" w:eastAsia="仿宋" w:cs="Arial"/>
                <w:szCs w:val="21"/>
                <w:highlight w:val="none"/>
              </w:rPr>
            </w:pPr>
          </w:p>
        </w:tc>
      </w:tr>
      <w:tr w14:paraId="1542CEC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64" w:hRule="atLeast"/>
        </w:trPr>
        <w:tc>
          <w:tcPr>
            <w:tcW w:w="872" w:type="dxa"/>
            <w:vAlign w:val="center"/>
          </w:tcPr>
          <w:p w14:paraId="0847F8FF">
            <w:pPr>
              <w:shd w:val="clear" w:color="auto" w:fill="FFFFFF"/>
              <w:snapToGrid w:val="0"/>
              <w:spacing w:line="300" w:lineRule="auto"/>
              <w:jc w:val="center"/>
              <w:rPr>
                <w:rFonts w:hint="eastAsia" w:ascii="仿宋" w:hAnsi="仿宋" w:eastAsia="仿宋" w:cs="Arial"/>
                <w:szCs w:val="21"/>
                <w:highlight w:val="none"/>
              </w:rPr>
            </w:pPr>
            <w:r>
              <w:rPr>
                <w:rFonts w:hint="eastAsia" w:ascii="仿宋" w:hAnsi="仿宋" w:eastAsia="仿宋" w:cs="Arial"/>
                <w:szCs w:val="21"/>
                <w:highlight w:val="none"/>
              </w:rPr>
              <w:t>7</w:t>
            </w:r>
          </w:p>
        </w:tc>
        <w:tc>
          <w:tcPr>
            <w:tcW w:w="3897" w:type="dxa"/>
            <w:gridSpan w:val="3"/>
            <w:vAlign w:val="center"/>
          </w:tcPr>
          <w:p w14:paraId="441E1071">
            <w:pPr>
              <w:shd w:val="clear" w:color="auto" w:fill="FFFFFF"/>
              <w:snapToGrid w:val="0"/>
              <w:spacing w:line="300" w:lineRule="auto"/>
              <w:jc w:val="center"/>
              <w:rPr>
                <w:rFonts w:hint="eastAsia" w:ascii="仿宋" w:hAnsi="仿宋" w:eastAsia="仿宋" w:cs="Arial"/>
                <w:szCs w:val="21"/>
                <w:highlight w:val="none"/>
              </w:rPr>
            </w:pPr>
            <w:r>
              <w:rPr>
                <w:rFonts w:hint="eastAsia" w:ascii="仿宋" w:hAnsi="仿宋" w:eastAsia="仿宋" w:cs="Arial"/>
                <w:szCs w:val="21"/>
                <w:highlight w:val="none"/>
              </w:rPr>
              <w:t>其它费用</w:t>
            </w:r>
          </w:p>
        </w:tc>
        <w:tc>
          <w:tcPr>
            <w:tcW w:w="2101" w:type="dxa"/>
            <w:vAlign w:val="center"/>
          </w:tcPr>
          <w:p w14:paraId="1DF364BE">
            <w:pPr>
              <w:shd w:val="clear" w:color="auto" w:fill="FFFFFF"/>
              <w:snapToGrid w:val="0"/>
              <w:spacing w:line="300" w:lineRule="auto"/>
              <w:jc w:val="center"/>
              <w:rPr>
                <w:rFonts w:hint="eastAsia" w:ascii="仿宋" w:hAnsi="仿宋" w:eastAsia="仿宋" w:cs="Arial"/>
                <w:szCs w:val="21"/>
                <w:highlight w:val="none"/>
              </w:rPr>
            </w:pPr>
          </w:p>
        </w:tc>
        <w:tc>
          <w:tcPr>
            <w:tcW w:w="2508" w:type="dxa"/>
            <w:vAlign w:val="center"/>
          </w:tcPr>
          <w:p w14:paraId="2261ADF8">
            <w:pPr>
              <w:shd w:val="clear" w:color="auto" w:fill="FFFFFF"/>
              <w:snapToGrid w:val="0"/>
              <w:spacing w:line="300" w:lineRule="auto"/>
              <w:jc w:val="center"/>
              <w:rPr>
                <w:rFonts w:hint="eastAsia" w:ascii="仿宋" w:hAnsi="仿宋" w:eastAsia="仿宋" w:cs="Arial"/>
                <w:szCs w:val="21"/>
                <w:highlight w:val="none"/>
              </w:rPr>
            </w:pPr>
          </w:p>
        </w:tc>
        <w:tc>
          <w:tcPr>
            <w:tcW w:w="2505" w:type="dxa"/>
            <w:vAlign w:val="center"/>
          </w:tcPr>
          <w:p w14:paraId="220FCE0D">
            <w:pPr>
              <w:shd w:val="clear" w:color="auto" w:fill="FFFFFF"/>
              <w:snapToGrid w:val="0"/>
              <w:spacing w:line="300" w:lineRule="auto"/>
              <w:jc w:val="center"/>
              <w:rPr>
                <w:rFonts w:hint="eastAsia" w:ascii="仿宋" w:hAnsi="仿宋" w:eastAsia="仿宋" w:cs="Arial"/>
                <w:szCs w:val="21"/>
                <w:highlight w:val="none"/>
              </w:rPr>
            </w:pPr>
          </w:p>
        </w:tc>
        <w:tc>
          <w:tcPr>
            <w:tcW w:w="2395" w:type="dxa"/>
            <w:vAlign w:val="center"/>
          </w:tcPr>
          <w:p w14:paraId="3A7660BA">
            <w:pPr>
              <w:shd w:val="clear" w:color="auto" w:fill="FFFFFF"/>
              <w:snapToGrid w:val="0"/>
              <w:spacing w:line="300" w:lineRule="auto"/>
              <w:jc w:val="center"/>
              <w:rPr>
                <w:rFonts w:hint="eastAsia" w:ascii="仿宋" w:hAnsi="仿宋" w:eastAsia="仿宋" w:cs="Arial"/>
                <w:szCs w:val="21"/>
                <w:highlight w:val="none"/>
              </w:rPr>
            </w:pPr>
          </w:p>
        </w:tc>
      </w:tr>
      <w:tr w14:paraId="7075AC4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848" w:hRule="atLeast"/>
        </w:trPr>
        <w:tc>
          <w:tcPr>
            <w:tcW w:w="2169" w:type="dxa"/>
            <w:gridSpan w:val="3"/>
            <w:tcBorders>
              <w:right w:val="single" w:color="auto" w:sz="4" w:space="0"/>
            </w:tcBorders>
            <w:vAlign w:val="center"/>
          </w:tcPr>
          <w:p w14:paraId="172809EB">
            <w:pPr>
              <w:shd w:val="clear" w:color="auto" w:fill="FFFFFF"/>
              <w:snapToGrid w:val="0"/>
              <w:spacing w:line="300" w:lineRule="auto"/>
              <w:jc w:val="left"/>
              <w:rPr>
                <w:rFonts w:hint="eastAsia" w:ascii="仿宋" w:hAnsi="仿宋" w:eastAsia="仿宋" w:cs="Arial"/>
                <w:szCs w:val="21"/>
                <w:highlight w:val="none"/>
              </w:rPr>
            </w:pPr>
            <w:r>
              <w:rPr>
                <w:rFonts w:ascii="仿宋" w:hAnsi="仿宋" w:eastAsia="仿宋" w:cs="Arial"/>
                <w:szCs w:val="21"/>
                <w:highlight w:val="none"/>
              </w:rPr>
              <w:t>总计（结转至开标</w:t>
            </w:r>
            <w:r>
              <w:rPr>
                <w:rFonts w:hint="eastAsia" w:ascii="仿宋" w:hAnsi="仿宋" w:eastAsia="仿宋" w:cs="Arial"/>
                <w:szCs w:val="21"/>
                <w:highlight w:val="none"/>
              </w:rPr>
              <w:t>一</w:t>
            </w:r>
            <w:r>
              <w:rPr>
                <w:rFonts w:ascii="仿宋" w:hAnsi="仿宋" w:eastAsia="仿宋" w:cs="Arial"/>
                <w:szCs w:val="21"/>
                <w:highlight w:val="none"/>
              </w:rPr>
              <w:t>览表）</w:t>
            </w:r>
          </w:p>
        </w:tc>
        <w:tc>
          <w:tcPr>
            <w:tcW w:w="7209" w:type="dxa"/>
            <w:gridSpan w:val="3"/>
            <w:tcBorders>
              <w:left w:val="single" w:color="auto" w:sz="4" w:space="0"/>
              <w:right w:val="single" w:color="auto" w:sz="4" w:space="0"/>
            </w:tcBorders>
            <w:vAlign w:val="center"/>
          </w:tcPr>
          <w:p w14:paraId="2BF50A99">
            <w:pPr>
              <w:shd w:val="clear" w:color="auto" w:fill="FFFFFF"/>
              <w:snapToGrid w:val="0"/>
              <w:spacing w:line="300" w:lineRule="auto"/>
              <w:jc w:val="left"/>
              <w:rPr>
                <w:rFonts w:hint="eastAsia" w:ascii="宋体" w:hAnsi="宋体" w:cs="宋体"/>
                <w:szCs w:val="21"/>
                <w:highlight w:val="none"/>
                <w:u w:val="single"/>
              </w:rPr>
            </w:pPr>
            <w:r>
              <w:rPr>
                <w:rFonts w:hint="eastAsia" w:ascii="仿宋" w:hAnsi="仿宋" w:eastAsia="仿宋" w:cs="Arial"/>
                <w:szCs w:val="21"/>
                <w:highlight w:val="none"/>
              </w:rPr>
              <w:t>大写：</w:t>
            </w:r>
            <w:r>
              <w:rPr>
                <w:rFonts w:hint="eastAsia" w:ascii="宋体" w:hAnsi="宋体" w:cs="宋体"/>
                <w:szCs w:val="21"/>
                <w:highlight w:val="none"/>
                <w:u w:val="single"/>
              </w:rPr>
              <w:t xml:space="preserve">                                                                              </w:t>
            </w:r>
          </w:p>
          <w:p w14:paraId="7CB5FCE3">
            <w:pPr>
              <w:shd w:val="clear" w:color="auto" w:fill="FFFFFF"/>
              <w:snapToGrid w:val="0"/>
              <w:spacing w:line="300" w:lineRule="auto"/>
              <w:jc w:val="left"/>
              <w:rPr>
                <w:rFonts w:hint="eastAsia" w:ascii="宋体" w:hAnsi="宋体" w:cs="宋体"/>
                <w:szCs w:val="21"/>
                <w:highlight w:val="none"/>
              </w:rPr>
            </w:pPr>
            <w:r>
              <w:rPr>
                <w:rFonts w:hint="eastAsia" w:ascii="仿宋" w:hAnsi="仿宋" w:eastAsia="仿宋" w:cs="Arial"/>
                <w:szCs w:val="21"/>
                <w:highlight w:val="none"/>
              </w:rPr>
              <w:t>小写：</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仿宋" w:hAnsi="仿宋" w:eastAsia="仿宋" w:cs="Arial"/>
                <w:szCs w:val="21"/>
                <w:highlight w:val="none"/>
              </w:rPr>
              <w:t>小写：人民币元)</w:t>
            </w:r>
          </w:p>
        </w:tc>
        <w:tc>
          <w:tcPr>
            <w:tcW w:w="4900" w:type="dxa"/>
            <w:gridSpan w:val="2"/>
            <w:tcBorders>
              <w:right w:val="single" w:color="auto" w:sz="4" w:space="0"/>
            </w:tcBorders>
            <w:vAlign w:val="center"/>
          </w:tcPr>
          <w:p w14:paraId="6261B738">
            <w:pPr>
              <w:shd w:val="clear" w:color="auto" w:fill="FFFFFF"/>
              <w:snapToGrid w:val="0"/>
              <w:spacing w:line="300" w:lineRule="auto"/>
              <w:jc w:val="left"/>
              <w:rPr>
                <w:rFonts w:hint="eastAsia" w:ascii="仿宋" w:hAnsi="仿宋" w:eastAsia="仿宋" w:cs="Arial"/>
                <w:szCs w:val="21"/>
                <w:highlight w:val="none"/>
                <w:lang w:val="en-GB"/>
              </w:rPr>
            </w:pPr>
            <w:r>
              <w:rPr>
                <w:rFonts w:hint="eastAsia" w:ascii="仿宋" w:hAnsi="仿宋" w:eastAsia="仿宋" w:cs="Arial"/>
                <w:szCs w:val="21"/>
                <w:highlight w:val="none"/>
                <w:lang w:val="en-GB"/>
              </w:rPr>
              <w:t>服务期限：</w:t>
            </w:r>
          </w:p>
          <w:p w14:paraId="7205EC70">
            <w:pPr>
              <w:shd w:val="clear" w:color="auto" w:fill="FFFFFF"/>
              <w:snapToGrid w:val="0"/>
              <w:spacing w:line="300" w:lineRule="auto"/>
              <w:jc w:val="left"/>
              <w:rPr>
                <w:rFonts w:hint="eastAsia"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tc>
      </w:tr>
    </w:tbl>
    <w:p w14:paraId="2B56FD4B">
      <w:pPr>
        <w:spacing w:line="360" w:lineRule="auto"/>
        <w:ind w:firstLine="482" w:firstLineChars="200"/>
        <w:rPr>
          <w:rFonts w:hint="eastAsia" w:ascii="仿宋" w:hAnsi="仿宋" w:eastAsia="仿宋" w:cs="仿宋_GB2312"/>
          <w:b/>
          <w:kern w:val="0"/>
          <w:sz w:val="24"/>
          <w:highlight w:val="none"/>
          <w:lang w:val="zh-CN"/>
        </w:rPr>
      </w:pPr>
    </w:p>
    <w:p w14:paraId="2C2EF04B">
      <w:pPr>
        <w:spacing w:line="360" w:lineRule="auto"/>
        <w:ind w:firstLine="482" w:firstLineChars="200"/>
        <w:rPr>
          <w:rFonts w:hint="eastAsia" w:ascii="仿宋" w:hAnsi="仿宋" w:eastAsia="仿宋" w:cs="仿宋_GB2312"/>
          <w:b/>
          <w:kern w:val="0"/>
          <w:sz w:val="24"/>
          <w:highlight w:val="none"/>
          <w:lang w:val="zh-CN"/>
        </w:rPr>
      </w:pPr>
    </w:p>
    <w:p w14:paraId="37D45B6C">
      <w:pPr>
        <w:spacing w:line="360" w:lineRule="auto"/>
        <w:ind w:firstLine="482" w:firstLineChars="200"/>
        <w:rPr>
          <w:rFonts w:hint="eastAsia" w:ascii="仿宋" w:hAnsi="仿宋" w:eastAsia="仿宋" w:cs="仿宋_GB2312"/>
          <w:b/>
          <w:kern w:val="0"/>
          <w:sz w:val="24"/>
          <w:highlight w:val="none"/>
          <w:lang w:val="zh-CN"/>
        </w:rPr>
      </w:pPr>
      <w:r>
        <w:rPr>
          <w:rFonts w:hint="eastAsia" w:ascii="仿宋" w:hAnsi="仿宋" w:eastAsia="仿宋" w:cs="仿宋_GB2312"/>
          <w:b/>
          <w:kern w:val="0"/>
          <w:sz w:val="24"/>
          <w:highlight w:val="none"/>
          <w:lang w:val="zh-CN"/>
        </w:rPr>
        <w:t>注：</w:t>
      </w:r>
    </w:p>
    <w:p w14:paraId="683847CE">
      <w:pPr>
        <w:spacing w:line="360" w:lineRule="auto"/>
        <w:ind w:left="-2" w:leftChars="-1"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14:paraId="2A716DCA">
      <w:pPr>
        <w:spacing w:line="360" w:lineRule="auto"/>
        <w:ind w:firstLine="480" w:firstLineChars="200"/>
        <w:rPr>
          <w:rFonts w:hint="eastAsia" w:ascii="宋体" w:hAnsi="宋体" w:cs="宋体"/>
          <w:b/>
          <w:sz w:val="24"/>
          <w:highlight w:val="none"/>
        </w:rPr>
      </w:pPr>
      <w:r>
        <w:rPr>
          <w:rFonts w:hint="eastAsia" w:ascii="宋体" w:hAnsi="宋体" w:cs="宋体"/>
          <w:kern w:val="0"/>
          <w:sz w:val="24"/>
          <w:highlight w:val="none"/>
          <w:lang w:val="zh-CN"/>
        </w:rPr>
        <w:t>2、有关本项目实施所涉及的一切费用均计入报价。总价不为零，报价明细表中部分产品、服务单价为零的，视作已包含在总价中。</w:t>
      </w:r>
      <w:r>
        <w:rPr>
          <w:rFonts w:hint="eastAsia" w:ascii="宋体" w:hAnsi="宋体" w:cs="宋体"/>
          <w:b/>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1227EFCF">
      <w:pPr>
        <w:snapToGrid w:val="0"/>
        <w:spacing w:line="360"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3、特别提示：采购机构将对项目名称和项目编号，中标供应商名称、地址和中标金额，主要中标标的名称、品牌（如果有）、规格型号、数量、单价等予以公示。</w:t>
      </w:r>
    </w:p>
    <w:p w14:paraId="4E6ED9B7">
      <w:pPr>
        <w:snapToGrid w:val="0"/>
        <w:spacing w:line="360" w:lineRule="auto"/>
        <w:ind w:firstLine="480" w:firstLineChars="200"/>
        <w:jc w:val="left"/>
        <w:rPr>
          <w:rFonts w:hint="eastAsia" w:ascii="宋体" w:hAnsi="宋体" w:cs="宋体"/>
          <w:kern w:val="0"/>
          <w:sz w:val="24"/>
          <w:highlight w:val="none"/>
          <w:lang w:val="zh-CN"/>
        </w:rPr>
      </w:pPr>
      <w:r>
        <w:rPr>
          <w:rFonts w:ascii="宋体" w:hAnsi="宋体" w:cs="宋体"/>
          <w:kern w:val="0"/>
          <w:sz w:val="24"/>
          <w:szCs w:val="22"/>
          <w:highlight w:val="none"/>
          <w:lang w:val="zh-CN"/>
        </w:rPr>
        <w:t>4</w:t>
      </w:r>
      <w:r>
        <w:rPr>
          <w:rFonts w:hint="eastAsia" w:ascii="宋体" w:hAnsi="宋体" w:cs="宋体"/>
          <w:kern w:val="0"/>
          <w:sz w:val="24"/>
          <w:szCs w:val="22"/>
          <w:highlight w:val="none"/>
          <w:lang w:val="zh-CN"/>
        </w:rPr>
        <w:t>、</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98C2BC4">
      <w:pPr>
        <w:spacing w:line="360" w:lineRule="auto"/>
        <w:ind w:firstLine="482" w:firstLineChars="200"/>
        <w:rPr>
          <w:rFonts w:hint="eastAsia" w:eastAsia="宋体"/>
          <w:highlight w:val="none"/>
          <w:lang w:eastAsia="zh-CN"/>
        </w:rPr>
      </w:pPr>
      <w:r>
        <w:rPr>
          <w:rFonts w:hint="eastAsia" w:ascii="宋体" w:hAnsi="宋体" w:cs="宋体"/>
          <w:b/>
          <w:sz w:val="24"/>
          <w:highlight w:val="none"/>
        </w:rPr>
        <w:t>5、特别说明：▲供应商报价低于项目预算50%的，应当在报价文件中详细阐述不影响产品质量或者诚信履约的具体原因，否则投标无</w:t>
      </w:r>
      <w:r>
        <w:rPr>
          <w:rFonts w:hint="eastAsia" w:ascii="宋体" w:hAnsi="宋体" w:cs="宋体"/>
          <w:b/>
          <w:sz w:val="24"/>
          <w:highlight w:val="none"/>
          <w:lang w:eastAsia="zh-CN"/>
        </w:rPr>
        <w:t>。</w:t>
      </w:r>
    </w:p>
    <w:p w14:paraId="3F7648AD">
      <w:pPr>
        <w:adjustRightInd w:val="0"/>
        <w:snapToGrid w:val="0"/>
        <w:spacing w:line="500" w:lineRule="exact"/>
        <w:jc w:val="center"/>
        <w:rPr>
          <w:rFonts w:hint="eastAsia" w:ascii="仿宋" w:hAnsi="仿宋" w:eastAsia="仿宋" w:cs="仿宋"/>
          <w:b/>
          <w:sz w:val="28"/>
          <w:szCs w:val="28"/>
          <w:highlight w:val="none"/>
        </w:rPr>
      </w:pPr>
    </w:p>
    <w:p w14:paraId="46D36351">
      <w:pPr>
        <w:snapToGrid w:val="0"/>
        <w:spacing w:line="360" w:lineRule="auto"/>
        <w:ind w:firstLine="480" w:firstLineChars="200"/>
        <w:jc w:val="left"/>
        <w:rPr>
          <w:rFonts w:hint="eastAsia" w:asciiTheme="minorEastAsia" w:hAnsiTheme="minorEastAsia" w:eastAsiaTheme="minorEastAsia" w:cstheme="minorEastAsia"/>
          <w:kern w:val="0"/>
          <w:sz w:val="24"/>
          <w:highlight w:val="none"/>
          <w:lang w:val="zh-CN"/>
        </w:rPr>
      </w:pPr>
    </w:p>
    <w:p w14:paraId="53020E89">
      <w:pPr>
        <w:pStyle w:val="692"/>
        <w:keepNext w:val="0"/>
        <w:pageBreakBefore w:val="0"/>
        <w:tabs>
          <w:tab w:val="clear" w:pos="720"/>
        </w:tabs>
        <w:snapToGrid w:val="0"/>
        <w:spacing w:before="120" w:after="120"/>
        <w:jc w:val="both"/>
        <w:outlineLvl w:val="9"/>
        <w:rPr>
          <w:rFonts w:ascii="宋体" w:hAnsi="宋体" w:eastAsia="宋体" w:cs="宋体"/>
          <w:kern w:val="2"/>
          <w:sz w:val="32"/>
          <w:szCs w:val="32"/>
          <w:highlight w:val="none"/>
        </w:rPr>
        <w:sectPr>
          <w:headerReference r:id="rId28" w:type="first"/>
          <w:footerReference r:id="rId30" w:type="first"/>
          <w:headerReference r:id="rId27" w:type="default"/>
          <w:footerReference r:id="rId29" w:type="default"/>
          <w:pgSz w:w="16838" w:h="11906" w:orient="landscape"/>
          <w:pgMar w:top="1418" w:right="1247" w:bottom="1418" w:left="1276" w:header="851" w:footer="992" w:gutter="0"/>
          <w:cols w:space="720" w:num="1"/>
          <w:titlePg/>
          <w:docGrid w:linePitch="312" w:charSpace="0"/>
        </w:sectPr>
      </w:pPr>
    </w:p>
    <w:p w14:paraId="06D1DBCA">
      <w:pPr>
        <w:pStyle w:val="3"/>
        <w:keepNext w:val="0"/>
        <w:keepLines w:val="0"/>
        <w:pageBreakBefore/>
        <w:widowControl/>
        <w:spacing w:before="100" w:beforeAutospacing="1" w:after="100" w:afterAutospacing="1" w:line="360" w:lineRule="auto"/>
        <w:ind w:left="1290" w:firstLine="3092" w:firstLineChars="700"/>
        <w:rPr>
          <w:rFonts w:ascii="宋体" w:hAnsi="宋体" w:cs="宋体"/>
          <w:highlight w:val="none"/>
        </w:rPr>
      </w:pPr>
      <w:r>
        <w:rPr>
          <w:rFonts w:hint="eastAsia" w:ascii="宋体" w:hAnsi="宋体" w:cs="宋体"/>
          <w:highlight w:val="none"/>
        </w:rPr>
        <w:t>附件</w:t>
      </w:r>
    </w:p>
    <w:p w14:paraId="6D1DBE82">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1EE391EC">
      <w:pPr>
        <w:spacing w:line="360" w:lineRule="auto"/>
        <w:jc w:val="center"/>
        <w:rPr>
          <w:rFonts w:ascii="宋体" w:hAnsi="宋体" w:cs="宋体"/>
          <w:b/>
          <w:spacing w:val="6"/>
          <w:sz w:val="32"/>
          <w:szCs w:val="32"/>
          <w:highlight w:val="none"/>
        </w:rPr>
      </w:pPr>
      <w:bookmarkStart w:id="403" w:name="OLE_LINK13"/>
      <w:bookmarkStart w:id="404" w:name="OLE_LINK14"/>
      <w:r>
        <w:rPr>
          <w:rFonts w:hint="eastAsia" w:ascii="宋体" w:hAnsi="宋体" w:cs="宋体"/>
          <w:b/>
          <w:spacing w:val="6"/>
          <w:sz w:val="32"/>
          <w:szCs w:val="32"/>
          <w:highlight w:val="none"/>
        </w:rPr>
        <w:t>残疾人福利性单位声明函</w:t>
      </w:r>
    </w:p>
    <w:bookmarkEnd w:id="403"/>
    <w:bookmarkEnd w:id="404"/>
    <w:p w14:paraId="139B2C9B">
      <w:pPr>
        <w:spacing w:line="360" w:lineRule="auto"/>
        <w:rPr>
          <w:rFonts w:ascii="宋体" w:hAnsi="宋体" w:cs="宋体"/>
          <w:b/>
          <w:spacing w:val="6"/>
          <w:sz w:val="30"/>
          <w:szCs w:val="30"/>
          <w:highlight w:val="none"/>
        </w:rPr>
      </w:pPr>
    </w:p>
    <w:p w14:paraId="5D487BE9">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w:t>
      </w:r>
      <w:r>
        <w:rPr>
          <w:rFonts w:hint="eastAsia" w:ascii="宋体" w:hAnsi="宋体" w:cs="宋体"/>
          <w:color w:val="auto"/>
          <w:sz w:val="24"/>
          <w:highlight w:val="none"/>
        </w:rPr>
        <w:t>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杭州市上城区小营街道南片6个社区（长明寺巷、金钱巷、茅廊巷、西牌楼、梅花碑、姚园寺巷社区）准物业服务项目</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项目采购活动提供本单位制造的货物（由本单位承担工程/提供服务），或者提供其</w:t>
      </w:r>
      <w:r>
        <w:rPr>
          <w:rFonts w:hint="eastAsia" w:ascii="宋体" w:hAnsi="宋体" w:cs="宋体"/>
          <w:sz w:val="24"/>
          <w:highlight w:val="none"/>
        </w:rPr>
        <w:t>他残疾人福利性单位制造的货物（不包括使用非残疾人福利性单位注册商标的货物）。</w:t>
      </w:r>
    </w:p>
    <w:p w14:paraId="700BA20D">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3D1FEA8F">
      <w:pPr>
        <w:spacing w:line="360" w:lineRule="auto"/>
        <w:ind w:firstLine="480" w:firstLineChars="200"/>
        <w:rPr>
          <w:rFonts w:ascii="宋体" w:hAnsi="宋体" w:cs="宋体"/>
          <w:sz w:val="24"/>
          <w:highlight w:val="none"/>
        </w:rPr>
      </w:pPr>
    </w:p>
    <w:p w14:paraId="3C75DD0D">
      <w:pPr>
        <w:spacing w:line="360" w:lineRule="auto"/>
        <w:ind w:firstLine="480" w:firstLineChars="200"/>
        <w:rPr>
          <w:rFonts w:ascii="宋体" w:hAnsi="宋体" w:cs="宋体"/>
          <w:sz w:val="24"/>
          <w:highlight w:val="none"/>
        </w:rPr>
      </w:pPr>
    </w:p>
    <w:p w14:paraId="3F835B50">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7C770AEE">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5E83D47B">
      <w:pPr>
        <w:spacing w:line="360" w:lineRule="auto"/>
        <w:ind w:firstLine="480" w:firstLineChars="200"/>
        <w:rPr>
          <w:rFonts w:ascii="宋体" w:hAnsi="宋体" w:cs="宋体"/>
          <w:sz w:val="24"/>
          <w:highlight w:val="none"/>
        </w:rPr>
      </w:pPr>
    </w:p>
    <w:p w14:paraId="3882B12D">
      <w:pPr>
        <w:spacing w:line="360" w:lineRule="auto"/>
        <w:ind w:firstLine="420" w:firstLineChars="200"/>
        <w:rPr>
          <w:rFonts w:ascii="宋体" w:hAnsi="宋体" w:cs="宋体"/>
          <w:highlight w:val="none"/>
        </w:rPr>
      </w:pPr>
    </w:p>
    <w:p w14:paraId="11660613">
      <w:pPr>
        <w:spacing w:line="360" w:lineRule="auto"/>
        <w:ind w:firstLine="420" w:firstLineChars="200"/>
        <w:rPr>
          <w:rFonts w:ascii="宋体" w:hAnsi="宋体" w:cs="宋体"/>
          <w:highlight w:val="none"/>
        </w:rPr>
      </w:pPr>
    </w:p>
    <w:p w14:paraId="2DD14872">
      <w:pPr>
        <w:spacing w:line="360" w:lineRule="auto"/>
        <w:ind w:firstLine="420" w:firstLineChars="200"/>
        <w:rPr>
          <w:rFonts w:ascii="宋体" w:hAnsi="宋体" w:cs="宋体"/>
          <w:highlight w:val="none"/>
        </w:rPr>
      </w:pPr>
    </w:p>
    <w:p w14:paraId="6662497C">
      <w:pPr>
        <w:spacing w:line="360" w:lineRule="auto"/>
        <w:ind w:firstLine="420" w:firstLineChars="200"/>
        <w:rPr>
          <w:rFonts w:ascii="宋体" w:hAnsi="宋体" w:cs="宋体"/>
          <w:highlight w:val="none"/>
        </w:rPr>
      </w:pPr>
    </w:p>
    <w:p w14:paraId="6D9D3DC8">
      <w:pPr>
        <w:spacing w:line="360" w:lineRule="auto"/>
        <w:rPr>
          <w:rFonts w:ascii="宋体" w:hAnsi="宋体" w:cs="宋体"/>
          <w:b/>
          <w:sz w:val="24"/>
          <w:highlight w:val="none"/>
        </w:rPr>
      </w:pPr>
    </w:p>
    <w:p w14:paraId="40CA6B61">
      <w:pPr>
        <w:spacing w:line="360" w:lineRule="auto"/>
        <w:rPr>
          <w:rFonts w:ascii="宋体" w:hAnsi="宋体" w:cs="宋体"/>
          <w:b/>
          <w:sz w:val="24"/>
          <w:highlight w:val="none"/>
        </w:rPr>
      </w:pPr>
    </w:p>
    <w:p w14:paraId="001DFD2F">
      <w:pPr>
        <w:spacing w:line="360" w:lineRule="auto"/>
        <w:rPr>
          <w:rFonts w:ascii="宋体" w:hAnsi="宋体" w:cs="宋体"/>
          <w:b/>
          <w:sz w:val="24"/>
          <w:highlight w:val="none"/>
        </w:rPr>
      </w:pPr>
    </w:p>
    <w:p w14:paraId="2D9AEA85">
      <w:pPr>
        <w:spacing w:line="360" w:lineRule="auto"/>
        <w:rPr>
          <w:rFonts w:ascii="宋体" w:hAnsi="宋体" w:cs="宋体"/>
          <w:b/>
          <w:sz w:val="24"/>
          <w:highlight w:val="none"/>
        </w:rPr>
      </w:pPr>
    </w:p>
    <w:p w14:paraId="767722C3">
      <w:pPr>
        <w:spacing w:line="360" w:lineRule="auto"/>
        <w:rPr>
          <w:rFonts w:ascii="宋体" w:hAnsi="宋体" w:cs="宋体"/>
          <w:b/>
          <w:sz w:val="24"/>
          <w:highlight w:val="none"/>
        </w:rPr>
      </w:pPr>
    </w:p>
    <w:p w14:paraId="79E8A272">
      <w:pPr>
        <w:spacing w:line="360" w:lineRule="auto"/>
        <w:rPr>
          <w:rFonts w:ascii="宋体" w:hAnsi="宋体" w:cs="宋体"/>
          <w:b/>
          <w:sz w:val="24"/>
          <w:highlight w:val="none"/>
        </w:rPr>
      </w:pPr>
    </w:p>
    <w:p w14:paraId="35BEE1E1">
      <w:pPr>
        <w:spacing w:line="360" w:lineRule="auto"/>
        <w:rPr>
          <w:rFonts w:ascii="宋体" w:hAnsi="宋体" w:cs="宋体"/>
          <w:b/>
          <w:sz w:val="24"/>
          <w:highlight w:val="none"/>
        </w:rPr>
      </w:pPr>
    </w:p>
    <w:p w14:paraId="5C62AD6D">
      <w:pPr>
        <w:spacing w:line="360" w:lineRule="auto"/>
        <w:rPr>
          <w:rFonts w:ascii="宋体" w:hAnsi="宋体" w:cs="宋体"/>
          <w:b/>
          <w:sz w:val="24"/>
          <w:highlight w:val="none"/>
        </w:rPr>
      </w:pPr>
    </w:p>
    <w:p w14:paraId="3B019E0F">
      <w:pPr>
        <w:spacing w:line="360" w:lineRule="auto"/>
        <w:rPr>
          <w:rFonts w:ascii="宋体" w:hAnsi="宋体" w:cs="宋体"/>
          <w:b/>
          <w:sz w:val="24"/>
          <w:highlight w:val="none"/>
        </w:rPr>
      </w:pPr>
    </w:p>
    <w:p w14:paraId="26673C74">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707A87B7">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3DBCEA72">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73F555F5">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12C8124E">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3BE63D1E">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296C8747">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708A7946">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688C48A3">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6A8F18C4">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31543027">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48C20E2F">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6E2D3D94">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2A54C83F">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1CB3D03C">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19E5B2EA">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71D1B4E3">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1F03C7F6">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6260E505">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194C429D">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40E30357">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64FF16F9">
      <w:pPr>
        <w:snapToGrid w:val="0"/>
        <w:spacing w:line="360" w:lineRule="auto"/>
        <w:rPr>
          <w:rFonts w:ascii="宋体" w:hAnsi="宋体" w:cs="宋体"/>
          <w:sz w:val="24"/>
          <w:highlight w:val="none"/>
        </w:rPr>
      </w:pPr>
      <w:r>
        <w:rPr>
          <w:rFonts w:hint="eastAsia" w:ascii="宋体" w:hAnsi="宋体" w:cs="宋体"/>
          <w:sz w:val="24"/>
          <w:highlight w:val="none"/>
        </w:rPr>
        <w:t>……</w:t>
      </w:r>
    </w:p>
    <w:p w14:paraId="17E779CF">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4CD00BBF">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3D6D3DD7">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0187D5BC">
      <w:pPr>
        <w:spacing w:line="360" w:lineRule="auto"/>
        <w:rPr>
          <w:rFonts w:ascii="宋体" w:hAnsi="宋体" w:cs="宋体"/>
          <w:sz w:val="24"/>
          <w:highlight w:val="none"/>
        </w:rPr>
      </w:pPr>
      <w:r>
        <w:rPr>
          <w:rFonts w:hint="eastAsia" w:ascii="宋体" w:hAnsi="宋体" w:cs="宋体"/>
          <w:sz w:val="24"/>
          <w:highlight w:val="none"/>
        </w:rPr>
        <w:t xml:space="preserve">日期：    </w:t>
      </w:r>
    </w:p>
    <w:p w14:paraId="2AD13616">
      <w:pPr>
        <w:spacing w:line="360" w:lineRule="auto"/>
        <w:jc w:val="center"/>
        <w:rPr>
          <w:rFonts w:ascii="宋体" w:hAnsi="宋体" w:cs="宋体"/>
          <w:b/>
          <w:bCs/>
          <w:sz w:val="24"/>
          <w:highlight w:val="none"/>
        </w:rPr>
      </w:pPr>
    </w:p>
    <w:p w14:paraId="6C9A35CE">
      <w:pPr>
        <w:spacing w:line="360" w:lineRule="auto"/>
        <w:rPr>
          <w:rFonts w:ascii="宋体" w:hAnsi="宋体" w:cs="宋体"/>
          <w:b/>
          <w:sz w:val="24"/>
          <w:highlight w:val="none"/>
        </w:rPr>
      </w:pPr>
    </w:p>
    <w:p w14:paraId="6BD89053">
      <w:pPr>
        <w:spacing w:line="360" w:lineRule="auto"/>
        <w:rPr>
          <w:rFonts w:ascii="宋体" w:hAnsi="宋体" w:cs="宋体"/>
          <w:b/>
          <w:sz w:val="24"/>
          <w:highlight w:val="none"/>
        </w:rPr>
      </w:pPr>
    </w:p>
    <w:p w14:paraId="1AC07DB2">
      <w:pPr>
        <w:spacing w:line="360" w:lineRule="auto"/>
        <w:rPr>
          <w:rFonts w:ascii="宋体" w:hAnsi="宋体" w:cs="宋体"/>
          <w:b/>
          <w:sz w:val="24"/>
          <w:highlight w:val="none"/>
        </w:rPr>
      </w:pPr>
    </w:p>
    <w:p w14:paraId="3308644B">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61A5DA4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7F0FEE6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0FD0D31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0ABFD5A4">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3AD0D81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320AF51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645A56E2">
      <w:pPr>
        <w:widowControl/>
        <w:spacing w:line="360" w:lineRule="auto"/>
        <w:ind w:firstLine="600" w:firstLineChars="200"/>
        <w:jc w:val="left"/>
        <w:rPr>
          <w:rFonts w:ascii="宋体" w:hAnsi="宋体" w:cs="宋体"/>
          <w:sz w:val="30"/>
          <w:szCs w:val="30"/>
          <w:highlight w:val="none"/>
        </w:rPr>
      </w:pPr>
    </w:p>
    <w:p w14:paraId="5F242484">
      <w:pPr>
        <w:spacing w:line="360" w:lineRule="auto"/>
        <w:jc w:val="center"/>
        <w:rPr>
          <w:rFonts w:ascii="宋体" w:hAnsi="宋体" w:cs="宋体"/>
          <w:b/>
          <w:spacing w:val="6"/>
          <w:sz w:val="32"/>
          <w:szCs w:val="32"/>
          <w:highlight w:val="none"/>
        </w:rPr>
      </w:pPr>
    </w:p>
    <w:p w14:paraId="37837C55">
      <w:pPr>
        <w:spacing w:line="360" w:lineRule="auto"/>
        <w:jc w:val="center"/>
        <w:rPr>
          <w:rFonts w:ascii="宋体" w:hAnsi="宋体" w:cs="宋体"/>
          <w:b/>
          <w:spacing w:val="6"/>
          <w:sz w:val="32"/>
          <w:szCs w:val="32"/>
          <w:highlight w:val="none"/>
        </w:rPr>
      </w:pPr>
    </w:p>
    <w:p w14:paraId="6E4DF0E4">
      <w:pPr>
        <w:spacing w:line="360" w:lineRule="auto"/>
        <w:jc w:val="center"/>
        <w:rPr>
          <w:rFonts w:ascii="宋体" w:hAnsi="宋体" w:cs="宋体"/>
          <w:b/>
          <w:spacing w:val="6"/>
          <w:sz w:val="32"/>
          <w:szCs w:val="32"/>
          <w:highlight w:val="none"/>
        </w:rPr>
      </w:pPr>
    </w:p>
    <w:p w14:paraId="4C00770F">
      <w:pPr>
        <w:spacing w:line="360" w:lineRule="auto"/>
        <w:jc w:val="center"/>
        <w:rPr>
          <w:rFonts w:ascii="宋体" w:hAnsi="宋体" w:cs="宋体"/>
          <w:b/>
          <w:spacing w:val="6"/>
          <w:sz w:val="32"/>
          <w:szCs w:val="32"/>
          <w:highlight w:val="none"/>
        </w:rPr>
      </w:pPr>
    </w:p>
    <w:p w14:paraId="40CF9FB4">
      <w:pPr>
        <w:spacing w:line="360" w:lineRule="auto"/>
        <w:jc w:val="center"/>
        <w:rPr>
          <w:rFonts w:ascii="宋体" w:hAnsi="宋体" w:cs="宋体"/>
          <w:b/>
          <w:spacing w:val="6"/>
          <w:sz w:val="32"/>
          <w:szCs w:val="32"/>
          <w:highlight w:val="none"/>
        </w:rPr>
      </w:pPr>
    </w:p>
    <w:p w14:paraId="49D05C05">
      <w:pPr>
        <w:spacing w:line="360" w:lineRule="auto"/>
        <w:jc w:val="center"/>
        <w:rPr>
          <w:rFonts w:ascii="宋体" w:hAnsi="宋体" w:cs="宋体"/>
          <w:b/>
          <w:spacing w:val="6"/>
          <w:sz w:val="32"/>
          <w:szCs w:val="32"/>
          <w:highlight w:val="none"/>
        </w:rPr>
      </w:pPr>
    </w:p>
    <w:p w14:paraId="299CDA2F">
      <w:pPr>
        <w:spacing w:line="360" w:lineRule="auto"/>
        <w:jc w:val="center"/>
        <w:rPr>
          <w:rFonts w:ascii="宋体" w:hAnsi="宋体" w:cs="宋体"/>
          <w:b/>
          <w:spacing w:val="6"/>
          <w:sz w:val="32"/>
          <w:szCs w:val="32"/>
          <w:highlight w:val="none"/>
        </w:rPr>
      </w:pPr>
    </w:p>
    <w:p w14:paraId="148B24FC">
      <w:pPr>
        <w:spacing w:line="360" w:lineRule="auto"/>
        <w:jc w:val="center"/>
        <w:rPr>
          <w:rFonts w:ascii="宋体" w:hAnsi="宋体" w:cs="宋体"/>
          <w:b/>
          <w:spacing w:val="6"/>
          <w:sz w:val="32"/>
          <w:szCs w:val="32"/>
          <w:highlight w:val="none"/>
        </w:rPr>
      </w:pPr>
    </w:p>
    <w:p w14:paraId="3C50354C">
      <w:pPr>
        <w:spacing w:line="360" w:lineRule="auto"/>
        <w:jc w:val="center"/>
        <w:rPr>
          <w:rFonts w:ascii="宋体" w:hAnsi="宋体" w:cs="宋体"/>
          <w:b/>
          <w:spacing w:val="6"/>
          <w:sz w:val="32"/>
          <w:szCs w:val="32"/>
          <w:highlight w:val="none"/>
        </w:rPr>
      </w:pPr>
    </w:p>
    <w:p w14:paraId="0B4DBC07">
      <w:pPr>
        <w:spacing w:line="360" w:lineRule="auto"/>
        <w:jc w:val="center"/>
        <w:rPr>
          <w:rFonts w:ascii="宋体" w:hAnsi="宋体" w:cs="宋体"/>
          <w:b/>
          <w:spacing w:val="6"/>
          <w:sz w:val="32"/>
          <w:szCs w:val="32"/>
          <w:highlight w:val="none"/>
        </w:rPr>
      </w:pPr>
    </w:p>
    <w:p w14:paraId="7363A977">
      <w:pPr>
        <w:spacing w:line="360" w:lineRule="auto"/>
        <w:jc w:val="center"/>
        <w:rPr>
          <w:rFonts w:ascii="宋体" w:hAnsi="宋体" w:cs="宋体"/>
          <w:b/>
          <w:spacing w:val="6"/>
          <w:sz w:val="32"/>
          <w:szCs w:val="32"/>
          <w:highlight w:val="none"/>
        </w:rPr>
      </w:pPr>
    </w:p>
    <w:p w14:paraId="48CEBE0D">
      <w:pPr>
        <w:spacing w:line="360" w:lineRule="auto"/>
        <w:jc w:val="center"/>
        <w:rPr>
          <w:rFonts w:ascii="宋体" w:hAnsi="宋体" w:cs="宋体"/>
          <w:b/>
          <w:spacing w:val="6"/>
          <w:sz w:val="32"/>
          <w:szCs w:val="32"/>
          <w:highlight w:val="none"/>
        </w:rPr>
      </w:pPr>
    </w:p>
    <w:p w14:paraId="1BE03425">
      <w:pPr>
        <w:spacing w:line="360" w:lineRule="auto"/>
        <w:jc w:val="left"/>
        <w:rPr>
          <w:rFonts w:ascii="宋体" w:hAnsi="宋体" w:cs="宋体"/>
          <w:b/>
          <w:spacing w:val="6"/>
          <w:sz w:val="32"/>
          <w:szCs w:val="32"/>
          <w:highlight w:val="none"/>
        </w:rPr>
      </w:pPr>
    </w:p>
    <w:p w14:paraId="725391D0">
      <w:pPr>
        <w:spacing w:line="360" w:lineRule="auto"/>
        <w:jc w:val="left"/>
        <w:rPr>
          <w:rFonts w:ascii="宋体" w:hAnsi="宋体" w:cs="宋体"/>
          <w:b/>
          <w:spacing w:val="6"/>
          <w:sz w:val="32"/>
          <w:szCs w:val="32"/>
          <w:highlight w:val="none"/>
        </w:rPr>
      </w:pPr>
    </w:p>
    <w:p w14:paraId="6EAA3157">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60A27CF8">
      <w:pPr>
        <w:spacing w:line="360" w:lineRule="auto"/>
        <w:jc w:val="center"/>
        <w:rPr>
          <w:rFonts w:ascii="宋体" w:hAnsi="宋体" w:cs="宋体"/>
          <w:b/>
          <w:sz w:val="24"/>
          <w:highlight w:val="none"/>
        </w:rPr>
      </w:pPr>
    </w:p>
    <w:p w14:paraId="12DA204D">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371AEF06">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63B86396">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1AAA4C5C">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F11C82C">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9C2FF16">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414D1DCD">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1B351E2D">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73C9C315">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5069C5E">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422EF01">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2FD03DC">
      <w:pPr>
        <w:spacing w:line="360" w:lineRule="auto"/>
        <w:rPr>
          <w:rFonts w:ascii="宋体" w:hAnsi="宋体" w:cs="宋体"/>
          <w:sz w:val="24"/>
          <w:highlight w:val="none"/>
        </w:rPr>
      </w:pPr>
      <w:r>
        <w:rPr>
          <w:rFonts w:hint="eastAsia" w:ascii="宋体" w:hAnsi="宋体" w:cs="宋体"/>
          <w:sz w:val="24"/>
          <w:highlight w:val="none"/>
        </w:rPr>
        <w:t>被投诉人2</w:t>
      </w:r>
    </w:p>
    <w:p w14:paraId="6B7E0776">
      <w:pPr>
        <w:spacing w:line="360" w:lineRule="auto"/>
        <w:rPr>
          <w:rFonts w:ascii="宋体" w:hAnsi="宋体" w:cs="宋体"/>
          <w:sz w:val="24"/>
          <w:highlight w:val="none"/>
          <w:u w:val="dotted"/>
        </w:rPr>
      </w:pPr>
      <w:r>
        <w:rPr>
          <w:rFonts w:hint="eastAsia" w:ascii="宋体" w:hAnsi="宋体" w:cs="宋体"/>
          <w:sz w:val="24"/>
          <w:highlight w:val="none"/>
        </w:rPr>
        <w:t>……</w:t>
      </w:r>
    </w:p>
    <w:p w14:paraId="1FD4FE10">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C3A71CC">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C11A1DD">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A5DDFC9">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3426D037">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57B13001">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1F8FC55D">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6F2FDF5">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27B41963">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51726BAD">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134560F9">
      <w:pPr>
        <w:spacing w:line="360" w:lineRule="auto"/>
        <w:rPr>
          <w:rFonts w:ascii="宋体" w:hAnsi="宋体" w:cs="宋体"/>
          <w:sz w:val="24"/>
          <w:highlight w:val="none"/>
        </w:rPr>
      </w:pPr>
      <w:r>
        <w:rPr>
          <w:rFonts w:hint="eastAsia" w:ascii="宋体" w:hAnsi="宋体" w:cs="宋体"/>
          <w:sz w:val="24"/>
          <w:highlight w:val="none"/>
        </w:rPr>
        <w:t>三、质疑基本情况</w:t>
      </w:r>
    </w:p>
    <w:p w14:paraId="66047098">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5FFA3BB3">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02A2A7F5">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7FCC9501">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129F6566">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3EA7ECE8">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67ABF796">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76EBABFE">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7CBFFB91">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5AF2ECDD">
      <w:pPr>
        <w:spacing w:line="360" w:lineRule="auto"/>
        <w:rPr>
          <w:rFonts w:ascii="宋体" w:hAnsi="宋体" w:cs="宋体"/>
          <w:sz w:val="24"/>
          <w:highlight w:val="none"/>
        </w:rPr>
      </w:pPr>
      <w:r>
        <w:rPr>
          <w:rFonts w:hint="eastAsia" w:ascii="宋体" w:hAnsi="宋体" w:cs="宋体"/>
          <w:sz w:val="24"/>
          <w:highlight w:val="none"/>
        </w:rPr>
        <w:t>投诉事项2</w:t>
      </w:r>
    </w:p>
    <w:p w14:paraId="7B539F45">
      <w:pPr>
        <w:spacing w:line="360" w:lineRule="auto"/>
        <w:rPr>
          <w:rFonts w:ascii="宋体" w:hAnsi="宋体" w:cs="宋体"/>
          <w:sz w:val="24"/>
          <w:highlight w:val="none"/>
          <w:u w:val="dotted"/>
        </w:rPr>
      </w:pPr>
      <w:r>
        <w:rPr>
          <w:rFonts w:hint="eastAsia" w:ascii="宋体" w:hAnsi="宋体" w:cs="宋体"/>
          <w:sz w:val="24"/>
          <w:highlight w:val="none"/>
        </w:rPr>
        <w:t>……</w:t>
      </w:r>
    </w:p>
    <w:p w14:paraId="3943C10D">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5DFE3ED4">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015525EA">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1B999FB5">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69917308">
      <w:pPr>
        <w:spacing w:line="360" w:lineRule="auto"/>
        <w:rPr>
          <w:rFonts w:ascii="宋体" w:hAnsi="宋体" w:cs="宋体"/>
          <w:sz w:val="24"/>
          <w:highlight w:val="none"/>
        </w:rPr>
      </w:pPr>
      <w:r>
        <w:rPr>
          <w:rFonts w:hint="eastAsia" w:ascii="宋体" w:hAnsi="宋体" w:cs="宋体"/>
          <w:sz w:val="24"/>
          <w:highlight w:val="none"/>
        </w:rPr>
        <w:t xml:space="preserve">日期：    </w:t>
      </w:r>
    </w:p>
    <w:p w14:paraId="57514C5B">
      <w:pPr>
        <w:spacing w:line="360" w:lineRule="auto"/>
        <w:rPr>
          <w:rFonts w:ascii="宋体" w:hAnsi="宋体" w:cs="宋体"/>
          <w:b/>
          <w:sz w:val="24"/>
          <w:highlight w:val="none"/>
        </w:rPr>
      </w:pPr>
    </w:p>
    <w:p w14:paraId="627897D0">
      <w:pPr>
        <w:spacing w:line="360" w:lineRule="auto"/>
        <w:rPr>
          <w:rFonts w:ascii="宋体" w:hAnsi="宋体" w:cs="宋体"/>
          <w:b/>
          <w:sz w:val="24"/>
          <w:highlight w:val="none"/>
        </w:rPr>
      </w:pPr>
    </w:p>
    <w:p w14:paraId="25063B7C">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50140990">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06E48AB8">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4D95873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10A7180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01B6BE5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711EDEA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60FA1C8C">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76A334A9">
      <w:pPr>
        <w:spacing w:line="360" w:lineRule="auto"/>
        <w:rPr>
          <w:rFonts w:ascii="宋体" w:hAnsi="宋体" w:cs="宋体"/>
          <w:b/>
          <w:sz w:val="24"/>
          <w:highlight w:val="none"/>
        </w:rPr>
      </w:pPr>
    </w:p>
    <w:p w14:paraId="552CEBBA">
      <w:pPr>
        <w:autoSpaceDE w:val="0"/>
        <w:autoSpaceDN w:val="0"/>
        <w:jc w:val="center"/>
        <w:rPr>
          <w:rFonts w:ascii="宋体" w:hAnsi="宋体" w:cs="宋体"/>
          <w:b/>
          <w:spacing w:val="6"/>
          <w:sz w:val="32"/>
          <w:szCs w:val="32"/>
          <w:highlight w:val="none"/>
        </w:rPr>
      </w:pPr>
    </w:p>
    <w:p w14:paraId="3B694C8B">
      <w:pPr>
        <w:autoSpaceDE w:val="0"/>
        <w:autoSpaceDN w:val="0"/>
        <w:jc w:val="center"/>
        <w:rPr>
          <w:rFonts w:ascii="宋体" w:hAnsi="宋体" w:cs="宋体"/>
          <w:b/>
          <w:spacing w:val="6"/>
          <w:sz w:val="32"/>
          <w:szCs w:val="32"/>
          <w:highlight w:val="none"/>
        </w:rPr>
      </w:pPr>
    </w:p>
    <w:p w14:paraId="6F73D492">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526021C7">
      <w:pPr>
        <w:spacing w:line="360" w:lineRule="auto"/>
        <w:rPr>
          <w:rFonts w:ascii="宋体" w:hAnsi="宋体" w:cs="宋体"/>
          <w:sz w:val="24"/>
          <w:highlight w:val="none"/>
          <w:u w:val="single"/>
        </w:rPr>
      </w:pPr>
    </w:p>
    <w:p w14:paraId="34BD96E2">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杭州市上城区人民政府小营街道办事处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杭州市公共资源交易中心上城分中心</w:t>
      </w:r>
      <w:r>
        <w:rPr>
          <w:rFonts w:hint="eastAsia" w:ascii="宋体" w:hAnsi="宋体" w:cs="宋体"/>
          <w:color w:val="auto"/>
          <w:sz w:val="24"/>
          <w:highlight w:val="none"/>
          <w:u w:val="single"/>
        </w:rPr>
        <w:t>：</w:t>
      </w:r>
    </w:p>
    <w:p w14:paraId="5F135ECC">
      <w:pPr>
        <w:spacing w:line="360" w:lineRule="auto"/>
        <w:ind w:firstLine="480" w:firstLineChars="200"/>
        <w:rPr>
          <w:rFonts w:ascii="宋体" w:hAnsi="宋体" w:cs="宋体"/>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杭州市上城区小营街道南片6个社区（长明寺巷、金钱巷、茅廊巷、西牌楼、梅花碑、姚园寺巷社区）准物业服务项目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SCCG2025-GK-03</w:t>
      </w:r>
      <w:r>
        <w:rPr>
          <w:rFonts w:hint="eastAsia" w:ascii="宋体" w:hAnsi="宋体" w:cs="宋体"/>
          <w:color w:val="auto"/>
          <w:sz w:val="24"/>
          <w:highlight w:val="none"/>
        </w:rPr>
        <w:t>】</w:t>
      </w:r>
      <w:r>
        <w:rPr>
          <w:rFonts w:hint="eastAsia" w:ascii="宋体" w:hAnsi="宋体" w:cs="宋体"/>
          <w:bCs/>
          <w:color w:val="auto"/>
          <w:sz w:val="24"/>
          <w:highlight w:val="none"/>
        </w:rPr>
        <w:t>投标活动</w:t>
      </w:r>
      <w:r>
        <w:rPr>
          <w:rFonts w:hint="eastAsia" w:ascii="宋体" w:hAnsi="宋体" w:cs="宋体"/>
          <w:bCs/>
          <w:sz w:val="24"/>
          <w:highlight w:val="none"/>
        </w:rPr>
        <w:t>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724F0E2A">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365F81C1">
      <w:pPr>
        <w:spacing w:line="360" w:lineRule="auto"/>
        <w:ind w:firstLine="494"/>
        <w:rPr>
          <w:rFonts w:ascii="宋体" w:hAnsi="宋体" w:cs="宋体"/>
          <w:sz w:val="24"/>
          <w:highlight w:val="none"/>
        </w:rPr>
      </w:pPr>
    </w:p>
    <w:p w14:paraId="5F4B364C">
      <w:pPr>
        <w:spacing w:line="360" w:lineRule="auto"/>
        <w:ind w:firstLine="494"/>
        <w:rPr>
          <w:rFonts w:ascii="宋体" w:hAnsi="宋体" w:cs="宋体"/>
          <w:sz w:val="24"/>
          <w:highlight w:val="none"/>
        </w:rPr>
      </w:pPr>
    </w:p>
    <w:p w14:paraId="17F39C60">
      <w:pPr>
        <w:spacing w:line="360" w:lineRule="auto"/>
        <w:ind w:firstLine="494"/>
        <w:rPr>
          <w:rFonts w:ascii="宋体" w:hAnsi="宋体" w:cs="宋体"/>
          <w:sz w:val="24"/>
          <w:highlight w:val="none"/>
        </w:rPr>
      </w:pPr>
    </w:p>
    <w:p w14:paraId="3A161A93">
      <w:pPr>
        <w:spacing w:line="360" w:lineRule="auto"/>
        <w:ind w:firstLine="494"/>
        <w:rPr>
          <w:rFonts w:ascii="宋体" w:hAnsi="宋体" w:cs="宋体"/>
          <w:sz w:val="24"/>
          <w:highlight w:val="none"/>
        </w:rPr>
      </w:pPr>
    </w:p>
    <w:p w14:paraId="77460670">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66D92867">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7B3822A5">
      <w:pPr>
        <w:rPr>
          <w:rFonts w:ascii="宋体" w:hAnsi="宋体" w:cs="宋体"/>
          <w:sz w:val="24"/>
          <w:highlight w:val="none"/>
        </w:rPr>
      </w:pPr>
      <w:r>
        <w:rPr>
          <w:rFonts w:hint="eastAsia" w:ascii="宋体" w:hAnsi="宋体" w:cs="宋体"/>
          <w:b/>
          <w:bCs/>
          <w:sz w:val="24"/>
          <w:highlight w:val="none"/>
        </w:rPr>
        <w:t>附：</w:t>
      </w:r>
    </w:p>
    <w:p w14:paraId="743FF2A0">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14:paraId="7DC19479">
      <w:pPr>
        <w:autoSpaceDE w:val="0"/>
        <w:autoSpaceDN w:val="0"/>
        <w:jc w:val="center"/>
        <w:rPr>
          <w:rFonts w:ascii="宋体" w:hAnsi="宋体" w:cs="宋体"/>
          <w:b/>
          <w:spacing w:val="6"/>
          <w:sz w:val="32"/>
          <w:szCs w:val="32"/>
          <w:highlight w:val="none"/>
        </w:rPr>
      </w:pPr>
    </w:p>
    <w:p w14:paraId="3F877177">
      <w:pPr>
        <w:autoSpaceDE w:val="0"/>
        <w:autoSpaceDN w:val="0"/>
        <w:jc w:val="center"/>
        <w:rPr>
          <w:rFonts w:ascii="宋体" w:hAnsi="宋体" w:cs="宋体"/>
          <w:b/>
          <w:spacing w:val="6"/>
          <w:sz w:val="32"/>
          <w:szCs w:val="32"/>
          <w:highlight w:val="none"/>
        </w:rPr>
      </w:pPr>
    </w:p>
    <w:p w14:paraId="0D0C91A5">
      <w:pPr>
        <w:autoSpaceDE w:val="0"/>
        <w:autoSpaceDN w:val="0"/>
        <w:jc w:val="center"/>
        <w:rPr>
          <w:rFonts w:ascii="宋体" w:hAnsi="宋体" w:cs="宋体"/>
          <w:b/>
          <w:spacing w:val="6"/>
          <w:sz w:val="32"/>
          <w:szCs w:val="32"/>
          <w:highlight w:val="none"/>
        </w:rPr>
      </w:pPr>
    </w:p>
    <w:p w14:paraId="097A3964">
      <w:pPr>
        <w:autoSpaceDE w:val="0"/>
        <w:autoSpaceDN w:val="0"/>
        <w:jc w:val="center"/>
        <w:rPr>
          <w:rFonts w:ascii="宋体" w:hAnsi="宋体" w:cs="宋体"/>
          <w:b/>
          <w:spacing w:val="6"/>
          <w:sz w:val="32"/>
          <w:szCs w:val="32"/>
          <w:highlight w:val="none"/>
        </w:rPr>
      </w:pPr>
    </w:p>
    <w:p w14:paraId="3D827788">
      <w:pPr>
        <w:autoSpaceDE w:val="0"/>
        <w:autoSpaceDN w:val="0"/>
        <w:jc w:val="center"/>
        <w:rPr>
          <w:rFonts w:ascii="宋体" w:hAnsi="宋体" w:cs="宋体"/>
          <w:b/>
          <w:spacing w:val="6"/>
          <w:sz w:val="32"/>
          <w:szCs w:val="32"/>
          <w:highlight w:val="none"/>
        </w:rPr>
      </w:pPr>
    </w:p>
    <w:p w14:paraId="5F0F100C">
      <w:pPr>
        <w:autoSpaceDE w:val="0"/>
        <w:autoSpaceDN w:val="0"/>
        <w:jc w:val="center"/>
        <w:rPr>
          <w:rFonts w:ascii="宋体" w:hAnsi="宋体" w:cs="宋体"/>
          <w:b/>
          <w:spacing w:val="6"/>
          <w:sz w:val="32"/>
          <w:szCs w:val="32"/>
          <w:highlight w:val="none"/>
        </w:rPr>
      </w:pPr>
    </w:p>
    <w:p w14:paraId="736079DE">
      <w:pPr>
        <w:autoSpaceDE w:val="0"/>
        <w:autoSpaceDN w:val="0"/>
        <w:jc w:val="center"/>
        <w:rPr>
          <w:rFonts w:ascii="宋体" w:hAnsi="宋体" w:cs="宋体"/>
          <w:b/>
          <w:spacing w:val="6"/>
          <w:sz w:val="32"/>
          <w:szCs w:val="32"/>
          <w:highlight w:val="none"/>
        </w:rPr>
      </w:pPr>
    </w:p>
    <w:p w14:paraId="492C4521">
      <w:pPr>
        <w:autoSpaceDE w:val="0"/>
        <w:autoSpaceDN w:val="0"/>
        <w:jc w:val="center"/>
        <w:rPr>
          <w:rFonts w:ascii="宋体" w:hAnsi="宋体" w:cs="宋体"/>
          <w:b/>
          <w:spacing w:val="6"/>
          <w:sz w:val="32"/>
          <w:szCs w:val="32"/>
          <w:highlight w:val="none"/>
        </w:rPr>
      </w:pPr>
    </w:p>
    <w:p w14:paraId="5087074B">
      <w:pPr>
        <w:autoSpaceDE w:val="0"/>
        <w:autoSpaceDN w:val="0"/>
        <w:jc w:val="center"/>
        <w:rPr>
          <w:rFonts w:ascii="宋体" w:hAnsi="宋体" w:cs="宋体"/>
          <w:b/>
          <w:spacing w:val="6"/>
          <w:sz w:val="32"/>
          <w:szCs w:val="32"/>
          <w:highlight w:val="none"/>
        </w:rPr>
      </w:pPr>
    </w:p>
    <w:p w14:paraId="6D04E4D7">
      <w:pPr>
        <w:autoSpaceDE w:val="0"/>
        <w:autoSpaceDN w:val="0"/>
        <w:jc w:val="center"/>
        <w:rPr>
          <w:rFonts w:ascii="宋体" w:hAnsi="宋体" w:cs="宋体"/>
          <w:b/>
          <w:spacing w:val="6"/>
          <w:sz w:val="32"/>
          <w:szCs w:val="32"/>
          <w:highlight w:val="none"/>
        </w:rPr>
      </w:pPr>
    </w:p>
    <w:p w14:paraId="6785A8B6">
      <w:pPr>
        <w:autoSpaceDE w:val="0"/>
        <w:autoSpaceDN w:val="0"/>
        <w:jc w:val="center"/>
        <w:rPr>
          <w:rFonts w:ascii="宋体" w:hAnsi="宋体" w:cs="宋体"/>
          <w:b/>
          <w:spacing w:val="6"/>
          <w:sz w:val="32"/>
          <w:szCs w:val="32"/>
          <w:highlight w:val="none"/>
        </w:rPr>
      </w:pPr>
    </w:p>
    <w:p w14:paraId="4D707E4A">
      <w:pPr>
        <w:autoSpaceDE w:val="0"/>
        <w:autoSpaceDN w:val="0"/>
        <w:jc w:val="center"/>
        <w:rPr>
          <w:rFonts w:ascii="宋体" w:hAnsi="宋体" w:cs="宋体"/>
          <w:b/>
          <w:spacing w:val="6"/>
          <w:sz w:val="32"/>
          <w:szCs w:val="32"/>
          <w:highlight w:val="none"/>
        </w:rPr>
      </w:pPr>
    </w:p>
    <w:p w14:paraId="5EA9AE79">
      <w:pPr>
        <w:autoSpaceDE w:val="0"/>
        <w:autoSpaceDN w:val="0"/>
        <w:jc w:val="center"/>
        <w:rPr>
          <w:rFonts w:ascii="宋体" w:hAnsi="宋体" w:cs="宋体"/>
          <w:b/>
          <w:spacing w:val="6"/>
          <w:sz w:val="32"/>
          <w:szCs w:val="32"/>
          <w:highlight w:val="none"/>
        </w:rPr>
      </w:pPr>
    </w:p>
    <w:p w14:paraId="7FD883B7">
      <w:pPr>
        <w:autoSpaceDE w:val="0"/>
        <w:autoSpaceDN w:val="0"/>
        <w:jc w:val="center"/>
        <w:rPr>
          <w:rFonts w:ascii="宋体" w:hAnsi="宋体" w:cs="宋体"/>
          <w:b/>
          <w:spacing w:val="6"/>
          <w:sz w:val="32"/>
          <w:szCs w:val="32"/>
          <w:highlight w:val="none"/>
        </w:rPr>
      </w:pPr>
    </w:p>
    <w:p w14:paraId="44719B9D">
      <w:pPr>
        <w:autoSpaceDE w:val="0"/>
        <w:autoSpaceDN w:val="0"/>
        <w:jc w:val="center"/>
        <w:rPr>
          <w:rFonts w:ascii="宋体" w:hAnsi="宋体" w:cs="宋体"/>
          <w:b/>
          <w:spacing w:val="6"/>
          <w:sz w:val="32"/>
          <w:szCs w:val="32"/>
          <w:highlight w:val="none"/>
        </w:rPr>
      </w:pPr>
    </w:p>
    <w:p w14:paraId="37F4109E">
      <w:pPr>
        <w:autoSpaceDE w:val="0"/>
        <w:autoSpaceDN w:val="0"/>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14:paraId="450CC364">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1D177E3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杭州市上城区小营街道南片6个社区（长明寺巷、金钱巷、茅廊巷、西牌楼、梅花碑、姚园寺巷社区）准物业服务项目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SCCG2025-GK-03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7A849BF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79262FE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授权代表根据招标文件规定及投标内容而对采购人、采购代理机构所作的任何合法承诺，包括书面澄清及相应等均对联合投标各方产生约束力。</w:t>
      </w:r>
    </w:p>
    <w:p w14:paraId="50516BF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6AB2AC1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4C87E31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5761276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14:paraId="38DFE56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2B74C817">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405"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405"/>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406" w:name="_Hlk101133598"/>
      <w:r>
        <w:rPr>
          <w:rFonts w:hint="eastAsia" w:ascii="宋体" w:hAnsi="宋体" w:cs="宋体"/>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406"/>
      <w:r>
        <w:rPr>
          <w:rFonts w:hint="eastAsia" w:ascii="宋体" w:hAnsi="宋体" w:cs="宋体"/>
          <w:b/>
          <w:kern w:val="0"/>
          <w:sz w:val="24"/>
          <w:highlight w:val="none"/>
          <w:lang w:val="zh-CN"/>
        </w:rPr>
        <w:t>）</w:t>
      </w:r>
    </w:p>
    <w:p w14:paraId="12F3F54D">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407"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407"/>
    </w:p>
    <w:p w14:paraId="70A0079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5B848FA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2F14DDF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2B07EA6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5412C02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1DBEAB55">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7974E0B3">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5CECCB22">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7BCED2A3">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401EE018">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1D8969C">
      <w:pPr>
        <w:autoSpaceDE w:val="0"/>
        <w:autoSpaceDN w:val="0"/>
        <w:jc w:val="center"/>
        <w:rPr>
          <w:rFonts w:ascii="宋体" w:hAnsi="宋体" w:cs="宋体"/>
          <w:b/>
          <w:spacing w:val="6"/>
          <w:sz w:val="32"/>
          <w:szCs w:val="32"/>
          <w:highlight w:val="none"/>
        </w:rPr>
      </w:pPr>
    </w:p>
    <w:p w14:paraId="4ED1E4D8">
      <w:pPr>
        <w:autoSpaceDE w:val="0"/>
        <w:autoSpaceDN w:val="0"/>
        <w:jc w:val="center"/>
        <w:rPr>
          <w:rFonts w:ascii="宋体" w:hAnsi="宋体" w:cs="宋体"/>
          <w:b/>
          <w:spacing w:val="6"/>
          <w:sz w:val="32"/>
          <w:szCs w:val="32"/>
          <w:highlight w:val="none"/>
        </w:rPr>
      </w:pPr>
    </w:p>
    <w:p w14:paraId="5DCB34A1">
      <w:pPr>
        <w:autoSpaceDE w:val="0"/>
        <w:autoSpaceDN w:val="0"/>
        <w:jc w:val="center"/>
        <w:rPr>
          <w:rFonts w:ascii="宋体" w:hAnsi="宋体" w:cs="宋体"/>
          <w:b/>
          <w:spacing w:val="6"/>
          <w:sz w:val="32"/>
          <w:szCs w:val="32"/>
          <w:highlight w:val="none"/>
        </w:rPr>
      </w:pPr>
    </w:p>
    <w:p w14:paraId="210F5327">
      <w:pPr>
        <w:autoSpaceDE w:val="0"/>
        <w:autoSpaceDN w:val="0"/>
        <w:jc w:val="center"/>
        <w:rPr>
          <w:rFonts w:ascii="宋体" w:hAnsi="宋体" w:cs="宋体"/>
          <w:b/>
          <w:spacing w:val="6"/>
          <w:sz w:val="32"/>
          <w:szCs w:val="32"/>
          <w:highlight w:val="none"/>
        </w:rPr>
      </w:pPr>
    </w:p>
    <w:p w14:paraId="4D02BE24">
      <w:pPr>
        <w:autoSpaceDE w:val="0"/>
        <w:autoSpaceDN w:val="0"/>
        <w:jc w:val="center"/>
        <w:rPr>
          <w:rFonts w:ascii="宋体" w:hAnsi="宋体" w:cs="宋体"/>
          <w:b/>
          <w:spacing w:val="6"/>
          <w:sz w:val="32"/>
          <w:szCs w:val="32"/>
          <w:highlight w:val="none"/>
        </w:rPr>
      </w:pPr>
    </w:p>
    <w:p w14:paraId="768438E5">
      <w:pPr>
        <w:autoSpaceDE w:val="0"/>
        <w:autoSpaceDN w:val="0"/>
        <w:jc w:val="center"/>
        <w:rPr>
          <w:rFonts w:ascii="宋体" w:hAnsi="宋体" w:cs="宋体"/>
          <w:b/>
          <w:spacing w:val="6"/>
          <w:sz w:val="32"/>
          <w:szCs w:val="32"/>
          <w:highlight w:val="none"/>
        </w:rPr>
      </w:pPr>
    </w:p>
    <w:p w14:paraId="5391806C">
      <w:pPr>
        <w:autoSpaceDE w:val="0"/>
        <w:autoSpaceDN w:val="0"/>
        <w:jc w:val="center"/>
        <w:rPr>
          <w:rFonts w:ascii="宋体" w:hAnsi="宋体" w:cs="宋体"/>
          <w:b/>
          <w:spacing w:val="6"/>
          <w:sz w:val="32"/>
          <w:szCs w:val="32"/>
          <w:highlight w:val="none"/>
        </w:rPr>
      </w:pPr>
    </w:p>
    <w:p w14:paraId="690C0E0E">
      <w:pPr>
        <w:autoSpaceDE w:val="0"/>
        <w:autoSpaceDN w:val="0"/>
        <w:jc w:val="center"/>
        <w:rPr>
          <w:rFonts w:ascii="宋体" w:hAnsi="宋体" w:cs="宋体"/>
          <w:b/>
          <w:spacing w:val="6"/>
          <w:sz w:val="32"/>
          <w:szCs w:val="32"/>
          <w:highlight w:val="none"/>
        </w:rPr>
      </w:pPr>
    </w:p>
    <w:p w14:paraId="43B1D252">
      <w:pPr>
        <w:autoSpaceDE w:val="0"/>
        <w:autoSpaceDN w:val="0"/>
        <w:jc w:val="center"/>
        <w:rPr>
          <w:rFonts w:ascii="宋体" w:hAnsi="宋体" w:cs="宋体"/>
          <w:b/>
          <w:spacing w:val="6"/>
          <w:sz w:val="32"/>
          <w:szCs w:val="32"/>
          <w:highlight w:val="none"/>
        </w:rPr>
      </w:pPr>
    </w:p>
    <w:p w14:paraId="6F0378E4">
      <w:pPr>
        <w:autoSpaceDE w:val="0"/>
        <w:autoSpaceDN w:val="0"/>
        <w:jc w:val="center"/>
        <w:rPr>
          <w:rFonts w:ascii="宋体" w:hAnsi="宋体" w:cs="宋体"/>
          <w:b/>
          <w:spacing w:val="6"/>
          <w:sz w:val="32"/>
          <w:szCs w:val="32"/>
          <w:highlight w:val="none"/>
        </w:rPr>
      </w:pPr>
    </w:p>
    <w:p w14:paraId="7F322A1F">
      <w:pPr>
        <w:autoSpaceDE w:val="0"/>
        <w:autoSpaceDN w:val="0"/>
        <w:jc w:val="center"/>
        <w:rPr>
          <w:rFonts w:ascii="宋体" w:hAnsi="宋体" w:cs="宋体"/>
          <w:b/>
          <w:spacing w:val="6"/>
          <w:sz w:val="32"/>
          <w:szCs w:val="32"/>
          <w:highlight w:val="none"/>
        </w:rPr>
      </w:pPr>
    </w:p>
    <w:p w14:paraId="1832F651">
      <w:pPr>
        <w:autoSpaceDE w:val="0"/>
        <w:autoSpaceDN w:val="0"/>
        <w:jc w:val="center"/>
        <w:rPr>
          <w:rFonts w:ascii="宋体" w:hAnsi="宋体" w:cs="宋体"/>
          <w:b/>
          <w:spacing w:val="6"/>
          <w:sz w:val="32"/>
          <w:szCs w:val="32"/>
          <w:highlight w:val="none"/>
        </w:rPr>
      </w:pPr>
    </w:p>
    <w:p w14:paraId="5239B04A">
      <w:pPr>
        <w:autoSpaceDE w:val="0"/>
        <w:autoSpaceDN w:val="0"/>
        <w:jc w:val="center"/>
        <w:rPr>
          <w:rFonts w:ascii="宋体" w:hAnsi="宋体" w:cs="宋体"/>
          <w:b/>
          <w:spacing w:val="6"/>
          <w:sz w:val="32"/>
          <w:szCs w:val="32"/>
          <w:highlight w:val="none"/>
        </w:rPr>
      </w:pPr>
    </w:p>
    <w:p w14:paraId="655D42ED">
      <w:pPr>
        <w:autoSpaceDE w:val="0"/>
        <w:autoSpaceDN w:val="0"/>
        <w:jc w:val="center"/>
        <w:rPr>
          <w:rFonts w:ascii="宋体" w:hAnsi="宋体" w:cs="宋体"/>
          <w:b/>
          <w:spacing w:val="6"/>
          <w:sz w:val="32"/>
          <w:szCs w:val="32"/>
          <w:highlight w:val="none"/>
        </w:rPr>
      </w:pPr>
    </w:p>
    <w:p w14:paraId="02023FDC">
      <w:pPr>
        <w:autoSpaceDE w:val="0"/>
        <w:autoSpaceDN w:val="0"/>
        <w:jc w:val="center"/>
        <w:rPr>
          <w:rFonts w:ascii="宋体" w:hAnsi="宋体" w:cs="宋体"/>
          <w:b/>
          <w:spacing w:val="6"/>
          <w:sz w:val="32"/>
          <w:szCs w:val="32"/>
          <w:highlight w:val="none"/>
        </w:rPr>
      </w:pPr>
    </w:p>
    <w:p w14:paraId="329D3016">
      <w:pPr>
        <w:autoSpaceDE w:val="0"/>
        <w:autoSpaceDN w:val="0"/>
        <w:jc w:val="center"/>
        <w:rPr>
          <w:rFonts w:ascii="宋体" w:hAnsi="宋体" w:cs="宋体"/>
          <w:b/>
          <w:spacing w:val="6"/>
          <w:sz w:val="32"/>
          <w:szCs w:val="32"/>
          <w:highlight w:val="none"/>
        </w:rPr>
      </w:pPr>
    </w:p>
    <w:p w14:paraId="12E2170C">
      <w:pPr>
        <w:autoSpaceDE w:val="0"/>
        <w:autoSpaceDN w:val="0"/>
        <w:jc w:val="center"/>
        <w:rPr>
          <w:rFonts w:ascii="宋体" w:hAnsi="宋体" w:cs="宋体"/>
          <w:b/>
          <w:spacing w:val="6"/>
          <w:sz w:val="32"/>
          <w:szCs w:val="32"/>
          <w:highlight w:val="none"/>
        </w:rPr>
      </w:pPr>
    </w:p>
    <w:p w14:paraId="50322CDD">
      <w:pPr>
        <w:autoSpaceDE w:val="0"/>
        <w:autoSpaceDN w:val="0"/>
        <w:jc w:val="center"/>
        <w:rPr>
          <w:rFonts w:ascii="宋体" w:hAnsi="宋体" w:cs="宋体"/>
          <w:b/>
          <w:spacing w:val="6"/>
          <w:sz w:val="32"/>
          <w:szCs w:val="32"/>
          <w:highlight w:val="none"/>
        </w:rPr>
      </w:pPr>
    </w:p>
    <w:p w14:paraId="3BD1F202">
      <w:pPr>
        <w:autoSpaceDE w:val="0"/>
        <w:autoSpaceDN w:val="0"/>
        <w:jc w:val="center"/>
        <w:rPr>
          <w:rFonts w:ascii="宋体" w:hAnsi="宋体" w:cs="宋体"/>
          <w:b/>
          <w:spacing w:val="6"/>
          <w:sz w:val="32"/>
          <w:szCs w:val="32"/>
          <w:highlight w:val="none"/>
        </w:rPr>
      </w:pPr>
    </w:p>
    <w:p w14:paraId="4F096CBD">
      <w:pPr>
        <w:autoSpaceDE w:val="0"/>
        <w:autoSpaceDN w:val="0"/>
        <w:jc w:val="center"/>
        <w:rPr>
          <w:rFonts w:ascii="宋体" w:hAnsi="宋体" w:cs="宋体"/>
          <w:b/>
          <w:spacing w:val="6"/>
          <w:sz w:val="32"/>
          <w:szCs w:val="32"/>
          <w:highlight w:val="none"/>
        </w:rPr>
      </w:pPr>
    </w:p>
    <w:p w14:paraId="4CD2E16D">
      <w:pPr>
        <w:autoSpaceDE w:val="0"/>
        <w:autoSpaceDN w:val="0"/>
        <w:jc w:val="center"/>
        <w:rPr>
          <w:rFonts w:ascii="宋体" w:hAnsi="宋体" w:cs="宋体"/>
          <w:b/>
          <w:spacing w:val="6"/>
          <w:sz w:val="32"/>
          <w:szCs w:val="32"/>
          <w:highlight w:val="none"/>
        </w:rPr>
      </w:pPr>
    </w:p>
    <w:p w14:paraId="3B904745">
      <w:pPr>
        <w:autoSpaceDE w:val="0"/>
        <w:autoSpaceDN w:val="0"/>
        <w:jc w:val="center"/>
        <w:rPr>
          <w:rFonts w:ascii="宋体" w:hAnsi="宋体" w:cs="宋体"/>
          <w:b/>
          <w:spacing w:val="6"/>
          <w:sz w:val="32"/>
          <w:szCs w:val="32"/>
          <w:highlight w:val="none"/>
        </w:rPr>
      </w:pPr>
    </w:p>
    <w:p w14:paraId="13BB2B29">
      <w:pPr>
        <w:autoSpaceDE w:val="0"/>
        <w:autoSpaceDN w:val="0"/>
        <w:jc w:val="center"/>
        <w:rPr>
          <w:rFonts w:ascii="宋体" w:hAnsi="宋体" w:cs="宋体"/>
          <w:b/>
          <w:spacing w:val="6"/>
          <w:sz w:val="32"/>
          <w:szCs w:val="32"/>
          <w:highlight w:val="none"/>
        </w:rPr>
      </w:pPr>
    </w:p>
    <w:p w14:paraId="1CC6409E">
      <w:pPr>
        <w:snapToGrid w:val="0"/>
        <w:spacing w:line="360" w:lineRule="auto"/>
        <w:ind w:firstLine="3666" w:firstLineChars="1100"/>
        <w:rPr>
          <w:rFonts w:ascii="宋体" w:hAnsi="宋体" w:cs="宋体"/>
          <w:b/>
          <w:spacing w:val="6"/>
          <w:sz w:val="32"/>
          <w:szCs w:val="32"/>
          <w:highlight w:val="none"/>
        </w:rPr>
      </w:pPr>
    </w:p>
    <w:p w14:paraId="3FF021AE">
      <w:pPr>
        <w:widowControl/>
        <w:adjustRightInd/>
        <w:jc w:val="left"/>
        <w:rPr>
          <w:rFonts w:ascii="宋体" w:hAnsi="宋体" w:cs="宋体"/>
          <w:b/>
          <w:spacing w:val="6"/>
          <w:sz w:val="32"/>
          <w:szCs w:val="32"/>
          <w:highlight w:val="none"/>
        </w:rPr>
      </w:pPr>
    </w:p>
    <w:p w14:paraId="5DAA82B3">
      <w:pPr>
        <w:snapToGrid w:val="0"/>
        <w:spacing w:line="360" w:lineRule="auto"/>
        <w:ind w:firstLine="3666" w:firstLineChars="1100"/>
        <w:rPr>
          <w:rFonts w:hint="eastAsia" w:ascii="宋体" w:hAnsi="宋体" w:cs="宋体"/>
          <w:b/>
          <w:spacing w:val="6"/>
          <w:sz w:val="32"/>
          <w:szCs w:val="32"/>
          <w:highlight w:val="none"/>
        </w:rPr>
      </w:pPr>
    </w:p>
    <w:p w14:paraId="042EFDAF">
      <w:pPr>
        <w:snapToGrid w:val="0"/>
        <w:spacing w:line="360" w:lineRule="auto"/>
        <w:ind w:firstLine="3666" w:firstLineChars="1100"/>
        <w:rPr>
          <w:rFonts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14:paraId="6BBA04BC">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1D4DEC6E">
      <w:pPr>
        <w:snapToGrid w:val="0"/>
        <w:spacing w:line="360" w:lineRule="auto"/>
        <w:ind w:firstLine="576"/>
        <w:rPr>
          <w:rFonts w:ascii="宋体" w:hAnsi="宋体" w:cs="宋体"/>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杭州市上城区小营街道南片6个社区（长明寺巷、金钱巷、茅廊巷、西牌楼、梅花碑、姚园寺巷社区）准物业服务项目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SCCG2025-GK-03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w:t>
      </w:r>
      <w:r>
        <w:rPr>
          <w:rFonts w:hint="eastAsia" w:ascii="宋体" w:hAnsi="宋体" w:cs="宋体"/>
          <w:kern w:val="0"/>
          <w:sz w:val="24"/>
          <w:highlight w:val="none"/>
          <w:lang w:val="zh-CN"/>
        </w:rPr>
        <w:t>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0829AB2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27E7C53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（分包供应商2名称），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18CA7B96">
      <w:pPr>
        <w:pStyle w:val="2"/>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399ECC7E">
      <w:pPr>
        <w:rPr>
          <w:highlight w:val="none"/>
        </w:rPr>
      </w:pPr>
      <w:r>
        <w:rPr>
          <w:rFonts w:hint="eastAsia"/>
          <w:highlight w:val="none"/>
          <w:lang w:val="zh-CN"/>
        </w:rPr>
        <w:t xml:space="preserve"> </w:t>
      </w:r>
    </w:p>
    <w:p w14:paraId="7422076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2E11AEE0">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……）提供的服务全部由小微企业承接，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7D208B11">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14:paraId="02E4E5C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0E631D02">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2442DEA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13A1A107">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0E84FCB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50D18A5C">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2B6CCF51">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29B9988E">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59B7EEA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1DF1F63C">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0C78B61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八、其他</w:t>
      </w:r>
    </w:p>
    <w:p w14:paraId="75FD3002">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 xml:space="preserve">  。                                           投标人名称(电子签名)：</w:t>
      </w:r>
    </w:p>
    <w:p w14:paraId="35E86DFD">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0E8EC7F7">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40F7F458">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19F92698">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77F5752">
      <w:pPr>
        <w:autoSpaceDE w:val="0"/>
        <w:autoSpaceDN w:val="0"/>
        <w:jc w:val="center"/>
        <w:rPr>
          <w:rFonts w:ascii="宋体" w:hAnsi="宋体" w:cs="宋体"/>
          <w:b/>
          <w:spacing w:val="6"/>
          <w:sz w:val="32"/>
          <w:szCs w:val="32"/>
          <w:highlight w:val="none"/>
        </w:rPr>
      </w:pPr>
    </w:p>
    <w:p w14:paraId="1BBC7326">
      <w:pPr>
        <w:autoSpaceDE w:val="0"/>
        <w:autoSpaceDN w:val="0"/>
        <w:jc w:val="center"/>
        <w:rPr>
          <w:rFonts w:ascii="宋体" w:hAnsi="宋体" w:cs="宋体"/>
          <w:b/>
          <w:spacing w:val="6"/>
          <w:sz w:val="32"/>
          <w:szCs w:val="32"/>
          <w:highlight w:val="none"/>
        </w:rPr>
      </w:pPr>
    </w:p>
    <w:p w14:paraId="674E9A62">
      <w:pPr>
        <w:autoSpaceDE w:val="0"/>
        <w:autoSpaceDN w:val="0"/>
        <w:jc w:val="center"/>
        <w:rPr>
          <w:rFonts w:ascii="宋体" w:hAnsi="宋体" w:cs="宋体"/>
          <w:b/>
          <w:spacing w:val="6"/>
          <w:sz w:val="32"/>
          <w:szCs w:val="32"/>
          <w:highlight w:val="none"/>
        </w:rPr>
      </w:pPr>
    </w:p>
    <w:p w14:paraId="405E74BE">
      <w:pPr>
        <w:autoSpaceDE w:val="0"/>
        <w:autoSpaceDN w:val="0"/>
        <w:jc w:val="center"/>
        <w:rPr>
          <w:rFonts w:ascii="宋体" w:hAnsi="宋体" w:cs="宋体"/>
          <w:b/>
          <w:spacing w:val="6"/>
          <w:sz w:val="32"/>
          <w:szCs w:val="32"/>
          <w:highlight w:val="none"/>
        </w:rPr>
      </w:pPr>
    </w:p>
    <w:p w14:paraId="0A376672">
      <w:pPr>
        <w:autoSpaceDE w:val="0"/>
        <w:autoSpaceDN w:val="0"/>
        <w:jc w:val="center"/>
        <w:rPr>
          <w:rFonts w:ascii="宋体" w:hAnsi="宋体" w:cs="宋体"/>
          <w:b/>
          <w:spacing w:val="6"/>
          <w:sz w:val="32"/>
          <w:szCs w:val="32"/>
          <w:highlight w:val="none"/>
        </w:rPr>
      </w:pPr>
    </w:p>
    <w:p w14:paraId="6D154FCE">
      <w:pPr>
        <w:autoSpaceDE w:val="0"/>
        <w:autoSpaceDN w:val="0"/>
        <w:jc w:val="center"/>
        <w:rPr>
          <w:rFonts w:ascii="宋体" w:hAnsi="宋体" w:cs="宋体"/>
          <w:b/>
          <w:spacing w:val="6"/>
          <w:sz w:val="32"/>
          <w:szCs w:val="32"/>
          <w:highlight w:val="none"/>
        </w:rPr>
      </w:pPr>
    </w:p>
    <w:p w14:paraId="1D7BBAD7">
      <w:pPr>
        <w:autoSpaceDE w:val="0"/>
        <w:autoSpaceDN w:val="0"/>
        <w:jc w:val="center"/>
        <w:rPr>
          <w:rFonts w:ascii="宋体" w:hAnsi="宋体" w:cs="宋体"/>
          <w:b/>
          <w:spacing w:val="6"/>
          <w:sz w:val="32"/>
          <w:szCs w:val="32"/>
          <w:highlight w:val="none"/>
        </w:rPr>
      </w:pPr>
    </w:p>
    <w:p w14:paraId="1264CB25">
      <w:pPr>
        <w:autoSpaceDE w:val="0"/>
        <w:autoSpaceDN w:val="0"/>
        <w:jc w:val="center"/>
        <w:rPr>
          <w:rFonts w:ascii="宋体" w:hAnsi="宋体" w:cs="宋体"/>
          <w:b/>
          <w:spacing w:val="6"/>
          <w:sz w:val="32"/>
          <w:szCs w:val="32"/>
          <w:highlight w:val="none"/>
        </w:rPr>
      </w:pPr>
    </w:p>
    <w:p w14:paraId="19AD7EB9">
      <w:pPr>
        <w:autoSpaceDE w:val="0"/>
        <w:autoSpaceDN w:val="0"/>
        <w:jc w:val="center"/>
        <w:rPr>
          <w:rFonts w:ascii="宋体" w:hAnsi="宋体" w:cs="宋体"/>
          <w:b/>
          <w:spacing w:val="6"/>
          <w:sz w:val="32"/>
          <w:szCs w:val="32"/>
          <w:highlight w:val="none"/>
        </w:rPr>
      </w:pPr>
    </w:p>
    <w:p w14:paraId="494AB370">
      <w:pPr>
        <w:autoSpaceDE w:val="0"/>
        <w:autoSpaceDN w:val="0"/>
        <w:jc w:val="center"/>
        <w:rPr>
          <w:rFonts w:ascii="宋体" w:hAnsi="宋体" w:cs="宋体"/>
          <w:b/>
          <w:spacing w:val="6"/>
          <w:sz w:val="32"/>
          <w:szCs w:val="32"/>
          <w:highlight w:val="none"/>
        </w:rPr>
      </w:pPr>
    </w:p>
    <w:p w14:paraId="382DED0F">
      <w:pPr>
        <w:autoSpaceDE w:val="0"/>
        <w:autoSpaceDN w:val="0"/>
        <w:jc w:val="center"/>
        <w:rPr>
          <w:rFonts w:ascii="宋体" w:hAnsi="宋体" w:cs="宋体"/>
          <w:b/>
          <w:spacing w:val="6"/>
          <w:sz w:val="32"/>
          <w:szCs w:val="32"/>
          <w:highlight w:val="none"/>
        </w:rPr>
      </w:pPr>
    </w:p>
    <w:p w14:paraId="5F504344">
      <w:pPr>
        <w:autoSpaceDE w:val="0"/>
        <w:autoSpaceDN w:val="0"/>
        <w:jc w:val="center"/>
        <w:rPr>
          <w:rFonts w:ascii="宋体" w:hAnsi="宋体" w:cs="宋体"/>
          <w:b/>
          <w:spacing w:val="6"/>
          <w:sz w:val="32"/>
          <w:szCs w:val="32"/>
          <w:highlight w:val="none"/>
        </w:rPr>
      </w:pPr>
    </w:p>
    <w:p w14:paraId="567FBC7D">
      <w:pPr>
        <w:autoSpaceDE w:val="0"/>
        <w:autoSpaceDN w:val="0"/>
        <w:jc w:val="center"/>
        <w:rPr>
          <w:rFonts w:ascii="宋体" w:hAnsi="宋体" w:cs="宋体"/>
          <w:b/>
          <w:spacing w:val="6"/>
          <w:sz w:val="32"/>
          <w:szCs w:val="32"/>
          <w:highlight w:val="none"/>
        </w:rPr>
      </w:pPr>
    </w:p>
    <w:p w14:paraId="206F379F">
      <w:pPr>
        <w:autoSpaceDE w:val="0"/>
        <w:autoSpaceDN w:val="0"/>
        <w:jc w:val="center"/>
        <w:rPr>
          <w:rFonts w:ascii="宋体" w:hAnsi="宋体" w:cs="宋体"/>
          <w:b/>
          <w:spacing w:val="6"/>
          <w:sz w:val="32"/>
          <w:szCs w:val="32"/>
          <w:highlight w:val="none"/>
        </w:rPr>
      </w:pPr>
    </w:p>
    <w:p w14:paraId="16B959C4">
      <w:pPr>
        <w:autoSpaceDE w:val="0"/>
        <w:autoSpaceDN w:val="0"/>
        <w:jc w:val="center"/>
        <w:rPr>
          <w:rFonts w:ascii="宋体" w:hAnsi="宋体" w:cs="宋体"/>
          <w:b/>
          <w:spacing w:val="6"/>
          <w:sz w:val="32"/>
          <w:szCs w:val="32"/>
          <w:highlight w:val="none"/>
        </w:rPr>
      </w:pPr>
    </w:p>
    <w:p w14:paraId="78B99A85">
      <w:pPr>
        <w:autoSpaceDE w:val="0"/>
        <w:autoSpaceDN w:val="0"/>
        <w:jc w:val="center"/>
        <w:rPr>
          <w:rFonts w:ascii="宋体" w:hAnsi="宋体" w:cs="宋体"/>
          <w:b/>
          <w:spacing w:val="6"/>
          <w:sz w:val="32"/>
          <w:szCs w:val="32"/>
          <w:highlight w:val="none"/>
        </w:rPr>
      </w:pPr>
    </w:p>
    <w:p w14:paraId="0A3C81C1">
      <w:pPr>
        <w:autoSpaceDE w:val="0"/>
        <w:autoSpaceDN w:val="0"/>
        <w:jc w:val="center"/>
        <w:rPr>
          <w:rFonts w:ascii="宋体" w:hAnsi="宋体" w:cs="宋体"/>
          <w:b/>
          <w:spacing w:val="6"/>
          <w:sz w:val="32"/>
          <w:szCs w:val="32"/>
          <w:highlight w:val="none"/>
        </w:rPr>
      </w:pPr>
    </w:p>
    <w:p w14:paraId="02489297">
      <w:pPr>
        <w:autoSpaceDE w:val="0"/>
        <w:autoSpaceDN w:val="0"/>
        <w:jc w:val="center"/>
        <w:rPr>
          <w:rFonts w:ascii="宋体" w:hAnsi="宋体" w:cs="宋体"/>
          <w:b/>
          <w:spacing w:val="6"/>
          <w:sz w:val="32"/>
          <w:szCs w:val="32"/>
          <w:highlight w:val="none"/>
        </w:rPr>
      </w:pPr>
    </w:p>
    <w:p w14:paraId="68B7265A">
      <w:pPr>
        <w:autoSpaceDE w:val="0"/>
        <w:autoSpaceDN w:val="0"/>
        <w:jc w:val="center"/>
        <w:rPr>
          <w:rFonts w:ascii="宋体" w:hAnsi="宋体" w:cs="宋体"/>
          <w:b/>
          <w:spacing w:val="6"/>
          <w:sz w:val="32"/>
          <w:szCs w:val="32"/>
          <w:highlight w:val="none"/>
        </w:rPr>
      </w:pPr>
    </w:p>
    <w:p w14:paraId="675B8162">
      <w:pPr>
        <w:autoSpaceDE w:val="0"/>
        <w:autoSpaceDN w:val="0"/>
        <w:jc w:val="center"/>
        <w:rPr>
          <w:rFonts w:ascii="宋体" w:hAnsi="宋体" w:cs="宋体"/>
          <w:b/>
          <w:spacing w:val="6"/>
          <w:sz w:val="32"/>
          <w:szCs w:val="32"/>
          <w:highlight w:val="none"/>
        </w:rPr>
      </w:pPr>
    </w:p>
    <w:p w14:paraId="29CDC849">
      <w:pPr>
        <w:autoSpaceDE w:val="0"/>
        <w:autoSpaceDN w:val="0"/>
        <w:jc w:val="center"/>
        <w:rPr>
          <w:rFonts w:ascii="宋体" w:hAnsi="宋体" w:cs="宋体"/>
          <w:b/>
          <w:spacing w:val="6"/>
          <w:sz w:val="32"/>
          <w:szCs w:val="32"/>
          <w:highlight w:val="none"/>
        </w:rPr>
      </w:pPr>
    </w:p>
    <w:p w14:paraId="6CF7D788">
      <w:pPr>
        <w:autoSpaceDE w:val="0"/>
        <w:autoSpaceDN w:val="0"/>
        <w:jc w:val="center"/>
        <w:rPr>
          <w:rFonts w:ascii="宋体" w:hAnsi="宋体" w:cs="宋体"/>
          <w:b/>
          <w:spacing w:val="6"/>
          <w:sz w:val="32"/>
          <w:szCs w:val="32"/>
          <w:highlight w:val="none"/>
        </w:rPr>
      </w:pPr>
    </w:p>
    <w:p w14:paraId="7E4C9B02">
      <w:pPr>
        <w:autoSpaceDE w:val="0"/>
        <w:autoSpaceDN w:val="0"/>
        <w:jc w:val="center"/>
        <w:rPr>
          <w:rFonts w:ascii="宋体" w:hAnsi="宋体" w:cs="宋体"/>
          <w:b/>
          <w:spacing w:val="6"/>
          <w:sz w:val="32"/>
          <w:szCs w:val="32"/>
          <w:highlight w:val="none"/>
        </w:rPr>
      </w:pPr>
    </w:p>
    <w:p w14:paraId="7B796F1B">
      <w:pPr>
        <w:autoSpaceDE w:val="0"/>
        <w:autoSpaceDN w:val="0"/>
        <w:jc w:val="center"/>
        <w:rPr>
          <w:rFonts w:ascii="宋体" w:hAnsi="宋体" w:cs="宋体"/>
          <w:b/>
          <w:spacing w:val="6"/>
          <w:sz w:val="32"/>
          <w:szCs w:val="32"/>
          <w:highlight w:val="none"/>
        </w:rPr>
      </w:pPr>
    </w:p>
    <w:p w14:paraId="1222A7A0">
      <w:pPr>
        <w:autoSpaceDE w:val="0"/>
        <w:autoSpaceDN w:val="0"/>
        <w:jc w:val="center"/>
        <w:rPr>
          <w:rFonts w:ascii="宋体" w:hAnsi="宋体" w:cs="宋体"/>
          <w:b/>
          <w:spacing w:val="6"/>
          <w:sz w:val="32"/>
          <w:szCs w:val="32"/>
          <w:highlight w:val="none"/>
        </w:rPr>
      </w:pPr>
    </w:p>
    <w:p w14:paraId="03A573C2">
      <w:pPr>
        <w:autoSpaceDE w:val="0"/>
        <w:autoSpaceDN w:val="0"/>
        <w:jc w:val="center"/>
        <w:rPr>
          <w:rFonts w:ascii="宋体" w:hAnsi="宋体" w:cs="宋体"/>
          <w:b/>
          <w:spacing w:val="6"/>
          <w:sz w:val="32"/>
          <w:szCs w:val="32"/>
          <w:highlight w:val="none"/>
        </w:rPr>
      </w:pPr>
    </w:p>
    <w:p w14:paraId="41117B06">
      <w:pPr>
        <w:autoSpaceDE w:val="0"/>
        <w:autoSpaceDN w:val="0"/>
        <w:jc w:val="center"/>
        <w:rPr>
          <w:rFonts w:ascii="宋体" w:hAnsi="宋体" w:cs="宋体"/>
          <w:b/>
          <w:spacing w:val="6"/>
          <w:sz w:val="32"/>
          <w:szCs w:val="32"/>
          <w:highlight w:val="none"/>
        </w:rPr>
      </w:pPr>
    </w:p>
    <w:p w14:paraId="4C8A4DB6">
      <w:pPr>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附件</w:t>
      </w:r>
      <w:r>
        <w:rPr>
          <w:rFonts w:ascii="宋体" w:hAnsi="宋体" w:cs="宋体"/>
          <w:b/>
          <w:sz w:val="36"/>
          <w:szCs w:val="20"/>
          <w:highlight w:val="none"/>
        </w:rPr>
        <w:t>7</w:t>
      </w:r>
      <w:r>
        <w:rPr>
          <w:rFonts w:hint="eastAsia" w:ascii="宋体" w:hAnsi="宋体" w:cs="宋体"/>
          <w:b/>
          <w:sz w:val="36"/>
          <w:szCs w:val="20"/>
          <w:highlight w:val="none"/>
        </w:rPr>
        <w:t>：中小企业声明函</w:t>
      </w:r>
    </w:p>
    <w:p w14:paraId="390A0D24">
      <w:pPr>
        <w:spacing w:line="360" w:lineRule="auto"/>
        <w:jc w:val="center"/>
        <w:rPr>
          <w:rFonts w:ascii="宋体" w:hAnsi="宋体" w:cs="宋体"/>
          <w:sz w:val="24"/>
          <w:highlight w:val="none"/>
          <w:u w:val="single"/>
        </w:rPr>
      </w:pPr>
    </w:p>
    <w:p w14:paraId="0B761E54">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中小企业声明函（服务）</w:t>
      </w:r>
    </w:p>
    <w:p w14:paraId="0517A099">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杭州市上城区人民政府小营街道办事处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杭州市上城区小营街道南片6个社区（长明寺巷、金钱巷、茅廊巷、西牌楼、梅花碑、姚园寺巷社区）准物业服务项目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3B4494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杭州市上城区小营街道南片6个社区（长明寺巷、金钱巷、茅廊巷、西牌楼、梅花碑、姚园寺巷社区）准物业服务项目</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物业管理业</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A4179C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B45F33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4EF10B7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7FBE1D2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25222055">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14:paraId="0A85F81A">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w:t>
      </w:r>
    </w:p>
    <w:p w14:paraId="71918A44">
      <w:pPr>
        <w:spacing w:line="360" w:lineRule="auto"/>
        <w:ind w:firstLine="310" w:firstLineChars="147"/>
        <w:jc w:val="left"/>
        <w:rPr>
          <w:rFonts w:ascii="宋体" w:hAnsi="宋体" w:cs="宋体"/>
          <w:b/>
          <w:szCs w:val="21"/>
          <w:highlight w:val="none"/>
        </w:rPr>
      </w:pPr>
      <w:r>
        <w:rPr>
          <w:rFonts w:hint="eastAsia" w:ascii="宋体" w:hAnsi="宋体" w:cs="宋体"/>
          <w:b/>
          <w:szCs w:val="21"/>
          <w:highlight w:val="none"/>
        </w:rPr>
        <w:t>从业人员、营业收入、资产总额填报上一年度数据，无上一年度数据的新成立企业可不填报。</w:t>
      </w:r>
    </w:p>
    <w:p w14:paraId="76DDFAB9">
      <w:pPr>
        <w:spacing w:line="360" w:lineRule="auto"/>
        <w:ind w:right="420"/>
        <w:rPr>
          <w:rFonts w:ascii="宋体" w:hAnsi="宋体" w:cs="宋体"/>
          <w:sz w:val="24"/>
          <w:highlight w:val="none"/>
        </w:rPr>
      </w:pPr>
    </w:p>
    <w:p w14:paraId="2DCE6015">
      <w:pPr>
        <w:spacing w:line="360" w:lineRule="auto"/>
        <w:ind w:right="420"/>
        <w:rPr>
          <w:rFonts w:ascii="宋体" w:hAnsi="宋体" w:cs="宋体"/>
          <w:sz w:val="24"/>
          <w:highlight w:val="none"/>
        </w:rPr>
      </w:pPr>
      <w:r>
        <w:rPr>
          <w:rFonts w:hint="eastAsia" w:ascii="宋体" w:hAnsi="宋体" w:cs="宋体"/>
          <w:sz w:val="24"/>
          <w:highlight w:val="none"/>
        </w:rPr>
        <w:t xml:space="preserve">   注：</w:t>
      </w:r>
    </w:p>
    <w:p w14:paraId="002A577A">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AE585FD">
      <w:pPr>
        <w:spacing w:line="360" w:lineRule="auto"/>
        <w:ind w:right="420" w:firstLine="720" w:firstLineChars="3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E86D0FA">
      <w:pPr>
        <w:pStyle w:val="2"/>
        <w:rPr>
          <w:rFonts w:ascii="宋体" w:hAnsi="宋体" w:eastAsia="宋体" w:cs="宋体"/>
          <w:highlight w:val="none"/>
          <w:lang w:val="en-US"/>
        </w:rPr>
      </w:pPr>
    </w:p>
    <w:p w14:paraId="010CD118">
      <w:pPr>
        <w:spacing w:line="360" w:lineRule="auto"/>
        <w:ind w:right="420"/>
        <w:rPr>
          <w:rFonts w:ascii="宋体" w:hAnsi="宋体" w:cs="宋体"/>
          <w:highlight w:val="none"/>
        </w:rPr>
      </w:pPr>
    </w:p>
    <w:p w14:paraId="77B9FA60">
      <w:pPr>
        <w:spacing w:line="360" w:lineRule="auto"/>
        <w:rPr>
          <w:rFonts w:ascii="宋体" w:hAnsi="宋体" w:cs="宋体"/>
          <w:bCs/>
          <w:sz w:val="24"/>
          <w:highlight w:val="none"/>
        </w:rPr>
      </w:pPr>
    </w:p>
    <w:sectPr>
      <w:headerReference r:id="rId32" w:type="first"/>
      <w:footerReference r:id="rId35" w:type="first"/>
      <w:headerReference r:id="rId31" w:type="default"/>
      <w:footerReference r:id="rId33" w:type="default"/>
      <w:footerReference r:id="rId3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A6A0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2D14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CCFB018">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B636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9CE9D1B">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ADAF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9D69758">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7E91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1296E22">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5F450">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B38AE">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4DD50">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FC7FC">
    <w:pPr>
      <w:pStyle w:val="42"/>
      <w:framePr w:wrap="around" w:vAnchor="text" w:hAnchor="margin" w:xAlign="right" w:y="1"/>
      <w:rPr>
        <w:rStyle w:val="74"/>
      </w:rPr>
    </w:pPr>
    <w:r>
      <w:fldChar w:fldCharType="begin"/>
    </w:r>
    <w:r>
      <w:rPr>
        <w:rStyle w:val="74"/>
      </w:rPr>
      <w:instrText xml:space="preserve">PAGE  </w:instrText>
    </w:r>
    <w:r>
      <w:fldChar w:fldCharType="end"/>
    </w:r>
  </w:p>
  <w:p w14:paraId="6ABE392E">
    <w:pPr>
      <w:pStyle w:val="42"/>
      <w:ind w:right="36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AE39C">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8" w:name="_Toc91899912"/>
    <w:bookmarkStart w:id="409" w:name="_Toc131845147"/>
    <w:bookmarkStart w:id="410" w:name="_Toc164085800"/>
    <w:bookmarkStart w:id="411" w:name="_Toc36110187"/>
    <w:r>
      <w:rPr>
        <w:rFonts w:hint="eastAsia" w:ascii="仿宋_GB2312" w:eastAsia="仿宋_GB2312"/>
        <w:kern w:val="0"/>
        <w:szCs w:val="21"/>
      </w:rPr>
      <w:t xml:space="preserve"> 页</w:t>
    </w:r>
    <w:bookmarkEnd w:id="408"/>
    <w:bookmarkEnd w:id="409"/>
    <w:bookmarkEnd w:id="410"/>
    <w:bookmarkEnd w:id="41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421A6">
    <w:pPr>
      <w:pStyle w:val="42"/>
      <w:framePr w:wrap="around" w:vAnchor="text" w:hAnchor="margin" w:xAlign="right" w:y="1"/>
      <w:rPr>
        <w:rStyle w:val="74"/>
      </w:rPr>
    </w:pPr>
    <w:r>
      <w:fldChar w:fldCharType="begin"/>
    </w:r>
    <w:r>
      <w:rPr>
        <w:rStyle w:val="74"/>
      </w:rPr>
      <w:instrText xml:space="preserve">PAGE  </w:instrText>
    </w:r>
    <w:r>
      <w:fldChar w:fldCharType="end"/>
    </w:r>
  </w:p>
  <w:p w14:paraId="1EC561A4">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BA40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52F65">
    <w:pPr>
      <w:pStyle w:val="42"/>
      <w:jc w:val="center"/>
    </w:pPr>
    <w:r>
      <w:fldChar w:fldCharType="begin"/>
    </w:r>
    <w:r>
      <w:instrText xml:space="preserve"> PAGE   \* MERGEFORMAT </w:instrText>
    </w:r>
    <w:r>
      <w:fldChar w:fldCharType="separate"/>
    </w:r>
    <w:r>
      <w:rPr>
        <w:lang w:val="zh-CN"/>
      </w:rPr>
      <w:t>15</w:t>
    </w:r>
    <w:r>
      <w:rPr>
        <w:lang w:val="zh-CN"/>
      </w:rPr>
      <w:fldChar w:fldCharType="end"/>
    </w:r>
  </w:p>
  <w:p w14:paraId="51F5A985">
    <w:pPr>
      <w:pStyle w:val="4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FC6D5">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D118C">
    <w:pPr>
      <w:pStyle w:val="42"/>
      <w:framePr w:wrap="around" w:vAnchor="text" w:hAnchor="margin" w:xAlign="right" w:y="1"/>
      <w:rPr>
        <w:rStyle w:val="74"/>
      </w:rPr>
    </w:pPr>
    <w:r>
      <w:fldChar w:fldCharType="begin"/>
    </w:r>
    <w:r>
      <w:rPr>
        <w:rStyle w:val="74"/>
      </w:rPr>
      <w:instrText xml:space="preserve">PAGE  </w:instrText>
    </w:r>
    <w:r>
      <w:fldChar w:fldCharType="end"/>
    </w:r>
  </w:p>
  <w:p w14:paraId="24ED9D6D">
    <w:pPr>
      <w:pStyle w:val="4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5BDCD">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E881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3CF1BD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CBF0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6769FF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F2426">
    <w:pPr>
      <w:pStyle w:val="43"/>
      <w:pBdr>
        <w:bottom w:val="single" w:color="auto" w:sz="6" w:space="4"/>
      </w:pBdr>
      <w:jc w:val="right"/>
    </w:pPr>
    <w:r>
      <w:t></w:t>
    </w:r>
    <w:r>
      <w:rPr>
        <w:rFonts w:hint="eastAsia"/>
      </w:rPr>
      <w:t xml:space="preserve">  </w:t>
    </w:r>
    <w:r>
      <w:rPr>
        <w:rFonts w:hint="eastAsia"/>
        <w:b w:val="0"/>
        <w:bCs/>
        <w:sz w:val="21"/>
        <w:szCs w:val="21"/>
      </w:rPr>
      <w:t>杭州市公共资源交易中心上城分中心</w:t>
    </w:r>
  </w:p>
  <w:p w14:paraId="6D605089">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5BDFC">
    <w:pPr>
      <w:pStyle w:val="43"/>
      <w:jc w:val="right"/>
      <w:rPr>
        <w:rFonts w:ascii="仿宋_GB2312" w:eastAsia="仿宋_GB2312"/>
        <w:b/>
        <w:i/>
        <w:u w:val="single"/>
      </w:rPr>
    </w:pPr>
    <w:r>
      <w:rPr>
        <w:rFonts w:hint="eastAsia"/>
      </w:rPr>
      <w:t xml:space="preserve">                                  </w:t>
    </w:r>
    <w:r>
      <w:rPr>
        <w:rFonts w:hint="eastAsia"/>
        <w:b w:val="0"/>
        <w:bCs/>
        <w:sz w:val="21"/>
        <w:szCs w:val="21"/>
      </w:rPr>
      <w:t>杭州市公共资源交易中心上城分中心</w:t>
    </w:r>
  </w:p>
  <w:p w14:paraId="5DE2AFD4">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B2F7B">
    <w:pPr>
      <w:pStyle w:val="43"/>
      <w:jc w:val="right"/>
    </w:pPr>
    <w:r>
      <w:rPr>
        <w:rFonts w:hint="eastAsia"/>
      </w:rPr>
      <w:t xml:space="preserve">                                                                                                        </w:t>
    </w:r>
    <w:r>
      <w:rPr>
        <w:rFonts w:hint="eastAsia"/>
        <w:b w:val="0"/>
        <w:bCs/>
        <w:sz w:val="21"/>
        <w:szCs w:val="21"/>
      </w:rPr>
      <w:t>杭州市公共资源交易中心上城分中心</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7804D">
    <w:pPr>
      <w:pStyle w:val="43"/>
      <w:jc w:val="right"/>
      <w:rPr>
        <w:rFonts w:ascii="仿宋_GB2312" w:eastAsia="仿宋_GB2312"/>
        <w:b/>
        <w:i/>
        <w:iCs/>
        <w:u w:val="single"/>
      </w:rPr>
    </w:pPr>
    <w:r>
      <w:t>杭州</w:t>
    </w:r>
    <w:r>
      <w:rPr>
        <w:rFonts w:hint="eastAsia"/>
        <w:lang w:eastAsia="zh-CN"/>
      </w:rPr>
      <w:t>市公共资源交易中心上城分中心</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A1D33">
    <w:pPr>
      <w:pStyle w:val="43"/>
    </w:pPr>
    <w:r>
      <w:t></w:t>
    </w:r>
    <w:r>
      <w:rPr>
        <w:rFonts w:hint="eastAsia"/>
      </w:rPr>
      <w:t xml:space="preserve">                                             </w:t>
    </w:r>
    <w:r>
      <w:rPr>
        <w:rFonts w:hint="eastAsia"/>
        <w:lang w:val="en-US" w:eastAsia="zh-CN"/>
      </w:rPr>
      <w:t xml:space="preserve">                                                      </w:t>
    </w:r>
    <w:r>
      <w:t>杭州</w:t>
    </w:r>
    <w:r>
      <w:rPr>
        <w:rFonts w:hint="eastAsia"/>
        <w:lang w:eastAsia="zh-CN"/>
      </w:rPr>
      <w:t>市公共资源交易中心上城分中心</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03205">
    <w:pPr>
      <w:pStyle w:val="43"/>
      <w:jc w:val="right"/>
      <w:rPr>
        <w:rFonts w:ascii="仿宋_GB2312" w:eastAsia="仿宋_GB2312"/>
        <w:b/>
        <w:i/>
        <w:iCs/>
        <w:u w:val="single"/>
      </w:rPr>
    </w:pPr>
    <w:r>
      <w:t></w:t>
    </w:r>
    <w:r>
      <w:rPr>
        <w:rFonts w:hint="eastAsia"/>
        <w:b w:val="0"/>
        <w:bCs/>
        <w:sz w:val="21"/>
        <w:szCs w:val="21"/>
      </w:rPr>
      <w:t>杭州市公共资源交易中心上城分中心</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997AD">
    <w:pPr>
      <w:pStyle w:val="43"/>
    </w:pPr>
    <w:r>
      <w:t></w:t>
    </w:r>
    <w:r>
      <w:rPr>
        <w:rFonts w:hint="eastAsia"/>
      </w:rPr>
      <w:t xml:space="preserve">                                     </w:t>
    </w:r>
    <w:r>
      <w:rPr>
        <w:rFonts w:hint="eastAsia"/>
        <w:b w:val="0"/>
        <w:bCs/>
        <w:sz w:val="21"/>
        <w:szCs w:val="21"/>
      </w:rPr>
      <w:t>杭州市公共资源交易中心上城分中心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CF013">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杭州市公共资源交易中心上城分中心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5E020">
    <w:pPr>
      <w:pStyle w:val="4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25581">
    <w:pPr>
      <w:pStyle w:val="43"/>
      <w:jc w:val="right"/>
      <w:rPr>
        <w:rFonts w:ascii="仿宋_GB2312" w:eastAsia="仿宋_GB2312"/>
        <w:b/>
        <w:i/>
        <w:iCs/>
        <w:u w:val="single"/>
      </w:rP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D5016">
    <w:pPr>
      <w:pStyle w:val="43"/>
    </w:pPr>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F4B44">
    <w:pPr>
      <w:pStyle w:val="43"/>
      <w:rPr>
        <w:rFonts w:ascii="仿宋_GB2312" w:eastAsia="仿宋_GB2312"/>
        <w:b/>
        <w:i/>
        <w:u w:val="single"/>
      </w:rPr>
    </w:pPr>
    <w:r>
      <w:t></w:t>
    </w:r>
    <w:r>
      <w:rPr>
        <w:rFonts w:hint="eastAsia"/>
      </w:rPr>
      <w:t xml:space="preserve">                                                  </w:t>
    </w:r>
    <w:r>
      <w:t xml:space="preserve">         </w:t>
    </w:r>
    <w:r>
      <w:rPr>
        <w:rFonts w:hint="eastAsia"/>
        <w:b w:val="0"/>
        <w:bCs/>
        <w:sz w:val="21"/>
        <w:szCs w:val="21"/>
      </w:rPr>
      <w:t>杭州市公共资源交易中心上城分中心</w:t>
    </w:r>
  </w:p>
  <w:p w14:paraId="427763E9">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0DF7E">
    <w:pPr>
      <w:pStyle w:val="43"/>
    </w:pPr>
    <w:r>
      <w:t></w:t>
    </w:r>
    <w:r>
      <w:rPr>
        <w:rFonts w:hint="eastAsia"/>
      </w:rPr>
      <w:t xml:space="preserve">         </w:t>
    </w:r>
  </w:p>
  <w:p w14:paraId="7A6FBE79">
    <w:pPr>
      <w:pStyle w:val="43"/>
    </w:pPr>
    <w:r>
      <w:rPr>
        <w:rFonts w:hint="eastAsia"/>
      </w:rPr>
      <w:t xml:space="preserve">                                                               </w:t>
    </w:r>
    <w:r>
      <w:rPr>
        <w:rFonts w:hint="eastAsia"/>
        <w:b w:val="0"/>
        <w:bCs/>
        <w:sz w:val="21"/>
        <w:szCs w:val="21"/>
      </w:rPr>
      <w:t>杭州市公共资源交易中心上城分中心</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07F54">
    <w:pPr>
      <w:pStyle w:val="43"/>
      <w:rPr>
        <w:rFonts w:ascii="仿宋_GB2312" w:eastAsia="仿宋_GB2312"/>
        <w:b/>
        <w:i/>
        <w:u w:val="single"/>
      </w:rPr>
    </w:pPr>
    <w:r>
      <w:t></w:t>
    </w:r>
    <w:r>
      <w:rPr>
        <w:rFonts w:hint="eastAsia"/>
      </w:rPr>
      <w:t xml:space="preserve">                                             </w:t>
    </w:r>
    <w:r>
      <w:rPr>
        <w:rFonts w:hint="eastAsia"/>
        <w:b w:val="0"/>
        <w:bCs/>
        <w:sz w:val="21"/>
        <w:szCs w:val="21"/>
      </w:rPr>
      <w:t>杭州市公共资源交易中心上城分中心</w:t>
    </w:r>
  </w:p>
  <w:p w14:paraId="22BDD8F8">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61A67">
    <w:pPr>
      <w:pStyle w:val="43"/>
      <w:jc w:val="right"/>
    </w:pPr>
    <w:r>
      <w:t></w:t>
    </w:r>
    <w:r>
      <w:rPr>
        <w:rFonts w:hint="eastAsia"/>
      </w:rPr>
      <w:t xml:space="preserve">                 </w:t>
    </w:r>
    <w:r>
      <w:t xml:space="preserve">                                </w:t>
    </w:r>
    <w:r>
      <w:rPr>
        <w:rFonts w:hint="eastAsia"/>
      </w:rPr>
      <w:t xml:space="preserve">         </w:t>
    </w:r>
    <w:r>
      <w:rPr>
        <w:rFonts w:hint="eastAsia"/>
        <w:b w:val="0"/>
        <w:bCs/>
        <w:sz w:val="21"/>
        <w:szCs w:val="21"/>
      </w:rPr>
      <w:t>杭州市公共资源交易中心上城分中心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128182"/>
    <w:multiLevelType w:val="singleLevel"/>
    <w:tmpl w:val="AD128182"/>
    <w:lvl w:ilvl="0" w:tentative="0">
      <w:start w:val="7"/>
      <w:numFmt w:val="decimal"/>
      <w:lvlText w:val="%1."/>
      <w:lvlJc w:val="left"/>
      <w:pPr>
        <w:tabs>
          <w:tab w:val="left" w:pos="312"/>
        </w:tabs>
      </w:pPr>
    </w:lvl>
  </w:abstractNum>
  <w:abstractNum w:abstractNumId="1">
    <w:nsid w:val="B7A3AE60"/>
    <w:multiLevelType w:val="singleLevel"/>
    <w:tmpl w:val="B7A3AE60"/>
    <w:lvl w:ilvl="0" w:tentative="0">
      <w:start w:val="6"/>
      <w:numFmt w:val="chineseCounting"/>
      <w:suff w:val="space"/>
      <w:lvlText w:val="第%1部分"/>
      <w:lvlJc w:val="left"/>
      <w:rPr>
        <w:rFonts w:hint="eastAsia"/>
      </w:rPr>
    </w:lvl>
  </w:abstractNum>
  <w:abstractNum w:abstractNumId="2">
    <w:nsid w:val="2A3214C5"/>
    <w:multiLevelType w:val="singleLevel"/>
    <w:tmpl w:val="2A3214C5"/>
    <w:lvl w:ilvl="0" w:tentative="0">
      <w:start w:val="2"/>
      <w:numFmt w:val="chineseCounting"/>
      <w:suff w:val="nothing"/>
      <w:lvlText w:val="%1、"/>
      <w:lvlJc w:val="left"/>
      <w:rPr>
        <w:rFonts w:hint="eastAsia"/>
      </w:rPr>
    </w:lvl>
  </w:abstractNum>
  <w:abstractNum w:abstractNumId="3">
    <w:nsid w:val="53385EA9"/>
    <w:multiLevelType w:val="multilevel"/>
    <w:tmpl w:val="53385EA9"/>
    <w:lvl w:ilvl="0" w:tentative="0">
      <w:start w:val="1"/>
      <w:numFmt w:val="japaneseCounting"/>
      <w:lvlText w:val="%1、"/>
      <w:lvlJc w:val="left"/>
      <w:pPr>
        <w:ind w:left="510" w:hanging="510"/>
      </w:pPr>
      <w:rPr>
        <w:rFonts w:hint="default" w:cs="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NjM5NjEyY2JkYTM3ZTA3NzlkN2NlYTVlZTk5ZTg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80F"/>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49B"/>
    <w:rsid w:val="000336D4"/>
    <w:rsid w:val="00034FA7"/>
    <w:rsid w:val="0003533D"/>
    <w:rsid w:val="000357E4"/>
    <w:rsid w:val="00035ACA"/>
    <w:rsid w:val="00035B14"/>
    <w:rsid w:val="00040447"/>
    <w:rsid w:val="00040494"/>
    <w:rsid w:val="00040B70"/>
    <w:rsid w:val="00042441"/>
    <w:rsid w:val="00042533"/>
    <w:rsid w:val="00042DBB"/>
    <w:rsid w:val="00042E65"/>
    <w:rsid w:val="0004347C"/>
    <w:rsid w:val="00043907"/>
    <w:rsid w:val="00044F48"/>
    <w:rsid w:val="00047354"/>
    <w:rsid w:val="00050656"/>
    <w:rsid w:val="00050743"/>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A1D"/>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3EA5"/>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3A8"/>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5DAE"/>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1BB"/>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0C3C"/>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66BE"/>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EC6"/>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2850"/>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5D54"/>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52"/>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75A"/>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C5D"/>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8DD"/>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0BE2"/>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5069"/>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AEB"/>
    <w:rsid w:val="00372C89"/>
    <w:rsid w:val="00372E9A"/>
    <w:rsid w:val="003735B9"/>
    <w:rsid w:val="00373634"/>
    <w:rsid w:val="00374677"/>
    <w:rsid w:val="0037510C"/>
    <w:rsid w:val="00375850"/>
    <w:rsid w:val="0037632F"/>
    <w:rsid w:val="00377268"/>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674"/>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9"/>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3FFF"/>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1A80"/>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502"/>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3D0A"/>
    <w:rsid w:val="004B419F"/>
    <w:rsid w:val="004B4EA9"/>
    <w:rsid w:val="004B5C96"/>
    <w:rsid w:val="004B5F08"/>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5A7"/>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20D"/>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5C13"/>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893"/>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315"/>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299"/>
    <w:rsid w:val="00564DA7"/>
    <w:rsid w:val="00565204"/>
    <w:rsid w:val="00565473"/>
    <w:rsid w:val="00565DAC"/>
    <w:rsid w:val="00565F0D"/>
    <w:rsid w:val="005662DC"/>
    <w:rsid w:val="00566329"/>
    <w:rsid w:val="005668B9"/>
    <w:rsid w:val="00566E39"/>
    <w:rsid w:val="0056704E"/>
    <w:rsid w:val="00567623"/>
    <w:rsid w:val="00567B1C"/>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1A2"/>
    <w:rsid w:val="005C6AAB"/>
    <w:rsid w:val="005C6D5D"/>
    <w:rsid w:val="005C6FD0"/>
    <w:rsid w:val="005D01C3"/>
    <w:rsid w:val="005D05FF"/>
    <w:rsid w:val="005D0FB4"/>
    <w:rsid w:val="005D1176"/>
    <w:rsid w:val="005D1747"/>
    <w:rsid w:val="005D266D"/>
    <w:rsid w:val="005D306D"/>
    <w:rsid w:val="005D3327"/>
    <w:rsid w:val="005D4854"/>
    <w:rsid w:val="005D5BCF"/>
    <w:rsid w:val="005D5E49"/>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4F29"/>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62A"/>
    <w:rsid w:val="00602764"/>
    <w:rsid w:val="00602B29"/>
    <w:rsid w:val="00602DAD"/>
    <w:rsid w:val="00603373"/>
    <w:rsid w:val="006036D0"/>
    <w:rsid w:val="00603B1C"/>
    <w:rsid w:val="006042CD"/>
    <w:rsid w:val="00605217"/>
    <w:rsid w:val="006054A5"/>
    <w:rsid w:val="006059E4"/>
    <w:rsid w:val="00605D60"/>
    <w:rsid w:val="006062A0"/>
    <w:rsid w:val="00607015"/>
    <w:rsid w:val="006100AC"/>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EAD"/>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9BB"/>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0CC"/>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4B4E"/>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051"/>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479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3554"/>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173"/>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45E"/>
    <w:rsid w:val="007F55A4"/>
    <w:rsid w:val="007F5D28"/>
    <w:rsid w:val="007F6260"/>
    <w:rsid w:val="007F682B"/>
    <w:rsid w:val="007F78E8"/>
    <w:rsid w:val="007F7F8F"/>
    <w:rsid w:val="00800509"/>
    <w:rsid w:val="0080078E"/>
    <w:rsid w:val="00800B7F"/>
    <w:rsid w:val="008012B1"/>
    <w:rsid w:val="00801D63"/>
    <w:rsid w:val="0080303D"/>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B6F"/>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5D6D"/>
    <w:rsid w:val="00886112"/>
    <w:rsid w:val="008872B3"/>
    <w:rsid w:val="00887392"/>
    <w:rsid w:val="00890A64"/>
    <w:rsid w:val="00890C40"/>
    <w:rsid w:val="0089122E"/>
    <w:rsid w:val="008912A7"/>
    <w:rsid w:val="0089183A"/>
    <w:rsid w:val="008920B4"/>
    <w:rsid w:val="008925EB"/>
    <w:rsid w:val="0089275E"/>
    <w:rsid w:val="00892B43"/>
    <w:rsid w:val="00893432"/>
    <w:rsid w:val="008937EF"/>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C7FF6"/>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4FA"/>
    <w:rsid w:val="008E35A6"/>
    <w:rsid w:val="008E36D9"/>
    <w:rsid w:val="008E3A5C"/>
    <w:rsid w:val="008E3A9A"/>
    <w:rsid w:val="008E429E"/>
    <w:rsid w:val="008E58A3"/>
    <w:rsid w:val="008E5938"/>
    <w:rsid w:val="008E6109"/>
    <w:rsid w:val="008E6A39"/>
    <w:rsid w:val="008E76BB"/>
    <w:rsid w:val="008E7C76"/>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9FD"/>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D37"/>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37981"/>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601"/>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07"/>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48F"/>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5789B"/>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820"/>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2"/>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226"/>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91E"/>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6F31"/>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B6"/>
    <w:rsid w:val="00B47ECD"/>
    <w:rsid w:val="00B47FF3"/>
    <w:rsid w:val="00B503D6"/>
    <w:rsid w:val="00B51520"/>
    <w:rsid w:val="00B515C3"/>
    <w:rsid w:val="00B517C2"/>
    <w:rsid w:val="00B518CE"/>
    <w:rsid w:val="00B51F56"/>
    <w:rsid w:val="00B51FAF"/>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04"/>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98A"/>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4C1"/>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9C4"/>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74A"/>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150"/>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5BD2"/>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653"/>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05A"/>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55D"/>
    <w:rsid w:val="00CC56B4"/>
    <w:rsid w:val="00CC5F95"/>
    <w:rsid w:val="00CC642A"/>
    <w:rsid w:val="00CC6AC7"/>
    <w:rsid w:val="00CC733D"/>
    <w:rsid w:val="00CC7617"/>
    <w:rsid w:val="00CC775B"/>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62C"/>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969"/>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1FD"/>
    <w:rsid w:val="00E0479F"/>
    <w:rsid w:val="00E04816"/>
    <w:rsid w:val="00E04982"/>
    <w:rsid w:val="00E04D6A"/>
    <w:rsid w:val="00E058DB"/>
    <w:rsid w:val="00E05950"/>
    <w:rsid w:val="00E05CD4"/>
    <w:rsid w:val="00E05DE8"/>
    <w:rsid w:val="00E06100"/>
    <w:rsid w:val="00E0614E"/>
    <w:rsid w:val="00E06E97"/>
    <w:rsid w:val="00E07B8F"/>
    <w:rsid w:val="00E07D1B"/>
    <w:rsid w:val="00E105CE"/>
    <w:rsid w:val="00E10712"/>
    <w:rsid w:val="00E10DD1"/>
    <w:rsid w:val="00E11C7F"/>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C03"/>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B0D"/>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D96"/>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99B"/>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2ABC"/>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4DA7"/>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D2C"/>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4732"/>
    <w:rsid w:val="010121B4"/>
    <w:rsid w:val="010230DF"/>
    <w:rsid w:val="010651D9"/>
    <w:rsid w:val="010C3DC8"/>
    <w:rsid w:val="010E72CB"/>
    <w:rsid w:val="01137ECF"/>
    <w:rsid w:val="011646D7"/>
    <w:rsid w:val="01184357"/>
    <w:rsid w:val="0119565C"/>
    <w:rsid w:val="011F6449"/>
    <w:rsid w:val="012104EA"/>
    <w:rsid w:val="01214C67"/>
    <w:rsid w:val="01225F6B"/>
    <w:rsid w:val="012339ED"/>
    <w:rsid w:val="01236AFB"/>
    <w:rsid w:val="012610EE"/>
    <w:rsid w:val="01276B70"/>
    <w:rsid w:val="012C687B"/>
    <w:rsid w:val="012D42FD"/>
    <w:rsid w:val="012E1D7E"/>
    <w:rsid w:val="012F3F7C"/>
    <w:rsid w:val="012F7800"/>
    <w:rsid w:val="0131747F"/>
    <w:rsid w:val="01330404"/>
    <w:rsid w:val="01336206"/>
    <w:rsid w:val="01353907"/>
    <w:rsid w:val="0138268E"/>
    <w:rsid w:val="0140551C"/>
    <w:rsid w:val="01412F9D"/>
    <w:rsid w:val="01421AD5"/>
    <w:rsid w:val="014B38AD"/>
    <w:rsid w:val="01507D34"/>
    <w:rsid w:val="01526ABB"/>
    <w:rsid w:val="015441BC"/>
    <w:rsid w:val="01572F42"/>
    <w:rsid w:val="01575141"/>
    <w:rsid w:val="01582BC2"/>
    <w:rsid w:val="01593EC7"/>
    <w:rsid w:val="01596446"/>
    <w:rsid w:val="015C4E4C"/>
    <w:rsid w:val="016112D3"/>
    <w:rsid w:val="016234D2"/>
    <w:rsid w:val="0167795A"/>
    <w:rsid w:val="01680C5E"/>
    <w:rsid w:val="016853DB"/>
    <w:rsid w:val="016A52C3"/>
    <w:rsid w:val="016C1863"/>
    <w:rsid w:val="016E2B68"/>
    <w:rsid w:val="016F05E9"/>
    <w:rsid w:val="016F27E7"/>
    <w:rsid w:val="016F3463"/>
    <w:rsid w:val="01700269"/>
    <w:rsid w:val="01762172"/>
    <w:rsid w:val="01777BF4"/>
    <w:rsid w:val="01780EF9"/>
    <w:rsid w:val="017B1E7D"/>
    <w:rsid w:val="017B65FA"/>
    <w:rsid w:val="01802A82"/>
    <w:rsid w:val="01810503"/>
    <w:rsid w:val="01815F85"/>
    <w:rsid w:val="01844D0B"/>
    <w:rsid w:val="01877E8E"/>
    <w:rsid w:val="018A4696"/>
    <w:rsid w:val="018B6894"/>
    <w:rsid w:val="018F0B1E"/>
    <w:rsid w:val="01902D1C"/>
    <w:rsid w:val="0192621F"/>
    <w:rsid w:val="01933CA1"/>
    <w:rsid w:val="01937524"/>
    <w:rsid w:val="01944FA6"/>
    <w:rsid w:val="019571A4"/>
    <w:rsid w:val="019A10AD"/>
    <w:rsid w:val="019C23B2"/>
    <w:rsid w:val="019F7441"/>
    <w:rsid w:val="01A21D3D"/>
    <w:rsid w:val="01A377BE"/>
    <w:rsid w:val="01A45240"/>
    <w:rsid w:val="01A83C46"/>
    <w:rsid w:val="01AC264C"/>
    <w:rsid w:val="01AD00CE"/>
    <w:rsid w:val="01B01053"/>
    <w:rsid w:val="01B24556"/>
    <w:rsid w:val="01B31FD7"/>
    <w:rsid w:val="01B37585"/>
    <w:rsid w:val="01B4284A"/>
    <w:rsid w:val="01B709DD"/>
    <w:rsid w:val="01B97764"/>
    <w:rsid w:val="01C32272"/>
    <w:rsid w:val="01C35AF5"/>
    <w:rsid w:val="01C631F6"/>
    <w:rsid w:val="01CB2F01"/>
    <w:rsid w:val="01CF1907"/>
    <w:rsid w:val="01D14E0A"/>
    <w:rsid w:val="01D45D8F"/>
    <w:rsid w:val="01D55165"/>
    <w:rsid w:val="01D63491"/>
    <w:rsid w:val="01D70F12"/>
    <w:rsid w:val="01D86994"/>
    <w:rsid w:val="01DA571A"/>
    <w:rsid w:val="01DF6BF8"/>
    <w:rsid w:val="01E272A3"/>
    <w:rsid w:val="01E34D25"/>
    <w:rsid w:val="01E84A30"/>
    <w:rsid w:val="01EC2C57"/>
    <w:rsid w:val="01F178BE"/>
    <w:rsid w:val="01F30842"/>
    <w:rsid w:val="01F462C4"/>
    <w:rsid w:val="01F53D45"/>
    <w:rsid w:val="01F96EC8"/>
    <w:rsid w:val="01FA01CD"/>
    <w:rsid w:val="01FB23CB"/>
    <w:rsid w:val="01FC36D0"/>
    <w:rsid w:val="02013737"/>
    <w:rsid w:val="02017B58"/>
    <w:rsid w:val="020255DA"/>
    <w:rsid w:val="020277D8"/>
    <w:rsid w:val="020D13EC"/>
    <w:rsid w:val="0210412C"/>
    <w:rsid w:val="021065A4"/>
    <w:rsid w:val="02171CFC"/>
    <w:rsid w:val="021B0702"/>
    <w:rsid w:val="02231391"/>
    <w:rsid w:val="02233590"/>
    <w:rsid w:val="0225319F"/>
    <w:rsid w:val="02295499"/>
    <w:rsid w:val="022E1921"/>
    <w:rsid w:val="02304E24"/>
    <w:rsid w:val="02320327"/>
    <w:rsid w:val="02354B2F"/>
    <w:rsid w:val="023C44BA"/>
    <w:rsid w:val="023E1BBB"/>
    <w:rsid w:val="02410942"/>
    <w:rsid w:val="024318C6"/>
    <w:rsid w:val="02436043"/>
    <w:rsid w:val="0246107B"/>
    <w:rsid w:val="02474A49"/>
    <w:rsid w:val="024D21D6"/>
    <w:rsid w:val="024D26B1"/>
    <w:rsid w:val="024E7C57"/>
    <w:rsid w:val="0252665D"/>
    <w:rsid w:val="02543D5F"/>
    <w:rsid w:val="025517E0"/>
    <w:rsid w:val="02567262"/>
    <w:rsid w:val="025D5F33"/>
    <w:rsid w:val="025E466E"/>
    <w:rsid w:val="025E7EF2"/>
    <w:rsid w:val="025F0711"/>
    <w:rsid w:val="02646578"/>
    <w:rsid w:val="026929FF"/>
    <w:rsid w:val="026B2E25"/>
    <w:rsid w:val="026D1CA4"/>
    <w:rsid w:val="02765598"/>
    <w:rsid w:val="02824C2E"/>
    <w:rsid w:val="02824D4D"/>
    <w:rsid w:val="02840131"/>
    <w:rsid w:val="02867DB1"/>
    <w:rsid w:val="028832B4"/>
    <w:rsid w:val="02892562"/>
    <w:rsid w:val="028C773C"/>
    <w:rsid w:val="028E0A41"/>
    <w:rsid w:val="028F06C1"/>
    <w:rsid w:val="02903F44"/>
    <w:rsid w:val="02906142"/>
    <w:rsid w:val="029370C7"/>
    <w:rsid w:val="02975ACD"/>
    <w:rsid w:val="02990FD0"/>
    <w:rsid w:val="029A2472"/>
    <w:rsid w:val="029F675D"/>
    <w:rsid w:val="02A13CD3"/>
    <w:rsid w:val="02A318E0"/>
    <w:rsid w:val="02A35163"/>
    <w:rsid w:val="02A73B69"/>
    <w:rsid w:val="02A75D67"/>
    <w:rsid w:val="02A837E9"/>
    <w:rsid w:val="02AA4AEE"/>
    <w:rsid w:val="02AD34F4"/>
    <w:rsid w:val="02AD7AC3"/>
    <w:rsid w:val="02AE0F75"/>
    <w:rsid w:val="02B16677"/>
    <w:rsid w:val="02B2797C"/>
    <w:rsid w:val="02B313FF"/>
    <w:rsid w:val="02B5507D"/>
    <w:rsid w:val="02B66382"/>
    <w:rsid w:val="02B81885"/>
    <w:rsid w:val="02BD7F0B"/>
    <w:rsid w:val="02C47896"/>
    <w:rsid w:val="02C7081A"/>
    <w:rsid w:val="02C92731"/>
    <w:rsid w:val="02CD2724"/>
    <w:rsid w:val="02CE01A5"/>
    <w:rsid w:val="02CE18F8"/>
    <w:rsid w:val="02DA7354"/>
    <w:rsid w:val="02DB52BD"/>
    <w:rsid w:val="02DC4B10"/>
    <w:rsid w:val="02DD76CE"/>
    <w:rsid w:val="02E77997"/>
    <w:rsid w:val="02E845D2"/>
    <w:rsid w:val="02EB5557"/>
    <w:rsid w:val="02EE1D5F"/>
    <w:rsid w:val="02F36323"/>
    <w:rsid w:val="02F5619C"/>
    <w:rsid w:val="02F74BED"/>
    <w:rsid w:val="02F76DEB"/>
    <w:rsid w:val="02F922EE"/>
    <w:rsid w:val="02FA7D70"/>
    <w:rsid w:val="02FE1FF9"/>
    <w:rsid w:val="03012D45"/>
    <w:rsid w:val="0303320E"/>
    <w:rsid w:val="03036481"/>
    <w:rsid w:val="030410E3"/>
    <w:rsid w:val="03056101"/>
    <w:rsid w:val="030D6D91"/>
    <w:rsid w:val="030F2294"/>
    <w:rsid w:val="03130C9A"/>
    <w:rsid w:val="03151C1F"/>
    <w:rsid w:val="032469B6"/>
    <w:rsid w:val="0326446A"/>
    <w:rsid w:val="03271B39"/>
    <w:rsid w:val="0327793A"/>
    <w:rsid w:val="032853BC"/>
    <w:rsid w:val="03287C8E"/>
    <w:rsid w:val="0329503C"/>
    <w:rsid w:val="032A15BC"/>
    <w:rsid w:val="032D3A42"/>
    <w:rsid w:val="032D5555"/>
    <w:rsid w:val="032F27C8"/>
    <w:rsid w:val="033311CF"/>
    <w:rsid w:val="03337F28"/>
    <w:rsid w:val="03350E4E"/>
    <w:rsid w:val="033B56D0"/>
    <w:rsid w:val="033E7560"/>
    <w:rsid w:val="034339E7"/>
    <w:rsid w:val="03456EEA"/>
    <w:rsid w:val="034E307D"/>
    <w:rsid w:val="0351077F"/>
    <w:rsid w:val="03514002"/>
    <w:rsid w:val="03526200"/>
    <w:rsid w:val="03575F0B"/>
    <w:rsid w:val="0359140E"/>
    <w:rsid w:val="035A6E90"/>
    <w:rsid w:val="03600D99"/>
    <w:rsid w:val="03655221"/>
    <w:rsid w:val="036634D2"/>
    <w:rsid w:val="036B1328"/>
    <w:rsid w:val="036D00AF"/>
    <w:rsid w:val="036D4CB4"/>
    <w:rsid w:val="036E126B"/>
    <w:rsid w:val="037057B0"/>
    <w:rsid w:val="03736735"/>
    <w:rsid w:val="03747A3A"/>
    <w:rsid w:val="037554BB"/>
    <w:rsid w:val="03772BBD"/>
    <w:rsid w:val="037A1943"/>
    <w:rsid w:val="037B73C5"/>
    <w:rsid w:val="037C7044"/>
    <w:rsid w:val="037D28C8"/>
    <w:rsid w:val="038247D1"/>
    <w:rsid w:val="03832252"/>
    <w:rsid w:val="03843986"/>
    <w:rsid w:val="038631D7"/>
    <w:rsid w:val="038753D5"/>
    <w:rsid w:val="038A635A"/>
    <w:rsid w:val="038D2B62"/>
    <w:rsid w:val="038E4D60"/>
    <w:rsid w:val="039446EB"/>
    <w:rsid w:val="039A1E78"/>
    <w:rsid w:val="039B78F9"/>
    <w:rsid w:val="03A7370C"/>
    <w:rsid w:val="03A96C0F"/>
    <w:rsid w:val="03B11A9D"/>
    <w:rsid w:val="03B254D9"/>
    <w:rsid w:val="03B42A21"/>
    <w:rsid w:val="03B504A3"/>
    <w:rsid w:val="03BB23AC"/>
    <w:rsid w:val="03BD58AF"/>
    <w:rsid w:val="03C21D37"/>
    <w:rsid w:val="03C255BA"/>
    <w:rsid w:val="03C4523A"/>
    <w:rsid w:val="03CC5ECA"/>
    <w:rsid w:val="03CF104D"/>
    <w:rsid w:val="03D454D5"/>
    <w:rsid w:val="03D45E6A"/>
    <w:rsid w:val="03DD0363"/>
    <w:rsid w:val="03DD35E4"/>
    <w:rsid w:val="03DF12E7"/>
    <w:rsid w:val="03E43571"/>
    <w:rsid w:val="03E50FF2"/>
    <w:rsid w:val="03E63A70"/>
    <w:rsid w:val="03F4380B"/>
    <w:rsid w:val="03F45FE6"/>
    <w:rsid w:val="03F70F0C"/>
    <w:rsid w:val="03F91E91"/>
    <w:rsid w:val="03FB3196"/>
    <w:rsid w:val="03FC0C17"/>
    <w:rsid w:val="04061B78"/>
    <w:rsid w:val="04076900"/>
    <w:rsid w:val="041078B8"/>
    <w:rsid w:val="0411533A"/>
    <w:rsid w:val="041A5A3B"/>
    <w:rsid w:val="041B14CC"/>
    <w:rsid w:val="041F5C02"/>
    <w:rsid w:val="042311BA"/>
    <w:rsid w:val="042652DF"/>
    <w:rsid w:val="042807E2"/>
    <w:rsid w:val="042B157A"/>
    <w:rsid w:val="042B5EE3"/>
    <w:rsid w:val="042B6695"/>
    <w:rsid w:val="042C3965"/>
    <w:rsid w:val="042E26EB"/>
    <w:rsid w:val="04301D26"/>
    <w:rsid w:val="04330D71"/>
    <w:rsid w:val="04392C7B"/>
    <w:rsid w:val="043D1681"/>
    <w:rsid w:val="043E7102"/>
    <w:rsid w:val="043F4B84"/>
    <w:rsid w:val="0444100C"/>
    <w:rsid w:val="0446450F"/>
    <w:rsid w:val="04475814"/>
    <w:rsid w:val="04477A12"/>
    <w:rsid w:val="04492F15"/>
    <w:rsid w:val="044A0997"/>
    <w:rsid w:val="044B421A"/>
    <w:rsid w:val="044C1C9B"/>
    <w:rsid w:val="044F2C20"/>
    <w:rsid w:val="045028A0"/>
    <w:rsid w:val="04513BA5"/>
    <w:rsid w:val="04587CAC"/>
    <w:rsid w:val="045B44B4"/>
    <w:rsid w:val="045E1BB5"/>
    <w:rsid w:val="045F50B9"/>
    <w:rsid w:val="04647533"/>
    <w:rsid w:val="046D71A3"/>
    <w:rsid w:val="0474428B"/>
    <w:rsid w:val="04786A62"/>
    <w:rsid w:val="047D246A"/>
    <w:rsid w:val="04860B7C"/>
    <w:rsid w:val="048707FB"/>
    <w:rsid w:val="048A5003"/>
    <w:rsid w:val="048C0506"/>
    <w:rsid w:val="048D2705"/>
    <w:rsid w:val="048E0186"/>
    <w:rsid w:val="048F763B"/>
    <w:rsid w:val="04903A62"/>
    <w:rsid w:val="0491110B"/>
    <w:rsid w:val="04921C4C"/>
    <w:rsid w:val="04926B8C"/>
    <w:rsid w:val="04937E91"/>
    <w:rsid w:val="04942090"/>
    <w:rsid w:val="04980A96"/>
    <w:rsid w:val="04993F99"/>
    <w:rsid w:val="049C2D1F"/>
    <w:rsid w:val="049C4F1D"/>
    <w:rsid w:val="049F330E"/>
    <w:rsid w:val="04AA775C"/>
    <w:rsid w:val="04AF1889"/>
    <w:rsid w:val="04B03BBE"/>
    <w:rsid w:val="04B0613C"/>
    <w:rsid w:val="04B17441"/>
    <w:rsid w:val="04BD0CD5"/>
    <w:rsid w:val="04BF41D9"/>
    <w:rsid w:val="04C218DA"/>
    <w:rsid w:val="04C560E2"/>
    <w:rsid w:val="04C6056D"/>
    <w:rsid w:val="04C837E3"/>
    <w:rsid w:val="04C87066"/>
    <w:rsid w:val="04CA4768"/>
    <w:rsid w:val="04CB21E9"/>
    <w:rsid w:val="04CC7C6B"/>
    <w:rsid w:val="04D253F8"/>
    <w:rsid w:val="04D420D2"/>
    <w:rsid w:val="04D87301"/>
    <w:rsid w:val="04DB0285"/>
    <w:rsid w:val="04DE120A"/>
    <w:rsid w:val="04E0470D"/>
    <w:rsid w:val="04E25945"/>
    <w:rsid w:val="04E8759B"/>
    <w:rsid w:val="04EB6322"/>
    <w:rsid w:val="04EE72A6"/>
    <w:rsid w:val="04EF6F26"/>
    <w:rsid w:val="04F049A8"/>
    <w:rsid w:val="04F44D0F"/>
    <w:rsid w:val="04F66F48"/>
    <w:rsid w:val="04F97836"/>
    <w:rsid w:val="04FB2D39"/>
    <w:rsid w:val="04FC07BA"/>
    <w:rsid w:val="04FE3CBD"/>
    <w:rsid w:val="05002A44"/>
    <w:rsid w:val="050071C0"/>
    <w:rsid w:val="050B2FD3"/>
    <w:rsid w:val="050B6856"/>
    <w:rsid w:val="050C0A55"/>
    <w:rsid w:val="0512295E"/>
    <w:rsid w:val="05133C63"/>
    <w:rsid w:val="05164BE7"/>
    <w:rsid w:val="05176DE6"/>
    <w:rsid w:val="05184867"/>
    <w:rsid w:val="05195543"/>
    <w:rsid w:val="05195B6C"/>
    <w:rsid w:val="051D4572"/>
    <w:rsid w:val="051E1FF4"/>
    <w:rsid w:val="052109FA"/>
    <w:rsid w:val="052136C5"/>
    <w:rsid w:val="0522647B"/>
    <w:rsid w:val="05234062"/>
    <w:rsid w:val="0524197F"/>
    <w:rsid w:val="05251E14"/>
    <w:rsid w:val="05253B7D"/>
    <w:rsid w:val="052A0005"/>
    <w:rsid w:val="052C3508"/>
    <w:rsid w:val="052C6D8B"/>
    <w:rsid w:val="052D0F89"/>
    <w:rsid w:val="05305791"/>
    <w:rsid w:val="053960A1"/>
    <w:rsid w:val="053C7025"/>
    <w:rsid w:val="053F7FAA"/>
    <w:rsid w:val="05405A2B"/>
    <w:rsid w:val="054369B0"/>
    <w:rsid w:val="054E05C4"/>
    <w:rsid w:val="054F43D4"/>
    <w:rsid w:val="054F6046"/>
    <w:rsid w:val="05503AC8"/>
    <w:rsid w:val="055659D1"/>
    <w:rsid w:val="05574887"/>
    <w:rsid w:val="0559105E"/>
    <w:rsid w:val="055A1E59"/>
    <w:rsid w:val="055A5676"/>
    <w:rsid w:val="055A65D5"/>
    <w:rsid w:val="055E085F"/>
    <w:rsid w:val="056239E2"/>
    <w:rsid w:val="05634CE7"/>
    <w:rsid w:val="056736ED"/>
    <w:rsid w:val="05687B56"/>
    <w:rsid w:val="056A6870"/>
    <w:rsid w:val="056B0BD7"/>
    <w:rsid w:val="056C1D73"/>
    <w:rsid w:val="05761DD9"/>
    <w:rsid w:val="057A48CB"/>
    <w:rsid w:val="057D5890"/>
    <w:rsid w:val="05831998"/>
    <w:rsid w:val="05852C9D"/>
    <w:rsid w:val="058761A0"/>
    <w:rsid w:val="058A1323"/>
    <w:rsid w:val="058C00A9"/>
    <w:rsid w:val="058C4826"/>
    <w:rsid w:val="058D5B2B"/>
    <w:rsid w:val="058F57AB"/>
    <w:rsid w:val="05906AAF"/>
    <w:rsid w:val="05926700"/>
    <w:rsid w:val="059341B1"/>
    <w:rsid w:val="05941C32"/>
    <w:rsid w:val="059609B9"/>
    <w:rsid w:val="05983EBC"/>
    <w:rsid w:val="059C28C2"/>
    <w:rsid w:val="05A16594"/>
    <w:rsid w:val="05A475AD"/>
    <w:rsid w:val="05A62E06"/>
    <w:rsid w:val="05A7762D"/>
    <w:rsid w:val="05B63C7F"/>
    <w:rsid w:val="05B70EED"/>
    <w:rsid w:val="05B74771"/>
    <w:rsid w:val="05C41034"/>
    <w:rsid w:val="05CA210C"/>
    <w:rsid w:val="05D064B8"/>
    <w:rsid w:val="05D07899"/>
    <w:rsid w:val="05D11A97"/>
    <w:rsid w:val="05D27519"/>
    <w:rsid w:val="05D3081E"/>
    <w:rsid w:val="05D32A1C"/>
    <w:rsid w:val="05D4049D"/>
    <w:rsid w:val="05D84CA5"/>
    <w:rsid w:val="05E11D32"/>
    <w:rsid w:val="05E23036"/>
    <w:rsid w:val="05E46539"/>
    <w:rsid w:val="05E816BC"/>
    <w:rsid w:val="05E929C1"/>
    <w:rsid w:val="05E9638D"/>
    <w:rsid w:val="05EC3946"/>
    <w:rsid w:val="05EF48CA"/>
    <w:rsid w:val="05F0234C"/>
    <w:rsid w:val="05F0535E"/>
    <w:rsid w:val="05F11FCC"/>
    <w:rsid w:val="05F467D4"/>
    <w:rsid w:val="05F66454"/>
    <w:rsid w:val="05F973D8"/>
    <w:rsid w:val="05FA06DD"/>
    <w:rsid w:val="05FB28DB"/>
    <w:rsid w:val="05FC035D"/>
    <w:rsid w:val="06040FED"/>
    <w:rsid w:val="060A2EF6"/>
    <w:rsid w:val="060B7A81"/>
    <w:rsid w:val="060E5804"/>
    <w:rsid w:val="060E5941"/>
    <w:rsid w:val="06102881"/>
    <w:rsid w:val="06110FAF"/>
    <w:rsid w:val="06156D08"/>
    <w:rsid w:val="061C6693"/>
    <w:rsid w:val="061D7998"/>
    <w:rsid w:val="06220179"/>
    <w:rsid w:val="06241521"/>
    <w:rsid w:val="062637A2"/>
    <w:rsid w:val="062C21B1"/>
    <w:rsid w:val="062F3136"/>
    <w:rsid w:val="063B36C5"/>
    <w:rsid w:val="063E20CB"/>
    <w:rsid w:val="06413050"/>
    <w:rsid w:val="06420AD1"/>
    <w:rsid w:val="06426C98"/>
    <w:rsid w:val="06430CCF"/>
    <w:rsid w:val="06434355"/>
    <w:rsid w:val="06443FD4"/>
    <w:rsid w:val="06451A56"/>
    <w:rsid w:val="0648625E"/>
    <w:rsid w:val="06493CA7"/>
    <w:rsid w:val="064B71E3"/>
    <w:rsid w:val="064E48E4"/>
    <w:rsid w:val="064F2365"/>
    <w:rsid w:val="0650366A"/>
    <w:rsid w:val="065232EA"/>
    <w:rsid w:val="06526B6D"/>
    <w:rsid w:val="0654426F"/>
    <w:rsid w:val="06572FF5"/>
    <w:rsid w:val="06580A77"/>
    <w:rsid w:val="065906F6"/>
    <w:rsid w:val="065A6178"/>
    <w:rsid w:val="065B747D"/>
    <w:rsid w:val="065C4EFE"/>
    <w:rsid w:val="065F2600"/>
    <w:rsid w:val="065F55F6"/>
    <w:rsid w:val="06626E08"/>
    <w:rsid w:val="06646A88"/>
    <w:rsid w:val="0666580E"/>
    <w:rsid w:val="06674415"/>
    <w:rsid w:val="066B1C96"/>
    <w:rsid w:val="066F1CF3"/>
    <w:rsid w:val="06733D9B"/>
    <w:rsid w:val="067C79B2"/>
    <w:rsid w:val="06840641"/>
    <w:rsid w:val="068602C1"/>
    <w:rsid w:val="068715C6"/>
    <w:rsid w:val="0687638C"/>
    <w:rsid w:val="068A254B"/>
    <w:rsid w:val="068D23FA"/>
    <w:rsid w:val="06930BB8"/>
    <w:rsid w:val="06983A5E"/>
    <w:rsid w:val="069C5CE8"/>
    <w:rsid w:val="069F33E9"/>
    <w:rsid w:val="069F6C6D"/>
    <w:rsid w:val="06A168EC"/>
    <w:rsid w:val="06A2436E"/>
    <w:rsid w:val="06A31DF0"/>
    <w:rsid w:val="06A47871"/>
    <w:rsid w:val="06AC0501"/>
    <w:rsid w:val="06AC5F82"/>
    <w:rsid w:val="06AE5C02"/>
    <w:rsid w:val="06B16B87"/>
    <w:rsid w:val="06C013A0"/>
    <w:rsid w:val="06C071A1"/>
    <w:rsid w:val="06C47DA6"/>
    <w:rsid w:val="06C632A9"/>
    <w:rsid w:val="06CA4402"/>
    <w:rsid w:val="06CC0A35"/>
    <w:rsid w:val="06D45E42"/>
    <w:rsid w:val="06DC324E"/>
    <w:rsid w:val="06DF1C54"/>
    <w:rsid w:val="06E3065B"/>
    <w:rsid w:val="06E822A2"/>
    <w:rsid w:val="06F05772"/>
    <w:rsid w:val="06F51BFA"/>
    <w:rsid w:val="06F772FB"/>
    <w:rsid w:val="06F84880"/>
    <w:rsid w:val="06F927FE"/>
    <w:rsid w:val="06FD4A88"/>
    <w:rsid w:val="07017C0B"/>
    <w:rsid w:val="07051E94"/>
    <w:rsid w:val="07056611"/>
    <w:rsid w:val="07067916"/>
    <w:rsid w:val="07075397"/>
    <w:rsid w:val="07082E19"/>
    <w:rsid w:val="0709241E"/>
    <w:rsid w:val="070964EC"/>
    <w:rsid w:val="070B3D9D"/>
    <w:rsid w:val="070C181F"/>
    <w:rsid w:val="070C5F9C"/>
    <w:rsid w:val="070D149F"/>
    <w:rsid w:val="070D50D4"/>
    <w:rsid w:val="07102423"/>
    <w:rsid w:val="0712113E"/>
    <w:rsid w:val="07125927"/>
    <w:rsid w:val="071311AA"/>
    <w:rsid w:val="0715212E"/>
    <w:rsid w:val="071546AD"/>
    <w:rsid w:val="071E1739"/>
    <w:rsid w:val="071E4FBC"/>
    <w:rsid w:val="072239C3"/>
    <w:rsid w:val="07231444"/>
    <w:rsid w:val="07245D42"/>
    <w:rsid w:val="07264C62"/>
    <w:rsid w:val="072919FB"/>
    <w:rsid w:val="072D3F52"/>
    <w:rsid w:val="072E5257"/>
    <w:rsid w:val="0739522E"/>
    <w:rsid w:val="074531B4"/>
    <w:rsid w:val="07454E7C"/>
    <w:rsid w:val="074D008A"/>
    <w:rsid w:val="074D2288"/>
    <w:rsid w:val="074D44A4"/>
    <w:rsid w:val="074E358D"/>
    <w:rsid w:val="07526710"/>
    <w:rsid w:val="07552F18"/>
    <w:rsid w:val="07572B98"/>
    <w:rsid w:val="075D4AA1"/>
    <w:rsid w:val="075E5DA6"/>
    <w:rsid w:val="076034A7"/>
    <w:rsid w:val="07610F29"/>
    <w:rsid w:val="07691BB9"/>
    <w:rsid w:val="076B1838"/>
    <w:rsid w:val="076B50BC"/>
    <w:rsid w:val="076E27BD"/>
    <w:rsid w:val="076E4620"/>
    <w:rsid w:val="07705CC0"/>
    <w:rsid w:val="07713742"/>
    <w:rsid w:val="07751DC8"/>
    <w:rsid w:val="07752148"/>
    <w:rsid w:val="077559CB"/>
    <w:rsid w:val="0776564B"/>
    <w:rsid w:val="07770ECE"/>
    <w:rsid w:val="0779354C"/>
    <w:rsid w:val="077C7554"/>
    <w:rsid w:val="077F14C3"/>
    <w:rsid w:val="07836EDF"/>
    <w:rsid w:val="078523E2"/>
    <w:rsid w:val="07886BEA"/>
    <w:rsid w:val="078B7B6F"/>
    <w:rsid w:val="078D3072"/>
    <w:rsid w:val="07913C76"/>
    <w:rsid w:val="079511E1"/>
    <w:rsid w:val="079600FE"/>
    <w:rsid w:val="079A2388"/>
    <w:rsid w:val="079D38E1"/>
    <w:rsid w:val="07AB18D9"/>
    <w:rsid w:val="07AF6AAA"/>
    <w:rsid w:val="07B04F69"/>
    <w:rsid w:val="07B21C22"/>
    <w:rsid w:val="07B27A2E"/>
    <w:rsid w:val="07B77739"/>
    <w:rsid w:val="07B92C3C"/>
    <w:rsid w:val="07BA06BE"/>
    <w:rsid w:val="07BB28BC"/>
    <w:rsid w:val="07BC3BC1"/>
    <w:rsid w:val="07BE70C4"/>
    <w:rsid w:val="07C25ACA"/>
    <w:rsid w:val="07CE18DD"/>
    <w:rsid w:val="07CE3ADB"/>
    <w:rsid w:val="07D224E1"/>
    <w:rsid w:val="07D37038"/>
    <w:rsid w:val="07D60EE8"/>
    <w:rsid w:val="07D956F0"/>
    <w:rsid w:val="07DA78EE"/>
    <w:rsid w:val="07DC6674"/>
    <w:rsid w:val="07E45C7F"/>
    <w:rsid w:val="07ED4390"/>
    <w:rsid w:val="07F17513"/>
    <w:rsid w:val="07F55F19"/>
    <w:rsid w:val="07F6721E"/>
    <w:rsid w:val="07F7141C"/>
    <w:rsid w:val="07F74CA0"/>
    <w:rsid w:val="07F92722"/>
    <w:rsid w:val="07FA7E23"/>
    <w:rsid w:val="07FF7B2E"/>
    <w:rsid w:val="08061376"/>
    <w:rsid w:val="0808754A"/>
    <w:rsid w:val="0809043D"/>
    <w:rsid w:val="080A0D2D"/>
    <w:rsid w:val="080A78AC"/>
    <w:rsid w:val="080C13C2"/>
    <w:rsid w:val="08125054"/>
    <w:rsid w:val="08180A58"/>
    <w:rsid w:val="081A3F5B"/>
    <w:rsid w:val="081B3BDB"/>
    <w:rsid w:val="081E2961"/>
    <w:rsid w:val="081F25E1"/>
    <w:rsid w:val="082038E6"/>
    <w:rsid w:val="08217FA4"/>
    <w:rsid w:val="082535EF"/>
    <w:rsid w:val="08261F6C"/>
    <w:rsid w:val="08280CF2"/>
    <w:rsid w:val="082A0972"/>
    <w:rsid w:val="082A6CC4"/>
    <w:rsid w:val="082B63F3"/>
    <w:rsid w:val="082D18F6"/>
    <w:rsid w:val="082E7F45"/>
    <w:rsid w:val="08380F8C"/>
    <w:rsid w:val="0838123A"/>
    <w:rsid w:val="083C7992"/>
    <w:rsid w:val="083E2E96"/>
    <w:rsid w:val="083E7612"/>
    <w:rsid w:val="08402B15"/>
    <w:rsid w:val="08410597"/>
    <w:rsid w:val="0844151C"/>
    <w:rsid w:val="08452D77"/>
    <w:rsid w:val="084F532E"/>
    <w:rsid w:val="08500BB1"/>
    <w:rsid w:val="08510831"/>
    <w:rsid w:val="08521B36"/>
    <w:rsid w:val="08557FB6"/>
    <w:rsid w:val="085B49C4"/>
    <w:rsid w:val="08610ACC"/>
    <w:rsid w:val="0862434F"/>
    <w:rsid w:val="086401F8"/>
    <w:rsid w:val="08674306"/>
    <w:rsid w:val="08686258"/>
    <w:rsid w:val="0869175B"/>
    <w:rsid w:val="08716B68"/>
    <w:rsid w:val="08747AEC"/>
    <w:rsid w:val="08751CAA"/>
    <w:rsid w:val="087A19F6"/>
    <w:rsid w:val="087E4C40"/>
    <w:rsid w:val="087F398B"/>
    <w:rsid w:val="087F5E7D"/>
    <w:rsid w:val="08801380"/>
    <w:rsid w:val="08845B88"/>
    <w:rsid w:val="0885360A"/>
    <w:rsid w:val="0888458F"/>
    <w:rsid w:val="088A6319"/>
    <w:rsid w:val="088C0A16"/>
    <w:rsid w:val="088E3F19"/>
    <w:rsid w:val="088F199B"/>
    <w:rsid w:val="08901AB4"/>
    <w:rsid w:val="0890741D"/>
    <w:rsid w:val="08950021"/>
    <w:rsid w:val="089538A4"/>
    <w:rsid w:val="08986A27"/>
    <w:rsid w:val="089D3FDB"/>
    <w:rsid w:val="08A3063C"/>
    <w:rsid w:val="08A53B3F"/>
    <w:rsid w:val="08A871D0"/>
    <w:rsid w:val="08AA4743"/>
    <w:rsid w:val="08AB21C5"/>
    <w:rsid w:val="08AE3149"/>
    <w:rsid w:val="08B35053"/>
    <w:rsid w:val="08B42AD4"/>
    <w:rsid w:val="08BC3764"/>
    <w:rsid w:val="08C14368"/>
    <w:rsid w:val="08C40B70"/>
    <w:rsid w:val="08C76272"/>
    <w:rsid w:val="08D12C20"/>
    <w:rsid w:val="08D17E86"/>
    <w:rsid w:val="08D66AD6"/>
    <w:rsid w:val="08D95292"/>
    <w:rsid w:val="08DA2D14"/>
    <w:rsid w:val="08DA33A3"/>
    <w:rsid w:val="08DE171A"/>
    <w:rsid w:val="08DF719C"/>
    <w:rsid w:val="08E54928"/>
    <w:rsid w:val="08E66B26"/>
    <w:rsid w:val="08E80F13"/>
    <w:rsid w:val="08EC64B1"/>
    <w:rsid w:val="08ED3F33"/>
    <w:rsid w:val="08F04EB8"/>
    <w:rsid w:val="08FB6ACC"/>
    <w:rsid w:val="08FE41CD"/>
    <w:rsid w:val="090048DC"/>
    <w:rsid w:val="09026457"/>
    <w:rsid w:val="090573DB"/>
    <w:rsid w:val="090728DE"/>
    <w:rsid w:val="0908255E"/>
    <w:rsid w:val="090A5A61"/>
    <w:rsid w:val="090B34E3"/>
    <w:rsid w:val="090B419B"/>
    <w:rsid w:val="091308EF"/>
    <w:rsid w:val="091805FA"/>
    <w:rsid w:val="091A5CFC"/>
    <w:rsid w:val="091B27E2"/>
    <w:rsid w:val="091E138C"/>
    <w:rsid w:val="091F2183"/>
    <w:rsid w:val="09210F0A"/>
    <w:rsid w:val="09213488"/>
    <w:rsid w:val="09215687"/>
    <w:rsid w:val="09223108"/>
    <w:rsid w:val="09265392"/>
    <w:rsid w:val="09296316"/>
    <w:rsid w:val="092A3D98"/>
    <w:rsid w:val="092B1819"/>
    <w:rsid w:val="092E279E"/>
    <w:rsid w:val="092F499C"/>
    <w:rsid w:val="09313723"/>
    <w:rsid w:val="09335624"/>
    <w:rsid w:val="09342F98"/>
    <w:rsid w:val="0936685A"/>
    <w:rsid w:val="09367BAA"/>
    <w:rsid w:val="0937514F"/>
    <w:rsid w:val="0939688D"/>
    <w:rsid w:val="093A4032"/>
    <w:rsid w:val="093A65B1"/>
    <w:rsid w:val="093B1AB4"/>
    <w:rsid w:val="093E2A38"/>
    <w:rsid w:val="0944690F"/>
    <w:rsid w:val="094523C3"/>
    <w:rsid w:val="094758C6"/>
    <w:rsid w:val="094A20CE"/>
    <w:rsid w:val="094D3053"/>
    <w:rsid w:val="09503FD7"/>
    <w:rsid w:val="09520ED8"/>
    <w:rsid w:val="095216D9"/>
    <w:rsid w:val="09535675"/>
    <w:rsid w:val="09565EE1"/>
    <w:rsid w:val="0957472D"/>
    <w:rsid w:val="095D32ED"/>
    <w:rsid w:val="095E1ED5"/>
    <w:rsid w:val="095E54EB"/>
    <w:rsid w:val="095F057D"/>
    <w:rsid w:val="095F67F0"/>
    <w:rsid w:val="09604272"/>
    <w:rsid w:val="09642282"/>
    <w:rsid w:val="096878F0"/>
    <w:rsid w:val="096C2283"/>
    <w:rsid w:val="09731054"/>
    <w:rsid w:val="09731C0E"/>
    <w:rsid w:val="09733572"/>
    <w:rsid w:val="09770614"/>
    <w:rsid w:val="09772C16"/>
    <w:rsid w:val="097B289D"/>
    <w:rsid w:val="097D0541"/>
    <w:rsid w:val="09815806"/>
    <w:rsid w:val="098353B5"/>
    <w:rsid w:val="098553AB"/>
    <w:rsid w:val="098B72B4"/>
    <w:rsid w:val="098C05B9"/>
    <w:rsid w:val="098C4D36"/>
    <w:rsid w:val="098E3ABC"/>
    <w:rsid w:val="09957BC4"/>
    <w:rsid w:val="099730C7"/>
    <w:rsid w:val="09991E4D"/>
    <w:rsid w:val="09A017D8"/>
    <w:rsid w:val="09A2275D"/>
    <w:rsid w:val="09A24CDB"/>
    <w:rsid w:val="09A76BE4"/>
    <w:rsid w:val="09A84666"/>
    <w:rsid w:val="09A92330"/>
    <w:rsid w:val="09AF3FF1"/>
    <w:rsid w:val="09B06B87"/>
    <w:rsid w:val="09B40479"/>
    <w:rsid w:val="09B5177D"/>
    <w:rsid w:val="09B713FD"/>
    <w:rsid w:val="09B94900"/>
    <w:rsid w:val="09BB7E03"/>
    <w:rsid w:val="09BF39A3"/>
    <w:rsid w:val="09C13146"/>
    <w:rsid w:val="09C15590"/>
    <w:rsid w:val="09C1778E"/>
    <w:rsid w:val="09C25210"/>
    <w:rsid w:val="09C32C91"/>
    <w:rsid w:val="09C51A18"/>
    <w:rsid w:val="09C74F1B"/>
    <w:rsid w:val="09C9041E"/>
    <w:rsid w:val="09CA261C"/>
    <w:rsid w:val="09CD6E24"/>
    <w:rsid w:val="09D11FA7"/>
    <w:rsid w:val="09D32F2C"/>
    <w:rsid w:val="09D71932"/>
    <w:rsid w:val="09DC163D"/>
    <w:rsid w:val="09E04166"/>
    <w:rsid w:val="09E766C8"/>
    <w:rsid w:val="09E82694"/>
    <w:rsid w:val="09E85450"/>
    <w:rsid w:val="09E8771F"/>
    <w:rsid w:val="09EA0953"/>
    <w:rsid w:val="09EC3E56"/>
    <w:rsid w:val="09EE7359"/>
    <w:rsid w:val="09F25D5F"/>
    <w:rsid w:val="09F621E7"/>
    <w:rsid w:val="09F9316B"/>
    <w:rsid w:val="09FC086D"/>
    <w:rsid w:val="09FE7278"/>
    <w:rsid w:val="09FF5075"/>
    <w:rsid w:val="0A010578"/>
    <w:rsid w:val="0A0414FD"/>
    <w:rsid w:val="0A087F03"/>
    <w:rsid w:val="0A0A3406"/>
    <w:rsid w:val="0A195C1F"/>
    <w:rsid w:val="0A1C0718"/>
    <w:rsid w:val="0A1E3AD5"/>
    <w:rsid w:val="0A1F7B28"/>
    <w:rsid w:val="0A224330"/>
    <w:rsid w:val="0A295EB9"/>
    <w:rsid w:val="0A2A393B"/>
    <w:rsid w:val="0A305844"/>
    <w:rsid w:val="0A3245CA"/>
    <w:rsid w:val="0A33204C"/>
    <w:rsid w:val="0A34424A"/>
    <w:rsid w:val="0A357927"/>
    <w:rsid w:val="0A370A52"/>
    <w:rsid w:val="0A382C50"/>
    <w:rsid w:val="0A3864D3"/>
    <w:rsid w:val="0A3906D2"/>
    <w:rsid w:val="0A3B7458"/>
    <w:rsid w:val="0A3C4EDA"/>
    <w:rsid w:val="0A3C70D8"/>
    <w:rsid w:val="0A3D295B"/>
    <w:rsid w:val="0A3D4B5A"/>
    <w:rsid w:val="0A3E7710"/>
    <w:rsid w:val="0A3F005D"/>
    <w:rsid w:val="0A4038E0"/>
    <w:rsid w:val="0A413560"/>
    <w:rsid w:val="0A4444E4"/>
    <w:rsid w:val="0A4A1C71"/>
    <w:rsid w:val="0A4C1BD9"/>
    <w:rsid w:val="0A4E4DF4"/>
    <w:rsid w:val="0A4F2875"/>
    <w:rsid w:val="0A52707D"/>
    <w:rsid w:val="0A573505"/>
    <w:rsid w:val="0A5B1F0B"/>
    <w:rsid w:val="0A5B410A"/>
    <w:rsid w:val="0A5B7E63"/>
    <w:rsid w:val="0A5D5410"/>
    <w:rsid w:val="0A5E508E"/>
    <w:rsid w:val="0A611896"/>
    <w:rsid w:val="0A616013"/>
    <w:rsid w:val="0A623A94"/>
    <w:rsid w:val="0A627ADA"/>
    <w:rsid w:val="0A681221"/>
    <w:rsid w:val="0A735943"/>
    <w:rsid w:val="0A773A3A"/>
    <w:rsid w:val="0A791D37"/>
    <w:rsid w:val="0A7C3745"/>
    <w:rsid w:val="0A7C7EC1"/>
    <w:rsid w:val="0A814349"/>
    <w:rsid w:val="0A8565D3"/>
    <w:rsid w:val="0A864054"/>
    <w:rsid w:val="0A876253"/>
    <w:rsid w:val="0A891756"/>
    <w:rsid w:val="0A894FD9"/>
    <w:rsid w:val="0A8A2A5A"/>
    <w:rsid w:val="0A8D39DF"/>
    <w:rsid w:val="0A8E1890"/>
    <w:rsid w:val="0A922A21"/>
    <w:rsid w:val="0A930085"/>
    <w:rsid w:val="0A9358E8"/>
    <w:rsid w:val="0A937AE7"/>
    <w:rsid w:val="0A947E9A"/>
    <w:rsid w:val="0A9764ED"/>
    <w:rsid w:val="0AA2487E"/>
    <w:rsid w:val="0AA374A5"/>
    <w:rsid w:val="0AA43604"/>
    <w:rsid w:val="0AA47D81"/>
    <w:rsid w:val="0AA53284"/>
    <w:rsid w:val="0AAB7649"/>
    <w:rsid w:val="0AAE6112"/>
    <w:rsid w:val="0AAF7417"/>
    <w:rsid w:val="0AB24B18"/>
    <w:rsid w:val="0AB344FD"/>
    <w:rsid w:val="0AB74823"/>
    <w:rsid w:val="0ABB3229"/>
    <w:rsid w:val="0ABC5606"/>
    <w:rsid w:val="0ABC6883"/>
    <w:rsid w:val="0AC30636"/>
    <w:rsid w:val="0AC6703C"/>
    <w:rsid w:val="0AC7123A"/>
    <w:rsid w:val="0AC86CBC"/>
    <w:rsid w:val="0AC97FC1"/>
    <w:rsid w:val="0ACA55D0"/>
    <w:rsid w:val="0AD0794C"/>
    <w:rsid w:val="0AD12F3C"/>
    <w:rsid w:val="0AD27DEA"/>
    <w:rsid w:val="0AD772D6"/>
    <w:rsid w:val="0AE07BE6"/>
    <w:rsid w:val="0AE15667"/>
    <w:rsid w:val="0AE443EE"/>
    <w:rsid w:val="0AE941D3"/>
    <w:rsid w:val="0AEC39F9"/>
    <w:rsid w:val="0AEC727C"/>
    <w:rsid w:val="0AED4CFD"/>
    <w:rsid w:val="0AEF0F11"/>
    <w:rsid w:val="0AF44688"/>
    <w:rsid w:val="0AF54308"/>
    <w:rsid w:val="0AF7780B"/>
    <w:rsid w:val="0AFC3C93"/>
    <w:rsid w:val="0AFD1714"/>
    <w:rsid w:val="0AFD4F98"/>
    <w:rsid w:val="0AFD7516"/>
    <w:rsid w:val="0AFF48CA"/>
    <w:rsid w:val="0AFF4C18"/>
    <w:rsid w:val="0B02141F"/>
    <w:rsid w:val="0B036EA1"/>
    <w:rsid w:val="0B0523A4"/>
    <w:rsid w:val="0B0A2FA9"/>
    <w:rsid w:val="0B0B42AD"/>
    <w:rsid w:val="0B0C64AC"/>
    <w:rsid w:val="0B0D3F2D"/>
    <w:rsid w:val="0B125E37"/>
    <w:rsid w:val="0B154BBD"/>
    <w:rsid w:val="0B156DBB"/>
    <w:rsid w:val="0B1835C3"/>
    <w:rsid w:val="0B187D40"/>
    <w:rsid w:val="0B1957C1"/>
    <w:rsid w:val="0B1F76CB"/>
    <w:rsid w:val="0B2B6D61"/>
    <w:rsid w:val="0B2C587F"/>
    <w:rsid w:val="0B2C69E0"/>
    <w:rsid w:val="0B30404E"/>
    <w:rsid w:val="0B331BEE"/>
    <w:rsid w:val="0B3A1579"/>
    <w:rsid w:val="0B3B6FFB"/>
    <w:rsid w:val="0B3D1D48"/>
    <w:rsid w:val="0B410F04"/>
    <w:rsid w:val="0B434407"/>
    <w:rsid w:val="0B45790A"/>
    <w:rsid w:val="0B462E0D"/>
    <w:rsid w:val="0B4C6C14"/>
    <w:rsid w:val="0B547599"/>
    <w:rsid w:val="0B5B1AAE"/>
    <w:rsid w:val="0B5E04B4"/>
    <w:rsid w:val="0B5E62B6"/>
    <w:rsid w:val="0B631A88"/>
    <w:rsid w:val="0B6401BF"/>
    <w:rsid w:val="0B657E3F"/>
    <w:rsid w:val="0B676BC5"/>
    <w:rsid w:val="0B683D45"/>
    <w:rsid w:val="0B684647"/>
    <w:rsid w:val="0B6874AB"/>
    <w:rsid w:val="0B6B1D48"/>
    <w:rsid w:val="0B6E61C8"/>
    <w:rsid w:val="0B6F074F"/>
    <w:rsid w:val="0B6F3FD2"/>
    <w:rsid w:val="0B7174D5"/>
    <w:rsid w:val="0B755EDB"/>
    <w:rsid w:val="0B7948E1"/>
    <w:rsid w:val="0B7C073E"/>
    <w:rsid w:val="0B7D32E8"/>
    <w:rsid w:val="0B7F3F11"/>
    <w:rsid w:val="0B832C72"/>
    <w:rsid w:val="0B8406F4"/>
    <w:rsid w:val="0B856175"/>
    <w:rsid w:val="0B8709D7"/>
    <w:rsid w:val="0B883877"/>
    <w:rsid w:val="0B884417"/>
    <w:rsid w:val="0B8B47FB"/>
    <w:rsid w:val="0B8C227D"/>
    <w:rsid w:val="0B8C5B00"/>
    <w:rsid w:val="0B904506"/>
    <w:rsid w:val="0B93265A"/>
    <w:rsid w:val="0B93548B"/>
    <w:rsid w:val="0B973E91"/>
    <w:rsid w:val="0BA431A7"/>
    <w:rsid w:val="0BA50C29"/>
    <w:rsid w:val="0BAE3AB7"/>
    <w:rsid w:val="0BB04A3B"/>
    <w:rsid w:val="0BB337C2"/>
    <w:rsid w:val="0BB64746"/>
    <w:rsid w:val="0BB70ED4"/>
    <w:rsid w:val="0BB8255B"/>
    <w:rsid w:val="0BBB664F"/>
    <w:rsid w:val="0BBD1B53"/>
    <w:rsid w:val="0BC45C5A"/>
    <w:rsid w:val="0BC87F6C"/>
    <w:rsid w:val="0BC97B63"/>
    <w:rsid w:val="0BD26275"/>
    <w:rsid w:val="0BD53976"/>
    <w:rsid w:val="0BDA7DFE"/>
    <w:rsid w:val="0BDB1103"/>
    <w:rsid w:val="0BDB587F"/>
    <w:rsid w:val="0BDD4606"/>
    <w:rsid w:val="0BE01DA1"/>
    <w:rsid w:val="0BE0558A"/>
    <w:rsid w:val="0BE14DBE"/>
    <w:rsid w:val="0BE20A8D"/>
    <w:rsid w:val="0BE3070D"/>
    <w:rsid w:val="0BE53C10"/>
    <w:rsid w:val="0BEB139D"/>
    <w:rsid w:val="0BEB5B1A"/>
    <w:rsid w:val="0BEE6A9E"/>
    <w:rsid w:val="0BF17A23"/>
    <w:rsid w:val="0BF20D28"/>
    <w:rsid w:val="0BF254A5"/>
    <w:rsid w:val="0BF32F26"/>
    <w:rsid w:val="0BF367A9"/>
    <w:rsid w:val="0BF6188C"/>
    <w:rsid w:val="0BF63EAB"/>
    <w:rsid w:val="0BF73C91"/>
    <w:rsid w:val="0BF873AE"/>
    <w:rsid w:val="0BF945B1"/>
    <w:rsid w:val="0BFA4F8B"/>
    <w:rsid w:val="0BFD70B9"/>
    <w:rsid w:val="0C005ABF"/>
    <w:rsid w:val="0C0679C8"/>
    <w:rsid w:val="0C097EDB"/>
    <w:rsid w:val="0C170175"/>
    <w:rsid w:val="0C1D53EF"/>
    <w:rsid w:val="0C1E506F"/>
    <w:rsid w:val="0C206374"/>
    <w:rsid w:val="0C254802"/>
    <w:rsid w:val="0C321B11"/>
    <w:rsid w:val="0C383A1B"/>
    <w:rsid w:val="0C3A499F"/>
    <w:rsid w:val="0C3E33A6"/>
    <w:rsid w:val="0C3F0E27"/>
    <w:rsid w:val="0C43782D"/>
    <w:rsid w:val="0C452D30"/>
    <w:rsid w:val="0C4729B0"/>
    <w:rsid w:val="0C49404A"/>
    <w:rsid w:val="0C4B4C3A"/>
    <w:rsid w:val="0C4F00C1"/>
    <w:rsid w:val="0C506B43"/>
    <w:rsid w:val="0C541CC6"/>
    <w:rsid w:val="0C571A41"/>
    <w:rsid w:val="0C572C4B"/>
    <w:rsid w:val="0C5806CC"/>
    <w:rsid w:val="0C5919D1"/>
    <w:rsid w:val="0C5A7452"/>
    <w:rsid w:val="0C5C1171"/>
    <w:rsid w:val="0C5D03D7"/>
    <w:rsid w:val="0C5E1CBC"/>
    <w:rsid w:val="0C615B50"/>
    <w:rsid w:val="0C6378E6"/>
    <w:rsid w:val="0C663265"/>
    <w:rsid w:val="0C724AF9"/>
    <w:rsid w:val="0C73257B"/>
    <w:rsid w:val="0C746EAB"/>
    <w:rsid w:val="0C794484"/>
    <w:rsid w:val="0C7F1C11"/>
    <w:rsid w:val="0C807692"/>
    <w:rsid w:val="0C817312"/>
    <w:rsid w:val="0C833FA2"/>
    <w:rsid w:val="0C840297"/>
    <w:rsid w:val="0C8445DA"/>
    <w:rsid w:val="0C846098"/>
    <w:rsid w:val="0C853B1A"/>
    <w:rsid w:val="0C855D18"/>
    <w:rsid w:val="0C87121B"/>
    <w:rsid w:val="0C8B0141"/>
    <w:rsid w:val="0C8D3125"/>
    <w:rsid w:val="0C911B2B"/>
    <w:rsid w:val="0C9772B7"/>
    <w:rsid w:val="0C984D39"/>
    <w:rsid w:val="0C9949B9"/>
    <w:rsid w:val="0C9A243A"/>
    <w:rsid w:val="0CA1777C"/>
    <w:rsid w:val="0CAC0156"/>
    <w:rsid w:val="0CAD145B"/>
    <w:rsid w:val="0CAE6EDD"/>
    <w:rsid w:val="0CB06B5C"/>
    <w:rsid w:val="0CB33364"/>
    <w:rsid w:val="0CBB296F"/>
    <w:rsid w:val="0CBB61F2"/>
    <w:rsid w:val="0CBF1222"/>
    <w:rsid w:val="0CC007F7"/>
    <w:rsid w:val="0CC0267A"/>
    <w:rsid w:val="0CC207F1"/>
    <w:rsid w:val="0CC44DFA"/>
    <w:rsid w:val="0CC617AC"/>
    <w:rsid w:val="0CC65316"/>
    <w:rsid w:val="0CC72005"/>
    <w:rsid w:val="0CCD3F0E"/>
    <w:rsid w:val="0CCE1990"/>
    <w:rsid w:val="0CD10396"/>
    <w:rsid w:val="0CD33899"/>
    <w:rsid w:val="0CE0512D"/>
    <w:rsid w:val="0CE43B33"/>
    <w:rsid w:val="0CE618DF"/>
    <w:rsid w:val="0CEA12C0"/>
    <w:rsid w:val="0CEB6D41"/>
    <w:rsid w:val="0CED4443"/>
    <w:rsid w:val="0CF12E49"/>
    <w:rsid w:val="0CF43DCE"/>
    <w:rsid w:val="0CF47651"/>
    <w:rsid w:val="0CF86057"/>
    <w:rsid w:val="0CFB3759"/>
    <w:rsid w:val="0CFC2FB8"/>
    <w:rsid w:val="0CFE707A"/>
    <w:rsid w:val="0CFE7F60"/>
    <w:rsid w:val="0CFF215F"/>
    <w:rsid w:val="0D026967"/>
    <w:rsid w:val="0D063BDA"/>
    <w:rsid w:val="0D073416"/>
    <w:rsid w:val="0D074FED"/>
    <w:rsid w:val="0D08375F"/>
    <w:rsid w:val="0D0904F0"/>
    <w:rsid w:val="0D0962F1"/>
    <w:rsid w:val="0D0E01FB"/>
    <w:rsid w:val="0D11117F"/>
    <w:rsid w:val="0D12337E"/>
    <w:rsid w:val="0D165607"/>
    <w:rsid w:val="0D177805"/>
    <w:rsid w:val="0D184CFB"/>
    <w:rsid w:val="0D1B1A8F"/>
    <w:rsid w:val="0D1C2595"/>
    <w:rsid w:val="0D1F3A87"/>
    <w:rsid w:val="0D215B97"/>
    <w:rsid w:val="0D26201E"/>
    <w:rsid w:val="0D277AA0"/>
    <w:rsid w:val="0D2D522C"/>
    <w:rsid w:val="0D313C33"/>
    <w:rsid w:val="0D3600BA"/>
    <w:rsid w:val="0D375B3C"/>
    <w:rsid w:val="0D407A1C"/>
    <w:rsid w:val="0D445605"/>
    <w:rsid w:val="0D4A7419"/>
    <w:rsid w:val="0D4B47DC"/>
    <w:rsid w:val="0D4C225E"/>
    <w:rsid w:val="0D4E5761"/>
    <w:rsid w:val="0D4F6A66"/>
    <w:rsid w:val="0D500CF1"/>
    <w:rsid w:val="0D53546C"/>
    <w:rsid w:val="0D583AF2"/>
    <w:rsid w:val="0D5F6D00"/>
    <w:rsid w:val="0D647905"/>
    <w:rsid w:val="0D67410D"/>
    <w:rsid w:val="0D681B8E"/>
    <w:rsid w:val="0D68630B"/>
    <w:rsid w:val="0D6A3EDB"/>
    <w:rsid w:val="0D6B4D11"/>
    <w:rsid w:val="0D716C1A"/>
    <w:rsid w:val="0D7630A2"/>
    <w:rsid w:val="0D7B0568"/>
    <w:rsid w:val="0D7D62B0"/>
    <w:rsid w:val="0D7F5F30"/>
    <w:rsid w:val="0D8039B2"/>
    <w:rsid w:val="0D827401"/>
    <w:rsid w:val="0D84094E"/>
    <w:rsid w:val="0D8536BD"/>
    <w:rsid w:val="0D8558BB"/>
    <w:rsid w:val="0D877873"/>
    <w:rsid w:val="0D884641"/>
    <w:rsid w:val="0D886840"/>
    <w:rsid w:val="0D8A00E9"/>
    <w:rsid w:val="0D8A1D43"/>
    <w:rsid w:val="0D8C0AC9"/>
    <w:rsid w:val="0D8D589E"/>
    <w:rsid w:val="0D903C4C"/>
    <w:rsid w:val="0D930454"/>
    <w:rsid w:val="0D945ED5"/>
    <w:rsid w:val="0DA01C73"/>
    <w:rsid w:val="0DA32C6D"/>
    <w:rsid w:val="0DA35DEF"/>
    <w:rsid w:val="0DA61673"/>
    <w:rsid w:val="0DAE6A7F"/>
    <w:rsid w:val="0DAF7D84"/>
    <w:rsid w:val="0DB05806"/>
    <w:rsid w:val="0DB10079"/>
    <w:rsid w:val="0DB20D09"/>
    <w:rsid w:val="0DB25485"/>
    <w:rsid w:val="0DBE4B1B"/>
    <w:rsid w:val="0DC25720"/>
    <w:rsid w:val="0DC30FA3"/>
    <w:rsid w:val="0DC45E43"/>
    <w:rsid w:val="0DC64126"/>
    <w:rsid w:val="0DC82377"/>
    <w:rsid w:val="0DCB05AE"/>
    <w:rsid w:val="0DCD3AB1"/>
    <w:rsid w:val="0DD27F39"/>
    <w:rsid w:val="0DD63300"/>
    <w:rsid w:val="0DD77C44"/>
    <w:rsid w:val="0DDA0BC8"/>
    <w:rsid w:val="0DDB40CB"/>
    <w:rsid w:val="0DDB6F15"/>
    <w:rsid w:val="0DDC1B4D"/>
    <w:rsid w:val="0DDE5050"/>
    <w:rsid w:val="0DE35832"/>
    <w:rsid w:val="0DE85960"/>
    <w:rsid w:val="0DE933E1"/>
    <w:rsid w:val="0DEA55DF"/>
    <w:rsid w:val="0DEF52EA"/>
    <w:rsid w:val="0DF04F6A"/>
    <w:rsid w:val="0DF107ED"/>
    <w:rsid w:val="0DF35EEF"/>
    <w:rsid w:val="0DF50604"/>
    <w:rsid w:val="0DF626F7"/>
    <w:rsid w:val="0DF66E74"/>
    <w:rsid w:val="0DF70178"/>
    <w:rsid w:val="0DF702FE"/>
    <w:rsid w:val="0DF9367B"/>
    <w:rsid w:val="0DFE7B03"/>
    <w:rsid w:val="0E060E51"/>
    <w:rsid w:val="0E152FAC"/>
    <w:rsid w:val="0E1651AA"/>
    <w:rsid w:val="0E1A7433"/>
    <w:rsid w:val="0E1C0BB0"/>
    <w:rsid w:val="0E1E25B6"/>
    <w:rsid w:val="0E1E5E3A"/>
    <w:rsid w:val="0E2747DB"/>
    <w:rsid w:val="0E33783D"/>
    <w:rsid w:val="0E3A1EE7"/>
    <w:rsid w:val="0E3A6663"/>
    <w:rsid w:val="0E3C75E8"/>
    <w:rsid w:val="0E3F073D"/>
    <w:rsid w:val="0E4214F1"/>
    <w:rsid w:val="0E440278"/>
    <w:rsid w:val="0E4427F6"/>
    <w:rsid w:val="0E455CF9"/>
    <w:rsid w:val="0E467EF7"/>
    <w:rsid w:val="0E4F4C06"/>
    <w:rsid w:val="0E52758D"/>
    <w:rsid w:val="0E53500F"/>
    <w:rsid w:val="0E552710"/>
    <w:rsid w:val="0E554C8F"/>
    <w:rsid w:val="0E560192"/>
    <w:rsid w:val="0E5604B2"/>
    <w:rsid w:val="0E575C13"/>
    <w:rsid w:val="0E5A4301"/>
    <w:rsid w:val="0E5A499A"/>
    <w:rsid w:val="0E5D7B1D"/>
    <w:rsid w:val="0E5E559E"/>
    <w:rsid w:val="0E5F3020"/>
    <w:rsid w:val="0E6D5BB9"/>
    <w:rsid w:val="0E6D5D79"/>
    <w:rsid w:val="0E701B98"/>
    <w:rsid w:val="0E706B3D"/>
    <w:rsid w:val="0E722040"/>
    <w:rsid w:val="0E77198B"/>
    <w:rsid w:val="0E7C03D1"/>
    <w:rsid w:val="0E7E38D5"/>
    <w:rsid w:val="0E8B09EC"/>
    <w:rsid w:val="0E8C2BEA"/>
    <w:rsid w:val="0E8D3EEF"/>
    <w:rsid w:val="0E8E3B6F"/>
    <w:rsid w:val="0E9647FF"/>
    <w:rsid w:val="0E9B0C86"/>
    <w:rsid w:val="0E9B5403"/>
    <w:rsid w:val="0E9C6708"/>
    <w:rsid w:val="0E9D0089"/>
    <w:rsid w:val="0EA3280F"/>
    <w:rsid w:val="0EA43155"/>
    <w:rsid w:val="0EA84719"/>
    <w:rsid w:val="0EAA7C1C"/>
    <w:rsid w:val="0EAE1EA5"/>
    <w:rsid w:val="0EB208AB"/>
    <w:rsid w:val="0EB311BB"/>
    <w:rsid w:val="0EB51830"/>
    <w:rsid w:val="0EB63A2E"/>
    <w:rsid w:val="0EB672B2"/>
    <w:rsid w:val="0EB803EE"/>
    <w:rsid w:val="0EB827B5"/>
    <w:rsid w:val="0EB949B3"/>
    <w:rsid w:val="0EBA5CB8"/>
    <w:rsid w:val="0EBD5F56"/>
    <w:rsid w:val="0EC07BC1"/>
    <w:rsid w:val="0EC32D44"/>
    <w:rsid w:val="0EC407C6"/>
    <w:rsid w:val="0EC40C4C"/>
    <w:rsid w:val="0EC56247"/>
    <w:rsid w:val="0ED07E5C"/>
    <w:rsid w:val="0EDD16F0"/>
    <w:rsid w:val="0EDF0476"/>
    <w:rsid w:val="0EE448FE"/>
    <w:rsid w:val="0EE46AFC"/>
    <w:rsid w:val="0EE65882"/>
    <w:rsid w:val="0EE67E01"/>
    <w:rsid w:val="0EE77A81"/>
    <w:rsid w:val="0EEA10E8"/>
    <w:rsid w:val="0EEB1D0A"/>
    <w:rsid w:val="0EEC778C"/>
    <w:rsid w:val="0EEE740C"/>
    <w:rsid w:val="0EEF1FAA"/>
    <w:rsid w:val="0EF25E12"/>
    <w:rsid w:val="0EF75B1D"/>
    <w:rsid w:val="0EF94D4B"/>
    <w:rsid w:val="0EFA0CA0"/>
    <w:rsid w:val="0EFB4523"/>
    <w:rsid w:val="0EFD7A26"/>
    <w:rsid w:val="0F044E32"/>
    <w:rsid w:val="0F056198"/>
    <w:rsid w:val="0F095A37"/>
    <w:rsid w:val="0F0C223F"/>
    <w:rsid w:val="0F0D000E"/>
    <w:rsid w:val="0F0D2230"/>
    <w:rsid w:val="0F191555"/>
    <w:rsid w:val="0F1D46D8"/>
    <w:rsid w:val="0F2365E1"/>
    <w:rsid w:val="0F244062"/>
    <w:rsid w:val="0F2478E6"/>
    <w:rsid w:val="0F264FE7"/>
    <w:rsid w:val="0F2B146F"/>
    <w:rsid w:val="0F3C4F8C"/>
    <w:rsid w:val="0F434917"/>
    <w:rsid w:val="0F486821"/>
    <w:rsid w:val="0F4920A4"/>
    <w:rsid w:val="0F4958DC"/>
    <w:rsid w:val="0F4C5227"/>
    <w:rsid w:val="0F515DF7"/>
    <w:rsid w:val="0F596BA8"/>
    <w:rsid w:val="0F5B1FBE"/>
    <w:rsid w:val="0F5C7A3F"/>
    <w:rsid w:val="0F5D54C1"/>
    <w:rsid w:val="0F5F09C4"/>
    <w:rsid w:val="0F601CC9"/>
    <w:rsid w:val="0F607BE9"/>
    <w:rsid w:val="0F61774B"/>
    <w:rsid w:val="0F6248D2"/>
    <w:rsid w:val="0F65034F"/>
    <w:rsid w:val="0F693536"/>
    <w:rsid w:val="0F6C7CDA"/>
    <w:rsid w:val="0F701F63"/>
    <w:rsid w:val="0F7066E0"/>
    <w:rsid w:val="0F78156E"/>
    <w:rsid w:val="0F7921DF"/>
    <w:rsid w:val="0F7B0511"/>
    <w:rsid w:val="0F7B24F3"/>
    <w:rsid w:val="0F7B76D9"/>
    <w:rsid w:val="0F7F0EF9"/>
    <w:rsid w:val="0F8021FE"/>
    <w:rsid w:val="0F816ACD"/>
    <w:rsid w:val="0F821E7D"/>
    <w:rsid w:val="0F833182"/>
    <w:rsid w:val="0F840C04"/>
    <w:rsid w:val="0F864107"/>
    <w:rsid w:val="0F8A3CBD"/>
    <w:rsid w:val="0F8F3712"/>
    <w:rsid w:val="0F914696"/>
    <w:rsid w:val="0F94743F"/>
    <w:rsid w:val="0F9832DB"/>
    <w:rsid w:val="0F9D3D2C"/>
    <w:rsid w:val="0FA04579"/>
    <w:rsid w:val="0FAC4347"/>
    <w:rsid w:val="0FB02D4D"/>
    <w:rsid w:val="0FB748D6"/>
    <w:rsid w:val="0FB7580F"/>
    <w:rsid w:val="0FBC0D5E"/>
    <w:rsid w:val="0FBE4261"/>
    <w:rsid w:val="0FBF3FD2"/>
    <w:rsid w:val="0FBF7FF3"/>
    <w:rsid w:val="0FC151E5"/>
    <w:rsid w:val="0FC770EF"/>
    <w:rsid w:val="0FCA38F7"/>
    <w:rsid w:val="0FD079FE"/>
    <w:rsid w:val="0FD10D03"/>
    <w:rsid w:val="0FD22F01"/>
    <w:rsid w:val="0FD30983"/>
    <w:rsid w:val="0FD536AF"/>
    <w:rsid w:val="0FD6518B"/>
    <w:rsid w:val="0FD9288C"/>
    <w:rsid w:val="0FDE2597"/>
    <w:rsid w:val="0FE20F9D"/>
    <w:rsid w:val="0FE75425"/>
    <w:rsid w:val="0FEA282E"/>
    <w:rsid w:val="0FEA33CD"/>
    <w:rsid w:val="0FEB602A"/>
    <w:rsid w:val="0FEC413D"/>
    <w:rsid w:val="0FED4DB0"/>
    <w:rsid w:val="0FEE2832"/>
    <w:rsid w:val="0FEE6FAE"/>
    <w:rsid w:val="0FF05D35"/>
    <w:rsid w:val="0FF52AC8"/>
    <w:rsid w:val="0FF90BC3"/>
    <w:rsid w:val="0FFB40C6"/>
    <w:rsid w:val="1007595A"/>
    <w:rsid w:val="100E20F4"/>
    <w:rsid w:val="100E52E5"/>
    <w:rsid w:val="101007E8"/>
    <w:rsid w:val="10116269"/>
    <w:rsid w:val="101316CB"/>
    <w:rsid w:val="101626F1"/>
    <w:rsid w:val="101739F6"/>
    <w:rsid w:val="10196EF9"/>
    <w:rsid w:val="101B45FA"/>
    <w:rsid w:val="101E3381"/>
    <w:rsid w:val="10223F85"/>
    <w:rsid w:val="10285E8F"/>
    <w:rsid w:val="102E7D98"/>
    <w:rsid w:val="10331CA1"/>
    <w:rsid w:val="10345524"/>
    <w:rsid w:val="10383F2B"/>
    <w:rsid w:val="103C03B2"/>
    <w:rsid w:val="10410FB7"/>
    <w:rsid w:val="10416172"/>
    <w:rsid w:val="104222BC"/>
    <w:rsid w:val="104C2BCB"/>
    <w:rsid w:val="104F5D4E"/>
    <w:rsid w:val="105037D0"/>
    <w:rsid w:val="10534754"/>
    <w:rsid w:val="10545A59"/>
    <w:rsid w:val="105534DB"/>
    <w:rsid w:val="105656D9"/>
    <w:rsid w:val="1057315A"/>
    <w:rsid w:val="105B53E4"/>
    <w:rsid w:val="105D08E7"/>
    <w:rsid w:val="10624D6F"/>
    <w:rsid w:val="10646583"/>
    <w:rsid w:val="10701B06"/>
    <w:rsid w:val="10713FD8"/>
    <w:rsid w:val="10763A0F"/>
    <w:rsid w:val="10776784"/>
    <w:rsid w:val="10782796"/>
    <w:rsid w:val="107B7E97"/>
    <w:rsid w:val="107C119C"/>
    <w:rsid w:val="107D4B15"/>
    <w:rsid w:val="107D6C1D"/>
    <w:rsid w:val="107D6F5E"/>
    <w:rsid w:val="10807BA2"/>
    <w:rsid w:val="10817822"/>
    <w:rsid w:val="108230A5"/>
    <w:rsid w:val="108268ED"/>
    <w:rsid w:val="10830B27"/>
    <w:rsid w:val="10856228"/>
    <w:rsid w:val="108904B2"/>
    <w:rsid w:val="10894C2E"/>
    <w:rsid w:val="108A3C80"/>
    <w:rsid w:val="108A5F33"/>
    <w:rsid w:val="108B7EA7"/>
    <w:rsid w:val="108D6EB8"/>
    <w:rsid w:val="109F57C9"/>
    <w:rsid w:val="10A5144E"/>
    <w:rsid w:val="10A61FE0"/>
    <w:rsid w:val="10A65097"/>
    <w:rsid w:val="10AC3EE9"/>
    <w:rsid w:val="10AE28AC"/>
    <w:rsid w:val="10AE73EC"/>
    <w:rsid w:val="10B028F0"/>
    <w:rsid w:val="10B10371"/>
    <w:rsid w:val="10B27FF1"/>
    <w:rsid w:val="10B36529"/>
    <w:rsid w:val="10B36A6E"/>
    <w:rsid w:val="10B9797C"/>
    <w:rsid w:val="10BC4184"/>
    <w:rsid w:val="10C07307"/>
    <w:rsid w:val="10C2280A"/>
    <w:rsid w:val="10C26171"/>
    <w:rsid w:val="10C33B0F"/>
    <w:rsid w:val="10C7709F"/>
    <w:rsid w:val="10D1490E"/>
    <w:rsid w:val="10D24B8E"/>
    <w:rsid w:val="10D25671"/>
    <w:rsid w:val="10D572AC"/>
    <w:rsid w:val="10D716DC"/>
    <w:rsid w:val="10D727AF"/>
    <w:rsid w:val="10D95CB2"/>
    <w:rsid w:val="10E07A23"/>
    <w:rsid w:val="10E105C1"/>
    <w:rsid w:val="10E31E45"/>
    <w:rsid w:val="10E93D4E"/>
    <w:rsid w:val="10ED2754"/>
    <w:rsid w:val="10EF7E56"/>
    <w:rsid w:val="10F26BDC"/>
    <w:rsid w:val="10F33360"/>
    <w:rsid w:val="10F82CE4"/>
    <w:rsid w:val="10FC16EA"/>
    <w:rsid w:val="10FD29EF"/>
    <w:rsid w:val="10FF5EF2"/>
    <w:rsid w:val="11003973"/>
    <w:rsid w:val="11021117"/>
    <w:rsid w:val="11044578"/>
    <w:rsid w:val="11051FFA"/>
    <w:rsid w:val="11096801"/>
    <w:rsid w:val="110A4283"/>
    <w:rsid w:val="110A6481"/>
    <w:rsid w:val="110C1984"/>
    <w:rsid w:val="110F1D40"/>
    <w:rsid w:val="11154812"/>
    <w:rsid w:val="11165B17"/>
    <w:rsid w:val="111A671C"/>
    <w:rsid w:val="111B1F9F"/>
    <w:rsid w:val="111E2F24"/>
    <w:rsid w:val="11200625"/>
    <w:rsid w:val="11206427"/>
    <w:rsid w:val="11217992"/>
    <w:rsid w:val="11250330"/>
    <w:rsid w:val="11265DB1"/>
    <w:rsid w:val="11266F33"/>
    <w:rsid w:val="11273833"/>
    <w:rsid w:val="11277FB0"/>
    <w:rsid w:val="11337646"/>
    <w:rsid w:val="113C5D0D"/>
    <w:rsid w:val="11440BE5"/>
    <w:rsid w:val="11445362"/>
    <w:rsid w:val="114B4CEC"/>
    <w:rsid w:val="114E14F4"/>
    <w:rsid w:val="114E5C71"/>
    <w:rsid w:val="115049F7"/>
    <w:rsid w:val="11516BF6"/>
    <w:rsid w:val="11550E7F"/>
    <w:rsid w:val="115A7505"/>
    <w:rsid w:val="115F398D"/>
    <w:rsid w:val="11624912"/>
    <w:rsid w:val="11632393"/>
    <w:rsid w:val="11635C16"/>
    <w:rsid w:val="1168681B"/>
    <w:rsid w:val="116D0724"/>
    <w:rsid w:val="117229AE"/>
    <w:rsid w:val="11735EB1"/>
    <w:rsid w:val="117E09BE"/>
    <w:rsid w:val="118151C6"/>
    <w:rsid w:val="118273C5"/>
    <w:rsid w:val="118963A1"/>
    <w:rsid w:val="118A7363"/>
    <w:rsid w:val="118B5AD6"/>
    <w:rsid w:val="118B7CD4"/>
    <w:rsid w:val="118F66DA"/>
    <w:rsid w:val="1190415C"/>
    <w:rsid w:val="11922EE2"/>
    <w:rsid w:val="119463E5"/>
    <w:rsid w:val="11955682"/>
    <w:rsid w:val="119B5D70"/>
    <w:rsid w:val="119D4B96"/>
    <w:rsid w:val="119F4776"/>
    <w:rsid w:val="11A12070"/>
    <w:rsid w:val="11AE2812"/>
    <w:rsid w:val="11B40E99"/>
    <w:rsid w:val="11B95320"/>
    <w:rsid w:val="11BA2DA2"/>
    <w:rsid w:val="11BB0823"/>
    <w:rsid w:val="11BD7734"/>
    <w:rsid w:val="11C336B1"/>
    <w:rsid w:val="11C6522A"/>
    <w:rsid w:val="11C87B39"/>
    <w:rsid w:val="11D04F45"/>
    <w:rsid w:val="11D93657"/>
    <w:rsid w:val="11DB6B5A"/>
    <w:rsid w:val="11DE1CDD"/>
    <w:rsid w:val="11E104CC"/>
    <w:rsid w:val="11E20309"/>
    <w:rsid w:val="11E23F66"/>
    <w:rsid w:val="11E25A4F"/>
    <w:rsid w:val="11E6296C"/>
    <w:rsid w:val="11E8729B"/>
    <w:rsid w:val="11EA5AEF"/>
    <w:rsid w:val="11EB6DF4"/>
    <w:rsid w:val="11ED44F6"/>
    <w:rsid w:val="11F2097D"/>
    <w:rsid w:val="11F2677F"/>
    <w:rsid w:val="11F67383"/>
    <w:rsid w:val="12026A19"/>
    <w:rsid w:val="120D282C"/>
    <w:rsid w:val="12132537"/>
    <w:rsid w:val="121656BA"/>
    <w:rsid w:val="121960FF"/>
    <w:rsid w:val="121B7678"/>
    <w:rsid w:val="121C431D"/>
    <w:rsid w:val="121C75C3"/>
    <w:rsid w:val="121D08C8"/>
    <w:rsid w:val="12205FC9"/>
    <w:rsid w:val="12230A6D"/>
    <w:rsid w:val="12236F4E"/>
    <w:rsid w:val="12255233"/>
    <w:rsid w:val="12257ED3"/>
    <w:rsid w:val="12263756"/>
    <w:rsid w:val="12313CE5"/>
    <w:rsid w:val="12332A6C"/>
    <w:rsid w:val="1236016D"/>
    <w:rsid w:val="12394975"/>
    <w:rsid w:val="12413F80"/>
    <w:rsid w:val="12475E89"/>
    <w:rsid w:val="1248718E"/>
    <w:rsid w:val="124B488F"/>
    <w:rsid w:val="124E1097"/>
    <w:rsid w:val="12530213"/>
    <w:rsid w:val="12531C9B"/>
    <w:rsid w:val="1255519F"/>
    <w:rsid w:val="125664A3"/>
    <w:rsid w:val="12573F25"/>
    <w:rsid w:val="12573F56"/>
    <w:rsid w:val="12576123"/>
    <w:rsid w:val="125819A7"/>
    <w:rsid w:val="125A4EAA"/>
    <w:rsid w:val="12604834"/>
    <w:rsid w:val="126122B6"/>
    <w:rsid w:val="126357B9"/>
    <w:rsid w:val="1266673E"/>
    <w:rsid w:val="126D3C74"/>
    <w:rsid w:val="127723A9"/>
    <w:rsid w:val="127C6BC4"/>
    <w:rsid w:val="127E3DE4"/>
    <w:rsid w:val="127F50E9"/>
    <w:rsid w:val="12835ADD"/>
    <w:rsid w:val="12841571"/>
    <w:rsid w:val="12862074"/>
    <w:rsid w:val="12883966"/>
    <w:rsid w:val="128B0EFC"/>
    <w:rsid w:val="128B5679"/>
    <w:rsid w:val="128D65FD"/>
    <w:rsid w:val="128E407F"/>
    <w:rsid w:val="128E498E"/>
    <w:rsid w:val="128F7902"/>
    <w:rsid w:val="128F7D67"/>
    <w:rsid w:val="12905384"/>
    <w:rsid w:val="12915003"/>
    <w:rsid w:val="12937EC0"/>
    <w:rsid w:val="12976F0D"/>
    <w:rsid w:val="129E45B4"/>
    <w:rsid w:val="12A123D0"/>
    <w:rsid w:val="12A130A0"/>
    <w:rsid w:val="12A2529E"/>
    <w:rsid w:val="12A82A2A"/>
    <w:rsid w:val="12AE4934"/>
    <w:rsid w:val="12AF7E37"/>
    <w:rsid w:val="12B46947"/>
    <w:rsid w:val="12B94EC3"/>
    <w:rsid w:val="12BB3C49"/>
    <w:rsid w:val="12BB55BA"/>
    <w:rsid w:val="12BC5E48"/>
    <w:rsid w:val="12BD1FD2"/>
    <w:rsid w:val="12BD2877"/>
    <w:rsid w:val="12BE4BCE"/>
    <w:rsid w:val="12BF484E"/>
    <w:rsid w:val="12C43900"/>
    <w:rsid w:val="12C77972"/>
    <w:rsid w:val="12D15DED"/>
    <w:rsid w:val="12D81596"/>
    <w:rsid w:val="12D85778"/>
    <w:rsid w:val="12DC7A01"/>
    <w:rsid w:val="12DD5483"/>
    <w:rsid w:val="12DE5103"/>
    <w:rsid w:val="12EE791C"/>
    <w:rsid w:val="12F572A6"/>
    <w:rsid w:val="12F7602D"/>
    <w:rsid w:val="12FA11B0"/>
    <w:rsid w:val="12FB4A33"/>
    <w:rsid w:val="12FC24B4"/>
    <w:rsid w:val="1303403E"/>
    <w:rsid w:val="13041ABF"/>
    <w:rsid w:val="13060846"/>
    <w:rsid w:val="13064FC2"/>
    <w:rsid w:val="13072A44"/>
    <w:rsid w:val="130A39C8"/>
    <w:rsid w:val="130D01D0"/>
    <w:rsid w:val="130F32F3"/>
    <w:rsid w:val="13116BD7"/>
    <w:rsid w:val="13147B5B"/>
    <w:rsid w:val="131E2669"/>
    <w:rsid w:val="131F396E"/>
    <w:rsid w:val="1322106F"/>
    <w:rsid w:val="13251FF4"/>
    <w:rsid w:val="132809FA"/>
    <w:rsid w:val="132D2C84"/>
    <w:rsid w:val="132F6187"/>
    <w:rsid w:val="13411924"/>
    <w:rsid w:val="134428A9"/>
    <w:rsid w:val="1344612C"/>
    <w:rsid w:val="1346162F"/>
    <w:rsid w:val="134947B2"/>
    <w:rsid w:val="134A0035"/>
    <w:rsid w:val="134D0FBA"/>
    <w:rsid w:val="13566046"/>
    <w:rsid w:val="13581549"/>
    <w:rsid w:val="135A02D0"/>
    <w:rsid w:val="135C7F4F"/>
    <w:rsid w:val="135F4BE2"/>
    <w:rsid w:val="13611E59"/>
    <w:rsid w:val="136525A5"/>
    <w:rsid w:val="13692AE8"/>
    <w:rsid w:val="136B2768"/>
    <w:rsid w:val="136C01EA"/>
    <w:rsid w:val="136D5C6B"/>
    <w:rsid w:val="13706BF0"/>
    <w:rsid w:val="137568FB"/>
    <w:rsid w:val="1376437D"/>
    <w:rsid w:val="13787880"/>
    <w:rsid w:val="137C0484"/>
    <w:rsid w:val="137D3D07"/>
    <w:rsid w:val="1380632E"/>
    <w:rsid w:val="1381490C"/>
    <w:rsid w:val="13833692"/>
    <w:rsid w:val="138A301D"/>
    <w:rsid w:val="138C2C9D"/>
    <w:rsid w:val="138D7B40"/>
    <w:rsid w:val="13920429"/>
    <w:rsid w:val="13935EAB"/>
    <w:rsid w:val="1394392D"/>
    <w:rsid w:val="13966E30"/>
    <w:rsid w:val="13982333"/>
    <w:rsid w:val="1399374C"/>
    <w:rsid w:val="139A5BDA"/>
    <w:rsid w:val="139B1A0A"/>
    <w:rsid w:val="139D25C7"/>
    <w:rsid w:val="139F773F"/>
    <w:rsid w:val="13A051C1"/>
    <w:rsid w:val="13A74B4C"/>
    <w:rsid w:val="13A825CD"/>
    <w:rsid w:val="13AA5AD0"/>
    <w:rsid w:val="13AB6DD5"/>
    <w:rsid w:val="13AC0FD3"/>
    <w:rsid w:val="13AD6A55"/>
    <w:rsid w:val="13AE71F7"/>
    <w:rsid w:val="13B2095E"/>
    <w:rsid w:val="13B518E3"/>
    <w:rsid w:val="13B72BE8"/>
    <w:rsid w:val="13B74DE6"/>
    <w:rsid w:val="13B902E9"/>
    <w:rsid w:val="13BA5D6B"/>
    <w:rsid w:val="13BB706F"/>
    <w:rsid w:val="13BD3271"/>
    <w:rsid w:val="13BF3CE4"/>
    <w:rsid w:val="13C60F19"/>
    <w:rsid w:val="13C80904"/>
    <w:rsid w:val="13C85080"/>
    <w:rsid w:val="13C867F2"/>
    <w:rsid w:val="13CA6005"/>
    <w:rsid w:val="13CB1888"/>
    <w:rsid w:val="13CE280D"/>
    <w:rsid w:val="13D15990"/>
    <w:rsid w:val="13D54396"/>
    <w:rsid w:val="13D7311C"/>
    <w:rsid w:val="13D92D9C"/>
    <w:rsid w:val="13DB164B"/>
    <w:rsid w:val="13DB1B23"/>
    <w:rsid w:val="13DD2BC4"/>
    <w:rsid w:val="13DD5026"/>
    <w:rsid w:val="13E15C2A"/>
    <w:rsid w:val="13E52432"/>
    <w:rsid w:val="13E620B2"/>
    <w:rsid w:val="13E67EB4"/>
    <w:rsid w:val="13EC3FBB"/>
    <w:rsid w:val="13EE7251"/>
    <w:rsid w:val="13EE74BE"/>
    <w:rsid w:val="13F651A2"/>
    <w:rsid w:val="13F65598"/>
    <w:rsid w:val="140B4552"/>
    <w:rsid w:val="140D7D73"/>
    <w:rsid w:val="141008D8"/>
    <w:rsid w:val="14125FE6"/>
    <w:rsid w:val="141476FE"/>
    <w:rsid w:val="141742C6"/>
    <w:rsid w:val="14186104"/>
    <w:rsid w:val="141C038E"/>
    <w:rsid w:val="14200F92"/>
    <w:rsid w:val="14214815"/>
    <w:rsid w:val="14216A14"/>
    <w:rsid w:val="14224495"/>
    <w:rsid w:val="1423579A"/>
    <w:rsid w:val="1425541A"/>
    <w:rsid w:val="1426671F"/>
    <w:rsid w:val="14267722"/>
    <w:rsid w:val="142741A0"/>
    <w:rsid w:val="1428639F"/>
    <w:rsid w:val="14293E20"/>
    <w:rsid w:val="142F71C0"/>
    <w:rsid w:val="14301CC2"/>
    <w:rsid w:val="14370BB7"/>
    <w:rsid w:val="14386639"/>
    <w:rsid w:val="143B75BD"/>
    <w:rsid w:val="14470E31"/>
    <w:rsid w:val="14492156"/>
    <w:rsid w:val="144968D3"/>
    <w:rsid w:val="144A7BD8"/>
    <w:rsid w:val="14503CE0"/>
    <w:rsid w:val="145304E8"/>
    <w:rsid w:val="145426E6"/>
    <w:rsid w:val="14576EEE"/>
    <w:rsid w:val="145A45EF"/>
    <w:rsid w:val="145B58F4"/>
    <w:rsid w:val="145E6879"/>
    <w:rsid w:val="14632D00"/>
    <w:rsid w:val="14646BC9"/>
    <w:rsid w:val="14680FAC"/>
    <w:rsid w:val="146D271E"/>
    <w:rsid w:val="146E5D7A"/>
    <w:rsid w:val="14731246"/>
    <w:rsid w:val="14775224"/>
    <w:rsid w:val="14782CA6"/>
    <w:rsid w:val="147A2925"/>
    <w:rsid w:val="147A5064"/>
    <w:rsid w:val="147F2631"/>
    <w:rsid w:val="148000B2"/>
    <w:rsid w:val="14812C6E"/>
    <w:rsid w:val="1481579B"/>
    <w:rsid w:val="14831037"/>
    <w:rsid w:val="14833235"/>
    <w:rsid w:val="14846AB8"/>
    <w:rsid w:val="148562AE"/>
    <w:rsid w:val="14871C3B"/>
    <w:rsid w:val="148C1946"/>
    <w:rsid w:val="148F28CB"/>
    <w:rsid w:val="148F5D32"/>
    <w:rsid w:val="149312D1"/>
    <w:rsid w:val="1496293B"/>
    <w:rsid w:val="14981ED6"/>
    <w:rsid w:val="14982588"/>
    <w:rsid w:val="149A5AD9"/>
    <w:rsid w:val="149E0C82"/>
    <w:rsid w:val="149F165C"/>
    <w:rsid w:val="14A32AD4"/>
    <w:rsid w:val="14A746EE"/>
    <w:rsid w:val="14A7619D"/>
    <w:rsid w:val="14A93475"/>
    <w:rsid w:val="14AA690E"/>
    <w:rsid w:val="14B10881"/>
    <w:rsid w:val="14B26303"/>
    <w:rsid w:val="14B66F07"/>
    <w:rsid w:val="14B97E8C"/>
    <w:rsid w:val="14BA1191"/>
    <w:rsid w:val="14BA5353"/>
    <w:rsid w:val="14BA590D"/>
    <w:rsid w:val="14BF1D95"/>
    <w:rsid w:val="14BF5618"/>
    <w:rsid w:val="14C0309A"/>
    <w:rsid w:val="14C57522"/>
    <w:rsid w:val="14D417C7"/>
    <w:rsid w:val="14D72CBF"/>
    <w:rsid w:val="14DC29CA"/>
    <w:rsid w:val="14DC7147"/>
    <w:rsid w:val="14DE264A"/>
    <w:rsid w:val="14E47DD6"/>
    <w:rsid w:val="14E754D8"/>
    <w:rsid w:val="14E82F59"/>
    <w:rsid w:val="14F1166B"/>
    <w:rsid w:val="14F5090E"/>
    <w:rsid w:val="14F612E8"/>
    <w:rsid w:val="14FF6402"/>
    <w:rsid w:val="150222E5"/>
    <w:rsid w:val="150434FD"/>
    <w:rsid w:val="150536C3"/>
    <w:rsid w:val="15054F9B"/>
    <w:rsid w:val="15067F8B"/>
    <w:rsid w:val="1507380E"/>
    <w:rsid w:val="15075A0D"/>
    <w:rsid w:val="150B4413"/>
    <w:rsid w:val="150C1963"/>
    <w:rsid w:val="150D3199"/>
    <w:rsid w:val="150E5397"/>
    <w:rsid w:val="1513181F"/>
    <w:rsid w:val="151350A2"/>
    <w:rsid w:val="151447A0"/>
    <w:rsid w:val="15166027"/>
    <w:rsid w:val="15196FAC"/>
    <w:rsid w:val="151A11AA"/>
    <w:rsid w:val="151A4A2D"/>
    <w:rsid w:val="15242527"/>
    <w:rsid w:val="15242DBE"/>
    <w:rsid w:val="15250840"/>
    <w:rsid w:val="15262A3E"/>
    <w:rsid w:val="153A74E0"/>
    <w:rsid w:val="153B29E4"/>
    <w:rsid w:val="153D61E9"/>
    <w:rsid w:val="15420170"/>
    <w:rsid w:val="15433673"/>
    <w:rsid w:val="154410F5"/>
    <w:rsid w:val="1546436C"/>
    <w:rsid w:val="15491CF9"/>
    <w:rsid w:val="154A6454"/>
    <w:rsid w:val="154B0A80"/>
    <w:rsid w:val="154E1A04"/>
    <w:rsid w:val="15524B87"/>
    <w:rsid w:val="15532609"/>
    <w:rsid w:val="15535E8C"/>
    <w:rsid w:val="15582314"/>
    <w:rsid w:val="15591F94"/>
    <w:rsid w:val="155B3298"/>
    <w:rsid w:val="155B3403"/>
    <w:rsid w:val="155C2F18"/>
    <w:rsid w:val="155D421D"/>
    <w:rsid w:val="1571543C"/>
    <w:rsid w:val="15762120"/>
    <w:rsid w:val="157709B0"/>
    <w:rsid w:val="157902CA"/>
    <w:rsid w:val="157C124F"/>
    <w:rsid w:val="157E3ABA"/>
    <w:rsid w:val="157E4752"/>
    <w:rsid w:val="157F6950"/>
    <w:rsid w:val="15830BD9"/>
    <w:rsid w:val="15863D5C"/>
    <w:rsid w:val="158775E0"/>
    <w:rsid w:val="158A0564"/>
    <w:rsid w:val="158E49EC"/>
    <w:rsid w:val="159B030A"/>
    <w:rsid w:val="159F4C86"/>
    <w:rsid w:val="15A75916"/>
    <w:rsid w:val="15A83398"/>
    <w:rsid w:val="15AA689B"/>
    <w:rsid w:val="15B13CA7"/>
    <w:rsid w:val="15B56D57"/>
    <w:rsid w:val="15B56E2A"/>
    <w:rsid w:val="15B6012F"/>
    <w:rsid w:val="15B77F45"/>
    <w:rsid w:val="15BA32B2"/>
    <w:rsid w:val="15BA6B35"/>
    <w:rsid w:val="15C26140"/>
    <w:rsid w:val="15C44EC6"/>
    <w:rsid w:val="15C838CC"/>
    <w:rsid w:val="15CC22D2"/>
    <w:rsid w:val="15CD7D54"/>
    <w:rsid w:val="15CF1017"/>
    <w:rsid w:val="15D05455"/>
    <w:rsid w:val="15D20959"/>
    <w:rsid w:val="15D346A7"/>
    <w:rsid w:val="15DC4AEB"/>
    <w:rsid w:val="15DC6CEA"/>
    <w:rsid w:val="15DD476B"/>
    <w:rsid w:val="15E169F5"/>
    <w:rsid w:val="15E20BF3"/>
    <w:rsid w:val="15E440F6"/>
    <w:rsid w:val="15E47979"/>
    <w:rsid w:val="15E51B78"/>
    <w:rsid w:val="15E553FB"/>
    <w:rsid w:val="15E62E7C"/>
    <w:rsid w:val="15E675F9"/>
    <w:rsid w:val="15E708FE"/>
    <w:rsid w:val="15E7507B"/>
    <w:rsid w:val="15E8637F"/>
    <w:rsid w:val="15EF5D0A"/>
    <w:rsid w:val="15F1340C"/>
    <w:rsid w:val="15F26C8F"/>
    <w:rsid w:val="15F34710"/>
    <w:rsid w:val="15FB759E"/>
    <w:rsid w:val="160349AB"/>
    <w:rsid w:val="160B1DB7"/>
    <w:rsid w:val="160C7839"/>
    <w:rsid w:val="160D52BA"/>
    <w:rsid w:val="160F6914"/>
    <w:rsid w:val="16124FC5"/>
    <w:rsid w:val="16184950"/>
    <w:rsid w:val="161923D2"/>
    <w:rsid w:val="161A7E53"/>
    <w:rsid w:val="161B2052"/>
    <w:rsid w:val="16210154"/>
    <w:rsid w:val="162219DC"/>
    <w:rsid w:val="16281367"/>
    <w:rsid w:val="162D2CA0"/>
    <w:rsid w:val="16306774"/>
    <w:rsid w:val="163141F5"/>
    <w:rsid w:val="163376F8"/>
    <w:rsid w:val="16352BFB"/>
    <w:rsid w:val="163D388B"/>
    <w:rsid w:val="163E350B"/>
    <w:rsid w:val="16406A0E"/>
    <w:rsid w:val="16435794"/>
    <w:rsid w:val="16492D73"/>
    <w:rsid w:val="164C60A4"/>
    <w:rsid w:val="164E02EF"/>
    <w:rsid w:val="164F37A5"/>
    <w:rsid w:val="1652472A"/>
    <w:rsid w:val="165321AB"/>
    <w:rsid w:val="165840B5"/>
    <w:rsid w:val="16597938"/>
    <w:rsid w:val="165E3DC0"/>
    <w:rsid w:val="16666C4E"/>
    <w:rsid w:val="16682151"/>
    <w:rsid w:val="166C0B57"/>
    <w:rsid w:val="1670755D"/>
    <w:rsid w:val="167417E7"/>
    <w:rsid w:val="167539E5"/>
    <w:rsid w:val="16753A3A"/>
    <w:rsid w:val="167A36F0"/>
    <w:rsid w:val="167E0E7B"/>
    <w:rsid w:val="167F55F9"/>
    <w:rsid w:val="1680307B"/>
    <w:rsid w:val="16872A06"/>
    <w:rsid w:val="16892685"/>
    <w:rsid w:val="168B140C"/>
    <w:rsid w:val="16915513"/>
    <w:rsid w:val="16942765"/>
    <w:rsid w:val="1696199B"/>
    <w:rsid w:val="169D1326"/>
    <w:rsid w:val="16A135AF"/>
    <w:rsid w:val="16A36AB3"/>
    <w:rsid w:val="16A61C36"/>
    <w:rsid w:val="16A754B9"/>
    <w:rsid w:val="16A8729C"/>
    <w:rsid w:val="16AC5780"/>
    <w:rsid w:val="16AD15C0"/>
    <w:rsid w:val="16AE28C5"/>
    <w:rsid w:val="16AE4E44"/>
    <w:rsid w:val="16B17C2B"/>
    <w:rsid w:val="16B212CB"/>
    <w:rsid w:val="16B25A48"/>
    <w:rsid w:val="16B334CA"/>
    <w:rsid w:val="16B33777"/>
    <w:rsid w:val="16B36D4D"/>
    <w:rsid w:val="16B40F4B"/>
    <w:rsid w:val="16B67CD2"/>
    <w:rsid w:val="16B73E5A"/>
    <w:rsid w:val="16B953D3"/>
    <w:rsid w:val="16BC70A7"/>
    <w:rsid w:val="16BE185B"/>
    <w:rsid w:val="16BF4D5E"/>
    <w:rsid w:val="16C16063"/>
    <w:rsid w:val="16C6339E"/>
    <w:rsid w:val="16CD78F7"/>
    <w:rsid w:val="16D23D7F"/>
    <w:rsid w:val="16D4115B"/>
    <w:rsid w:val="16D62785"/>
    <w:rsid w:val="16E00B16"/>
    <w:rsid w:val="16E06917"/>
    <w:rsid w:val="16E44C4A"/>
    <w:rsid w:val="16E62A1F"/>
    <w:rsid w:val="16E704A1"/>
    <w:rsid w:val="16E97227"/>
    <w:rsid w:val="16EA1425"/>
    <w:rsid w:val="16EE36AF"/>
    <w:rsid w:val="16F10DB0"/>
    <w:rsid w:val="16F220B5"/>
    <w:rsid w:val="16F342B3"/>
    <w:rsid w:val="16F60ABB"/>
    <w:rsid w:val="16F93C3E"/>
    <w:rsid w:val="16FC29C4"/>
    <w:rsid w:val="16FF5B47"/>
    <w:rsid w:val="1701104A"/>
    <w:rsid w:val="17037DD1"/>
    <w:rsid w:val="170512F9"/>
    <w:rsid w:val="170532D4"/>
    <w:rsid w:val="170642B7"/>
    <w:rsid w:val="170654D2"/>
    <w:rsid w:val="170767D7"/>
    <w:rsid w:val="170B195A"/>
    <w:rsid w:val="170B19CF"/>
    <w:rsid w:val="170C26D6"/>
    <w:rsid w:val="170F0360"/>
    <w:rsid w:val="17103863"/>
    <w:rsid w:val="171112E5"/>
    <w:rsid w:val="17126D66"/>
    <w:rsid w:val="171323D2"/>
    <w:rsid w:val="171347E8"/>
    <w:rsid w:val="1716576D"/>
    <w:rsid w:val="17170FF0"/>
    <w:rsid w:val="17176A71"/>
    <w:rsid w:val="171876E7"/>
    <w:rsid w:val="171966F1"/>
    <w:rsid w:val="171A4173"/>
    <w:rsid w:val="171F3E7E"/>
    <w:rsid w:val="1720607C"/>
    <w:rsid w:val="17217381"/>
    <w:rsid w:val="17244A82"/>
    <w:rsid w:val="17255D87"/>
    <w:rsid w:val="17263809"/>
    <w:rsid w:val="172A220F"/>
    <w:rsid w:val="172E0C15"/>
    <w:rsid w:val="172F2D79"/>
    <w:rsid w:val="17386FA6"/>
    <w:rsid w:val="173C59AC"/>
    <w:rsid w:val="173F6931"/>
    <w:rsid w:val="17411E34"/>
    <w:rsid w:val="1745083A"/>
    <w:rsid w:val="174775C1"/>
    <w:rsid w:val="174A2743"/>
    <w:rsid w:val="174E6F4B"/>
    <w:rsid w:val="174F6BCB"/>
    <w:rsid w:val="17527B50"/>
    <w:rsid w:val="17530E55"/>
    <w:rsid w:val="17557BEF"/>
    <w:rsid w:val="175974DB"/>
    <w:rsid w:val="175D5EE1"/>
    <w:rsid w:val="17612369"/>
    <w:rsid w:val="176C3F7D"/>
    <w:rsid w:val="176E3BFD"/>
    <w:rsid w:val="176E3D23"/>
    <w:rsid w:val="17730085"/>
    <w:rsid w:val="17745B06"/>
    <w:rsid w:val="17781F8E"/>
    <w:rsid w:val="17787D90"/>
    <w:rsid w:val="177A5491"/>
    <w:rsid w:val="177B0D14"/>
    <w:rsid w:val="177B2F13"/>
    <w:rsid w:val="177F0C61"/>
    <w:rsid w:val="177F1919"/>
    <w:rsid w:val="17802C1E"/>
    <w:rsid w:val="1780519C"/>
    <w:rsid w:val="1782289D"/>
    <w:rsid w:val="178321B2"/>
    <w:rsid w:val="1784588D"/>
    <w:rsid w:val="17845DA0"/>
    <w:rsid w:val="17853822"/>
    <w:rsid w:val="17864B27"/>
    <w:rsid w:val="178847A7"/>
    <w:rsid w:val="17892228"/>
    <w:rsid w:val="178B0FAF"/>
    <w:rsid w:val="178E2610"/>
    <w:rsid w:val="17905436"/>
    <w:rsid w:val="179363BB"/>
    <w:rsid w:val="17970792"/>
    <w:rsid w:val="17A20BD4"/>
    <w:rsid w:val="17A857FA"/>
    <w:rsid w:val="17AB3A62"/>
    <w:rsid w:val="17B111EE"/>
    <w:rsid w:val="17B26C70"/>
    <w:rsid w:val="17B346F1"/>
    <w:rsid w:val="17B44371"/>
    <w:rsid w:val="17B67874"/>
    <w:rsid w:val="17B950FB"/>
    <w:rsid w:val="17BA2A25"/>
    <w:rsid w:val="17BB3CFC"/>
    <w:rsid w:val="17BE0504"/>
    <w:rsid w:val="17BE4C81"/>
    <w:rsid w:val="17C00184"/>
    <w:rsid w:val="17C11489"/>
    <w:rsid w:val="17C3498C"/>
    <w:rsid w:val="17C3660C"/>
    <w:rsid w:val="17C75FE2"/>
    <w:rsid w:val="17C80E13"/>
    <w:rsid w:val="17C96F08"/>
    <w:rsid w:val="17CC1A18"/>
    <w:rsid w:val="17D13CA1"/>
    <w:rsid w:val="17D244D2"/>
    <w:rsid w:val="17D349C1"/>
    <w:rsid w:val="17D932AC"/>
    <w:rsid w:val="17DA45B1"/>
    <w:rsid w:val="17E219BD"/>
    <w:rsid w:val="17E44EC0"/>
    <w:rsid w:val="17E470BF"/>
    <w:rsid w:val="17E75E45"/>
    <w:rsid w:val="17E96DCA"/>
    <w:rsid w:val="17EF0CD3"/>
    <w:rsid w:val="17F10953"/>
    <w:rsid w:val="17F1593F"/>
    <w:rsid w:val="17F67DF4"/>
    <w:rsid w:val="180453F5"/>
    <w:rsid w:val="18087656"/>
    <w:rsid w:val="18092414"/>
    <w:rsid w:val="180B4D80"/>
    <w:rsid w:val="18191B17"/>
    <w:rsid w:val="18197919"/>
    <w:rsid w:val="181D631F"/>
    <w:rsid w:val="181E3DA1"/>
    <w:rsid w:val="181F3A21"/>
    <w:rsid w:val="182014A2"/>
    <w:rsid w:val="18272BE6"/>
    <w:rsid w:val="18294330"/>
    <w:rsid w:val="182A5635"/>
    <w:rsid w:val="182C0B38"/>
    <w:rsid w:val="182D2D36"/>
    <w:rsid w:val="182F6239"/>
    <w:rsid w:val="1830729E"/>
    <w:rsid w:val="183766D4"/>
    <w:rsid w:val="18387A7B"/>
    <w:rsid w:val="183923CC"/>
    <w:rsid w:val="183C0DD2"/>
    <w:rsid w:val="183C554F"/>
    <w:rsid w:val="183E0A52"/>
    <w:rsid w:val="183E42D5"/>
    <w:rsid w:val="184119D7"/>
    <w:rsid w:val="18422CDC"/>
    <w:rsid w:val="18425C6F"/>
    <w:rsid w:val="18492666"/>
    <w:rsid w:val="18496DE3"/>
    <w:rsid w:val="184D326B"/>
    <w:rsid w:val="18501FF1"/>
    <w:rsid w:val="185041F0"/>
    <w:rsid w:val="185660F9"/>
    <w:rsid w:val="185D5F59"/>
    <w:rsid w:val="185E6D88"/>
    <w:rsid w:val="18617D0D"/>
    <w:rsid w:val="18671C16"/>
    <w:rsid w:val="186A061D"/>
    <w:rsid w:val="186F7922"/>
    <w:rsid w:val="1870062C"/>
    <w:rsid w:val="187212AC"/>
    <w:rsid w:val="1872382B"/>
    <w:rsid w:val="18736D2E"/>
    <w:rsid w:val="1876442F"/>
    <w:rsid w:val="18767CB3"/>
    <w:rsid w:val="18786643"/>
    <w:rsid w:val="1879205C"/>
    <w:rsid w:val="187A66B9"/>
    <w:rsid w:val="187C4135"/>
    <w:rsid w:val="187C6339"/>
    <w:rsid w:val="187D3DBA"/>
    <w:rsid w:val="187F72BD"/>
    <w:rsid w:val="18817102"/>
    <w:rsid w:val="18820242"/>
    <w:rsid w:val="18830A15"/>
    <w:rsid w:val="188411C6"/>
    <w:rsid w:val="18846FC8"/>
    <w:rsid w:val="18852B28"/>
    <w:rsid w:val="18854A4A"/>
    <w:rsid w:val="18893450"/>
    <w:rsid w:val="188B5321"/>
    <w:rsid w:val="188B6593"/>
    <w:rsid w:val="188F7558"/>
    <w:rsid w:val="189439DF"/>
    <w:rsid w:val="189823E5"/>
    <w:rsid w:val="189C466F"/>
    <w:rsid w:val="189D20F0"/>
    <w:rsid w:val="189E1D70"/>
    <w:rsid w:val="189F55F4"/>
    <w:rsid w:val="18A361F8"/>
    <w:rsid w:val="18A43C7A"/>
    <w:rsid w:val="18A74BFE"/>
    <w:rsid w:val="18A82680"/>
    <w:rsid w:val="18AE4589"/>
    <w:rsid w:val="18AF588E"/>
    <w:rsid w:val="18B22F8F"/>
    <w:rsid w:val="18B26813"/>
    <w:rsid w:val="18B9619D"/>
    <w:rsid w:val="18BC1320"/>
    <w:rsid w:val="18BE00A7"/>
    <w:rsid w:val="18D57CCC"/>
    <w:rsid w:val="18D6574D"/>
    <w:rsid w:val="18D731CF"/>
    <w:rsid w:val="18D80C51"/>
    <w:rsid w:val="18D95687"/>
    <w:rsid w:val="18D966D2"/>
    <w:rsid w:val="18E17362"/>
    <w:rsid w:val="18E3103A"/>
    <w:rsid w:val="18E637EA"/>
    <w:rsid w:val="18E67F66"/>
    <w:rsid w:val="18E759E8"/>
    <w:rsid w:val="18EA21F0"/>
    <w:rsid w:val="18EA696C"/>
    <w:rsid w:val="18EB43EE"/>
    <w:rsid w:val="18EF75EB"/>
    <w:rsid w:val="18F11B7B"/>
    <w:rsid w:val="18F32AFF"/>
    <w:rsid w:val="18F3507E"/>
    <w:rsid w:val="18F3727C"/>
    <w:rsid w:val="18F44CFE"/>
    <w:rsid w:val="18F56002"/>
    <w:rsid w:val="18F60201"/>
    <w:rsid w:val="18F7084F"/>
    <w:rsid w:val="18F71505"/>
    <w:rsid w:val="18FF308F"/>
    <w:rsid w:val="19003283"/>
    <w:rsid w:val="19004393"/>
    <w:rsid w:val="19016592"/>
    <w:rsid w:val="190817A0"/>
    <w:rsid w:val="190E112B"/>
    <w:rsid w:val="190E58A7"/>
    <w:rsid w:val="19100DAA"/>
    <w:rsid w:val="191974BC"/>
    <w:rsid w:val="191B713B"/>
    <w:rsid w:val="191F35C3"/>
    <w:rsid w:val="19206E47"/>
    <w:rsid w:val="193070E1"/>
    <w:rsid w:val="193225E4"/>
    <w:rsid w:val="193A79F0"/>
    <w:rsid w:val="193C0975"/>
    <w:rsid w:val="193C2EF3"/>
    <w:rsid w:val="193D41F8"/>
    <w:rsid w:val="193D71F3"/>
    <w:rsid w:val="19416846"/>
    <w:rsid w:val="19436102"/>
    <w:rsid w:val="19441605"/>
    <w:rsid w:val="1945705E"/>
    <w:rsid w:val="19457086"/>
    <w:rsid w:val="19461284"/>
    <w:rsid w:val="19464B08"/>
    <w:rsid w:val="19476D06"/>
    <w:rsid w:val="19492209"/>
    <w:rsid w:val="194B570C"/>
    <w:rsid w:val="194C318E"/>
    <w:rsid w:val="194E47ED"/>
    <w:rsid w:val="194F4112"/>
    <w:rsid w:val="19517616"/>
    <w:rsid w:val="1953639C"/>
    <w:rsid w:val="195511EC"/>
    <w:rsid w:val="195924A3"/>
    <w:rsid w:val="19622BC3"/>
    <w:rsid w:val="19632DB3"/>
    <w:rsid w:val="19663D38"/>
    <w:rsid w:val="196B01BF"/>
    <w:rsid w:val="196C36C2"/>
    <w:rsid w:val="197255CC"/>
    <w:rsid w:val="1973304D"/>
    <w:rsid w:val="19756550"/>
    <w:rsid w:val="197752D7"/>
    <w:rsid w:val="19782558"/>
    <w:rsid w:val="197A625B"/>
    <w:rsid w:val="197B045A"/>
    <w:rsid w:val="197C175F"/>
    <w:rsid w:val="197C5EDB"/>
    <w:rsid w:val="197D163F"/>
    <w:rsid w:val="197D71E0"/>
    <w:rsid w:val="197F6E60"/>
    <w:rsid w:val="19815BE6"/>
    <w:rsid w:val="19827DE5"/>
    <w:rsid w:val="19835866"/>
    <w:rsid w:val="1986206E"/>
    <w:rsid w:val="1986426C"/>
    <w:rsid w:val="198C16D7"/>
    <w:rsid w:val="19931384"/>
    <w:rsid w:val="19932372"/>
    <w:rsid w:val="19A20DD5"/>
    <w:rsid w:val="19A570A0"/>
    <w:rsid w:val="19AC7D2F"/>
    <w:rsid w:val="19AE03F1"/>
    <w:rsid w:val="19B06735"/>
    <w:rsid w:val="19B2305A"/>
    <w:rsid w:val="19B52BBD"/>
    <w:rsid w:val="19B5733A"/>
    <w:rsid w:val="19BC6CC5"/>
    <w:rsid w:val="19C140FF"/>
    <w:rsid w:val="19C169D0"/>
    <w:rsid w:val="19C53688"/>
    <w:rsid w:val="19C83DDC"/>
    <w:rsid w:val="19C95FDB"/>
    <w:rsid w:val="19CB14DE"/>
    <w:rsid w:val="19CD0264"/>
    <w:rsid w:val="19D47BEF"/>
    <w:rsid w:val="19D55670"/>
    <w:rsid w:val="19DC71FA"/>
    <w:rsid w:val="19DE26FD"/>
    <w:rsid w:val="19E13681"/>
    <w:rsid w:val="19E7401A"/>
    <w:rsid w:val="19E85593"/>
    <w:rsid w:val="19E90A8E"/>
    <w:rsid w:val="19EA650F"/>
    <w:rsid w:val="19EC040D"/>
    <w:rsid w:val="19EE2997"/>
    <w:rsid w:val="19F2719F"/>
    <w:rsid w:val="19F31EB4"/>
    <w:rsid w:val="19F459F1"/>
    <w:rsid w:val="19F7111D"/>
    <w:rsid w:val="1A0202EB"/>
    <w:rsid w:val="1A027439"/>
    <w:rsid w:val="1A0503BE"/>
    <w:rsid w:val="1A070C7B"/>
    <w:rsid w:val="1A071A03"/>
    <w:rsid w:val="1A0A00C9"/>
    <w:rsid w:val="1A0C7D49"/>
    <w:rsid w:val="1A0D324C"/>
    <w:rsid w:val="1A0F4551"/>
    <w:rsid w:val="1A0F674F"/>
    <w:rsid w:val="1A1041D0"/>
    <w:rsid w:val="1A113891"/>
    <w:rsid w:val="1A1254D5"/>
    <w:rsid w:val="1A132F57"/>
    <w:rsid w:val="1A1409D8"/>
    <w:rsid w:val="1A192B3F"/>
    <w:rsid w:val="1A19705E"/>
    <w:rsid w:val="1A1A0363"/>
    <w:rsid w:val="1A1C3866"/>
    <w:rsid w:val="1A1F16AE"/>
    <w:rsid w:val="1A20226D"/>
    <w:rsid w:val="1A2331F1"/>
    <w:rsid w:val="1A2608F3"/>
    <w:rsid w:val="1A2950FA"/>
    <w:rsid w:val="1A2E1582"/>
    <w:rsid w:val="1A2E7004"/>
    <w:rsid w:val="1A2F1202"/>
    <w:rsid w:val="1A2F1B2D"/>
    <w:rsid w:val="1A306C84"/>
    <w:rsid w:val="1A373C2A"/>
    <w:rsid w:val="1A387913"/>
    <w:rsid w:val="1A395395"/>
    <w:rsid w:val="1A3B5C77"/>
    <w:rsid w:val="1A3D3D9B"/>
    <w:rsid w:val="1A3F149C"/>
    <w:rsid w:val="1A435CA4"/>
    <w:rsid w:val="1A4511A7"/>
    <w:rsid w:val="1A487BAE"/>
    <w:rsid w:val="1A491DAC"/>
    <w:rsid w:val="1A492825"/>
    <w:rsid w:val="1A4C65B4"/>
    <w:rsid w:val="1A4F165C"/>
    <w:rsid w:val="1A535F3F"/>
    <w:rsid w:val="1A54013D"/>
    <w:rsid w:val="1A5C0DCD"/>
    <w:rsid w:val="1A6F1FEC"/>
    <w:rsid w:val="1A7309F2"/>
    <w:rsid w:val="1A7620CB"/>
    <w:rsid w:val="1A774E7A"/>
    <w:rsid w:val="1A7A5DFE"/>
    <w:rsid w:val="1A7C7103"/>
    <w:rsid w:val="1A7D6D83"/>
    <w:rsid w:val="1A830C8C"/>
    <w:rsid w:val="1A841F91"/>
    <w:rsid w:val="1A84670E"/>
    <w:rsid w:val="1A85418F"/>
    <w:rsid w:val="1A865494"/>
    <w:rsid w:val="1A885114"/>
    <w:rsid w:val="1A8A3E9A"/>
    <w:rsid w:val="1A8D03CC"/>
    <w:rsid w:val="1A8E28A0"/>
    <w:rsid w:val="1A913825"/>
    <w:rsid w:val="1A9234A5"/>
    <w:rsid w:val="1A936D28"/>
    <w:rsid w:val="1A9469A8"/>
    <w:rsid w:val="1A95442A"/>
    <w:rsid w:val="1A984BAD"/>
    <w:rsid w:val="1A9966B3"/>
    <w:rsid w:val="1A9A4135"/>
    <w:rsid w:val="1A9B1BB6"/>
    <w:rsid w:val="1A9B3F3E"/>
    <w:rsid w:val="1A9E72B8"/>
    <w:rsid w:val="1A9F7967"/>
    <w:rsid w:val="1AA13854"/>
    <w:rsid w:val="1AA21541"/>
    <w:rsid w:val="1AA325F1"/>
    <w:rsid w:val="1AA56C42"/>
    <w:rsid w:val="1AA759C9"/>
    <w:rsid w:val="1AAC1E50"/>
    <w:rsid w:val="1AAE5354"/>
    <w:rsid w:val="1AAE7552"/>
    <w:rsid w:val="1AB062D8"/>
    <w:rsid w:val="1AB104D7"/>
    <w:rsid w:val="1AB44CDE"/>
    <w:rsid w:val="1AB601E2"/>
    <w:rsid w:val="1AB75BC6"/>
    <w:rsid w:val="1AB8220E"/>
    <w:rsid w:val="1AB836E5"/>
    <w:rsid w:val="1ABB0DE6"/>
    <w:rsid w:val="1AC8397F"/>
    <w:rsid w:val="1AC91401"/>
    <w:rsid w:val="1ACD7E07"/>
    <w:rsid w:val="1AD47792"/>
    <w:rsid w:val="1AD53433"/>
    <w:rsid w:val="1AD93C19"/>
    <w:rsid w:val="1ADF35A4"/>
    <w:rsid w:val="1AE37DAC"/>
    <w:rsid w:val="1AE4166C"/>
    <w:rsid w:val="1AE47A2C"/>
    <w:rsid w:val="1AE554AD"/>
    <w:rsid w:val="1AEB3784"/>
    <w:rsid w:val="1AED79C5"/>
    <w:rsid w:val="1AEE3BBF"/>
    <w:rsid w:val="1AEF1640"/>
    <w:rsid w:val="1AF06CFB"/>
    <w:rsid w:val="1AF11B8D"/>
    <w:rsid w:val="1AF26D42"/>
    <w:rsid w:val="1AF42245"/>
    <w:rsid w:val="1AF70C4B"/>
    <w:rsid w:val="1AFB5453"/>
    <w:rsid w:val="1AFF6057"/>
    <w:rsid w:val="1B0537E4"/>
    <w:rsid w:val="1B061265"/>
    <w:rsid w:val="1B0659E2"/>
    <w:rsid w:val="1B0A43E8"/>
    <w:rsid w:val="1B0A7C6C"/>
    <w:rsid w:val="1B0E2DEF"/>
    <w:rsid w:val="1B103D73"/>
    <w:rsid w:val="1B11359C"/>
    <w:rsid w:val="1B132AFA"/>
    <w:rsid w:val="1B171500"/>
    <w:rsid w:val="1B1736FE"/>
    <w:rsid w:val="1B181180"/>
    <w:rsid w:val="1B1A4683"/>
    <w:rsid w:val="1B1B5988"/>
    <w:rsid w:val="1B1D5607"/>
    <w:rsid w:val="1B21400E"/>
    <w:rsid w:val="1B263D19"/>
    <w:rsid w:val="1B27179A"/>
    <w:rsid w:val="1B280C01"/>
    <w:rsid w:val="1B2A271F"/>
    <w:rsid w:val="1B2B01A0"/>
    <w:rsid w:val="1B2D4292"/>
    <w:rsid w:val="1B317B2B"/>
    <w:rsid w:val="1B33302E"/>
    <w:rsid w:val="1B3E13BF"/>
    <w:rsid w:val="1B3F26C4"/>
    <w:rsid w:val="1B446B4C"/>
    <w:rsid w:val="1B47424D"/>
    <w:rsid w:val="1B481CCF"/>
    <w:rsid w:val="1B4951D2"/>
    <w:rsid w:val="1B4D3BD8"/>
    <w:rsid w:val="1B50295E"/>
    <w:rsid w:val="1B504B5D"/>
    <w:rsid w:val="1B515E62"/>
    <w:rsid w:val="1B530544"/>
    <w:rsid w:val="1B535AE1"/>
    <w:rsid w:val="1B543563"/>
    <w:rsid w:val="1B59326E"/>
    <w:rsid w:val="1B5A546C"/>
    <w:rsid w:val="1B5E6C0E"/>
    <w:rsid w:val="1B5E76F6"/>
    <w:rsid w:val="1B5F5177"/>
    <w:rsid w:val="1B633DA2"/>
    <w:rsid w:val="1B666D00"/>
    <w:rsid w:val="1B6A5707"/>
    <w:rsid w:val="1B6C448D"/>
    <w:rsid w:val="1B6D1F0E"/>
    <w:rsid w:val="1B6E410D"/>
    <w:rsid w:val="1B713184"/>
    <w:rsid w:val="1B741899"/>
    <w:rsid w:val="1B7802A0"/>
    <w:rsid w:val="1B795D21"/>
    <w:rsid w:val="1B7B1224"/>
    <w:rsid w:val="1B7C6CA6"/>
    <w:rsid w:val="1B7E21A9"/>
    <w:rsid w:val="1B7F1E29"/>
    <w:rsid w:val="1B7F7C2A"/>
    <w:rsid w:val="1B81532C"/>
    <w:rsid w:val="1B83082F"/>
    <w:rsid w:val="1B853D32"/>
    <w:rsid w:val="1B8A0B27"/>
    <w:rsid w:val="1B8D49C2"/>
    <w:rsid w:val="1B8F7EC5"/>
    <w:rsid w:val="1B9133C8"/>
    <w:rsid w:val="1B9752D1"/>
    <w:rsid w:val="1B9E26DE"/>
    <w:rsid w:val="1BA209CF"/>
    <w:rsid w:val="1BAC5276"/>
    <w:rsid w:val="1BAD2CF8"/>
    <w:rsid w:val="1BAF2978"/>
    <w:rsid w:val="1BAF61FB"/>
    <w:rsid w:val="1BB2137E"/>
    <w:rsid w:val="1BB36E00"/>
    <w:rsid w:val="1BB4777D"/>
    <w:rsid w:val="1BB52303"/>
    <w:rsid w:val="1BB65B86"/>
    <w:rsid w:val="1BB75806"/>
    <w:rsid w:val="1BB9458C"/>
    <w:rsid w:val="1BBD2F92"/>
    <w:rsid w:val="1BC34E9C"/>
    <w:rsid w:val="1BCB1DA8"/>
    <w:rsid w:val="1BCB22A8"/>
    <w:rsid w:val="1BCF2EAD"/>
    <w:rsid w:val="1BD0092E"/>
    <w:rsid w:val="1BD702B9"/>
    <w:rsid w:val="1BD75AB8"/>
    <w:rsid w:val="1BDA4AC1"/>
    <w:rsid w:val="1BDB15AE"/>
    <w:rsid w:val="1BDC7FC4"/>
    <w:rsid w:val="1BDE34C7"/>
    <w:rsid w:val="1BE03147"/>
    <w:rsid w:val="1BE1664A"/>
    <w:rsid w:val="1BE55050"/>
    <w:rsid w:val="1BE91858"/>
    <w:rsid w:val="1BE972DA"/>
    <w:rsid w:val="1BF8028F"/>
    <w:rsid w:val="1BF84071"/>
    <w:rsid w:val="1BF92425"/>
    <w:rsid w:val="1C022402"/>
    <w:rsid w:val="1C0459C2"/>
    <w:rsid w:val="1C071E5D"/>
    <w:rsid w:val="1C08430B"/>
    <w:rsid w:val="1C163621"/>
    <w:rsid w:val="1C1945A6"/>
    <w:rsid w:val="1C197E29"/>
    <w:rsid w:val="1C1A2027"/>
    <w:rsid w:val="1C1B3B4A"/>
    <w:rsid w:val="1C1B552A"/>
    <w:rsid w:val="1C1C2FAC"/>
    <w:rsid w:val="1C1D682F"/>
    <w:rsid w:val="1C1F1D32"/>
    <w:rsid w:val="1C2077B4"/>
    <w:rsid w:val="1C224EB5"/>
    <w:rsid w:val="1C253579"/>
    <w:rsid w:val="1C2A22C1"/>
    <w:rsid w:val="1C2B7D43"/>
    <w:rsid w:val="1C2D6AC9"/>
    <w:rsid w:val="1C307A4E"/>
    <w:rsid w:val="1C32514F"/>
    <w:rsid w:val="1C353ED6"/>
    <w:rsid w:val="1C394ADA"/>
    <w:rsid w:val="1C3A255C"/>
    <w:rsid w:val="1C3B3861"/>
    <w:rsid w:val="1C3C4A01"/>
    <w:rsid w:val="1C3F2267"/>
    <w:rsid w:val="1C411EE7"/>
    <w:rsid w:val="1C4466EF"/>
    <w:rsid w:val="1C477673"/>
    <w:rsid w:val="1C481872"/>
    <w:rsid w:val="1C4A05F8"/>
    <w:rsid w:val="1C4A27F6"/>
    <w:rsid w:val="1C4A4D75"/>
    <w:rsid w:val="1C4B0278"/>
    <w:rsid w:val="1C4D157D"/>
    <w:rsid w:val="1C4E0B38"/>
    <w:rsid w:val="1C5E47EB"/>
    <w:rsid w:val="1C6C4030"/>
    <w:rsid w:val="1C723D3B"/>
    <w:rsid w:val="1C74143C"/>
    <w:rsid w:val="1C7C6848"/>
    <w:rsid w:val="1C831A57"/>
    <w:rsid w:val="1C857158"/>
    <w:rsid w:val="1C857611"/>
    <w:rsid w:val="1C87265B"/>
    <w:rsid w:val="1C88086E"/>
    <w:rsid w:val="1C8B1061"/>
    <w:rsid w:val="1C900D6C"/>
    <w:rsid w:val="1C9054E9"/>
    <w:rsid w:val="1C947772"/>
    <w:rsid w:val="1C9551F4"/>
    <w:rsid w:val="1C981DB6"/>
    <w:rsid w:val="1C997D99"/>
    <w:rsid w:val="1C9F7D02"/>
    <w:rsid w:val="1CA36708"/>
    <w:rsid w:val="1CA5548E"/>
    <w:rsid w:val="1CAC1596"/>
    <w:rsid w:val="1CAD7018"/>
    <w:rsid w:val="1CB00C23"/>
    <w:rsid w:val="1CB26D23"/>
    <w:rsid w:val="1CBA632D"/>
    <w:rsid w:val="1CBB1BB0"/>
    <w:rsid w:val="1CBB7632"/>
    <w:rsid w:val="1CCD40DC"/>
    <w:rsid w:val="1CD062D3"/>
    <w:rsid w:val="1CD55FDE"/>
    <w:rsid w:val="1CD714E1"/>
    <w:rsid w:val="1CDF3CEF"/>
    <w:rsid w:val="1CE17872"/>
    <w:rsid w:val="1CE56278"/>
    <w:rsid w:val="1CE923A3"/>
    <w:rsid w:val="1CEA414D"/>
    <w:rsid w:val="1CEB0181"/>
    <w:rsid w:val="1CEC5C03"/>
    <w:rsid w:val="1CED3AEB"/>
    <w:rsid w:val="1CED5883"/>
    <w:rsid w:val="1CEE6BC8"/>
    <w:rsid w:val="1CF06807"/>
    <w:rsid w:val="1CF14289"/>
    <w:rsid w:val="1CFD009B"/>
    <w:rsid w:val="1D027DA6"/>
    <w:rsid w:val="1D063DAB"/>
    <w:rsid w:val="1D091930"/>
    <w:rsid w:val="1D0B6A5C"/>
    <w:rsid w:val="1D120041"/>
    <w:rsid w:val="1D135AC2"/>
    <w:rsid w:val="1D143544"/>
    <w:rsid w:val="1D1A544D"/>
    <w:rsid w:val="1D1B2ECF"/>
    <w:rsid w:val="1D1C0950"/>
    <w:rsid w:val="1D1C2B4F"/>
    <w:rsid w:val="1D266CE1"/>
    <w:rsid w:val="1D297C66"/>
    <w:rsid w:val="1D2E40EE"/>
    <w:rsid w:val="1D3958CF"/>
    <w:rsid w:val="1D3963AF"/>
    <w:rsid w:val="1D3E4388"/>
    <w:rsid w:val="1D3F7C0B"/>
    <w:rsid w:val="1D40568D"/>
    <w:rsid w:val="1D436612"/>
    <w:rsid w:val="1D4439D1"/>
    <w:rsid w:val="1D444093"/>
    <w:rsid w:val="1D492719"/>
    <w:rsid w:val="1D4B5C1C"/>
    <w:rsid w:val="1D4C369E"/>
    <w:rsid w:val="1D4C6F21"/>
    <w:rsid w:val="1D4E2424"/>
    <w:rsid w:val="1D5133A9"/>
    <w:rsid w:val="1D5255A7"/>
    <w:rsid w:val="1D567831"/>
    <w:rsid w:val="1D617DC0"/>
    <w:rsid w:val="1D635F10"/>
    <w:rsid w:val="1D640D44"/>
    <w:rsid w:val="1D671CC9"/>
    <w:rsid w:val="1D682FCE"/>
    <w:rsid w:val="1D68774B"/>
    <w:rsid w:val="1D6A2C4E"/>
    <w:rsid w:val="1D6A673C"/>
    <w:rsid w:val="1D6E70D6"/>
    <w:rsid w:val="1D71005A"/>
    <w:rsid w:val="1D740FDF"/>
    <w:rsid w:val="1D783268"/>
    <w:rsid w:val="1D7B41ED"/>
    <w:rsid w:val="1D893503"/>
    <w:rsid w:val="1D8C4487"/>
    <w:rsid w:val="1D8E540C"/>
    <w:rsid w:val="1D916391"/>
    <w:rsid w:val="1D923E12"/>
    <w:rsid w:val="1D9247AE"/>
    <w:rsid w:val="1D985D1B"/>
    <w:rsid w:val="1D9B6CA0"/>
    <w:rsid w:val="1DA03128"/>
    <w:rsid w:val="1DA21EAE"/>
    <w:rsid w:val="1DA62AB3"/>
    <w:rsid w:val="1DB06C45"/>
    <w:rsid w:val="1DB567EC"/>
    <w:rsid w:val="1DB83A1E"/>
    <w:rsid w:val="1DBD26D8"/>
    <w:rsid w:val="1DBD4C56"/>
    <w:rsid w:val="1DBE0159"/>
    <w:rsid w:val="1DC24961"/>
    <w:rsid w:val="1DC26B60"/>
    <w:rsid w:val="1DC558E6"/>
    <w:rsid w:val="1DC65566"/>
    <w:rsid w:val="1DC842EC"/>
    <w:rsid w:val="1DC964EA"/>
    <w:rsid w:val="1DCF03F4"/>
    <w:rsid w:val="1DD21378"/>
    <w:rsid w:val="1DDD0A0E"/>
    <w:rsid w:val="1DDD668B"/>
    <w:rsid w:val="1DDE6490"/>
    <w:rsid w:val="1DE37094"/>
    <w:rsid w:val="1DE40399"/>
    <w:rsid w:val="1DE44B16"/>
    <w:rsid w:val="1DE6389C"/>
    <w:rsid w:val="1DE86D9F"/>
    <w:rsid w:val="1DEA4CFD"/>
    <w:rsid w:val="1DEA6A1F"/>
    <w:rsid w:val="1DED3227"/>
    <w:rsid w:val="1DEE0CA9"/>
    <w:rsid w:val="1DEF672A"/>
    <w:rsid w:val="1DF510EF"/>
    <w:rsid w:val="1DF51A98"/>
    <w:rsid w:val="1DFF508C"/>
    <w:rsid w:val="1E011EC8"/>
    <w:rsid w:val="1E0508CE"/>
    <w:rsid w:val="1E053DEB"/>
    <w:rsid w:val="1E061BD3"/>
    <w:rsid w:val="1E06634F"/>
    <w:rsid w:val="1E0A4D56"/>
    <w:rsid w:val="1E0B605A"/>
    <w:rsid w:val="1E0D5CDA"/>
    <w:rsid w:val="1E0F4A61"/>
    <w:rsid w:val="1E1024E2"/>
    <w:rsid w:val="1E125EF4"/>
    <w:rsid w:val="1E1430E7"/>
    <w:rsid w:val="1E185370"/>
    <w:rsid w:val="1E1C04F3"/>
    <w:rsid w:val="1E1D17F8"/>
    <w:rsid w:val="1E1F4CFB"/>
    <w:rsid w:val="1E256C04"/>
    <w:rsid w:val="1E260E02"/>
    <w:rsid w:val="1E2754DF"/>
    <w:rsid w:val="1E2851F8"/>
    <w:rsid w:val="1E2C658F"/>
    <w:rsid w:val="1E2F4F95"/>
    <w:rsid w:val="1E305547"/>
    <w:rsid w:val="1E36109D"/>
    <w:rsid w:val="1E3723A2"/>
    <w:rsid w:val="1E387E23"/>
    <w:rsid w:val="1E3A7AA3"/>
    <w:rsid w:val="1E3C2FA6"/>
    <w:rsid w:val="1E3D060F"/>
    <w:rsid w:val="1E3D42AB"/>
    <w:rsid w:val="1E3F7D2E"/>
    <w:rsid w:val="1E405230"/>
    <w:rsid w:val="1E4134E4"/>
    <w:rsid w:val="1E422931"/>
    <w:rsid w:val="1E4427E1"/>
    <w:rsid w:val="1E443C36"/>
    <w:rsid w:val="1E445E34"/>
    <w:rsid w:val="1E4516B7"/>
    <w:rsid w:val="1E461105"/>
    <w:rsid w:val="1E4800BE"/>
    <w:rsid w:val="1E48483A"/>
    <w:rsid w:val="1E4A35C1"/>
    <w:rsid w:val="1E4B73EA"/>
    <w:rsid w:val="1E5062B3"/>
    <w:rsid w:val="1E5176C8"/>
    <w:rsid w:val="1E523514"/>
    <w:rsid w:val="1E532BCB"/>
    <w:rsid w:val="1E543ED0"/>
    <w:rsid w:val="1E551952"/>
    <w:rsid w:val="1E5F2261"/>
    <w:rsid w:val="1E620C67"/>
    <w:rsid w:val="1E6366E9"/>
    <w:rsid w:val="1E637854"/>
    <w:rsid w:val="1E66766E"/>
    <w:rsid w:val="1E6750EF"/>
    <w:rsid w:val="1E6905F2"/>
    <w:rsid w:val="1E6B3AF5"/>
    <w:rsid w:val="1E6D6FF8"/>
    <w:rsid w:val="1E702BF6"/>
    <w:rsid w:val="1E714A66"/>
    <w:rsid w:val="1E754405"/>
    <w:rsid w:val="1E761E86"/>
    <w:rsid w:val="1E76570A"/>
    <w:rsid w:val="1E7A630E"/>
    <w:rsid w:val="1E7B1B91"/>
    <w:rsid w:val="1E7B3D90"/>
    <w:rsid w:val="1E7C7613"/>
    <w:rsid w:val="1E7E4D14"/>
    <w:rsid w:val="1E802593"/>
    <w:rsid w:val="1E8A43AA"/>
    <w:rsid w:val="1E8B6156"/>
    <w:rsid w:val="1E8D532F"/>
    <w:rsid w:val="1E913D35"/>
    <w:rsid w:val="1E934C90"/>
    <w:rsid w:val="1E95490B"/>
    <w:rsid w:val="1E9623BB"/>
    <w:rsid w:val="1E9736C0"/>
    <w:rsid w:val="1E996BC3"/>
    <w:rsid w:val="1E9A4645"/>
    <w:rsid w:val="1E9C42C4"/>
    <w:rsid w:val="1E9D1D46"/>
    <w:rsid w:val="1E9F0ACC"/>
    <w:rsid w:val="1EA374D2"/>
    <w:rsid w:val="1EA703CC"/>
    <w:rsid w:val="1EAA6E5D"/>
    <w:rsid w:val="1EAB6ADD"/>
    <w:rsid w:val="1EAD1FE0"/>
    <w:rsid w:val="1EAE7EAF"/>
    <w:rsid w:val="1EAF0D67"/>
    <w:rsid w:val="1EB067E8"/>
    <w:rsid w:val="1EB33EEA"/>
    <w:rsid w:val="1EB3776D"/>
    <w:rsid w:val="1EB451EE"/>
    <w:rsid w:val="1EB606F1"/>
    <w:rsid w:val="1EB7330C"/>
    <w:rsid w:val="1EBB4B79"/>
    <w:rsid w:val="1EC02718"/>
    <w:rsid w:val="1EC05C79"/>
    <w:rsid w:val="1ECD5642"/>
    <w:rsid w:val="1ED35AA3"/>
    <w:rsid w:val="1ED90489"/>
    <w:rsid w:val="1EDB6AFD"/>
    <w:rsid w:val="1EDC50AE"/>
    <w:rsid w:val="1EE01536"/>
    <w:rsid w:val="1EE47F3C"/>
    <w:rsid w:val="1EE537BF"/>
    <w:rsid w:val="1EE559BD"/>
    <w:rsid w:val="1EE61E60"/>
    <w:rsid w:val="1EE86942"/>
    <w:rsid w:val="1EEB78C7"/>
    <w:rsid w:val="1EED2DCA"/>
    <w:rsid w:val="1EEE40CF"/>
    <w:rsid w:val="1EF30556"/>
    <w:rsid w:val="1EF53A59"/>
    <w:rsid w:val="1EF6594F"/>
    <w:rsid w:val="1F0429EF"/>
    <w:rsid w:val="1F0506DA"/>
    <w:rsid w:val="1F0926FA"/>
    <w:rsid w:val="1F093E26"/>
    <w:rsid w:val="1F0A0FF3"/>
    <w:rsid w:val="1F0B237A"/>
    <w:rsid w:val="1F0C367F"/>
    <w:rsid w:val="1F0D587D"/>
    <w:rsid w:val="1F0F4603"/>
    <w:rsid w:val="1F104283"/>
    <w:rsid w:val="1F117B06"/>
    <w:rsid w:val="1F122276"/>
    <w:rsid w:val="1F127786"/>
    <w:rsid w:val="1F130FEC"/>
    <w:rsid w:val="1F13300A"/>
    <w:rsid w:val="1F144534"/>
    <w:rsid w:val="1F15070B"/>
    <w:rsid w:val="1F163F8E"/>
    <w:rsid w:val="1F1E4D96"/>
    <w:rsid w:val="1F2A2C2F"/>
    <w:rsid w:val="1F2B06B0"/>
    <w:rsid w:val="1F304B38"/>
    <w:rsid w:val="1F334045"/>
    <w:rsid w:val="1F390CCB"/>
    <w:rsid w:val="1F395447"/>
    <w:rsid w:val="1F404DD2"/>
    <w:rsid w:val="1F4315DA"/>
    <w:rsid w:val="1F45125A"/>
    <w:rsid w:val="1F465ECD"/>
    <w:rsid w:val="1F485A62"/>
    <w:rsid w:val="1F4C6666"/>
    <w:rsid w:val="1F50506D"/>
    <w:rsid w:val="1F516372"/>
    <w:rsid w:val="1F520570"/>
    <w:rsid w:val="1F543A73"/>
    <w:rsid w:val="1F5771FF"/>
    <w:rsid w:val="1F585CFC"/>
    <w:rsid w:val="1F5A597C"/>
    <w:rsid w:val="1F5C4703"/>
    <w:rsid w:val="1F5E4382"/>
    <w:rsid w:val="1F5F247E"/>
    <w:rsid w:val="1F62660C"/>
    <w:rsid w:val="1F63408D"/>
    <w:rsid w:val="1F641B0F"/>
    <w:rsid w:val="1F643D0D"/>
    <w:rsid w:val="1F682713"/>
    <w:rsid w:val="1F6A149A"/>
    <w:rsid w:val="1F6A5C17"/>
    <w:rsid w:val="1F6B48FB"/>
    <w:rsid w:val="1F6C111A"/>
    <w:rsid w:val="1F6D6A02"/>
    <w:rsid w:val="1F707B20"/>
    <w:rsid w:val="1F7268A6"/>
    <w:rsid w:val="1F741DA9"/>
    <w:rsid w:val="1F7652AC"/>
    <w:rsid w:val="1F7774AB"/>
    <w:rsid w:val="1F7A3CB3"/>
    <w:rsid w:val="1F7C71B6"/>
    <w:rsid w:val="1F7F2339"/>
    <w:rsid w:val="1F807DBA"/>
    <w:rsid w:val="1F842044"/>
    <w:rsid w:val="1F857AC5"/>
    <w:rsid w:val="1F8A3F4D"/>
    <w:rsid w:val="1F8B19CE"/>
    <w:rsid w:val="1F8D4ED2"/>
    <w:rsid w:val="1F9757E1"/>
    <w:rsid w:val="1F9B1C69"/>
    <w:rsid w:val="1F9F6471"/>
    <w:rsid w:val="1FA13B72"/>
    <w:rsid w:val="1FA37075"/>
    <w:rsid w:val="1FA55DFC"/>
    <w:rsid w:val="1FA94802"/>
    <w:rsid w:val="1FAC1F03"/>
    <w:rsid w:val="1FAC5786"/>
    <w:rsid w:val="1FAE5406"/>
    <w:rsid w:val="1FAF2E88"/>
    <w:rsid w:val="1FB11C0E"/>
    <w:rsid w:val="1FB234EF"/>
    <w:rsid w:val="1FB42B93"/>
    <w:rsid w:val="1FB810F2"/>
    <w:rsid w:val="1FB94A9C"/>
    <w:rsid w:val="1FB9701B"/>
    <w:rsid w:val="1FBB7F9F"/>
    <w:rsid w:val="1FBD7C1F"/>
    <w:rsid w:val="1FBE56A1"/>
    <w:rsid w:val="1FC11EA9"/>
    <w:rsid w:val="1FC16625"/>
    <w:rsid w:val="1FC475AA"/>
    <w:rsid w:val="1FC5502B"/>
    <w:rsid w:val="1FC7052F"/>
    <w:rsid w:val="1FC85FB0"/>
    <w:rsid w:val="1FCB27B8"/>
    <w:rsid w:val="1FD168C0"/>
    <w:rsid w:val="1FD27BC4"/>
    <w:rsid w:val="1FD52DD5"/>
    <w:rsid w:val="1FD7404C"/>
    <w:rsid w:val="1FD81ACE"/>
    <w:rsid w:val="1FD8624A"/>
    <w:rsid w:val="1FDA4D78"/>
    <w:rsid w:val="1FDC4C51"/>
    <w:rsid w:val="1FDF1459"/>
    <w:rsid w:val="1FE06EDA"/>
    <w:rsid w:val="1FE21EC2"/>
    <w:rsid w:val="1FE37E5F"/>
    <w:rsid w:val="1FE53362"/>
    <w:rsid w:val="1FE60DE3"/>
    <w:rsid w:val="1FE70A63"/>
    <w:rsid w:val="1FE80EE1"/>
    <w:rsid w:val="1FE868A9"/>
    <w:rsid w:val="1FE8712A"/>
    <w:rsid w:val="1FF535FC"/>
    <w:rsid w:val="1FF6169F"/>
    <w:rsid w:val="1FF84581"/>
    <w:rsid w:val="2001740F"/>
    <w:rsid w:val="20034907"/>
    <w:rsid w:val="20052895"/>
    <w:rsid w:val="200B1023"/>
    <w:rsid w:val="200F41A6"/>
    <w:rsid w:val="201560AF"/>
    <w:rsid w:val="201673B4"/>
    <w:rsid w:val="20173E4B"/>
    <w:rsid w:val="20174E36"/>
    <w:rsid w:val="20194AB6"/>
    <w:rsid w:val="201A5DBA"/>
    <w:rsid w:val="201F4440"/>
    <w:rsid w:val="20202317"/>
    <w:rsid w:val="20217943"/>
    <w:rsid w:val="20251BCD"/>
    <w:rsid w:val="2025634A"/>
    <w:rsid w:val="20265145"/>
    <w:rsid w:val="2027184D"/>
    <w:rsid w:val="202750D0"/>
    <w:rsid w:val="202A27D1"/>
    <w:rsid w:val="20330EE3"/>
    <w:rsid w:val="203A2A6C"/>
    <w:rsid w:val="203C17F2"/>
    <w:rsid w:val="203D39F0"/>
    <w:rsid w:val="203E4CF5"/>
    <w:rsid w:val="203F2777"/>
    <w:rsid w:val="204001F8"/>
    <w:rsid w:val="20415C7A"/>
    <w:rsid w:val="2043117D"/>
    <w:rsid w:val="204358FA"/>
    <w:rsid w:val="2044337B"/>
    <w:rsid w:val="2046687E"/>
    <w:rsid w:val="204670CE"/>
    <w:rsid w:val="204752C1"/>
    <w:rsid w:val="20481D81"/>
    <w:rsid w:val="20495DA5"/>
    <w:rsid w:val="204E48BC"/>
    <w:rsid w:val="20512691"/>
    <w:rsid w:val="20593321"/>
    <w:rsid w:val="205C42A5"/>
    <w:rsid w:val="2061072D"/>
    <w:rsid w:val="20657090"/>
    <w:rsid w:val="206D1FC1"/>
    <w:rsid w:val="206F32C6"/>
    <w:rsid w:val="207451CF"/>
    <w:rsid w:val="20776154"/>
    <w:rsid w:val="20780352"/>
    <w:rsid w:val="20783BD5"/>
    <w:rsid w:val="207B12D7"/>
    <w:rsid w:val="207B4B5A"/>
    <w:rsid w:val="207C6D58"/>
    <w:rsid w:val="20816A63"/>
    <w:rsid w:val="20831BA0"/>
    <w:rsid w:val="208366E3"/>
    <w:rsid w:val="20841BE6"/>
    <w:rsid w:val="20862EEB"/>
    <w:rsid w:val="208921B3"/>
    <w:rsid w:val="20893E70"/>
    <w:rsid w:val="208B4DF4"/>
    <w:rsid w:val="208B7373"/>
    <w:rsid w:val="209029D8"/>
    <w:rsid w:val="2091347B"/>
    <w:rsid w:val="2092477F"/>
    <w:rsid w:val="209443FF"/>
    <w:rsid w:val="20955704"/>
    <w:rsid w:val="20973DEB"/>
    <w:rsid w:val="209A6308"/>
    <w:rsid w:val="209D4D0F"/>
    <w:rsid w:val="209E0592"/>
    <w:rsid w:val="20A4469A"/>
    <w:rsid w:val="20A943A5"/>
    <w:rsid w:val="20AB78A8"/>
    <w:rsid w:val="20AC1AA6"/>
    <w:rsid w:val="20AD289C"/>
    <w:rsid w:val="20AF62AE"/>
    <w:rsid w:val="20B26522"/>
    <w:rsid w:val="20B42736"/>
    <w:rsid w:val="20B44310"/>
    <w:rsid w:val="20C0647E"/>
    <w:rsid w:val="20CF0D61"/>
    <w:rsid w:val="20D25569"/>
    <w:rsid w:val="20D63F6F"/>
    <w:rsid w:val="20D6616D"/>
    <w:rsid w:val="20DC38FA"/>
    <w:rsid w:val="20DF487F"/>
    <w:rsid w:val="20E379AE"/>
    <w:rsid w:val="20E564E6"/>
    <w:rsid w:val="20ED5D93"/>
    <w:rsid w:val="20EE3962"/>
    <w:rsid w:val="20EF1296"/>
    <w:rsid w:val="20EF7097"/>
    <w:rsid w:val="20F2221A"/>
    <w:rsid w:val="20F37C9C"/>
    <w:rsid w:val="20F4351F"/>
    <w:rsid w:val="20F555B5"/>
    <w:rsid w:val="20F60C21"/>
    <w:rsid w:val="20F84124"/>
    <w:rsid w:val="20FE18B0"/>
    <w:rsid w:val="2107473E"/>
    <w:rsid w:val="21097C41"/>
    <w:rsid w:val="210B5343"/>
    <w:rsid w:val="210E1B4B"/>
    <w:rsid w:val="211116EB"/>
    <w:rsid w:val="211514D5"/>
    <w:rsid w:val="212152E8"/>
    <w:rsid w:val="212307EB"/>
    <w:rsid w:val="21251770"/>
    <w:rsid w:val="21271BF9"/>
    <w:rsid w:val="212B528A"/>
    <w:rsid w:val="212D6B7C"/>
    <w:rsid w:val="21372D0F"/>
    <w:rsid w:val="213B1715"/>
    <w:rsid w:val="21430D20"/>
    <w:rsid w:val="214445A3"/>
    <w:rsid w:val="21465528"/>
    <w:rsid w:val="21477726"/>
    <w:rsid w:val="214B630E"/>
    <w:rsid w:val="214D441A"/>
    <w:rsid w:val="214F03B6"/>
    <w:rsid w:val="215B49AE"/>
    <w:rsid w:val="215D76CB"/>
    <w:rsid w:val="216133FC"/>
    <w:rsid w:val="216337D3"/>
    <w:rsid w:val="21681B68"/>
    <w:rsid w:val="21687C5B"/>
    <w:rsid w:val="216A315E"/>
    <w:rsid w:val="21701A71"/>
    <w:rsid w:val="2171636C"/>
    <w:rsid w:val="2173186F"/>
    <w:rsid w:val="217414EF"/>
    <w:rsid w:val="21756F70"/>
    <w:rsid w:val="21783778"/>
    <w:rsid w:val="21787EF5"/>
    <w:rsid w:val="217A6C7B"/>
    <w:rsid w:val="21831B09"/>
    <w:rsid w:val="2186076B"/>
    <w:rsid w:val="21862A8E"/>
    <w:rsid w:val="21893A13"/>
    <w:rsid w:val="21894456"/>
    <w:rsid w:val="218F68ED"/>
    <w:rsid w:val="2198622B"/>
    <w:rsid w:val="21993CAD"/>
    <w:rsid w:val="219961AD"/>
    <w:rsid w:val="219C7678"/>
    <w:rsid w:val="219F1439"/>
    <w:rsid w:val="21A06EBB"/>
    <w:rsid w:val="21A110B9"/>
    <w:rsid w:val="21A1493D"/>
    <w:rsid w:val="21A223BE"/>
    <w:rsid w:val="21A345BC"/>
    <w:rsid w:val="21A4203E"/>
    <w:rsid w:val="21A57AC0"/>
    <w:rsid w:val="21A60DC4"/>
    <w:rsid w:val="21AA19C9"/>
    <w:rsid w:val="21AE3C52"/>
    <w:rsid w:val="21B038D2"/>
    <w:rsid w:val="21B26DD5"/>
    <w:rsid w:val="21B34857"/>
    <w:rsid w:val="21B57D5A"/>
    <w:rsid w:val="21BC2F68"/>
    <w:rsid w:val="21BF60EB"/>
    <w:rsid w:val="21D13E07"/>
    <w:rsid w:val="21D1768A"/>
    <w:rsid w:val="21D21888"/>
    <w:rsid w:val="21D56769"/>
    <w:rsid w:val="21D6028F"/>
    <w:rsid w:val="21D96C95"/>
    <w:rsid w:val="21DC5A1B"/>
    <w:rsid w:val="21DF3919"/>
    <w:rsid w:val="21E140A1"/>
    <w:rsid w:val="21E408A9"/>
    <w:rsid w:val="21E45026"/>
    <w:rsid w:val="21E52EF3"/>
    <w:rsid w:val="21E60529"/>
    <w:rsid w:val="21E872AF"/>
    <w:rsid w:val="21F05FFE"/>
    <w:rsid w:val="21FB5D7B"/>
    <w:rsid w:val="22004956"/>
    <w:rsid w:val="22015E94"/>
    <w:rsid w:val="22022EA1"/>
    <w:rsid w:val="220620E3"/>
    <w:rsid w:val="220742E1"/>
    <w:rsid w:val="220B1C3D"/>
    <w:rsid w:val="220F716F"/>
    <w:rsid w:val="22104BF0"/>
    <w:rsid w:val="22123802"/>
    <w:rsid w:val="221435F7"/>
    <w:rsid w:val="221A0D83"/>
    <w:rsid w:val="221A5500"/>
    <w:rsid w:val="221D1D20"/>
    <w:rsid w:val="221F520B"/>
    <w:rsid w:val="22207409"/>
    <w:rsid w:val="22214E8B"/>
    <w:rsid w:val="22245E0F"/>
    <w:rsid w:val="22276D94"/>
    <w:rsid w:val="222D671F"/>
    <w:rsid w:val="222F7A24"/>
    <w:rsid w:val="222F7A69"/>
    <w:rsid w:val="22315125"/>
    <w:rsid w:val="22322BA7"/>
    <w:rsid w:val="22334A87"/>
    <w:rsid w:val="223460AA"/>
    <w:rsid w:val="223A40EF"/>
    <w:rsid w:val="223D0F38"/>
    <w:rsid w:val="223F1EBC"/>
    <w:rsid w:val="223F443B"/>
    <w:rsid w:val="22453DC6"/>
    <w:rsid w:val="224A3AD1"/>
    <w:rsid w:val="224B5CCF"/>
    <w:rsid w:val="224C3750"/>
    <w:rsid w:val="224D4A55"/>
    <w:rsid w:val="22536AC3"/>
    <w:rsid w:val="225443E0"/>
    <w:rsid w:val="2256370D"/>
    <w:rsid w:val="22575365"/>
    <w:rsid w:val="225B3D6B"/>
    <w:rsid w:val="22667B7E"/>
    <w:rsid w:val="22690B02"/>
    <w:rsid w:val="226A1E07"/>
    <w:rsid w:val="226A719B"/>
    <w:rsid w:val="226B7889"/>
    <w:rsid w:val="226C1A87"/>
    <w:rsid w:val="226D2D8C"/>
    <w:rsid w:val="2278111D"/>
    <w:rsid w:val="2278210B"/>
    <w:rsid w:val="227B42A0"/>
    <w:rsid w:val="227C7B23"/>
    <w:rsid w:val="227F2CA6"/>
    <w:rsid w:val="2284712E"/>
    <w:rsid w:val="22850432"/>
    <w:rsid w:val="22854BAF"/>
    <w:rsid w:val="228B233C"/>
    <w:rsid w:val="228E7A3D"/>
    <w:rsid w:val="22931946"/>
    <w:rsid w:val="22937748"/>
    <w:rsid w:val="229451CA"/>
    <w:rsid w:val="229606CD"/>
    <w:rsid w:val="2297034D"/>
    <w:rsid w:val="2297614E"/>
    <w:rsid w:val="229F2122"/>
    <w:rsid w:val="22A20FA7"/>
    <w:rsid w:val="22A379E2"/>
    <w:rsid w:val="22A74638"/>
    <w:rsid w:val="22A873C7"/>
    <w:rsid w:val="22A93AEA"/>
    <w:rsid w:val="22AA736D"/>
    <w:rsid w:val="22AB4DEF"/>
    <w:rsid w:val="22AF59F3"/>
    <w:rsid w:val="22B10EF6"/>
    <w:rsid w:val="22B41E7B"/>
    <w:rsid w:val="22B6537E"/>
    <w:rsid w:val="22BE6801"/>
    <w:rsid w:val="22BF3A8F"/>
    <w:rsid w:val="22C07DBE"/>
    <w:rsid w:val="22C20135"/>
    <w:rsid w:val="22C52EB2"/>
    <w:rsid w:val="22C77DC0"/>
    <w:rsid w:val="22CA78A2"/>
    <w:rsid w:val="22CB5324"/>
    <w:rsid w:val="22CC2DA5"/>
    <w:rsid w:val="22CD0827"/>
    <w:rsid w:val="22CF3D2A"/>
    <w:rsid w:val="22D0502F"/>
    <w:rsid w:val="22D20532"/>
    <w:rsid w:val="22D55C33"/>
    <w:rsid w:val="22D636B5"/>
    <w:rsid w:val="22DB33C0"/>
    <w:rsid w:val="22DC3905"/>
    <w:rsid w:val="22E174C7"/>
    <w:rsid w:val="22E7312D"/>
    <w:rsid w:val="22E86E52"/>
    <w:rsid w:val="22E948D4"/>
    <w:rsid w:val="22EB7DD7"/>
    <w:rsid w:val="22EE45DF"/>
    <w:rsid w:val="22F66168"/>
    <w:rsid w:val="22F84EEE"/>
    <w:rsid w:val="22F92970"/>
    <w:rsid w:val="22FD1376"/>
    <w:rsid w:val="23007D7C"/>
    <w:rsid w:val="23016DB6"/>
    <w:rsid w:val="2303547D"/>
    <w:rsid w:val="23046782"/>
    <w:rsid w:val="23073E84"/>
    <w:rsid w:val="23084287"/>
    <w:rsid w:val="23092C0A"/>
    <w:rsid w:val="230A068C"/>
    <w:rsid w:val="230A4E08"/>
    <w:rsid w:val="230F1290"/>
    <w:rsid w:val="231879A1"/>
    <w:rsid w:val="23195423"/>
    <w:rsid w:val="231A0926"/>
    <w:rsid w:val="23225D32"/>
    <w:rsid w:val="23272755"/>
    <w:rsid w:val="232956BD"/>
    <w:rsid w:val="232C6642"/>
    <w:rsid w:val="23325FCD"/>
    <w:rsid w:val="23333A4E"/>
    <w:rsid w:val="233500BF"/>
    <w:rsid w:val="23370256"/>
    <w:rsid w:val="23377FF7"/>
    <w:rsid w:val="23393759"/>
    <w:rsid w:val="233A33D9"/>
    <w:rsid w:val="233C215F"/>
    <w:rsid w:val="23424069"/>
    <w:rsid w:val="23445B89"/>
    <w:rsid w:val="234704F0"/>
    <w:rsid w:val="23495BF2"/>
    <w:rsid w:val="234D45F8"/>
    <w:rsid w:val="234E7E7B"/>
    <w:rsid w:val="2357078B"/>
    <w:rsid w:val="23574F07"/>
    <w:rsid w:val="235B7191"/>
    <w:rsid w:val="23603619"/>
    <w:rsid w:val="23607D95"/>
    <w:rsid w:val="23672FA4"/>
    <w:rsid w:val="236906A5"/>
    <w:rsid w:val="236A19AA"/>
    <w:rsid w:val="236B425F"/>
    <w:rsid w:val="236C4EAD"/>
    <w:rsid w:val="236D292E"/>
    <w:rsid w:val="23734838"/>
    <w:rsid w:val="237544B8"/>
    <w:rsid w:val="23761F39"/>
    <w:rsid w:val="23780CBF"/>
    <w:rsid w:val="2378543C"/>
    <w:rsid w:val="237B3E42"/>
    <w:rsid w:val="237D5147"/>
    <w:rsid w:val="237D7345"/>
    <w:rsid w:val="238237CD"/>
    <w:rsid w:val="23836192"/>
    <w:rsid w:val="23856809"/>
    <w:rsid w:val="238A445D"/>
    <w:rsid w:val="23901F29"/>
    <w:rsid w:val="23944D6C"/>
    <w:rsid w:val="23975CF1"/>
    <w:rsid w:val="239C0061"/>
    <w:rsid w:val="239E30FD"/>
    <w:rsid w:val="23A06601"/>
    <w:rsid w:val="23A27905"/>
    <w:rsid w:val="23A32E08"/>
    <w:rsid w:val="23A36271"/>
    <w:rsid w:val="23A9148E"/>
    <w:rsid w:val="23AA2793"/>
    <w:rsid w:val="23AC2413"/>
    <w:rsid w:val="23AD3718"/>
    <w:rsid w:val="23B21D9E"/>
    <w:rsid w:val="23B2431C"/>
    <w:rsid w:val="23B5349D"/>
    <w:rsid w:val="23B607A4"/>
    <w:rsid w:val="23B908A4"/>
    <w:rsid w:val="23BA2A2E"/>
    <w:rsid w:val="23BB04AF"/>
    <w:rsid w:val="23C245B7"/>
    <w:rsid w:val="23C358BC"/>
    <w:rsid w:val="23C47ABA"/>
    <w:rsid w:val="23C47F75"/>
    <w:rsid w:val="23CE3C4D"/>
    <w:rsid w:val="23CF38CC"/>
    <w:rsid w:val="23D07225"/>
    <w:rsid w:val="23D435D7"/>
    <w:rsid w:val="23D63257"/>
    <w:rsid w:val="23D8675A"/>
    <w:rsid w:val="23D97A5F"/>
    <w:rsid w:val="23DA1C5E"/>
    <w:rsid w:val="23DB76DF"/>
    <w:rsid w:val="23E03B67"/>
    <w:rsid w:val="23E14E6C"/>
    <w:rsid w:val="23E24AEB"/>
    <w:rsid w:val="23E2706A"/>
    <w:rsid w:val="23E74856"/>
    <w:rsid w:val="23E95BEF"/>
    <w:rsid w:val="23EB3172"/>
    <w:rsid w:val="23ED6700"/>
    <w:rsid w:val="23F22B88"/>
    <w:rsid w:val="23F53B0C"/>
    <w:rsid w:val="23FA7F94"/>
    <w:rsid w:val="23FC3497"/>
    <w:rsid w:val="23FD0064"/>
    <w:rsid w:val="24020C24"/>
    <w:rsid w:val="24051BA8"/>
    <w:rsid w:val="240653E4"/>
    <w:rsid w:val="240772AA"/>
    <w:rsid w:val="24082B2D"/>
    <w:rsid w:val="24084D2B"/>
    <w:rsid w:val="240A022E"/>
    <w:rsid w:val="240A6030"/>
    <w:rsid w:val="240D11B3"/>
    <w:rsid w:val="241059BB"/>
    <w:rsid w:val="2411343C"/>
    <w:rsid w:val="24117BB9"/>
    <w:rsid w:val="2412563B"/>
    <w:rsid w:val="24151E43"/>
    <w:rsid w:val="241678C4"/>
    <w:rsid w:val="24171AC2"/>
    <w:rsid w:val="24182DC7"/>
    <w:rsid w:val="24187544"/>
    <w:rsid w:val="241B04C9"/>
    <w:rsid w:val="241B5F4A"/>
    <w:rsid w:val="241C39CC"/>
    <w:rsid w:val="241F2752"/>
    <w:rsid w:val="242236D7"/>
    <w:rsid w:val="24267B5E"/>
    <w:rsid w:val="242877DE"/>
    <w:rsid w:val="24295260"/>
    <w:rsid w:val="242D3C66"/>
    <w:rsid w:val="24315EF0"/>
    <w:rsid w:val="24323971"/>
    <w:rsid w:val="24341072"/>
    <w:rsid w:val="24361E02"/>
    <w:rsid w:val="2438587A"/>
    <w:rsid w:val="24387A79"/>
    <w:rsid w:val="243A2F7C"/>
    <w:rsid w:val="243B09FD"/>
    <w:rsid w:val="243B67FF"/>
    <w:rsid w:val="243D7784"/>
    <w:rsid w:val="24485B15"/>
    <w:rsid w:val="24493596"/>
    <w:rsid w:val="244B3216"/>
    <w:rsid w:val="244E1C1C"/>
    <w:rsid w:val="24502F21"/>
    <w:rsid w:val="245375B0"/>
    <w:rsid w:val="245628AC"/>
    <w:rsid w:val="24580B9F"/>
    <w:rsid w:val="24594095"/>
    <w:rsid w:val="24641BC2"/>
    <w:rsid w:val="24642C0A"/>
    <w:rsid w:val="246650C5"/>
    <w:rsid w:val="246805C8"/>
    <w:rsid w:val="24696049"/>
    <w:rsid w:val="246B154C"/>
    <w:rsid w:val="24716CD9"/>
    <w:rsid w:val="2472475B"/>
    <w:rsid w:val="247B17E7"/>
    <w:rsid w:val="247C6455"/>
    <w:rsid w:val="247D4CEA"/>
    <w:rsid w:val="247F06C6"/>
    <w:rsid w:val="248136F0"/>
    <w:rsid w:val="24832476"/>
    <w:rsid w:val="248655F9"/>
    <w:rsid w:val="24870E7D"/>
    <w:rsid w:val="2490178C"/>
    <w:rsid w:val="24955C14"/>
    <w:rsid w:val="24982A8B"/>
    <w:rsid w:val="24A11A27"/>
    <w:rsid w:val="24A13C25"/>
    <w:rsid w:val="24A37128"/>
    <w:rsid w:val="24A600AD"/>
    <w:rsid w:val="24AA6AB3"/>
    <w:rsid w:val="24AD7A37"/>
    <w:rsid w:val="24AF287C"/>
    <w:rsid w:val="24B0423F"/>
    <w:rsid w:val="24B11CC1"/>
    <w:rsid w:val="24B22173"/>
    <w:rsid w:val="24B95AD9"/>
    <w:rsid w:val="24BC0052"/>
    <w:rsid w:val="24BE24DA"/>
    <w:rsid w:val="24C97368"/>
    <w:rsid w:val="24CC02EC"/>
    <w:rsid w:val="24CE37EF"/>
    <w:rsid w:val="24CF1271"/>
    <w:rsid w:val="24CF4AF4"/>
    <w:rsid w:val="24CF5825"/>
    <w:rsid w:val="24D02576"/>
    <w:rsid w:val="24D02F61"/>
    <w:rsid w:val="24D14774"/>
    <w:rsid w:val="24D25A79"/>
    <w:rsid w:val="24D40F7C"/>
    <w:rsid w:val="24D6447F"/>
    <w:rsid w:val="24D663E6"/>
    <w:rsid w:val="24D6667D"/>
    <w:rsid w:val="24D71F01"/>
    <w:rsid w:val="24D77F2B"/>
    <w:rsid w:val="24D97602"/>
    <w:rsid w:val="24DA2E85"/>
    <w:rsid w:val="24DC6388"/>
    <w:rsid w:val="24DD6008"/>
    <w:rsid w:val="24DF150B"/>
    <w:rsid w:val="24E14A0E"/>
    <w:rsid w:val="24E25D13"/>
    <w:rsid w:val="24E770D5"/>
    <w:rsid w:val="24E84399"/>
    <w:rsid w:val="24E87C1C"/>
    <w:rsid w:val="24EC236E"/>
    <w:rsid w:val="24ED0821"/>
    <w:rsid w:val="24EE3D24"/>
    <w:rsid w:val="24F2272A"/>
    <w:rsid w:val="24F84634"/>
    <w:rsid w:val="24FE653D"/>
    <w:rsid w:val="24FF7842"/>
    <w:rsid w:val="25001A40"/>
    <w:rsid w:val="250053FF"/>
    <w:rsid w:val="25024F43"/>
    <w:rsid w:val="25090151"/>
    <w:rsid w:val="2509234F"/>
    <w:rsid w:val="250A5BD3"/>
    <w:rsid w:val="250C10D6"/>
    <w:rsid w:val="250D0D56"/>
    <w:rsid w:val="250D6B57"/>
    <w:rsid w:val="250E67D7"/>
    <w:rsid w:val="25110CF1"/>
    <w:rsid w:val="25112FDF"/>
    <w:rsid w:val="2511775C"/>
    <w:rsid w:val="251251DD"/>
    <w:rsid w:val="251406E0"/>
    <w:rsid w:val="25167467"/>
    <w:rsid w:val="25267701"/>
    <w:rsid w:val="252A5A7D"/>
    <w:rsid w:val="25315A92"/>
    <w:rsid w:val="2538541D"/>
    <w:rsid w:val="25392E9F"/>
    <w:rsid w:val="253B63A2"/>
    <w:rsid w:val="25415D2D"/>
    <w:rsid w:val="25444AB3"/>
    <w:rsid w:val="25465A38"/>
    <w:rsid w:val="254734B9"/>
    <w:rsid w:val="25480F3B"/>
    <w:rsid w:val="254856B7"/>
    <w:rsid w:val="25493139"/>
    <w:rsid w:val="254F08C6"/>
    <w:rsid w:val="25513DC9"/>
    <w:rsid w:val="25533A48"/>
    <w:rsid w:val="255C2C60"/>
    <w:rsid w:val="255C4358"/>
    <w:rsid w:val="255E785B"/>
    <w:rsid w:val="255F52DD"/>
    <w:rsid w:val="25652A69"/>
    <w:rsid w:val="256D45F2"/>
    <w:rsid w:val="25702FF9"/>
    <w:rsid w:val="25731D7F"/>
    <w:rsid w:val="25747800"/>
    <w:rsid w:val="25757480"/>
    <w:rsid w:val="25760785"/>
    <w:rsid w:val="25780405"/>
    <w:rsid w:val="25783C88"/>
    <w:rsid w:val="25797F3E"/>
    <w:rsid w:val="257B138A"/>
    <w:rsid w:val="257D488D"/>
    <w:rsid w:val="25816B16"/>
    <w:rsid w:val="258403C0"/>
    <w:rsid w:val="258B00E2"/>
    <w:rsid w:val="258C4EA7"/>
    <w:rsid w:val="258D6542"/>
    <w:rsid w:val="25916DB0"/>
    <w:rsid w:val="25924832"/>
    <w:rsid w:val="259A1C3E"/>
    <w:rsid w:val="259B76C0"/>
    <w:rsid w:val="259D6446"/>
    <w:rsid w:val="259E3EC8"/>
    <w:rsid w:val="25A53853"/>
    <w:rsid w:val="25A917A6"/>
    <w:rsid w:val="25AC31DE"/>
    <w:rsid w:val="25AD0C5F"/>
    <w:rsid w:val="25AD2E5D"/>
    <w:rsid w:val="25AF1BE4"/>
    <w:rsid w:val="25B11864"/>
    <w:rsid w:val="25B5026A"/>
    <w:rsid w:val="25B64840"/>
    <w:rsid w:val="25B924F3"/>
    <w:rsid w:val="25BB2173"/>
    <w:rsid w:val="25BC3478"/>
    <w:rsid w:val="25BE27CC"/>
    <w:rsid w:val="25C27580"/>
    <w:rsid w:val="25C35001"/>
    <w:rsid w:val="25C46BF1"/>
    <w:rsid w:val="25C61809"/>
    <w:rsid w:val="25C84D0C"/>
    <w:rsid w:val="25C9278E"/>
    <w:rsid w:val="25CB240D"/>
    <w:rsid w:val="25CE3392"/>
    <w:rsid w:val="25D565A0"/>
    <w:rsid w:val="25D6079F"/>
    <w:rsid w:val="25D740C3"/>
    <w:rsid w:val="25DA2A28"/>
    <w:rsid w:val="25DA4C26"/>
    <w:rsid w:val="25DB1C4F"/>
    <w:rsid w:val="25DE1FA0"/>
    <w:rsid w:val="25E40DB9"/>
    <w:rsid w:val="25E642BC"/>
    <w:rsid w:val="25E81A23"/>
    <w:rsid w:val="25E877BF"/>
    <w:rsid w:val="25EF714A"/>
    <w:rsid w:val="25F66AD5"/>
    <w:rsid w:val="25F74556"/>
    <w:rsid w:val="25F74A5C"/>
    <w:rsid w:val="25FD3EE1"/>
    <w:rsid w:val="260006E9"/>
    <w:rsid w:val="26004E66"/>
    <w:rsid w:val="260128E8"/>
    <w:rsid w:val="26020369"/>
    <w:rsid w:val="260512EE"/>
    <w:rsid w:val="26054B71"/>
    <w:rsid w:val="260A5775"/>
    <w:rsid w:val="260B6A7A"/>
    <w:rsid w:val="2612587C"/>
    <w:rsid w:val="26126405"/>
    <w:rsid w:val="26151588"/>
    <w:rsid w:val="26193812"/>
    <w:rsid w:val="261D6994"/>
    <w:rsid w:val="2620319C"/>
    <w:rsid w:val="262241EA"/>
    <w:rsid w:val="26234121"/>
    <w:rsid w:val="262772A4"/>
    <w:rsid w:val="2628662C"/>
    <w:rsid w:val="262C11AD"/>
    <w:rsid w:val="262D45DE"/>
    <w:rsid w:val="262E46B0"/>
    <w:rsid w:val="262F59B5"/>
    <w:rsid w:val="263230B7"/>
    <w:rsid w:val="26341C2C"/>
    <w:rsid w:val="26372DC2"/>
    <w:rsid w:val="263C7249"/>
    <w:rsid w:val="264779F7"/>
    <w:rsid w:val="26492CDC"/>
    <w:rsid w:val="264C0B1A"/>
    <w:rsid w:val="264C74E4"/>
    <w:rsid w:val="26621687"/>
    <w:rsid w:val="2665260C"/>
    <w:rsid w:val="266A2317"/>
    <w:rsid w:val="266C1F97"/>
    <w:rsid w:val="266E549A"/>
    <w:rsid w:val="2670099D"/>
    <w:rsid w:val="26711CA2"/>
    <w:rsid w:val="26731922"/>
    <w:rsid w:val="267628A6"/>
    <w:rsid w:val="26773BAB"/>
    <w:rsid w:val="267C6969"/>
    <w:rsid w:val="267D5AB4"/>
    <w:rsid w:val="267E3536"/>
    <w:rsid w:val="268166B9"/>
    <w:rsid w:val="268705C2"/>
    <w:rsid w:val="26871DC8"/>
    <w:rsid w:val="26886044"/>
    <w:rsid w:val="268B1793"/>
    <w:rsid w:val="26910E10"/>
    <w:rsid w:val="26931E56"/>
    <w:rsid w:val="2697665E"/>
    <w:rsid w:val="269E01E7"/>
    <w:rsid w:val="269F5C69"/>
    <w:rsid w:val="269F64C8"/>
    <w:rsid w:val="26A149EF"/>
    <w:rsid w:val="26A3466F"/>
    <w:rsid w:val="26A53EF9"/>
    <w:rsid w:val="26A64EF3"/>
    <w:rsid w:val="26A8437A"/>
    <w:rsid w:val="26A94201"/>
    <w:rsid w:val="26AA787D"/>
    <w:rsid w:val="26AC274F"/>
    <w:rsid w:val="26AC4F7F"/>
    <w:rsid w:val="26AF4526"/>
    <w:rsid w:val="26B07208"/>
    <w:rsid w:val="26B3018D"/>
    <w:rsid w:val="26B371DC"/>
    <w:rsid w:val="26BD0A9C"/>
    <w:rsid w:val="26BF3F9F"/>
    <w:rsid w:val="26C436A5"/>
    <w:rsid w:val="26CD0D37"/>
    <w:rsid w:val="26CD6B38"/>
    <w:rsid w:val="26CE67B8"/>
    <w:rsid w:val="26D0553E"/>
    <w:rsid w:val="26D07ABD"/>
    <w:rsid w:val="26D12FC0"/>
    <w:rsid w:val="26D1773D"/>
    <w:rsid w:val="26D406C1"/>
    <w:rsid w:val="26D519C6"/>
    <w:rsid w:val="26D63BC5"/>
    <w:rsid w:val="26DA25CB"/>
    <w:rsid w:val="26E4095C"/>
    <w:rsid w:val="26E541DF"/>
    <w:rsid w:val="26E61C61"/>
    <w:rsid w:val="26E63E5F"/>
    <w:rsid w:val="26E85164"/>
    <w:rsid w:val="26EA2865"/>
    <w:rsid w:val="26EB3B6A"/>
    <w:rsid w:val="26EE4AEF"/>
    <w:rsid w:val="26F121F0"/>
    <w:rsid w:val="26F234F5"/>
    <w:rsid w:val="26F36771"/>
    <w:rsid w:val="26F43175"/>
    <w:rsid w:val="26F66678"/>
    <w:rsid w:val="26F9507E"/>
    <w:rsid w:val="26FD3A84"/>
    <w:rsid w:val="26FE7307"/>
    <w:rsid w:val="27027F0C"/>
    <w:rsid w:val="2703598D"/>
    <w:rsid w:val="27044A29"/>
    <w:rsid w:val="27046C92"/>
    <w:rsid w:val="27050E90"/>
    <w:rsid w:val="27074394"/>
    <w:rsid w:val="270A0B9B"/>
    <w:rsid w:val="270B661D"/>
    <w:rsid w:val="270C081B"/>
    <w:rsid w:val="270F17A0"/>
    <w:rsid w:val="270F5023"/>
    <w:rsid w:val="27102ED4"/>
    <w:rsid w:val="27114CA3"/>
    <w:rsid w:val="271414AB"/>
    <w:rsid w:val="271649AE"/>
    <w:rsid w:val="271B68B7"/>
    <w:rsid w:val="271D34C8"/>
    <w:rsid w:val="27231678"/>
    <w:rsid w:val="2724717E"/>
    <w:rsid w:val="272C0399"/>
    <w:rsid w:val="272D45D3"/>
    <w:rsid w:val="27305558"/>
    <w:rsid w:val="273264DD"/>
    <w:rsid w:val="273803E6"/>
    <w:rsid w:val="273916EB"/>
    <w:rsid w:val="273B136A"/>
    <w:rsid w:val="273D00F1"/>
    <w:rsid w:val="27420CF5"/>
    <w:rsid w:val="27451C7A"/>
    <w:rsid w:val="2747517D"/>
    <w:rsid w:val="274A1985"/>
    <w:rsid w:val="274D290A"/>
    <w:rsid w:val="274D4B08"/>
    <w:rsid w:val="2751350E"/>
    <w:rsid w:val="27532294"/>
    <w:rsid w:val="27544493"/>
    <w:rsid w:val="27555798"/>
    <w:rsid w:val="27567996"/>
    <w:rsid w:val="2759419E"/>
    <w:rsid w:val="275D7321"/>
    <w:rsid w:val="276002A5"/>
    <w:rsid w:val="276142BF"/>
    <w:rsid w:val="276521AF"/>
    <w:rsid w:val="27667C30"/>
    <w:rsid w:val="276734B3"/>
    <w:rsid w:val="276D2E3E"/>
    <w:rsid w:val="276E08C0"/>
    <w:rsid w:val="277314C4"/>
    <w:rsid w:val="27762449"/>
    <w:rsid w:val="27783712"/>
    <w:rsid w:val="277A0E4F"/>
    <w:rsid w:val="277A68D1"/>
    <w:rsid w:val="277C1DD4"/>
    <w:rsid w:val="277E52D7"/>
    <w:rsid w:val="277F0B5A"/>
    <w:rsid w:val="27907362"/>
    <w:rsid w:val="27921D79"/>
    <w:rsid w:val="27983C83"/>
    <w:rsid w:val="279A2A09"/>
    <w:rsid w:val="279B048A"/>
    <w:rsid w:val="279D398E"/>
    <w:rsid w:val="279D5B8C"/>
    <w:rsid w:val="27A12394"/>
    <w:rsid w:val="27A52F98"/>
    <w:rsid w:val="27A95222"/>
    <w:rsid w:val="27AB0725"/>
    <w:rsid w:val="27AB4EA2"/>
    <w:rsid w:val="27B01329"/>
    <w:rsid w:val="27B16DAB"/>
    <w:rsid w:val="27B33C90"/>
    <w:rsid w:val="27B37D2F"/>
    <w:rsid w:val="27B435B3"/>
    <w:rsid w:val="27B53233"/>
    <w:rsid w:val="27B841B7"/>
    <w:rsid w:val="27BA2F3E"/>
    <w:rsid w:val="27BA76BA"/>
    <w:rsid w:val="27BB1274"/>
    <w:rsid w:val="27BC1FD7"/>
    <w:rsid w:val="27BC2BBD"/>
    <w:rsid w:val="27BE1944"/>
    <w:rsid w:val="27C015C4"/>
    <w:rsid w:val="27C128C8"/>
    <w:rsid w:val="27C17045"/>
    <w:rsid w:val="27C66D50"/>
    <w:rsid w:val="27C94452"/>
    <w:rsid w:val="27CB7955"/>
    <w:rsid w:val="27CD08D9"/>
    <w:rsid w:val="27CD64A0"/>
    <w:rsid w:val="27CD66DB"/>
    <w:rsid w:val="27CE635B"/>
    <w:rsid w:val="27D172E0"/>
    <w:rsid w:val="27D226CF"/>
    <w:rsid w:val="27D24D61"/>
    <w:rsid w:val="27D40264"/>
    <w:rsid w:val="27D4131B"/>
    <w:rsid w:val="27D946EC"/>
    <w:rsid w:val="27DD6975"/>
    <w:rsid w:val="27DE0B74"/>
    <w:rsid w:val="27DE43F7"/>
    <w:rsid w:val="27DF65F5"/>
    <w:rsid w:val="27E03DB7"/>
    <w:rsid w:val="27E11AF8"/>
    <w:rsid w:val="27E61803"/>
    <w:rsid w:val="27FB5F25"/>
    <w:rsid w:val="27FD1F46"/>
    <w:rsid w:val="28021134"/>
    <w:rsid w:val="2808303D"/>
    <w:rsid w:val="280E7144"/>
    <w:rsid w:val="28125B4B"/>
    <w:rsid w:val="281335CC"/>
    <w:rsid w:val="281448D1"/>
    <w:rsid w:val="28156ACF"/>
    <w:rsid w:val="28164551"/>
    <w:rsid w:val="281D775F"/>
    <w:rsid w:val="281E73DF"/>
    <w:rsid w:val="281F2C62"/>
    <w:rsid w:val="28216165"/>
    <w:rsid w:val="282412E8"/>
    <w:rsid w:val="28244B6B"/>
    <w:rsid w:val="28256D6A"/>
    <w:rsid w:val="282B0C73"/>
    <w:rsid w:val="282D4176"/>
    <w:rsid w:val="28312B7C"/>
    <w:rsid w:val="283205FE"/>
    <w:rsid w:val="28323E81"/>
    <w:rsid w:val="28333E1D"/>
    <w:rsid w:val="28347384"/>
    <w:rsid w:val="28354E06"/>
    <w:rsid w:val="28362887"/>
    <w:rsid w:val="283D7C94"/>
    <w:rsid w:val="283F7913"/>
    <w:rsid w:val="28443D9B"/>
    <w:rsid w:val="2845181D"/>
    <w:rsid w:val="28454BD6"/>
    <w:rsid w:val="284550A0"/>
    <w:rsid w:val="28455253"/>
    <w:rsid w:val="28462B22"/>
    <w:rsid w:val="28510EB3"/>
    <w:rsid w:val="28526934"/>
    <w:rsid w:val="285343B6"/>
    <w:rsid w:val="285478B9"/>
    <w:rsid w:val="28551971"/>
    <w:rsid w:val="28593D41"/>
    <w:rsid w:val="285B1C53"/>
    <w:rsid w:val="285E01C8"/>
    <w:rsid w:val="286420D2"/>
    <w:rsid w:val="286533D6"/>
    <w:rsid w:val="2865609B"/>
    <w:rsid w:val="286E6264"/>
    <w:rsid w:val="28701767"/>
    <w:rsid w:val="28724C6B"/>
    <w:rsid w:val="28726E69"/>
    <w:rsid w:val="287326EC"/>
    <w:rsid w:val="287610F2"/>
    <w:rsid w:val="28773C59"/>
    <w:rsid w:val="287953DF"/>
    <w:rsid w:val="287C2FFC"/>
    <w:rsid w:val="28821682"/>
    <w:rsid w:val="28824F05"/>
    <w:rsid w:val="288B7D93"/>
    <w:rsid w:val="28930486"/>
    <w:rsid w:val="28932C21"/>
    <w:rsid w:val="2893739E"/>
    <w:rsid w:val="28956124"/>
    <w:rsid w:val="289870A9"/>
    <w:rsid w:val="289D3530"/>
    <w:rsid w:val="289F7086"/>
    <w:rsid w:val="28A11F36"/>
    <w:rsid w:val="28A6600A"/>
    <w:rsid w:val="28AB02C8"/>
    <w:rsid w:val="28AC24C6"/>
    <w:rsid w:val="28AC2F9C"/>
    <w:rsid w:val="28AC5D49"/>
    <w:rsid w:val="28AD7F47"/>
    <w:rsid w:val="28AE124C"/>
    <w:rsid w:val="28AE59C9"/>
    <w:rsid w:val="28B00ECC"/>
    <w:rsid w:val="28B121D1"/>
    <w:rsid w:val="28B1694E"/>
    <w:rsid w:val="28B32CB7"/>
    <w:rsid w:val="28C30A4F"/>
    <w:rsid w:val="28C32028"/>
    <w:rsid w:val="28C81DF6"/>
    <w:rsid w:val="28CA52F9"/>
    <w:rsid w:val="28CB65FE"/>
    <w:rsid w:val="28CC490F"/>
    <w:rsid w:val="28D30187"/>
    <w:rsid w:val="28D33A0A"/>
    <w:rsid w:val="28D41F05"/>
    <w:rsid w:val="28D5368A"/>
    <w:rsid w:val="28D6498F"/>
    <w:rsid w:val="28D72411"/>
    <w:rsid w:val="28D7460F"/>
    <w:rsid w:val="28D84F7A"/>
    <w:rsid w:val="28DB3015"/>
    <w:rsid w:val="28DE40AA"/>
    <w:rsid w:val="28E0749D"/>
    <w:rsid w:val="28E848A9"/>
    <w:rsid w:val="28EB582E"/>
    <w:rsid w:val="28ED0D31"/>
    <w:rsid w:val="28EE4234"/>
    <w:rsid w:val="28EF1CB6"/>
    <w:rsid w:val="28EF7AB7"/>
    <w:rsid w:val="28F20A3C"/>
    <w:rsid w:val="28F2406D"/>
    <w:rsid w:val="28F64EC4"/>
    <w:rsid w:val="28F72945"/>
    <w:rsid w:val="28FF44CE"/>
    <w:rsid w:val="290179D1"/>
    <w:rsid w:val="29032C29"/>
    <w:rsid w:val="290441D9"/>
    <w:rsid w:val="290563D8"/>
    <w:rsid w:val="29090661"/>
    <w:rsid w:val="29105A6E"/>
    <w:rsid w:val="2913316F"/>
    <w:rsid w:val="29140BF0"/>
    <w:rsid w:val="291640F4"/>
    <w:rsid w:val="29311825"/>
    <w:rsid w:val="29334D29"/>
    <w:rsid w:val="29345E77"/>
    <w:rsid w:val="2936242A"/>
    <w:rsid w:val="2937372F"/>
    <w:rsid w:val="29396C32"/>
    <w:rsid w:val="293A0E30"/>
    <w:rsid w:val="293C7BB7"/>
    <w:rsid w:val="293D1DB5"/>
    <w:rsid w:val="293F0B3B"/>
    <w:rsid w:val="294007BB"/>
    <w:rsid w:val="29437541"/>
    <w:rsid w:val="29493649"/>
    <w:rsid w:val="294C65AD"/>
    <w:rsid w:val="294D58D2"/>
    <w:rsid w:val="29533F58"/>
    <w:rsid w:val="29540877"/>
    <w:rsid w:val="2954525D"/>
    <w:rsid w:val="29552CDF"/>
    <w:rsid w:val="29583C63"/>
    <w:rsid w:val="295A1365"/>
    <w:rsid w:val="295B6DE6"/>
    <w:rsid w:val="295E5B6D"/>
    <w:rsid w:val="29652F79"/>
    <w:rsid w:val="296576F6"/>
    <w:rsid w:val="296E0005"/>
    <w:rsid w:val="296E5E07"/>
    <w:rsid w:val="29703508"/>
    <w:rsid w:val="29726A0C"/>
    <w:rsid w:val="29741F0F"/>
    <w:rsid w:val="29747D10"/>
    <w:rsid w:val="29763213"/>
    <w:rsid w:val="29772E93"/>
    <w:rsid w:val="29784198"/>
    <w:rsid w:val="29796396"/>
    <w:rsid w:val="297C3DE6"/>
    <w:rsid w:val="297D0620"/>
    <w:rsid w:val="29806583"/>
    <w:rsid w:val="298634AE"/>
    <w:rsid w:val="298B3C4C"/>
    <w:rsid w:val="29966FCB"/>
    <w:rsid w:val="29986C4B"/>
    <w:rsid w:val="299F1E59"/>
    <w:rsid w:val="29A04058"/>
    <w:rsid w:val="29A1535C"/>
    <w:rsid w:val="29A22DDE"/>
    <w:rsid w:val="29A2755B"/>
    <w:rsid w:val="29A504DF"/>
    <w:rsid w:val="29A86EE6"/>
    <w:rsid w:val="29A92769"/>
    <w:rsid w:val="29AB5C6C"/>
    <w:rsid w:val="29AE4672"/>
    <w:rsid w:val="29B07B75"/>
    <w:rsid w:val="29B30AFA"/>
    <w:rsid w:val="29B4657B"/>
    <w:rsid w:val="29B661FB"/>
    <w:rsid w:val="29B73C7D"/>
    <w:rsid w:val="29B816FE"/>
    <w:rsid w:val="29BD1409"/>
    <w:rsid w:val="29C1200E"/>
    <w:rsid w:val="29C7779A"/>
    <w:rsid w:val="29CA0454"/>
    <w:rsid w:val="29D100AA"/>
    <w:rsid w:val="29D14827"/>
    <w:rsid w:val="29D335AD"/>
    <w:rsid w:val="29D457AB"/>
    <w:rsid w:val="29D659C5"/>
    <w:rsid w:val="29D97CA1"/>
    <w:rsid w:val="29DA2F38"/>
    <w:rsid w:val="29DA5136"/>
    <w:rsid w:val="29E03A2B"/>
    <w:rsid w:val="29E0703F"/>
    <w:rsid w:val="29E14AC1"/>
    <w:rsid w:val="29E22543"/>
    <w:rsid w:val="29E25DC6"/>
    <w:rsid w:val="29ED4157"/>
    <w:rsid w:val="29EF765A"/>
    <w:rsid w:val="29F050DC"/>
    <w:rsid w:val="29F239C6"/>
    <w:rsid w:val="29F26D24"/>
    <w:rsid w:val="29F43AE2"/>
    <w:rsid w:val="29F66FE5"/>
    <w:rsid w:val="29F959EB"/>
    <w:rsid w:val="29FA346D"/>
    <w:rsid w:val="29FB0EEE"/>
    <w:rsid w:val="29FF3178"/>
    <w:rsid w:val="2A01667B"/>
    <w:rsid w:val="2A043D7C"/>
    <w:rsid w:val="2A0472F2"/>
    <w:rsid w:val="2A0A5C85"/>
    <w:rsid w:val="2A0B3707"/>
    <w:rsid w:val="2A0D248D"/>
    <w:rsid w:val="2A0E468C"/>
    <w:rsid w:val="2A113092"/>
    <w:rsid w:val="2A15033F"/>
    <w:rsid w:val="2A155FB6"/>
    <w:rsid w:val="2A16531B"/>
    <w:rsid w:val="2A1662C1"/>
    <w:rsid w:val="2A16751A"/>
    <w:rsid w:val="2A17081E"/>
    <w:rsid w:val="2A172D9D"/>
    <w:rsid w:val="2A193D21"/>
    <w:rsid w:val="2A1C7367"/>
    <w:rsid w:val="2A1D6EA4"/>
    <w:rsid w:val="2A1F23A7"/>
    <w:rsid w:val="2A2036AC"/>
    <w:rsid w:val="2A207E29"/>
    <w:rsid w:val="2A22332C"/>
    <w:rsid w:val="2A230DAE"/>
    <w:rsid w:val="2A234631"/>
    <w:rsid w:val="2A2420B3"/>
    <w:rsid w:val="2A261D32"/>
    <w:rsid w:val="2A2777B4"/>
    <w:rsid w:val="2A2815FA"/>
    <w:rsid w:val="2A281FC1"/>
    <w:rsid w:val="2A285F3A"/>
    <w:rsid w:val="2A2F185D"/>
    <w:rsid w:val="2A3113C8"/>
    <w:rsid w:val="2A3235C6"/>
    <w:rsid w:val="2A344618"/>
    <w:rsid w:val="2A35454B"/>
    <w:rsid w:val="2A364537"/>
    <w:rsid w:val="2A3732D1"/>
    <w:rsid w:val="2A392F51"/>
    <w:rsid w:val="2A3A7D8C"/>
    <w:rsid w:val="2A3B1CD8"/>
    <w:rsid w:val="2A3E73D9"/>
    <w:rsid w:val="2A3F06DE"/>
    <w:rsid w:val="2A4547E5"/>
    <w:rsid w:val="2A475AEA"/>
    <w:rsid w:val="2A496A6F"/>
    <w:rsid w:val="2A4B1F72"/>
    <w:rsid w:val="2A4C79F4"/>
    <w:rsid w:val="2A4D57CE"/>
    <w:rsid w:val="2A4F6F0B"/>
    <w:rsid w:val="2A513E7B"/>
    <w:rsid w:val="2A614116"/>
    <w:rsid w:val="2A642E9C"/>
    <w:rsid w:val="2A6A2827"/>
    <w:rsid w:val="2A6B02A8"/>
    <w:rsid w:val="2A6C24A7"/>
    <w:rsid w:val="2A6D6092"/>
    <w:rsid w:val="2A7121B2"/>
    <w:rsid w:val="2A727C33"/>
    <w:rsid w:val="2A762DB6"/>
    <w:rsid w:val="2A7740BB"/>
    <w:rsid w:val="2A7917BC"/>
    <w:rsid w:val="2A7A723E"/>
    <w:rsid w:val="2A7D76B4"/>
    <w:rsid w:val="2A8049CB"/>
    <w:rsid w:val="2A850E52"/>
    <w:rsid w:val="2A8555CF"/>
    <w:rsid w:val="2A8A1A57"/>
    <w:rsid w:val="2A8A52DA"/>
    <w:rsid w:val="2A8C3625"/>
    <w:rsid w:val="2A8E045D"/>
    <w:rsid w:val="2A8E3CE0"/>
    <w:rsid w:val="2A9113E2"/>
    <w:rsid w:val="2A914C65"/>
    <w:rsid w:val="2A955869"/>
    <w:rsid w:val="2A970D6C"/>
    <w:rsid w:val="2A9845F0"/>
    <w:rsid w:val="2A997AF3"/>
    <w:rsid w:val="2AA01EC7"/>
    <w:rsid w:val="2AA45E84"/>
    <w:rsid w:val="2AA53905"/>
    <w:rsid w:val="2AA6219A"/>
    <w:rsid w:val="2AA9230C"/>
    <w:rsid w:val="2AAA1F8B"/>
    <w:rsid w:val="2AAB2175"/>
    <w:rsid w:val="2AAB580F"/>
    <w:rsid w:val="2AAC548F"/>
    <w:rsid w:val="2AB0624D"/>
    <w:rsid w:val="2ABD0FAC"/>
    <w:rsid w:val="2ABF44AF"/>
    <w:rsid w:val="2AC179B2"/>
    <w:rsid w:val="2AC40937"/>
    <w:rsid w:val="2AC90C66"/>
    <w:rsid w:val="2ACB3B45"/>
    <w:rsid w:val="2AD838B0"/>
    <w:rsid w:val="2AD875D8"/>
    <w:rsid w:val="2AE2376A"/>
    <w:rsid w:val="2AE25969"/>
    <w:rsid w:val="2AE311EC"/>
    <w:rsid w:val="2AE85674"/>
    <w:rsid w:val="2AF0283A"/>
    <w:rsid w:val="2AF15F83"/>
    <w:rsid w:val="2AF74609"/>
    <w:rsid w:val="2AFB6893"/>
    <w:rsid w:val="2AFD5776"/>
    <w:rsid w:val="2B0B6B2D"/>
    <w:rsid w:val="2B0D67AD"/>
    <w:rsid w:val="2B0E422E"/>
    <w:rsid w:val="2B1151B3"/>
    <w:rsid w:val="2B133F39"/>
    <w:rsid w:val="2B143BB9"/>
    <w:rsid w:val="2B1B509E"/>
    <w:rsid w:val="2B1B6DC7"/>
    <w:rsid w:val="2B1C4849"/>
    <w:rsid w:val="2B226752"/>
    <w:rsid w:val="2B265158"/>
    <w:rsid w:val="2B28065B"/>
    <w:rsid w:val="2B2B0B8D"/>
    <w:rsid w:val="2B2F7FE6"/>
    <w:rsid w:val="2B3134E9"/>
    <w:rsid w:val="2B357971"/>
    <w:rsid w:val="2B3653F3"/>
    <w:rsid w:val="2B394179"/>
    <w:rsid w:val="2B3A767C"/>
    <w:rsid w:val="2B3B187A"/>
    <w:rsid w:val="2B3B50FE"/>
    <w:rsid w:val="2B3D4D7E"/>
    <w:rsid w:val="2B3E27FF"/>
    <w:rsid w:val="2B3F3B04"/>
    <w:rsid w:val="2B401585"/>
    <w:rsid w:val="2B405D02"/>
    <w:rsid w:val="2B413784"/>
    <w:rsid w:val="2B437463"/>
    <w:rsid w:val="2B455A0D"/>
    <w:rsid w:val="2B486992"/>
    <w:rsid w:val="2B4B7916"/>
    <w:rsid w:val="2B4E089B"/>
    <w:rsid w:val="2B513A1E"/>
    <w:rsid w:val="2B540226"/>
    <w:rsid w:val="2B567EA6"/>
    <w:rsid w:val="2B590E2A"/>
    <w:rsid w:val="2B5B432E"/>
    <w:rsid w:val="2B5B7BB1"/>
    <w:rsid w:val="2B653518"/>
    <w:rsid w:val="2B675BC2"/>
    <w:rsid w:val="2B683643"/>
    <w:rsid w:val="2B696EC7"/>
    <w:rsid w:val="2B6B45C8"/>
    <w:rsid w:val="2B6C0025"/>
    <w:rsid w:val="2B6D7ACB"/>
    <w:rsid w:val="2B6F6851"/>
    <w:rsid w:val="2B724B56"/>
    <w:rsid w:val="2B7319D4"/>
    <w:rsid w:val="2B762959"/>
    <w:rsid w:val="2B7807EE"/>
    <w:rsid w:val="2B7816DF"/>
    <w:rsid w:val="2B7F106A"/>
    <w:rsid w:val="2B827A70"/>
    <w:rsid w:val="2B873EF8"/>
    <w:rsid w:val="2B88197A"/>
    <w:rsid w:val="2B914808"/>
    <w:rsid w:val="2B956A91"/>
    <w:rsid w:val="2B964513"/>
    <w:rsid w:val="2B9755E6"/>
    <w:rsid w:val="2B976711"/>
    <w:rsid w:val="2B9B099A"/>
    <w:rsid w:val="2B9F73A1"/>
    <w:rsid w:val="2BA04E22"/>
    <w:rsid w:val="2BA22524"/>
    <w:rsid w:val="2BA45A27"/>
    <w:rsid w:val="2BA50BF7"/>
    <w:rsid w:val="2BAD08B5"/>
    <w:rsid w:val="2BB36041"/>
    <w:rsid w:val="2BB66FC6"/>
    <w:rsid w:val="2BB74A47"/>
    <w:rsid w:val="2BBA59CC"/>
    <w:rsid w:val="2BBA7BCA"/>
    <w:rsid w:val="2BBB344E"/>
    <w:rsid w:val="2BBB564C"/>
    <w:rsid w:val="2BBC30CD"/>
    <w:rsid w:val="2BBF00EC"/>
    <w:rsid w:val="2BC30788"/>
    <w:rsid w:val="2BC362DB"/>
    <w:rsid w:val="2BC37CFD"/>
    <w:rsid w:val="2BC43D5D"/>
    <w:rsid w:val="2BC55F5B"/>
    <w:rsid w:val="2BC82763"/>
    <w:rsid w:val="2BCD0DE9"/>
    <w:rsid w:val="2BD36576"/>
    <w:rsid w:val="2BD51A79"/>
    <w:rsid w:val="2BD5237F"/>
    <w:rsid w:val="2BD84EE7"/>
    <w:rsid w:val="2BDB00FF"/>
    <w:rsid w:val="2BDD2DAF"/>
    <w:rsid w:val="2BDD46C6"/>
    <w:rsid w:val="2BE2330D"/>
    <w:rsid w:val="2BE536CE"/>
    <w:rsid w:val="2BE54292"/>
    <w:rsid w:val="2BE61D13"/>
    <w:rsid w:val="2BE758D9"/>
    <w:rsid w:val="2BEF0B9E"/>
    <w:rsid w:val="2BF3422E"/>
    <w:rsid w:val="2BFA09B4"/>
    <w:rsid w:val="2BFC773A"/>
    <w:rsid w:val="2C0028BD"/>
    <w:rsid w:val="2C006140"/>
    <w:rsid w:val="2C013BC2"/>
    <w:rsid w:val="2C044B47"/>
    <w:rsid w:val="2C046D45"/>
    <w:rsid w:val="2C075ACB"/>
    <w:rsid w:val="2C09049E"/>
    <w:rsid w:val="2C090FCE"/>
    <w:rsid w:val="2C0931CD"/>
    <w:rsid w:val="2C0A0C4E"/>
    <w:rsid w:val="2C0A653C"/>
    <w:rsid w:val="2C0B44D1"/>
    <w:rsid w:val="2C1063DB"/>
    <w:rsid w:val="2C1218DE"/>
    <w:rsid w:val="2C12605B"/>
    <w:rsid w:val="2C164A61"/>
    <w:rsid w:val="2C1837E7"/>
    <w:rsid w:val="2C191F85"/>
    <w:rsid w:val="2C1B1D16"/>
    <w:rsid w:val="2C1B6FE6"/>
    <w:rsid w:val="2C1C696A"/>
    <w:rsid w:val="2C1E18DF"/>
    <w:rsid w:val="2C1E78EF"/>
    <w:rsid w:val="2C1F5370"/>
    <w:rsid w:val="2C216675"/>
    <w:rsid w:val="2C233D76"/>
    <w:rsid w:val="2C26057E"/>
    <w:rsid w:val="2C276000"/>
    <w:rsid w:val="2C2801FE"/>
    <w:rsid w:val="2C295C80"/>
    <w:rsid w:val="2C2C2488"/>
    <w:rsid w:val="2C2D6BBA"/>
    <w:rsid w:val="2C2D7F09"/>
    <w:rsid w:val="2C31308C"/>
    <w:rsid w:val="2C320B0E"/>
    <w:rsid w:val="2C347894"/>
    <w:rsid w:val="2C39301B"/>
    <w:rsid w:val="2C3A399C"/>
    <w:rsid w:val="2C3C2722"/>
    <w:rsid w:val="2C3C6E9F"/>
    <w:rsid w:val="2C3F7E23"/>
    <w:rsid w:val="2C401128"/>
    <w:rsid w:val="2C447B2E"/>
    <w:rsid w:val="2C475230"/>
    <w:rsid w:val="2C4C4F3B"/>
    <w:rsid w:val="2C5113C3"/>
    <w:rsid w:val="2C570D4D"/>
    <w:rsid w:val="2C5B7754"/>
    <w:rsid w:val="2C630B24"/>
    <w:rsid w:val="2C650063"/>
    <w:rsid w:val="2C665AE5"/>
    <w:rsid w:val="2C6820E3"/>
    <w:rsid w:val="2C6922ED"/>
    <w:rsid w:val="2C6D0CF3"/>
    <w:rsid w:val="2C7118F7"/>
    <w:rsid w:val="2C7502FD"/>
    <w:rsid w:val="2C761602"/>
    <w:rsid w:val="2C773801"/>
    <w:rsid w:val="2C7C25EB"/>
    <w:rsid w:val="2C7F0C0D"/>
    <w:rsid w:val="2C7F596C"/>
    <w:rsid w:val="2C835CA7"/>
    <w:rsid w:val="2C845095"/>
    <w:rsid w:val="2C846846"/>
    <w:rsid w:val="2C856399"/>
    <w:rsid w:val="2C8B24A1"/>
    <w:rsid w:val="2C940BB2"/>
    <w:rsid w:val="2C94532F"/>
    <w:rsid w:val="2C952DB1"/>
    <w:rsid w:val="2C956634"/>
    <w:rsid w:val="2C9859C5"/>
    <w:rsid w:val="2C9917B7"/>
    <w:rsid w:val="2C9C5FBF"/>
    <w:rsid w:val="2C9D01BD"/>
    <w:rsid w:val="2C9E1BF4"/>
    <w:rsid w:val="2CA06BC3"/>
    <w:rsid w:val="2CA27EC8"/>
    <w:rsid w:val="2CA37B48"/>
    <w:rsid w:val="2CA455C9"/>
    <w:rsid w:val="2CA5304B"/>
    <w:rsid w:val="2CA71DD1"/>
    <w:rsid w:val="2CA87853"/>
    <w:rsid w:val="2CAA2D56"/>
    <w:rsid w:val="2CB03EA0"/>
    <w:rsid w:val="2CB04C5F"/>
    <w:rsid w:val="2CB43665"/>
    <w:rsid w:val="2CBC0A72"/>
    <w:rsid w:val="2CBF1BAC"/>
    <w:rsid w:val="2CC203FD"/>
    <w:rsid w:val="2CC70108"/>
    <w:rsid w:val="2CCB328B"/>
    <w:rsid w:val="2CCB6B0E"/>
    <w:rsid w:val="2CCE7A93"/>
    <w:rsid w:val="2CD07712"/>
    <w:rsid w:val="2CD52468"/>
    <w:rsid w:val="2CD5741D"/>
    <w:rsid w:val="2CD6709D"/>
    <w:rsid w:val="2CD803A2"/>
    <w:rsid w:val="2CD8175D"/>
    <w:rsid w:val="2CD825A0"/>
    <w:rsid w:val="2CDD6A28"/>
    <w:rsid w:val="2CE0224B"/>
    <w:rsid w:val="2CE53E34"/>
    <w:rsid w:val="2CE77338"/>
    <w:rsid w:val="2CE82D6F"/>
    <w:rsid w:val="2CEA02BC"/>
    <w:rsid w:val="2CEB5D3E"/>
    <w:rsid w:val="2CEF451A"/>
    <w:rsid w:val="2CF156C9"/>
    <w:rsid w:val="2CF20F4C"/>
    <w:rsid w:val="2CF2314A"/>
    <w:rsid w:val="2CF540CF"/>
    <w:rsid w:val="2CF57952"/>
    <w:rsid w:val="2CF61B50"/>
    <w:rsid w:val="2D0333E4"/>
    <w:rsid w:val="2D0830EF"/>
    <w:rsid w:val="2D087E61"/>
    <w:rsid w:val="2D0D1776"/>
    <w:rsid w:val="2D1A688D"/>
    <w:rsid w:val="2D2233D4"/>
    <w:rsid w:val="2D255327"/>
    <w:rsid w:val="2D2B45A9"/>
    <w:rsid w:val="2D3055C0"/>
    <w:rsid w:val="2D311D35"/>
    <w:rsid w:val="2D335238"/>
    <w:rsid w:val="2D340277"/>
    <w:rsid w:val="2D342CBA"/>
    <w:rsid w:val="2D343236"/>
    <w:rsid w:val="2D3661BD"/>
    <w:rsid w:val="2D3A1340"/>
    <w:rsid w:val="2D3D22C5"/>
    <w:rsid w:val="2D406ACD"/>
    <w:rsid w:val="2D4241CE"/>
    <w:rsid w:val="2D431C50"/>
    <w:rsid w:val="2D4A096F"/>
    <w:rsid w:val="2D4C0361"/>
    <w:rsid w:val="2D4D5DE2"/>
    <w:rsid w:val="2D513B5D"/>
    <w:rsid w:val="2D5269E7"/>
    <w:rsid w:val="2D5531EF"/>
    <w:rsid w:val="2D586372"/>
    <w:rsid w:val="2D591BF5"/>
    <w:rsid w:val="2D5A6D7E"/>
    <w:rsid w:val="2D5F5CFD"/>
    <w:rsid w:val="2D634703"/>
    <w:rsid w:val="2D645A08"/>
    <w:rsid w:val="2D67698C"/>
    <w:rsid w:val="2D68440E"/>
    <w:rsid w:val="2D69103B"/>
    <w:rsid w:val="2D6B1B0F"/>
    <w:rsid w:val="2D6C2E14"/>
    <w:rsid w:val="2D70181A"/>
    <w:rsid w:val="2D755CA2"/>
    <w:rsid w:val="2D7711A5"/>
    <w:rsid w:val="2D786D8B"/>
    <w:rsid w:val="2D7D0B30"/>
    <w:rsid w:val="2D7E65B1"/>
    <w:rsid w:val="2D817536"/>
    <w:rsid w:val="2D864873"/>
    <w:rsid w:val="2D961A5A"/>
    <w:rsid w:val="2D98715B"/>
    <w:rsid w:val="2D9A5EE2"/>
    <w:rsid w:val="2D9E64E4"/>
    <w:rsid w:val="2DA354EC"/>
    <w:rsid w:val="2DA66471"/>
    <w:rsid w:val="2DA77776"/>
    <w:rsid w:val="2DA851F7"/>
    <w:rsid w:val="2DA94E77"/>
    <w:rsid w:val="2DAF4B82"/>
    <w:rsid w:val="2DB27D05"/>
    <w:rsid w:val="2DB35787"/>
    <w:rsid w:val="2DBE3B18"/>
    <w:rsid w:val="2DC05C7D"/>
    <w:rsid w:val="2DC647A7"/>
    <w:rsid w:val="2DC669A6"/>
    <w:rsid w:val="2DC83619"/>
    <w:rsid w:val="2DCE7635"/>
    <w:rsid w:val="2DCF1834"/>
    <w:rsid w:val="2DD14D37"/>
    <w:rsid w:val="2DD15014"/>
    <w:rsid w:val="2DD227B8"/>
    <w:rsid w:val="2DD2603B"/>
    <w:rsid w:val="2DD3023A"/>
    <w:rsid w:val="2DD56FC0"/>
    <w:rsid w:val="2DD64A42"/>
    <w:rsid w:val="2DD97BC5"/>
    <w:rsid w:val="2DDA3448"/>
    <w:rsid w:val="2DDF1ACE"/>
    <w:rsid w:val="2DE2072E"/>
    <w:rsid w:val="2DEA36E2"/>
    <w:rsid w:val="2DEB27B2"/>
    <w:rsid w:val="2DF1306D"/>
    <w:rsid w:val="2DF56C46"/>
    <w:rsid w:val="2DF72DE4"/>
    <w:rsid w:val="2DF92ABE"/>
    <w:rsid w:val="2DFE4AF6"/>
    <w:rsid w:val="2E003688"/>
    <w:rsid w:val="2E0220AF"/>
    <w:rsid w:val="2E0F5EA0"/>
    <w:rsid w:val="2E1113A3"/>
    <w:rsid w:val="2E157DAA"/>
    <w:rsid w:val="2E167A29"/>
    <w:rsid w:val="2E1A6430"/>
    <w:rsid w:val="2E1D2C38"/>
    <w:rsid w:val="2E1E446E"/>
    <w:rsid w:val="2E2127A6"/>
    <w:rsid w:val="2E215DBB"/>
    <w:rsid w:val="2E255084"/>
    <w:rsid w:val="2E290C48"/>
    <w:rsid w:val="2E296A4A"/>
    <w:rsid w:val="2E3005D3"/>
    <w:rsid w:val="2E34285D"/>
    <w:rsid w:val="2E354A5B"/>
    <w:rsid w:val="2E365D60"/>
    <w:rsid w:val="2E3737E1"/>
    <w:rsid w:val="2E396CE5"/>
    <w:rsid w:val="2E3A4766"/>
    <w:rsid w:val="2E3B01BA"/>
    <w:rsid w:val="2E3C43E6"/>
    <w:rsid w:val="2E3D1E67"/>
    <w:rsid w:val="2E3E316C"/>
    <w:rsid w:val="2E3E3A4B"/>
    <w:rsid w:val="2E3F536B"/>
    <w:rsid w:val="2E402DEC"/>
    <w:rsid w:val="2E4140F1"/>
    <w:rsid w:val="2E4B082A"/>
    <w:rsid w:val="2E4E00D9"/>
    <w:rsid w:val="2E4F0E88"/>
    <w:rsid w:val="2E50690A"/>
    <w:rsid w:val="2E535F0B"/>
    <w:rsid w:val="2E591798"/>
    <w:rsid w:val="2E5D477B"/>
    <w:rsid w:val="2E5D4E86"/>
    <w:rsid w:val="2E5D790B"/>
    <w:rsid w:val="2E627EA9"/>
    <w:rsid w:val="2E6632C3"/>
    <w:rsid w:val="2E6668AF"/>
    <w:rsid w:val="2E6A74B4"/>
    <w:rsid w:val="2E6B07B8"/>
    <w:rsid w:val="2E6C623A"/>
    <w:rsid w:val="2E6E5EBA"/>
    <w:rsid w:val="2E6F393B"/>
    <w:rsid w:val="2E7013BD"/>
    <w:rsid w:val="2E766B49"/>
    <w:rsid w:val="2E775268"/>
    <w:rsid w:val="2E7867C9"/>
    <w:rsid w:val="2E797ACE"/>
    <w:rsid w:val="2E7E3F56"/>
    <w:rsid w:val="2E7E6154"/>
    <w:rsid w:val="2E81295C"/>
    <w:rsid w:val="2E857BE9"/>
    <w:rsid w:val="2E8828A0"/>
    <w:rsid w:val="2E897D68"/>
    <w:rsid w:val="2E903E70"/>
    <w:rsid w:val="2E917373"/>
    <w:rsid w:val="2E9A3C18"/>
    <w:rsid w:val="2E9B5B34"/>
    <w:rsid w:val="2E9F1F0C"/>
    <w:rsid w:val="2EA0410A"/>
    <w:rsid w:val="2EA2760D"/>
    <w:rsid w:val="2EA5039F"/>
    <w:rsid w:val="2EA77318"/>
    <w:rsid w:val="2EA81517"/>
    <w:rsid w:val="2EA94A1A"/>
    <w:rsid w:val="2EA96F98"/>
    <w:rsid w:val="2EAA249B"/>
    <w:rsid w:val="2EAC599E"/>
    <w:rsid w:val="2EB17C28"/>
    <w:rsid w:val="2EB2173C"/>
    <w:rsid w:val="2EB8596B"/>
    <w:rsid w:val="2EB91BAC"/>
    <w:rsid w:val="2EB92AB6"/>
    <w:rsid w:val="2EBB0FEE"/>
    <w:rsid w:val="2EBB5FB9"/>
    <w:rsid w:val="2EBE6F3E"/>
    <w:rsid w:val="2EBF6305"/>
    <w:rsid w:val="2EC06E4D"/>
    <w:rsid w:val="2EC40E47"/>
    <w:rsid w:val="2EC42759"/>
    <w:rsid w:val="2EC568C9"/>
    <w:rsid w:val="2EC63002"/>
    <w:rsid w:val="2EC6434A"/>
    <w:rsid w:val="2EC830D0"/>
    <w:rsid w:val="2ECA65D4"/>
    <w:rsid w:val="2ECB6253"/>
    <w:rsid w:val="2ECC3CD5"/>
    <w:rsid w:val="2ECE71D8"/>
    <w:rsid w:val="2ED004DD"/>
    <w:rsid w:val="2ED026DB"/>
    <w:rsid w:val="2ED1015D"/>
    <w:rsid w:val="2ED33660"/>
    <w:rsid w:val="2EDB0A6C"/>
    <w:rsid w:val="2EDD3F6F"/>
    <w:rsid w:val="2EDD77F3"/>
    <w:rsid w:val="2EDE5274"/>
    <w:rsid w:val="2EE6487F"/>
    <w:rsid w:val="2EE77B59"/>
    <w:rsid w:val="2EEA3285"/>
    <w:rsid w:val="2EEB458A"/>
    <w:rsid w:val="2EED7A8D"/>
    <w:rsid w:val="2EF20132"/>
    <w:rsid w:val="2EF20691"/>
    <w:rsid w:val="2EF8259B"/>
    <w:rsid w:val="2EFA5A9E"/>
    <w:rsid w:val="2EFC6A22"/>
    <w:rsid w:val="2F00206C"/>
    <w:rsid w:val="2F02672D"/>
    <w:rsid w:val="2F031C30"/>
    <w:rsid w:val="2F043E2F"/>
    <w:rsid w:val="2F0902B7"/>
    <w:rsid w:val="2F0A6B38"/>
    <w:rsid w:val="2F0B37BA"/>
    <w:rsid w:val="2F0D6CBD"/>
    <w:rsid w:val="2F0F21C0"/>
    <w:rsid w:val="2F11754B"/>
    <w:rsid w:val="2F141ECB"/>
    <w:rsid w:val="2F17393F"/>
    <w:rsid w:val="2F1C6FCF"/>
    <w:rsid w:val="2F257BE7"/>
    <w:rsid w:val="2F2C7572"/>
    <w:rsid w:val="2F2E2A75"/>
    <w:rsid w:val="2F2E62F8"/>
    <w:rsid w:val="2F32147B"/>
    <w:rsid w:val="2F396887"/>
    <w:rsid w:val="2F3A7B8C"/>
    <w:rsid w:val="2F3B1D8A"/>
    <w:rsid w:val="2F3C308F"/>
    <w:rsid w:val="2F3E2D0F"/>
    <w:rsid w:val="2F46399F"/>
    <w:rsid w:val="2F475B9D"/>
    <w:rsid w:val="2F494923"/>
    <w:rsid w:val="2F4F0A2B"/>
    <w:rsid w:val="2F5064AC"/>
    <w:rsid w:val="2F537431"/>
    <w:rsid w:val="2F562335"/>
    <w:rsid w:val="2F587352"/>
    <w:rsid w:val="2F5B483E"/>
    <w:rsid w:val="2F5D7D41"/>
    <w:rsid w:val="2F5F6AC7"/>
    <w:rsid w:val="2F616747"/>
    <w:rsid w:val="2F631C4A"/>
    <w:rsid w:val="2F6750CD"/>
    <w:rsid w:val="2F6760D2"/>
    <w:rsid w:val="2F683B53"/>
    <w:rsid w:val="2F6915D5"/>
    <w:rsid w:val="2F6D7FDB"/>
    <w:rsid w:val="2F6F1155"/>
    <w:rsid w:val="2F7431E9"/>
    <w:rsid w:val="2F793DEE"/>
    <w:rsid w:val="2F7F157A"/>
    <w:rsid w:val="2F874408"/>
    <w:rsid w:val="2F8A538D"/>
    <w:rsid w:val="2F914D18"/>
    <w:rsid w:val="2F933A9E"/>
    <w:rsid w:val="2F946CCB"/>
    <w:rsid w:val="2F976C21"/>
    <w:rsid w:val="2FA304B5"/>
    <w:rsid w:val="2FA45F37"/>
    <w:rsid w:val="2FA539B8"/>
    <w:rsid w:val="2FA64E31"/>
    <w:rsid w:val="2FA923BE"/>
    <w:rsid w:val="2FA95C42"/>
    <w:rsid w:val="2FA969A4"/>
    <w:rsid w:val="2FB43FD3"/>
    <w:rsid w:val="2FB9045A"/>
    <w:rsid w:val="2FB92659"/>
    <w:rsid w:val="2FBA228B"/>
    <w:rsid w:val="2FBC6E61"/>
    <w:rsid w:val="2FC51CEF"/>
    <w:rsid w:val="2FC647D1"/>
    <w:rsid w:val="2FC96724"/>
    <w:rsid w:val="2FCA6176"/>
    <w:rsid w:val="2FCC3878"/>
    <w:rsid w:val="2FCD12F9"/>
    <w:rsid w:val="2FD14E7A"/>
    <w:rsid w:val="2FD17CFF"/>
    <w:rsid w:val="2FD25781"/>
    <w:rsid w:val="2FD31004"/>
    <w:rsid w:val="2FD40C84"/>
    <w:rsid w:val="2FD44507"/>
    <w:rsid w:val="2FD9098F"/>
    <w:rsid w:val="2FDC745C"/>
    <w:rsid w:val="2FDE1594"/>
    <w:rsid w:val="2FDF2898"/>
    <w:rsid w:val="2FE85726"/>
    <w:rsid w:val="2FF16036"/>
    <w:rsid w:val="2FF20B75"/>
    <w:rsid w:val="2FF81244"/>
    <w:rsid w:val="2FFD7934"/>
    <w:rsid w:val="300262D0"/>
    <w:rsid w:val="30052AD8"/>
    <w:rsid w:val="30062758"/>
    <w:rsid w:val="30103067"/>
    <w:rsid w:val="30133592"/>
    <w:rsid w:val="301452F1"/>
    <w:rsid w:val="30176275"/>
    <w:rsid w:val="301F5880"/>
    <w:rsid w:val="30203302"/>
    <w:rsid w:val="30260A8E"/>
    <w:rsid w:val="30296190"/>
    <w:rsid w:val="302B4F16"/>
    <w:rsid w:val="30316E1F"/>
    <w:rsid w:val="30351FA2"/>
    <w:rsid w:val="303809A8"/>
    <w:rsid w:val="303B772F"/>
    <w:rsid w:val="303E492B"/>
    <w:rsid w:val="3044003E"/>
    <w:rsid w:val="304C544B"/>
    <w:rsid w:val="30555D5A"/>
    <w:rsid w:val="305637DC"/>
    <w:rsid w:val="30594760"/>
    <w:rsid w:val="305A21E2"/>
    <w:rsid w:val="3060796F"/>
    <w:rsid w:val="30611B6D"/>
    <w:rsid w:val="306153F0"/>
    <w:rsid w:val="3065119A"/>
    <w:rsid w:val="306772F9"/>
    <w:rsid w:val="30684D7B"/>
    <w:rsid w:val="306C6942"/>
    <w:rsid w:val="306F6904"/>
    <w:rsid w:val="30704386"/>
    <w:rsid w:val="3072568A"/>
    <w:rsid w:val="30730EAF"/>
    <w:rsid w:val="30733ACD"/>
    <w:rsid w:val="3076603D"/>
    <w:rsid w:val="30797214"/>
    <w:rsid w:val="307A4C95"/>
    <w:rsid w:val="307B2717"/>
    <w:rsid w:val="307D5C1A"/>
    <w:rsid w:val="307E369B"/>
    <w:rsid w:val="307F49A0"/>
    <w:rsid w:val="30814620"/>
    <w:rsid w:val="30817EA3"/>
    <w:rsid w:val="30834282"/>
    <w:rsid w:val="30840E28"/>
    <w:rsid w:val="3086432B"/>
    <w:rsid w:val="30871DAD"/>
    <w:rsid w:val="308A4F2F"/>
    <w:rsid w:val="308C3862"/>
    <w:rsid w:val="308D1737"/>
    <w:rsid w:val="308E71B9"/>
    <w:rsid w:val="30906E39"/>
    <w:rsid w:val="30925BBF"/>
    <w:rsid w:val="30933641"/>
    <w:rsid w:val="309379D8"/>
    <w:rsid w:val="309A4AC4"/>
    <w:rsid w:val="309D06CD"/>
    <w:rsid w:val="309F1652"/>
    <w:rsid w:val="30A270F7"/>
    <w:rsid w:val="30AA79E3"/>
    <w:rsid w:val="30AB0CE7"/>
    <w:rsid w:val="30AF7FEE"/>
    <w:rsid w:val="30B0516F"/>
    <w:rsid w:val="30B74AFA"/>
    <w:rsid w:val="30B8257C"/>
    <w:rsid w:val="30BD6A03"/>
    <w:rsid w:val="30C0540A"/>
    <w:rsid w:val="30C43E10"/>
    <w:rsid w:val="30C57693"/>
    <w:rsid w:val="30C74D94"/>
    <w:rsid w:val="30C90297"/>
    <w:rsid w:val="30CE7FA2"/>
    <w:rsid w:val="30D07C22"/>
    <w:rsid w:val="30D13698"/>
    <w:rsid w:val="30D61B2C"/>
    <w:rsid w:val="30D653AF"/>
    <w:rsid w:val="30D7502F"/>
    <w:rsid w:val="30DF1478"/>
    <w:rsid w:val="30E47124"/>
    <w:rsid w:val="30E77847"/>
    <w:rsid w:val="30EA07CC"/>
    <w:rsid w:val="30EC586F"/>
    <w:rsid w:val="30ED1751"/>
    <w:rsid w:val="30EE2A56"/>
    <w:rsid w:val="30EF681F"/>
    <w:rsid w:val="30F310DC"/>
    <w:rsid w:val="30F4495F"/>
    <w:rsid w:val="30FC01F6"/>
    <w:rsid w:val="30FE2CF0"/>
    <w:rsid w:val="31037178"/>
    <w:rsid w:val="310570DC"/>
    <w:rsid w:val="31077D7C"/>
    <w:rsid w:val="310835FF"/>
    <w:rsid w:val="310857FE"/>
    <w:rsid w:val="310B6782"/>
    <w:rsid w:val="310B6A3D"/>
    <w:rsid w:val="310D1C85"/>
    <w:rsid w:val="310F0A0C"/>
    <w:rsid w:val="31102C0A"/>
    <w:rsid w:val="31164083"/>
    <w:rsid w:val="311A6D9D"/>
    <w:rsid w:val="311B1A34"/>
    <w:rsid w:val="31200CA6"/>
    <w:rsid w:val="312B28BA"/>
    <w:rsid w:val="312C033C"/>
    <w:rsid w:val="312F6D42"/>
    <w:rsid w:val="31312245"/>
    <w:rsid w:val="31331EC5"/>
    <w:rsid w:val="313708CB"/>
    <w:rsid w:val="3137414F"/>
    <w:rsid w:val="31393DCE"/>
    <w:rsid w:val="313A1850"/>
    <w:rsid w:val="313A50D3"/>
    <w:rsid w:val="313A63D7"/>
    <w:rsid w:val="313C4D53"/>
    <w:rsid w:val="314011DB"/>
    <w:rsid w:val="31414A5E"/>
    <w:rsid w:val="314246DE"/>
    <w:rsid w:val="31432160"/>
    <w:rsid w:val="314459E3"/>
    <w:rsid w:val="314550B7"/>
    <w:rsid w:val="314C4FED"/>
    <w:rsid w:val="314D2A6F"/>
    <w:rsid w:val="314E3D74"/>
    <w:rsid w:val="314F17F5"/>
    <w:rsid w:val="315039F4"/>
    <w:rsid w:val="31514CF8"/>
    <w:rsid w:val="315301FC"/>
    <w:rsid w:val="31553BDE"/>
    <w:rsid w:val="31561180"/>
    <w:rsid w:val="31611710"/>
    <w:rsid w:val="3168109A"/>
    <w:rsid w:val="316C3324"/>
    <w:rsid w:val="317119AA"/>
    <w:rsid w:val="31734EAD"/>
    <w:rsid w:val="317561B2"/>
    <w:rsid w:val="317C35BE"/>
    <w:rsid w:val="317F4543"/>
    <w:rsid w:val="31847007"/>
    <w:rsid w:val="31930FE5"/>
    <w:rsid w:val="319B05F0"/>
    <w:rsid w:val="319C6071"/>
    <w:rsid w:val="31A002FB"/>
    <w:rsid w:val="31A15D7C"/>
    <w:rsid w:val="31A237FE"/>
    <w:rsid w:val="31A51537"/>
    <w:rsid w:val="31AA2E09"/>
    <w:rsid w:val="31AC537E"/>
    <w:rsid w:val="31B35C97"/>
    <w:rsid w:val="31B7699A"/>
    <w:rsid w:val="31B77F20"/>
    <w:rsid w:val="31B97BA0"/>
    <w:rsid w:val="31BC0B24"/>
    <w:rsid w:val="31BC43A8"/>
    <w:rsid w:val="31C35F31"/>
    <w:rsid w:val="31C42817"/>
    <w:rsid w:val="31C64CB7"/>
    <w:rsid w:val="31C74937"/>
    <w:rsid w:val="31C801BA"/>
    <w:rsid w:val="31C85C3C"/>
    <w:rsid w:val="31D03048"/>
    <w:rsid w:val="31D04895"/>
    <w:rsid w:val="31D15247"/>
    <w:rsid w:val="31D22CC8"/>
    <w:rsid w:val="31D41A4F"/>
    <w:rsid w:val="31D900D5"/>
    <w:rsid w:val="31DC1059"/>
    <w:rsid w:val="31E01793"/>
    <w:rsid w:val="31E3679B"/>
    <w:rsid w:val="31E5776A"/>
    <w:rsid w:val="31E732FD"/>
    <w:rsid w:val="31F9640B"/>
    <w:rsid w:val="31FB78E6"/>
    <w:rsid w:val="31FC7390"/>
    <w:rsid w:val="3204001F"/>
    <w:rsid w:val="32053B90"/>
    <w:rsid w:val="32063522"/>
    <w:rsid w:val="320B79AA"/>
    <w:rsid w:val="320C1BA8"/>
    <w:rsid w:val="320E1D12"/>
    <w:rsid w:val="32134DB6"/>
    <w:rsid w:val="32136FB5"/>
    <w:rsid w:val="32167F39"/>
    <w:rsid w:val="321A21C3"/>
    <w:rsid w:val="321C56C6"/>
    <w:rsid w:val="321D78C4"/>
    <w:rsid w:val="321E0BC9"/>
    <w:rsid w:val="321F2DC7"/>
    <w:rsid w:val="32223D4C"/>
    <w:rsid w:val="32236BAB"/>
    <w:rsid w:val="3224724F"/>
    <w:rsid w:val="32296F5A"/>
    <w:rsid w:val="322A49DC"/>
    <w:rsid w:val="322A6639"/>
    <w:rsid w:val="322A6BDA"/>
    <w:rsid w:val="322F0892"/>
    <w:rsid w:val="32300AE3"/>
    <w:rsid w:val="32310573"/>
    <w:rsid w:val="32314367"/>
    <w:rsid w:val="3232786A"/>
    <w:rsid w:val="323352EB"/>
    <w:rsid w:val="32354F6B"/>
    <w:rsid w:val="323629ED"/>
    <w:rsid w:val="323D2377"/>
    <w:rsid w:val="323D5BFB"/>
    <w:rsid w:val="323F10FE"/>
    <w:rsid w:val="32414601"/>
    <w:rsid w:val="324B3992"/>
    <w:rsid w:val="32506E1A"/>
    <w:rsid w:val="32517576"/>
    <w:rsid w:val="32537101"/>
    <w:rsid w:val="325A7729"/>
    <w:rsid w:val="32645ABA"/>
    <w:rsid w:val="32666DBF"/>
    <w:rsid w:val="326F76CF"/>
    <w:rsid w:val="327360D5"/>
    <w:rsid w:val="3278255C"/>
    <w:rsid w:val="32787F7F"/>
    <w:rsid w:val="327921DC"/>
    <w:rsid w:val="327A7C5E"/>
    <w:rsid w:val="327D69E4"/>
    <w:rsid w:val="327E6664"/>
    <w:rsid w:val="32807969"/>
    <w:rsid w:val="32812E6C"/>
    <w:rsid w:val="32843DF1"/>
    <w:rsid w:val="32890278"/>
    <w:rsid w:val="328B377B"/>
    <w:rsid w:val="328D7E61"/>
    <w:rsid w:val="32904380"/>
    <w:rsid w:val="329A5F94"/>
    <w:rsid w:val="329D6F19"/>
    <w:rsid w:val="329E1117"/>
    <w:rsid w:val="32A0461A"/>
    <w:rsid w:val="32A058A2"/>
    <w:rsid w:val="32A138E0"/>
    <w:rsid w:val="32A6174D"/>
    <w:rsid w:val="32A61DA7"/>
    <w:rsid w:val="32A852AA"/>
    <w:rsid w:val="32AD727A"/>
    <w:rsid w:val="32AF4C35"/>
    <w:rsid w:val="32B10138"/>
    <w:rsid w:val="32B11D6B"/>
    <w:rsid w:val="32BE5C2C"/>
    <w:rsid w:val="32BE744E"/>
    <w:rsid w:val="32C56DD8"/>
    <w:rsid w:val="32C957DF"/>
    <w:rsid w:val="32CA6AE3"/>
    <w:rsid w:val="32CB4565"/>
    <w:rsid w:val="32CC1FE7"/>
    <w:rsid w:val="32D009ED"/>
    <w:rsid w:val="32D02BEB"/>
    <w:rsid w:val="32D415F1"/>
    <w:rsid w:val="32D528F6"/>
    <w:rsid w:val="32D64AF4"/>
    <w:rsid w:val="32DB47FF"/>
    <w:rsid w:val="32DE5784"/>
    <w:rsid w:val="32E5730D"/>
    <w:rsid w:val="32E80292"/>
    <w:rsid w:val="32EC5E34"/>
    <w:rsid w:val="32F13120"/>
    <w:rsid w:val="32F440A4"/>
    <w:rsid w:val="32F675A7"/>
    <w:rsid w:val="32FB14B1"/>
    <w:rsid w:val="32FB6478"/>
    <w:rsid w:val="32FC6F32"/>
    <w:rsid w:val="32FE0237"/>
    <w:rsid w:val="32FF7EB7"/>
    <w:rsid w:val="3300373A"/>
    <w:rsid w:val="33051DC0"/>
    <w:rsid w:val="33055644"/>
    <w:rsid w:val="330752C3"/>
    <w:rsid w:val="330771E4"/>
    <w:rsid w:val="330819F8"/>
    <w:rsid w:val="33082D45"/>
    <w:rsid w:val="330D2A50"/>
    <w:rsid w:val="330D5DEB"/>
    <w:rsid w:val="330E67C6"/>
    <w:rsid w:val="331039D5"/>
    <w:rsid w:val="33203C6F"/>
    <w:rsid w:val="33227172"/>
    <w:rsid w:val="33263B3F"/>
    <w:rsid w:val="332E6808"/>
    <w:rsid w:val="332F4289"/>
    <w:rsid w:val="3331778D"/>
    <w:rsid w:val="3334290F"/>
    <w:rsid w:val="333C359F"/>
    <w:rsid w:val="333D579D"/>
    <w:rsid w:val="33435AC0"/>
    <w:rsid w:val="33457707"/>
    <w:rsid w:val="33471930"/>
    <w:rsid w:val="334B2535"/>
    <w:rsid w:val="3351649B"/>
    <w:rsid w:val="335566C7"/>
    <w:rsid w:val="335950CE"/>
    <w:rsid w:val="336246D8"/>
    <w:rsid w:val="336359DD"/>
    <w:rsid w:val="3364345F"/>
    <w:rsid w:val="3364565D"/>
    <w:rsid w:val="33660B60"/>
    <w:rsid w:val="336963EB"/>
    <w:rsid w:val="336978E6"/>
    <w:rsid w:val="336B086B"/>
    <w:rsid w:val="336D04EB"/>
    <w:rsid w:val="336F7271"/>
    <w:rsid w:val="33704CF3"/>
    <w:rsid w:val="33712774"/>
    <w:rsid w:val="337323F4"/>
    <w:rsid w:val="3375117B"/>
    <w:rsid w:val="337A5602"/>
    <w:rsid w:val="337C0B05"/>
    <w:rsid w:val="337F1A8A"/>
    <w:rsid w:val="33816EEB"/>
    <w:rsid w:val="3388239A"/>
    <w:rsid w:val="338B331E"/>
    <w:rsid w:val="338E7B26"/>
    <w:rsid w:val="338F55A8"/>
    <w:rsid w:val="339077A6"/>
    <w:rsid w:val="3392652C"/>
    <w:rsid w:val="339461AC"/>
    <w:rsid w:val="339B5B37"/>
    <w:rsid w:val="339E453D"/>
    <w:rsid w:val="33A309C5"/>
    <w:rsid w:val="33A41CCA"/>
    <w:rsid w:val="33A76F60"/>
    <w:rsid w:val="33A96152"/>
    <w:rsid w:val="33AA0350"/>
    <w:rsid w:val="33AB5DD1"/>
    <w:rsid w:val="33AE6D56"/>
    <w:rsid w:val="33B02259"/>
    <w:rsid w:val="33B357FD"/>
    <w:rsid w:val="33B36A61"/>
    <w:rsid w:val="33B444E3"/>
    <w:rsid w:val="33B466E1"/>
    <w:rsid w:val="33B54162"/>
    <w:rsid w:val="33B61BE4"/>
    <w:rsid w:val="33B679E6"/>
    <w:rsid w:val="33BC7371"/>
    <w:rsid w:val="33BD3C75"/>
    <w:rsid w:val="33BE6FF0"/>
    <w:rsid w:val="33C024F3"/>
    <w:rsid w:val="33C137F8"/>
    <w:rsid w:val="33C40EFA"/>
    <w:rsid w:val="33CB1BCD"/>
    <w:rsid w:val="33CB4108"/>
    <w:rsid w:val="33CC6306"/>
    <w:rsid w:val="33CD1809"/>
    <w:rsid w:val="33CE508C"/>
    <w:rsid w:val="33CE728B"/>
    <w:rsid w:val="33D31514"/>
    <w:rsid w:val="33D33712"/>
    <w:rsid w:val="33D64697"/>
    <w:rsid w:val="33DB0B1F"/>
    <w:rsid w:val="33E92075"/>
    <w:rsid w:val="33EB55CD"/>
    <w:rsid w:val="33EC4C02"/>
    <w:rsid w:val="33F055F4"/>
    <w:rsid w:val="33F31A49"/>
    <w:rsid w:val="33F42D4E"/>
    <w:rsid w:val="33F474CA"/>
    <w:rsid w:val="33F7044F"/>
    <w:rsid w:val="34006B60"/>
    <w:rsid w:val="34062C68"/>
    <w:rsid w:val="340A7470"/>
    <w:rsid w:val="340D2360"/>
    <w:rsid w:val="3410665D"/>
    <w:rsid w:val="34137D7F"/>
    <w:rsid w:val="34176785"/>
    <w:rsid w:val="34196405"/>
    <w:rsid w:val="34211214"/>
    <w:rsid w:val="34211293"/>
    <w:rsid w:val="342B1BA3"/>
    <w:rsid w:val="342E63AB"/>
    <w:rsid w:val="3432152E"/>
    <w:rsid w:val="34371239"/>
    <w:rsid w:val="343B1E3D"/>
    <w:rsid w:val="343B7C3F"/>
    <w:rsid w:val="343C56C0"/>
    <w:rsid w:val="343F0843"/>
    <w:rsid w:val="34432ACD"/>
    <w:rsid w:val="3444054E"/>
    <w:rsid w:val="34563CEC"/>
    <w:rsid w:val="3457176D"/>
    <w:rsid w:val="345B5F75"/>
    <w:rsid w:val="345F6B7A"/>
    <w:rsid w:val="34607E7E"/>
    <w:rsid w:val="34630E03"/>
    <w:rsid w:val="346317C9"/>
    <w:rsid w:val="34666505"/>
    <w:rsid w:val="34677809"/>
    <w:rsid w:val="3468528B"/>
    <w:rsid w:val="346B298C"/>
    <w:rsid w:val="3474109D"/>
    <w:rsid w:val="34750D1D"/>
    <w:rsid w:val="34792FA7"/>
    <w:rsid w:val="348070AE"/>
    <w:rsid w:val="34814B30"/>
    <w:rsid w:val="348957C0"/>
    <w:rsid w:val="348E76C9"/>
    <w:rsid w:val="348F514A"/>
    <w:rsid w:val="34907349"/>
    <w:rsid w:val="349249DB"/>
    <w:rsid w:val="34933B51"/>
    <w:rsid w:val="34950E68"/>
    <w:rsid w:val="349537D0"/>
    <w:rsid w:val="34961252"/>
    <w:rsid w:val="34972557"/>
    <w:rsid w:val="34986E94"/>
    <w:rsid w:val="34987FD8"/>
    <w:rsid w:val="349A34DB"/>
    <w:rsid w:val="349C69DF"/>
    <w:rsid w:val="349D0BDD"/>
    <w:rsid w:val="349D4460"/>
    <w:rsid w:val="349E4B2E"/>
    <w:rsid w:val="349F7963"/>
    <w:rsid w:val="34A15065"/>
    <w:rsid w:val="34A30568"/>
    <w:rsid w:val="34A672EE"/>
    <w:rsid w:val="34A94F8C"/>
    <w:rsid w:val="34AD46FA"/>
    <w:rsid w:val="34AE2FBC"/>
    <w:rsid w:val="34AF62C9"/>
    <w:rsid w:val="34B13101"/>
    <w:rsid w:val="34B36604"/>
    <w:rsid w:val="34BC2B93"/>
    <w:rsid w:val="34C630A6"/>
    <w:rsid w:val="34C65624"/>
    <w:rsid w:val="34CB17AC"/>
    <w:rsid w:val="34CB3CAA"/>
    <w:rsid w:val="34CB4388"/>
    <w:rsid w:val="34CD71AE"/>
    <w:rsid w:val="34D039B6"/>
    <w:rsid w:val="34D67ABD"/>
    <w:rsid w:val="34D82FC0"/>
    <w:rsid w:val="34D92233"/>
    <w:rsid w:val="34E27153"/>
    <w:rsid w:val="34E4015A"/>
    <w:rsid w:val="34E906D4"/>
    <w:rsid w:val="34E96ADE"/>
    <w:rsid w:val="34EA455F"/>
    <w:rsid w:val="34EB1FE1"/>
    <w:rsid w:val="34EE76E2"/>
    <w:rsid w:val="34F13EEA"/>
    <w:rsid w:val="34FA6E12"/>
    <w:rsid w:val="34FD577E"/>
    <w:rsid w:val="35021C06"/>
    <w:rsid w:val="35026383"/>
    <w:rsid w:val="35045109"/>
    <w:rsid w:val="3507608E"/>
    <w:rsid w:val="350A1211"/>
    <w:rsid w:val="350B6C92"/>
    <w:rsid w:val="351A72AD"/>
    <w:rsid w:val="351B4D2E"/>
    <w:rsid w:val="35204BD0"/>
    <w:rsid w:val="35216C38"/>
    <w:rsid w:val="35231EEE"/>
    <w:rsid w:val="3525563E"/>
    <w:rsid w:val="352630BF"/>
    <w:rsid w:val="35281E46"/>
    <w:rsid w:val="352B4A09"/>
    <w:rsid w:val="352E3D4F"/>
    <w:rsid w:val="352F17D1"/>
    <w:rsid w:val="353177BD"/>
    <w:rsid w:val="35347E57"/>
    <w:rsid w:val="35370DDB"/>
    <w:rsid w:val="3538685D"/>
    <w:rsid w:val="353A1D60"/>
    <w:rsid w:val="353B77E2"/>
    <w:rsid w:val="353C5263"/>
    <w:rsid w:val="353E2A70"/>
    <w:rsid w:val="353F1A6B"/>
    <w:rsid w:val="354016EB"/>
    <w:rsid w:val="35430471"/>
    <w:rsid w:val="35445EF3"/>
    <w:rsid w:val="35476E77"/>
    <w:rsid w:val="3548237A"/>
    <w:rsid w:val="35486AF7"/>
    <w:rsid w:val="354A1FFA"/>
    <w:rsid w:val="354A30A0"/>
    <w:rsid w:val="354C429E"/>
    <w:rsid w:val="354D5BFB"/>
    <w:rsid w:val="354D7158"/>
    <w:rsid w:val="354E4284"/>
    <w:rsid w:val="35507787"/>
    <w:rsid w:val="35584B93"/>
    <w:rsid w:val="35594813"/>
    <w:rsid w:val="355C3599"/>
    <w:rsid w:val="355C5798"/>
    <w:rsid w:val="355E2212"/>
    <w:rsid w:val="355F1FA0"/>
    <w:rsid w:val="35611C20"/>
    <w:rsid w:val="35622F24"/>
    <w:rsid w:val="35635123"/>
    <w:rsid w:val="356E6D37"/>
    <w:rsid w:val="3572793B"/>
    <w:rsid w:val="357566C2"/>
    <w:rsid w:val="35792B4A"/>
    <w:rsid w:val="35817F56"/>
    <w:rsid w:val="358259D7"/>
    <w:rsid w:val="358B3002"/>
    <w:rsid w:val="358D5588"/>
    <w:rsid w:val="358E17EA"/>
    <w:rsid w:val="358F2AEF"/>
    <w:rsid w:val="35944604"/>
    <w:rsid w:val="359720FA"/>
    <w:rsid w:val="359833FE"/>
    <w:rsid w:val="359E1A84"/>
    <w:rsid w:val="35A04F88"/>
    <w:rsid w:val="35A22646"/>
    <w:rsid w:val="35A5140F"/>
    <w:rsid w:val="35B11A4A"/>
    <w:rsid w:val="35B12CA3"/>
    <w:rsid w:val="35B31A2A"/>
    <w:rsid w:val="35B54F2D"/>
    <w:rsid w:val="35B629AE"/>
    <w:rsid w:val="35B6712B"/>
    <w:rsid w:val="35BC1034"/>
    <w:rsid w:val="35BE7DBB"/>
    <w:rsid w:val="35C167EF"/>
    <w:rsid w:val="35C51944"/>
    <w:rsid w:val="35C74E47"/>
    <w:rsid w:val="35C828C9"/>
    <w:rsid w:val="35C8614C"/>
    <w:rsid w:val="35C9034A"/>
    <w:rsid w:val="35CC4B52"/>
    <w:rsid w:val="35CE0055"/>
    <w:rsid w:val="35D03558"/>
    <w:rsid w:val="35D72EE3"/>
    <w:rsid w:val="35F32813"/>
    <w:rsid w:val="35F9471D"/>
    <w:rsid w:val="35FE0BA4"/>
    <w:rsid w:val="360217A9"/>
    <w:rsid w:val="36044CAC"/>
    <w:rsid w:val="36091134"/>
    <w:rsid w:val="360949B7"/>
    <w:rsid w:val="360B4637"/>
    <w:rsid w:val="360B7EBA"/>
    <w:rsid w:val="36113FC2"/>
    <w:rsid w:val="36116540"/>
    <w:rsid w:val="36121A43"/>
    <w:rsid w:val="361352C6"/>
    <w:rsid w:val="36173CCD"/>
    <w:rsid w:val="361A6C84"/>
    <w:rsid w:val="361F6B5B"/>
    <w:rsid w:val="362664E5"/>
    <w:rsid w:val="362B296D"/>
    <w:rsid w:val="362B4B6B"/>
    <w:rsid w:val="362C25ED"/>
    <w:rsid w:val="362E38F2"/>
    <w:rsid w:val="36300FF3"/>
    <w:rsid w:val="363122F8"/>
    <w:rsid w:val="363244F6"/>
    <w:rsid w:val="3633728A"/>
    <w:rsid w:val="363479F9"/>
    <w:rsid w:val="363A3B40"/>
    <w:rsid w:val="3648449C"/>
    <w:rsid w:val="364F18A8"/>
    <w:rsid w:val="365302AE"/>
    <w:rsid w:val="36557DE0"/>
    <w:rsid w:val="3658707A"/>
    <w:rsid w:val="365921B8"/>
    <w:rsid w:val="365C5588"/>
    <w:rsid w:val="365E663F"/>
    <w:rsid w:val="36607A0A"/>
    <w:rsid w:val="36623A3A"/>
    <w:rsid w:val="366614CD"/>
    <w:rsid w:val="36674C84"/>
    <w:rsid w:val="36676F4F"/>
    <w:rsid w:val="366A3757"/>
    <w:rsid w:val="366E227C"/>
    <w:rsid w:val="366E68DA"/>
    <w:rsid w:val="366F2E0D"/>
    <w:rsid w:val="36720B63"/>
    <w:rsid w:val="367252E0"/>
    <w:rsid w:val="36756CFF"/>
    <w:rsid w:val="36763CE6"/>
    <w:rsid w:val="36774FEB"/>
    <w:rsid w:val="367871E9"/>
    <w:rsid w:val="367B6A5C"/>
    <w:rsid w:val="367D10F2"/>
    <w:rsid w:val="367E4976"/>
    <w:rsid w:val="36840A7D"/>
    <w:rsid w:val="368B0408"/>
    <w:rsid w:val="368F2692"/>
    <w:rsid w:val="36915B95"/>
    <w:rsid w:val="36923616"/>
    <w:rsid w:val="3699519F"/>
    <w:rsid w:val="36A15E2F"/>
    <w:rsid w:val="36A42803"/>
    <w:rsid w:val="36A66A34"/>
    <w:rsid w:val="36A74ADA"/>
    <w:rsid w:val="36A77D38"/>
    <w:rsid w:val="36AD60D5"/>
    <w:rsid w:val="36AE76C3"/>
    <w:rsid w:val="36B224F9"/>
    <w:rsid w:val="36B23B4B"/>
    <w:rsid w:val="36B62551"/>
    <w:rsid w:val="36BB69D9"/>
    <w:rsid w:val="36BC445A"/>
    <w:rsid w:val="36BE795E"/>
    <w:rsid w:val="36C62C57"/>
    <w:rsid w:val="36C84394"/>
    <w:rsid w:val="36D57583"/>
    <w:rsid w:val="36D60888"/>
    <w:rsid w:val="36D63E3F"/>
    <w:rsid w:val="36D80507"/>
    <w:rsid w:val="36DD0212"/>
    <w:rsid w:val="36DF7E92"/>
    <w:rsid w:val="36E13395"/>
    <w:rsid w:val="36E16C19"/>
    <w:rsid w:val="36E3431A"/>
    <w:rsid w:val="36E94025"/>
    <w:rsid w:val="36EA1AA7"/>
    <w:rsid w:val="36EC0CC9"/>
    <w:rsid w:val="36EC71A8"/>
    <w:rsid w:val="36EF39B0"/>
    <w:rsid w:val="36F52036"/>
    <w:rsid w:val="36F558B9"/>
    <w:rsid w:val="36F76F78"/>
    <w:rsid w:val="36F942BF"/>
    <w:rsid w:val="36FA64BE"/>
    <w:rsid w:val="36FD63F0"/>
    <w:rsid w:val="36FF61C9"/>
    <w:rsid w:val="37036DCD"/>
    <w:rsid w:val="3704484F"/>
    <w:rsid w:val="37055B53"/>
    <w:rsid w:val="370757D3"/>
    <w:rsid w:val="37090CD6"/>
    <w:rsid w:val="370B41DA"/>
    <w:rsid w:val="371845B3"/>
    <w:rsid w:val="371C249B"/>
    <w:rsid w:val="371F51E4"/>
    <w:rsid w:val="37227682"/>
    <w:rsid w:val="37250607"/>
    <w:rsid w:val="37266088"/>
    <w:rsid w:val="37282D41"/>
    <w:rsid w:val="37284E0F"/>
    <w:rsid w:val="372A4A8E"/>
    <w:rsid w:val="372B2510"/>
    <w:rsid w:val="372B5D93"/>
    <w:rsid w:val="372C7F91"/>
    <w:rsid w:val="372F4799"/>
    <w:rsid w:val="372F7D91"/>
    <w:rsid w:val="37314419"/>
    <w:rsid w:val="3732571E"/>
    <w:rsid w:val="37340C21"/>
    <w:rsid w:val="37342E1F"/>
    <w:rsid w:val="37366323"/>
    <w:rsid w:val="37387627"/>
    <w:rsid w:val="373950A9"/>
    <w:rsid w:val="373C022C"/>
    <w:rsid w:val="373F11B0"/>
    <w:rsid w:val="373F410B"/>
    <w:rsid w:val="374024B5"/>
    <w:rsid w:val="374146B4"/>
    <w:rsid w:val="374765BD"/>
    <w:rsid w:val="374F144B"/>
    <w:rsid w:val="37506ECC"/>
    <w:rsid w:val="375223CF"/>
    <w:rsid w:val="37535C53"/>
    <w:rsid w:val="37556BD7"/>
    <w:rsid w:val="37560164"/>
    <w:rsid w:val="375720DA"/>
    <w:rsid w:val="375842D9"/>
    <w:rsid w:val="37585548"/>
    <w:rsid w:val="37591D5A"/>
    <w:rsid w:val="375C149E"/>
    <w:rsid w:val="375F3C64"/>
    <w:rsid w:val="376129EA"/>
    <w:rsid w:val="3762046C"/>
    <w:rsid w:val="3763266A"/>
    <w:rsid w:val="376400EB"/>
    <w:rsid w:val="3764396F"/>
    <w:rsid w:val="37645B6D"/>
    <w:rsid w:val="376513F0"/>
    <w:rsid w:val="37666E72"/>
    <w:rsid w:val="376D693C"/>
    <w:rsid w:val="3776710C"/>
    <w:rsid w:val="377D6A97"/>
    <w:rsid w:val="378828AA"/>
    <w:rsid w:val="3789032B"/>
    <w:rsid w:val="378C4B33"/>
    <w:rsid w:val="37910FBB"/>
    <w:rsid w:val="37921173"/>
    <w:rsid w:val="3795413E"/>
    <w:rsid w:val="379A346B"/>
    <w:rsid w:val="379B18CA"/>
    <w:rsid w:val="379C3AC9"/>
    <w:rsid w:val="379F24CF"/>
    <w:rsid w:val="37A07F50"/>
    <w:rsid w:val="37A92DDE"/>
    <w:rsid w:val="37A96661"/>
    <w:rsid w:val="37AF0357"/>
    <w:rsid w:val="37AF056B"/>
    <w:rsid w:val="37B52474"/>
    <w:rsid w:val="37B855F7"/>
    <w:rsid w:val="37BA0AFA"/>
    <w:rsid w:val="37BB437D"/>
    <w:rsid w:val="37C02A03"/>
    <w:rsid w:val="37C4140A"/>
    <w:rsid w:val="37C5270E"/>
    <w:rsid w:val="37CA6B96"/>
    <w:rsid w:val="37CC2099"/>
    <w:rsid w:val="37CC6816"/>
    <w:rsid w:val="37CE559C"/>
    <w:rsid w:val="37D00A9F"/>
    <w:rsid w:val="37D1071F"/>
    <w:rsid w:val="37D16521"/>
    <w:rsid w:val="37D33C22"/>
    <w:rsid w:val="37D37C08"/>
    <w:rsid w:val="37DA6E30"/>
    <w:rsid w:val="37DF32B8"/>
    <w:rsid w:val="37E62C43"/>
    <w:rsid w:val="37E86146"/>
    <w:rsid w:val="37EE4E6A"/>
    <w:rsid w:val="37EE7094"/>
    <w:rsid w:val="37F222D9"/>
    <w:rsid w:val="37F50CDF"/>
    <w:rsid w:val="37F7095F"/>
    <w:rsid w:val="37F93E62"/>
    <w:rsid w:val="37FA712B"/>
    <w:rsid w:val="37FF5D6B"/>
    <w:rsid w:val="380037ED"/>
    <w:rsid w:val="380A7980"/>
    <w:rsid w:val="3810730B"/>
    <w:rsid w:val="38134A0C"/>
    <w:rsid w:val="38137AD8"/>
    <w:rsid w:val="38173412"/>
    <w:rsid w:val="381F62A0"/>
    <w:rsid w:val="38296C89"/>
    <w:rsid w:val="382A2A91"/>
    <w:rsid w:val="382B20B3"/>
    <w:rsid w:val="382F43FF"/>
    <w:rsid w:val="383002EB"/>
    <w:rsid w:val="38313FBC"/>
    <w:rsid w:val="38344F41"/>
    <w:rsid w:val="383511CC"/>
    <w:rsid w:val="383529C2"/>
    <w:rsid w:val="38371749"/>
    <w:rsid w:val="38372745"/>
    <w:rsid w:val="38396E4A"/>
    <w:rsid w:val="383B4C4E"/>
    <w:rsid w:val="383F0A8C"/>
    <w:rsid w:val="384C229E"/>
    <w:rsid w:val="384C5E6B"/>
    <w:rsid w:val="384E136E"/>
    <w:rsid w:val="38521770"/>
    <w:rsid w:val="38571C7D"/>
    <w:rsid w:val="3858329B"/>
    <w:rsid w:val="38586797"/>
    <w:rsid w:val="385A2C02"/>
    <w:rsid w:val="385A639C"/>
    <w:rsid w:val="385C3F07"/>
    <w:rsid w:val="385E740A"/>
    <w:rsid w:val="38631313"/>
    <w:rsid w:val="38674496"/>
    <w:rsid w:val="3868579B"/>
    <w:rsid w:val="3869321C"/>
    <w:rsid w:val="386F5126"/>
    <w:rsid w:val="387150D1"/>
    <w:rsid w:val="38725AAB"/>
    <w:rsid w:val="387260AA"/>
    <w:rsid w:val="38733B2C"/>
    <w:rsid w:val="3875122D"/>
    <w:rsid w:val="387A56B5"/>
    <w:rsid w:val="387B69BA"/>
    <w:rsid w:val="387C443B"/>
    <w:rsid w:val="387E40BB"/>
    <w:rsid w:val="38810BBF"/>
    <w:rsid w:val="38815040"/>
    <w:rsid w:val="38830543"/>
    <w:rsid w:val="38845FC5"/>
    <w:rsid w:val="388614C8"/>
    <w:rsid w:val="38866F49"/>
    <w:rsid w:val="3888024E"/>
    <w:rsid w:val="388B33D1"/>
    <w:rsid w:val="388F565A"/>
    <w:rsid w:val="389152DA"/>
    <w:rsid w:val="38920633"/>
    <w:rsid w:val="389C366B"/>
    <w:rsid w:val="389E23F2"/>
    <w:rsid w:val="38A058F5"/>
    <w:rsid w:val="38A15575"/>
    <w:rsid w:val="38A20DF8"/>
    <w:rsid w:val="38A442FB"/>
    <w:rsid w:val="38B36B14"/>
    <w:rsid w:val="38B67A98"/>
    <w:rsid w:val="38BC0149"/>
    <w:rsid w:val="38BD7423"/>
    <w:rsid w:val="38C2712E"/>
    <w:rsid w:val="38C522B1"/>
    <w:rsid w:val="38C65B34"/>
    <w:rsid w:val="38CE1966"/>
    <w:rsid w:val="38CE513F"/>
    <w:rsid w:val="38CF2BC1"/>
    <w:rsid w:val="38D00642"/>
    <w:rsid w:val="38D46734"/>
    <w:rsid w:val="38D47048"/>
    <w:rsid w:val="38D6254B"/>
    <w:rsid w:val="38D87D1C"/>
    <w:rsid w:val="38D90F52"/>
    <w:rsid w:val="38DA47D5"/>
    <w:rsid w:val="38DB333D"/>
    <w:rsid w:val="38DB4455"/>
    <w:rsid w:val="38E42B66"/>
    <w:rsid w:val="38E472E3"/>
    <w:rsid w:val="38E54D64"/>
    <w:rsid w:val="38E96FEE"/>
    <w:rsid w:val="38EA4A6F"/>
    <w:rsid w:val="38EB24F1"/>
    <w:rsid w:val="38EC46EF"/>
    <w:rsid w:val="38ED59F4"/>
    <w:rsid w:val="38EF69F5"/>
    <w:rsid w:val="38F60882"/>
    <w:rsid w:val="38F62A80"/>
    <w:rsid w:val="38F76303"/>
    <w:rsid w:val="38F774D7"/>
    <w:rsid w:val="38F85F83"/>
    <w:rsid w:val="38FB7F54"/>
    <w:rsid w:val="38FF1191"/>
    <w:rsid w:val="38FF590E"/>
    <w:rsid w:val="39026893"/>
    <w:rsid w:val="3907659E"/>
    <w:rsid w:val="3908621E"/>
    <w:rsid w:val="390E601C"/>
    <w:rsid w:val="39123B9C"/>
    <w:rsid w:val="391B28D2"/>
    <w:rsid w:val="391C2CC0"/>
    <w:rsid w:val="39276AD2"/>
    <w:rsid w:val="39291FD6"/>
    <w:rsid w:val="392B32DA"/>
    <w:rsid w:val="392D09DC"/>
    <w:rsid w:val="392D7775"/>
    <w:rsid w:val="392E296D"/>
    <w:rsid w:val="39322433"/>
    <w:rsid w:val="393825F0"/>
    <w:rsid w:val="393D6A78"/>
    <w:rsid w:val="3941767C"/>
    <w:rsid w:val="39422F00"/>
    <w:rsid w:val="39432B7F"/>
    <w:rsid w:val="39441D70"/>
    <w:rsid w:val="39456083"/>
    <w:rsid w:val="39461996"/>
    <w:rsid w:val="39471586"/>
    <w:rsid w:val="39477387"/>
    <w:rsid w:val="39507C97"/>
    <w:rsid w:val="39511E95"/>
    <w:rsid w:val="39527917"/>
    <w:rsid w:val="39530C1B"/>
    <w:rsid w:val="3954669D"/>
    <w:rsid w:val="3955089B"/>
    <w:rsid w:val="3955263B"/>
    <w:rsid w:val="396024B0"/>
    <w:rsid w:val="39607F31"/>
    <w:rsid w:val="3961212F"/>
    <w:rsid w:val="39636459"/>
    <w:rsid w:val="39661E3A"/>
    <w:rsid w:val="396778BC"/>
    <w:rsid w:val="3968533E"/>
    <w:rsid w:val="39692DBF"/>
    <w:rsid w:val="396B7F6C"/>
    <w:rsid w:val="396D17C5"/>
    <w:rsid w:val="39706EC7"/>
    <w:rsid w:val="39814527"/>
    <w:rsid w:val="39856E6C"/>
    <w:rsid w:val="398B0D75"/>
    <w:rsid w:val="398C207A"/>
    <w:rsid w:val="39943C53"/>
    <w:rsid w:val="39947487"/>
    <w:rsid w:val="399C6A91"/>
    <w:rsid w:val="399F7A16"/>
    <w:rsid w:val="39A148C7"/>
    <w:rsid w:val="39A1679C"/>
    <w:rsid w:val="39A43E9E"/>
    <w:rsid w:val="39A5191F"/>
    <w:rsid w:val="39A551A2"/>
    <w:rsid w:val="39A828A4"/>
    <w:rsid w:val="39AD47AD"/>
    <w:rsid w:val="39AE222F"/>
    <w:rsid w:val="39AF7CB0"/>
    <w:rsid w:val="39B366B6"/>
    <w:rsid w:val="39B417A9"/>
    <w:rsid w:val="39B479BB"/>
    <w:rsid w:val="39B70940"/>
    <w:rsid w:val="39B863C1"/>
    <w:rsid w:val="39BA18C5"/>
    <w:rsid w:val="39BC4DC8"/>
    <w:rsid w:val="39BD11EE"/>
    <w:rsid w:val="39BD6FC6"/>
    <w:rsid w:val="39C07F4B"/>
    <w:rsid w:val="39C656D7"/>
    <w:rsid w:val="39C75357"/>
    <w:rsid w:val="39CA62DC"/>
    <w:rsid w:val="39CB3D5D"/>
    <w:rsid w:val="39CD7260"/>
    <w:rsid w:val="39D5466D"/>
    <w:rsid w:val="39D77B70"/>
    <w:rsid w:val="39D96878"/>
    <w:rsid w:val="39DA66B4"/>
    <w:rsid w:val="39DF5C2C"/>
    <w:rsid w:val="39E45F74"/>
    <w:rsid w:val="39E5018A"/>
    <w:rsid w:val="39EA4612"/>
    <w:rsid w:val="39EE3018"/>
    <w:rsid w:val="39EF0A9A"/>
    <w:rsid w:val="39F252A2"/>
    <w:rsid w:val="39F529A3"/>
    <w:rsid w:val="39F96E2B"/>
    <w:rsid w:val="39FB0130"/>
    <w:rsid w:val="39FC5695"/>
    <w:rsid w:val="3A006D8E"/>
    <w:rsid w:val="3A03773A"/>
    <w:rsid w:val="3A0564C1"/>
    <w:rsid w:val="3A0606BF"/>
    <w:rsid w:val="3A083BC2"/>
    <w:rsid w:val="3A0A3174"/>
    <w:rsid w:val="3A0C5E4C"/>
    <w:rsid w:val="3A0F6DD0"/>
    <w:rsid w:val="3A1144D2"/>
    <w:rsid w:val="3A121F53"/>
    <w:rsid w:val="3A1357D6"/>
    <w:rsid w:val="3A145456"/>
    <w:rsid w:val="3A152ED8"/>
    <w:rsid w:val="3A183E5C"/>
    <w:rsid w:val="3A1918DE"/>
    <w:rsid w:val="3A195161"/>
    <w:rsid w:val="3A1976E0"/>
    <w:rsid w:val="3A1B4DE1"/>
    <w:rsid w:val="3A1C60E6"/>
    <w:rsid w:val="3A2434F2"/>
    <w:rsid w:val="3A250F74"/>
    <w:rsid w:val="3A270BF4"/>
    <w:rsid w:val="3A281EF8"/>
    <w:rsid w:val="3A2A1B78"/>
    <w:rsid w:val="3A2A75FA"/>
    <w:rsid w:val="3A2B2E7D"/>
    <w:rsid w:val="3A307305"/>
    <w:rsid w:val="3A314D86"/>
    <w:rsid w:val="3A316F85"/>
    <w:rsid w:val="3A32028A"/>
    <w:rsid w:val="3A3651E5"/>
    <w:rsid w:val="3A386910"/>
    <w:rsid w:val="3A3B3117"/>
    <w:rsid w:val="3A3B679F"/>
    <w:rsid w:val="3A3E06F2"/>
    <w:rsid w:val="3A476F2A"/>
    <w:rsid w:val="3A4B33B2"/>
    <w:rsid w:val="3A4D68B5"/>
    <w:rsid w:val="3A4E4336"/>
    <w:rsid w:val="3A50783A"/>
    <w:rsid w:val="3A5152BB"/>
    <w:rsid w:val="3A522D3D"/>
    <w:rsid w:val="3A595F4B"/>
    <w:rsid w:val="3A5E6B4F"/>
    <w:rsid w:val="3A6C716A"/>
    <w:rsid w:val="3A6D4BEB"/>
    <w:rsid w:val="3A6E266D"/>
    <w:rsid w:val="3A7135F2"/>
    <w:rsid w:val="3A721073"/>
    <w:rsid w:val="3A733271"/>
    <w:rsid w:val="3A744481"/>
    <w:rsid w:val="3A7641F6"/>
    <w:rsid w:val="3A7766FA"/>
    <w:rsid w:val="3A7A647F"/>
    <w:rsid w:val="3A800389"/>
    <w:rsid w:val="3A836D8F"/>
    <w:rsid w:val="3A8A671A"/>
    <w:rsid w:val="3A8C7BEF"/>
    <w:rsid w:val="3A8F2BA2"/>
    <w:rsid w:val="3A906246"/>
    <w:rsid w:val="3A947029"/>
    <w:rsid w:val="3A9479A4"/>
    <w:rsid w:val="3A9A0F33"/>
    <w:rsid w:val="3A9E53BA"/>
    <w:rsid w:val="3AA70248"/>
    <w:rsid w:val="3AA85CCA"/>
    <w:rsid w:val="3AAC46D0"/>
    <w:rsid w:val="3AB704E3"/>
    <w:rsid w:val="3ABA1467"/>
    <w:rsid w:val="3AC21333"/>
    <w:rsid w:val="3AC6527A"/>
    <w:rsid w:val="3ACB1702"/>
    <w:rsid w:val="3ACC2A06"/>
    <w:rsid w:val="3ACD2686"/>
    <w:rsid w:val="3ACE0108"/>
    <w:rsid w:val="3ADA3F1A"/>
    <w:rsid w:val="3ADE5C5A"/>
    <w:rsid w:val="3ADF03A2"/>
    <w:rsid w:val="3AE016A7"/>
    <w:rsid w:val="3AE138A5"/>
    <w:rsid w:val="3AE24BAA"/>
    <w:rsid w:val="3AE55B2F"/>
    <w:rsid w:val="3AE657AF"/>
    <w:rsid w:val="3AEB54BA"/>
    <w:rsid w:val="3AEF4561"/>
    <w:rsid w:val="3AF55DC9"/>
    <w:rsid w:val="3AF75A49"/>
    <w:rsid w:val="3AF834CA"/>
    <w:rsid w:val="3AFE2E55"/>
    <w:rsid w:val="3B011BDC"/>
    <w:rsid w:val="3B0372DD"/>
    <w:rsid w:val="3B0B7F6D"/>
    <w:rsid w:val="3B0C6213"/>
    <w:rsid w:val="3B1043F4"/>
    <w:rsid w:val="3B1A4793"/>
    <w:rsid w:val="3B1E5785"/>
    <w:rsid w:val="3B1F6C0D"/>
    <w:rsid w:val="3B2349B7"/>
    <w:rsid w:val="3B266598"/>
    <w:rsid w:val="3B306EA8"/>
    <w:rsid w:val="3B314929"/>
    <w:rsid w:val="3B3223AB"/>
    <w:rsid w:val="3B3720B6"/>
    <w:rsid w:val="3B3B2CBA"/>
    <w:rsid w:val="3B44323F"/>
    <w:rsid w:val="3B456E4D"/>
    <w:rsid w:val="3B495853"/>
    <w:rsid w:val="3B4A32D5"/>
    <w:rsid w:val="3B4B54D3"/>
    <w:rsid w:val="3B5051DE"/>
    <w:rsid w:val="3B5228DF"/>
    <w:rsid w:val="3B541666"/>
    <w:rsid w:val="3B5A7CEC"/>
    <w:rsid w:val="3B5D0C70"/>
    <w:rsid w:val="3B5E1F75"/>
    <w:rsid w:val="3B5F3E67"/>
    <w:rsid w:val="3B616CFF"/>
    <w:rsid w:val="3B62097B"/>
    <w:rsid w:val="3B6259F6"/>
    <w:rsid w:val="3B653AFE"/>
    <w:rsid w:val="3B654B91"/>
    <w:rsid w:val="3B677002"/>
    <w:rsid w:val="3B6E2210"/>
    <w:rsid w:val="3B782B1F"/>
    <w:rsid w:val="3B7B3AA4"/>
    <w:rsid w:val="3B7F24AA"/>
    <w:rsid w:val="3B8443B3"/>
    <w:rsid w:val="3B882DB9"/>
    <w:rsid w:val="3B89083B"/>
    <w:rsid w:val="3B893937"/>
    <w:rsid w:val="3B8A62BD"/>
    <w:rsid w:val="3B8C17C0"/>
    <w:rsid w:val="3B8D2AC4"/>
    <w:rsid w:val="3B8F31B3"/>
    <w:rsid w:val="3B976654"/>
    <w:rsid w:val="3B980E56"/>
    <w:rsid w:val="3B9855D2"/>
    <w:rsid w:val="3B9968D7"/>
    <w:rsid w:val="3B997AE8"/>
    <w:rsid w:val="3B9E4F5D"/>
    <w:rsid w:val="3B9F07E0"/>
    <w:rsid w:val="3BA15EE2"/>
    <w:rsid w:val="3BA313E5"/>
    <w:rsid w:val="3BA371E7"/>
    <w:rsid w:val="3BA90120"/>
    <w:rsid w:val="3BAA0D70"/>
    <w:rsid w:val="3BAA45F3"/>
    <w:rsid w:val="3BB02C79"/>
    <w:rsid w:val="3BBA6E0C"/>
    <w:rsid w:val="3BBC450D"/>
    <w:rsid w:val="3BBD7D90"/>
    <w:rsid w:val="3BBF0D15"/>
    <w:rsid w:val="3BC01EFC"/>
    <w:rsid w:val="3BC26416"/>
    <w:rsid w:val="3BC3771B"/>
    <w:rsid w:val="3BC80746"/>
    <w:rsid w:val="3BC95DA1"/>
    <w:rsid w:val="3BCA3733"/>
    <w:rsid w:val="3BCA786A"/>
    <w:rsid w:val="3BCC25A9"/>
    <w:rsid w:val="3BCF572C"/>
    <w:rsid w:val="3BD00FAF"/>
    <w:rsid w:val="3BD21711"/>
    <w:rsid w:val="3BD31E2F"/>
    <w:rsid w:val="3BDC2844"/>
    <w:rsid w:val="3BE0124A"/>
    <w:rsid w:val="3BE2474D"/>
    <w:rsid w:val="3BEE5FE1"/>
    <w:rsid w:val="3BF00943"/>
    <w:rsid w:val="3BF014E4"/>
    <w:rsid w:val="3BF15831"/>
    <w:rsid w:val="3BF249E7"/>
    <w:rsid w:val="3BF45CEC"/>
    <w:rsid w:val="3BFA5677"/>
    <w:rsid w:val="3C007580"/>
    <w:rsid w:val="3C0B5911"/>
    <w:rsid w:val="3C0E4317"/>
    <w:rsid w:val="3C0E6896"/>
    <w:rsid w:val="3C105946"/>
    <w:rsid w:val="3C111A19"/>
    <w:rsid w:val="3C173922"/>
    <w:rsid w:val="3C1813A4"/>
    <w:rsid w:val="3C184C27"/>
    <w:rsid w:val="3C1A48A7"/>
    <w:rsid w:val="3C1B6FEC"/>
    <w:rsid w:val="3C1C11D2"/>
    <w:rsid w:val="3C1C362D"/>
    <w:rsid w:val="3C1D582B"/>
    <w:rsid w:val="3C273BBC"/>
    <w:rsid w:val="3C2C0044"/>
    <w:rsid w:val="3C317D4F"/>
    <w:rsid w:val="3C345451"/>
    <w:rsid w:val="3C3876DA"/>
    <w:rsid w:val="3C3A2BDD"/>
    <w:rsid w:val="3C3E15E3"/>
    <w:rsid w:val="3C3F4AE6"/>
    <w:rsid w:val="3C4409A7"/>
    <w:rsid w:val="3C444DEA"/>
    <w:rsid w:val="3C471448"/>
    <w:rsid w:val="3C471EF3"/>
    <w:rsid w:val="3C4C637B"/>
    <w:rsid w:val="3C4E187E"/>
    <w:rsid w:val="3C565CE9"/>
    <w:rsid w:val="3C5D1E98"/>
    <w:rsid w:val="3C5E791A"/>
    <w:rsid w:val="3C5F759A"/>
    <w:rsid w:val="3C612A9D"/>
    <w:rsid w:val="3C675659"/>
    <w:rsid w:val="3C6B33AC"/>
    <w:rsid w:val="3C6C525A"/>
    <w:rsid w:val="3C6E1DB2"/>
    <w:rsid w:val="3C6F5636"/>
    <w:rsid w:val="3C7030B7"/>
    <w:rsid w:val="3C721DD1"/>
    <w:rsid w:val="3C75753F"/>
    <w:rsid w:val="3C785F45"/>
    <w:rsid w:val="3C810DD3"/>
    <w:rsid w:val="3C853F56"/>
    <w:rsid w:val="3C86525B"/>
    <w:rsid w:val="3C8B16E3"/>
    <w:rsid w:val="3C8B49F2"/>
    <w:rsid w:val="3C8C1362"/>
    <w:rsid w:val="3C8F00E9"/>
    <w:rsid w:val="3C8F22E7"/>
    <w:rsid w:val="3C9157EA"/>
    <w:rsid w:val="3C957A74"/>
    <w:rsid w:val="3C9776F3"/>
    <w:rsid w:val="3C9809F8"/>
    <w:rsid w:val="3C992BF7"/>
    <w:rsid w:val="3C9A3EFB"/>
    <w:rsid w:val="3C9B197D"/>
    <w:rsid w:val="3C9C73FE"/>
    <w:rsid w:val="3C9E2902"/>
    <w:rsid w:val="3C9F4B00"/>
    <w:rsid w:val="3CA13886"/>
    <w:rsid w:val="3CAF061D"/>
    <w:rsid w:val="3CB163D2"/>
    <w:rsid w:val="3CB7243C"/>
    <w:rsid w:val="3CBB4430"/>
    <w:rsid w:val="3CBB7CB3"/>
    <w:rsid w:val="3CBD31B6"/>
    <w:rsid w:val="3CC13DBB"/>
    <w:rsid w:val="3CC2183C"/>
    <w:rsid w:val="3CC94A4B"/>
    <w:rsid w:val="3CCE23CB"/>
    <w:rsid w:val="3CCF30D1"/>
    <w:rsid w:val="3CCF6954"/>
    <w:rsid w:val="3CD043D5"/>
    <w:rsid w:val="3CD165D4"/>
    <w:rsid w:val="3CD17D17"/>
    <w:rsid w:val="3CD31AD7"/>
    <w:rsid w:val="3CD5085D"/>
    <w:rsid w:val="3CD54FDA"/>
    <w:rsid w:val="3CD7492A"/>
    <w:rsid w:val="3CD823F4"/>
    <w:rsid w:val="3CD91462"/>
    <w:rsid w:val="3CDA6EE3"/>
    <w:rsid w:val="3CDE58E9"/>
    <w:rsid w:val="3CDF336B"/>
    <w:rsid w:val="3CE04670"/>
    <w:rsid w:val="3CE120F1"/>
    <w:rsid w:val="3CE1686E"/>
    <w:rsid w:val="3CE40F86"/>
    <w:rsid w:val="3CE50AF7"/>
    <w:rsid w:val="3CE81A7C"/>
    <w:rsid w:val="3CE86A81"/>
    <w:rsid w:val="3CEB717E"/>
    <w:rsid w:val="3CF1490A"/>
    <w:rsid w:val="3CF86493"/>
    <w:rsid w:val="3CFB7418"/>
    <w:rsid w:val="3CFC1FF9"/>
    <w:rsid w:val="3CFC5061"/>
    <w:rsid w:val="3D026DA3"/>
    <w:rsid w:val="3D0657A9"/>
    <w:rsid w:val="3D070DF4"/>
    <w:rsid w:val="3D076AAE"/>
    <w:rsid w:val="3D0A7A32"/>
    <w:rsid w:val="3D192527"/>
    <w:rsid w:val="3D1C31D0"/>
    <w:rsid w:val="3D243E5F"/>
    <w:rsid w:val="3D263ADF"/>
    <w:rsid w:val="3D2C126C"/>
    <w:rsid w:val="3D301E70"/>
    <w:rsid w:val="3D3056F4"/>
    <w:rsid w:val="3D3562F8"/>
    <w:rsid w:val="3D373FB0"/>
    <w:rsid w:val="3D38727D"/>
    <w:rsid w:val="3D3B3A85"/>
    <w:rsid w:val="3D3C1506"/>
    <w:rsid w:val="3D3C5C83"/>
    <w:rsid w:val="3D3C7F39"/>
    <w:rsid w:val="3D3D3705"/>
    <w:rsid w:val="3D40210B"/>
    <w:rsid w:val="3D440F09"/>
    <w:rsid w:val="3D4504A0"/>
    <w:rsid w:val="3D45110C"/>
    <w:rsid w:val="3D456592"/>
    <w:rsid w:val="3D461E16"/>
    <w:rsid w:val="3D4B049C"/>
    <w:rsid w:val="3D4B3D1F"/>
    <w:rsid w:val="3D4C17A1"/>
    <w:rsid w:val="3D4C5F1D"/>
    <w:rsid w:val="3D550DAB"/>
    <w:rsid w:val="3D55462F"/>
    <w:rsid w:val="3D5A265A"/>
    <w:rsid w:val="3D6029C0"/>
    <w:rsid w:val="3D604BBE"/>
    <w:rsid w:val="3D6313C6"/>
    <w:rsid w:val="3D66234A"/>
    <w:rsid w:val="3D68584E"/>
    <w:rsid w:val="3D697A4C"/>
    <w:rsid w:val="3D6A78CE"/>
    <w:rsid w:val="3D6E7757"/>
    <w:rsid w:val="3D733BDF"/>
    <w:rsid w:val="3D741660"/>
    <w:rsid w:val="3D764B63"/>
    <w:rsid w:val="3D795AE8"/>
    <w:rsid w:val="3D7A0FEB"/>
    <w:rsid w:val="3D827327"/>
    <w:rsid w:val="3D860681"/>
    <w:rsid w:val="3D864DFE"/>
    <w:rsid w:val="3D8734BB"/>
    <w:rsid w:val="3D8A3804"/>
    <w:rsid w:val="3D8B4B09"/>
    <w:rsid w:val="3D8B6100"/>
    <w:rsid w:val="3D947997"/>
    <w:rsid w:val="3D955418"/>
    <w:rsid w:val="3D99601D"/>
    <w:rsid w:val="3D9A11D4"/>
    <w:rsid w:val="3D9A3A9E"/>
    <w:rsid w:val="3D9B1520"/>
    <w:rsid w:val="3D9C2824"/>
    <w:rsid w:val="3DA13429"/>
    <w:rsid w:val="3DA16634"/>
    <w:rsid w:val="3DA16D89"/>
    <w:rsid w:val="3DA364BE"/>
    <w:rsid w:val="3DA3692C"/>
    <w:rsid w:val="3DA443AE"/>
    <w:rsid w:val="3DA94B3F"/>
    <w:rsid w:val="3DAB17BA"/>
    <w:rsid w:val="3DAB75BC"/>
    <w:rsid w:val="3DAD603C"/>
    <w:rsid w:val="3DB05C42"/>
    <w:rsid w:val="3DB44648"/>
    <w:rsid w:val="3DB5594D"/>
    <w:rsid w:val="3DBE07DB"/>
    <w:rsid w:val="3DBE4F57"/>
    <w:rsid w:val="3DC1175F"/>
    <w:rsid w:val="3DC15EDC"/>
    <w:rsid w:val="3DC267B0"/>
    <w:rsid w:val="3DC31813"/>
    <w:rsid w:val="3DC36E61"/>
    <w:rsid w:val="3DC56E93"/>
    <w:rsid w:val="3DC90D6A"/>
    <w:rsid w:val="3DCA67EC"/>
    <w:rsid w:val="3DCC1CEF"/>
    <w:rsid w:val="3DCC5572"/>
    <w:rsid w:val="3DD119FA"/>
    <w:rsid w:val="3DD16176"/>
    <w:rsid w:val="3DDD580C"/>
    <w:rsid w:val="3DE041CB"/>
    <w:rsid w:val="3DE14212"/>
    <w:rsid w:val="3DE35197"/>
    <w:rsid w:val="3DEB25A4"/>
    <w:rsid w:val="3DEE3528"/>
    <w:rsid w:val="3DEF0FAA"/>
    <w:rsid w:val="3DF06A2B"/>
    <w:rsid w:val="3DF257B2"/>
    <w:rsid w:val="3DF45431"/>
    <w:rsid w:val="3DF763B6"/>
    <w:rsid w:val="3DFB0640"/>
    <w:rsid w:val="3DFC1B15"/>
    <w:rsid w:val="3DFD1951"/>
    <w:rsid w:val="3DFD3B43"/>
    <w:rsid w:val="3E004AC7"/>
    <w:rsid w:val="3E014747"/>
    <w:rsid w:val="3E015740"/>
    <w:rsid w:val="3E0D3DDD"/>
    <w:rsid w:val="3E0D48F6"/>
    <w:rsid w:val="3E1511E9"/>
    <w:rsid w:val="3E1533E8"/>
    <w:rsid w:val="3E1868B4"/>
    <w:rsid w:val="3E1A786F"/>
    <w:rsid w:val="3E1E6276"/>
    <w:rsid w:val="3E20587A"/>
    <w:rsid w:val="3E212A7E"/>
    <w:rsid w:val="3E263682"/>
    <w:rsid w:val="3E274987"/>
    <w:rsid w:val="3E2A0F33"/>
    <w:rsid w:val="3E2B338D"/>
    <w:rsid w:val="3E2E6510"/>
    <w:rsid w:val="3E2F4943"/>
    <w:rsid w:val="3E324F16"/>
    <w:rsid w:val="3E332998"/>
    <w:rsid w:val="3E374C21"/>
    <w:rsid w:val="3E377251"/>
    <w:rsid w:val="3E3830E6"/>
    <w:rsid w:val="3E3B796C"/>
    <w:rsid w:val="3E3F202E"/>
    <w:rsid w:val="3E42664B"/>
    <w:rsid w:val="3E474961"/>
    <w:rsid w:val="3E47611E"/>
    <w:rsid w:val="3E4C1343"/>
    <w:rsid w:val="3E541FD3"/>
    <w:rsid w:val="3E546750"/>
    <w:rsid w:val="3E5541D1"/>
    <w:rsid w:val="3E59645B"/>
    <w:rsid w:val="3E5A3EDC"/>
    <w:rsid w:val="3E5A7334"/>
    <w:rsid w:val="3E5D1061"/>
    <w:rsid w:val="3E5D15DE"/>
    <w:rsid w:val="3E636D6A"/>
    <w:rsid w:val="3E65446C"/>
    <w:rsid w:val="3E661EED"/>
    <w:rsid w:val="3E677F46"/>
    <w:rsid w:val="3E6853F0"/>
    <w:rsid w:val="3E71027E"/>
    <w:rsid w:val="3E733781"/>
    <w:rsid w:val="3E752508"/>
    <w:rsid w:val="3E7B5D6B"/>
    <w:rsid w:val="3E825F9A"/>
    <w:rsid w:val="3E84149D"/>
    <w:rsid w:val="3E843E66"/>
    <w:rsid w:val="3E883727"/>
    <w:rsid w:val="3E887EA3"/>
    <w:rsid w:val="3E8B0E28"/>
    <w:rsid w:val="3E8C68AA"/>
    <w:rsid w:val="3E8F51FE"/>
    <w:rsid w:val="3E8F782E"/>
    <w:rsid w:val="3E900B33"/>
    <w:rsid w:val="3E926F87"/>
    <w:rsid w:val="3E931AB8"/>
    <w:rsid w:val="3E933CB6"/>
    <w:rsid w:val="3E98013E"/>
    <w:rsid w:val="3E9A1443"/>
    <w:rsid w:val="3E9A59DE"/>
    <w:rsid w:val="3E9B10C2"/>
    <w:rsid w:val="3E9B6EC4"/>
    <w:rsid w:val="3E9C23C7"/>
    <w:rsid w:val="3E9E2047"/>
    <w:rsid w:val="3EA242D1"/>
    <w:rsid w:val="3EAE00E3"/>
    <w:rsid w:val="3EAF4836"/>
    <w:rsid w:val="3EB035E6"/>
    <w:rsid w:val="3EB26AE9"/>
    <w:rsid w:val="3EB554EF"/>
    <w:rsid w:val="3EB62F71"/>
    <w:rsid w:val="3EB709F3"/>
    <w:rsid w:val="3EC26D84"/>
    <w:rsid w:val="3EC33DFA"/>
    <w:rsid w:val="3EC5562E"/>
    <w:rsid w:val="3ECA4190"/>
    <w:rsid w:val="3ECB7693"/>
    <w:rsid w:val="3ECF3E9B"/>
    <w:rsid w:val="3ED1739E"/>
    <w:rsid w:val="3ED42521"/>
    <w:rsid w:val="3ED53826"/>
    <w:rsid w:val="3ED847AB"/>
    <w:rsid w:val="3EDC792D"/>
    <w:rsid w:val="3EDD53AF"/>
    <w:rsid w:val="3EDE2E31"/>
    <w:rsid w:val="3EE250BA"/>
    <w:rsid w:val="3EE372B8"/>
    <w:rsid w:val="3EF40857"/>
    <w:rsid w:val="3F0377ED"/>
    <w:rsid w:val="3F060E16"/>
    <w:rsid w:val="3F0D1EF3"/>
    <w:rsid w:val="3F181D11"/>
    <w:rsid w:val="3F1A5214"/>
    <w:rsid w:val="3F1C0717"/>
    <w:rsid w:val="3F1D1096"/>
    <w:rsid w:val="3F2435A5"/>
    <w:rsid w:val="3F2548AA"/>
    <w:rsid w:val="3F297A2D"/>
    <w:rsid w:val="3F2B2F30"/>
    <w:rsid w:val="3F2B67B3"/>
    <w:rsid w:val="3F2E7738"/>
    <w:rsid w:val="3F2F0234"/>
    <w:rsid w:val="3F2F6EBF"/>
    <w:rsid w:val="3F33033C"/>
    <w:rsid w:val="3F333BBF"/>
    <w:rsid w:val="3F357FC6"/>
    <w:rsid w:val="3F364B44"/>
    <w:rsid w:val="3F3B0FCC"/>
    <w:rsid w:val="3F3B31CA"/>
    <w:rsid w:val="3F3D66CD"/>
    <w:rsid w:val="3F3F5454"/>
    <w:rsid w:val="3F402ED5"/>
    <w:rsid w:val="3F4418DB"/>
    <w:rsid w:val="3F476FDD"/>
    <w:rsid w:val="3F4B59E3"/>
    <w:rsid w:val="3F4D4769"/>
    <w:rsid w:val="3F4E21EB"/>
    <w:rsid w:val="3F553D74"/>
    <w:rsid w:val="3F5C6F82"/>
    <w:rsid w:val="3F5E6C02"/>
    <w:rsid w:val="3F605988"/>
    <w:rsid w:val="3F63308A"/>
    <w:rsid w:val="3F6363FE"/>
    <w:rsid w:val="3F64438F"/>
    <w:rsid w:val="3F65658D"/>
    <w:rsid w:val="3F661A90"/>
    <w:rsid w:val="3F690816"/>
    <w:rsid w:val="3F6A6298"/>
    <w:rsid w:val="3F6E2720"/>
    <w:rsid w:val="3F6F01A1"/>
    <w:rsid w:val="3F705C23"/>
    <w:rsid w:val="3F756B8F"/>
    <w:rsid w:val="3F7755AE"/>
    <w:rsid w:val="3F7E4F38"/>
    <w:rsid w:val="3F87364A"/>
    <w:rsid w:val="3F8832C9"/>
    <w:rsid w:val="3F8B2050"/>
    <w:rsid w:val="3F9006D6"/>
    <w:rsid w:val="3F95482B"/>
    <w:rsid w:val="3F9B6A67"/>
    <w:rsid w:val="3FA97081"/>
    <w:rsid w:val="3FAB2584"/>
    <w:rsid w:val="3FAB6D01"/>
    <w:rsid w:val="3FAC7296"/>
    <w:rsid w:val="3FAD47FF"/>
    <w:rsid w:val="3FB06A0C"/>
    <w:rsid w:val="3FB76397"/>
    <w:rsid w:val="3FB86017"/>
    <w:rsid w:val="3FB9189A"/>
    <w:rsid w:val="3FBC281F"/>
    <w:rsid w:val="3FC06CA7"/>
    <w:rsid w:val="3FC6532D"/>
    <w:rsid w:val="3FC840B3"/>
    <w:rsid w:val="3FCA5C1C"/>
    <w:rsid w:val="3FCB17B4"/>
    <w:rsid w:val="3FCE2739"/>
    <w:rsid w:val="3FD014BF"/>
    <w:rsid w:val="3FD1113F"/>
    <w:rsid w:val="3FD91DCF"/>
    <w:rsid w:val="3FDC2D53"/>
    <w:rsid w:val="3FE0175A"/>
    <w:rsid w:val="3FE24C5D"/>
    <w:rsid w:val="3FE63663"/>
    <w:rsid w:val="3FE86B66"/>
    <w:rsid w:val="3FEC0DF0"/>
    <w:rsid w:val="3FF016A6"/>
    <w:rsid w:val="3FF077F6"/>
    <w:rsid w:val="3FF11EBC"/>
    <w:rsid w:val="3FF24EF7"/>
    <w:rsid w:val="3FF32979"/>
    <w:rsid w:val="3FF461FC"/>
    <w:rsid w:val="3FF67181"/>
    <w:rsid w:val="3FF82684"/>
    <w:rsid w:val="3FFC5BD1"/>
    <w:rsid w:val="40061999"/>
    <w:rsid w:val="40083152"/>
    <w:rsid w:val="400A03A0"/>
    <w:rsid w:val="40107D2A"/>
    <w:rsid w:val="401157AC"/>
    <w:rsid w:val="401279AA"/>
    <w:rsid w:val="4015092F"/>
    <w:rsid w:val="4019356B"/>
    <w:rsid w:val="401B2838"/>
    <w:rsid w:val="401C3B3D"/>
    <w:rsid w:val="401D15BF"/>
    <w:rsid w:val="401D5D3B"/>
    <w:rsid w:val="401F361F"/>
    <w:rsid w:val="401F6CC0"/>
    <w:rsid w:val="402121C3"/>
    <w:rsid w:val="4023709F"/>
    <w:rsid w:val="40240F49"/>
    <w:rsid w:val="402569CB"/>
    <w:rsid w:val="40277950"/>
    <w:rsid w:val="402975CF"/>
    <w:rsid w:val="402B2AD3"/>
    <w:rsid w:val="402C0554"/>
    <w:rsid w:val="402C3DD7"/>
    <w:rsid w:val="40300A76"/>
    <w:rsid w:val="403027DE"/>
    <w:rsid w:val="40360E64"/>
    <w:rsid w:val="40452E83"/>
    <w:rsid w:val="40495906"/>
    <w:rsid w:val="4057269D"/>
    <w:rsid w:val="4058011F"/>
    <w:rsid w:val="4058639A"/>
    <w:rsid w:val="40592157"/>
    <w:rsid w:val="405A3622"/>
    <w:rsid w:val="405B6EA5"/>
    <w:rsid w:val="405E2028"/>
    <w:rsid w:val="40600DAE"/>
    <w:rsid w:val="40605CB5"/>
    <w:rsid w:val="40670739"/>
    <w:rsid w:val="406A5E3B"/>
    <w:rsid w:val="406C579D"/>
    <w:rsid w:val="406E1CAE"/>
    <w:rsid w:val="407035C7"/>
    <w:rsid w:val="40711049"/>
    <w:rsid w:val="40713247"/>
    <w:rsid w:val="40747EC2"/>
    <w:rsid w:val="40772F52"/>
    <w:rsid w:val="40775150"/>
    <w:rsid w:val="407A1958"/>
    <w:rsid w:val="407B73DA"/>
    <w:rsid w:val="40803861"/>
    <w:rsid w:val="40830F63"/>
    <w:rsid w:val="40861EE7"/>
    <w:rsid w:val="4086576B"/>
    <w:rsid w:val="408810DD"/>
    <w:rsid w:val="4088321A"/>
    <w:rsid w:val="408A4171"/>
    <w:rsid w:val="40900279"/>
    <w:rsid w:val="40957F84"/>
    <w:rsid w:val="409A0B88"/>
    <w:rsid w:val="409E2E12"/>
    <w:rsid w:val="409E758E"/>
    <w:rsid w:val="409F1149"/>
    <w:rsid w:val="40A0133A"/>
    <w:rsid w:val="40A5279C"/>
    <w:rsid w:val="40A73D87"/>
    <w:rsid w:val="40AA1E22"/>
    <w:rsid w:val="40B416B7"/>
    <w:rsid w:val="40BA6EBE"/>
    <w:rsid w:val="40BB4940"/>
    <w:rsid w:val="40BC5C45"/>
    <w:rsid w:val="40BE54B7"/>
    <w:rsid w:val="40BF6BC9"/>
    <w:rsid w:val="40C120CD"/>
    <w:rsid w:val="40C21D4C"/>
    <w:rsid w:val="40C27B4E"/>
    <w:rsid w:val="40C31A53"/>
    <w:rsid w:val="40C41779"/>
    <w:rsid w:val="40C73FD6"/>
    <w:rsid w:val="40C874D9"/>
    <w:rsid w:val="40CB0528"/>
    <w:rsid w:val="40CB294D"/>
    <w:rsid w:val="40CF35E1"/>
    <w:rsid w:val="40D4166E"/>
    <w:rsid w:val="40D432EC"/>
    <w:rsid w:val="40DA73F3"/>
    <w:rsid w:val="40DC102A"/>
    <w:rsid w:val="40DD4021"/>
    <w:rsid w:val="40DF0940"/>
    <w:rsid w:val="40E012FC"/>
    <w:rsid w:val="40E04B80"/>
    <w:rsid w:val="40E63206"/>
    <w:rsid w:val="40E86709"/>
    <w:rsid w:val="40EA1C0C"/>
    <w:rsid w:val="40EE0612"/>
    <w:rsid w:val="40F53820"/>
    <w:rsid w:val="40F55A1F"/>
    <w:rsid w:val="40F97CA8"/>
    <w:rsid w:val="40FA1EA6"/>
    <w:rsid w:val="40FD66AE"/>
    <w:rsid w:val="40FF545D"/>
    <w:rsid w:val="410067C8"/>
    <w:rsid w:val="41017E2E"/>
    <w:rsid w:val="410272B3"/>
    <w:rsid w:val="410A6D1F"/>
    <w:rsid w:val="410E6949"/>
    <w:rsid w:val="410F43CA"/>
    <w:rsid w:val="411078CD"/>
    <w:rsid w:val="411C2328"/>
    <w:rsid w:val="411E0D3B"/>
    <w:rsid w:val="411E6BE3"/>
    <w:rsid w:val="4120113C"/>
    <w:rsid w:val="412020E6"/>
    <w:rsid w:val="41240AEC"/>
    <w:rsid w:val="41263FEF"/>
    <w:rsid w:val="412874F2"/>
    <w:rsid w:val="412907F7"/>
    <w:rsid w:val="412E6E7D"/>
    <w:rsid w:val="41340D87"/>
    <w:rsid w:val="41371D0B"/>
    <w:rsid w:val="413D5CA3"/>
    <w:rsid w:val="41433D8D"/>
    <w:rsid w:val="41456AA2"/>
    <w:rsid w:val="414A2F2A"/>
    <w:rsid w:val="414D7732"/>
    <w:rsid w:val="414E51B4"/>
    <w:rsid w:val="415006B7"/>
    <w:rsid w:val="41595743"/>
    <w:rsid w:val="41597CC1"/>
    <w:rsid w:val="416050CE"/>
    <w:rsid w:val="4166285A"/>
    <w:rsid w:val="416A7316"/>
    <w:rsid w:val="416D21E5"/>
    <w:rsid w:val="41765073"/>
    <w:rsid w:val="417A14FB"/>
    <w:rsid w:val="41826907"/>
    <w:rsid w:val="41834389"/>
    <w:rsid w:val="4185788C"/>
    <w:rsid w:val="41876612"/>
    <w:rsid w:val="418A3D14"/>
    <w:rsid w:val="418B1795"/>
    <w:rsid w:val="418C2A9A"/>
    <w:rsid w:val="418F0D2A"/>
    <w:rsid w:val="419014A0"/>
    <w:rsid w:val="41905C1D"/>
    <w:rsid w:val="41926BA2"/>
    <w:rsid w:val="41970E2B"/>
    <w:rsid w:val="4199432E"/>
    <w:rsid w:val="419D07B6"/>
    <w:rsid w:val="419D4F33"/>
    <w:rsid w:val="419E29B4"/>
    <w:rsid w:val="41A05EB7"/>
    <w:rsid w:val="41A213BA"/>
    <w:rsid w:val="41A326BF"/>
    <w:rsid w:val="41A710C5"/>
    <w:rsid w:val="41AB1CCA"/>
    <w:rsid w:val="41AD51CD"/>
    <w:rsid w:val="41AE2C4F"/>
    <w:rsid w:val="41AF64D2"/>
    <w:rsid w:val="41B03F53"/>
    <w:rsid w:val="41B403DB"/>
    <w:rsid w:val="41B525D9"/>
    <w:rsid w:val="41B90FE0"/>
    <w:rsid w:val="41BB44E3"/>
    <w:rsid w:val="41BC1F64"/>
    <w:rsid w:val="41BC57E8"/>
    <w:rsid w:val="41BD3269"/>
    <w:rsid w:val="41C218EF"/>
    <w:rsid w:val="41C44DF2"/>
    <w:rsid w:val="41C75D77"/>
    <w:rsid w:val="41CB0379"/>
    <w:rsid w:val="41D01505"/>
    <w:rsid w:val="41D42E8E"/>
    <w:rsid w:val="41D97316"/>
    <w:rsid w:val="41DA4D98"/>
    <w:rsid w:val="41DE06BF"/>
    <w:rsid w:val="41DE4E43"/>
    <w:rsid w:val="41EA5032"/>
    <w:rsid w:val="41EA5C7B"/>
    <w:rsid w:val="41ED183A"/>
    <w:rsid w:val="41EE3A38"/>
    <w:rsid w:val="41EE72BB"/>
    <w:rsid w:val="41EF14BA"/>
    <w:rsid w:val="41F06F3B"/>
    <w:rsid w:val="41F33DFE"/>
    <w:rsid w:val="41F57BA8"/>
    <w:rsid w:val="41F60E45"/>
    <w:rsid w:val="41F91DC9"/>
    <w:rsid w:val="41FD6251"/>
    <w:rsid w:val="41FE1AD4"/>
    <w:rsid w:val="41FE3CD2"/>
    <w:rsid w:val="41FF1754"/>
    <w:rsid w:val="4204145F"/>
    <w:rsid w:val="42045BDC"/>
    <w:rsid w:val="420610DF"/>
    <w:rsid w:val="420845E2"/>
    <w:rsid w:val="420A7AE5"/>
    <w:rsid w:val="420B0DEA"/>
    <w:rsid w:val="420C2FE8"/>
    <w:rsid w:val="420E64EB"/>
    <w:rsid w:val="421303F5"/>
    <w:rsid w:val="4218267E"/>
    <w:rsid w:val="42190100"/>
    <w:rsid w:val="421922FE"/>
    <w:rsid w:val="421A0D47"/>
    <w:rsid w:val="421B5801"/>
    <w:rsid w:val="421D7A28"/>
    <w:rsid w:val="4221770A"/>
    <w:rsid w:val="42226EC9"/>
    <w:rsid w:val="4229039A"/>
    <w:rsid w:val="422A2598"/>
    <w:rsid w:val="422B001A"/>
    <w:rsid w:val="422D6DA0"/>
    <w:rsid w:val="422E4822"/>
    <w:rsid w:val="422F22A3"/>
    <w:rsid w:val="42301F23"/>
    <w:rsid w:val="42307D25"/>
    <w:rsid w:val="42330CA9"/>
    <w:rsid w:val="423441AD"/>
    <w:rsid w:val="42363E2C"/>
    <w:rsid w:val="4236566E"/>
    <w:rsid w:val="424469C5"/>
    <w:rsid w:val="42474939"/>
    <w:rsid w:val="424853CC"/>
    <w:rsid w:val="424C3C57"/>
    <w:rsid w:val="42500C48"/>
    <w:rsid w:val="42515CDB"/>
    <w:rsid w:val="4252155E"/>
    <w:rsid w:val="42523A38"/>
    <w:rsid w:val="42546C60"/>
    <w:rsid w:val="42557F64"/>
    <w:rsid w:val="42580EE9"/>
    <w:rsid w:val="425B65EB"/>
    <w:rsid w:val="425D5371"/>
    <w:rsid w:val="426062F6"/>
    <w:rsid w:val="42613FF3"/>
    <w:rsid w:val="42625F75"/>
    <w:rsid w:val="42644CFC"/>
    <w:rsid w:val="42660D96"/>
    <w:rsid w:val="42677E7F"/>
    <w:rsid w:val="42693382"/>
    <w:rsid w:val="426F528B"/>
    <w:rsid w:val="426F7296"/>
    <w:rsid w:val="42707E35"/>
    <w:rsid w:val="4271078E"/>
    <w:rsid w:val="427A361C"/>
    <w:rsid w:val="427B6B1F"/>
    <w:rsid w:val="427F3327"/>
    <w:rsid w:val="427F5525"/>
    <w:rsid w:val="428242AC"/>
    <w:rsid w:val="42852CB2"/>
    <w:rsid w:val="4285742F"/>
    <w:rsid w:val="428667D2"/>
    <w:rsid w:val="428C263D"/>
    <w:rsid w:val="428F35C1"/>
    <w:rsid w:val="42901043"/>
    <w:rsid w:val="42932922"/>
    <w:rsid w:val="42941C47"/>
    <w:rsid w:val="429441C6"/>
    <w:rsid w:val="42947A49"/>
    <w:rsid w:val="429B14D5"/>
    <w:rsid w:val="429B73D4"/>
    <w:rsid w:val="42A247E0"/>
    <w:rsid w:val="42AB766E"/>
    <w:rsid w:val="42AD2B71"/>
    <w:rsid w:val="42B03AF6"/>
    <w:rsid w:val="42B34A7B"/>
    <w:rsid w:val="42B424FC"/>
    <w:rsid w:val="42B559FF"/>
    <w:rsid w:val="42B63434"/>
    <w:rsid w:val="42B86984"/>
    <w:rsid w:val="42BA7C89"/>
    <w:rsid w:val="42BC0C0E"/>
    <w:rsid w:val="42BF630F"/>
    <w:rsid w:val="42C50218"/>
    <w:rsid w:val="42C8119D"/>
    <w:rsid w:val="42C96C1E"/>
    <w:rsid w:val="42CA7F23"/>
    <w:rsid w:val="42CD1CE0"/>
    <w:rsid w:val="42CE0B28"/>
    <w:rsid w:val="42D0402B"/>
    <w:rsid w:val="42D617B7"/>
    <w:rsid w:val="42DC36C1"/>
    <w:rsid w:val="42DC7E3D"/>
    <w:rsid w:val="42DD25A7"/>
    <w:rsid w:val="42DE6BC4"/>
    <w:rsid w:val="42DF01D0"/>
    <w:rsid w:val="42E020C7"/>
    <w:rsid w:val="42E1381E"/>
    <w:rsid w:val="42E17B48"/>
    <w:rsid w:val="42E21D47"/>
    <w:rsid w:val="42E40ACD"/>
    <w:rsid w:val="42E5074D"/>
    <w:rsid w:val="42E63FD0"/>
    <w:rsid w:val="42E77A79"/>
    <w:rsid w:val="42EB0458"/>
    <w:rsid w:val="42EB2656"/>
    <w:rsid w:val="42EC00D8"/>
    <w:rsid w:val="42EC395B"/>
    <w:rsid w:val="42ED6459"/>
    <w:rsid w:val="42EF105C"/>
    <w:rsid w:val="42F02C8F"/>
    <w:rsid w:val="42F21FE1"/>
    <w:rsid w:val="42F83EEA"/>
    <w:rsid w:val="42F951EF"/>
    <w:rsid w:val="42FB06F2"/>
    <w:rsid w:val="42FB4E6F"/>
    <w:rsid w:val="42FC0372"/>
    <w:rsid w:val="42FE58DD"/>
    <w:rsid w:val="42FF70F8"/>
    <w:rsid w:val="430147FA"/>
    <w:rsid w:val="43055ADD"/>
    <w:rsid w:val="43064505"/>
    <w:rsid w:val="4309548A"/>
    <w:rsid w:val="43112896"/>
    <w:rsid w:val="4317351F"/>
    <w:rsid w:val="43174B3D"/>
    <w:rsid w:val="431D1F2C"/>
    <w:rsid w:val="431D412A"/>
    <w:rsid w:val="431D66A9"/>
    <w:rsid w:val="43202EB0"/>
    <w:rsid w:val="43216222"/>
    <w:rsid w:val="43236033"/>
    <w:rsid w:val="4326283B"/>
    <w:rsid w:val="432702BD"/>
    <w:rsid w:val="432B3440"/>
    <w:rsid w:val="432B6CC3"/>
    <w:rsid w:val="432D21C6"/>
    <w:rsid w:val="433078C8"/>
    <w:rsid w:val="4332664E"/>
    <w:rsid w:val="4333084C"/>
    <w:rsid w:val="43395FD9"/>
    <w:rsid w:val="433C115C"/>
    <w:rsid w:val="433D49DF"/>
    <w:rsid w:val="433D6BDD"/>
    <w:rsid w:val="433E465F"/>
    <w:rsid w:val="434155E3"/>
    <w:rsid w:val="43430AE7"/>
    <w:rsid w:val="43472D70"/>
    <w:rsid w:val="434A0702"/>
    <w:rsid w:val="434B790E"/>
    <w:rsid w:val="43521101"/>
    <w:rsid w:val="43546F1D"/>
    <w:rsid w:val="43565589"/>
    <w:rsid w:val="43580A8C"/>
    <w:rsid w:val="435B618D"/>
    <w:rsid w:val="4360274F"/>
    <w:rsid w:val="43625B18"/>
    <w:rsid w:val="4363278D"/>
    <w:rsid w:val="4363359A"/>
    <w:rsid w:val="43721636"/>
    <w:rsid w:val="43735AE1"/>
    <w:rsid w:val="437525BA"/>
    <w:rsid w:val="4376003C"/>
    <w:rsid w:val="437B44C4"/>
    <w:rsid w:val="437C1F45"/>
    <w:rsid w:val="437E5448"/>
    <w:rsid w:val="43842BD5"/>
    <w:rsid w:val="438602D6"/>
    <w:rsid w:val="438660D8"/>
    <w:rsid w:val="43895857"/>
    <w:rsid w:val="438B475E"/>
    <w:rsid w:val="438D34E4"/>
    <w:rsid w:val="438E0F66"/>
    <w:rsid w:val="438F3163"/>
    <w:rsid w:val="438F69E7"/>
    <w:rsid w:val="4393027C"/>
    <w:rsid w:val="43942E6F"/>
    <w:rsid w:val="43957F31"/>
    <w:rsid w:val="439671DC"/>
    <w:rsid w:val="43977AB6"/>
    <w:rsid w:val="439B27FA"/>
    <w:rsid w:val="439E597D"/>
    <w:rsid w:val="439F639C"/>
    <w:rsid w:val="43A24383"/>
    <w:rsid w:val="43A3342B"/>
    <w:rsid w:val="43A55308"/>
    <w:rsid w:val="43A7080B"/>
    <w:rsid w:val="43AA1790"/>
    <w:rsid w:val="43AB7211"/>
    <w:rsid w:val="43AD2714"/>
    <w:rsid w:val="43B70AA5"/>
    <w:rsid w:val="43BA1A2A"/>
    <w:rsid w:val="43BA782C"/>
    <w:rsid w:val="43BB74AB"/>
    <w:rsid w:val="43BC2D2F"/>
    <w:rsid w:val="43BE622F"/>
    <w:rsid w:val="43BF1735"/>
    <w:rsid w:val="43BF5EB2"/>
    <w:rsid w:val="43C14C38"/>
    <w:rsid w:val="43C226BA"/>
    <w:rsid w:val="43C732BE"/>
    <w:rsid w:val="43C77C27"/>
    <w:rsid w:val="43CD51C7"/>
    <w:rsid w:val="43CE2C49"/>
    <w:rsid w:val="43CF3F4E"/>
    <w:rsid w:val="43D45861"/>
    <w:rsid w:val="43D55E57"/>
    <w:rsid w:val="43D6135A"/>
    <w:rsid w:val="43D922DF"/>
    <w:rsid w:val="43DD0CE5"/>
    <w:rsid w:val="43DE09EE"/>
    <w:rsid w:val="43E40670"/>
    <w:rsid w:val="43E63B73"/>
    <w:rsid w:val="43EC5A7C"/>
    <w:rsid w:val="43ED0DC6"/>
    <w:rsid w:val="43ED34FE"/>
    <w:rsid w:val="43F01F04"/>
    <w:rsid w:val="43F23209"/>
    <w:rsid w:val="43F94D92"/>
    <w:rsid w:val="43FB0295"/>
    <w:rsid w:val="43FC159A"/>
    <w:rsid w:val="43FD701B"/>
    <w:rsid w:val="44002FAD"/>
    <w:rsid w:val="440179B8"/>
    <w:rsid w:val="44030F25"/>
    <w:rsid w:val="440B052F"/>
    <w:rsid w:val="44106525"/>
    <w:rsid w:val="44112439"/>
    <w:rsid w:val="44127EBA"/>
    <w:rsid w:val="441311BF"/>
    <w:rsid w:val="44146C41"/>
    <w:rsid w:val="44162144"/>
    <w:rsid w:val="44197845"/>
    <w:rsid w:val="441B65CB"/>
    <w:rsid w:val="441C07CA"/>
    <w:rsid w:val="441D624B"/>
    <w:rsid w:val="441F71D0"/>
    <w:rsid w:val="442339D8"/>
    <w:rsid w:val="44243658"/>
    <w:rsid w:val="442510D9"/>
    <w:rsid w:val="4426495C"/>
    <w:rsid w:val="44297ADF"/>
    <w:rsid w:val="442B2FE3"/>
    <w:rsid w:val="442D64E6"/>
    <w:rsid w:val="442F19E9"/>
    <w:rsid w:val="4432296D"/>
    <w:rsid w:val="44345E70"/>
    <w:rsid w:val="44395B7B"/>
    <w:rsid w:val="4442648B"/>
    <w:rsid w:val="4444198E"/>
    <w:rsid w:val="44480394"/>
    <w:rsid w:val="444B1319"/>
    <w:rsid w:val="444D481C"/>
    <w:rsid w:val="444E229E"/>
    <w:rsid w:val="444F7D1F"/>
    <w:rsid w:val="445441A7"/>
    <w:rsid w:val="44592742"/>
    <w:rsid w:val="44593EB2"/>
    <w:rsid w:val="445F383D"/>
    <w:rsid w:val="446369C0"/>
    <w:rsid w:val="44644441"/>
    <w:rsid w:val="446A440B"/>
    <w:rsid w:val="446B764F"/>
    <w:rsid w:val="446C184E"/>
    <w:rsid w:val="446D2B52"/>
    <w:rsid w:val="447830E2"/>
    <w:rsid w:val="44790B63"/>
    <w:rsid w:val="447A1E68"/>
    <w:rsid w:val="447B4344"/>
    <w:rsid w:val="447B78EA"/>
    <w:rsid w:val="448004EE"/>
    <w:rsid w:val="448239F1"/>
    <w:rsid w:val="44842778"/>
    <w:rsid w:val="448A4681"/>
    <w:rsid w:val="448B2102"/>
    <w:rsid w:val="448C1D82"/>
    <w:rsid w:val="448D7804"/>
    <w:rsid w:val="448E3087"/>
    <w:rsid w:val="449101DD"/>
    <w:rsid w:val="44942A12"/>
    <w:rsid w:val="44985B95"/>
    <w:rsid w:val="44996E9A"/>
    <w:rsid w:val="449D1FC8"/>
    <w:rsid w:val="44A771C7"/>
    <w:rsid w:val="44AD5B3A"/>
    <w:rsid w:val="44AF103D"/>
    <w:rsid w:val="44B37A44"/>
    <w:rsid w:val="44B454C5"/>
    <w:rsid w:val="44B609C8"/>
    <w:rsid w:val="44BB06D3"/>
    <w:rsid w:val="44BC0BCB"/>
    <w:rsid w:val="44BC6155"/>
    <w:rsid w:val="44BE1658"/>
    <w:rsid w:val="44C2225C"/>
    <w:rsid w:val="44C4575F"/>
    <w:rsid w:val="44C66A64"/>
    <w:rsid w:val="44C84166"/>
    <w:rsid w:val="44CA7669"/>
    <w:rsid w:val="44CE606F"/>
    <w:rsid w:val="44D24A75"/>
    <w:rsid w:val="44D91E82"/>
    <w:rsid w:val="44DE1391"/>
    <w:rsid w:val="44DF3D8B"/>
    <w:rsid w:val="44E05090"/>
    <w:rsid w:val="44E0760E"/>
    <w:rsid w:val="44E24D0F"/>
    <w:rsid w:val="44E32791"/>
    <w:rsid w:val="44E43A96"/>
    <w:rsid w:val="44E63716"/>
    <w:rsid w:val="44E673BF"/>
    <w:rsid w:val="44E97F1E"/>
    <w:rsid w:val="44F04629"/>
    <w:rsid w:val="44F24FAA"/>
    <w:rsid w:val="44F462AF"/>
    <w:rsid w:val="44F639B0"/>
    <w:rsid w:val="44F84A32"/>
    <w:rsid w:val="44FC58B9"/>
    <w:rsid w:val="450042C0"/>
    <w:rsid w:val="45083831"/>
    <w:rsid w:val="45084F4F"/>
    <w:rsid w:val="450C3955"/>
    <w:rsid w:val="45130D62"/>
    <w:rsid w:val="451A3F70"/>
    <w:rsid w:val="451B225C"/>
    <w:rsid w:val="451F03F8"/>
    <w:rsid w:val="452138FB"/>
    <w:rsid w:val="4523357B"/>
    <w:rsid w:val="452410C9"/>
    <w:rsid w:val="45287A02"/>
    <w:rsid w:val="45292F05"/>
    <w:rsid w:val="452A0987"/>
    <w:rsid w:val="452D770D"/>
    <w:rsid w:val="452F2C10"/>
    <w:rsid w:val="45317DFB"/>
    <w:rsid w:val="4535259B"/>
    <w:rsid w:val="453D4124"/>
    <w:rsid w:val="453D79A8"/>
    <w:rsid w:val="454050A9"/>
    <w:rsid w:val="45412D85"/>
    <w:rsid w:val="454163AE"/>
    <w:rsid w:val="45423E2F"/>
    <w:rsid w:val="45464A34"/>
    <w:rsid w:val="4549123C"/>
    <w:rsid w:val="455240CA"/>
    <w:rsid w:val="455475CD"/>
    <w:rsid w:val="455517CB"/>
    <w:rsid w:val="45562AD0"/>
    <w:rsid w:val="455B6F58"/>
    <w:rsid w:val="455C49D9"/>
    <w:rsid w:val="455E7EDC"/>
    <w:rsid w:val="45610E61"/>
    <w:rsid w:val="456168E3"/>
    <w:rsid w:val="45636562"/>
    <w:rsid w:val="45637458"/>
    <w:rsid w:val="45643FE4"/>
    <w:rsid w:val="45651A65"/>
    <w:rsid w:val="45693CEF"/>
    <w:rsid w:val="456C4C74"/>
    <w:rsid w:val="456D26F5"/>
    <w:rsid w:val="456D3CE4"/>
    <w:rsid w:val="456D7350"/>
    <w:rsid w:val="4579042C"/>
    <w:rsid w:val="457A1A0B"/>
    <w:rsid w:val="457B748C"/>
    <w:rsid w:val="457C4F0E"/>
    <w:rsid w:val="457F0571"/>
    <w:rsid w:val="4582269B"/>
    <w:rsid w:val="45824C19"/>
    <w:rsid w:val="45826E17"/>
    <w:rsid w:val="4584231A"/>
    <w:rsid w:val="45851176"/>
    <w:rsid w:val="4585361F"/>
    <w:rsid w:val="45857D9C"/>
    <w:rsid w:val="458610A1"/>
    <w:rsid w:val="4586581D"/>
    <w:rsid w:val="458B5528"/>
    <w:rsid w:val="458F3F2F"/>
    <w:rsid w:val="459019B0"/>
    <w:rsid w:val="45921630"/>
    <w:rsid w:val="45965AB8"/>
    <w:rsid w:val="459B56C8"/>
    <w:rsid w:val="459C79C1"/>
    <w:rsid w:val="45A218CA"/>
    <w:rsid w:val="45A44DCD"/>
    <w:rsid w:val="45AA6CD7"/>
    <w:rsid w:val="45AD272F"/>
    <w:rsid w:val="45AD56DD"/>
    <w:rsid w:val="45AE315F"/>
    <w:rsid w:val="45AF0BE0"/>
    <w:rsid w:val="45AF69E2"/>
    <w:rsid w:val="45B61450"/>
    <w:rsid w:val="45B63DEE"/>
    <w:rsid w:val="45B71870"/>
    <w:rsid w:val="45BC2474"/>
    <w:rsid w:val="45BC5CF7"/>
    <w:rsid w:val="45BD7EF6"/>
    <w:rsid w:val="45BF33F9"/>
    <w:rsid w:val="45C1217F"/>
    <w:rsid w:val="45C148E0"/>
    <w:rsid w:val="45C168FC"/>
    <w:rsid w:val="45C218AE"/>
    <w:rsid w:val="45C21DFF"/>
    <w:rsid w:val="45C27C01"/>
    <w:rsid w:val="45C37881"/>
    <w:rsid w:val="45C63B94"/>
    <w:rsid w:val="45C81B0A"/>
    <w:rsid w:val="45C83D08"/>
    <w:rsid w:val="45C964F1"/>
    <w:rsid w:val="45CA500D"/>
    <w:rsid w:val="45CA720B"/>
    <w:rsid w:val="45CE5353"/>
    <w:rsid w:val="45D514DB"/>
    <w:rsid w:val="45D74323"/>
    <w:rsid w:val="45DA52A8"/>
    <w:rsid w:val="45E14C32"/>
    <w:rsid w:val="45EA3344"/>
    <w:rsid w:val="45EB6847"/>
    <w:rsid w:val="45EC03C2"/>
    <w:rsid w:val="45ED1D4A"/>
    <w:rsid w:val="45EF19CA"/>
    <w:rsid w:val="45F2294E"/>
    <w:rsid w:val="45F416D5"/>
    <w:rsid w:val="45F64BD8"/>
    <w:rsid w:val="45F72659"/>
    <w:rsid w:val="45F8441F"/>
    <w:rsid w:val="45FD4563"/>
    <w:rsid w:val="45FF1C64"/>
    <w:rsid w:val="46033EED"/>
    <w:rsid w:val="460A3878"/>
    <w:rsid w:val="460C6D7B"/>
    <w:rsid w:val="460E7DA5"/>
    <w:rsid w:val="46105782"/>
    <w:rsid w:val="46117980"/>
    <w:rsid w:val="46146386"/>
    <w:rsid w:val="46151C09"/>
    <w:rsid w:val="461C3792"/>
    <w:rsid w:val="461F7F9A"/>
    <w:rsid w:val="46202199"/>
    <w:rsid w:val="462369A1"/>
    <w:rsid w:val="46252F12"/>
    <w:rsid w:val="46284E65"/>
    <w:rsid w:val="46290A47"/>
    <w:rsid w:val="462B5FAB"/>
    <w:rsid w:val="462C3A2D"/>
    <w:rsid w:val="463333B8"/>
    <w:rsid w:val="4635213E"/>
    <w:rsid w:val="463E4FCC"/>
    <w:rsid w:val="46422483"/>
    <w:rsid w:val="4647448F"/>
    <w:rsid w:val="46504A5B"/>
    <w:rsid w:val="46513FED"/>
    <w:rsid w:val="465161EB"/>
    <w:rsid w:val="46585B76"/>
    <w:rsid w:val="4659254A"/>
    <w:rsid w:val="465A3451"/>
    <w:rsid w:val="465B0637"/>
    <w:rsid w:val="465E3F0D"/>
    <w:rsid w:val="46610A04"/>
    <w:rsid w:val="46616A8D"/>
    <w:rsid w:val="46652C8D"/>
    <w:rsid w:val="46683C12"/>
    <w:rsid w:val="46685E10"/>
    <w:rsid w:val="46694F98"/>
    <w:rsid w:val="466A16E6"/>
    <w:rsid w:val="466A7115"/>
    <w:rsid w:val="466B6D95"/>
    <w:rsid w:val="466F101E"/>
    <w:rsid w:val="4670321D"/>
    <w:rsid w:val="46706AA0"/>
    <w:rsid w:val="46726720"/>
    <w:rsid w:val="46737A24"/>
    <w:rsid w:val="467A73AF"/>
    <w:rsid w:val="467B15AE"/>
    <w:rsid w:val="467C28B2"/>
    <w:rsid w:val="467C702F"/>
    <w:rsid w:val="46810F38"/>
    <w:rsid w:val="468653C0"/>
    <w:rsid w:val="46872E42"/>
    <w:rsid w:val="46893F2B"/>
    <w:rsid w:val="468C2B4D"/>
    <w:rsid w:val="468D4D4B"/>
    <w:rsid w:val="46913751"/>
    <w:rsid w:val="469446D6"/>
    <w:rsid w:val="46963997"/>
    <w:rsid w:val="469E62EA"/>
    <w:rsid w:val="46A71178"/>
    <w:rsid w:val="46A86BFA"/>
    <w:rsid w:val="46AF6585"/>
    <w:rsid w:val="46B3080E"/>
    <w:rsid w:val="46B34F8B"/>
    <w:rsid w:val="46B43DEC"/>
    <w:rsid w:val="46B53D11"/>
    <w:rsid w:val="46B92717"/>
    <w:rsid w:val="46BF20A2"/>
    <w:rsid w:val="46BF681F"/>
    <w:rsid w:val="46C155A5"/>
    <w:rsid w:val="46C35225"/>
    <w:rsid w:val="46C4652A"/>
    <w:rsid w:val="46C4686E"/>
    <w:rsid w:val="46C816AD"/>
    <w:rsid w:val="46C92DA7"/>
    <w:rsid w:val="46CB5EB5"/>
    <w:rsid w:val="46CC3936"/>
    <w:rsid w:val="46CD5B35"/>
    <w:rsid w:val="46D27A3E"/>
    <w:rsid w:val="46D40D43"/>
    <w:rsid w:val="46D42F41"/>
    <w:rsid w:val="46D54246"/>
    <w:rsid w:val="46D92C4C"/>
    <w:rsid w:val="46E5026C"/>
    <w:rsid w:val="46EC05E8"/>
    <w:rsid w:val="46EE33F6"/>
    <w:rsid w:val="46EE3AEB"/>
    <w:rsid w:val="46F02871"/>
    <w:rsid w:val="46F721FC"/>
    <w:rsid w:val="46F91E7C"/>
    <w:rsid w:val="46FB0C02"/>
    <w:rsid w:val="4703600F"/>
    <w:rsid w:val="470B1EC8"/>
    <w:rsid w:val="470E1E21"/>
    <w:rsid w:val="4716722E"/>
    <w:rsid w:val="47181EB6"/>
    <w:rsid w:val="471A5C34"/>
    <w:rsid w:val="471C2EE4"/>
    <w:rsid w:val="471F7B3D"/>
    <w:rsid w:val="472829CB"/>
    <w:rsid w:val="47326B5E"/>
    <w:rsid w:val="473345DF"/>
    <w:rsid w:val="47365564"/>
    <w:rsid w:val="473906E7"/>
    <w:rsid w:val="4744155B"/>
    <w:rsid w:val="47461F7B"/>
    <w:rsid w:val="47480D01"/>
    <w:rsid w:val="47492F00"/>
    <w:rsid w:val="474A4205"/>
    <w:rsid w:val="474B66A7"/>
    <w:rsid w:val="474C39E8"/>
    <w:rsid w:val="474C7708"/>
    <w:rsid w:val="47554794"/>
    <w:rsid w:val="47560017"/>
    <w:rsid w:val="47562215"/>
    <w:rsid w:val="47585719"/>
    <w:rsid w:val="475C79A2"/>
    <w:rsid w:val="475E7622"/>
    <w:rsid w:val="47675D33"/>
    <w:rsid w:val="476D7C3C"/>
    <w:rsid w:val="476F0BC1"/>
    <w:rsid w:val="47752ACA"/>
    <w:rsid w:val="477A6F52"/>
    <w:rsid w:val="477B778F"/>
    <w:rsid w:val="47802144"/>
    <w:rsid w:val="47812160"/>
    <w:rsid w:val="478203EC"/>
    <w:rsid w:val="47831DE0"/>
    <w:rsid w:val="4789756D"/>
    <w:rsid w:val="478A71EC"/>
    <w:rsid w:val="47916B77"/>
    <w:rsid w:val="47927E7C"/>
    <w:rsid w:val="4795243E"/>
    <w:rsid w:val="47981D85"/>
    <w:rsid w:val="479C078C"/>
    <w:rsid w:val="47A30116"/>
    <w:rsid w:val="47A30E15"/>
    <w:rsid w:val="47A70D1B"/>
    <w:rsid w:val="47A71B8B"/>
    <w:rsid w:val="47AC0A26"/>
    <w:rsid w:val="47B025FA"/>
    <w:rsid w:val="47B03BA9"/>
    <w:rsid w:val="47B14EAE"/>
    <w:rsid w:val="47BD2EBF"/>
    <w:rsid w:val="47BF1C45"/>
    <w:rsid w:val="47C076C6"/>
    <w:rsid w:val="47C118C5"/>
    <w:rsid w:val="47C22BCA"/>
    <w:rsid w:val="47C77051"/>
    <w:rsid w:val="47C96CD1"/>
    <w:rsid w:val="47CF445E"/>
    <w:rsid w:val="47D17961"/>
    <w:rsid w:val="47D253E2"/>
    <w:rsid w:val="47D26740"/>
    <w:rsid w:val="47D32E64"/>
    <w:rsid w:val="47E0217A"/>
    <w:rsid w:val="47E330FE"/>
    <w:rsid w:val="47E40B80"/>
    <w:rsid w:val="47E67906"/>
    <w:rsid w:val="47E9088B"/>
    <w:rsid w:val="47EA630C"/>
    <w:rsid w:val="47F3119A"/>
    <w:rsid w:val="47FE4FAD"/>
    <w:rsid w:val="47FF2A2E"/>
    <w:rsid w:val="480004B0"/>
    <w:rsid w:val="48031435"/>
    <w:rsid w:val="48043633"/>
    <w:rsid w:val="4809698F"/>
    <w:rsid w:val="480C2163"/>
    <w:rsid w:val="480F2CC9"/>
    <w:rsid w:val="4811697D"/>
    <w:rsid w:val="481438CD"/>
    <w:rsid w:val="48162654"/>
    <w:rsid w:val="48185B57"/>
    <w:rsid w:val="481B3258"/>
    <w:rsid w:val="481B6ADB"/>
    <w:rsid w:val="481C455D"/>
    <w:rsid w:val="481E7A60"/>
    <w:rsid w:val="482074E7"/>
    <w:rsid w:val="482360E6"/>
    <w:rsid w:val="4828256E"/>
    <w:rsid w:val="482A6DA7"/>
    <w:rsid w:val="482B2D03"/>
    <w:rsid w:val="482B34F2"/>
    <w:rsid w:val="482F577C"/>
    <w:rsid w:val="483031FD"/>
    <w:rsid w:val="48310C7F"/>
    <w:rsid w:val="48357685"/>
    <w:rsid w:val="483E2513"/>
    <w:rsid w:val="48410F19"/>
    <w:rsid w:val="48462E5D"/>
    <w:rsid w:val="484A3DA7"/>
    <w:rsid w:val="484D103A"/>
    <w:rsid w:val="484D4D2C"/>
    <w:rsid w:val="48516FB5"/>
    <w:rsid w:val="48524A37"/>
    <w:rsid w:val="485324B9"/>
    <w:rsid w:val="4856343D"/>
    <w:rsid w:val="48570EBF"/>
    <w:rsid w:val="485A1E43"/>
    <w:rsid w:val="485E084A"/>
    <w:rsid w:val="48605F4B"/>
    <w:rsid w:val="4861761A"/>
    <w:rsid w:val="48624CD1"/>
    <w:rsid w:val="48657AC5"/>
    <w:rsid w:val="486758D6"/>
    <w:rsid w:val="48683357"/>
    <w:rsid w:val="48711A69"/>
    <w:rsid w:val="487274EA"/>
    <w:rsid w:val="48765EF0"/>
    <w:rsid w:val="487835F2"/>
    <w:rsid w:val="487A3E25"/>
    <w:rsid w:val="487A4899"/>
    <w:rsid w:val="487C1FF8"/>
    <w:rsid w:val="487D32FD"/>
    <w:rsid w:val="487E575C"/>
    <w:rsid w:val="487F2F7D"/>
    <w:rsid w:val="48831983"/>
    <w:rsid w:val="4888168E"/>
    <w:rsid w:val="4889130E"/>
    <w:rsid w:val="488A4B91"/>
    <w:rsid w:val="488B5503"/>
    <w:rsid w:val="488C6CCD"/>
    <w:rsid w:val="488F0FD1"/>
    <w:rsid w:val="488F3217"/>
    <w:rsid w:val="48900C98"/>
    <w:rsid w:val="48911F9D"/>
    <w:rsid w:val="4892419C"/>
    <w:rsid w:val="48937E21"/>
    <w:rsid w:val="48955120"/>
    <w:rsid w:val="48962BA2"/>
    <w:rsid w:val="489A0361"/>
    <w:rsid w:val="489A4E2B"/>
    <w:rsid w:val="48A22238"/>
    <w:rsid w:val="48A45543"/>
    <w:rsid w:val="48A766BF"/>
    <w:rsid w:val="48A81BC2"/>
    <w:rsid w:val="48AF238A"/>
    <w:rsid w:val="48B268BC"/>
    <w:rsid w:val="48B337D7"/>
    <w:rsid w:val="48B37F53"/>
    <w:rsid w:val="48B62618"/>
    <w:rsid w:val="48B65F7D"/>
    <w:rsid w:val="48B721DD"/>
    <w:rsid w:val="48B94FF3"/>
    <w:rsid w:val="48BA3162"/>
    <w:rsid w:val="48C05429"/>
    <w:rsid w:val="48C66F74"/>
    <w:rsid w:val="48C76BF4"/>
    <w:rsid w:val="48C920F7"/>
    <w:rsid w:val="48CA2379"/>
    <w:rsid w:val="48CA33FC"/>
    <w:rsid w:val="48CC6426"/>
    <w:rsid w:val="48D1115E"/>
    <w:rsid w:val="48D45977"/>
    <w:rsid w:val="48DB3696"/>
    <w:rsid w:val="48E01D1C"/>
    <w:rsid w:val="48E36524"/>
    <w:rsid w:val="48E37AAB"/>
    <w:rsid w:val="48E81328"/>
    <w:rsid w:val="48E94BAA"/>
    <w:rsid w:val="48EB00AD"/>
    <w:rsid w:val="48EE1032"/>
    <w:rsid w:val="48EE48B5"/>
    <w:rsid w:val="48EF04F5"/>
    <w:rsid w:val="48F11FB7"/>
    <w:rsid w:val="48F1583A"/>
    <w:rsid w:val="48F30D3D"/>
    <w:rsid w:val="48FD4B4C"/>
    <w:rsid w:val="48FE28A6"/>
    <w:rsid w:val="4908545F"/>
    <w:rsid w:val="49092EE1"/>
    <w:rsid w:val="490A68E0"/>
    <w:rsid w:val="491055FE"/>
    <w:rsid w:val="491102ED"/>
    <w:rsid w:val="49146CF3"/>
    <w:rsid w:val="49175A7A"/>
    <w:rsid w:val="491834FB"/>
    <w:rsid w:val="491856F9"/>
    <w:rsid w:val="49190F7D"/>
    <w:rsid w:val="49197392"/>
    <w:rsid w:val="491B667E"/>
    <w:rsid w:val="491D5404"/>
    <w:rsid w:val="491E2E86"/>
    <w:rsid w:val="491F0908"/>
    <w:rsid w:val="49213E0B"/>
    <w:rsid w:val="4922188C"/>
    <w:rsid w:val="49252811"/>
    <w:rsid w:val="49272491"/>
    <w:rsid w:val="49275D14"/>
    <w:rsid w:val="492B6918"/>
    <w:rsid w:val="49300BA2"/>
    <w:rsid w:val="49316623"/>
    <w:rsid w:val="49364CAA"/>
    <w:rsid w:val="49383A30"/>
    <w:rsid w:val="493A36B0"/>
    <w:rsid w:val="493F7B37"/>
    <w:rsid w:val="494055B9"/>
    <w:rsid w:val="49420ABC"/>
    <w:rsid w:val="4942433F"/>
    <w:rsid w:val="4942653E"/>
    <w:rsid w:val="4944043F"/>
    <w:rsid w:val="49441F49"/>
    <w:rsid w:val="494552C4"/>
    <w:rsid w:val="49464F44"/>
    <w:rsid w:val="494707C7"/>
    <w:rsid w:val="494A174C"/>
    <w:rsid w:val="494C26D0"/>
    <w:rsid w:val="494F50D4"/>
    <w:rsid w:val="495132D5"/>
    <w:rsid w:val="49551CDB"/>
    <w:rsid w:val="49563C70"/>
    <w:rsid w:val="49570A61"/>
    <w:rsid w:val="49582C60"/>
    <w:rsid w:val="495906E1"/>
    <w:rsid w:val="495F006C"/>
    <w:rsid w:val="495F5B3E"/>
    <w:rsid w:val="496038EF"/>
    <w:rsid w:val="49611371"/>
    <w:rsid w:val="49626DF3"/>
    <w:rsid w:val="49636A72"/>
    <w:rsid w:val="49670CFC"/>
    <w:rsid w:val="4968677D"/>
    <w:rsid w:val="496F77D7"/>
    <w:rsid w:val="497654FD"/>
    <w:rsid w:val="49773515"/>
    <w:rsid w:val="497951A0"/>
    <w:rsid w:val="497A1F1B"/>
    <w:rsid w:val="498737AF"/>
    <w:rsid w:val="49877032"/>
    <w:rsid w:val="49892535"/>
    <w:rsid w:val="498B21B5"/>
    <w:rsid w:val="498B5A38"/>
    <w:rsid w:val="498C7C37"/>
    <w:rsid w:val="498F443F"/>
    <w:rsid w:val="49921B40"/>
    <w:rsid w:val="49930740"/>
    <w:rsid w:val="499B228E"/>
    <w:rsid w:val="499B5CD3"/>
    <w:rsid w:val="499C7ED1"/>
    <w:rsid w:val="49A55F90"/>
    <w:rsid w:val="49A607E1"/>
    <w:rsid w:val="49A76262"/>
    <w:rsid w:val="49A83CE4"/>
    <w:rsid w:val="49AB04EC"/>
    <w:rsid w:val="49AF10F0"/>
    <w:rsid w:val="49B145F3"/>
    <w:rsid w:val="49B64211"/>
    <w:rsid w:val="49B71D80"/>
    <w:rsid w:val="49BC2984"/>
    <w:rsid w:val="49BC6207"/>
    <w:rsid w:val="49BD3C89"/>
    <w:rsid w:val="49BE5E87"/>
    <w:rsid w:val="49BF3909"/>
    <w:rsid w:val="49C76797"/>
    <w:rsid w:val="49CB27F0"/>
    <w:rsid w:val="49CD3F23"/>
    <w:rsid w:val="49D35E2D"/>
    <w:rsid w:val="49DE41BE"/>
    <w:rsid w:val="49E12059"/>
    <w:rsid w:val="49E22BC4"/>
    <w:rsid w:val="49E56AF9"/>
    <w:rsid w:val="49E64E4D"/>
    <w:rsid w:val="49E80350"/>
    <w:rsid w:val="49E95DD2"/>
    <w:rsid w:val="49EF1EDA"/>
    <w:rsid w:val="49EF575D"/>
    <w:rsid w:val="49F149BE"/>
    <w:rsid w:val="49F6167F"/>
    <w:rsid w:val="49F61864"/>
    <w:rsid w:val="49F72751"/>
    <w:rsid w:val="49FB5CEC"/>
    <w:rsid w:val="49FD6C71"/>
    <w:rsid w:val="4A0343FD"/>
    <w:rsid w:val="4A0465FC"/>
    <w:rsid w:val="4A064FA0"/>
    <w:rsid w:val="4A07607B"/>
    <w:rsid w:val="4A0B180A"/>
    <w:rsid w:val="4A0E2E49"/>
    <w:rsid w:val="4A154318"/>
    <w:rsid w:val="4A16615C"/>
    <w:rsid w:val="4A167B9B"/>
    <w:rsid w:val="4A192D1E"/>
    <w:rsid w:val="4A1A079F"/>
    <w:rsid w:val="4A1A65A1"/>
    <w:rsid w:val="4A1C7526"/>
    <w:rsid w:val="4A1E2A29"/>
    <w:rsid w:val="4A1E71A6"/>
    <w:rsid w:val="4A205F2C"/>
    <w:rsid w:val="4A21012A"/>
    <w:rsid w:val="4A2139AD"/>
    <w:rsid w:val="4A22142F"/>
    <w:rsid w:val="4A225BAC"/>
    <w:rsid w:val="4A23362D"/>
    <w:rsid w:val="4A2410AF"/>
    <w:rsid w:val="4A2523B4"/>
    <w:rsid w:val="4A272033"/>
    <w:rsid w:val="4A295537"/>
    <w:rsid w:val="4A2C3F3D"/>
    <w:rsid w:val="4A2D19BE"/>
    <w:rsid w:val="4A2E7440"/>
    <w:rsid w:val="4A34714B"/>
    <w:rsid w:val="4A352FA8"/>
    <w:rsid w:val="4A4424D7"/>
    <w:rsid w:val="4A4473E5"/>
    <w:rsid w:val="4A474A71"/>
    <w:rsid w:val="4A4A12EF"/>
    <w:rsid w:val="4A4D5AF6"/>
    <w:rsid w:val="4A4E3578"/>
    <w:rsid w:val="4A500C79"/>
    <w:rsid w:val="4A503956"/>
    <w:rsid w:val="4A545481"/>
    <w:rsid w:val="4A550984"/>
    <w:rsid w:val="4A566406"/>
    <w:rsid w:val="4A586086"/>
    <w:rsid w:val="4A5A1589"/>
    <w:rsid w:val="4A604B4B"/>
    <w:rsid w:val="4A64791A"/>
    <w:rsid w:val="4A6766A0"/>
    <w:rsid w:val="4A6A7625"/>
    <w:rsid w:val="4A6E3AAD"/>
    <w:rsid w:val="4A702F34"/>
    <w:rsid w:val="4A70372C"/>
    <w:rsid w:val="4A737F34"/>
    <w:rsid w:val="4A7730B7"/>
    <w:rsid w:val="4A791E3E"/>
    <w:rsid w:val="4A7B1ABE"/>
    <w:rsid w:val="4A7C753F"/>
    <w:rsid w:val="4A7E62C5"/>
    <w:rsid w:val="4A8401CF"/>
    <w:rsid w:val="4A876BD5"/>
    <w:rsid w:val="4A884657"/>
    <w:rsid w:val="4A8A42D6"/>
    <w:rsid w:val="4A8A7B5A"/>
    <w:rsid w:val="4A8D6D9D"/>
    <w:rsid w:val="4A9174E4"/>
    <w:rsid w:val="4A9500E9"/>
    <w:rsid w:val="4A9713EE"/>
    <w:rsid w:val="4A986E6F"/>
    <w:rsid w:val="4A9948F1"/>
    <w:rsid w:val="4A9A27AA"/>
    <w:rsid w:val="4A9C5875"/>
    <w:rsid w:val="4A9F427C"/>
    <w:rsid w:val="4AA258AB"/>
    <w:rsid w:val="4AB12CDE"/>
    <w:rsid w:val="4AB5099E"/>
    <w:rsid w:val="4AB54221"/>
    <w:rsid w:val="4AB82D0F"/>
    <w:rsid w:val="4ABA28A7"/>
    <w:rsid w:val="4ABC5DAA"/>
    <w:rsid w:val="4ABF6D2F"/>
    <w:rsid w:val="4AC047B0"/>
    <w:rsid w:val="4AC332A9"/>
    <w:rsid w:val="4AC35735"/>
    <w:rsid w:val="4AC7413B"/>
    <w:rsid w:val="4AC81BBD"/>
    <w:rsid w:val="4ACA0943"/>
    <w:rsid w:val="4AD56CD4"/>
    <w:rsid w:val="4AD621D7"/>
    <w:rsid w:val="4AD66954"/>
    <w:rsid w:val="4AE22767"/>
    <w:rsid w:val="4AE25FEA"/>
    <w:rsid w:val="4AE61FD9"/>
    <w:rsid w:val="4AE649F0"/>
    <w:rsid w:val="4AE74670"/>
    <w:rsid w:val="4AE87EF3"/>
    <w:rsid w:val="4AEA33F6"/>
    <w:rsid w:val="4AEB7664"/>
    <w:rsid w:val="4AED1DFC"/>
    <w:rsid w:val="4AED6579"/>
    <w:rsid w:val="4AF10803"/>
    <w:rsid w:val="4AF45F04"/>
    <w:rsid w:val="4AF64C8A"/>
    <w:rsid w:val="4AF95C0F"/>
    <w:rsid w:val="4AFD7C19"/>
    <w:rsid w:val="4B0567D1"/>
    <w:rsid w:val="4B095EA9"/>
    <w:rsid w:val="4B0A392B"/>
    <w:rsid w:val="4B0F7DB3"/>
    <w:rsid w:val="4B14423A"/>
    <w:rsid w:val="4B193F45"/>
    <w:rsid w:val="4B1C1647"/>
    <w:rsid w:val="4B1C4ECA"/>
    <w:rsid w:val="4B1D3F9D"/>
    <w:rsid w:val="4B1E4B4A"/>
    <w:rsid w:val="4B1F004D"/>
    <w:rsid w:val="4B220FD2"/>
    <w:rsid w:val="4B236AAE"/>
    <w:rsid w:val="4B257D58"/>
    <w:rsid w:val="4B26325B"/>
    <w:rsid w:val="4B282EDB"/>
    <w:rsid w:val="4B28675E"/>
    <w:rsid w:val="4B3115EC"/>
    <w:rsid w:val="4B32706E"/>
    <w:rsid w:val="4B3756F4"/>
    <w:rsid w:val="4B375BFB"/>
    <w:rsid w:val="4B397174"/>
    <w:rsid w:val="4B3A447A"/>
    <w:rsid w:val="4B3D2E5B"/>
    <w:rsid w:val="4B423A85"/>
    <w:rsid w:val="4B45028D"/>
    <w:rsid w:val="4B48598E"/>
    <w:rsid w:val="4B493410"/>
    <w:rsid w:val="4B496C93"/>
    <w:rsid w:val="4B4D1E16"/>
    <w:rsid w:val="4B4E311B"/>
    <w:rsid w:val="4B545024"/>
    <w:rsid w:val="4B5936AA"/>
    <w:rsid w:val="4B5F55B3"/>
    <w:rsid w:val="4B626538"/>
    <w:rsid w:val="4B67397E"/>
    <w:rsid w:val="4B676243"/>
    <w:rsid w:val="4B683CC5"/>
    <w:rsid w:val="4B691746"/>
    <w:rsid w:val="4B707271"/>
    <w:rsid w:val="4B760A5C"/>
    <w:rsid w:val="4B7A7462"/>
    <w:rsid w:val="4B7C2965"/>
    <w:rsid w:val="4B7C61E8"/>
    <w:rsid w:val="4B7F38EA"/>
    <w:rsid w:val="4B80136B"/>
    <w:rsid w:val="4B835B73"/>
    <w:rsid w:val="4B866AF8"/>
    <w:rsid w:val="4B870CF6"/>
    <w:rsid w:val="4B8B517E"/>
    <w:rsid w:val="4B8E6103"/>
    <w:rsid w:val="4B94388F"/>
    <w:rsid w:val="4B951311"/>
    <w:rsid w:val="4B970F90"/>
    <w:rsid w:val="4B9739F7"/>
    <w:rsid w:val="4B982295"/>
    <w:rsid w:val="4B9D671D"/>
    <w:rsid w:val="4BA070CA"/>
    <w:rsid w:val="4BA17322"/>
    <w:rsid w:val="4BA30626"/>
    <w:rsid w:val="4BA979DA"/>
    <w:rsid w:val="4BAC0F36"/>
    <w:rsid w:val="4BAF1EBA"/>
    <w:rsid w:val="4BAF6637"/>
    <w:rsid w:val="4BB0793C"/>
    <w:rsid w:val="4BB22E3F"/>
    <w:rsid w:val="4BB275BC"/>
    <w:rsid w:val="4BB42ABF"/>
    <w:rsid w:val="4BB86F47"/>
    <w:rsid w:val="4BB949C8"/>
    <w:rsid w:val="4BBA024C"/>
    <w:rsid w:val="4BBD05CA"/>
    <w:rsid w:val="4BBD33CE"/>
    <w:rsid w:val="4BC352D8"/>
    <w:rsid w:val="4BC6625C"/>
    <w:rsid w:val="4BC8004E"/>
    <w:rsid w:val="4BCA64F9"/>
    <w:rsid w:val="4BD40E87"/>
    <w:rsid w:val="4BD71D7A"/>
    <w:rsid w:val="4BD8219F"/>
    <w:rsid w:val="4BE1398E"/>
    <w:rsid w:val="4BE3360E"/>
    <w:rsid w:val="4BE965B6"/>
    <w:rsid w:val="4BEC1D1F"/>
    <w:rsid w:val="4BEE2503"/>
    <w:rsid w:val="4BEE5222"/>
    <w:rsid w:val="4BEF4EA2"/>
    <w:rsid w:val="4BEF7421"/>
    <w:rsid w:val="4BF00726"/>
    <w:rsid w:val="4BF057AE"/>
    <w:rsid w:val="4BF25E27"/>
    <w:rsid w:val="4BFF76BB"/>
    <w:rsid w:val="4C031945"/>
    <w:rsid w:val="4C054E48"/>
    <w:rsid w:val="4C0875E3"/>
    <w:rsid w:val="4C095A4C"/>
    <w:rsid w:val="4C0B3E13"/>
    <w:rsid w:val="4C0D2254"/>
    <w:rsid w:val="4C147660"/>
    <w:rsid w:val="4C162B64"/>
    <w:rsid w:val="4C1B3768"/>
    <w:rsid w:val="4C210EF5"/>
    <w:rsid w:val="4C245A30"/>
    <w:rsid w:val="4C274FFC"/>
    <w:rsid w:val="4C275FD0"/>
    <w:rsid w:val="4C2973D6"/>
    <w:rsid w:val="4C301839"/>
    <w:rsid w:val="4C3643E5"/>
    <w:rsid w:val="4C373098"/>
    <w:rsid w:val="4C3B1A9E"/>
    <w:rsid w:val="4C3C7520"/>
    <w:rsid w:val="4C3F04A5"/>
    <w:rsid w:val="4C4039A8"/>
    <w:rsid w:val="4C411429"/>
    <w:rsid w:val="4C46543A"/>
    <w:rsid w:val="4C4920B9"/>
    <w:rsid w:val="4C496836"/>
    <w:rsid w:val="4C4B55BC"/>
    <w:rsid w:val="4C4F3FC2"/>
    <w:rsid w:val="4C5061C1"/>
    <w:rsid w:val="4C513C42"/>
    <w:rsid w:val="4C514CFA"/>
    <w:rsid w:val="4C515898"/>
    <w:rsid w:val="4C5948D2"/>
    <w:rsid w:val="4C5F726F"/>
    <w:rsid w:val="4C611387"/>
    <w:rsid w:val="4C617760"/>
    <w:rsid w:val="4C62195E"/>
    <w:rsid w:val="4C6528E3"/>
    <w:rsid w:val="4C683867"/>
    <w:rsid w:val="4C6870EB"/>
    <w:rsid w:val="4C694B6C"/>
    <w:rsid w:val="4C6A6D6A"/>
    <w:rsid w:val="4C6C2776"/>
    <w:rsid w:val="4C6F6A75"/>
    <w:rsid w:val="4C711F79"/>
    <w:rsid w:val="4C714177"/>
    <w:rsid w:val="4C766400"/>
    <w:rsid w:val="4C7D380D"/>
    <w:rsid w:val="4C7D7F89"/>
    <w:rsid w:val="4C7E5A0B"/>
    <w:rsid w:val="4C835716"/>
    <w:rsid w:val="4C847914"/>
    <w:rsid w:val="4C850C19"/>
    <w:rsid w:val="4C855396"/>
    <w:rsid w:val="4C86669B"/>
    <w:rsid w:val="4C87411C"/>
    <w:rsid w:val="4C88631A"/>
    <w:rsid w:val="4C9124AD"/>
    <w:rsid w:val="4C992410"/>
    <w:rsid w:val="4C9978BA"/>
    <w:rsid w:val="4C9B2DBD"/>
    <w:rsid w:val="4CA07244"/>
    <w:rsid w:val="4CA17BB8"/>
    <w:rsid w:val="4CA301C9"/>
    <w:rsid w:val="4CA33C4B"/>
    <w:rsid w:val="4CA85525"/>
    <w:rsid w:val="4CAB3057"/>
    <w:rsid w:val="4CAB763C"/>
    <w:rsid w:val="4CAD655A"/>
    <w:rsid w:val="4CAF1A5D"/>
    <w:rsid w:val="4CB12D62"/>
    <w:rsid w:val="4CB26265"/>
    <w:rsid w:val="4CB34C20"/>
    <w:rsid w:val="4CB35983"/>
    <w:rsid w:val="4CB6685F"/>
    <w:rsid w:val="4CB76E6A"/>
    <w:rsid w:val="4CB8016E"/>
    <w:rsid w:val="4CBA7DEE"/>
    <w:rsid w:val="4CC17779"/>
    <w:rsid w:val="4CC20A7E"/>
    <w:rsid w:val="4CC364FF"/>
    <w:rsid w:val="4CC367FE"/>
    <w:rsid w:val="4CC52EF6"/>
    <w:rsid w:val="4CCA0089"/>
    <w:rsid w:val="4CCD4891"/>
    <w:rsid w:val="4CD63E9B"/>
    <w:rsid w:val="4CD6771E"/>
    <w:rsid w:val="4CD928A1"/>
    <w:rsid w:val="4CDB3BA6"/>
    <w:rsid w:val="4CDD70A9"/>
    <w:rsid w:val="4CDE6D29"/>
    <w:rsid w:val="4CDF47AB"/>
    <w:rsid w:val="4CE20FB3"/>
    <w:rsid w:val="4CE2572F"/>
    <w:rsid w:val="4CE331B1"/>
    <w:rsid w:val="4CE64136"/>
    <w:rsid w:val="4CEA63BF"/>
    <w:rsid w:val="4CEE4DC5"/>
    <w:rsid w:val="4CF002C8"/>
    <w:rsid w:val="4CF40ECD"/>
    <w:rsid w:val="4CF621D2"/>
    <w:rsid w:val="4CF77C53"/>
    <w:rsid w:val="4CF878D3"/>
    <w:rsid w:val="4CF93156"/>
    <w:rsid w:val="4CFA0BD8"/>
    <w:rsid w:val="4CFB69E7"/>
    <w:rsid w:val="4CFF2AE1"/>
    <w:rsid w:val="4D06246C"/>
    <w:rsid w:val="4D077F3C"/>
    <w:rsid w:val="4D0D1DF7"/>
    <w:rsid w:val="4D102D7B"/>
    <w:rsid w:val="4D123355"/>
    <w:rsid w:val="4D131782"/>
    <w:rsid w:val="4D162706"/>
    <w:rsid w:val="4D170188"/>
    <w:rsid w:val="4D183A0B"/>
    <w:rsid w:val="4D19148D"/>
    <w:rsid w:val="4D1A4990"/>
    <w:rsid w:val="4D1E7B13"/>
    <w:rsid w:val="4D1F0E18"/>
    <w:rsid w:val="4D226519"/>
    <w:rsid w:val="4D272911"/>
    <w:rsid w:val="4D2A13A7"/>
    <w:rsid w:val="4D2A3B31"/>
    <w:rsid w:val="4D2A74F6"/>
    <w:rsid w:val="4D3032B0"/>
    <w:rsid w:val="4D312C52"/>
    <w:rsid w:val="4D334235"/>
    <w:rsid w:val="4D365A25"/>
    <w:rsid w:val="4D372C3B"/>
    <w:rsid w:val="4D3A3BC0"/>
    <w:rsid w:val="4D3E25C6"/>
    <w:rsid w:val="4D3E5E49"/>
    <w:rsid w:val="4D4344CF"/>
    <w:rsid w:val="4D4579D2"/>
    <w:rsid w:val="4D461514"/>
    <w:rsid w:val="4D465454"/>
    <w:rsid w:val="4D480957"/>
    <w:rsid w:val="4D4963D8"/>
    <w:rsid w:val="4D4F0070"/>
    <w:rsid w:val="4D5137E5"/>
    <w:rsid w:val="4D53256B"/>
    <w:rsid w:val="4D536CE8"/>
    <w:rsid w:val="4D5D2E7B"/>
    <w:rsid w:val="4D5F057C"/>
    <w:rsid w:val="4D603DFF"/>
    <w:rsid w:val="4D6C5694"/>
    <w:rsid w:val="4D6F6618"/>
    <w:rsid w:val="4D711B1B"/>
    <w:rsid w:val="4D72759D"/>
    <w:rsid w:val="4D73501E"/>
    <w:rsid w:val="4D7473AF"/>
    <w:rsid w:val="4D765FA3"/>
    <w:rsid w:val="4D7814A6"/>
    <w:rsid w:val="4D796F0D"/>
    <w:rsid w:val="4D796F28"/>
    <w:rsid w:val="4D7A49A9"/>
    <w:rsid w:val="4D7B7EAC"/>
    <w:rsid w:val="4D7E6C33"/>
    <w:rsid w:val="4D825639"/>
    <w:rsid w:val="4D881740"/>
    <w:rsid w:val="4D8971C2"/>
    <w:rsid w:val="4D8D144B"/>
    <w:rsid w:val="4D8D5BC8"/>
    <w:rsid w:val="4D905305"/>
    <w:rsid w:val="4D933355"/>
    <w:rsid w:val="4D964A72"/>
    <w:rsid w:val="4D981A6B"/>
    <w:rsid w:val="4D99525E"/>
    <w:rsid w:val="4D9C1254"/>
    <w:rsid w:val="4D9C3C64"/>
    <w:rsid w:val="4DA457ED"/>
    <w:rsid w:val="4DA57322"/>
    <w:rsid w:val="4DAC647D"/>
    <w:rsid w:val="4DB45A88"/>
    <w:rsid w:val="4DB51825"/>
    <w:rsid w:val="4DB639B0"/>
    <w:rsid w:val="4DB6480E"/>
    <w:rsid w:val="4DB8448E"/>
    <w:rsid w:val="4DB91F0F"/>
    <w:rsid w:val="4DBA3214"/>
    <w:rsid w:val="4DBD0916"/>
    <w:rsid w:val="4DBE6397"/>
    <w:rsid w:val="4DC0189A"/>
    <w:rsid w:val="4DC360A2"/>
    <w:rsid w:val="4DC8252A"/>
    <w:rsid w:val="4DCA5A2D"/>
    <w:rsid w:val="4DCC38D8"/>
    <w:rsid w:val="4DCE1EB5"/>
    <w:rsid w:val="4DD3633D"/>
    <w:rsid w:val="4DD51840"/>
    <w:rsid w:val="4DDF214F"/>
    <w:rsid w:val="4DE15652"/>
    <w:rsid w:val="4DE26957"/>
    <w:rsid w:val="4DE465D7"/>
    <w:rsid w:val="4DE518CD"/>
    <w:rsid w:val="4DE74FDD"/>
    <w:rsid w:val="4DE962E2"/>
    <w:rsid w:val="4DEA3D63"/>
    <w:rsid w:val="4DEC4CE8"/>
    <w:rsid w:val="4DEE4968"/>
    <w:rsid w:val="4DEE5A96"/>
    <w:rsid w:val="4DEF5C6D"/>
    <w:rsid w:val="4DF34673"/>
    <w:rsid w:val="4DF542F3"/>
    <w:rsid w:val="4DF57B76"/>
    <w:rsid w:val="4DF61D74"/>
    <w:rsid w:val="4DF655F8"/>
    <w:rsid w:val="4DFB1A7F"/>
    <w:rsid w:val="4E036E8C"/>
    <w:rsid w:val="4E085512"/>
    <w:rsid w:val="4E0D199A"/>
    <w:rsid w:val="4E0D521D"/>
    <w:rsid w:val="4E140C20"/>
    <w:rsid w:val="4E152629"/>
    <w:rsid w:val="4E177D2B"/>
    <w:rsid w:val="4E1C41B2"/>
    <w:rsid w:val="4E1E2F39"/>
    <w:rsid w:val="4E1F107E"/>
    <w:rsid w:val="4E201C1D"/>
    <w:rsid w:val="4E21063A"/>
    <w:rsid w:val="4E213EBD"/>
    <w:rsid w:val="4E22193F"/>
    <w:rsid w:val="4E233B3D"/>
    <w:rsid w:val="4E2373C0"/>
    <w:rsid w:val="4E257040"/>
    <w:rsid w:val="4E272543"/>
    <w:rsid w:val="4E2B0F4A"/>
    <w:rsid w:val="4E2B47CD"/>
    <w:rsid w:val="4E2C444D"/>
    <w:rsid w:val="4E2C69CB"/>
    <w:rsid w:val="4E326AC0"/>
    <w:rsid w:val="4E3605DF"/>
    <w:rsid w:val="4E391564"/>
    <w:rsid w:val="4E3A6FE6"/>
    <w:rsid w:val="4E3F065B"/>
    <w:rsid w:val="4E401035"/>
    <w:rsid w:val="4E431E74"/>
    <w:rsid w:val="4E497600"/>
    <w:rsid w:val="4E4C4D02"/>
    <w:rsid w:val="4E550E94"/>
    <w:rsid w:val="4E555611"/>
    <w:rsid w:val="4E586596"/>
    <w:rsid w:val="4E594017"/>
    <w:rsid w:val="4E5F17A4"/>
    <w:rsid w:val="4E5F5F21"/>
    <w:rsid w:val="4E622728"/>
    <w:rsid w:val="4E626CBB"/>
    <w:rsid w:val="4E632333"/>
    <w:rsid w:val="4E634927"/>
    <w:rsid w:val="4E6558AB"/>
    <w:rsid w:val="4E66332D"/>
    <w:rsid w:val="4E6C3038"/>
    <w:rsid w:val="4E6D2CB8"/>
    <w:rsid w:val="4E7074C0"/>
    <w:rsid w:val="4E7116BE"/>
    <w:rsid w:val="4E734BC1"/>
    <w:rsid w:val="4E760ECF"/>
    <w:rsid w:val="4E7848CC"/>
    <w:rsid w:val="4E793892"/>
    <w:rsid w:val="4E800872"/>
    <w:rsid w:val="4E8273DA"/>
    <w:rsid w:val="4E8428DD"/>
    <w:rsid w:val="4E865DE0"/>
    <w:rsid w:val="4E873862"/>
    <w:rsid w:val="4E8A47E6"/>
    <w:rsid w:val="4E8F0C6E"/>
    <w:rsid w:val="4E903BD2"/>
    <w:rsid w:val="4E914171"/>
    <w:rsid w:val="4E932EF7"/>
    <w:rsid w:val="4E994E01"/>
    <w:rsid w:val="4E9F478C"/>
    <w:rsid w:val="4EA71B98"/>
    <w:rsid w:val="4EB124A8"/>
    <w:rsid w:val="4EB46CAF"/>
    <w:rsid w:val="4EB54731"/>
    <w:rsid w:val="4EBA2DB7"/>
    <w:rsid w:val="4EBE5040"/>
    <w:rsid w:val="4EBF2AC2"/>
    <w:rsid w:val="4EC23A47"/>
    <w:rsid w:val="4EC569ED"/>
    <w:rsid w:val="4EC6244D"/>
    <w:rsid w:val="4ED33CE1"/>
    <w:rsid w:val="4ED41763"/>
    <w:rsid w:val="4ED50EA1"/>
    <w:rsid w:val="4ED513E2"/>
    <w:rsid w:val="4ED605A5"/>
    <w:rsid w:val="4ED626E7"/>
    <w:rsid w:val="4ED9366C"/>
    <w:rsid w:val="4ED97DE9"/>
    <w:rsid w:val="4EE10A78"/>
    <w:rsid w:val="4EE5747E"/>
    <w:rsid w:val="4EE670FE"/>
    <w:rsid w:val="4EE80403"/>
    <w:rsid w:val="4EE82601"/>
    <w:rsid w:val="4EEB1388"/>
    <w:rsid w:val="4EEC050C"/>
    <w:rsid w:val="4EEC58C8"/>
    <w:rsid w:val="4EED6A89"/>
    <w:rsid w:val="4EF6519A"/>
    <w:rsid w:val="4EF85840"/>
    <w:rsid w:val="4EF9611F"/>
    <w:rsid w:val="4EFE25A7"/>
    <w:rsid w:val="4F03267E"/>
    <w:rsid w:val="4F0B18BC"/>
    <w:rsid w:val="4F0B7E44"/>
    <w:rsid w:val="4F104EC3"/>
    <w:rsid w:val="4F124ACB"/>
    <w:rsid w:val="4F1521CC"/>
    <w:rsid w:val="4F1564BA"/>
    <w:rsid w:val="4F167C4E"/>
    <w:rsid w:val="4F1A1ED7"/>
    <w:rsid w:val="4F1B40D5"/>
    <w:rsid w:val="4F1F635F"/>
    <w:rsid w:val="4F243492"/>
    <w:rsid w:val="4F2449E5"/>
    <w:rsid w:val="4F26273B"/>
    <w:rsid w:val="4F267EE8"/>
    <w:rsid w:val="4F286C6E"/>
    <w:rsid w:val="4F2E52F4"/>
    <w:rsid w:val="4F2F65F9"/>
    <w:rsid w:val="4F342A81"/>
    <w:rsid w:val="4F383685"/>
    <w:rsid w:val="4F391107"/>
    <w:rsid w:val="4F3A498A"/>
    <w:rsid w:val="4F3B460A"/>
    <w:rsid w:val="4F3D7B0D"/>
    <w:rsid w:val="4F3E0E12"/>
    <w:rsid w:val="4F411D97"/>
    <w:rsid w:val="4F427818"/>
    <w:rsid w:val="4F442D1B"/>
    <w:rsid w:val="4F47354A"/>
    <w:rsid w:val="4F481721"/>
    <w:rsid w:val="4F4971A3"/>
    <w:rsid w:val="4F4A13A1"/>
    <w:rsid w:val="4F4A4C24"/>
    <w:rsid w:val="4F4B26A6"/>
    <w:rsid w:val="4F4F5829"/>
    <w:rsid w:val="4F501BDA"/>
    <w:rsid w:val="4F5161BF"/>
    <w:rsid w:val="4F52422F"/>
    <w:rsid w:val="4F5C4B3F"/>
    <w:rsid w:val="4F5D25C0"/>
    <w:rsid w:val="4F5E0042"/>
    <w:rsid w:val="4F5E38C5"/>
    <w:rsid w:val="4F6841D5"/>
    <w:rsid w:val="4F6E7478"/>
    <w:rsid w:val="4F6F15E1"/>
    <w:rsid w:val="4F700496"/>
    <w:rsid w:val="4F791EF0"/>
    <w:rsid w:val="4F7B0C77"/>
    <w:rsid w:val="4F7E4081"/>
    <w:rsid w:val="4F836083"/>
    <w:rsid w:val="4F8612AD"/>
    <w:rsid w:val="4F884709"/>
    <w:rsid w:val="4F8B568E"/>
    <w:rsid w:val="4F8C0F11"/>
    <w:rsid w:val="4F911C54"/>
    <w:rsid w:val="4F967FE5"/>
    <w:rsid w:val="4F9A5CA8"/>
    <w:rsid w:val="4F9F1B0F"/>
    <w:rsid w:val="4FA17831"/>
    <w:rsid w:val="4FA32D35"/>
    <w:rsid w:val="4FA829A2"/>
    <w:rsid w:val="4FAC0CFF"/>
    <w:rsid w:val="4FAC5BC3"/>
    <w:rsid w:val="4FB1204A"/>
    <w:rsid w:val="4FB64B8F"/>
    <w:rsid w:val="4FB73F54"/>
    <w:rsid w:val="4FBB61DD"/>
    <w:rsid w:val="4FBD38DE"/>
    <w:rsid w:val="4FBD7FB6"/>
    <w:rsid w:val="4FBE1360"/>
    <w:rsid w:val="4FBE7162"/>
    <w:rsid w:val="4FBF2665"/>
    <w:rsid w:val="4FBF2ED5"/>
    <w:rsid w:val="4FC000E6"/>
    <w:rsid w:val="4FC122E5"/>
    <w:rsid w:val="4FC357E8"/>
    <w:rsid w:val="4FC43269"/>
    <w:rsid w:val="4FC61FF0"/>
    <w:rsid w:val="4FC92F74"/>
    <w:rsid w:val="4FCD5794"/>
    <w:rsid w:val="4FD10381"/>
    <w:rsid w:val="4FD64808"/>
    <w:rsid w:val="4FD80987"/>
    <w:rsid w:val="4FDE7696"/>
    <w:rsid w:val="4FDF2E8D"/>
    <w:rsid w:val="4FE33B1E"/>
    <w:rsid w:val="4FE44E23"/>
    <w:rsid w:val="4FE528A4"/>
    <w:rsid w:val="4FE625E0"/>
    <w:rsid w:val="4FE72524"/>
    <w:rsid w:val="4FE912AB"/>
    <w:rsid w:val="4FEB5E7E"/>
    <w:rsid w:val="4FED5402"/>
    <w:rsid w:val="4FED7CB1"/>
    <w:rsid w:val="4FEF31B4"/>
    <w:rsid w:val="4FF02E34"/>
    <w:rsid w:val="4FF705C0"/>
    <w:rsid w:val="4FF95CC2"/>
    <w:rsid w:val="4FFA3743"/>
    <w:rsid w:val="4FFA6DD9"/>
    <w:rsid w:val="4FFB11C5"/>
    <w:rsid w:val="4FFE59CD"/>
    <w:rsid w:val="50044053"/>
    <w:rsid w:val="500C6EE1"/>
    <w:rsid w:val="500E68DD"/>
    <w:rsid w:val="501058E7"/>
    <w:rsid w:val="501320EF"/>
    <w:rsid w:val="501A61F6"/>
    <w:rsid w:val="501B3C78"/>
    <w:rsid w:val="501B74FB"/>
    <w:rsid w:val="501C1824"/>
    <w:rsid w:val="501F5F01"/>
    <w:rsid w:val="50200100"/>
    <w:rsid w:val="50203983"/>
    <w:rsid w:val="5021480F"/>
    <w:rsid w:val="50226E86"/>
    <w:rsid w:val="50236B06"/>
    <w:rsid w:val="50242389"/>
    <w:rsid w:val="50282F8E"/>
    <w:rsid w:val="502B7DCC"/>
    <w:rsid w:val="502F619C"/>
    <w:rsid w:val="50327120"/>
    <w:rsid w:val="50332C0A"/>
    <w:rsid w:val="50342624"/>
    <w:rsid w:val="5038102A"/>
    <w:rsid w:val="503E2F33"/>
    <w:rsid w:val="50406436"/>
    <w:rsid w:val="504925C9"/>
    <w:rsid w:val="504B1C98"/>
    <w:rsid w:val="504C7CCA"/>
    <w:rsid w:val="504D0FCF"/>
    <w:rsid w:val="504D30EB"/>
    <w:rsid w:val="504D574C"/>
    <w:rsid w:val="504E31CD"/>
    <w:rsid w:val="504E6A51"/>
    <w:rsid w:val="505179D5"/>
    <w:rsid w:val="50532ED8"/>
    <w:rsid w:val="50583ADD"/>
    <w:rsid w:val="50594DE2"/>
    <w:rsid w:val="505B24E3"/>
    <w:rsid w:val="505C7F65"/>
    <w:rsid w:val="505E3468"/>
    <w:rsid w:val="50621E6E"/>
    <w:rsid w:val="50640BF4"/>
    <w:rsid w:val="506640F7"/>
    <w:rsid w:val="50671B79"/>
    <w:rsid w:val="506B057F"/>
    <w:rsid w:val="506E1504"/>
    <w:rsid w:val="50701184"/>
    <w:rsid w:val="50781E13"/>
    <w:rsid w:val="50791A93"/>
    <w:rsid w:val="507B081A"/>
    <w:rsid w:val="507E5F1B"/>
    <w:rsid w:val="50816EA0"/>
    <w:rsid w:val="50824921"/>
    <w:rsid w:val="5084503B"/>
    <w:rsid w:val="508820AE"/>
    <w:rsid w:val="508942AC"/>
    <w:rsid w:val="50897B2F"/>
    <w:rsid w:val="508A77AF"/>
    <w:rsid w:val="50935EC0"/>
    <w:rsid w:val="50962ECB"/>
    <w:rsid w:val="50A42E38"/>
    <w:rsid w:val="50A4577F"/>
    <w:rsid w:val="50A53BDC"/>
    <w:rsid w:val="50A84B61"/>
    <w:rsid w:val="50AB1369"/>
    <w:rsid w:val="50AE44EC"/>
    <w:rsid w:val="50B079EF"/>
    <w:rsid w:val="50B500CA"/>
    <w:rsid w:val="50B73D1F"/>
    <w:rsid w:val="50BD5BC9"/>
    <w:rsid w:val="50BF0009"/>
    <w:rsid w:val="50C11EEE"/>
    <w:rsid w:val="50C431DE"/>
    <w:rsid w:val="50C75416"/>
    <w:rsid w:val="50CA639A"/>
    <w:rsid w:val="50CB189D"/>
    <w:rsid w:val="50D024A2"/>
    <w:rsid w:val="50D36CAA"/>
    <w:rsid w:val="50D37244"/>
    <w:rsid w:val="50DC3D36"/>
    <w:rsid w:val="50DE7239"/>
    <w:rsid w:val="50E0053E"/>
    <w:rsid w:val="50E36F44"/>
    <w:rsid w:val="50E52447"/>
    <w:rsid w:val="50E67EC9"/>
    <w:rsid w:val="50E87B49"/>
    <w:rsid w:val="50E955CA"/>
    <w:rsid w:val="50E97CFC"/>
    <w:rsid w:val="50ED3FD0"/>
    <w:rsid w:val="50EF74D3"/>
    <w:rsid w:val="50F007D8"/>
    <w:rsid w:val="50F25EDA"/>
    <w:rsid w:val="50F54C60"/>
    <w:rsid w:val="50FA10E8"/>
    <w:rsid w:val="50FA4028"/>
    <w:rsid w:val="50FD7AEE"/>
    <w:rsid w:val="510319F7"/>
    <w:rsid w:val="51047479"/>
    <w:rsid w:val="51054EFA"/>
    <w:rsid w:val="510D65B7"/>
    <w:rsid w:val="51110D0D"/>
    <w:rsid w:val="511157AB"/>
    <w:rsid w:val="51183F1B"/>
    <w:rsid w:val="51193B9B"/>
    <w:rsid w:val="511A741E"/>
    <w:rsid w:val="511C03A3"/>
    <w:rsid w:val="511D25A1"/>
    <w:rsid w:val="5121482B"/>
    <w:rsid w:val="51237D2E"/>
    <w:rsid w:val="512579AE"/>
    <w:rsid w:val="5126542F"/>
    <w:rsid w:val="512A76B9"/>
    <w:rsid w:val="512B7338"/>
    <w:rsid w:val="513037C0"/>
    <w:rsid w:val="51325D71"/>
    <w:rsid w:val="51334745"/>
    <w:rsid w:val="51337FC8"/>
    <w:rsid w:val="513656C9"/>
    <w:rsid w:val="51365736"/>
    <w:rsid w:val="513D08D8"/>
    <w:rsid w:val="513D5054"/>
    <w:rsid w:val="513E2AD6"/>
    <w:rsid w:val="514172DE"/>
    <w:rsid w:val="5142540C"/>
    <w:rsid w:val="51440262"/>
    <w:rsid w:val="51442461"/>
    <w:rsid w:val="51464C66"/>
    <w:rsid w:val="514711E7"/>
    <w:rsid w:val="514946EA"/>
    <w:rsid w:val="514968E8"/>
    <w:rsid w:val="514B1DEB"/>
    <w:rsid w:val="51501AF7"/>
    <w:rsid w:val="51524FFA"/>
    <w:rsid w:val="515371F8"/>
    <w:rsid w:val="5156017D"/>
    <w:rsid w:val="51583680"/>
    <w:rsid w:val="51591101"/>
    <w:rsid w:val="51632D16"/>
    <w:rsid w:val="51651AFA"/>
    <w:rsid w:val="516E10A7"/>
    <w:rsid w:val="51750A31"/>
    <w:rsid w:val="517664B3"/>
    <w:rsid w:val="517777B8"/>
    <w:rsid w:val="517A1653"/>
    <w:rsid w:val="517A4EB9"/>
    <w:rsid w:val="517B21F2"/>
    <w:rsid w:val="517B61BE"/>
    <w:rsid w:val="517D16C1"/>
    <w:rsid w:val="517E7143"/>
    <w:rsid w:val="517F6DC2"/>
    <w:rsid w:val="518357C9"/>
    <w:rsid w:val="5184324A"/>
    <w:rsid w:val="518832C8"/>
    <w:rsid w:val="518B2BD5"/>
    <w:rsid w:val="518F4E5F"/>
    <w:rsid w:val="51926858"/>
    <w:rsid w:val="51944027"/>
    <w:rsid w:val="51956D68"/>
    <w:rsid w:val="5199796C"/>
    <w:rsid w:val="519B66F3"/>
    <w:rsid w:val="519D3C50"/>
    <w:rsid w:val="519D6372"/>
    <w:rsid w:val="519F42C1"/>
    <w:rsid w:val="51A02B7A"/>
    <w:rsid w:val="51A0432A"/>
    <w:rsid w:val="51A227FA"/>
    <w:rsid w:val="51A41581"/>
    <w:rsid w:val="51A72505"/>
    <w:rsid w:val="51A86090"/>
    <w:rsid w:val="51AC698D"/>
    <w:rsid w:val="51B7396D"/>
    <w:rsid w:val="51B8499E"/>
    <w:rsid w:val="51BA7EA1"/>
    <w:rsid w:val="51BC0253"/>
    <w:rsid w:val="51BF7BAC"/>
    <w:rsid w:val="51C32D2F"/>
    <w:rsid w:val="51C44034"/>
    <w:rsid w:val="51C74FB8"/>
    <w:rsid w:val="51CA1DF6"/>
    <w:rsid w:val="51D13349"/>
    <w:rsid w:val="51D442CE"/>
    <w:rsid w:val="51D51D50"/>
    <w:rsid w:val="51DA61D7"/>
    <w:rsid w:val="51DC16DA"/>
    <w:rsid w:val="51DD715C"/>
    <w:rsid w:val="51DE0461"/>
    <w:rsid w:val="51E113E5"/>
    <w:rsid w:val="51E46AE7"/>
    <w:rsid w:val="51E67A6C"/>
    <w:rsid w:val="51E80D70"/>
    <w:rsid w:val="51EB1CF5"/>
    <w:rsid w:val="51EC4140"/>
    <w:rsid w:val="51ED73F6"/>
    <w:rsid w:val="51F01B72"/>
    <w:rsid w:val="51F50086"/>
    <w:rsid w:val="51FC0D1B"/>
    <w:rsid w:val="51FC7A11"/>
    <w:rsid w:val="51FF0996"/>
    <w:rsid w:val="5203739C"/>
    <w:rsid w:val="52054A9D"/>
    <w:rsid w:val="52057A3C"/>
    <w:rsid w:val="520934A3"/>
    <w:rsid w:val="520E31AE"/>
    <w:rsid w:val="52126331"/>
    <w:rsid w:val="52133DB3"/>
    <w:rsid w:val="5217023B"/>
    <w:rsid w:val="521C24C4"/>
    <w:rsid w:val="521C7F46"/>
    <w:rsid w:val="521E7BC5"/>
    <w:rsid w:val="5220694C"/>
    <w:rsid w:val="522679F4"/>
    <w:rsid w:val="522966EA"/>
    <w:rsid w:val="522E4CC3"/>
    <w:rsid w:val="523259F7"/>
    <w:rsid w:val="523A74F6"/>
    <w:rsid w:val="523F2203"/>
    <w:rsid w:val="523F23C8"/>
    <w:rsid w:val="52416E80"/>
    <w:rsid w:val="5244713B"/>
    <w:rsid w:val="52466B8B"/>
    <w:rsid w:val="52470D8A"/>
    <w:rsid w:val="52497B10"/>
    <w:rsid w:val="524A1D0E"/>
    <w:rsid w:val="525072FA"/>
    <w:rsid w:val="525513A4"/>
    <w:rsid w:val="52571024"/>
    <w:rsid w:val="52586AA6"/>
    <w:rsid w:val="525C4ADF"/>
    <w:rsid w:val="525C54AC"/>
    <w:rsid w:val="525E0C42"/>
    <w:rsid w:val="52615633"/>
    <w:rsid w:val="526428B8"/>
    <w:rsid w:val="5265033A"/>
    <w:rsid w:val="526A0045"/>
    <w:rsid w:val="526A015C"/>
    <w:rsid w:val="526C3548"/>
    <w:rsid w:val="526D31C8"/>
    <w:rsid w:val="526F4DE4"/>
    <w:rsid w:val="52730954"/>
    <w:rsid w:val="527C7F5F"/>
    <w:rsid w:val="527E0EE4"/>
    <w:rsid w:val="52811E68"/>
    <w:rsid w:val="528256EC"/>
    <w:rsid w:val="5283536B"/>
    <w:rsid w:val="52842DED"/>
    <w:rsid w:val="528817F3"/>
    <w:rsid w:val="52917F04"/>
    <w:rsid w:val="52977FD4"/>
    <w:rsid w:val="5298788F"/>
    <w:rsid w:val="529E721A"/>
    <w:rsid w:val="52A0271D"/>
    <w:rsid w:val="52A25790"/>
    <w:rsid w:val="52A336A2"/>
    <w:rsid w:val="52A51D14"/>
    <w:rsid w:val="52A955AB"/>
    <w:rsid w:val="52A96B6F"/>
    <w:rsid w:val="52AA68B0"/>
    <w:rsid w:val="52AD7835"/>
    <w:rsid w:val="52AE52B6"/>
    <w:rsid w:val="52B007B9"/>
    <w:rsid w:val="52B20439"/>
    <w:rsid w:val="52B3173E"/>
    <w:rsid w:val="52B45975"/>
    <w:rsid w:val="52B93647"/>
    <w:rsid w:val="52BA32C7"/>
    <w:rsid w:val="52BB0D49"/>
    <w:rsid w:val="52BB6B4A"/>
    <w:rsid w:val="52BE1CCD"/>
    <w:rsid w:val="52C319D8"/>
    <w:rsid w:val="52C54EDB"/>
    <w:rsid w:val="52C8217C"/>
    <w:rsid w:val="52D12EEC"/>
    <w:rsid w:val="52D2676F"/>
    <w:rsid w:val="52D341F1"/>
    <w:rsid w:val="52D74DF5"/>
    <w:rsid w:val="52D902F9"/>
    <w:rsid w:val="52D94AA4"/>
    <w:rsid w:val="52DA3287"/>
    <w:rsid w:val="52DB707F"/>
    <w:rsid w:val="52DE0004"/>
    <w:rsid w:val="52E10F88"/>
    <w:rsid w:val="52E23187"/>
    <w:rsid w:val="52E30F0D"/>
    <w:rsid w:val="52E65410"/>
    <w:rsid w:val="52E75090"/>
    <w:rsid w:val="52E90593"/>
    <w:rsid w:val="52E96395"/>
    <w:rsid w:val="52EA3A62"/>
    <w:rsid w:val="52EC7319"/>
    <w:rsid w:val="52ED4D9B"/>
    <w:rsid w:val="52ED5549"/>
    <w:rsid w:val="52EF5D1F"/>
    <w:rsid w:val="52F07F1E"/>
    <w:rsid w:val="52F34726"/>
    <w:rsid w:val="52F50BB8"/>
    <w:rsid w:val="52F656AA"/>
    <w:rsid w:val="53005FBA"/>
    <w:rsid w:val="53013A3B"/>
    <w:rsid w:val="53097272"/>
    <w:rsid w:val="530A7B81"/>
    <w:rsid w:val="53113CD6"/>
    <w:rsid w:val="531371D9"/>
    <w:rsid w:val="531404DE"/>
    <w:rsid w:val="53186EE4"/>
    <w:rsid w:val="531A23E7"/>
    <w:rsid w:val="531C58EA"/>
    <w:rsid w:val="531E0DED"/>
    <w:rsid w:val="531F0A6D"/>
    <w:rsid w:val="53235275"/>
    <w:rsid w:val="53275E79"/>
    <w:rsid w:val="5329137C"/>
    <w:rsid w:val="532B67A0"/>
    <w:rsid w:val="5331200C"/>
    <w:rsid w:val="53313D67"/>
    <w:rsid w:val="53331C8C"/>
    <w:rsid w:val="53362C11"/>
    <w:rsid w:val="53381997"/>
    <w:rsid w:val="53383B95"/>
    <w:rsid w:val="53391617"/>
    <w:rsid w:val="53397419"/>
    <w:rsid w:val="533A4E9A"/>
    <w:rsid w:val="533E38A0"/>
    <w:rsid w:val="534122A6"/>
    <w:rsid w:val="534244A5"/>
    <w:rsid w:val="53431F26"/>
    <w:rsid w:val="53441DB8"/>
    <w:rsid w:val="5347092C"/>
    <w:rsid w:val="534741B0"/>
    <w:rsid w:val="53481C31"/>
    <w:rsid w:val="534D60B9"/>
    <w:rsid w:val="5350123C"/>
    <w:rsid w:val="53514ABF"/>
    <w:rsid w:val="53544462"/>
    <w:rsid w:val="535534C5"/>
    <w:rsid w:val="5357444A"/>
    <w:rsid w:val="5359794D"/>
    <w:rsid w:val="535C081A"/>
    <w:rsid w:val="535C08D2"/>
    <w:rsid w:val="535D4B57"/>
    <w:rsid w:val="535D6353"/>
    <w:rsid w:val="535E3DD5"/>
    <w:rsid w:val="5363025D"/>
    <w:rsid w:val="536625E7"/>
    <w:rsid w:val="536846E4"/>
    <w:rsid w:val="536C23EF"/>
    <w:rsid w:val="536C30EB"/>
    <w:rsid w:val="536F42A2"/>
    <w:rsid w:val="53707572"/>
    <w:rsid w:val="537539FA"/>
    <w:rsid w:val="5376727D"/>
    <w:rsid w:val="53772781"/>
    <w:rsid w:val="53776EFD"/>
    <w:rsid w:val="537E210B"/>
    <w:rsid w:val="537E6888"/>
    <w:rsid w:val="53836593"/>
    <w:rsid w:val="53844015"/>
    <w:rsid w:val="53867518"/>
    <w:rsid w:val="5389269B"/>
    <w:rsid w:val="538A011C"/>
    <w:rsid w:val="538A610C"/>
    <w:rsid w:val="538B39A0"/>
    <w:rsid w:val="539442AF"/>
    <w:rsid w:val="539564AD"/>
    <w:rsid w:val="5397158E"/>
    <w:rsid w:val="53A000C2"/>
    <w:rsid w:val="53A15B43"/>
    <w:rsid w:val="53A31046"/>
    <w:rsid w:val="53A374B0"/>
    <w:rsid w:val="53A40CC6"/>
    <w:rsid w:val="53A56748"/>
    <w:rsid w:val="53A876CC"/>
    <w:rsid w:val="53A9470E"/>
    <w:rsid w:val="53AB3ED4"/>
    <w:rsid w:val="53AE4E59"/>
    <w:rsid w:val="53B15DDD"/>
    <w:rsid w:val="53B434DF"/>
    <w:rsid w:val="53B547E4"/>
    <w:rsid w:val="53B74464"/>
    <w:rsid w:val="53B77CE7"/>
    <w:rsid w:val="53BA2E6A"/>
    <w:rsid w:val="53BB66ED"/>
    <w:rsid w:val="53BC636D"/>
    <w:rsid w:val="53BF50F3"/>
    <w:rsid w:val="53BF72F1"/>
    <w:rsid w:val="53C04D73"/>
    <w:rsid w:val="53C725AE"/>
    <w:rsid w:val="53CC4409"/>
    <w:rsid w:val="53D02E0F"/>
    <w:rsid w:val="53D64D18"/>
    <w:rsid w:val="53D7279A"/>
    <w:rsid w:val="53DD7F26"/>
    <w:rsid w:val="53E0692D"/>
    <w:rsid w:val="53E52DB4"/>
    <w:rsid w:val="53E83D39"/>
    <w:rsid w:val="53EA39B9"/>
    <w:rsid w:val="53EC5BF6"/>
    <w:rsid w:val="53EC6EBC"/>
    <w:rsid w:val="53EF7E41"/>
    <w:rsid w:val="53F10DC5"/>
    <w:rsid w:val="53F26847"/>
    <w:rsid w:val="53F41D4A"/>
    <w:rsid w:val="53F555CD"/>
    <w:rsid w:val="53F6524D"/>
    <w:rsid w:val="53FC29DA"/>
    <w:rsid w:val="53FD4BD8"/>
    <w:rsid w:val="54013861"/>
    <w:rsid w:val="5401574F"/>
    <w:rsid w:val="54032364"/>
    <w:rsid w:val="54050405"/>
    <w:rsid w:val="54051FE4"/>
    <w:rsid w:val="54105DF7"/>
    <w:rsid w:val="54136D7C"/>
    <w:rsid w:val="5415227F"/>
    <w:rsid w:val="54163583"/>
    <w:rsid w:val="54183203"/>
    <w:rsid w:val="541C0B0B"/>
    <w:rsid w:val="541D2F0E"/>
    <w:rsid w:val="54211915"/>
    <w:rsid w:val="54242899"/>
    <w:rsid w:val="54244A97"/>
    <w:rsid w:val="5425031B"/>
    <w:rsid w:val="54265D9C"/>
    <w:rsid w:val="542A2224"/>
    <w:rsid w:val="542B7CA6"/>
    <w:rsid w:val="542C5727"/>
    <w:rsid w:val="542E73AA"/>
    <w:rsid w:val="5430412D"/>
    <w:rsid w:val="544256CC"/>
    <w:rsid w:val="544278CB"/>
    <w:rsid w:val="5443314E"/>
    <w:rsid w:val="54487265"/>
    <w:rsid w:val="54492AD9"/>
    <w:rsid w:val="54495057"/>
    <w:rsid w:val="544C3A5E"/>
    <w:rsid w:val="544D14DF"/>
    <w:rsid w:val="544D6070"/>
    <w:rsid w:val="544F49E2"/>
    <w:rsid w:val="545455E7"/>
    <w:rsid w:val="54571DEF"/>
    <w:rsid w:val="545D3CF8"/>
    <w:rsid w:val="545E1779"/>
    <w:rsid w:val="545E17CF"/>
    <w:rsid w:val="54604C7D"/>
    <w:rsid w:val="54605E1E"/>
    <w:rsid w:val="54660D84"/>
    <w:rsid w:val="54664607"/>
    <w:rsid w:val="54684287"/>
    <w:rsid w:val="546B0A8F"/>
    <w:rsid w:val="5475139F"/>
    <w:rsid w:val="547B54A6"/>
    <w:rsid w:val="547E1CAE"/>
    <w:rsid w:val="548173AF"/>
    <w:rsid w:val="54843BB7"/>
    <w:rsid w:val="54855DB6"/>
    <w:rsid w:val="548B19DC"/>
    <w:rsid w:val="548C0FC4"/>
    <w:rsid w:val="548D46D7"/>
    <w:rsid w:val="54943E52"/>
    <w:rsid w:val="549518D3"/>
    <w:rsid w:val="549635BC"/>
    <w:rsid w:val="549A3F89"/>
    <w:rsid w:val="549D6CE0"/>
    <w:rsid w:val="54A72E72"/>
    <w:rsid w:val="54AC14F8"/>
    <w:rsid w:val="54AE27FD"/>
    <w:rsid w:val="54B30E83"/>
    <w:rsid w:val="54B34707"/>
    <w:rsid w:val="54B3506A"/>
    <w:rsid w:val="54B80B8E"/>
    <w:rsid w:val="54BA4091"/>
    <w:rsid w:val="54BB1B13"/>
    <w:rsid w:val="54BC4B87"/>
    <w:rsid w:val="54BF0519"/>
    <w:rsid w:val="54C02437"/>
    <w:rsid w:val="54C67EA4"/>
    <w:rsid w:val="54C77B24"/>
    <w:rsid w:val="54C855A5"/>
    <w:rsid w:val="54C90E29"/>
    <w:rsid w:val="54C93027"/>
    <w:rsid w:val="54CA0D16"/>
    <w:rsid w:val="54CA432C"/>
    <w:rsid w:val="54CA68AA"/>
    <w:rsid w:val="54CB652A"/>
    <w:rsid w:val="54D10433"/>
    <w:rsid w:val="54D13CB7"/>
    <w:rsid w:val="54DB547E"/>
    <w:rsid w:val="54DD4057"/>
    <w:rsid w:val="54E33BD1"/>
    <w:rsid w:val="54E41652"/>
    <w:rsid w:val="54E52957"/>
    <w:rsid w:val="54E570D4"/>
    <w:rsid w:val="54E7490F"/>
    <w:rsid w:val="54E838DC"/>
    <w:rsid w:val="54ED7D64"/>
    <w:rsid w:val="54F05465"/>
    <w:rsid w:val="54F860F5"/>
    <w:rsid w:val="54FB7079"/>
    <w:rsid w:val="54FC7620"/>
    <w:rsid w:val="54FF3501"/>
    <w:rsid w:val="5505540A"/>
    <w:rsid w:val="550764A4"/>
    <w:rsid w:val="550A1892"/>
    <w:rsid w:val="550B2BF6"/>
    <w:rsid w:val="550B7314"/>
    <w:rsid w:val="550C4D95"/>
    <w:rsid w:val="550D609A"/>
    <w:rsid w:val="550E3B1C"/>
    <w:rsid w:val="55137FA3"/>
    <w:rsid w:val="551A1B2C"/>
    <w:rsid w:val="551C08B3"/>
    <w:rsid w:val="551D2AB1"/>
    <w:rsid w:val="551D6334"/>
    <w:rsid w:val="55203A36"/>
    <w:rsid w:val="552072B9"/>
    <w:rsid w:val="55214EB5"/>
    <w:rsid w:val="5523023E"/>
    <w:rsid w:val="552C30CC"/>
    <w:rsid w:val="552D2D4B"/>
    <w:rsid w:val="552E65CF"/>
    <w:rsid w:val="55301AD2"/>
    <w:rsid w:val="55311752"/>
    <w:rsid w:val="553271D3"/>
    <w:rsid w:val="5534335D"/>
    <w:rsid w:val="55350158"/>
    <w:rsid w:val="55364EFD"/>
    <w:rsid w:val="5538633B"/>
    <w:rsid w:val="554219EC"/>
    <w:rsid w:val="55463C75"/>
    <w:rsid w:val="55464289"/>
    <w:rsid w:val="55496F40"/>
    <w:rsid w:val="554B5B7F"/>
    <w:rsid w:val="554C7D7D"/>
    <w:rsid w:val="554D57FF"/>
    <w:rsid w:val="554E6B03"/>
    <w:rsid w:val="5556068C"/>
    <w:rsid w:val="555C4981"/>
    <w:rsid w:val="555D4828"/>
    <w:rsid w:val="555E131C"/>
    <w:rsid w:val="555F6A99"/>
    <w:rsid w:val="556122A1"/>
    <w:rsid w:val="556A2BB0"/>
    <w:rsid w:val="557434C0"/>
    <w:rsid w:val="55785749"/>
    <w:rsid w:val="557A4C8B"/>
    <w:rsid w:val="557C5645"/>
    <w:rsid w:val="55814A4F"/>
    <w:rsid w:val="55835CD9"/>
    <w:rsid w:val="5584155C"/>
    <w:rsid w:val="55877F62"/>
    <w:rsid w:val="558931E1"/>
    <w:rsid w:val="55897BE2"/>
    <w:rsid w:val="558B6968"/>
    <w:rsid w:val="55914FEE"/>
    <w:rsid w:val="55915901"/>
    <w:rsid w:val="55923347"/>
    <w:rsid w:val="55925180"/>
    <w:rsid w:val="559262F3"/>
    <w:rsid w:val="55933D75"/>
    <w:rsid w:val="55941F45"/>
    <w:rsid w:val="559439F4"/>
    <w:rsid w:val="55945F73"/>
    <w:rsid w:val="55964CF9"/>
    <w:rsid w:val="55966EF8"/>
    <w:rsid w:val="559823FB"/>
    <w:rsid w:val="55983B1B"/>
    <w:rsid w:val="559A0DB1"/>
    <w:rsid w:val="559B1181"/>
    <w:rsid w:val="559E7B87"/>
    <w:rsid w:val="559F5609"/>
    <w:rsid w:val="559F61F2"/>
    <w:rsid w:val="55A07807"/>
    <w:rsid w:val="55A15289"/>
    <w:rsid w:val="55A57512"/>
    <w:rsid w:val="55A61710"/>
    <w:rsid w:val="55A8376B"/>
    <w:rsid w:val="55AA399A"/>
    <w:rsid w:val="55AD7BB6"/>
    <w:rsid w:val="55AF7E22"/>
    <w:rsid w:val="55B67488"/>
    <w:rsid w:val="55B72CB0"/>
    <w:rsid w:val="55B84EAE"/>
    <w:rsid w:val="55BF00BC"/>
    <w:rsid w:val="55BF4839"/>
    <w:rsid w:val="55CA5A69"/>
    <w:rsid w:val="55CA644D"/>
    <w:rsid w:val="55CD4E53"/>
    <w:rsid w:val="55CF10F9"/>
    <w:rsid w:val="55D26776"/>
    <w:rsid w:val="55D447DE"/>
    <w:rsid w:val="55DA1F6B"/>
    <w:rsid w:val="55DC29B6"/>
    <w:rsid w:val="55DD4241"/>
    <w:rsid w:val="55DE50EE"/>
    <w:rsid w:val="55E03E74"/>
    <w:rsid w:val="55E46FF7"/>
    <w:rsid w:val="55E65D7D"/>
    <w:rsid w:val="55E8347F"/>
    <w:rsid w:val="55EA4783"/>
    <w:rsid w:val="55ED715E"/>
    <w:rsid w:val="55F35093"/>
    <w:rsid w:val="56021E2A"/>
    <w:rsid w:val="56024028"/>
    <w:rsid w:val="5604752C"/>
    <w:rsid w:val="560C01BB"/>
    <w:rsid w:val="560C6576"/>
    <w:rsid w:val="560E36BE"/>
    <w:rsid w:val="560E7E3B"/>
    <w:rsid w:val="560F1140"/>
    <w:rsid w:val="5610333E"/>
    <w:rsid w:val="561342C3"/>
    <w:rsid w:val="56137B46"/>
    <w:rsid w:val="56141D44"/>
    <w:rsid w:val="561577C6"/>
    <w:rsid w:val="56162CC9"/>
    <w:rsid w:val="56191A4F"/>
    <w:rsid w:val="561A0AEC"/>
    <w:rsid w:val="561B4F52"/>
    <w:rsid w:val="561F0735"/>
    <w:rsid w:val="561F13DA"/>
    <w:rsid w:val="56245862"/>
    <w:rsid w:val="56257A60"/>
    <w:rsid w:val="562B4DF0"/>
    <w:rsid w:val="562D26E8"/>
    <w:rsid w:val="562E6171"/>
    <w:rsid w:val="56333137"/>
    <w:rsid w:val="56355AFC"/>
    <w:rsid w:val="56384502"/>
    <w:rsid w:val="563867C7"/>
    <w:rsid w:val="563B5487"/>
    <w:rsid w:val="563E640C"/>
    <w:rsid w:val="5640190F"/>
    <w:rsid w:val="56424E12"/>
    <w:rsid w:val="56443B98"/>
    <w:rsid w:val="5645161A"/>
    <w:rsid w:val="56486D1B"/>
    <w:rsid w:val="56545C38"/>
    <w:rsid w:val="565463B1"/>
    <w:rsid w:val="5656482C"/>
    <w:rsid w:val="565902BA"/>
    <w:rsid w:val="565A5D3C"/>
    <w:rsid w:val="565D343D"/>
    <w:rsid w:val="565E0EBF"/>
    <w:rsid w:val="56630BCA"/>
    <w:rsid w:val="5665084A"/>
    <w:rsid w:val="566717CE"/>
    <w:rsid w:val="566B6D1E"/>
    <w:rsid w:val="566C5C56"/>
    <w:rsid w:val="566D36D8"/>
    <w:rsid w:val="566E6F5B"/>
    <w:rsid w:val="566F21D7"/>
    <w:rsid w:val="5670465C"/>
    <w:rsid w:val="56727B5F"/>
    <w:rsid w:val="56743063"/>
    <w:rsid w:val="5677786A"/>
    <w:rsid w:val="567974EA"/>
    <w:rsid w:val="567B29ED"/>
    <w:rsid w:val="567E13F4"/>
    <w:rsid w:val="567E3972"/>
    <w:rsid w:val="568048F7"/>
    <w:rsid w:val="5681017A"/>
    <w:rsid w:val="56864602"/>
    <w:rsid w:val="56881D03"/>
    <w:rsid w:val="568B650B"/>
    <w:rsid w:val="56995821"/>
    <w:rsid w:val="56A9133E"/>
    <w:rsid w:val="56AB0FBE"/>
    <w:rsid w:val="56AC391A"/>
    <w:rsid w:val="56AE57C6"/>
    <w:rsid w:val="56B1674B"/>
    <w:rsid w:val="56B62BD2"/>
    <w:rsid w:val="56BE21DD"/>
    <w:rsid w:val="56C056E0"/>
    <w:rsid w:val="56C36665"/>
    <w:rsid w:val="56CF5CFB"/>
    <w:rsid w:val="56D01152"/>
    <w:rsid w:val="56DD2A92"/>
    <w:rsid w:val="56DF5F95"/>
    <w:rsid w:val="56E02076"/>
    <w:rsid w:val="56E15C15"/>
    <w:rsid w:val="56E3499B"/>
    <w:rsid w:val="56E733A1"/>
    <w:rsid w:val="56E755A0"/>
    <w:rsid w:val="56EA6524"/>
    <w:rsid w:val="56F426B7"/>
    <w:rsid w:val="56F76347"/>
    <w:rsid w:val="56FA45C0"/>
    <w:rsid w:val="57001653"/>
    <w:rsid w:val="57032A2C"/>
    <w:rsid w:val="5703744E"/>
    <w:rsid w:val="57044ED0"/>
    <w:rsid w:val="570603D3"/>
    <w:rsid w:val="570636A6"/>
    <w:rsid w:val="570C7D5E"/>
    <w:rsid w:val="570D302A"/>
    <w:rsid w:val="570E1063"/>
    <w:rsid w:val="570F0CE3"/>
    <w:rsid w:val="570F5219"/>
    <w:rsid w:val="571254EA"/>
    <w:rsid w:val="5715646F"/>
    <w:rsid w:val="57163EF1"/>
    <w:rsid w:val="571915F2"/>
    <w:rsid w:val="57194E75"/>
    <w:rsid w:val="571E5A7A"/>
    <w:rsid w:val="57276214"/>
    <w:rsid w:val="572B4D8F"/>
    <w:rsid w:val="572E5D14"/>
    <w:rsid w:val="573332EA"/>
    <w:rsid w:val="57335A1F"/>
    <w:rsid w:val="573434A1"/>
    <w:rsid w:val="5735569F"/>
    <w:rsid w:val="57375008"/>
    <w:rsid w:val="57381EA7"/>
    <w:rsid w:val="573B5557"/>
    <w:rsid w:val="573F3A30"/>
    <w:rsid w:val="57482141"/>
    <w:rsid w:val="57494340"/>
    <w:rsid w:val="574C52C4"/>
    <w:rsid w:val="574E404B"/>
    <w:rsid w:val="574F4CF2"/>
    <w:rsid w:val="57504512"/>
    <w:rsid w:val="5750754E"/>
    <w:rsid w:val="575C550F"/>
    <w:rsid w:val="575D12B5"/>
    <w:rsid w:val="575D60AD"/>
    <w:rsid w:val="57610A87"/>
    <w:rsid w:val="57622CEB"/>
    <w:rsid w:val="57684BF4"/>
    <w:rsid w:val="57695613"/>
    <w:rsid w:val="576E5F82"/>
    <w:rsid w:val="57746489"/>
    <w:rsid w:val="57770761"/>
    <w:rsid w:val="57784E8F"/>
    <w:rsid w:val="577A0392"/>
    <w:rsid w:val="577B1140"/>
    <w:rsid w:val="577B7F21"/>
    <w:rsid w:val="577F009D"/>
    <w:rsid w:val="577F181B"/>
    <w:rsid w:val="577F481A"/>
    <w:rsid w:val="578048BA"/>
    <w:rsid w:val="57833220"/>
    <w:rsid w:val="57836AA3"/>
    <w:rsid w:val="57885129"/>
    <w:rsid w:val="578D15B1"/>
    <w:rsid w:val="57900337"/>
    <w:rsid w:val="57921984"/>
    <w:rsid w:val="579334BA"/>
    <w:rsid w:val="57971EC0"/>
    <w:rsid w:val="579737F0"/>
    <w:rsid w:val="57992806"/>
    <w:rsid w:val="57A25CD3"/>
    <w:rsid w:val="57A31556"/>
    <w:rsid w:val="57A41108"/>
    <w:rsid w:val="57A54A59"/>
    <w:rsid w:val="57A77F5C"/>
    <w:rsid w:val="57A859DE"/>
    <w:rsid w:val="57A9565E"/>
    <w:rsid w:val="57AB7839"/>
    <w:rsid w:val="57AB7B30"/>
    <w:rsid w:val="57AC65E2"/>
    <w:rsid w:val="57AF5251"/>
    <w:rsid w:val="57B26373"/>
    <w:rsid w:val="57B317F1"/>
    <w:rsid w:val="57B63F04"/>
    <w:rsid w:val="57B823F5"/>
    <w:rsid w:val="57B958F8"/>
    <w:rsid w:val="57BB6BFD"/>
    <w:rsid w:val="57BC467E"/>
    <w:rsid w:val="57BC687D"/>
    <w:rsid w:val="57C00B06"/>
    <w:rsid w:val="57C31A8B"/>
    <w:rsid w:val="57C70491"/>
    <w:rsid w:val="57CD20C2"/>
    <w:rsid w:val="57D0331F"/>
    <w:rsid w:val="57D675AB"/>
    <w:rsid w:val="57D95FDD"/>
    <w:rsid w:val="57DD4A12"/>
    <w:rsid w:val="57E22340"/>
    <w:rsid w:val="57E3453E"/>
    <w:rsid w:val="57E532C4"/>
    <w:rsid w:val="57E60D46"/>
    <w:rsid w:val="57EE10A0"/>
    <w:rsid w:val="57EE28CF"/>
    <w:rsid w:val="57F01655"/>
    <w:rsid w:val="57F13854"/>
    <w:rsid w:val="57F70FE0"/>
    <w:rsid w:val="57F731DF"/>
    <w:rsid w:val="57FF3E6E"/>
    <w:rsid w:val="58024DF3"/>
    <w:rsid w:val="58036FF1"/>
    <w:rsid w:val="58055D78"/>
    <w:rsid w:val="58083479"/>
    <w:rsid w:val="58090EFA"/>
    <w:rsid w:val="580E0C05"/>
    <w:rsid w:val="58113D88"/>
    <w:rsid w:val="5813728B"/>
    <w:rsid w:val="581B7F1B"/>
    <w:rsid w:val="581C599D"/>
    <w:rsid w:val="58200B20"/>
    <w:rsid w:val="58211E24"/>
    <w:rsid w:val="582165A1"/>
    <w:rsid w:val="58237526"/>
    <w:rsid w:val="58242DA9"/>
    <w:rsid w:val="582E113A"/>
    <w:rsid w:val="5830463D"/>
    <w:rsid w:val="583120BF"/>
    <w:rsid w:val="58327B40"/>
    <w:rsid w:val="583355C2"/>
    <w:rsid w:val="58386683"/>
    <w:rsid w:val="58406E56"/>
    <w:rsid w:val="5841015B"/>
    <w:rsid w:val="58487AE6"/>
    <w:rsid w:val="584A0A6A"/>
    <w:rsid w:val="584A51E7"/>
    <w:rsid w:val="584E7471"/>
    <w:rsid w:val="58502974"/>
    <w:rsid w:val="585103F5"/>
    <w:rsid w:val="58514B72"/>
    <w:rsid w:val="585338F8"/>
    <w:rsid w:val="585722FF"/>
    <w:rsid w:val="58576A7B"/>
    <w:rsid w:val="585A3283"/>
    <w:rsid w:val="585D50BE"/>
    <w:rsid w:val="58607AB4"/>
    <w:rsid w:val="58620690"/>
    <w:rsid w:val="5862288E"/>
    <w:rsid w:val="58626111"/>
    <w:rsid w:val="586E1F24"/>
    <w:rsid w:val="586F4122"/>
    <w:rsid w:val="586F79A5"/>
    <w:rsid w:val="5874602B"/>
    <w:rsid w:val="58753AAD"/>
    <w:rsid w:val="58754EDC"/>
    <w:rsid w:val="58813143"/>
    <w:rsid w:val="58832DC3"/>
    <w:rsid w:val="58894CCC"/>
    <w:rsid w:val="588C14D4"/>
    <w:rsid w:val="588D6F55"/>
    <w:rsid w:val="588E49D7"/>
    <w:rsid w:val="58917D2F"/>
    <w:rsid w:val="5894085C"/>
    <w:rsid w:val="58A545FC"/>
    <w:rsid w:val="58A65901"/>
    <w:rsid w:val="58A93002"/>
    <w:rsid w:val="58AC1A08"/>
    <w:rsid w:val="58AE4F0C"/>
    <w:rsid w:val="58B23912"/>
    <w:rsid w:val="58B7361D"/>
    <w:rsid w:val="58B85899"/>
    <w:rsid w:val="58BD134A"/>
    <w:rsid w:val="58C049E3"/>
    <w:rsid w:val="58C1643B"/>
    <w:rsid w:val="58C219AE"/>
    <w:rsid w:val="58C3162E"/>
    <w:rsid w:val="58C33BAC"/>
    <w:rsid w:val="58C625B2"/>
    <w:rsid w:val="58C85AB5"/>
    <w:rsid w:val="58CC09B7"/>
    <w:rsid w:val="58CC44BC"/>
    <w:rsid w:val="58CE79BF"/>
    <w:rsid w:val="58D141C7"/>
    <w:rsid w:val="58D5734A"/>
    <w:rsid w:val="58DB6CD4"/>
    <w:rsid w:val="58DD21D7"/>
    <w:rsid w:val="58DE7C59"/>
    <w:rsid w:val="58E0315C"/>
    <w:rsid w:val="58E169DF"/>
    <w:rsid w:val="58E31EE2"/>
    <w:rsid w:val="58E340E1"/>
    <w:rsid w:val="58E363A9"/>
    <w:rsid w:val="58E56C6E"/>
    <w:rsid w:val="58E65065"/>
    <w:rsid w:val="58E7636A"/>
    <w:rsid w:val="58EA3A6C"/>
    <w:rsid w:val="58EC27F2"/>
    <w:rsid w:val="58EE2472"/>
    <w:rsid w:val="58EE4B98"/>
    <w:rsid w:val="58F011F8"/>
    <w:rsid w:val="58F05975"/>
    <w:rsid w:val="58F86605"/>
    <w:rsid w:val="58FB500B"/>
    <w:rsid w:val="58FB7163"/>
    <w:rsid w:val="58FD050E"/>
    <w:rsid w:val="59000207"/>
    <w:rsid w:val="59032417"/>
    <w:rsid w:val="59047E99"/>
    <w:rsid w:val="5908689F"/>
    <w:rsid w:val="590B7824"/>
    <w:rsid w:val="590C7B39"/>
    <w:rsid w:val="59122A32"/>
    <w:rsid w:val="59134C30"/>
    <w:rsid w:val="591539B6"/>
    <w:rsid w:val="591A203C"/>
    <w:rsid w:val="591B7ABE"/>
    <w:rsid w:val="591C553F"/>
    <w:rsid w:val="59227449"/>
    <w:rsid w:val="59244708"/>
    <w:rsid w:val="59253C51"/>
    <w:rsid w:val="592A00D8"/>
    <w:rsid w:val="592C35DC"/>
    <w:rsid w:val="592E0CDD"/>
    <w:rsid w:val="592F4560"/>
    <w:rsid w:val="593109A4"/>
    <w:rsid w:val="59311C62"/>
    <w:rsid w:val="593815EC"/>
    <w:rsid w:val="593B5DF4"/>
    <w:rsid w:val="593C7FF3"/>
    <w:rsid w:val="593D72D5"/>
    <w:rsid w:val="5942577F"/>
    <w:rsid w:val="59442E81"/>
    <w:rsid w:val="594453FF"/>
    <w:rsid w:val="59456704"/>
    <w:rsid w:val="594902D2"/>
    <w:rsid w:val="59497308"/>
    <w:rsid w:val="594A4D8A"/>
    <w:rsid w:val="594C608F"/>
    <w:rsid w:val="594D5D0E"/>
    <w:rsid w:val="594F1212"/>
    <w:rsid w:val="594F4A95"/>
    <w:rsid w:val="59502516"/>
    <w:rsid w:val="59537C18"/>
    <w:rsid w:val="5957661E"/>
    <w:rsid w:val="595A2E26"/>
    <w:rsid w:val="595E1678"/>
    <w:rsid w:val="59603B33"/>
    <w:rsid w:val="596127B1"/>
    <w:rsid w:val="596C65C3"/>
    <w:rsid w:val="596D5BD4"/>
    <w:rsid w:val="596F7548"/>
    <w:rsid w:val="59712A4B"/>
    <w:rsid w:val="597162CE"/>
    <w:rsid w:val="59751451"/>
    <w:rsid w:val="597823D6"/>
    <w:rsid w:val="597C685E"/>
    <w:rsid w:val="597E3DD8"/>
    <w:rsid w:val="59803066"/>
    <w:rsid w:val="59827F33"/>
    <w:rsid w:val="59843C6A"/>
    <w:rsid w:val="598516EC"/>
    <w:rsid w:val="59854011"/>
    <w:rsid w:val="598C48FA"/>
    <w:rsid w:val="598E457A"/>
    <w:rsid w:val="598E7DFD"/>
    <w:rsid w:val="598F1FFB"/>
    <w:rsid w:val="599A2745"/>
    <w:rsid w:val="599F2295"/>
    <w:rsid w:val="59A809A7"/>
    <w:rsid w:val="59AC3B2A"/>
    <w:rsid w:val="59AD4E2E"/>
    <w:rsid w:val="59AD702D"/>
    <w:rsid w:val="59AF2530"/>
    <w:rsid w:val="59B05DB3"/>
    <w:rsid w:val="59B07FB1"/>
    <w:rsid w:val="59B5223B"/>
    <w:rsid w:val="59B7793C"/>
    <w:rsid w:val="59BF05CC"/>
    <w:rsid w:val="59BF1A10"/>
    <w:rsid w:val="59C13ACF"/>
    <w:rsid w:val="59C759D8"/>
    <w:rsid w:val="59CB43DE"/>
    <w:rsid w:val="59CC1E60"/>
    <w:rsid w:val="59CF2E66"/>
    <w:rsid w:val="59D062E8"/>
    <w:rsid w:val="59D217EB"/>
    <w:rsid w:val="59D52770"/>
    <w:rsid w:val="59E04384"/>
    <w:rsid w:val="59E16582"/>
    <w:rsid w:val="59E42D8A"/>
    <w:rsid w:val="59E52A0A"/>
    <w:rsid w:val="59E6628D"/>
    <w:rsid w:val="59E75F0D"/>
    <w:rsid w:val="59EA6E92"/>
    <w:rsid w:val="59EC2395"/>
    <w:rsid w:val="59F2429E"/>
    <w:rsid w:val="59F43024"/>
    <w:rsid w:val="59F80043"/>
    <w:rsid w:val="59FA4F2E"/>
    <w:rsid w:val="59FF35B4"/>
    <w:rsid w:val="5A001035"/>
    <w:rsid w:val="5A0013DD"/>
    <w:rsid w:val="5A006E37"/>
    <w:rsid w:val="5A02233A"/>
    <w:rsid w:val="5A024538"/>
    <w:rsid w:val="5A031FBA"/>
    <w:rsid w:val="5A09252F"/>
    <w:rsid w:val="5A0B2778"/>
    <w:rsid w:val="5A0C06CB"/>
    <w:rsid w:val="5A0D614D"/>
    <w:rsid w:val="5A112329"/>
    <w:rsid w:val="5A130056"/>
    <w:rsid w:val="5A156465"/>
    <w:rsid w:val="5A1631D9"/>
    <w:rsid w:val="5A165757"/>
    <w:rsid w:val="5A170C5A"/>
    <w:rsid w:val="5A176A5C"/>
    <w:rsid w:val="5A19415E"/>
    <w:rsid w:val="5A1C3233"/>
    <w:rsid w:val="5A1E05E5"/>
    <w:rsid w:val="5A22286F"/>
    <w:rsid w:val="5A2537F3"/>
    <w:rsid w:val="5A276CF7"/>
    <w:rsid w:val="5A2A7C7B"/>
    <w:rsid w:val="5A2E0C74"/>
    <w:rsid w:val="5A2F19D7"/>
    <w:rsid w:val="5A301B84"/>
    <w:rsid w:val="5A332B09"/>
    <w:rsid w:val="5A3344C9"/>
    <w:rsid w:val="5A3A7F15"/>
    <w:rsid w:val="5A3D6C9C"/>
    <w:rsid w:val="5A3E2560"/>
    <w:rsid w:val="5A3E471D"/>
    <w:rsid w:val="5A3F439D"/>
    <w:rsid w:val="5A401E1F"/>
    <w:rsid w:val="5A4056A2"/>
    <w:rsid w:val="5A44737F"/>
    <w:rsid w:val="5A463D28"/>
    <w:rsid w:val="5A482AAE"/>
    <w:rsid w:val="5A48722B"/>
    <w:rsid w:val="5A4C5C31"/>
    <w:rsid w:val="5A4E1134"/>
    <w:rsid w:val="5A507EBB"/>
    <w:rsid w:val="5A51593C"/>
    <w:rsid w:val="5A5233BE"/>
    <w:rsid w:val="5A530E40"/>
    <w:rsid w:val="5A567846"/>
    <w:rsid w:val="5A5874C6"/>
    <w:rsid w:val="5A5B044A"/>
    <w:rsid w:val="5A5C174F"/>
    <w:rsid w:val="5A5C5ECC"/>
    <w:rsid w:val="5A5D3B6E"/>
    <w:rsid w:val="5A5D71D1"/>
    <w:rsid w:val="5A5E3D40"/>
    <w:rsid w:val="5A5E4C52"/>
    <w:rsid w:val="5A637A76"/>
    <w:rsid w:val="5A6951E1"/>
    <w:rsid w:val="5A6C6166"/>
    <w:rsid w:val="5A6D33BA"/>
    <w:rsid w:val="5A6E746B"/>
    <w:rsid w:val="5A715E71"/>
    <w:rsid w:val="5A735AF1"/>
    <w:rsid w:val="5A754FD7"/>
    <w:rsid w:val="5A7622F9"/>
    <w:rsid w:val="5A7744F7"/>
    <w:rsid w:val="5A792B1F"/>
    <w:rsid w:val="5A7A0CFF"/>
    <w:rsid w:val="5A7A547C"/>
    <w:rsid w:val="5A81068A"/>
    <w:rsid w:val="5A812888"/>
    <w:rsid w:val="5A84160F"/>
    <w:rsid w:val="5A84380D"/>
    <w:rsid w:val="5A874767"/>
    <w:rsid w:val="5A8B4B30"/>
    <w:rsid w:val="5A8C449C"/>
    <w:rsid w:val="5A8F5421"/>
    <w:rsid w:val="5A900F23"/>
    <w:rsid w:val="5A9875DF"/>
    <w:rsid w:val="5A9C1B97"/>
    <w:rsid w:val="5A9F3E73"/>
    <w:rsid w:val="5AA26A47"/>
    <w:rsid w:val="5AA340C2"/>
    <w:rsid w:val="5AA47945"/>
    <w:rsid w:val="5AA65046"/>
    <w:rsid w:val="5AA85BE2"/>
    <w:rsid w:val="5AAD49D1"/>
    <w:rsid w:val="5AAD6F28"/>
    <w:rsid w:val="5AAE2453"/>
    <w:rsid w:val="5AAE6DC3"/>
    <w:rsid w:val="5AB011D9"/>
    <w:rsid w:val="5AB47BDF"/>
    <w:rsid w:val="5AB52256"/>
    <w:rsid w:val="5AB55661"/>
    <w:rsid w:val="5AB72D62"/>
    <w:rsid w:val="5AB752E1"/>
    <w:rsid w:val="5AB865E5"/>
    <w:rsid w:val="5ABC71EA"/>
    <w:rsid w:val="5ABE04EF"/>
    <w:rsid w:val="5ABF5F70"/>
    <w:rsid w:val="5AC5005A"/>
    <w:rsid w:val="5AC70DFE"/>
    <w:rsid w:val="5AC82FFD"/>
    <w:rsid w:val="5AC86880"/>
    <w:rsid w:val="5ACD2D08"/>
    <w:rsid w:val="5ACD7484"/>
    <w:rsid w:val="5ACE0789"/>
    <w:rsid w:val="5AD03C8C"/>
    <w:rsid w:val="5AD2138E"/>
    <w:rsid w:val="5AD2718F"/>
    <w:rsid w:val="5AD36E0F"/>
    <w:rsid w:val="5AD44891"/>
    <w:rsid w:val="5AD63A24"/>
    <w:rsid w:val="5ADC3C17"/>
    <w:rsid w:val="5AE16125"/>
    <w:rsid w:val="5AE23BA6"/>
    <w:rsid w:val="5AE31628"/>
    <w:rsid w:val="5AE54B2B"/>
    <w:rsid w:val="5AE65E30"/>
    <w:rsid w:val="5AE75AB0"/>
    <w:rsid w:val="5AED2FF7"/>
    <w:rsid w:val="5AEF2EBC"/>
    <w:rsid w:val="5AFC7FD4"/>
    <w:rsid w:val="5AFD12A8"/>
    <w:rsid w:val="5B0B05EE"/>
    <w:rsid w:val="5B0E3771"/>
    <w:rsid w:val="5B122177"/>
    <w:rsid w:val="5B1259FA"/>
    <w:rsid w:val="5B1530FC"/>
    <w:rsid w:val="5B1C630A"/>
    <w:rsid w:val="5B1D0508"/>
    <w:rsid w:val="5B245915"/>
    <w:rsid w:val="5B24602D"/>
    <w:rsid w:val="5B253396"/>
    <w:rsid w:val="5B265683"/>
    <w:rsid w:val="5B276899"/>
    <w:rsid w:val="5B28431B"/>
    <w:rsid w:val="5B291D9C"/>
    <w:rsid w:val="5B2A30A1"/>
    <w:rsid w:val="5B2C65A4"/>
    <w:rsid w:val="5B2D4026"/>
    <w:rsid w:val="5B2E1A1D"/>
    <w:rsid w:val="5B2F7529"/>
    <w:rsid w:val="5B301727"/>
    <w:rsid w:val="5B304FAA"/>
    <w:rsid w:val="5B324C2A"/>
    <w:rsid w:val="5B34012D"/>
    <w:rsid w:val="5B366EB4"/>
    <w:rsid w:val="5B374935"/>
    <w:rsid w:val="5B38460D"/>
    <w:rsid w:val="5B392037"/>
    <w:rsid w:val="5B3A7AB8"/>
    <w:rsid w:val="5B3B333C"/>
    <w:rsid w:val="5B3D683F"/>
    <w:rsid w:val="5B4077C3"/>
    <w:rsid w:val="5B420748"/>
    <w:rsid w:val="5B424EC5"/>
    <w:rsid w:val="5B4C1057"/>
    <w:rsid w:val="5B503B42"/>
    <w:rsid w:val="5B5154DF"/>
    <w:rsid w:val="5B52515F"/>
    <w:rsid w:val="5B553EE5"/>
    <w:rsid w:val="5B572E88"/>
    <w:rsid w:val="5B5A5DEF"/>
    <w:rsid w:val="5B5C12F2"/>
    <w:rsid w:val="5B607CF8"/>
    <w:rsid w:val="5B6F0312"/>
    <w:rsid w:val="5B713816"/>
    <w:rsid w:val="5B740512"/>
    <w:rsid w:val="5B75221C"/>
    <w:rsid w:val="5B75441A"/>
    <w:rsid w:val="5B792E20"/>
    <w:rsid w:val="5B7966A3"/>
    <w:rsid w:val="5B7A4125"/>
    <w:rsid w:val="5B7D1826"/>
    <w:rsid w:val="5B7E2B2B"/>
    <w:rsid w:val="5B7E72A8"/>
    <w:rsid w:val="5B7F05AD"/>
    <w:rsid w:val="5B821531"/>
    <w:rsid w:val="5B833730"/>
    <w:rsid w:val="5B843A1C"/>
    <w:rsid w:val="5B873E3F"/>
    <w:rsid w:val="5B890EBC"/>
    <w:rsid w:val="5B8930BB"/>
    <w:rsid w:val="5B8A0B3C"/>
    <w:rsid w:val="5B8A693E"/>
    <w:rsid w:val="5B8E5344"/>
    <w:rsid w:val="5B902A45"/>
    <w:rsid w:val="5B925F49"/>
    <w:rsid w:val="5B975C54"/>
    <w:rsid w:val="5BA416E6"/>
    <w:rsid w:val="5BA629EB"/>
    <w:rsid w:val="5BA800EC"/>
    <w:rsid w:val="5BAA35EF"/>
    <w:rsid w:val="5BAD4574"/>
    <w:rsid w:val="5BAD7DF7"/>
    <w:rsid w:val="5BAF7A77"/>
    <w:rsid w:val="5BB054F9"/>
    <w:rsid w:val="5BB167FD"/>
    <w:rsid w:val="5BB2427F"/>
    <w:rsid w:val="5BB55204"/>
    <w:rsid w:val="5BBE0092"/>
    <w:rsid w:val="5BC47A1C"/>
    <w:rsid w:val="5BC5549E"/>
    <w:rsid w:val="5BCA1926"/>
    <w:rsid w:val="5BD42235"/>
    <w:rsid w:val="5BD5353A"/>
    <w:rsid w:val="5BD57CB7"/>
    <w:rsid w:val="5BD80C3B"/>
    <w:rsid w:val="5BE03AC9"/>
    <w:rsid w:val="5BE537D4"/>
    <w:rsid w:val="5BEE6662"/>
    <w:rsid w:val="5BF117E5"/>
    <w:rsid w:val="5BF4056C"/>
    <w:rsid w:val="5BF65C6D"/>
    <w:rsid w:val="5BFC3AF9"/>
    <w:rsid w:val="5C013FFE"/>
    <w:rsid w:val="5C017881"/>
    <w:rsid w:val="5C02690E"/>
    <w:rsid w:val="5C040806"/>
    <w:rsid w:val="5C044F83"/>
    <w:rsid w:val="5C064AC8"/>
    <w:rsid w:val="5C08720C"/>
    <w:rsid w:val="5C0A270F"/>
    <w:rsid w:val="5C0B0191"/>
    <w:rsid w:val="5C0C5C12"/>
    <w:rsid w:val="5C0D5892"/>
    <w:rsid w:val="5C13301F"/>
    <w:rsid w:val="5C140AA0"/>
    <w:rsid w:val="5C163FA3"/>
    <w:rsid w:val="5C1761A2"/>
    <w:rsid w:val="5C196DA7"/>
    <w:rsid w:val="5C27423E"/>
    <w:rsid w:val="5C281CBF"/>
    <w:rsid w:val="5C2921BD"/>
    <w:rsid w:val="5C2A048C"/>
    <w:rsid w:val="5C335AD2"/>
    <w:rsid w:val="5C350FD5"/>
    <w:rsid w:val="5C380EFD"/>
    <w:rsid w:val="5C3B6762"/>
    <w:rsid w:val="5C3E3E63"/>
    <w:rsid w:val="5C402BE9"/>
    <w:rsid w:val="5C4245C8"/>
    <w:rsid w:val="5C464AF3"/>
    <w:rsid w:val="5C497C75"/>
    <w:rsid w:val="5C4B69FC"/>
    <w:rsid w:val="5C4C447D"/>
    <w:rsid w:val="5C510905"/>
    <w:rsid w:val="5C551944"/>
    <w:rsid w:val="5C59248E"/>
    <w:rsid w:val="5C5B3413"/>
    <w:rsid w:val="5C5D3033"/>
    <w:rsid w:val="5C60789B"/>
    <w:rsid w:val="5C657C3C"/>
    <w:rsid w:val="5C68052A"/>
    <w:rsid w:val="5C6C36AD"/>
    <w:rsid w:val="5C6E6BB0"/>
    <w:rsid w:val="5C7255B7"/>
    <w:rsid w:val="5C734262"/>
    <w:rsid w:val="5C751DBE"/>
    <w:rsid w:val="5C7818F2"/>
    <w:rsid w:val="5C7A0445"/>
    <w:rsid w:val="5C7A3CC8"/>
    <w:rsid w:val="5C7C3948"/>
    <w:rsid w:val="5C7E6E4B"/>
    <w:rsid w:val="5C7F525F"/>
    <w:rsid w:val="5C80234E"/>
    <w:rsid w:val="5C825851"/>
    <w:rsid w:val="5C8567D6"/>
    <w:rsid w:val="5C87555C"/>
    <w:rsid w:val="5C882FDD"/>
    <w:rsid w:val="5C890A5F"/>
    <w:rsid w:val="5C8A680C"/>
    <w:rsid w:val="5C8E4EE7"/>
    <w:rsid w:val="5C922CA1"/>
    <w:rsid w:val="5C976ECB"/>
    <w:rsid w:val="5C990CF9"/>
    <w:rsid w:val="5C9D30FF"/>
    <w:rsid w:val="5C9F2C03"/>
    <w:rsid w:val="5CA4708A"/>
    <w:rsid w:val="5CA54B0C"/>
    <w:rsid w:val="5CA81314"/>
    <w:rsid w:val="5CAA4817"/>
    <w:rsid w:val="5CAD4ABD"/>
    <w:rsid w:val="5CAD799A"/>
    <w:rsid w:val="5CB00D05"/>
    <w:rsid w:val="5CB21C23"/>
    <w:rsid w:val="5CB2611F"/>
    <w:rsid w:val="5CB35126"/>
    <w:rsid w:val="5CB376A5"/>
    <w:rsid w:val="5CB937AD"/>
    <w:rsid w:val="5CBD21B3"/>
    <w:rsid w:val="5CBE34B8"/>
    <w:rsid w:val="5CC03137"/>
    <w:rsid w:val="5CC31B3E"/>
    <w:rsid w:val="5CC55041"/>
    <w:rsid w:val="5CC608C4"/>
    <w:rsid w:val="5CC76345"/>
    <w:rsid w:val="5CC91849"/>
    <w:rsid w:val="5CCB27CD"/>
    <w:rsid w:val="5CCC49CC"/>
    <w:rsid w:val="5CD033D2"/>
    <w:rsid w:val="5CD22158"/>
    <w:rsid w:val="5CD37BDA"/>
    <w:rsid w:val="5CD41DD8"/>
    <w:rsid w:val="5CD60B5E"/>
    <w:rsid w:val="5CDA49DE"/>
    <w:rsid w:val="5CDE5F6B"/>
    <w:rsid w:val="5CDF2A07"/>
    <w:rsid w:val="5CE345F1"/>
    <w:rsid w:val="5CE37E74"/>
    <w:rsid w:val="5CE42072"/>
    <w:rsid w:val="5CE53377"/>
    <w:rsid w:val="5CE74B68"/>
    <w:rsid w:val="5CE80A78"/>
    <w:rsid w:val="5CE842FC"/>
    <w:rsid w:val="5CEA406B"/>
    <w:rsid w:val="5CEA77FF"/>
    <w:rsid w:val="5CEB19FD"/>
    <w:rsid w:val="5CED4F00"/>
    <w:rsid w:val="5CEF3C87"/>
    <w:rsid w:val="5CF1718A"/>
    <w:rsid w:val="5CF619B3"/>
    <w:rsid w:val="5CFA360E"/>
    <w:rsid w:val="5D086DAF"/>
    <w:rsid w:val="5D094830"/>
    <w:rsid w:val="5D0A22B2"/>
    <w:rsid w:val="5D0A5B35"/>
    <w:rsid w:val="5D0C4701"/>
    <w:rsid w:val="5D0F0395"/>
    <w:rsid w:val="5D0F673A"/>
    <w:rsid w:val="5D1041BB"/>
    <w:rsid w:val="5D142BC1"/>
    <w:rsid w:val="5D1773C9"/>
    <w:rsid w:val="5D184E4B"/>
    <w:rsid w:val="5D1A034E"/>
    <w:rsid w:val="5D1B5DD0"/>
    <w:rsid w:val="5D211ED7"/>
    <w:rsid w:val="5D221076"/>
    <w:rsid w:val="5D277664"/>
    <w:rsid w:val="5D2F4A70"/>
    <w:rsid w:val="5D335675"/>
    <w:rsid w:val="5D340EF8"/>
    <w:rsid w:val="5D350B78"/>
    <w:rsid w:val="5D361E7D"/>
    <w:rsid w:val="5D37407B"/>
    <w:rsid w:val="5D397964"/>
    <w:rsid w:val="5D3A0883"/>
    <w:rsid w:val="5D3A4FFF"/>
    <w:rsid w:val="5D3C0503"/>
    <w:rsid w:val="5D3D5F84"/>
    <w:rsid w:val="5D42240C"/>
    <w:rsid w:val="5D466894"/>
    <w:rsid w:val="5D481D97"/>
    <w:rsid w:val="5D4A309B"/>
    <w:rsid w:val="5D5104A8"/>
    <w:rsid w:val="5D545BA9"/>
    <w:rsid w:val="5D5A391C"/>
    <w:rsid w:val="5D5F10C0"/>
    <w:rsid w:val="5D657148"/>
    <w:rsid w:val="5D731768"/>
    <w:rsid w:val="5D7551E4"/>
    <w:rsid w:val="5D795DB7"/>
    <w:rsid w:val="5D7A5DE9"/>
    <w:rsid w:val="5D7D47EF"/>
    <w:rsid w:val="5D805774"/>
    <w:rsid w:val="5D820C77"/>
    <w:rsid w:val="5D891B7B"/>
    <w:rsid w:val="5D8C1586"/>
    <w:rsid w:val="5D8D288B"/>
    <w:rsid w:val="5D8D3526"/>
    <w:rsid w:val="5D8F250B"/>
    <w:rsid w:val="5D930F11"/>
    <w:rsid w:val="5D934795"/>
    <w:rsid w:val="5D954414"/>
    <w:rsid w:val="5D97319B"/>
    <w:rsid w:val="5D9B3D9F"/>
    <w:rsid w:val="5D9E05A7"/>
    <w:rsid w:val="5DA1152C"/>
    <w:rsid w:val="5DA34A2F"/>
    <w:rsid w:val="5DA57F32"/>
    <w:rsid w:val="5DA73435"/>
    <w:rsid w:val="5DA80EB7"/>
    <w:rsid w:val="5DA85633"/>
    <w:rsid w:val="5DAA43BA"/>
    <w:rsid w:val="5DAB62DF"/>
    <w:rsid w:val="5DAB65B8"/>
    <w:rsid w:val="5DAD38EE"/>
    <w:rsid w:val="5DAE2DC0"/>
    <w:rsid w:val="5DB13D45"/>
    <w:rsid w:val="5DB15F43"/>
    <w:rsid w:val="5DB44CC9"/>
    <w:rsid w:val="5DB5274B"/>
    <w:rsid w:val="5DB81151"/>
    <w:rsid w:val="5DBB20D6"/>
    <w:rsid w:val="5DC11C82"/>
    <w:rsid w:val="5DC13FDF"/>
    <w:rsid w:val="5DC374E2"/>
    <w:rsid w:val="5DCE32F5"/>
    <w:rsid w:val="5DD451FE"/>
    <w:rsid w:val="5DDB040C"/>
    <w:rsid w:val="5DDE1391"/>
    <w:rsid w:val="5DDE5B0D"/>
    <w:rsid w:val="5DE12315"/>
    <w:rsid w:val="5DE16A92"/>
    <w:rsid w:val="5DE5472B"/>
    <w:rsid w:val="5DE62F1A"/>
    <w:rsid w:val="5DEA51A3"/>
    <w:rsid w:val="5DEF3829"/>
    <w:rsid w:val="5DEF41AF"/>
    <w:rsid w:val="5DF50FB6"/>
    <w:rsid w:val="5DF70C36"/>
    <w:rsid w:val="5DF744B9"/>
    <w:rsid w:val="5DF86567"/>
    <w:rsid w:val="5DFC4FE8"/>
    <w:rsid w:val="5DFF18C5"/>
    <w:rsid w:val="5DFF3AC4"/>
    <w:rsid w:val="5E006862"/>
    <w:rsid w:val="5E014DC8"/>
    <w:rsid w:val="5E0207B9"/>
    <w:rsid w:val="5E0343B2"/>
    <w:rsid w:val="5E045D4D"/>
    <w:rsid w:val="5E0821D5"/>
    <w:rsid w:val="5E086952"/>
    <w:rsid w:val="5E0F62DC"/>
    <w:rsid w:val="5E103D5E"/>
    <w:rsid w:val="5E142764"/>
    <w:rsid w:val="5E153A69"/>
    <w:rsid w:val="5E1614EB"/>
    <w:rsid w:val="5E165C67"/>
    <w:rsid w:val="5E1834A1"/>
    <w:rsid w:val="5E19246F"/>
    <w:rsid w:val="5E192E87"/>
    <w:rsid w:val="5E1A7207"/>
    <w:rsid w:val="5E1C55F2"/>
    <w:rsid w:val="5E1D3074"/>
    <w:rsid w:val="5E1E68F7"/>
    <w:rsid w:val="5E211941"/>
    <w:rsid w:val="5E2152FD"/>
    <w:rsid w:val="5E261785"/>
    <w:rsid w:val="5E2B5C0D"/>
    <w:rsid w:val="5E2E6B91"/>
    <w:rsid w:val="5E2F3FAA"/>
    <w:rsid w:val="5E3A6227"/>
    <w:rsid w:val="5E3F48AD"/>
    <w:rsid w:val="5E40232F"/>
    <w:rsid w:val="5E4332B3"/>
    <w:rsid w:val="5E471CBA"/>
    <w:rsid w:val="5E4A7017"/>
    <w:rsid w:val="5E4B06C0"/>
    <w:rsid w:val="5E4E15E4"/>
    <w:rsid w:val="5E4E1644"/>
    <w:rsid w:val="5E4E70C6"/>
    <w:rsid w:val="5E4F2949"/>
    <w:rsid w:val="5E4F4B48"/>
    <w:rsid w:val="5E504EAF"/>
    <w:rsid w:val="5E53354E"/>
    <w:rsid w:val="5E552BBA"/>
    <w:rsid w:val="5E5644D2"/>
    <w:rsid w:val="5E571F54"/>
    <w:rsid w:val="5E583259"/>
    <w:rsid w:val="5E595457"/>
    <w:rsid w:val="5E5D3E5D"/>
    <w:rsid w:val="5E611C10"/>
    <w:rsid w:val="5E6160E7"/>
    <w:rsid w:val="5E6437E8"/>
    <w:rsid w:val="5E643C60"/>
    <w:rsid w:val="5E66256E"/>
    <w:rsid w:val="5E6721EE"/>
    <w:rsid w:val="5E67476D"/>
    <w:rsid w:val="5E6B7484"/>
    <w:rsid w:val="5E712AFE"/>
    <w:rsid w:val="5E762809"/>
    <w:rsid w:val="5E7919F9"/>
    <w:rsid w:val="5E79378D"/>
    <w:rsid w:val="5E7A0F3F"/>
    <w:rsid w:val="5E7A120F"/>
    <w:rsid w:val="5E7C0E8F"/>
    <w:rsid w:val="5E7C4712"/>
    <w:rsid w:val="5E7D6910"/>
    <w:rsid w:val="5E83409D"/>
    <w:rsid w:val="5E8575A0"/>
    <w:rsid w:val="5E941DB9"/>
    <w:rsid w:val="5E9E7A3B"/>
    <w:rsid w:val="5EA72FD8"/>
    <w:rsid w:val="5EA7685B"/>
    <w:rsid w:val="5EA82DFF"/>
    <w:rsid w:val="5EA91D5E"/>
    <w:rsid w:val="5EAA77E0"/>
    <w:rsid w:val="5EAC2CE3"/>
    <w:rsid w:val="5EAF03E4"/>
    <w:rsid w:val="5EB05E66"/>
    <w:rsid w:val="5EB138E7"/>
    <w:rsid w:val="5EB3266E"/>
    <w:rsid w:val="5EB71074"/>
    <w:rsid w:val="5EB73272"/>
    <w:rsid w:val="5EB77C6E"/>
    <w:rsid w:val="5EB96775"/>
    <w:rsid w:val="5EBB1C78"/>
    <w:rsid w:val="5EBE09FF"/>
    <w:rsid w:val="5EC135E3"/>
    <w:rsid w:val="5EC22142"/>
    <w:rsid w:val="5EC26D2A"/>
    <w:rsid w:val="5EC37085"/>
    <w:rsid w:val="5EC8350D"/>
    <w:rsid w:val="5ECA6A10"/>
    <w:rsid w:val="5ECB4491"/>
    <w:rsid w:val="5ECD73AA"/>
    <w:rsid w:val="5ECE0C99"/>
    <w:rsid w:val="5ED2769F"/>
    <w:rsid w:val="5ED50624"/>
    <w:rsid w:val="5ED837A7"/>
    <w:rsid w:val="5EDA252D"/>
    <w:rsid w:val="5EDF69B5"/>
    <w:rsid w:val="5EE00BB3"/>
    <w:rsid w:val="5EE240B6"/>
    <w:rsid w:val="5EE353BB"/>
    <w:rsid w:val="5EE42E3D"/>
    <w:rsid w:val="5EE475B9"/>
    <w:rsid w:val="5EE5503B"/>
    <w:rsid w:val="5EE57A83"/>
    <w:rsid w:val="5EE62ABD"/>
    <w:rsid w:val="5EE83A41"/>
    <w:rsid w:val="5EE85FC0"/>
    <w:rsid w:val="5EE97E0E"/>
    <w:rsid w:val="5EEB49C6"/>
    <w:rsid w:val="5EEE180B"/>
    <w:rsid w:val="5EEF11CE"/>
    <w:rsid w:val="5EF81ADD"/>
    <w:rsid w:val="5EF94D5F"/>
    <w:rsid w:val="5EFC2E4E"/>
    <w:rsid w:val="5EFC7377"/>
    <w:rsid w:val="5F053371"/>
    <w:rsid w:val="5F056BF5"/>
    <w:rsid w:val="5F06174D"/>
    <w:rsid w:val="5F122687"/>
    <w:rsid w:val="5F125F0A"/>
    <w:rsid w:val="5F130109"/>
    <w:rsid w:val="5F14140D"/>
    <w:rsid w:val="5F145B8A"/>
    <w:rsid w:val="5F164911"/>
    <w:rsid w:val="5F184590"/>
    <w:rsid w:val="5F1A7A93"/>
    <w:rsid w:val="5F1B0D98"/>
    <w:rsid w:val="5F1D0A18"/>
    <w:rsid w:val="5F1F3F1B"/>
    <w:rsid w:val="5F1F779F"/>
    <w:rsid w:val="5F20741E"/>
    <w:rsid w:val="5F212CA2"/>
    <w:rsid w:val="5F224FEB"/>
    <w:rsid w:val="5F261328"/>
    <w:rsid w:val="5F2A3FC9"/>
    <w:rsid w:val="5F2F7A39"/>
    <w:rsid w:val="5F3176B9"/>
    <w:rsid w:val="5F3209BE"/>
    <w:rsid w:val="5F336F39"/>
    <w:rsid w:val="5F343EC1"/>
    <w:rsid w:val="5F351942"/>
    <w:rsid w:val="5F3A3602"/>
    <w:rsid w:val="5F3A7FC8"/>
    <w:rsid w:val="5F3C34CB"/>
    <w:rsid w:val="5F3D0F4D"/>
    <w:rsid w:val="5F3F3148"/>
    <w:rsid w:val="5F405755"/>
    <w:rsid w:val="5F420C58"/>
    <w:rsid w:val="5F42509B"/>
    <w:rsid w:val="5F4408D8"/>
    <w:rsid w:val="5F451BDC"/>
    <w:rsid w:val="5F45733B"/>
    <w:rsid w:val="5F47185C"/>
    <w:rsid w:val="5F4750E0"/>
    <w:rsid w:val="5F4872DE"/>
    <w:rsid w:val="5F490741"/>
    <w:rsid w:val="5F4C5CE4"/>
    <w:rsid w:val="5F507F6E"/>
    <w:rsid w:val="5F6277C6"/>
    <w:rsid w:val="5F666213"/>
    <w:rsid w:val="5F685614"/>
    <w:rsid w:val="5F6B6599"/>
    <w:rsid w:val="5F6C789E"/>
    <w:rsid w:val="5F6D0B1D"/>
    <w:rsid w:val="5F6E2DA1"/>
    <w:rsid w:val="5F7062A4"/>
    <w:rsid w:val="5F7623AC"/>
    <w:rsid w:val="5F7858AF"/>
    <w:rsid w:val="5F791132"/>
    <w:rsid w:val="5F796BB3"/>
    <w:rsid w:val="5F7D0400"/>
    <w:rsid w:val="5F80653E"/>
    <w:rsid w:val="5F8D0B82"/>
    <w:rsid w:val="5F926458"/>
    <w:rsid w:val="5F933EDA"/>
    <w:rsid w:val="5F94195C"/>
    <w:rsid w:val="5F964E5F"/>
    <w:rsid w:val="5F980362"/>
    <w:rsid w:val="5F9A3865"/>
    <w:rsid w:val="5F9B12E6"/>
    <w:rsid w:val="5FA72B7B"/>
    <w:rsid w:val="5FA770D9"/>
    <w:rsid w:val="5FA805FC"/>
    <w:rsid w:val="5FA863FE"/>
    <w:rsid w:val="5FAC7002"/>
    <w:rsid w:val="5FB1348A"/>
    <w:rsid w:val="5FB23DB8"/>
    <w:rsid w:val="5FBB761D"/>
    <w:rsid w:val="5FBD2B20"/>
    <w:rsid w:val="5FBF4F94"/>
    <w:rsid w:val="5FBF6023"/>
    <w:rsid w:val="5FC03AA5"/>
    <w:rsid w:val="5FC24A29"/>
    <w:rsid w:val="5FCB78B7"/>
    <w:rsid w:val="5FCC5339"/>
    <w:rsid w:val="5FCD2DBA"/>
    <w:rsid w:val="5FCE083C"/>
    <w:rsid w:val="5FD274EE"/>
    <w:rsid w:val="5FD76F4D"/>
    <w:rsid w:val="5FDC33D5"/>
    <w:rsid w:val="5FE11A5B"/>
    <w:rsid w:val="5FE307E1"/>
    <w:rsid w:val="5FE34A5B"/>
    <w:rsid w:val="5FE50461"/>
    <w:rsid w:val="5FE64374"/>
    <w:rsid w:val="5FE813E6"/>
    <w:rsid w:val="5FED586D"/>
    <w:rsid w:val="5FEE3E36"/>
    <w:rsid w:val="5FF81680"/>
    <w:rsid w:val="5FFA4B83"/>
    <w:rsid w:val="5FFB2605"/>
    <w:rsid w:val="5FFD5B08"/>
    <w:rsid w:val="5FFE1E36"/>
    <w:rsid w:val="5FFE3589"/>
    <w:rsid w:val="5FFF100B"/>
    <w:rsid w:val="60071C9B"/>
    <w:rsid w:val="600811FB"/>
    <w:rsid w:val="600A4E1D"/>
    <w:rsid w:val="600F70A7"/>
    <w:rsid w:val="6012222A"/>
    <w:rsid w:val="60136C47"/>
    <w:rsid w:val="601644B3"/>
    <w:rsid w:val="601A2EBA"/>
    <w:rsid w:val="601C2B39"/>
    <w:rsid w:val="60204DC3"/>
    <w:rsid w:val="60232584"/>
    <w:rsid w:val="6027474E"/>
    <w:rsid w:val="602C1292"/>
    <w:rsid w:val="603749E8"/>
    <w:rsid w:val="6039376E"/>
    <w:rsid w:val="603F5678"/>
    <w:rsid w:val="60410B7B"/>
    <w:rsid w:val="604265FC"/>
    <w:rsid w:val="6043407E"/>
    <w:rsid w:val="60457581"/>
    <w:rsid w:val="604C110A"/>
    <w:rsid w:val="604E7E90"/>
    <w:rsid w:val="604F3361"/>
    <w:rsid w:val="604F47F7"/>
    <w:rsid w:val="60572D1E"/>
    <w:rsid w:val="605807A0"/>
    <w:rsid w:val="605B5EA1"/>
    <w:rsid w:val="605D6E26"/>
    <w:rsid w:val="605F012B"/>
    <w:rsid w:val="60630D2F"/>
    <w:rsid w:val="60673FEE"/>
    <w:rsid w:val="60692C39"/>
    <w:rsid w:val="606D4EC2"/>
    <w:rsid w:val="607025C3"/>
    <w:rsid w:val="60725AC7"/>
    <w:rsid w:val="607330CE"/>
    <w:rsid w:val="6074484D"/>
    <w:rsid w:val="60783253"/>
    <w:rsid w:val="607A6756"/>
    <w:rsid w:val="607B41D8"/>
    <w:rsid w:val="607F065F"/>
    <w:rsid w:val="607F4DDC"/>
    <w:rsid w:val="60825176"/>
    <w:rsid w:val="608337E2"/>
    <w:rsid w:val="60837066"/>
    <w:rsid w:val="60867FEA"/>
    <w:rsid w:val="60890F6F"/>
    <w:rsid w:val="60937300"/>
    <w:rsid w:val="60952803"/>
    <w:rsid w:val="60956B25"/>
    <w:rsid w:val="609F2AC4"/>
    <w:rsid w:val="60A31B19"/>
    <w:rsid w:val="60AB27A8"/>
    <w:rsid w:val="60AB49A7"/>
    <w:rsid w:val="60AE592B"/>
    <w:rsid w:val="60AF33AD"/>
    <w:rsid w:val="60B168B0"/>
    <w:rsid w:val="60B81ABE"/>
    <w:rsid w:val="60B97540"/>
    <w:rsid w:val="60BB0A7A"/>
    <w:rsid w:val="60C26B4A"/>
    <w:rsid w:val="60C345CC"/>
    <w:rsid w:val="60C47ACF"/>
    <w:rsid w:val="60C864D5"/>
    <w:rsid w:val="60C91D59"/>
    <w:rsid w:val="60CC075F"/>
    <w:rsid w:val="60CC2CDD"/>
    <w:rsid w:val="60CF5E60"/>
    <w:rsid w:val="60D14BE6"/>
    <w:rsid w:val="60D7326D"/>
    <w:rsid w:val="60D76AF0"/>
    <w:rsid w:val="60D96770"/>
    <w:rsid w:val="60DA7A74"/>
    <w:rsid w:val="60DB54F6"/>
    <w:rsid w:val="60DC5176"/>
    <w:rsid w:val="60DF3EFC"/>
    <w:rsid w:val="60E11BB1"/>
    <w:rsid w:val="60E24E81"/>
    <w:rsid w:val="60E40384"/>
    <w:rsid w:val="60E80F88"/>
    <w:rsid w:val="60EC3212"/>
    <w:rsid w:val="60ED3E90"/>
    <w:rsid w:val="60F13E3C"/>
    <w:rsid w:val="60F65B7D"/>
    <w:rsid w:val="60FA2528"/>
    <w:rsid w:val="60FA2EE8"/>
    <w:rsid w:val="60FD0F2E"/>
    <w:rsid w:val="610408B9"/>
    <w:rsid w:val="61051BBD"/>
    <w:rsid w:val="61054A27"/>
    <w:rsid w:val="610750C1"/>
    <w:rsid w:val="610872BF"/>
    <w:rsid w:val="610A52BC"/>
    <w:rsid w:val="610A6045"/>
    <w:rsid w:val="611778D9"/>
    <w:rsid w:val="61192DDC"/>
    <w:rsid w:val="611B04DE"/>
    <w:rsid w:val="611C3D61"/>
    <w:rsid w:val="611D2366"/>
    <w:rsid w:val="611D2DF6"/>
    <w:rsid w:val="61204966"/>
    <w:rsid w:val="612123E7"/>
    <w:rsid w:val="61215C6A"/>
    <w:rsid w:val="6126686F"/>
    <w:rsid w:val="612977F3"/>
    <w:rsid w:val="612A0AF8"/>
    <w:rsid w:val="612A5275"/>
    <w:rsid w:val="612B2CF7"/>
    <w:rsid w:val="612D3C7B"/>
    <w:rsid w:val="612D61FA"/>
    <w:rsid w:val="61304C00"/>
    <w:rsid w:val="61312681"/>
    <w:rsid w:val="61320103"/>
    <w:rsid w:val="61341408"/>
    <w:rsid w:val="6137458B"/>
    <w:rsid w:val="61377E0E"/>
    <w:rsid w:val="61397A8E"/>
    <w:rsid w:val="613D1D17"/>
    <w:rsid w:val="613E3F16"/>
    <w:rsid w:val="61421856"/>
    <w:rsid w:val="61495B2A"/>
    <w:rsid w:val="614B102D"/>
    <w:rsid w:val="614B322B"/>
    <w:rsid w:val="614D672E"/>
    <w:rsid w:val="614E7A33"/>
    <w:rsid w:val="614F54B5"/>
    <w:rsid w:val="61502F36"/>
    <w:rsid w:val="615227C4"/>
    <w:rsid w:val="615335B3"/>
    <w:rsid w:val="61553DE2"/>
    <w:rsid w:val="615613CA"/>
    <w:rsid w:val="615A3846"/>
    <w:rsid w:val="615D47CA"/>
    <w:rsid w:val="616131D1"/>
    <w:rsid w:val="61646DF3"/>
    <w:rsid w:val="61646F94"/>
    <w:rsid w:val="61651BD7"/>
    <w:rsid w:val="61654E3F"/>
    <w:rsid w:val="6169605F"/>
    <w:rsid w:val="616C6FE3"/>
    <w:rsid w:val="616E24E6"/>
    <w:rsid w:val="616F7F68"/>
    <w:rsid w:val="61716CEE"/>
    <w:rsid w:val="617A768C"/>
    <w:rsid w:val="617B75FE"/>
    <w:rsid w:val="617D727E"/>
    <w:rsid w:val="61813705"/>
    <w:rsid w:val="6182292A"/>
    <w:rsid w:val="61826F89"/>
    <w:rsid w:val="6185598F"/>
    <w:rsid w:val="61862585"/>
    <w:rsid w:val="61863410"/>
    <w:rsid w:val="618D7518"/>
    <w:rsid w:val="618E081D"/>
    <w:rsid w:val="61967E27"/>
    <w:rsid w:val="619736AB"/>
    <w:rsid w:val="619758A9"/>
    <w:rsid w:val="6198332B"/>
    <w:rsid w:val="619B20B1"/>
    <w:rsid w:val="619C7B32"/>
    <w:rsid w:val="619F7F92"/>
    <w:rsid w:val="61A274BD"/>
    <w:rsid w:val="61A700C2"/>
    <w:rsid w:val="61A813C7"/>
    <w:rsid w:val="61AB234B"/>
    <w:rsid w:val="61AC454A"/>
    <w:rsid w:val="61AD1FCB"/>
    <w:rsid w:val="61AD584E"/>
    <w:rsid w:val="61AE7A4D"/>
    <w:rsid w:val="61B009D1"/>
    <w:rsid w:val="61B37758"/>
    <w:rsid w:val="61B4400C"/>
    <w:rsid w:val="61B77AEA"/>
    <w:rsid w:val="61B81024"/>
    <w:rsid w:val="61C763F8"/>
    <w:rsid w:val="61C8720B"/>
    <w:rsid w:val="61CC2880"/>
    <w:rsid w:val="61CC482C"/>
    <w:rsid w:val="61D35A8E"/>
    <w:rsid w:val="61D64494"/>
    <w:rsid w:val="61D66A13"/>
    <w:rsid w:val="61D71F16"/>
    <w:rsid w:val="61D84114"/>
    <w:rsid w:val="61D91B96"/>
    <w:rsid w:val="61DA61FE"/>
    <w:rsid w:val="61E16FA2"/>
    <w:rsid w:val="61E559A8"/>
    <w:rsid w:val="61E6342A"/>
    <w:rsid w:val="61E6665C"/>
    <w:rsid w:val="61E92327"/>
    <w:rsid w:val="61EF75BD"/>
    <w:rsid w:val="61F05F1C"/>
    <w:rsid w:val="61F52D85"/>
    <w:rsid w:val="61F55C43"/>
    <w:rsid w:val="61F636C4"/>
    <w:rsid w:val="61F71146"/>
    <w:rsid w:val="61F8244A"/>
    <w:rsid w:val="61F94C26"/>
    <w:rsid w:val="61FD68D2"/>
    <w:rsid w:val="62000E56"/>
    <w:rsid w:val="620329DA"/>
    <w:rsid w:val="6203395D"/>
    <w:rsid w:val="6204045B"/>
    <w:rsid w:val="6204625D"/>
    <w:rsid w:val="620713E0"/>
    <w:rsid w:val="62090166"/>
    <w:rsid w:val="620B4882"/>
    <w:rsid w:val="620F2070"/>
    <w:rsid w:val="62107AF1"/>
    <w:rsid w:val="62122FF4"/>
    <w:rsid w:val="62130A76"/>
    <w:rsid w:val="621464F7"/>
    <w:rsid w:val="6217167A"/>
    <w:rsid w:val="62194B7D"/>
    <w:rsid w:val="621B5792"/>
    <w:rsid w:val="6225279D"/>
    <w:rsid w:val="62261C95"/>
    <w:rsid w:val="6228716A"/>
    <w:rsid w:val="623A6333"/>
    <w:rsid w:val="623B41B9"/>
    <w:rsid w:val="623C68A1"/>
    <w:rsid w:val="62467FCB"/>
    <w:rsid w:val="624C4EB5"/>
    <w:rsid w:val="624D3BE8"/>
    <w:rsid w:val="624F3E49"/>
    <w:rsid w:val="6251055B"/>
    <w:rsid w:val="6251635C"/>
    <w:rsid w:val="62525FDC"/>
    <w:rsid w:val="62587EE5"/>
    <w:rsid w:val="625911EA"/>
    <w:rsid w:val="625E5672"/>
    <w:rsid w:val="62610F56"/>
    <w:rsid w:val="62612D73"/>
    <w:rsid w:val="62624078"/>
    <w:rsid w:val="62631AFA"/>
    <w:rsid w:val="62632286"/>
    <w:rsid w:val="6265177A"/>
    <w:rsid w:val="62670500"/>
    <w:rsid w:val="62693A03"/>
    <w:rsid w:val="626A1485"/>
    <w:rsid w:val="626D4608"/>
    <w:rsid w:val="6271300E"/>
    <w:rsid w:val="62724313"/>
    <w:rsid w:val="62730E1A"/>
    <w:rsid w:val="62782999"/>
    <w:rsid w:val="6278621C"/>
    <w:rsid w:val="6279041A"/>
    <w:rsid w:val="627C4C22"/>
    <w:rsid w:val="627F7DA5"/>
    <w:rsid w:val="628345C9"/>
    <w:rsid w:val="62872FB3"/>
    <w:rsid w:val="62885958"/>
    <w:rsid w:val="628C4EBC"/>
    <w:rsid w:val="629038C3"/>
    <w:rsid w:val="62911344"/>
    <w:rsid w:val="629422C9"/>
    <w:rsid w:val="62980CCF"/>
    <w:rsid w:val="62996751"/>
    <w:rsid w:val="629C76D5"/>
    <w:rsid w:val="62A03B5D"/>
    <w:rsid w:val="62A27060"/>
    <w:rsid w:val="62A3016E"/>
    <w:rsid w:val="62AB5771"/>
    <w:rsid w:val="62AD4C85"/>
    <w:rsid w:val="62B06376"/>
    <w:rsid w:val="62B83782"/>
    <w:rsid w:val="62BB7F8A"/>
    <w:rsid w:val="62C4089A"/>
    <w:rsid w:val="62C63D9D"/>
    <w:rsid w:val="62C83A1C"/>
    <w:rsid w:val="62C94D21"/>
    <w:rsid w:val="62C95C4A"/>
    <w:rsid w:val="62D00E29"/>
    <w:rsid w:val="62D3782F"/>
    <w:rsid w:val="62D430B2"/>
    <w:rsid w:val="62D76235"/>
    <w:rsid w:val="62D91738"/>
    <w:rsid w:val="62E62FCC"/>
    <w:rsid w:val="62E66850"/>
    <w:rsid w:val="62E81D53"/>
    <w:rsid w:val="62EA5256"/>
    <w:rsid w:val="62EF16DE"/>
    <w:rsid w:val="62F40B65"/>
    <w:rsid w:val="62F523AF"/>
    <w:rsid w:val="62F559FB"/>
    <w:rsid w:val="62F97A6F"/>
    <w:rsid w:val="62FC2CFE"/>
    <w:rsid w:val="630073FA"/>
    <w:rsid w:val="63016CD4"/>
    <w:rsid w:val="63024505"/>
    <w:rsid w:val="6303037E"/>
    <w:rsid w:val="63057105"/>
    <w:rsid w:val="63076D84"/>
    <w:rsid w:val="63115115"/>
    <w:rsid w:val="63122B97"/>
    <w:rsid w:val="63133E9C"/>
    <w:rsid w:val="6316159D"/>
    <w:rsid w:val="6317557C"/>
    <w:rsid w:val="63184AA0"/>
    <w:rsid w:val="63187F6A"/>
    <w:rsid w:val="631B12A8"/>
    <w:rsid w:val="63201EAD"/>
    <w:rsid w:val="63222E31"/>
    <w:rsid w:val="63240476"/>
    <w:rsid w:val="63261838"/>
    <w:rsid w:val="63267639"/>
    <w:rsid w:val="632772B9"/>
    <w:rsid w:val="632D11C2"/>
    <w:rsid w:val="632D4A46"/>
    <w:rsid w:val="632F7F49"/>
    <w:rsid w:val="633059CA"/>
    <w:rsid w:val="6333694F"/>
    <w:rsid w:val="633565CF"/>
    <w:rsid w:val="63377C30"/>
    <w:rsid w:val="63392A57"/>
    <w:rsid w:val="633D725E"/>
    <w:rsid w:val="633F4CF0"/>
    <w:rsid w:val="634001E3"/>
    <w:rsid w:val="63417E63"/>
    <w:rsid w:val="63433366"/>
    <w:rsid w:val="6344466B"/>
    <w:rsid w:val="63450F1F"/>
    <w:rsid w:val="63471D6C"/>
    <w:rsid w:val="634B3FF6"/>
    <w:rsid w:val="634C1A77"/>
    <w:rsid w:val="63520B2D"/>
    <w:rsid w:val="63531402"/>
    <w:rsid w:val="635332D0"/>
    <w:rsid w:val="63554A0D"/>
    <w:rsid w:val="635600A5"/>
    <w:rsid w:val="63577E08"/>
    <w:rsid w:val="6359330B"/>
    <w:rsid w:val="635B1DB5"/>
    <w:rsid w:val="635C1D12"/>
    <w:rsid w:val="635D7793"/>
    <w:rsid w:val="63616199"/>
    <w:rsid w:val="63685B24"/>
    <w:rsid w:val="636935A6"/>
    <w:rsid w:val="636D582F"/>
    <w:rsid w:val="636E7A2E"/>
    <w:rsid w:val="63711FED"/>
    <w:rsid w:val="63754B4B"/>
    <w:rsid w:val="637B0BF4"/>
    <w:rsid w:val="638144D0"/>
    <w:rsid w:val="63861A11"/>
    <w:rsid w:val="63880DDC"/>
    <w:rsid w:val="638D750D"/>
    <w:rsid w:val="638E7F62"/>
    <w:rsid w:val="639221EC"/>
    <w:rsid w:val="6392476A"/>
    <w:rsid w:val="639343EA"/>
    <w:rsid w:val="639578ED"/>
    <w:rsid w:val="63960BF2"/>
    <w:rsid w:val="63980872"/>
    <w:rsid w:val="639860B9"/>
    <w:rsid w:val="639B17F6"/>
    <w:rsid w:val="63A21181"/>
    <w:rsid w:val="63A257B4"/>
    <w:rsid w:val="63A42106"/>
    <w:rsid w:val="63A44B67"/>
    <w:rsid w:val="63A47F08"/>
    <w:rsid w:val="63A57B87"/>
    <w:rsid w:val="63A6062F"/>
    <w:rsid w:val="63A6340B"/>
    <w:rsid w:val="63A80D4A"/>
    <w:rsid w:val="63A9658E"/>
    <w:rsid w:val="63AA400F"/>
    <w:rsid w:val="63AB1A91"/>
    <w:rsid w:val="63AC2D96"/>
    <w:rsid w:val="63AC6CC0"/>
    <w:rsid w:val="63AE6299"/>
    <w:rsid w:val="63AF3D1A"/>
    <w:rsid w:val="63B2141C"/>
    <w:rsid w:val="63B4491F"/>
    <w:rsid w:val="63B523A0"/>
    <w:rsid w:val="63BB3FDB"/>
    <w:rsid w:val="63C713C1"/>
    <w:rsid w:val="63CE45CF"/>
    <w:rsid w:val="63D07AD2"/>
    <w:rsid w:val="63D27752"/>
    <w:rsid w:val="63DB5433"/>
    <w:rsid w:val="63DE0FE6"/>
    <w:rsid w:val="63E11F6B"/>
    <w:rsid w:val="63E61C76"/>
    <w:rsid w:val="63E73E74"/>
    <w:rsid w:val="63EA067C"/>
    <w:rsid w:val="63EA4DF9"/>
    <w:rsid w:val="63EC02FC"/>
    <w:rsid w:val="63F10007"/>
    <w:rsid w:val="63F4318A"/>
    <w:rsid w:val="63F50C0B"/>
    <w:rsid w:val="63F56431"/>
    <w:rsid w:val="63F66737"/>
    <w:rsid w:val="63F71F10"/>
    <w:rsid w:val="63F95413"/>
    <w:rsid w:val="63FA0916"/>
    <w:rsid w:val="63FA72E8"/>
    <w:rsid w:val="63FC0596"/>
    <w:rsid w:val="63FF151B"/>
    <w:rsid w:val="64055776"/>
    <w:rsid w:val="64076927"/>
    <w:rsid w:val="64091E2A"/>
    <w:rsid w:val="640A312F"/>
    <w:rsid w:val="640A78AC"/>
    <w:rsid w:val="640C0830"/>
    <w:rsid w:val="640D62B2"/>
    <w:rsid w:val="640E1B35"/>
    <w:rsid w:val="6412053C"/>
    <w:rsid w:val="64133A3F"/>
    <w:rsid w:val="641A33C9"/>
    <w:rsid w:val="641B55C8"/>
    <w:rsid w:val="64240056"/>
    <w:rsid w:val="642826DF"/>
    <w:rsid w:val="642B10E5"/>
    <w:rsid w:val="642C6B67"/>
    <w:rsid w:val="643477F7"/>
    <w:rsid w:val="643519F5"/>
    <w:rsid w:val="643903FB"/>
    <w:rsid w:val="64393C7E"/>
    <w:rsid w:val="643B38FE"/>
    <w:rsid w:val="643E143A"/>
    <w:rsid w:val="64407D86"/>
    <w:rsid w:val="6441217E"/>
    <w:rsid w:val="64415807"/>
    <w:rsid w:val="64426B0C"/>
    <w:rsid w:val="6443678C"/>
    <w:rsid w:val="64475192"/>
    <w:rsid w:val="64491666"/>
    <w:rsid w:val="644A458C"/>
    <w:rsid w:val="644A6117"/>
    <w:rsid w:val="64511325"/>
    <w:rsid w:val="64546A26"/>
    <w:rsid w:val="64561F2A"/>
    <w:rsid w:val="6458542D"/>
    <w:rsid w:val="645B542A"/>
    <w:rsid w:val="645B63B1"/>
    <w:rsid w:val="645C18B4"/>
    <w:rsid w:val="645C76B6"/>
    <w:rsid w:val="645D5138"/>
    <w:rsid w:val="645D7336"/>
    <w:rsid w:val="6463123F"/>
    <w:rsid w:val="646A047C"/>
    <w:rsid w:val="64706357"/>
    <w:rsid w:val="64710555"/>
    <w:rsid w:val="64713DD8"/>
    <w:rsid w:val="647372DB"/>
    <w:rsid w:val="647A412F"/>
    <w:rsid w:val="647D1DE9"/>
    <w:rsid w:val="647E786B"/>
    <w:rsid w:val="64802D6E"/>
    <w:rsid w:val="648604FA"/>
    <w:rsid w:val="64875F7C"/>
    <w:rsid w:val="648930EF"/>
    <w:rsid w:val="64897C1D"/>
    <w:rsid w:val="648B6EEF"/>
    <w:rsid w:val="648E5907"/>
    <w:rsid w:val="64900E0A"/>
    <w:rsid w:val="6491688B"/>
    <w:rsid w:val="64947810"/>
    <w:rsid w:val="649B4C1C"/>
    <w:rsid w:val="649B76F9"/>
    <w:rsid w:val="649D011F"/>
    <w:rsid w:val="649E1424"/>
    <w:rsid w:val="649E5BA1"/>
    <w:rsid w:val="649F058F"/>
    <w:rsid w:val="64A123A9"/>
    <w:rsid w:val="64A81D34"/>
    <w:rsid w:val="64AA19B4"/>
    <w:rsid w:val="64AA5237"/>
    <w:rsid w:val="64AB7435"/>
    <w:rsid w:val="64AD03BA"/>
    <w:rsid w:val="64B13727"/>
    <w:rsid w:val="64B16DC0"/>
    <w:rsid w:val="64B51049"/>
    <w:rsid w:val="64B941CC"/>
    <w:rsid w:val="64BE5FF1"/>
    <w:rsid w:val="64C10E6B"/>
    <w:rsid w:val="64C158BF"/>
    <w:rsid w:val="64C612E4"/>
    <w:rsid w:val="64C76D65"/>
    <w:rsid w:val="64CD66F0"/>
    <w:rsid w:val="64CE2EAA"/>
    <w:rsid w:val="64CF321D"/>
    <w:rsid w:val="64D811FE"/>
    <w:rsid w:val="64D84A81"/>
    <w:rsid w:val="64D85D95"/>
    <w:rsid w:val="64DC3487"/>
    <w:rsid w:val="64DD0F09"/>
    <w:rsid w:val="64DD3107"/>
    <w:rsid w:val="64DD5792"/>
    <w:rsid w:val="64E01E8E"/>
    <w:rsid w:val="64E1790F"/>
    <w:rsid w:val="64ED10BC"/>
    <w:rsid w:val="64ED11A3"/>
    <w:rsid w:val="64ED37D1"/>
    <w:rsid w:val="64F02128"/>
    <w:rsid w:val="64F45E8A"/>
    <w:rsid w:val="64F87534"/>
    <w:rsid w:val="64FD39BC"/>
    <w:rsid w:val="64FF62E8"/>
    <w:rsid w:val="65015C46"/>
    <w:rsid w:val="65031149"/>
    <w:rsid w:val="65090AD4"/>
    <w:rsid w:val="650D3C56"/>
    <w:rsid w:val="650D74DA"/>
    <w:rsid w:val="651025ED"/>
    <w:rsid w:val="65123962"/>
    <w:rsid w:val="65151063"/>
    <w:rsid w:val="65156AE4"/>
    <w:rsid w:val="651B67EF"/>
    <w:rsid w:val="651D1CF3"/>
    <w:rsid w:val="651F62A0"/>
    <w:rsid w:val="652512FD"/>
    <w:rsid w:val="65266D7F"/>
    <w:rsid w:val="65274800"/>
    <w:rsid w:val="65282282"/>
    <w:rsid w:val="652C0C88"/>
    <w:rsid w:val="652F5490"/>
    <w:rsid w:val="65305110"/>
    <w:rsid w:val="65333E96"/>
    <w:rsid w:val="65351598"/>
    <w:rsid w:val="653A12A3"/>
    <w:rsid w:val="653C3090"/>
    <w:rsid w:val="653E4B1A"/>
    <w:rsid w:val="65422E2C"/>
    <w:rsid w:val="6543036F"/>
    <w:rsid w:val="654422EB"/>
    <w:rsid w:val="65451832"/>
    <w:rsid w:val="65474D35"/>
    <w:rsid w:val="6548383B"/>
    <w:rsid w:val="654B153D"/>
    <w:rsid w:val="654D6C3E"/>
    <w:rsid w:val="654F59C5"/>
    <w:rsid w:val="655573EA"/>
    <w:rsid w:val="65565DB0"/>
    <w:rsid w:val="65580853"/>
    <w:rsid w:val="655E275C"/>
    <w:rsid w:val="65605C5F"/>
    <w:rsid w:val="65636BE4"/>
    <w:rsid w:val="65644665"/>
    <w:rsid w:val="656B1A72"/>
    <w:rsid w:val="656D2D76"/>
    <w:rsid w:val="656E627A"/>
    <w:rsid w:val="657171FE"/>
    <w:rsid w:val="65752381"/>
    <w:rsid w:val="65755C04"/>
    <w:rsid w:val="657C558F"/>
    <w:rsid w:val="657D3011"/>
    <w:rsid w:val="657E3510"/>
    <w:rsid w:val="657E520F"/>
    <w:rsid w:val="65854376"/>
    <w:rsid w:val="65875B1F"/>
    <w:rsid w:val="658767BE"/>
    <w:rsid w:val="65892531"/>
    <w:rsid w:val="658B0396"/>
    <w:rsid w:val="658E54A9"/>
    <w:rsid w:val="6591642E"/>
    <w:rsid w:val="659628B6"/>
    <w:rsid w:val="65973BBB"/>
    <w:rsid w:val="659970BE"/>
    <w:rsid w:val="659A4B3F"/>
    <w:rsid w:val="65A50295"/>
    <w:rsid w:val="65A550CF"/>
    <w:rsid w:val="65A705D2"/>
    <w:rsid w:val="65A73E55"/>
    <w:rsid w:val="65A86053"/>
    <w:rsid w:val="65A93AD5"/>
    <w:rsid w:val="65AA1556"/>
    <w:rsid w:val="65AA4701"/>
    <w:rsid w:val="65AB285B"/>
    <w:rsid w:val="65AB6FD8"/>
    <w:rsid w:val="65AD24DB"/>
    <w:rsid w:val="65AD5D5E"/>
    <w:rsid w:val="65AF3460"/>
    <w:rsid w:val="65B31E66"/>
    <w:rsid w:val="65B456E9"/>
    <w:rsid w:val="65B975D9"/>
    <w:rsid w:val="65C53405"/>
    <w:rsid w:val="65CD0811"/>
    <w:rsid w:val="65CF7DAF"/>
    <w:rsid w:val="65D2051C"/>
    <w:rsid w:val="65D35F9E"/>
    <w:rsid w:val="65D514A1"/>
    <w:rsid w:val="65D61121"/>
    <w:rsid w:val="65D87EA7"/>
    <w:rsid w:val="65D95929"/>
    <w:rsid w:val="65E12D35"/>
    <w:rsid w:val="65E43CBA"/>
    <w:rsid w:val="65E44A21"/>
    <w:rsid w:val="65E74C3F"/>
    <w:rsid w:val="65E826C0"/>
    <w:rsid w:val="65EE59AC"/>
    <w:rsid w:val="65EF70E9"/>
    <w:rsid w:val="65F01CCB"/>
    <w:rsid w:val="65F1774C"/>
    <w:rsid w:val="65F22E93"/>
    <w:rsid w:val="65F63BD4"/>
    <w:rsid w:val="65FA21F8"/>
    <w:rsid w:val="65FB005C"/>
    <w:rsid w:val="660157E8"/>
    <w:rsid w:val="66063E6E"/>
    <w:rsid w:val="66082BF5"/>
    <w:rsid w:val="66090676"/>
    <w:rsid w:val="66091638"/>
    <w:rsid w:val="660C5D78"/>
    <w:rsid w:val="660E127B"/>
    <w:rsid w:val="660F6CFC"/>
    <w:rsid w:val="661121FF"/>
    <w:rsid w:val="66133C96"/>
    <w:rsid w:val="66166687"/>
    <w:rsid w:val="6618540E"/>
    <w:rsid w:val="66195831"/>
    <w:rsid w:val="661F310B"/>
    <w:rsid w:val="66254723"/>
    <w:rsid w:val="662E75B1"/>
    <w:rsid w:val="66325FB7"/>
    <w:rsid w:val="66342C2E"/>
    <w:rsid w:val="66344D3E"/>
    <w:rsid w:val="66356F3C"/>
    <w:rsid w:val="663911C6"/>
    <w:rsid w:val="663E564D"/>
    <w:rsid w:val="663E784C"/>
    <w:rsid w:val="664107D0"/>
    <w:rsid w:val="66444FD8"/>
    <w:rsid w:val="66491460"/>
    <w:rsid w:val="664C2FA5"/>
    <w:rsid w:val="664F3369"/>
    <w:rsid w:val="665242EE"/>
    <w:rsid w:val="66531D6F"/>
    <w:rsid w:val="66533F6E"/>
    <w:rsid w:val="66555272"/>
    <w:rsid w:val="665803F5"/>
    <w:rsid w:val="66583C79"/>
    <w:rsid w:val="66595E77"/>
    <w:rsid w:val="665C267F"/>
    <w:rsid w:val="66644208"/>
    <w:rsid w:val="6665550D"/>
    <w:rsid w:val="66693F13"/>
    <w:rsid w:val="666E2599"/>
    <w:rsid w:val="66736A21"/>
    <w:rsid w:val="667A63AC"/>
    <w:rsid w:val="667D7330"/>
    <w:rsid w:val="66831516"/>
    <w:rsid w:val="66835770"/>
    <w:rsid w:val="668869C6"/>
    <w:rsid w:val="668B6A45"/>
    <w:rsid w:val="668B794B"/>
    <w:rsid w:val="668E4F9F"/>
    <w:rsid w:val="6695025A"/>
    <w:rsid w:val="669C24AC"/>
    <w:rsid w:val="669F43ED"/>
    <w:rsid w:val="66A40875"/>
    <w:rsid w:val="66AA497C"/>
    <w:rsid w:val="66AF0E04"/>
    <w:rsid w:val="66B83C92"/>
    <w:rsid w:val="66C17E25"/>
    <w:rsid w:val="66C32DAD"/>
    <w:rsid w:val="66C37AA5"/>
    <w:rsid w:val="66C52FA8"/>
    <w:rsid w:val="66C5682B"/>
    <w:rsid w:val="66C764AB"/>
    <w:rsid w:val="66CB4EB1"/>
    <w:rsid w:val="66CF38B7"/>
    <w:rsid w:val="66CF713B"/>
    <w:rsid w:val="66D53242"/>
    <w:rsid w:val="66D91C48"/>
    <w:rsid w:val="66D97A4A"/>
    <w:rsid w:val="66DA3E7F"/>
    <w:rsid w:val="66DB485A"/>
    <w:rsid w:val="66DB514B"/>
    <w:rsid w:val="66DD064E"/>
    <w:rsid w:val="66E04E56"/>
    <w:rsid w:val="66E32558"/>
    <w:rsid w:val="66E66D60"/>
    <w:rsid w:val="66EF1BEE"/>
    <w:rsid w:val="66F150F1"/>
    <w:rsid w:val="66FF1E88"/>
    <w:rsid w:val="66FF570B"/>
    <w:rsid w:val="6700790A"/>
    <w:rsid w:val="67011F07"/>
    <w:rsid w:val="6701538B"/>
    <w:rsid w:val="67041B93"/>
    <w:rsid w:val="67053D91"/>
    <w:rsid w:val="67072B18"/>
    <w:rsid w:val="67092797"/>
    <w:rsid w:val="670A3A9C"/>
    <w:rsid w:val="671230A7"/>
    <w:rsid w:val="671465AA"/>
    <w:rsid w:val="67161AAD"/>
    <w:rsid w:val="67172DB2"/>
    <w:rsid w:val="67173BF4"/>
    <w:rsid w:val="6717752F"/>
    <w:rsid w:val="671A3D37"/>
    <w:rsid w:val="671F493B"/>
    <w:rsid w:val="67217E3E"/>
    <w:rsid w:val="67236BC5"/>
    <w:rsid w:val="67274411"/>
    <w:rsid w:val="6728524B"/>
    <w:rsid w:val="67292CCC"/>
    <w:rsid w:val="672A3FD1"/>
    <w:rsid w:val="672D16D2"/>
    <w:rsid w:val="672F3F24"/>
    <w:rsid w:val="67375865"/>
    <w:rsid w:val="673C3F6A"/>
    <w:rsid w:val="673E055F"/>
    <w:rsid w:val="673F7000"/>
    <w:rsid w:val="674370F9"/>
    <w:rsid w:val="6744080A"/>
    <w:rsid w:val="6746007E"/>
    <w:rsid w:val="67483581"/>
    <w:rsid w:val="67551CE3"/>
    <w:rsid w:val="675A129D"/>
    <w:rsid w:val="67627219"/>
    <w:rsid w:val="67647352"/>
    <w:rsid w:val="676D24BC"/>
    <w:rsid w:val="676D5D3F"/>
    <w:rsid w:val="676E7F3D"/>
    <w:rsid w:val="67703441"/>
    <w:rsid w:val="677456CA"/>
    <w:rsid w:val="6775534A"/>
    <w:rsid w:val="677A17D2"/>
    <w:rsid w:val="677B2AD6"/>
    <w:rsid w:val="677E01D8"/>
    <w:rsid w:val="678036DB"/>
    <w:rsid w:val="67822461"/>
    <w:rsid w:val="67845964"/>
    <w:rsid w:val="67880AE7"/>
    <w:rsid w:val="678A526E"/>
    <w:rsid w:val="678A786E"/>
    <w:rsid w:val="678B74EE"/>
    <w:rsid w:val="679113F7"/>
    <w:rsid w:val="679171F9"/>
    <w:rsid w:val="6794237B"/>
    <w:rsid w:val="67957DFD"/>
    <w:rsid w:val="679E650E"/>
    <w:rsid w:val="679F070D"/>
    <w:rsid w:val="67A13C10"/>
    <w:rsid w:val="67A22552"/>
    <w:rsid w:val="67A27113"/>
    <w:rsid w:val="67A32996"/>
    <w:rsid w:val="67A7359A"/>
    <w:rsid w:val="67A86E1E"/>
    <w:rsid w:val="67AF422A"/>
    <w:rsid w:val="67B2192C"/>
    <w:rsid w:val="67B22DCC"/>
    <w:rsid w:val="67B71637"/>
    <w:rsid w:val="67B76864"/>
    <w:rsid w:val="67B94B3A"/>
    <w:rsid w:val="67B97DDD"/>
    <w:rsid w:val="67BC5918"/>
    <w:rsid w:val="67BC5ABE"/>
    <w:rsid w:val="67BE71AA"/>
    <w:rsid w:val="67C044C4"/>
    <w:rsid w:val="67C279C8"/>
    <w:rsid w:val="67C63E4F"/>
    <w:rsid w:val="67C718D1"/>
    <w:rsid w:val="67CD37DA"/>
    <w:rsid w:val="67CE4ADF"/>
    <w:rsid w:val="67D15A64"/>
    <w:rsid w:val="67D356E3"/>
    <w:rsid w:val="67D5446A"/>
    <w:rsid w:val="67D66668"/>
    <w:rsid w:val="67D90273"/>
    <w:rsid w:val="67DB1465"/>
    <w:rsid w:val="67DB2AF0"/>
    <w:rsid w:val="67DD2A4B"/>
    <w:rsid w:val="67DE00D5"/>
    <w:rsid w:val="67DE14F6"/>
    <w:rsid w:val="67DE5875"/>
    <w:rsid w:val="67E049F9"/>
    <w:rsid w:val="67E27EFC"/>
    <w:rsid w:val="67E54704"/>
    <w:rsid w:val="67E55852"/>
    <w:rsid w:val="67E77C07"/>
    <w:rsid w:val="67EB1AB4"/>
    <w:rsid w:val="67EB5864"/>
    <w:rsid w:val="67EC080C"/>
    <w:rsid w:val="67F07212"/>
    <w:rsid w:val="67F22715"/>
    <w:rsid w:val="67F30197"/>
    <w:rsid w:val="67F4149B"/>
    <w:rsid w:val="67F87EA2"/>
    <w:rsid w:val="67F97B21"/>
    <w:rsid w:val="67FA1285"/>
    <w:rsid w:val="67FA55A3"/>
    <w:rsid w:val="67FC4329"/>
    <w:rsid w:val="67FE782C"/>
    <w:rsid w:val="67FF52AE"/>
    <w:rsid w:val="68026233"/>
    <w:rsid w:val="680571B7"/>
    <w:rsid w:val="6805760C"/>
    <w:rsid w:val="680601AA"/>
    <w:rsid w:val="680613B6"/>
    <w:rsid w:val="680A7DBC"/>
    <w:rsid w:val="680E2045"/>
    <w:rsid w:val="680E4244"/>
    <w:rsid w:val="680F7AC7"/>
    <w:rsid w:val="681151C8"/>
    <w:rsid w:val="68133F4F"/>
    <w:rsid w:val="681B135B"/>
    <w:rsid w:val="681E22E0"/>
    <w:rsid w:val="681F7D61"/>
    <w:rsid w:val="68213264"/>
    <w:rsid w:val="6827516E"/>
    <w:rsid w:val="682816DB"/>
    <w:rsid w:val="682D4AF8"/>
    <w:rsid w:val="68332285"/>
    <w:rsid w:val="68370C8B"/>
    <w:rsid w:val="683D2B94"/>
    <w:rsid w:val="683E4D93"/>
    <w:rsid w:val="6843121A"/>
    <w:rsid w:val="684461C6"/>
    <w:rsid w:val="684756A2"/>
    <w:rsid w:val="684E08B0"/>
    <w:rsid w:val="684F6332"/>
    <w:rsid w:val="685179D9"/>
    <w:rsid w:val="68551F4F"/>
    <w:rsid w:val="68565CBD"/>
    <w:rsid w:val="685933BE"/>
    <w:rsid w:val="685B68C1"/>
    <w:rsid w:val="68642A54"/>
    <w:rsid w:val="6868145A"/>
    <w:rsid w:val="68696EDC"/>
    <w:rsid w:val="686A10DA"/>
    <w:rsid w:val="686B6B5C"/>
    <w:rsid w:val="686F0DE5"/>
    <w:rsid w:val="68752CEE"/>
    <w:rsid w:val="6876296E"/>
    <w:rsid w:val="687A1374"/>
    <w:rsid w:val="687C10C9"/>
    <w:rsid w:val="687D22F9"/>
    <w:rsid w:val="687E35FE"/>
    <w:rsid w:val="68812AA4"/>
    <w:rsid w:val="688349F7"/>
    <w:rsid w:val="68840C16"/>
    <w:rsid w:val="68872541"/>
    <w:rsid w:val="68876EFB"/>
    <w:rsid w:val="68883F0D"/>
    <w:rsid w:val="68884654"/>
    <w:rsid w:val="688E5E17"/>
    <w:rsid w:val="68916D9B"/>
    <w:rsid w:val="68976726"/>
    <w:rsid w:val="68991C29"/>
    <w:rsid w:val="68997A2B"/>
    <w:rsid w:val="689A76AB"/>
    <w:rsid w:val="689C09B0"/>
    <w:rsid w:val="689F444F"/>
    <w:rsid w:val="68A015B4"/>
    <w:rsid w:val="68A17036"/>
    <w:rsid w:val="68A2033A"/>
    <w:rsid w:val="68A55A3C"/>
    <w:rsid w:val="68A660EC"/>
    <w:rsid w:val="68A97CC5"/>
    <w:rsid w:val="68AA0334"/>
    <w:rsid w:val="68AA1EC4"/>
    <w:rsid w:val="68AE414D"/>
    <w:rsid w:val="68B24D52"/>
    <w:rsid w:val="68B327D3"/>
    <w:rsid w:val="68B824DE"/>
    <w:rsid w:val="68B96DBB"/>
    <w:rsid w:val="68B97536"/>
    <w:rsid w:val="68BB3463"/>
    <w:rsid w:val="68C04067"/>
    <w:rsid w:val="68CA2805"/>
    <w:rsid w:val="68CE0DFE"/>
    <w:rsid w:val="68D42D08"/>
    <w:rsid w:val="68D77510"/>
    <w:rsid w:val="68D84F91"/>
    <w:rsid w:val="68DC3034"/>
    <w:rsid w:val="68DE74FF"/>
    <w:rsid w:val="68E17E1F"/>
    <w:rsid w:val="68E35521"/>
    <w:rsid w:val="68E92CAD"/>
    <w:rsid w:val="68E937A3"/>
    <w:rsid w:val="68FC644B"/>
    <w:rsid w:val="68FD194E"/>
    <w:rsid w:val="69023BD7"/>
    <w:rsid w:val="690647DC"/>
    <w:rsid w:val="69087CDF"/>
    <w:rsid w:val="690C1F68"/>
    <w:rsid w:val="690E1BE8"/>
    <w:rsid w:val="691163F0"/>
    <w:rsid w:val="691205EE"/>
    <w:rsid w:val="691318F3"/>
    <w:rsid w:val="691664E5"/>
    <w:rsid w:val="69185D7B"/>
    <w:rsid w:val="691D080A"/>
    <w:rsid w:val="691F72A9"/>
    <w:rsid w:val="69305620"/>
    <w:rsid w:val="69326925"/>
    <w:rsid w:val="6937082E"/>
    <w:rsid w:val="69393D31"/>
    <w:rsid w:val="693A5F2F"/>
    <w:rsid w:val="693B7234"/>
    <w:rsid w:val="693E15D3"/>
    <w:rsid w:val="693F6A4B"/>
    <w:rsid w:val="69475245"/>
    <w:rsid w:val="69490748"/>
    <w:rsid w:val="6949654A"/>
    <w:rsid w:val="694A1A7C"/>
    <w:rsid w:val="694B5484"/>
    <w:rsid w:val="6954235C"/>
    <w:rsid w:val="69557DDE"/>
    <w:rsid w:val="695A4266"/>
    <w:rsid w:val="695B1CE7"/>
    <w:rsid w:val="69605445"/>
    <w:rsid w:val="6960616F"/>
    <w:rsid w:val="69627681"/>
    <w:rsid w:val="696525F7"/>
    <w:rsid w:val="6966778D"/>
    <w:rsid w:val="69701C8D"/>
    <w:rsid w:val="69713A6A"/>
    <w:rsid w:val="6972190C"/>
    <w:rsid w:val="6977531D"/>
    <w:rsid w:val="69777AD4"/>
    <w:rsid w:val="697F6A24"/>
    <w:rsid w:val="698066A4"/>
    <w:rsid w:val="698279A8"/>
    <w:rsid w:val="69837628"/>
    <w:rsid w:val="69841670"/>
    <w:rsid w:val="698605AD"/>
    <w:rsid w:val="69863787"/>
    <w:rsid w:val="69887333"/>
    <w:rsid w:val="698C24B6"/>
    <w:rsid w:val="698D7F38"/>
    <w:rsid w:val="698E59B9"/>
    <w:rsid w:val="69913047"/>
    <w:rsid w:val="699356C4"/>
    <w:rsid w:val="69947FC8"/>
    <w:rsid w:val="69950BC7"/>
    <w:rsid w:val="69983D4A"/>
    <w:rsid w:val="699C0552"/>
    <w:rsid w:val="699D5FD4"/>
    <w:rsid w:val="69A04D04"/>
    <w:rsid w:val="69A3595F"/>
    <w:rsid w:val="69A433E0"/>
    <w:rsid w:val="69A47B5D"/>
    <w:rsid w:val="69AB74E8"/>
    <w:rsid w:val="69AD626E"/>
    <w:rsid w:val="69B82081"/>
    <w:rsid w:val="69B95771"/>
    <w:rsid w:val="69BC0A87"/>
    <w:rsid w:val="69BD345C"/>
    <w:rsid w:val="69BE3F8A"/>
    <w:rsid w:val="69C14F0F"/>
    <w:rsid w:val="69C53915"/>
    <w:rsid w:val="69C76E18"/>
    <w:rsid w:val="69CC2BFF"/>
    <w:rsid w:val="69CF1CA6"/>
    <w:rsid w:val="69D151A9"/>
    <w:rsid w:val="69D53BAF"/>
    <w:rsid w:val="69D770B2"/>
    <w:rsid w:val="69DC6DBD"/>
    <w:rsid w:val="69E179C2"/>
    <w:rsid w:val="69E25443"/>
    <w:rsid w:val="69E36748"/>
    <w:rsid w:val="69E441CA"/>
    <w:rsid w:val="69E6197E"/>
    <w:rsid w:val="69E676CD"/>
    <w:rsid w:val="69E7734D"/>
    <w:rsid w:val="69E84DCE"/>
    <w:rsid w:val="69ED1256"/>
    <w:rsid w:val="69EF4759"/>
    <w:rsid w:val="69F021DB"/>
    <w:rsid w:val="69F44464"/>
    <w:rsid w:val="69F640E4"/>
    <w:rsid w:val="69F82E6A"/>
    <w:rsid w:val="69FA2AEA"/>
    <w:rsid w:val="69FC5FED"/>
    <w:rsid w:val="69FD55B8"/>
    <w:rsid w:val="69FF49F3"/>
    <w:rsid w:val="6A0333FA"/>
    <w:rsid w:val="6A0546FF"/>
    <w:rsid w:val="6A06437E"/>
    <w:rsid w:val="6A075683"/>
    <w:rsid w:val="6A087881"/>
    <w:rsid w:val="6A0A2D85"/>
    <w:rsid w:val="6A0B1C62"/>
    <w:rsid w:val="6A0F2A90"/>
    <w:rsid w:val="6A0F720C"/>
    <w:rsid w:val="6A120191"/>
    <w:rsid w:val="6A151116"/>
    <w:rsid w:val="6A16241A"/>
    <w:rsid w:val="6A166B97"/>
    <w:rsid w:val="6A174619"/>
    <w:rsid w:val="6A1F52A8"/>
    <w:rsid w:val="6A2406C8"/>
    <w:rsid w:val="6A2E7AC1"/>
    <w:rsid w:val="6A3264C7"/>
    <w:rsid w:val="6A3377CC"/>
    <w:rsid w:val="6A352CCF"/>
    <w:rsid w:val="6A364619"/>
    <w:rsid w:val="6A37294F"/>
    <w:rsid w:val="6A3761D2"/>
    <w:rsid w:val="6A3938D4"/>
    <w:rsid w:val="6A3B6DD7"/>
    <w:rsid w:val="6A3C4858"/>
    <w:rsid w:val="6A3E7D5B"/>
    <w:rsid w:val="6A3F57DD"/>
    <w:rsid w:val="6A4454E8"/>
    <w:rsid w:val="6A472BE9"/>
    <w:rsid w:val="6A4960ED"/>
    <w:rsid w:val="6A4B4E73"/>
    <w:rsid w:val="6A510F7A"/>
    <w:rsid w:val="6A541EFF"/>
    <w:rsid w:val="6A570C85"/>
    <w:rsid w:val="6A572E84"/>
    <w:rsid w:val="6A591C09"/>
    <w:rsid w:val="6A591C0A"/>
    <w:rsid w:val="6A596387"/>
    <w:rsid w:val="6A5A70C2"/>
    <w:rsid w:val="6A647F9B"/>
    <w:rsid w:val="6A652199"/>
    <w:rsid w:val="6A68311E"/>
    <w:rsid w:val="6A6A40A3"/>
    <w:rsid w:val="6A6B1B24"/>
    <w:rsid w:val="6A6B7926"/>
    <w:rsid w:val="6A6C75A6"/>
    <w:rsid w:val="6A6D2E29"/>
    <w:rsid w:val="6A6F052B"/>
    <w:rsid w:val="6A7B433D"/>
    <w:rsid w:val="6A8856D2"/>
    <w:rsid w:val="6A8C103D"/>
    <w:rsid w:val="6A8C2BF2"/>
    <w:rsid w:val="6A8F6861"/>
    <w:rsid w:val="6A911D64"/>
    <w:rsid w:val="6A984535"/>
    <w:rsid w:val="6A9A6657"/>
    <w:rsid w:val="6A9C00F5"/>
    <w:rsid w:val="6A9F48FD"/>
    <w:rsid w:val="6AA0237F"/>
    <w:rsid w:val="6AA25882"/>
    <w:rsid w:val="6AA50A05"/>
    <w:rsid w:val="6AAA0710"/>
    <w:rsid w:val="6AAB290E"/>
    <w:rsid w:val="6AB4101F"/>
    <w:rsid w:val="6AB64522"/>
    <w:rsid w:val="6ABD60AB"/>
    <w:rsid w:val="6ABF15AE"/>
    <w:rsid w:val="6AC10335"/>
    <w:rsid w:val="6AC534B8"/>
    <w:rsid w:val="6AC56D3B"/>
    <w:rsid w:val="6ACB20FD"/>
    <w:rsid w:val="6AD01849"/>
    <w:rsid w:val="6AD267D2"/>
    <w:rsid w:val="6AD611D4"/>
    <w:rsid w:val="6ADA15C0"/>
    <w:rsid w:val="6ADE0BD1"/>
    <w:rsid w:val="6AE213F9"/>
    <w:rsid w:val="6AE362EB"/>
    <w:rsid w:val="6AE517EE"/>
    <w:rsid w:val="6AE901F4"/>
    <w:rsid w:val="6AE96859"/>
    <w:rsid w:val="6AEA0D00"/>
    <w:rsid w:val="6AF15601"/>
    <w:rsid w:val="6AF164A8"/>
    <w:rsid w:val="6AF51A88"/>
    <w:rsid w:val="6AF74F8C"/>
    <w:rsid w:val="6AFC1413"/>
    <w:rsid w:val="6AFC4C97"/>
    <w:rsid w:val="6B0A0406"/>
    <w:rsid w:val="6B0A3FAC"/>
    <w:rsid w:val="6B0B3C2C"/>
    <w:rsid w:val="6B0C16AE"/>
    <w:rsid w:val="6B0D10B1"/>
    <w:rsid w:val="6B0E68F2"/>
    <w:rsid w:val="6B1235B7"/>
    <w:rsid w:val="6B1348BC"/>
    <w:rsid w:val="6B147746"/>
    <w:rsid w:val="6B161FBD"/>
    <w:rsid w:val="6B1B22AD"/>
    <w:rsid w:val="6B1C774A"/>
    <w:rsid w:val="6B2028CD"/>
    <w:rsid w:val="6B213BD1"/>
    <w:rsid w:val="6B225DD0"/>
    <w:rsid w:val="6B24787C"/>
    <w:rsid w:val="6B2547D6"/>
    <w:rsid w:val="6B275ADB"/>
    <w:rsid w:val="6B34156D"/>
    <w:rsid w:val="6B352872"/>
    <w:rsid w:val="6B3724F2"/>
    <w:rsid w:val="6B3A6CFA"/>
    <w:rsid w:val="6B3B475E"/>
    <w:rsid w:val="6B3D1E7D"/>
    <w:rsid w:val="6B3D7C7E"/>
    <w:rsid w:val="6B3F5380"/>
    <w:rsid w:val="6B421B88"/>
    <w:rsid w:val="6B44347E"/>
    <w:rsid w:val="6B47600F"/>
    <w:rsid w:val="6B491513"/>
    <w:rsid w:val="6B4E599A"/>
    <w:rsid w:val="6B5314C7"/>
    <w:rsid w:val="6B564DC0"/>
    <w:rsid w:val="6B573233"/>
    <w:rsid w:val="6B5B6274"/>
    <w:rsid w:val="6B62243D"/>
    <w:rsid w:val="6B627EBE"/>
    <w:rsid w:val="6B663041"/>
    <w:rsid w:val="6B681DC7"/>
    <w:rsid w:val="6B6A52CA"/>
    <w:rsid w:val="6B6B74C9"/>
    <w:rsid w:val="6B6F2CF5"/>
    <w:rsid w:val="6B714C55"/>
    <w:rsid w:val="6B7248D5"/>
    <w:rsid w:val="6B726E54"/>
    <w:rsid w:val="6B732357"/>
    <w:rsid w:val="6B74654A"/>
    <w:rsid w:val="6B75365C"/>
    <w:rsid w:val="6B7A3154"/>
    <w:rsid w:val="6B80746E"/>
    <w:rsid w:val="6B822971"/>
    <w:rsid w:val="6B8538F6"/>
    <w:rsid w:val="6B880FF7"/>
    <w:rsid w:val="6B896A79"/>
    <w:rsid w:val="6B8D0D02"/>
    <w:rsid w:val="6B8D2F01"/>
    <w:rsid w:val="6B8F6404"/>
    <w:rsid w:val="6B935D53"/>
    <w:rsid w:val="6B95030D"/>
    <w:rsid w:val="6B984B15"/>
    <w:rsid w:val="6B9A4795"/>
    <w:rsid w:val="6B9C7418"/>
    <w:rsid w:val="6BA14120"/>
    <w:rsid w:val="6BA179A3"/>
    <w:rsid w:val="6BA40927"/>
    <w:rsid w:val="6BA505A7"/>
    <w:rsid w:val="6BA563A9"/>
    <w:rsid w:val="6BA73AAA"/>
    <w:rsid w:val="6BAB5D34"/>
    <w:rsid w:val="6BAF65B7"/>
    <w:rsid w:val="6BB40BC2"/>
    <w:rsid w:val="6BC952E4"/>
    <w:rsid w:val="6BCC1AEC"/>
    <w:rsid w:val="6BCE4FEF"/>
    <w:rsid w:val="6BCF71ED"/>
    <w:rsid w:val="6BD04C6F"/>
    <w:rsid w:val="6BD15F74"/>
    <w:rsid w:val="6BD43675"/>
    <w:rsid w:val="6BD46EF8"/>
    <w:rsid w:val="6BD745FA"/>
    <w:rsid w:val="6BDB0A81"/>
    <w:rsid w:val="6BDF5289"/>
    <w:rsid w:val="6BE35E8E"/>
    <w:rsid w:val="6BE47193"/>
    <w:rsid w:val="6BE82315"/>
    <w:rsid w:val="6BE9361A"/>
    <w:rsid w:val="6BEF1CA0"/>
    <w:rsid w:val="6BF64EAE"/>
    <w:rsid w:val="6BFA0BC8"/>
    <w:rsid w:val="6BFD22BB"/>
    <w:rsid w:val="6BFE3795"/>
    <w:rsid w:val="6BFE44B9"/>
    <w:rsid w:val="6BFE6DFA"/>
    <w:rsid w:val="6C0079BC"/>
    <w:rsid w:val="6C022EBF"/>
    <w:rsid w:val="6C0341C4"/>
    <w:rsid w:val="6C053E44"/>
    <w:rsid w:val="6C056C25"/>
    <w:rsid w:val="6C08064C"/>
    <w:rsid w:val="6C0A3B4F"/>
    <w:rsid w:val="6C0B5D4D"/>
    <w:rsid w:val="6C0E2555"/>
    <w:rsid w:val="6C14665D"/>
    <w:rsid w:val="6C1808E6"/>
    <w:rsid w:val="6C196F71"/>
    <w:rsid w:val="6C2211F6"/>
    <w:rsid w:val="6C226FCB"/>
    <w:rsid w:val="6C2830FF"/>
    <w:rsid w:val="6C2B259B"/>
    <w:rsid w:val="6C2E5548"/>
    <w:rsid w:val="6C2F630D"/>
    <w:rsid w:val="6C303729"/>
    <w:rsid w:val="6C31226F"/>
    <w:rsid w:val="6C321490"/>
    <w:rsid w:val="6C327292"/>
    <w:rsid w:val="6C340216"/>
    <w:rsid w:val="6C36371A"/>
    <w:rsid w:val="6C3C1DA0"/>
    <w:rsid w:val="6C3D038B"/>
    <w:rsid w:val="6C411AAB"/>
    <w:rsid w:val="6C465F32"/>
    <w:rsid w:val="6C481435"/>
    <w:rsid w:val="6C4910B5"/>
    <w:rsid w:val="6C511D45"/>
    <w:rsid w:val="6C54385C"/>
    <w:rsid w:val="6C552F0B"/>
    <w:rsid w:val="6C562949"/>
    <w:rsid w:val="6C5938CE"/>
    <w:rsid w:val="6C5E35D9"/>
    <w:rsid w:val="6C5F105B"/>
    <w:rsid w:val="6C5F3CBB"/>
    <w:rsid w:val="6C631C5F"/>
    <w:rsid w:val="6C666467"/>
    <w:rsid w:val="6C670665"/>
    <w:rsid w:val="6C6860E7"/>
    <w:rsid w:val="6C691A23"/>
    <w:rsid w:val="6C6C4AED"/>
    <w:rsid w:val="6C6C4CB7"/>
    <w:rsid w:val="6C7034F3"/>
    <w:rsid w:val="6C706D77"/>
    <w:rsid w:val="6C710F75"/>
    <w:rsid w:val="6C737CFB"/>
    <w:rsid w:val="6C7A1884"/>
    <w:rsid w:val="6C7C2B89"/>
    <w:rsid w:val="6C814A92"/>
    <w:rsid w:val="6C8574C7"/>
    <w:rsid w:val="6C860F1A"/>
    <w:rsid w:val="6C8B40D0"/>
    <w:rsid w:val="6C8C2E23"/>
    <w:rsid w:val="6C8C67B7"/>
    <w:rsid w:val="6C8E6327"/>
    <w:rsid w:val="6C924D2D"/>
    <w:rsid w:val="6C9B563C"/>
    <w:rsid w:val="6C9B7BBF"/>
    <w:rsid w:val="6C9C30BE"/>
    <w:rsid w:val="6C9D0B3F"/>
    <w:rsid w:val="6C9D744C"/>
    <w:rsid w:val="6C9E1E44"/>
    <w:rsid w:val="6C9E65C1"/>
    <w:rsid w:val="6CA2084A"/>
    <w:rsid w:val="6CA32A49"/>
    <w:rsid w:val="6CA55F4C"/>
    <w:rsid w:val="6CA639CD"/>
    <w:rsid w:val="6CAA2B0F"/>
    <w:rsid w:val="6CAA5C57"/>
    <w:rsid w:val="6CAB36D8"/>
    <w:rsid w:val="6CAC115A"/>
    <w:rsid w:val="6CAF20DF"/>
    <w:rsid w:val="6CB32CE3"/>
    <w:rsid w:val="6CB94BEC"/>
    <w:rsid w:val="6CBC13F4"/>
    <w:rsid w:val="6CBE1074"/>
    <w:rsid w:val="6CBF6AF6"/>
    <w:rsid w:val="6CC07DFA"/>
    <w:rsid w:val="6CC46801"/>
    <w:rsid w:val="6CC77785"/>
    <w:rsid w:val="6CC85207"/>
    <w:rsid w:val="6CC94E87"/>
    <w:rsid w:val="6CCA2908"/>
    <w:rsid w:val="6CCB618B"/>
    <w:rsid w:val="6CCD168F"/>
    <w:rsid w:val="6CD01269"/>
    <w:rsid w:val="6CD04811"/>
    <w:rsid w:val="6CD15B16"/>
    <w:rsid w:val="6CD7419C"/>
    <w:rsid w:val="6CD9769F"/>
    <w:rsid w:val="6CDC0624"/>
    <w:rsid w:val="6CDD3B27"/>
    <w:rsid w:val="6CDF4E2C"/>
    <w:rsid w:val="6CEE7645"/>
    <w:rsid w:val="6CF64A51"/>
    <w:rsid w:val="6CF959D6"/>
    <w:rsid w:val="6CFC21DE"/>
    <w:rsid w:val="6CFC695A"/>
    <w:rsid w:val="6CFD045F"/>
    <w:rsid w:val="6CFF3162"/>
    <w:rsid w:val="6D0240E7"/>
    <w:rsid w:val="6D031B69"/>
    <w:rsid w:val="6D033D67"/>
    <w:rsid w:val="6D05726A"/>
    <w:rsid w:val="6D0B1D5B"/>
    <w:rsid w:val="6D0D4676"/>
    <w:rsid w:val="6D0F7B79"/>
    <w:rsid w:val="6D144001"/>
    <w:rsid w:val="6D167928"/>
    <w:rsid w:val="6D193D0C"/>
    <w:rsid w:val="6D1A398C"/>
    <w:rsid w:val="6D1C4C91"/>
    <w:rsid w:val="6D221D1D"/>
    <w:rsid w:val="6D22461C"/>
    <w:rsid w:val="6D24429C"/>
    <w:rsid w:val="6D26299B"/>
    <w:rsid w:val="6D290723"/>
    <w:rsid w:val="6D2D29AD"/>
    <w:rsid w:val="6D2E042E"/>
    <w:rsid w:val="6D2E262D"/>
    <w:rsid w:val="6D321033"/>
    <w:rsid w:val="6D357DB9"/>
    <w:rsid w:val="6D3869C4"/>
    <w:rsid w:val="6D3909BE"/>
    <w:rsid w:val="6D3D73C4"/>
    <w:rsid w:val="6D3F28C7"/>
    <w:rsid w:val="6D473557"/>
    <w:rsid w:val="6D4772EC"/>
    <w:rsid w:val="6D480FD8"/>
    <w:rsid w:val="6D4A44DB"/>
    <w:rsid w:val="6D4B1F5D"/>
    <w:rsid w:val="6D4E2EE1"/>
    <w:rsid w:val="6D5118E8"/>
    <w:rsid w:val="6D527369"/>
    <w:rsid w:val="6D5737F1"/>
    <w:rsid w:val="6D5A003F"/>
    <w:rsid w:val="6D5B21F7"/>
    <w:rsid w:val="6D5F0BFD"/>
    <w:rsid w:val="6D601F02"/>
    <w:rsid w:val="6D6141DB"/>
    <w:rsid w:val="6D625405"/>
    <w:rsid w:val="6D6B0293"/>
    <w:rsid w:val="6D6C7F13"/>
    <w:rsid w:val="6D6D3796"/>
    <w:rsid w:val="6D6E6C99"/>
    <w:rsid w:val="6D6F4B97"/>
    <w:rsid w:val="6D70219D"/>
    <w:rsid w:val="6D70425D"/>
    <w:rsid w:val="6D717C1E"/>
    <w:rsid w:val="6D73789E"/>
    <w:rsid w:val="6D79502A"/>
    <w:rsid w:val="6D7C5FAF"/>
    <w:rsid w:val="6D8049B5"/>
    <w:rsid w:val="6D837B38"/>
    <w:rsid w:val="6D860ABD"/>
    <w:rsid w:val="6D8C29C6"/>
    <w:rsid w:val="6D8D3CCB"/>
    <w:rsid w:val="6D8F71CE"/>
    <w:rsid w:val="6D9078AF"/>
    <w:rsid w:val="6D957AEC"/>
    <w:rsid w:val="6D97706B"/>
    <w:rsid w:val="6D9A775D"/>
    <w:rsid w:val="6D9B2FE1"/>
    <w:rsid w:val="6D9D06E2"/>
    <w:rsid w:val="6D9D64E4"/>
    <w:rsid w:val="6DA01667"/>
    <w:rsid w:val="6DA97D78"/>
    <w:rsid w:val="6DAA3FEF"/>
    <w:rsid w:val="6DB22C06"/>
    <w:rsid w:val="6DB46109"/>
    <w:rsid w:val="6DB6160C"/>
    <w:rsid w:val="6DB82591"/>
    <w:rsid w:val="6DC0172B"/>
    <w:rsid w:val="6DC22EA0"/>
    <w:rsid w:val="6DC30922"/>
    <w:rsid w:val="6DC463A3"/>
    <w:rsid w:val="6DCB690C"/>
    <w:rsid w:val="6DCF4734"/>
    <w:rsid w:val="6DD369BE"/>
    <w:rsid w:val="6DD41A5B"/>
    <w:rsid w:val="6DD753C4"/>
    <w:rsid w:val="6DDC3A4A"/>
    <w:rsid w:val="6DE05CD4"/>
    <w:rsid w:val="6DE36C58"/>
    <w:rsid w:val="6DE40E56"/>
    <w:rsid w:val="6DE41D8A"/>
    <w:rsid w:val="6DE446DA"/>
    <w:rsid w:val="6DE6435A"/>
    <w:rsid w:val="6DE67BDD"/>
    <w:rsid w:val="6DE830E0"/>
    <w:rsid w:val="6DEA07E1"/>
    <w:rsid w:val="6DEB6263"/>
    <w:rsid w:val="6DED7568"/>
    <w:rsid w:val="6DEE4FF3"/>
    <w:rsid w:val="6DEF2A6B"/>
    <w:rsid w:val="6DF004EC"/>
    <w:rsid w:val="6DF026EB"/>
    <w:rsid w:val="6DF21471"/>
    <w:rsid w:val="6DF43C2E"/>
    <w:rsid w:val="6DF51CA3"/>
    <w:rsid w:val="6DF67E77"/>
    <w:rsid w:val="6DF87AF7"/>
    <w:rsid w:val="6DFB18F6"/>
    <w:rsid w:val="6DFC1D81"/>
    <w:rsid w:val="6DFC64FD"/>
    <w:rsid w:val="6E023C8A"/>
    <w:rsid w:val="6E054C0E"/>
    <w:rsid w:val="6E056E0D"/>
    <w:rsid w:val="6E062690"/>
    <w:rsid w:val="6E070112"/>
    <w:rsid w:val="6E085B93"/>
    <w:rsid w:val="6E087D91"/>
    <w:rsid w:val="6E091096"/>
    <w:rsid w:val="6E0B4599"/>
    <w:rsid w:val="6E0D7A9C"/>
    <w:rsid w:val="6E0E20CE"/>
    <w:rsid w:val="6E0E551E"/>
    <w:rsid w:val="6E1319A6"/>
    <w:rsid w:val="6E1938AF"/>
    <w:rsid w:val="6E195E09"/>
    <w:rsid w:val="6E1C4834"/>
    <w:rsid w:val="6E293B49"/>
    <w:rsid w:val="6E2B704C"/>
    <w:rsid w:val="6E3034D4"/>
    <w:rsid w:val="6E32225B"/>
    <w:rsid w:val="6E39049D"/>
    <w:rsid w:val="6E3A66A7"/>
    <w:rsid w:val="6E3B3B2D"/>
    <w:rsid w:val="6E3E026B"/>
    <w:rsid w:val="6E3E606D"/>
    <w:rsid w:val="6E442175"/>
    <w:rsid w:val="6E465678"/>
    <w:rsid w:val="6E48319A"/>
    <w:rsid w:val="6E4843FE"/>
    <w:rsid w:val="6E492FEB"/>
    <w:rsid w:val="6E4965FC"/>
    <w:rsid w:val="6E50180B"/>
    <w:rsid w:val="6E526F0C"/>
    <w:rsid w:val="6E580E15"/>
    <w:rsid w:val="6E584699"/>
    <w:rsid w:val="6E5A7B9C"/>
    <w:rsid w:val="6E5C5B98"/>
    <w:rsid w:val="6E5C781B"/>
    <w:rsid w:val="6E606222"/>
    <w:rsid w:val="6E647D14"/>
    <w:rsid w:val="6E6C7AB6"/>
    <w:rsid w:val="6E6E0DBB"/>
    <w:rsid w:val="6E730A74"/>
    <w:rsid w:val="6E740745"/>
    <w:rsid w:val="6E7603C5"/>
    <w:rsid w:val="6E775E47"/>
    <w:rsid w:val="6E7838C8"/>
    <w:rsid w:val="6E7F6AD7"/>
    <w:rsid w:val="6E8335BD"/>
    <w:rsid w:val="6E896BA2"/>
    <w:rsid w:val="6E8A28E9"/>
    <w:rsid w:val="6E8B7991"/>
    <w:rsid w:val="6E8C5DEC"/>
    <w:rsid w:val="6E8E12EF"/>
    <w:rsid w:val="6E927CF6"/>
    <w:rsid w:val="6E946A7C"/>
    <w:rsid w:val="6E9666FC"/>
    <w:rsid w:val="6E972936"/>
    <w:rsid w:val="6E996E4B"/>
    <w:rsid w:val="6E9E3B08"/>
    <w:rsid w:val="6E9F158A"/>
    <w:rsid w:val="6EA25D92"/>
    <w:rsid w:val="6EA41295"/>
    <w:rsid w:val="6EA81E99"/>
    <w:rsid w:val="6EA9571C"/>
    <w:rsid w:val="6EB3022A"/>
    <w:rsid w:val="6EB611AF"/>
    <w:rsid w:val="6EB64A32"/>
    <w:rsid w:val="6EB846B2"/>
    <w:rsid w:val="6EB92134"/>
    <w:rsid w:val="6EBB0EBA"/>
    <w:rsid w:val="6EBC693B"/>
    <w:rsid w:val="6EBF78C0"/>
    <w:rsid w:val="6EC33D48"/>
    <w:rsid w:val="6EC5724B"/>
    <w:rsid w:val="6EC7274E"/>
    <w:rsid w:val="6EC95C51"/>
    <w:rsid w:val="6ECE6856"/>
    <w:rsid w:val="6ED01D59"/>
    <w:rsid w:val="6ED22CDD"/>
    <w:rsid w:val="6ED2525C"/>
    <w:rsid w:val="6ED3075F"/>
    <w:rsid w:val="6ED446C5"/>
    <w:rsid w:val="6ED616E4"/>
    <w:rsid w:val="6ED674E5"/>
    <w:rsid w:val="6ED77165"/>
    <w:rsid w:val="6ED84BE7"/>
    <w:rsid w:val="6EDC35ED"/>
    <w:rsid w:val="6EDF7DF5"/>
    <w:rsid w:val="6EEA080E"/>
    <w:rsid w:val="6EEA6186"/>
    <w:rsid w:val="6EEB22DE"/>
    <w:rsid w:val="6EEB3C07"/>
    <w:rsid w:val="6EEF260E"/>
    <w:rsid w:val="6EF9099F"/>
    <w:rsid w:val="6EFB7725"/>
    <w:rsid w:val="6EFC1923"/>
    <w:rsid w:val="6EFC51A7"/>
    <w:rsid w:val="6EFE06AA"/>
    <w:rsid w:val="6EFE4E26"/>
    <w:rsid w:val="6F02382D"/>
    <w:rsid w:val="6F0567F5"/>
    <w:rsid w:val="6F096A3B"/>
    <w:rsid w:val="6F0B1F3E"/>
    <w:rsid w:val="6F0B413C"/>
    <w:rsid w:val="6F0D15DF"/>
    <w:rsid w:val="6F0E2EC2"/>
    <w:rsid w:val="6F1063C6"/>
    <w:rsid w:val="6F123AC7"/>
    <w:rsid w:val="6F12734A"/>
    <w:rsid w:val="6F134DCC"/>
    <w:rsid w:val="6F146FCA"/>
    <w:rsid w:val="6F1A0ED3"/>
    <w:rsid w:val="6F1F535B"/>
    <w:rsid w:val="6F21085E"/>
    <w:rsid w:val="6F221B63"/>
    <w:rsid w:val="6F2375E4"/>
    <w:rsid w:val="6F252AE8"/>
    <w:rsid w:val="6F262767"/>
    <w:rsid w:val="6F282DD0"/>
    <w:rsid w:val="6F287EEA"/>
    <w:rsid w:val="6F2A7D94"/>
    <w:rsid w:val="6F2C7EF4"/>
    <w:rsid w:val="6F3068FA"/>
    <w:rsid w:val="6F383D07"/>
    <w:rsid w:val="6F395816"/>
    <w:rsid w:val="6F395F05"/>
    <w:rsid w:val="6F3B6E8A"/>
    <w:rsid w:val="6F3C270D"/>
    <w:rsid w:val="6F3C490B"/>
    <w:rsid w:val="6F3E7E0E"/>
    <w:rsid w:val="6F416B95"/>
    <w:rsid w:val="6F437B19"/>
    <w:rsid w:val="6F44559B"/>
    <w:rsid w:val="6F491A22"/>
    <w:rsid w:val="6F4C29A7"/>
    <w:rsid w:val="6F4F392C"/>
    <w:rsid w:val="6F59423B"/>
    <w:rsid w:val="6F5A1CBD"/>
    <w:rsid w:val="6F5B773E"/>
    <w:rsid w:val="6F5D06C3"/>
    <w:rsid w:val="6F5F19C8"/>
    <w:rsid w:val="6F62294C"/>
    <w:rsid w:val="6F6944D6"/>
    <w:rsid w:val="6F6D491A"/>
    <w:rsid w:val="6F6E095D"/>
    <w:rsid w:val="6F6F63DF"/>
    <w:rsid w:val="6F7076E4"/>
    <w:rsid w:val="6F7118E2"/>
    <w:rsid w:val="6F730668"/>
    <w:rsid w:val="6F755D6A"/>
    <w:rsid w:val="6F7615ED"/>
    <w:rsid w:val="6F761653"/>
    <w:rsid w:val="6F775766"/>
    <w:rsid w:val="6F7A21F2"/>
    <w:rsid w:val="6F7E1B24"/>
    <w:rsid w:val="6F7E447B"/>
    <w:rsid w:val="6F822E81"/>
    <w:rsid w:val="6F825B12"/>
    <w:rsid w:val="6F8331F1"/>
    <w:rsid w:val="6F853E06"/>
    <w:rsid w:val="6F866004"/>
    <w:rsid w:val="6F8B248C"/>
    <w:rsid w:val="6F902197"/>
    <w:rsid w:val="6F927898"/>
    <w:rsid w:val="6F93531A"/>
    <w:rsid w:val="6F94661F"/>
    <w:rsid w:val="6F9775A3"/>
    <w:rsid w:val="6F9B59F7"/>
    <w:rsid w:val="6F9C5852"/>
    <w:rsid w:val="6F9D5C29"/>
    <w:rsid w:val="6FA17EB3"/>
    <w:rsid w:val="6FA25934"/>
    <w:rsid w:val="6FA37B33"/>
    <w:rsid w:val="6FA568B9"/>
    <w:rsid w:val="6FA71DBC"/>
    <w:rsid w:val="6FAE1A09"/>
    <w:rsid w:val="6FAF4FFE"/>
    <w:rsid w:val="6FAF638E"/>
    <w:rsid w:val="6FB1014D"/>
    <w:rsid w:val="6FB25BCF"/>
    <w:rsid w:val="6FB410D2"/>
    <w:rsid w:val="6FB56B53"/>
    <w:rsid w:val="6FB645D5"/>
    <w:rsid w:val="6FBA38B6"/>
    <w:rsid w:val="6FC12966"/>
    <w:rsid w:val="6FC21A38"/>
    <w:rsid w:val="6FC4136C"/>
    <w:rsid w:val="6FCA3275"/>
    <w:rsid w:val="6FCE1C7C"/>
    <w:rsid w:val="6FD31987"/>
    <w:rsid w:val="6FD435EC"/>
    <w:rsid w:val="6FD44C3F"/>
    <w:rsid w:val="6FD75BF8"/>
    <w:rsid w:val="6FDE7D18"/>
    <w:rsid w:val="6FE3639E"/>
    <w:rsid w:val="6FE70627"/>
    <w:rsid w:val="6FE902A7"/>
    <w:rsid w:val="6FEB7D36"/>
    <w:rsid w:val="6FEC122C"/>
    <w:rsid w:val="6FED2530"/>
    <w:rsid w:val="6FED6CAD"/>
    <w:rsid w:val="6FF13F65"/>
    <w:rsid w:val="6FF30BB6"/>
    <w:rsid w:val="6FF440BA"/>
    <w:rsid w:val="6FF5793D"/>
    <w:rsid w:val="6FF95A69"/>
    <w:rsid w:val="6FFA3DC5"/>
    <w:rsid w:val="6FFC14C6"/>
    <w:rsid w:val="6FFC43C3"/>
    <w:rsid w:val="6FFD6F48"/>
    <w:rsid w:val="7000374F"/>
    <w:rsid w:val="700111D1"/>
    <w:rsid w:val="70042156"/>
    <w:rsid w:val="700468D2"/>
    <w:rsid w:val="70061DD5"/>
    <w:rsid w:val="700730DA"/>
    <w:rsid w:val="70080B5C"/>
    <w:rsid w:val="700852D9"/>
    <w:rsid w:val="700A05D4"/>
    <w:rsid w:val="70115BE8"/>
    <w:rsid w:val="7012146B"/>
    <w:rsid w:val="70136EED"/>
    <w:rsid w:val="701658F3"/>
    <w:rsid w:val="70227A0B"/>
    <w:rsid w:val="7025268A"/>
    <w:rsid w:val="70295378"/>
    <w:rsid w:val="702B4594"/>
    <w:rsid w:val="702C7A97"/>
    <w:rsid w:val="702E0D9C"/>
    <w:rsid w:val="7030429F"/>
    <w:rsid w:val="70337422"/>
    <w:rsid w:val="70394BAE"/>
    <w:rsid w:val="703E1036"/>
    <w:rsid w:val="703F3234"/>
    <w:rsid w:val="703F6AB7"/>
    <w:rsid w:val="70432DA3"/>
    <w:rsid w:val="70442F3F"/>
    <w:rsid w:val="70466442"/>
    <w:rsid w:val="704760C2"/>
    <w:rsid w:val="70481945"/>
    <w:rsid w:val="704B5385"/>
    <w:rsid w:val="70500F50"/>
    <w:rsid w:val="705666DD"/>
    <w:rsid w:val="705A50E3"/>
    <w:rsid w:val="705C415E"/>
    <w:rsid w:val="705D27E4"/>
    <w:rsid w:val="705F156B"/>
    <w:rsid w:val="705F4991"/>
    <w:rsid w:val="7063216F"/>
    <w:rsid w:val="706743F9"/>
    <w:rsid w:val="706A1AFA"/>
    <w:rsid w:val="706B2DFF"/>
    <w:rsid w:val="706B757B"/>
    <w:rsid w:val="706C0880"/>
    <w:rsid w:val="706F5F82"/>
    <w:rsid w:val="707723D0"/>
    <w:rsid w:val="707A7A47"/>
    <w:rsid w:val="70814FA2"/>
    <w:rsid w:val="70881F3B"/>
    <w:rsid w:val="708B5462"/>
    <w:rsid w:val="708E6837"/>
    <w:rsid w:val="70920AC0"/>
    <w:rsid w:val="70936542"/>
    <w:rsid w:val="70940740"/>
    <w:rsid w:val="7096509E"/>
    <w:rsid w:val="709674C6"/>
    <w:rsid w:val="709829C9"/>
    <w:rsid w:val="709A5ECC"/>
    <w:rsid w:val="70A01FD4"/>
    <w:rsid w:val="70A409DA"/>
    <w:rsid w:val="70AC166A"/>
    <w:rsid w:val="70AE4B6D"/>
    <w:rsid w:val="70AF25EE"/>
    <w:rsid w:val="70BC1904"/>
    <w:rsid w:val="70BC6081"/>
    <w:rsid w:val="70BD2481"/>
    <w:rsid w:val="70C46D11"/>
    <w:rsid w:val="70CA00B0"/>
    <w:rsid w:val="70CD3D9D"/>
    <w:rsid w:val="70CE7620"/>
    <w:rsid w:val="70D04D21"/>
    <w:rsid w:val="70D77F30"/>
    <w:rsid w:val="70D93433"/>
    <w:rsid w:val="70DA0EB4"/>
    <w:rsid w:val="70DB0321"/>
    <w:rsid w:val="70DB6936"/>
    <w:rsid w:val="70DC0B34"/>
    <w:rsid w:val="70DD65B6"/>
    <w:rsid w:val="70DE2274"/>
    <w:rsid w:val="70DF533C"/>
    <w:rsid w:val="70E47206"/>
    <w:rsid w:val="70EA114F"/>
    <w:rsid w:val="70F5661B"/>
    <w:rsid w:val="70F76266"/>
    <w:rsid w:val="70FA3967"/>
    <w:rsid w:val="70FA71EB"/>
    <w:rsid w:val="70FC26EE"/>
    <w:rsid w:val="70FD016F"/>
    <w:rsid w:val="70FE5BF1"/>
    <w:rsid w:val="70FF3672"/>
    <w:rsid w:val="71010D74"/>
    <w:rsid w:val="71016B75"/>
    <w:rsid w:val="710245F7"/>
    <w:rsid w:val="7105557C"/>
    <w:rsid w:val="71070737"/>
    <w:rsid w:val="71076500"/>
    <w:rsid w:val="71096180"/>
    <w:rsid w:val="710D4B86"/>
    <w:rsid w:val="710F390D"/>
    <w:rsid w:val="71105B0B"/>
    <w:rsid w:val="7111358D"/>
    <w:rsid w:val="71117E32"/>
    <w:rsid w:val="71167A14"/>
    <w:rsid w:val="711D4E21"/>
    <w:rsid w:val="711D6F50"/>
    <w:rsid w:val="711E19CD"/>
    <w:rsid w:val="71205DA5"/>
    <w:rsid w:val="712212A8"/>
    <w:rsid w:val="71224684"/>
    <w:rsid w:val="7124002F"/>
    <w:rsid w:val="71255AB0"/>
    <w:rsid w:val="712A66B5"/>
    <w:rsid w:val="712C1BB8"/>
    <w:rsid w:val="712E093E"/>
    <w:rsid w:val="712E50BB"/>
    <w:rsid w:val="71336FC4"/>
    <w:rsid w:val="71342848"/>
    <w:rsid w:val="71344A46"/>
    <w:rsid w:val="713502C9"/>
    <w:rsid w:val="71360107"/>
    <w:rsid w:val="713737CC"/>
    <w:rsid w:val="713A694F"/>
    <w:rsid w:val="713B688E"/>
    <w:rsid w:val="713B7C54"/>
    <w:rsid w:val="713C1E52"/>
    <w:rsid w:val="71400858"/>
    <w:rsid w:val="71411B5D"/>
    <w:rsid w:val="714162DA"/>
    <w:rsid w:val="71530B04"/>
    <w:rsid w:val="715D5C0A"/>
    <w:rsid w:val="71602412"/>
    <w:rsid w:val="71625915"/>
    <w:rsid w:val="71653017"/>
    <w:rsid w:val="716A2D22"/>
    <w:rsid w:val="716B07A3"/>
    <w:rsid w:val="716E1728"/>
    <w:rsid w:val="716F027A"/>
    <w:rsid w:val="716F13A8"/>
    <w:rsid w:val="717026AC"/>
    <w:rsid w:val="71706E29"/>
    <w:rsid w:val="7172232C"/>
    <w:rsid w:val="71784310"/>
    <w:rsid w:val="7184142A"/>
    <w:rsid w:val="718722D2"/>
    <w:rsid w:val="71885914"/>
    <w:rsid w:val="71891F52"/>
    <w:rsid w:val="718E63D9"/>
    <w:rsid w:val="718F76DE"/>
    <w:rsid w:val="71905160"/>
    <w:rsid w:val="7191735E"/>
    <w:rsid w:val="71920663"/>
    <w:rsid w:val="71924DDF"/>
    <w:rsid w:val="719402E3"/>
    <w:rsid w:val="71971267"/>
    <w:rsid w:val="719878FC"/>
    <w:rsid w:val="71997FEE"/>
    <w:rsid w:val="719B56EF"/>
    <w:rsid w:val="71A175F8"/>
    <w:rsid w:val="71A4057D"/>
    <w:rsid w:val="71A43E00"/>
    <w:rsid w:val="71A67303"/>
    <w:rsid w:val="71AC120D"/>
    <w:rsid w:val="71AD7F47"/>
    <w:rsid w:val="71B07C13"/>
    <w:rsid w:val="71B82AA1"/>
    <w:rsid w:val="71C346B5"/>
    <w:rsid w:val="71C61DB6"/>
    <w:rsid w:val="71C92D3B"/>
    <w:rsid w:val="71CE323A"/>
    <w:rsid w:val="71D00147"/>
    <w:rsid w:val="71D04977"/>
    <w:rsid w:val="71D15BC9"/>
    <w:rsid w:val="71D2144C"/>
    <w:rsid w:val="71D310CC"/>
    <w:rsid w:val="71D43752"/>
    <w:rsid w:val="71D67E52"/>
    <w:rsid w:val="71DA3698"/>
    <w:rsid w:val="71DF4EDF"/>
    <w:rsid w:val="71DF78C7"/>
    <w:rsid w:val="71E44BEA"/>
    <w:rsid w:val="71E75B6E"/>
    <w:rsid w:val="71E857EE"/>
    <w:rsid w:val="71E91071"/>
    <w:rsid w:val="71EE2817"/>
    <w:rsid w:val="71EF2F7B"/>
    <w:rsid w:val="71F13EFF"/>
    <w:rsid w:val="71F1796A"/>
    <w:rsid w:val="71F3606C"/>
    <w:rsid w:val="71F57FBF"/>
    <w:rsid w:val="71FE1F10"/>
    <w:rsid w:val="71FE6305"/>
    <w:rsid w:val="71FF7992"/>
    <w:rsid w:val="72000C97"/>
    <w:rsid w:val="72031C1B"/>
    <w:rsid w:val="72075026"/>
    <w:rsid w:val="720802A1"/>
    <w:rsid w:val="72095D23"/>
    <w:rsid w:val="720A7028"/>
    <w:rsid w:val="720D7FAC"/>
    <w:rsid w:val="72100F31"/>
    <w:rsid w:val="721056AE"/>
    <w:rsid w:val="721169B3"/>
    <w:rsid w:val="72121A41"/>
    <w:rsid w:val="72123B94"/>
    <w:rsid w:val="72154626"/>
    <w:rsid w:val="721816B3"/>
    <w:rsid w:val="721A1840"/>
    <w:rsid w:val="722246CE"/>
    <w:rsid w:val="72262B5D"/>
    <w:rsid w:val="722630D5"/>
    <w:rsid w:val="72283FF7"/>
    <w:rsid w:val="722A340F"/>
    <w:rsid w:val="722B2DE0"/>
    <w:rsid w:val="722E7212"/>
    <w:rsid w:val="72314CE9"/>
    <w:rsid w:val="723301EC"/>
    <w:rsid w:val="72335600"/>
    <w:rsid w:val="72345C6E"/>
    <w:rsid w:val="72357E6C"/>
    <w:rsid w:val="723942F4"/>
    <w:rsid w:val="723A0474"/>
    <w:rsid w:val="723D0AFC"/>
    <w:rsid w:val="723D2CFA"/>
    <w:rsid w:val="72414F83"/>
    <w:rsid w:val="72427182"/>
    <w:rsid w:val="72430486"/>
    <w:rsid w:val="724A458E"/>
    <w:rsid w:val="724E2F94"/>
    <w:rsid w:val="72534E9D"/>
    <w:rsid w:val="7254291F"/>
    <w:rsid w:val="725716A5"/>
    <w:rsid w:val="725738A4"/>
    <w:rsid w:val="725923E4"/>
    <w:rsid w:val="725D1030"/>
    <w:rsid w:val="725D57AD"/>
    <w:rsid w:val="72621C35"/>
    <w:rsid w:val="72645138"/>
    <w:rsid w:val="726760BC"/>
    <w:rsid w:val="726915C0"/>
    <w:rsid w:val="726A1734"/>
    <w:rsid w:val="726A4AC3"/>
    <w:rsid w:val="726A5AEB"/>
    <w:rsid w:val="726C5DC7"/>
    <w:rsid w:val="727331D4"/>
    <w:rsid w:val="727D36AE"/>
    <w:rsid w:val="727E26C3"/>
    <w:rsid w:val="72864BF7"/>
    <w:rsid w:val="72866971"/>
    <w:rsid w:val="72881E74"/>
    <w:rsid w:val="728A2DF9"/>
    <w:rsid w:val="728C2D96"/>
    <w:rsid w:val="728F7281"/>
    <w:rsid w:val="729023FC"/>
    <w:rsid w:val="72926AFF"/>
    <w:rsid w:val="72943709"/>
    <w:rsid w:val="72944B4C"/>
    <w:rsid w:val="7298210F"/>
    <w:rsid w:val="729C0B15"/>
    <w:rsid w:val="729E4018"/>
    <w:rsid w:val="729F4DE6"/>
    <w:rsid w:val="72A0751B"/>
    <w:rsid w:val="72A22A1E"/>
    <w:rsid w:val="72A262A2"/>
    <w:rsid w:val="72A439A3"/>
    <w:rsid w:val="72A72729"/>
    <w:rsid w:val="72A74928"/>
    <w:rsid w:val="72A83B07"/>
    <w:rsid w:val="72AA112F"/>
    <w:rsid w:val="72AA36AE"/>
    <w:rsid w:val="72AA58AC"/>
    <w:rsid w:val="72AC0DAF"/>
    <w:rsid w:val="72AE42B2"/>
    <w:rsid w:val="72B2653C"/>
    <w:rsid w:val="72BB35C8"/>
    <w:rsid w:val="72BC104A"/>
    <w:rsid w:val="72C5775B"/>
    <w:rsid w:val="72C61959"/>
    <w:rsid w:val="72C928DE"/>
    <w:rsid w:val="72D02269"/>
    <w:rsid w:val="72D2576C"/>
    <w:rsid w:val="72D30C6F"/>
    <w:rsid w:val="72D36A71"/>
    <w:rsid w:val="72D444F2"/>
    <w:rsid w:val="72D466F0"/>
    <w:rsid w:val="72D51F74"/>
    <w:rsid w:val="72D75477"/>
    <w:rsid w:val="72D850F7"/>
    <w:rsid w:val="72D9097A"/>
    <w:rsid w:val="72DA05FA"/>
    <w:rsid w:val="72DC3AFD"/>
    <w:rsid w:val="72DE2C3D"/>
    <w:rsid w:val="72DF437B"/>
    <w:rsid w:val="72E04F19"/>
    <w:rsid w:val="72E5220E"/>
    <w:rsid w:val="72EC1B99"/>
    <w:rsid w:val="72EF2B1D"/>
    <w:rsid w:val="72F23AA2"/>
    <w:rsid w:val="72F242CD"/>
    <w:rsid w:val="72F759AB"/>
    <w:rsid w:val="72F8342D"/>
    <w:rsid w:val="72F96CB0"/>
    <w:rsid w:val="72FA21B3"/>
    <w:rsid w:val="72FA4732"/>
    <w:rsid w:val="72FE4383"/>
    <w:rsid w:val="73000839"/>
    <w:rsid w:val="73023D3C"/>
    <w:rsid w:val="73096F4B"/>
    <w:rsid w:val="730C5B99"/>
    <w:rsid w:val="730D7B4F"/>
    <w:rsid w:val="73116555"/>
    <w:rsid w:val="73166260"/>
    <w:rsid w:val="73185EE0"/>
    <w:rsid w:val="731916E6"/>
    <w:rsid w:val="731971E5"/>
    <w:rsid w:val="731D42F0"/>
    <w:rsid w:val="731E366D"/>
    <w:rsid w:val="731F10EE"/>
    <w:rsid w:val="73237AF4"/>
    <w:rsid w:val="73260A79"/>
    <w:rsid w:val="732A747F"/>
    <w:rsid w:val="732B4F01"/>
    <w:rsid w:val="732C0404"/>
    <w:rsid w:val="7333450C"/>
    <w:rsid w:val="73337D8F"/>
    <w:rsid w:val="73353292"/>
    <w:rsid w:val="73384217"/>
    <w:rsid w:val="733A771A"/>
    <w:rsid w:val="733B1918"/>
    <w:rsid w:val="733B519B"/>
    <w:rsid w:val="733C7D92"/>
    <w:rsid w:val="733D289D"/>
    <w:rsid w:val="733E031E"/>
    <w:rsid w:val="73552881"/>
    <w:rsid w:val="73555D45"/>
    <w:rsid w:val="73597B32"/>
    <w:rsid w:val="735A004C"/>
    <w:rsid w:val="735C0F53"/>
    <w:rsid w:val="735C3151"/>
    <w:rsid w:val="7364055E"/>
    <w:rsid w:val="73651863"/>
    <w:rsid w:val="73663A61"/>
    <w:rsid w:val="736949E6"/>
    <w:rsid w:val="73727D47"/>
    <w:rsid w:val="7375407B"/>
    <w:rsid w:val="737A14CF"/>
    <w:rsid w:val="737D01A5"/>
    <w:rsid w:val="7380460B"/>
    <w:rsid w:val="73823391"/>
    <w:rsid w:val="73823836"/>
    <w:rsid w:val="73877819"/>
    <w:rsid w:val="738D743F"/>
    <w:rsid w:val="738E13A2"/>
    <w:rsid w:val="73950D2D"/>
    <w:rsid w:val="73974230"/>
    <w:rsid w:val="73981CB2"/>
    <w:rsid w:val="739C06B8"/>
    <w:rsid w:val="739D6139"/>
    <w:rsid w:val="73A237ED"/>
    <w:rsid w:val="73A30043"/>
    <w:rsid w:val="73A41347"/>
    <w:rsid w:val="73A55AC9"/>
    <w:rsid w:val="73AB23F7"/>
    <w:rsid w:val="73B02BDC"/>
    <w:rsid w:val="73B41A51"/>
    <w:rsid w:val="73BA34EB"/>
    <w:rsid w:val="73C0646E"/>
    <w:rsid w:val="73C36379"/>
    <w:rsid w:val="73C62B81"/>
    <w:rsid w:val="73C70602"/>
    <w:rsid w:val="73C93B06"/>
    <w:rsid w:val="73CC6C88"/>
    <w:rsid w:val="73CC79FC"/>
    <w:rsid w:val="73D20B92"/>
    <w:rsid w:val="73D5539A"/>
    <w:rsid w:val="73D67598"/>
    <w:rsid w:val="73D75019"/>
    <w:rsid w:val="73D82A9B"/>
    <w:rsid w:val="73D93DA0"/>
    <w:rsid w:val="73DA1821"/>
    <w:rsid w:val="73DA4BFF"/>
    <w:rsid w:val="73DB035D"/>
    <w:rsid w:val="73DB72A3"/>
    <w:rsid w:val="73DC6F23"/>
    <w:rsid w:val="73DD49A4"/>
    <w:rsid w:val="73DE2426"/>
    <w:rsid w:val="73E20E2C"/>
    <w:rsid w:val="73E223A7"/>
    <w:rsid w:val="73E26C2E"/>
    <w:rsid w:val="73E55634"/>
    <w:rsid w:val="73E82D35"/>
    <w:rsid w:val="73EA1ABC"/>
    <w:rsid w:val="73EA6238"/>
    <w:rsid w:val="73EC173C"/>
    <w:rsid w:val="73F0491D"/>
    <w:rsid w:val="73F23645"/>
    <w:rsid w:val="73F46B48"/>
    <w:rsid w:val="73FE4ED9"/>
    <w:rsid w:val="74000DE6"/>
    <w:rsid w:val="740116E1"/>
    <w:rsid w:val="74032EFE"/>
    <w:rsid w:val="7408106C"/>
    <w:rsid w:val="74096AED"/>
    <w:rsid w:val="740A456F"/>
    <w:rsid w:val="740C41EF"/>
    <w:rsid w:val="740D76F2"/>
    <w:rsid w:val="740E2F75"/>
    <w:rsid w:val="74160B04"/>
    <w:rsid w:val="74196D88"/>
    <w:rsid w:val="741A4809"/>
    <w:rsid w:val="741D578E"/>
    <w:rsid w:val="74214194"/>
    <w:rsid w:val="742222F5"/>
    <w:rsid w:val="74237697"/>
    <w:rsid w:val="74245119"/>
    <w:rsid w:val="74283B1F"/>
    <w:rsid w:val="742873A2"/>
    <w:rsid w:val="742A7022"/>
    <w:rsid w:val="742B065D"/>
    <w:rsid w:val="742E12AB"/>
    <w:rsid w:val="74312230"/>
    <w:rsid w:val="74371BBB"/>
    <w:rsid w:val="74376338"/>
    <w:rsid w:val="7438763D"/>
    <w:rsid w:val="743E5CC3"/>
    <w:rsid w:val="744213FD"/>
    <w:rsid w:val="744246C9"/>
    <w:rsid w:val="744359CE"/>
    <w:rsid w:val="74476126"/>
    <w:rsid w:val="744A5358"/>
    <w:rsid w:val="744C085C"/>
    <w:rsid w:val="744E17E0"/>
    <w:rsid w:val="74504CE3"/>
    <w:rsid w:val="745323E5"/>
    <w:rsid w:val="745436E9"/>
    <w:rsid w:val="74547E66"/>
    <w:rsid w:val="7455116B"/>
    <w:rsid w:val="74597B71"/>
    <w:rsid w:val="745E3FF9"/>
    <w:rsid w:val="746016FA"/>
    <w:rsid w:val="74604CCB"/>
    <w:rsid w:val="7461717C"/>
    <w:rsid w:val="74624BFD"/>
    <w:rsid w:val="74653984"/>
    <w:rsid w:val="74674908"/>
    <w:rsid w:val="7468238A"/>
    <w:rsid w:val="74686B07"/>
    <w:rsid w:val="746B7A8B"/>
    <w:rsid w:val="746C0D90"/>
    <w:rsid w:val="746D2F8F"/>
    <w:rsid w:val="74706664"/>
    <w:rsid w:val="74707796"/>
    <w:rsid w:val="74784BA3"/>
    <w:rsid w:val="747C191A"/>
    <w:rsid w:val="747C5A35"/>
    <w:rsid w:val="747D5301"/>
    <w:rsid w:val="747E6AAC"/>
    <w:rsid w:val="747F3682"/>
    <w:rsid w:val="7486193A"/>
    <w:rsid w:val="748B5DC2"/>
    <w:rsid w:val="748C07CD"/>
    <w:rsid w:val="748C3843"/>
    <w:rsid w:val="748F1AFC"/>
    <w:rsid w:val="74936A51"/>
    <w:rsid w:val="749A211F"/>
    <w:rsid w:val="749C4185"/>
    <w:rsid w:val="74A17F65"/>
    <w:rsid w:val="74AE06FF"/>
    <w:rsid w:val="74B10200"/>
    <w:rsid w:val="74B56C06"/>
    <w:rsid w:val="74BA6911"/>
    <w:rsid w:val="74BA71F8"/>
    <w:rsid w:val="74BE5317"/>
    <w:rsid w:val="74BF2D99"/>
    <w:rsid w:val="74BF7515"/>
    <w:rsid w:val="74C0081A"/>
    <w:rsid w:val="74C432FA"/>
    <w:rsid w:val="74C62724"/>
    <w:rsid w:val="74CD20AE"/>
    <w:rsid w:val="74CE1D2E"/>
    <w:rsid w:val="74D900BF"/>
    <w:rsid w:val="74D93943"/>
    <w:rsid w:val="74E651D7"/>
    <w:rsid w:val="74F03568"/>
    <w:rsid w:val="74F2511E"/>
    <w:rsid w:val="74F26A6B"/>
    <w:rsid w:val="74F579F0"/>
    <w:rsid w:val="74F841F7"/>
    <w:rsid w:val="74FB18F9"/>
    <w:rsid w:val="74FB517C"/>
    <w:rsid w:val="74FD067F"/>
    <w:rsid w:val="74FD2BE4"/>
    <w:rsid w:val="74FE287D"/>
    <w:rsid w:val="75003802"/>
    <w:rsid w:val="75004CFB"/>
    <w:rsid w:val="75024B07"/>
    <w:rsid w:val="75042208"/>
    <w:rsid w:val="7506570B"/>
    <w:rsid w:val="75067759"/>
    <w:rsid w:val="750A4112"/>
    <w:rsid w:val="750B5416"/>
    <w:rsid w:val="750C2E98"/>
    <w:rsid w:val="750C5B34"/>
    <w:rsid w:val="750E639B"/>
    <w:rsid w:val="7510189E"/>
    <w:rsid w:val="751402A4"/>
    <w:rsid w:val="75144A21"/>
    <w:rsid w:val="751C1622"/>
    <w:rsid w:val="751D5331"/>
    <w:rsid w:val="75201B39"/>
    <w:rsid w:val="75223045"/>
    <w:rsid w:val="75232ABD"/>
    <w:rsid w:val="75236DCA"/>
    <w:rsid w:val="752718BC"/>
    <w:rsid w:val="75275C40"/>
    <w:rsid w:val="75286F45"/>
    <w:rsid w:val="752A6BC5"/>
    <w:rsid w:val="752C20C8"/>
    <w:rsid w:val="752E6DCD"/>
    <w:rsid w:val="75311DD3"/>
    <w:rsid w:val="75321A53"/>
    <w:rsid w:val="75360459"/>
    <w:rsid w:val="7536625B"/>
    <w:rsid w:val="75373CDC"/>
    <w:rsid w:val="75442FF2"/>
    <w:rsid w:val="7551380D"/>
    <w:rsid w:val="75550D0E"/>
    <w:rsid w:val="75600BE5"/>
    <w:rsid w:val="75630023"/>
    <w:rsid w:val="7564475C"/>
    <w:rsid w:val="75660FA8"/>
    <w:rsid w:val="75676A2A"/>
    <w:rsid w:val="756A3232"/>
    <w:rsid w:val="756C0933"/>
    <w:rsid w:val="756F18B8"/>
    <w:rsid w:val="757260C0"/>
    <w:rsid w:val="757415C3"/>
    <w:rsid w:val="75784746"/>
    <w:rsid w:val="757921C7"/>
    <w:rsid w:val="757F40D0"/>
    <w:rsid w:val="7583797F"/>
    <w:rsid w:val="758614DD"/>
    <w:rsid w:val="75880FCC"/>
    <w:rsid w:val="758E216C"/>
    <w:rsid w:val="758F7BEE"/>
    <w:rsid w:val="75956274"/>
    <w:rsid w:val="759A5F7F"/>
    <w:rsid w:val="759D1102"/>
    <w:rsid w:val="759E4985"/>
    <w:rsid w:val="759E6B84"/>
    <w:rsid w:val="759F4605"/>
    <w:rsid w:val="75A17B08"/>
    <w:rsid w:val="75A2558A"/>
    <w:rsid w:val="75A3300B"/>
    <w:rsid w:val="75A63F90"/>
    <w:rsid w:val="75A82D16"/>
    <w:rsid w:val="75AF26A1"/>
    <w:rsid w:val="75B545AA"/>
    <w:rsid w:val="75B90A32"/>
    <w:rsid w:val="75BD7438"/>
    <w:rsid w:val="75C116C2"/>
    <w:rsid w:val="75C27143"/>
    <w:rsid w:val="75C8104D"/>
    <w:rsid w:val="75C90F32"/>
    <w:rsid w:val="75C9152B"/>
    <w:rsid w:val="75CA2F6E"/>
    <w:rsid w:val="75CB1FD1"/>
    <w:rsid w:val="75CF2F08"/>
    <w:rsid w:val="75D20F1D"/>
    <w:rsid w:val="75D373DE"/>
    <w:rsid w:val="75D528E1"/>
    <w:rsid w:val="75D85A64"/>
    <w:rsid w:val="75DA2C18"/>
    <w:rsid w:val="75E066F3"/>
    <w:rsid w:val="75E8027D"/>
    <w:rsid w:val="75EB6C83"/>
    <w:rsid w:val="75EC4704"/>
    <w:rsid w:val="75F0310B"/>
    <w:rsid w:val="75F10B8C"/>
    <w:rsid w:val="75F54412"/>
    <w:rsid w:val="75F76319"/>
    <w:rsid w:val="75FD499F"/>
    <w:rsid w:val="75FE2420"/>
    <w:rsid w:val="760133A5"/>
    <w:rsid w:val="76017967"/>
    <w:rsid w:val="760B1736"/>
    <w:rsid w:val="76101441"/>
    <w:rsid w:val="76147E47"/>
    <w:rsid w:val="761D08E0"/>
    <w:rsid w:val="761E0757"/>
    <w:rsid w:val="762116DB"/>
    <w:rsid w:val="76255B63"/>
    <w:rsid w:val="76264037"/>
    <w:rsid w:val="76297DEC"/>
    <w:rsid w:val="762B7A6C"/>
    <w:rsid w:val="763044F2"/>
    <w:rsid w:val="76307777"/>
    <w:rsid w:val="763273F7"/>
    <w:rsid w:val="7635037C"/>
    <w:rsid w:val="76353BFF"/>
    <w:rsid w:val="7637387F"/>
    <w:rsid w:val="76377102"/>
    <w:rsid w:val="76381300"/>
    <w:rsid w:val="763F450F"/>
    <w:rsid w:val="76450616"/>
    <w:rsid w:val="76484E1E"/>
    <w:rsid w:val="764C7FA1"/>
    <w:rsid w:val="7650222A"/>
    <w:rsid w:val="765069A7"/>
    <w:rsid w:val="76540C31"/>
    <w:rsid w:val="76566332"/>
    <w:rsid w:val="765D347C"/>
    <w:rsid w:val="765E6FC2"/>
    <w:rsid w:val="765F11C0"/>
    <w:rsid w:val="766259C8"/>
    <w:rsid w:val="766643CE"/>
    <w:rsid w:val="766765CC"/>
    <w:rsid w:val="766C62D7"/>
    <w:rsid w:val="76706EDC"/>
    <w:rsid w:val="767223DF"/>
    <w:rsid w:val="767C6572"/>
    <w:rsid w:val="76826699"/>
    <w:rsid w:val="768E7B11"/>
    <w:rsid w:val="76903014"/>
    <w:rsid w:val="76905212"/>
    <w:rsid w:val="76910A96"/>
    <w:rsid w:val="76920715"/>
    <w:rsid w:val="76926080"/>
    <w:rsid w:val="76926517"/>
    <w:rsid w:val="7694749C"/>
    <w:rsid w:val="76977BE4"/>
    <w:rsid w:val="76984BAC"/>
    <w:rsid w:val="769F1FAA"/>
    <w:rsid w:val="76A032AE"/>
    <w:rsid w:val="76A209B0"/>
    <w:rsid w:val="76A34233"/>
    <w:rsid w:val="76AC4B43"/>
    <w:rsid w:val="76AF5AC7"/>
    <w:rsid w:val="76B5414D"/>
    <w:rsid w:val="76B65452"/>
    <w:rsid w:val="76B92B53"/>
    <w:rsid w:val="76BA6056"/>
    <w:rsid w:val="76BB18DA"/>
    <w:rsid w:val="76C05D62"/>
    <w:rsid w:val="76C34768"/>
    <w:rsid w:val="76C46966"/>
    <w:rsid w:val="76C57C6B"/>
    <w:rsid w:val="76C87133"/>
    <w:rsid w:val="76CB146F"/>
    <w:rsid w:val="76CD08D5"/>
    <w:rsid w:val="76D02779"/>
    <w:rsid w:val="76D34710"/>
    <w:rsid w:val="76D54682"/>
    <w:rsid w:val="76D62103"/>
    <w:rsid w:val="76D77B85"/>
    <w:rsid w:val="76DA690B"/>
    <w:rsid w:val="76DB1E0E"/>
    <w:rsid w:val="76DB4B92"/>
    <w:rsid w:val="76E13D18"/>
    <w:rsid w:val="76E6019F"/>
    <w:rsid w:val="76EB6255"/>
    <w:rsid w:val="76F27835"/>
    <w:rsid w:val="76F352B7"/>
    <w:rsid w:val="76F73CBD"/>
    <w:rsid w:val="76F8173F"/>
    <w:rsid w:val="76FC2A0E"/>
    <w:rsid w:val="77052AA4"/>
    <w:rsid w:val="770B4B5C"/>
    <w:rsid w:val="77124450"/>
    <w:rsid w:val="77136511"/>
    <w:rsid w:val="7714326D"/>
    <w:rsid w:val="771863F0"/>
    <w:rsid w:val="771D5D02"/>
    <w:rsid w:val="771F15FE"/>
    <w:rsid w:val="77260F89"/>
    <w:rsid w:val="772C0914"/>
    <w:rsid w:val="772F1899"/>
    <w:rsid w:val="7730731A"/>
    <w:rsid w:val="77314D9C"/>
    <w:rsid w:val="7732281D"/>
    <w:rsid w:val="77340A39"/>
    <w:rsid w:val="77351FD0"/>
    <w:rsid w:val="773921A8"/>
    <w:rsid w:val="773A43A6"/>
    <w:rsid w:val="773C312D"/>
    <w:rsid w:val="77430539"/>
    <w:rsid w:val="774614BE"/>
    <w:rsid w:val="77472422"/>
    <w:rsid w:val="774E700A"/>
    <w:rsid w:val="7751784F"/>
    <w:rsid w:val="775252D0"/>
    <w:rsid w:val="77563CD7"/>
    <w:rsid w:val="775904DE"/>
    <w:rsid w:val="775972B9"/>
    <w:rsid w:val="775A5F60"/>
    <w:rsid w:val="775B015E"/>
    <w:rsid w:val="775B081D"/>
    <w:rsid w:val="775C1463"/>
    <w:rsid w:val="775D10E3"/>
    <w:rsid w:val="775D6EE5"/>
    <w:rsid w:val="77606016"/>
    <w:rsid w:val="77630DEE"/>
    <w:rsid w:val="77651D73"/>
    <w:rsid w:val="776719F2"/>
    <w:rsid w:val="77675276"/>
    <w:rsid w:val="77687474"/>
    <w:rsid w:val="776B03F9"/>
    <w:rsid w:val="776B1CF7"/>
    <w:rsid w:val="77704880"/>
    <w:rsid w:val="7776200D"/>
    <w:rsid w:val="7778770E"/>
    <w:rsid w:val="777B0693"/>
    <w:rsid w:val="777C3F16"/>
    <w:rsid w:val="777F31F2"/>
    <w:rsid w:val="777F7099"/>
    <w:rsid w:val="7781259C"/>
    <w:rsid w:val="77831323"/>
    <w:rsid w:val="77835A9F"/>
    <w:rsid w:val="77846DA4"/>
    <w:rsid w:val="778744A6"/>
    <w:rsid w:val="778C4E61"/>
    <w:rsid w:val="77912837"/>
    <w:rsid w:val="77935D3A"/>
    <w:rsid w:val="779415BD"/>
    <w:rsid w:val="779A0F48"/>
    <w:rsid w:val="779D6649"/>
    <w:rsid w:val="77A1504F"/>
    <w:rsid w:val="77A26354"/>
    <w:rsid w:val="77A727DC"/>
    <w:rsid w:val="77B95F79"/>
    <w:rsid w:val="77BB147D"/>
    <w:rsid w:val="77BF3706"/>
    <w:rsid w:val="77C01188"/>
    <w:rsid w:val="77C05904"/>
    <w:rsid w:val="77C0602E"/>
    <w:rsid w:val="77C548A4"/>
    <w:rsid w:val="77C70B12"/>
    <w:rsid w:val="77CA1A97"/>
    <w:rsid w:val="77CB1717"/>
    <w:rsid w:val="77CC7198"/>
    <w:rsid w:val="77CE269B"/>
    <w:rsid w:val="77CF011D"/>
    <w:rsid w:val="77D01422"/>
    <w:rsid w:val="77D1700D"/>
    <w:rsid w:val="77D210A2"/>
    <w:rsid w:val="77D36B23"/>
    <w:rsid w:val="77D44FB1"/>
    <w:rsid w:val="77D52026"/>
    <w:rsid w:val="77D8682E"/>
    <w:rsid w:val="77DB77B3"/>
    <w:rsid w:val="77DC7346"/>
    <w:rsid w:val="77E05E39"/>
    <w:rsid w:val="77E116BC"/>
    <w:rsid w:val="77E2133C"/>
    <w:rsid w:val="77E522C1"/>
    <w:rsid w:val="77E635C6"/>
    <w:rsid w:val="77E757C4"/>
    <w:rsid w:val="77E83245"/>
    <w:rsid w:val="77EA6748"/>
    <w:rsid w:val="77EC04CC"/>
    <w:rsid w:val="77EF2BD0"/>
    <w:rsid w:val="77F23B55"/>
    <w:rsid w:val="77F273D8"/>
    <w:rsid w:val="77F5035D"/>
    <w:rsid w:val="77F65DDE"/>
    <w:rsid w:val="77FA69E3"/>
    <w:rsid w:val="77FB4464"/>
    <w:rsid w:val="77FC7CE8"/>
    <w:rsid w:val="77FE0A3B"/>
    <w:rsid w:val="78023DEF"/>
    <w:rsid w:val="78027672"/>
    <w:rsid w:val="78031871"/>
    <w:rsid w:val="78096FFD"/>
    <w:rsid w:val="781A5362"/>
    <w:rsid w:val="781D5C9E"/>
    <w:rsid w:val="78237BA7"/>
    <w:rsid w:val="7825692D"/>
    <w:rsid w:val="78271E31"/>
    <w:rsid w:val="782B0837"/>
    <w:rsid w:val="782D04B7"/>
    <w:rsid w:val="782F143B"/>
    <w:rsid w:val="78304CBF"/>
    <w:rsid w:val="783842C9"/>
    <w:rsid w:val="78391D4B"/>
    <w:rsid w:val="783B524E"/>
    <w:rsid w:val="783C6553"/>
    <w:rsid w:val="783F3C54"/>
    <w:rsid w:val="78476AE2"/>
    <w:rsid w:val="78484564"/>
    <w:rsid w:val="784B32EA"/>
    <w:rsid w:val="784C2F6A"/>
    <w:rsid w:val="784E426F"/>
    <w:rsid w:val="78501970"/>
    <w:rsid w:val="785328F5"/>
    <w:rsid w:val="78543BF9"/>
    <w:rsid w:val="785947FE"/>
    <w:rsid w:val="785D684A"/>
    <w:rsid w:val="785D6A87"/>
    <w:rsid w:val="785F4189"/>
    <w:rsid w:val="78601C0A"/>
    <w:rsid w:val="7861548E"/>
    <w:rsid w:val="78622F0F"/>
    <w:rsid w:val="78632B8F"/>
    <w:rsid w:val="78640611"/>
    <w:rsid w:val="78656092"/>
    <w:rsid w:val="786602FA"/>
    <w:rsid w:val="78661915"/>
    <w:rsid w:val="78664B90"/>
    <w:rsid w:val="786B7F9B"/>
    <w:rsid w:val="786D773D"/>
    <w:rsid w:val="786E0F20"/>
    <w:rsid w:val="78711EA5"/>
    <w:rsid w:val="78715728"/>
    <w:rsid w:val="78775729"/>
    <w:rsid w:val="78782796"/>
    <w:rsid w:val="787E6FBC"/>
    <w:rsid w:val="788543C8"/>
    <w:rsid w:val="788778CC"/>
    <w:rsid w:val="788E1B3F"/>
    <w:rsid w:val="789316AC"/>
    <w:rsid w:val="789449E3"/>
    <w:rsid w:val="78967EE6"/>
    <w:rsid w:val="789833E9"/>
    <w:rsid w:val="789B436E"/>
    <w:rsid w:val="789C1DEF"/>
    <w:rsid w:val="789E52F2"/>
    <w:rsid w:val="789E697D"/>
    <w:rsid w:val="789E74F1"/>
    <w:rsid w:val="78A25EF7"/>
    <w:rsid w:val="78A33979"/>
    <w:rsid w:val="78A371FC"/>
    <w:rsid w:val="78A42DB0"/>
    <w:rsid w:val="78A526FF"/>
    <w:rsid w:val="78A60180"/>
    <w:rsid w:val="78A656AB"/>
    <w:rsid w:val="78A80333"/>
    <w:rsid w:val="78A87E00"/>
    <w:rsid w:val="78AA3303"/>
    <w:rsid w:val="78AC6806"/>
    <w:rsid w:val="78AE1D0A"/>
    <w:rsid w:val="78AF300E"/>
    <w:rsid w:val="78B2245C"/>
    <w:rsid w:val="78B74FC1"/>
    <w:rsid w:val="78B8391E"/>
    <w:rsid w:val="78BA32A4"/>
    <w:rsid w:val="78BA359E"/>
    <w:rsid w:val="78BF32A9"/>
    <w:rsid w:val="78C12F29"/>
    <w:rsid w:val="78C167AC"/>
    <w:rsid w:val="78C2422D"/>
    <w:rsid w:val="78C31CAF"/>
    <w:rsid w:val="78C53E2C"/>
    <w:rsid w:val="78C63702"/>
    <w:rsid w:val="78C706B5"/>
    <w:rsid w:val="78C95DB6"/>
    <w:rsid w:val="78CB70BB"/>
    <w:rsid w:val="78D62ECE"/>
    <w:rsid w:val="78DF0B63"/>
    <w:rsid w:val="78E1125F"/>
    <w:rsid w:val="78E172CC"/>
    <w:rsid w:val="78E6347B"/>
    <w:rsid w:val="78E64E9A"/>
    <w:rsid w:val="78E656E7"/>
    <w:rsid w:val="78EA1D1F"/>
    <w:rsid w:val="78EC5072"/>
    <w:rsid w:val="78EE0575"/>
    <w:rsid w:val="78F4247E"/>
    <w:rsid w:val="78F65981"/>
    <w:rsid w:val="78FB568C"/>
    <w:rsid w:val="78FB780B"/>
    <w:rsid w:val="78FC67C1"/>
    <w:rsid w:val="78FF4092"/>
    <w:rsid w:val="79003D12"/>
    <w:rsid w:val="79025017"/>
    <w:rsid w:val="7904172F"/>
    <w:rsid w:val="79042718"/>
    <w:rsid w:val="7908420F"/>
    <w:rsid w:val="790D55A6"/>
    <w:rsid w:val="790F7E27"/>
    <w:rsid w:val="79171739"/>
    <w:rsid w:val="79175EB6"/>
    <w:rsid w:val="791F6B45"/>
    <w:rsid w:val="792451CB"/>
    <w:rsid w:val="79252C4D"/>
    <w:rsid w:val="79287455"/>
    <w:rsid w:val="79294ED6"/>
    <w:rsid w:val="792A231A"/>
    <w:rsid w:val="792A2A17"/>
    <w:rsid w:val="792A5740"/>
    <w:rsid w:val="792C25D8"/>
    <w:rsid w:val="792D0059"/>
    <w:rsid w:val="792D38DD"/>
    <w:rsid w:val="792E135E"/>
    <w:rsid w:val="79306A60"/>
    <w:rsid w:val="793144E1"/>
    <w:rsid w:val="79316829"/>
    <w:rsid w:val="793741EC"/>
    <w:rsid w:val="793763EA"/>
    <w:rsid w:val="793C60F5"/>
    <w:rsid w:val="793D3346"/>
    <w:rsid w:val="79402212"/>
    <w:rsid w:val="79415FFC"/>
    <w:rsid w:val="79450F83"/>
    <w:rsid w:val="794C6FC7"/>
    <w:rsid w:val="79512818"/>
    <w:rsid w:val="79520299"/>
    <w:rsid w:val="7955121E"/>
    <w:rsid w:val="79554FB7"/>
    <w:rsid w:val="79597C24"/>
    <w:rsid w:val="795C442C"/>
    <w:rsid w:val="79621230"/>
    <w:rsid w:val="796572BA"/>
    <w:rsid w:val="796746DD"/>
    <w:rsid w:val="7968243D"/>
    <w:rsid w:val="796B33C1"/>
    <w:rsid w:val="79753CD1"/>
    <w:rsid w:val="797771D4"/>
    <w:rsid w:val="797926D7"/>
    <w:rsid w:val="797E2C25"/>
    <w:rsid w:val="797E66A9"/>
    <w:rsid w:val="798518A4"/>
    <w:rsid w:val="798A4549"/>
    <w:rsid w:val="798E267C"/>
    <w:rsid w:val="798E6DF9"/>
    <w:rsid w:val="799004E1"/>
    <w:rsid w:val="79917D7E"/>
    <w:rsid w:val="79921083"/>
    <w:rsid w:val="79944586"/>
    <w:rsid w:val="79956784"/>
    <w:rsid w:val="79982F8C"/>
    <w:rsid w:val="79990A0D"/>
    <w:rsid w:val="799D7414"/>
    <w:rsid w:val="79A32691"/>
    <w:rsid w:val="79A757A5"/>
    <w:rsid w:val="79A97383"/>
    <w:rsid w:val="79AB41AB"/>
    <w:rsid w:val="79AE5130"/>
    <w:rsid w:val="79AF2BB1"/>
    <w:rsid w:val="79B20979"/>
    <w:rsid w:val="79B23B36"/>
    <w:rsid w:val="79B54ABA"/>
    <w:rsid w:val="79BA69C4"/>
    <w:rsid w:val="79BB4445"/>
    <w:rsid w:val="79C23DD0"/>
    <w:rsid w:val="79C472D3"/>
    <w:rsid w:val="79C50170"/>
    <w:rsid w:val="79C85CD9"/>
    <w:rsid w:val="79CC46E0"/>
    <w:rsid w:val="79CC7F63"/>
    <w:rsid w:val="79CD59E4"/>
    <w:rsid w:val="79CF0EE8"/>
    <w:rsid w:val="79D52DF1"/>
    <w:rsid w:val="79D60872"/>
    <w:rsid w:val="79D62A71"/>
    <w:rsid w:val="79D762F4"/>
    <w:rsid w:val="79D917F7"/>
    <w:rsid w:val="79E033A0"/>
    <w:rsid w:val="79E27E8B"/>
    <w:rsid w:val="79E34305"/>
    <w:rsid w:val="79E8078D"/>
    <w:rsid w:val="79EA1711"/>
    <w:rsid w:val="79EC2A16"/>
    <w:rsid w:val="79F0361A"/>
    <w:rsid w:val="79F16E9E"/>
    <w:rsid w:val="79F37E22"/>
    <w:rsid w:val="79F60DA7"/>
    <w:rsid w:val="79F76829"/>
    <w:rsid w:val="79F850CE"/>
    <w:rsid w:val="79F964A8"/>
    <w:rsid w:val="79FB19AC"/>
    <w:rsid w:val="79FD443C"/>
    <w:rsid w:val="79FD4EAF"/>
    <w:rsid w:val="79FF03B2"/>
    <w:rsid w:val="7A0016B7"/>
    <w:rsid w:val="7A005E33"/>
    <w:rsid w:val="7A0635C0"/>
    <w:rsid w:val="7A0B2DDB"/>
    <w:rsid w:val="7A0E3385"/>
    <w:rsid w:val="7A0E644E"/>
    <w:rsid w:val="7A0F3ECF"/>
    <w:rsid w:val="7A1947DF"/>
    <w:rsid w:val="7A1A2260"/>
    <w:rsid w:val="7A1C6CC4"/>
    <w:rsid w:val="7A1D1975"/>
    <w:rsid w:val="7A22766D"/>
    <w:rsid w:val="7A2463F3"/>
    <w:rsid w:val="7A253E75"/>
    <w:rsid w:val="7A263325"/>
    <w:rsid w:val="7A271576"/>
    <w:rsid w:val="7A2B3800"/>
    <w:rsid w:val="7A2E0F01"/>
    <w:rsid w:val="7A34668D"/>
    <w:rsid w:val="7A361B91"/>
    <w:rsid w:val="7A3B0217"/>
    <w:rsid w:val="7A3D371A"/>
    <w:rsid w:val="7A3E5150"/>
    <w:rsid w:val="7A4024A0"/>
    <w:rsid w:val="7A40469E"/>
    <w:rsid w:val="7A412120"/>
    <w:rsid w:val="7A4670D6"/>
    <w:rsid w:val="7A4A4FAE"/>
    <w:rsid w:val="7A4F4CB9"/>
    <w:rsid w:val="7A5223BA"/>
    <w:rsid w:val="7A534B63"/>
    <w:rsid w:val="7A5742C4"/>
    <w:rsid w:val="7A5977C7"/>
    <w:rsid w:val="7A5A5248"/>
    <w:rsid w:val="7A5A52BF"/>
    <w:rsid w:val="7A5D1A50"/>
    <w:rsid w:val="7A615382"/>
    <w:rsid w:val="7A633959"/>
    <w:rsid w:val="7A67303B"/>
    <w:rsid w:val="7A6C09E6"/>
    <w:rsid w:val="7A6E1CEA"/>
    <w:rsid w:val="7A7051EE"/>
    <w:rsid w:val="7A712C6F"/>
    <w:rsid w:val="7A726172"/>
    <w:rsid w:val="7A78007C"/>
    <w:rsid w:val="7A7A357F"/>
    <w:rsid w:val="7A82098B"/>
    <w:rsid w:val="7A83640D"/>
    <w:rsid w:val="7A8455B0"/>
    <w:rsid w:val="7A890316"/>
    <w:rsid w:val="7A8A3819"/>
    <w:rsid w:val="7A8D479E"/>
    <w:rsid w:val="7A910FA6"/>
    <w:rsid w:val="7A926A27"/>
    <w:rsid w:val="7A9C1535"/>
    <w:rsid w:val="7A9C4DB8"/>
    <w:rsid w:val="7AA07F3B"/>
    <w:rsid w:val="7AA11240"/>
    <w:rsid w:val="7AA26CC1"/>
    <w:rsid w:val="7AA421C5"/>
    <w:rsid w:val="7AA51E44"/>
    <w:rsid w:val="7AA656C8"/>
    <w:rsid w:val="7AA75347"/>
    <w:rsid w:val="7AAB1D04"/>
    <w:rsid w:val="7AAE0556"/>
    <w:rsid w:val="7AB15C57"/>
    <w:rsid w:val="7AB349DD"/>
    <w:rsid w:val="7AB46BDC"/>
    <w:rsid w:val="7AB551B7"/>
    <w:rsid w:val="7AB6117B"/>
    <w:rsid w:val="7AB80E65"/>
    <w:rsid w:val="7AB968E7"/>
    <w:rsid w:val="7ABA4368"/>
    <w:rsid w:val="7ABC786B"/>
    <w:rsid w:val="7AC15EF1"/>
    <w:rsid w:val="7AC5017B"/>
    <w:rsid w:val="7AC62379"/>
    <w:rsid w:val="7ACF5207"/>
    <w:rsid w:val="7AD02C89"/>
    <w:rsid w:val="7AD05746"/>
    <w:rsid w:val="7AD13F8D"/>
    <w:rsid w:val="7AD14F03"/>
    <w:rsid w:val="7AD2618C"/>
    <w:rsid w:val="7AD3168F"/>
    <w:rsid w:val="7AD47110"/>
    <w:rsid w:val="7AE52C2E"/>
    <w:rsid w:val="7AED003A"/>
    <w:rsid w:val="7AF27D45"/>
    <w:rsid w:val="7AF31F44"/>
    <w:rsid w:val="7AF91823"/>
    <w:rsid w:val="7AF976D0"/>
    <w:rsid w:val="7AFB2BD3"/>
    <w:rsid w:val="7AFD02D5"/>
    <w:rsid w:val="7AFE32DE"/>
    <w:rsid w:val="7AFF37D8"/>
    <w:rsid w:val="7B004ADD"/>
    <w:rsid w:val="7B017878"/>
    <w:rsid w:val="7B035A61"/>
    <w:rsid w:val="7B047C5F"/>
    <w:rsid w:val="7B09796A"/>
    <w:rsid w:val="7B0D6371"/>
    <w:rsid w:val="7B0E5FF1"/>
    <w:rsid w:val="7B1072F5"/>
    <w:rsid w:val="7B1461A5"/>
    <w:rsid w:val="7B166C80"/>
    <w:rsid w:val="7B174702"/>
    <w:rsid w:val="7B182183"/>
    <w:rsid w:val="7B1B7885"/>
    <w:rsid w:val="7B1D660B"/>
    <w:rsid w:val="7B1E408D"/>
    <w:rsid w:val="7B1F1B0E"/>
    <w:rsid w:val="7B21178E"/>
    <w:rsid w:val="7B215011"/>
    <w:rsid w:val="7B227210"/>
    <w:rsid w:val="7B234C91"/>
    <w:rsid w:val="7B253A17"/>
    <w:rsid w:val="7B257FFD"/>
    <w:rsid w:val="7B273D20"/>
    <w:rsid w:val="7B29461C"/>
    <w:rsid w:val="7B2A6872"/>
    <w:rsid w:val="7B2F1DA8"/>
    <w:rsid w:val="7B303FA7"/>
    <w:rsid w:val="7B311A28"/>
    <w:rsid w:val="7B3152AC"/>
    <w:rsid w:val="7B322D2D"/>
    <w:rsid w:val="7B343476"/>
    <w:rsid w:val="7B366F41"/>
    <w:rsid w:val="7B432FC7"/>
    <w:rsid w:val="7B453F4C"/>
    <w:rsid w:val="7B533262"/>
    <w:rsid w:val="7B540CE3"/>
    <w:rsid w:val="7B582F6D"/>
    <w:rsid w:val="7B59516B"/>
    <w:rsid w:val="7B5A2978"/>
    <w:rsid w:val="7B5A7E4C"/>
    <w:rsid w:val="7B5C32EC"/>
    <w:rsid w:val="7B5F1947"/>
    <w:rsid w:val="7B617FF9"/>
    <w:rsid w:val="7B62387C"/>
    <w:rsid w:val="7B641D73"/>
    <w:rsid w:val="7B646D7F"/>
    <w:rsid w:val="7B667AF9"/>
    <w:rsid w:val="7B671F02"/>
    <w:rsid w:val="7B675786"/>
    <w:rsid w:val="7B6A2E87"/>
    <w:rsid w:val="7B704D90"/>
    <w:rsid w:val="7B712812"/>
    <w:rsid w:val="7B7468F8"/>
    <w:rsid w:val="7B7B0BA3"/>
    <w:rsid w:val="7B7C1EA8"/>
    <w:rsid w:val="7B7F2E2C"/>
    <w:rsid w:val="7B7F75A9"/>
    <w:rsid w:val="7B851426"/>
    <w:rsid w:val="7B8C0E3D"/>
    <w:rsid w:val="7B900CE5"/>
    <w:rsid w:val="7B9030C7"/>
    <w:rsid w:val="7B9052C5"/>
    <w:rsid w:val="7B941ACD"/>
    <w:rsid w:val="7B985F55"/>
    <w:rsid w:val="7B990153"/>
    <w:rsid w:val="7B9A5BD4"/>
    <w:rsid w:val="7B9E325B"/>
    <w:rsid w:val="7BA577E9"/>
    <w:rsid w:val="7BA6526A"/>
    <w:rsid w:val="7BAC560C"/>
    <w:rsid w:val="7BAE00F8"/>
    <w:rsid w:val="7BAF5B7A"/>
    <w:rsid w:val="7BB06525"/>
    <w:rsid w:val="7BB31275"/>
    <w:rsid w:val="7BB65505"/>
    <w:rsid w:val="7BBB5210"/>
    <w:rsid w:val="7BBD0713"/>
    <w:rsid w:val="7BBE620D"/>
    <w:rsid w:val="7BC05E14"/>
    <w:rsid w:val="7BC13896"/>
    <w:rsid w:val="7BC21706"/>
    <w:rsid w:val="7BC24B9B"/>
    <w:rsid w:val="7BC96724"/>
    <w:rsid w:val="7BCA420F"/>
    <w:rsid w:val="7BCC76A8"/>
    <w:rsid w:val="7BD37033"/>
    <w:rsid w:val="7BD40338"/>
    <w:rsid w:val="7BD55DBA"/>
    <w:rsid w:val="7BD75A39"/>
    <w:rsid w:val="7BDC5744"/>
    <w:rsid w:val="7BE06349"/>
    <w:rsid w:val="7BE2764E"/>
    <w:rsid w:val="7BE372CE"/>
    <w:rsid w:val="7BE75CD4"/>
    <w:rsid w:val="7BE911D7"/>
    <w:rsid w:val="7BE92A89"/>
    <w:rsid w:val="7BEE0103"/>
    <w:rsid w:val="7BF24065"/>
    <w:rsid w:val="7BF31AE6"/>
    <w:rsid w:val="7BFB2776"/>
    <w:rsid w:val="7BFD34AD"/>
    <w:rsid w:val="7C012101"/>
    <w:rsid w:val="7C0242FF"/>
    <w:rsid w:val="7C043085"/>
    <w:rsid w:val="7C047802"/>
    <w:rsid w:val="7C0A0FE4"/>
    <w:rsid w:val="7C13476B"/>
    <w:rsid w:val="7C160DA1"/>
    <w:rsid w:val="7C1C072C"/>
    <w:rsid w:val="7C213E9C"/>
    <w:rsid w:val="7C254906"/>
    <w:rsid w:val="7C263D76"/>
    <w:rsid w:val="7C2A32C5"/>
    <w:rsid w:val="7C2D09C7"/>
    <w:rsid w:val="7C2F774D"/>
    <w:rsid w:val="7C3228D0"/>
    <w:rsid w:val="7C38005C"/>
    <w:rsid w:val="7C3D0C61"/>
    <w:rsid w:val="7C406ABB"/>
    <w:rsid w:val="7C413482"/>
    <w:rsid w:val="7C463AEF"/>
    <w:rsid w:val="7C484A74"/>
    <w:rsid w:val="7C4924F5"/>
    <w:rsid w:val="7C4D6CFD"/>
    <w:rsid w:val="7C4E2200"/>
    <w:rsid w:val="7C4F7C82"/>
    <w:rsid w:val="7C501E80"/>
    <w:rsid w:val="7C513185"/>
    <w:rsid w:val="7C517901"/>
    <w:rsid w:val="7C536688"/>
    <w:rsid w:val="7C551B8B"/>
    <w:rsid w:val="7C590818"/>
    <w:rsid w:val="7C5C1516"/>
    <w:rsid w:val="7C5D6F97"/>
    <w:rsid w:val="7C5E1196"/>
    <w:rsid w:val="7C5E6C17"/>
    <w:rsid w:val="7C607F1C"/>
    <w:rsid w:val="7C69082B"/>
    <w:rsid w:val="7C6C17B0"/>
    <w:rsid w:val="7C6C5F2D"/>
    <w:rsid w:val="7C746BBD"/>
    <w:rsid w:val="7C7C10F6"/>
    <w:rsid w:val="7C853BEA"/>
    <w:rsid w:val="7C87365F"/>
    <w:rsid w:val="7C881368"/>
    <w:rsid w:val="7C885555"/>
    <w:rsid w:val="7C8F51E8"/>
    <w:rsid w:val="7C9064ED"/>
    <w:rsid w:val="7C944EF3"/>
    <w:rsid w:val="7C9570F1"/>
    <w:rsid w:val="7C970076"/>
    <w:rsid w:val="7C9B6A7C"/>
    <w:rsid w:val="7C9E7A01"/>
    <w:rsid w:val="7C9F5482"/>
    <w:rsid w:val="7CA26407"/>
    <w:rsid w:val="7CA52C0F"/>
    <w:rsid w:val="7CA7288F"/>
    <w:rsid w:val="7CA80310"/>
    <w:rsid w:val="7CAD2A9A"/>
    <w:rsid w:val="7CAE2219"/>
    <w:rsid w:val="7CB244A3"/>
    <w:rsid w:val="7CB34123"/>
    <w:rsid w:val="7CB41BA4"/>
    <w:rsid w:val="7CB85855"/>
    <w:rsid w:val="7CBF7F35"/>
    <w:rsid w:val="7CC20EBA"/>
    <w:rsid w:val="7CC51E3F"/>
    <w:rsid w:val="7CC66D3A"/>
    <w:rsid w:val="7CC7512A"/>
    <w:rsid w:val="7CC940C8"/>
    <w:rsid w:val="7CCF01D0"/>
    <w:rsid w:val="7CD158CD"/>
    <w:rsid w:val="7CD16F56"/>
    <w:rsid w:val="7CD32459"/>
    <w:rsid w:val="7CD36BD6"/>
    <w:rsid w:val="7CD36D5A"/>
    <w:rsid w:val="7CD47EDB"/>
    <w:rsid w:val="7CD70E5F"/>
    <w:rsid w:val="7CD765D8"/>
    <w:rsid w:val="7CD94362"/>
    <w:rsid w:val="7CE00658"/>
    <w:rsid w:val="7CE27788"/>
    <w:rsid w:val="7CE426F4"/>
    <w:rsid w:val="7CEB7B00"/>
    <w:rsid w:val="7CEE0A85"/>
    <w:rsid w:val="7CEF1D89"/>
    <w:rsid w:val="7CEF4308"/>
    <w:rsid w:val="7CF0780B"/>
    <w:rsid w:val="7CF34F0C"/>
    <w:rsid w:val="7CF96E16"/>
    <w:rsid w:val="7CFA4897"/>
    <w:rsid w:val="7CFC361E"/>
    <w:rsid w:val="7CFE0EC0"/>
    <w:rsid w:val="7CFE329D"/>
    <w:rsid w:val="7D002024"/>
    <w:rsid w:val="7D004222"/>
    <w:rsid w:val="7D025527"/>
    <w:rsid w:val="7D027725"/>
    <w:rsid w:val="7D040A2A"/>
    <w:rsid w:val="7D0564AB"/>
    <w:rsid w:val="7D0719AF"/>
    <w:rsid w:val="7D08162E"/>
    <w:rsid w:val="7D0A4B32"/>
    <w:rsid w:val="7D0C32F1"/>
    <w:rsid w:val="7D0F408D"/>
    <w:rsid w:val="7D112C1E"/>
    <w:rsid w:val="7D136216"/>
    <w:rsid w:val="7D145441"/>
    <w:rsid w:val="7D19734A"/>
    <w:rsid w:val="7D1A4DCC"/>
    <w:rsid w:val="7D1C5CF9"/>
    <w:rsid w:val="7D1D5D51"/>
    <w:rsid w:val="7D2569E0"/>
    <w:rsid w:val="7D2731DC"/>
    <w:rsid w:val="7D2749BA"/>
    <w:rsid w:val="7D291B63"/>
    <w:rsid w:val="7D2B5066"/>
    <w:rsid w:val="7D2C636B"/>
    <w:rsid w:val="7D2D3DED"/>
    <w:rsid w:val="7D2E186E"/>
    <w:rsid w:val="7D335CF6"/>
    <w:rsid w:val="7D391DFD"/>
    <w:rsid w:val="7D3D3973"/>
    <w:rsid w:val="7D3E1B08"/>
    <w:rsid w:val="7D40210C"/>
    <w:rsid w:val="7D412A8D"/>
    <w:rsid w:val="7D491C6C"/>
    <w:rsid w:val="7D5052A6"/>
    <w:rsid w:val="7D510187"/>
    <w:rsid w:val="7D5207A9"/>
    <w:rsid w:val="7D5429C0"/>
    <w:rsid w:val="7D5826B2"/>
    <w:rsid w:val="7D5B3637"/>
    <w:rsid w:val="7D5D6B3A"/>
    <w:rsid w:val="7D66349E"/>
    <w:rsid w:val="7D6E6D43"/>
    <w:rsid w:val="7D720D45"/>
    <w:rsid w:val="7D730CDE"/>
    <w:rsid w:val="7D734561"/>
    <w:rsid w:val="7D7654E6"/>
    <w:rsid w:val="7D772F67"/>
    <w:rsid w:val="7D7776E4"/>
    <w:rsid w:val="7D7809E9"/>
    <w:rsid w:val="7D785165"/>
    <w:rsid w:val="7D7A3EEC"/>
    <w:rsid w:val="7D7C3B6C"/>
    <w:rsid w:val="7D7D15ED"/>
    <w:rsid w:val="7D7F0374"/>
    <w:rsid w:val="7D8234F7"/>
    <w:rsid w:val="7D860BFD"/>
    <w:rsid w:val="7D867CFE"/>
    <w:rsid w:val="7D87797E"/>
    <w:rsid w:val="7D885400"/>
    <w:rsid w:val="7D8A0903"/>
    <w:rsid w:val="7D8E2B8C"/>
    <w:rsid w:val="7D8F060E"/>
    <w:rsid w:val="7D967F99"/>
    <w:rsid w:val="7D9A0B9D"/>
    <w:rsid w:val="7DA02AA7"/>
    <w:rsid w:val="7DA577A2"/>
    <w:rsid w:val="7DAF30C1"/>
    <w:rsid w:val="7DB47549"/>
    <w:rsid w:val="7DB57A34"/>
    <w:rsid w:val="7DB647F4"/>
    <w:rsid w:val="7DB96400"/>
    <w:rsid w:val="7DBA4CD5"/>
    <w:rsid w:val="7DBA6ED4"/>
    <w:rsid w:val="7DBC01D8"/>
    <w:rsid w:val="7DBD303D"/>
    <w:rsid w:val="7DC81A6D"/>
    <w:rsid w:val="7DC83C51"/>
    <w:rsid w:val="7DC861E9"/>
    <w:rsid w:val="7DC974EE"/>
    <w:rsid w:val="7DCA16EC"/>
    <w:rsid w:val="7DD035F6"/>
    <w:rsid w:val="7DD16AF9"/>
    <w:rsid w:val="7DD2237C"/>
    <w:rsid w:val="7DD31FFC"/>
    <w:rsid w:val="7DD62F81"/>
    <w:rsid w:val="7DDC4E8A"/>
    <w:rsid w:val="7DDD4202"/>
    <w:rsid w:val="7DDF5E0F"/>
    <w:rsid w:val="7DE3546C"/>
    <w:rsid w:val="7DE60973"/>
    <w:rsid w:val="7DEA7A23"/>
    <w:rsid w:val="7DEB76A3"/>
    <w:rsid w:val="7DEF0916"/>
    <w:rsid w:val="7DF173AE"/>
    <w:rsid w:val="7DF24E2F"/>
    <w:rsid w:val="7DF76D39"/>
    <w:rsid w:val="7DF97EE1"/>
    <w:rsid w:val="7DFB573F"/>
    <w:rsid w:val="7E021846"/>
    <w:rsid w:val="7E0405CD"/>
    <w:rsid w:val="7E05604E"/>
    <w:rsid w:val="7E0A24D6"/>
    <w:rsid w:val="7E0B59D9"/>
    <w:rsid w:val="7E1149BA"/>
    <w:rsid w:val="7E127E00"/>
    <w:rsid w:val="7E140867"/>
    <w:rsid w:val="7E1E5218"/>
    <w:rsid w:val="7E233080"/>
    <w:rsid w:val="7E240B01"/>
    <w:rsid w:val="7E256583"/>
    <w:rsid w:val="7E2A080C"/>
    <w:rsid w:val="7E300197"/>
    <w:rsid w:val="7E312396"/>
    <w:rsid w:val="7E34331A"/>
    <w:rsid w:val="7E377B22"/>
    <w:rsid w:val="7E393025"/>
    <w:rsid w:val="7E3A2CA5"/>
    <w:rsid w:val="7E3C61A8"/>
    <w:rsid w:val="7E3D1A2B"/>
    <w:rsid w:val="7E3D3C2A"/>
    <w:rsid w:val="7E3F4F2E"/>
    <w:rsid w:val="7E3F712D"/>
    <w:rsid w:val="7E41193E"/>
    <w:rsid w:val="7E435B33"/>
    <w:rsid w:val="7E474539"/>
    <w:rsid w:val="7E481261"/>
    <w:rsid w:val="7E48583E"/>
    <w:rsid w:val="7E4A520D"/>
    <w:rsid w:val="7E4A54BE"/>
    <w:rsid w:val="7E4C09C1"/>
    <w:rsid w:val="7E4D6442"/>
    <w:rsid w:val="7E502C4A"/>
    <w:rsid w:val="7E541651"/>
    <w:rsid w:val="7E5747D4"/>
    <w:rsid w:val="7E580057"/>
    <w:rsid w:val="7E5A5758"/>
    <w:rsid w:val="7E610966"/>
    <w:rsid w:val="7E633E69"/>
    <w:rsid w:val="7E66156B"/>
    <w:rsid w:val="7E676FEC"/>
    <w:rsid w:val="7E6B1276"/>
    <w:rsid w:val="7E6C6CF7"/>
    <w:rsid w:val="7E6D10D6"/>
    <w:rsid w:val="7E765088"/>
    <w:rsid w:val="7E79600D"/>
    <w:rsid w:val="7E81304E"/>
    <w:rsid w:val="7E813419"/>
    <w:rsid w:val="7E827600"/>
    <w:rsid w:val="7E8940A9"/>
    <w:rsid w:val="7E8B3D29"/>
    <w:rsid w:val="7E8B75AC"/>
    <w:rsid w:val="7E8E272F"/>
    <w:rsid w:val="7E905C32"/>
    <w:rsid w:val="7E906162"/>
    <w:rsid w:val="7E93243A"/>
    <w:rsid w:val="7E936BB7"/>
    <w:rsid w:val="7E970E40"/>
    <w:rsid w:val="7E98303F"/>
    <w:rsid w:val="7E9A4E1F"/>
    <w:rsid w:val="7E9B3FC3"/>
    <w:rsid w:val="7E9F29C9"/>
    <w:rsid w:val="7E9F624D"/>
    <w:rsid w:val="7EA55CBC"/>
    <w:rsid w:val="7EA7723A"/>
    <w:rsid w:val="7EAA67DC"/>
    <w:rsid w:val="7EAC5562"/>
    <w:rsid w:val="7EAD3464"/>
    <w:rsid w:val="7EAE51E2"/>
    <w:rsid w:val="7EB25C7A"/>
    <w:rsid w:val="7EB2746C"/>
    <w:rsid w:val="7EB65E72"/>
    <w:rsid w:val="7EB738F3"/>
    <w:rsid w:val="7EBB6A76"/>
    <w:rsid w:val="7EBE547D"/>
    <w:rsid w:val="7EBF0D00"/>
    <w:rsid w:val="7EC35188"/>
    <w:rsid w:val="7EC37706"/>
    <w:rsid w:val="7EC73B8E"/>
    <w:rsid w:val="7ECD5A97"/>
    <w:rsid w:val="7ECD7DA4"/>
    <w:rsid w:val="7ECE7C95"/>
    <w:rsid w:val="7ED122C0"/>
    <w:rsid w:val="7ED1449D"/>
    <w:rsid w:val="7ED21F1F"/>
    <w:rsid w:val="7ED45422"/>
    <w:rsid w:val="7ED763A7"/>
    <w:rsid w:val="7EDC02B0"/>
    <w:rsid w:val="7EE840C2"/>
    <w:rsid w:val="7EEA75C6"/>
    <w:rsid w:val="7EF56FBB"/>
    <w:rsid w:val="7EF97BE0"/>
    <w:rsid w:val="7EFC5948"/>
    <w:rsid w:val="7EFC65E6"/>
    <w:rsid w:val="7F001769"/>
    <w:rsid w:val="7F0330F0"/>
    <w:rsid w:val="7F066EF6"/>
    <w:rsid w:val="7F0768EB"/>
    <w:rsid w:val="7F0823F9"/>
    <w:rsid w:val="7F0D6881"/>
    <w:rsid w:val="7F115287"/>
    <w:rsid w:val="7F122D08"/>
    <w:rsid w:val="7F143BEC"/>
    <w:rsid w:val="7F155E8B"/>
    <w:rsid w:val="7F19202E"/>
    <w:rsid w:val="7F1F7A17"/>
    <w:rsid w:val="7F22771F"/>
    <w:rsid w:val="7F2619A9"/>
    <w:rsid w:val="7F27742A"/>
    <w:rsid w:val="7F29292E"/>
    <w:rsid w:val="7F2E4837"/>
    <w:rsid w:val="7F2F6A35"/>
    <w:rsid w:val="7F3157BC"/>
    <w:rsid w:val="7F35093E"/>
    <w:rsid w:val="7F3726AA"/>
    <w:rsid w:val="7F3776C5"/>
    <w:rsid w:val="7F392BC8"/>
    <w:rsid w:val="7F397345"/>
    <w:rsid w:val="7F41050E"/>
    <w:rsid w:val="7F47795F"/>
    <w:rsid w:val="7F4B2FEF"/>
    <w:rsid w:val="7F4D156A"/>
    <w:rsid w:val="7F536FF5"/>
    <w:rsid w:val="7F590EFE"/>
    <w:rsid w:val="7F5B391B"/>
    <w:rsid w:val="7F5F2E08"/>
    <w:rsid w:val="7F5F5006"/>
    <w:rsid w:val="7F600889"/>
    <w:rsid w:val="7F64728F"/>
    <w:rsid w:val="7F672412"/>
    <w:rsid w:val="7F715AF2"/>
    <w:rsid w:val="7F7165A5"/>
    <w:rsid w:val="7F724027"/>
    <w:rsid w:val="7F764C2B"/>
    <w:rsid w:val="7F7726AD"/>
    <w:rsid w:val="7F785F30"/>
    <w:rsid w:val="7F795BB0"/>
    <w:rsid w:val="7F7A3631"/>
    <w:rsid w:val="7F7D45B6"/>
    <w:rsid w:val="7F812FBC"/>
    <w:rsid w:val="7F831D43"/>
    <w:rsid w:val="7F8519C2"/>
    <w:rsid w:val="7F874EC5"/>
    <w:rsid w:val="7F882947"/>
    <w:rsid w:val="7F886E69"/>
    <w:rsid w:val="7F8A16CD"/>
    <w:rsid w:val="7F8A5E4A"/>
    <w:rsid w:val="7F8E00D4"/>
    <w:rsid w:val="7F93675A"/>
    <w:rsid w:val="7F9554E0"/>
    <w:rsid w:val="7F9709E3"/>
    <w:rsid w:val="7F975160"/>
    <w:rsid w:val="7F9D7069"/>
    <w:rsid w:val="7FA966FF"/>
    <w:rsid w:val="7FAA5E00"/>
    <w:rsid w:val="7FAC155A"/>
    <w:rsid w:val="7FAE0608"/>
    <w:rsid w:val="7FBB1E9C"/>
    <w:rsid w:val="7FC01BA7"/>
    <w:rsid w:val="7FC1052F"/>
    <w:rsid w:val="7FC527AC"/>
    <w:rsid w:val="7FC73101"/>
    <w:rsid w:val="7FC86FB4"/>
    <w:rsid w:val="7FC96C34"/>
    <w:rsid w:val="7FCD343C"/>
    <w:rsid w:val="7FD21AC2"/>
    <w:rsid w:val="7FD63D4B"/>
    <w:rsid w:val="7FD839CB"/>
    <w:rsid w:val="7FDA0ECC"/>
    <w:rsid w:val="7FDA6ECE"/>
    <w:rsid w:val="7FDC2445"/>
    <w:rsid w:val="7FDE1157"/>
    <w:rsid w:val="7FE06859"/>
    <w:rsid w:val="7FE21D5C"/>
    <w:rsid w:val="7FE50AE2"/>
    <w:rsid w:val="7FEB4BEA"/>
    <w:rsid w:val="7FED00ED"/>
    <w:rsid w:val="7FF432FB"/>
    <w:rsid w:val="7FF609FC"/>
    <w:rsid w:val="7FF62F7B"/>
    <w:rsid w:val="7FFC0707"/>
    <w:rsid w:val="7FFD0387"/>
    <w:rsid w:val="7FFE168C"/>
    <w:rsid w:val="7FFF710E"/>
    <w:rsid w:val="AD3D69E2"/>
    <w:rsid w:val="ADFF5797"/>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0"/>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next w:val="1"/>
    <w:link w:val="264"/>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4"/>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0"/>
    <w:qFormat/>
    <w:uiPriority w:val="0"/>
    <w:pPr>
      <w:ind w:left="100" w:leftChars="2500"/>
    </w:pPr>
    <w:rPr>
      <w:rFonts w:ascii="宋体"/>
      <w:sz w:val="24"/>
      <w:szCs w:val="21"/>
      <w:lang w:val="zh-CN"/>
    </w:rPr>
  </w:style>
  <w:style w:type="paragraph" w:styleId="39">
    <w:name w:val="Body Text Indent 2"/>
    <w:basedOn w:val="1"/>
    <w:link w:val="307"/>
    <w:qFormat/>
    <w:uiPriority w:val="0"/>
    <w:pPr>
      <w:spacing w:line="360" w:lineRule="auto"/>
      <w:ind w:firstLine="601"/>
      <w:textAlignment w:val="baseline"/>
    </w:pPr>
    <w:rPr>
      <w:rFonts w:ascii="宋体"/>
      <w:kern w:val="0"/>
      <w:sz w:val="28"/>
      <w:szCs w:val="20"/>
    </w:rPr>
  </w:style>
  <w:style w:type="paragraph" w:styleId="40">
    <w:name w:val="endnote text"/>
    <w:basedOn w:val="1"/>
    <w:link w:val="931"/>
    <w:qFormat/>
    <w:uiPriority w:val="0"/>
    <w:rPr>
      <w:lang w:val="zh-CN"/>
    </w:rPr>
  </w:style>
  <w:style w:type="paragraph" w:styleId="41">
    <w:name w:val="Balloon Text"/>
    <w:basedOn w:val="1"/>
    <w:link w:val="187"/>
    <w:qFormat/>
    <w:uiPriority w:val="0"/>
    <w:rPr>
      <w:sz w:val="18"/>
      <w:szCs w:val="18"/>
    </w:rPr>
  </w:style>
  <w:style w:type="paragraph" w:styleId="42">
    <w:name w:val="footer"/>
    <w:basedOn w:val="1"/>
    <w:link w:val="382"/>
    <w:qFormat/>
    <w:uiPriority w:val="99"/>
    <w:pPr>
      <w:tabs>
        <w:tab w:val="center" w:pos="4153"/>
        <w:tab w:val="right" w:pos="8306"/>
      </w:tabs>
      <w:snapToGrid w:val="0"/>
      <w:jc w:val="left"/>
    </w:pPr>
    <w:rPr>
      <w:sz w:val="18"/>
      <w:szCs w:val="18"/>
    </w:rPr>
  </w:style>
  <w:style w:type="paragraph" w:styleId="43">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index 7"/>
    <w:basedOn w:val="1"/>
    <w:next w:val="1"/>
    <w:qFormat/>
    <w:uiPriority w:val="0"/>
    <w:pPr>
      <w:ind w:left="1200" w:leftChars="1200"/>
    </w:pPr>
    <w:rPr>
      <w:sz w:val="21"/>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1"/>
    <w:qFormat/>
    <w:uiPriority w:val="0"/>
    <w:pPr>
      <w:spacing w:after="120" w:line="480" w:lineRule="auto"/>
    </w:pPr>
  </w:style>
  <w:style w:type="paragraph" w:styleId="59">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5"/>
    <w:qFormat/>
    <w:uiPriority w:val="0"/>
    <w:rPr>
      <w:b/>
      <w:bCs/>
    </w:rPr>
  </w:style>
  <w:style w:type="paragraph" w:styleId="63">
    <w:name w:val="Body Text First Indent 2"/>
    <w:basedOn w:val="27"/>
    <w:next w:val="19"/>
    <w:link w:val="120"/>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2"/>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3"/>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1"/>
    <w:qFormat/>
    <w:uiPriority w:val="0"/>
    <w:rPr>
      <w:rFonts w:ascii="Arial" w:hAnsi="Arial" w:eastAsia="黑体" w:cs="Arial"/>
      <w:snapToGrid w:val="0"/>
      <w:kern w:val="0"/>
      <w:szCs w:val="21"/>
    </w:rPr>
  </w:style>
  <w:style w:type="character" w:customStyle="1" w:styleId="124">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9"/>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2"/>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8"/>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1"/>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1"/>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2"/>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7"/>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1"/>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9"/>
    <w:qFormat/>
    <w:uiPriority w:val="0"/>
    <w:rPr>
      <w:rFonts w:ascii="黑体" w:hAnsi="Courier New" w:eastAsia="黑体"/>
    </w:rPr>
  </w:style>
  <w:style w:type="character" w:customStyle="1" w:styleId="301">
    <w:name w:val="正文文本 2 Char1"/>
    <w:link w:val="58"/>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9"/>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2"/>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5"/>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qFormat/>
    <w:uiPriority w:val="99"/>
    <w:rPr>
      <w:kern w:val="2"/>
      <w:sz w:val="21"/>
      <w:szCs w:val="24"/>
    </w:rPr>
  </w:style>
  <w:style w:type="character" w:customStyle="1" w:styleId="344">
    <w:name w:val="签名 Char"/>
    <w:link w:val="44"/>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2"/>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3"/>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1"/>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71"/>
    <w:qFormat/>
    <w:uiPriority w:val="0"/>
    <w:rPr>
      <w:rFonts w:ascii="Arial" w:hAnsi="Arial" w:eastAsia="黑体" w:cs="Arial"/>
      <w:snapToGrid w:val="0"/>
      <w:kern w:val="0"/>
      <w:szCs w:val="21"/>
    </w:rPr>
  </w:style>
  <w:style w:type="character" w:customStyle="1" w:styleId="431">
    <w:name w:val="hui"/>
    <w:basedOn w:val="71"/>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8"/>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9"/>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40"/>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_Style 2"/>
    <w:basedOn w:val="2"/>
    <w:next w:val="1"/>
    <w:qFormat/>
    <w:uiPriority w:val="39"/>
    <w:pPr>
      <w:widowControl/>
      <w:spacing w:line="240" w:lineRule="auto"/>
      <w:outlineLvl w:val="9"/>
    </w:pPr>
    <w:rPr>
      <w:kern w:val="0"/>
      <w:sz w:val="21"/>
      <w:szCs w:val="28"/>
    </w:rPr>
  </w:style>
  <w:style w:type="table" w:customStyle="1" w:styleId="965">
    <w:name w:val="Table Normal"/>
    <w:semiHidden/>
    <w:unhideWhenUsed/>
    <w:qFormat/>
    <w:uiPriority w:val="0"/>
    <w:tblPr>
      <w:tblCellMar>
        <w:top w:w="0" w:type="dxa"/>
        <w:left w:w="0" w:type="dxa"/>
        <w:bottom w:w="0" w:type="dxa"/>
        <w:right w:w="0" w:type="dxa"/>
      </w:tblCellMar>
    </w:tblPr>
  </w:style>
  <w:style w:type="character" w:customStyle="1" w:styleId="966">
    <w:name w:val="layui-layer-tabnow"/>
    <w:basedOn w:val="71"/>
    <w:qFormat/>
    <w:uiPriority w:val="0"/>
    <w:rPr>
      <w:bdr w:val="single" w:color="CCCCCC" w:sz="6" w:space="0"/>
      <w:shd w:val="clear" w:fill="FFFFFF"/>
    </w:rPr>
  </w:style>
  <w:style w:type="character" w:customStyle="1" w:styleId="967">
    <w:name w:val="first-child"/>
    <w:basedOn w:val="71"/>
    <w:qFormat/>
    <w:uiPriority w:val="0"/>
  </w:style>
  <w:style w:type="character" w:customStyle="1" w:styleId="968">
    <w:name w:val="hover7"/>
    <w:basedOn w:val="71"/>
    <w:qFormat/>
    <w:uiPriority w:val="0"/>
    <w:rPr>
      <w:shd w:val="clear" w:fill="F3F3F3"/>
    </w:rPr>
  </w:style>
  <w:style w:type="character" w:customStyle="1" w:styleId="969">
    <w:name w:val="hover8"/>
    <w:basedOn w:val="71"/>
    <w:qFormat/>
    <w:uiPriority w:val="0"/>
    <w:rPr>
      <w:sz w:val="19"/>
      <w:szCs w:val="19"/>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theme" Target="theme/theme1.xml"/><Relationship Id="rId35" Type="http://schemas.openxmlformats.org/officeDocument/2006/relationships/footer" Target="footer18.xml"/><Relationship Id="rId34" Type="http://schemas.openxmlformats.org/officeDocument/2006/relationships/footer" Target="footer17.xml"/><Relationship Id="rId33" Type="http://schemas.openxmlformats.org/officeDocument/2006/relationships/footer" Target="footer16.xml"/><Relationship Id="rId32" Type="http://schemas.openxmlformats.org/officeDocument/2006/relationships/header" Target="header15.xml"/><Relationship Id="rId31" Type="http://schemas.openxmlformats.org/officeDocument/2006/relationships/header" Target="header14.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107</Pages>
  <Words>5386</Words>
  <Characters>5915</Characters>
  <Lines>281</Lines>
  <Paragraphs>79</Paragraphs>
  <TotalTime>23</TotalTime>
  <ScaleCrop>false</ScaleCrop>
  <LinksUpToDate>false</LinksUpToDate>
  <CharactersWithSpaces>6298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Administrator</dc:creator>
  <cp:lastModifiedBy>shani-peng</cp:lastModifiedBy>
  <cp:lastPrinted>2024-01-22T16:33:00Z</cp:lastPrinted>
  <dcterms:modified xsi:type="dcterms:W3CDTF">2025-01-27T01:50:10Z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FFC0E09744864B71902BC76ED39B6CC7_13</vt:lpwstr>
  </property>
  <property fmtid="{D5CDD505-2E9C-101B-9397-08002B2CF9AE}" pid="5" name="KSOTemplateDocerSaveRecord">
    <vt:lpwstr>eyJoZGlkIjoiZDlkOGYxMWFhYjQ4NTVkNzU4ZjgyNDgxMDRiOTA0MzAiLCJ1c2VySWQiOiIzNjY4Mzk0MzQifQ==</vt:lpwstr>
  </property>
</Properties>
</file>