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8F784E">
      <w:pPr>
        <w:keepNext w:val="0"/>
        <w:keepLines w:val="0"/>
        <w:pageBreakBefore w:val="0"/>
        <w:kinsoku/>
        <w:overflowPunct/>
        <w:autoSpaceDE w:val="0"/>
        <w:autoSpaceDN w:val="0"/>
        <w:bidi w:val="0"/>
        <w:spacing w:line="297" w:lineRule="auto"/>
        <w:rPr>
          <w:rFonts w:hint="eastAsia" w:ascii="黑体" w:hAnsi="黑体" w:eastAsia="黑体" w:cs="黑体"/>
          <w:color w:val="auto"/>
          <w:sz w:val="21"/>
          <w:highlight w:val="none"/>
          <w:lang w:val="en-US" w:eastAsia="zh-CN"/>
        </w:rPr>
      </w:pPr>
    </w:p>
    <w:p w14:paraId="45481EFB">
      <w:pPr>
        <w:keepNext w:val="0"/>
        <w:keepLines w:val="0"/>
        <w:pageBreakBefore w:val="0"/>
        <w:kinsoku/>
        <w:overflowPunct/>
        <w:autoSpaceDE w:val="0"/>
        <w:autoSpaceDN w:val="0"/>
        <w:bidi w:val="0"/>
        <w:spacing w:line="298" w:lineRule="auto"/>
        <w:rPr>
          <w:rFonts w:hint="eastAsia" w:ascii="黑体" w:hAnsi="黑体" w:eastAsia="黑体" w:cs="黑体"/>
          <w:color w:val="auto"/>
          <w:sz w:val="21"/>
          <w:highlight w:val="none"/>
        </w:rPr>
      </w:pPr>
    </w:p>
    <w:p w14:paraId="217A7AAF">
      <w:pPr>
        <w:keepNext w:val="0"/>
        <w:keepLines w:val="0"/>
        <w:pageBreakBefore w:val="0"/>
        <w:kinsoku/>
        <w:overflowPunct/>
        <w:autoSpaceDE w:val="0"/>
        <w:autoSpaceDN w:val="0"/>
        <w:bidi w:val="0"/>
        <w:spacing w:line="298" w:lineRule="auto"/>
        <w:outlineLvl w:val="9"/>
        <w:rPr>
          <w:rFonts w:hint="eastAsia" w:ascii="黑体" w:hAnsi="黑体" w:eastAsia="黑体" w:cs="黑体"/>
          <w:color w:val="auto"/>
          <w:sz w:val="21"/>
          <w:highlight w:val="none"/>
        </w:rPr>
      </w:pPr>
    </w:p>
    <w:p w14:paraId="0489E234">
      <w:pPr>
        <w:keepNext w:val="0"/>
        <w:keepLines w:val="0"/>
        <w:pageBreakBefore w:val="0"/>
        <w:kinsoku/>
        <w:overflowPunct/>
        <w:autoSpaceDE w:val="0"/>
        <w:autoSpaceDN w:val="0"/>
        <w:bidi w:val="0"/>
        <w:spacing w:before="270" w:line="222" w:lineRule="auto"/>
        <w:jc w:val="both"/>
        <w:outlineLvl w:val="9"/>
        <w:rPr>
          <w:rFonts w:hint="eastAsia" w:ascii="黑体" w:hAnsi="黑体" w:eastAsia="黑体" w:cs="黑体"/>
          <w:color w:val="auto"/>
          <w:spacing w:val="6"/>
          <w:sz w:val="48"/>
          <w:szCs w:val="48"/>
          <w:highlight w:val="none"/>
          <w:lang w:eastAsia="zh-CN"/>
          <w14:textOutline w14:w="15255" w14:cap="sq" w14:cmpd="sng">
            <w14:solidFill>
              <w14:srgbClr w14:val="000000"/>
            </w14:solidFill>
            <w14:prstDash w14:val="solid"/>
            <w14:bevel/>
          </w14:textOutline>
        </w:rPr>
      </w:pPr>
    </w:p>
    <w:p w14:paraId="30AAD63C">
      <w:pPr>
        <w:keepNext w:val="0"/>
        <w:keepLines w:val="0"/>
        <w:pageBreakBefore w:val="0"/>
        <w:kinsoku/>
        <w:overflowPunct/>
        <w:autoSpaceDE w:val="0"/>
        <w:autoSpaceDN w:val="0"/>
        <w:bidi w:val="0"/>
        <w:spacing w:before="270" w:line="222" w:lineRule="auto"/>
        <w:ind w:left="19" w:leftChars="0" w:hanging="19" w:firstLineChars="0"/>
        <w:jc w:val="center"/>
        <w:outlineLvl w:val="9"/>
        <w:rPr>
          <w:rFonts w:hint="eastAsia" w:ascii="黑体" w:hAnsi="黑体" w:eastAsia="黑体" w:cs="黑体"/>
          <w:color w:val="auto"/>
          <w:spacing w:val="6"/>
          <w:sz w:val="48"/>
          <w:szCs w:val="48"/>
          <w:highlight w:val="none"/>
          <w:lang w:eastAsia="zh-CN"/>
          <w14:textOutline w14:w="15255" w14:cap="sq" w14:cmpd="sng">
            <w14:solidFill>
              <w14:srgbClr w14:val="000000"/>
            </w14:solidFill>
            <w14:prstDash w14:val="solid"/>
            <w14:bevel/>
          </w14:textOutline>
        </w:rPr>
      </w:pPr>
      <w:bookmarkStart w:id="0" w:name="_Toc10982"/>
      <w:r>
        <w:rPr>
          <w:rFonts w:hint="eastAsia" w:ascii="黑体" w:hAnsi="黑体" w:eastAsia="黑体" w:cs="黑体"/>
          <w:color w:val="auto"/>
          <w:spacing w:val="6"/>
          <w:sz w:val="48"/>
          <w:szCs w:val="48"/>
          <w:highlight w:val="none"/>
          <w:lang w:eastAsia="zh-CN"/>
          <w14:textOutline w14:w="15255" w14:cap="sq" w14:cmpd="sng">
            <w14:solidFill>
              <w14:srgbClr w14:val="000000"/>
            </w14:solidFill>
            <w14:prstDash w14:val="solid"/>
            <w14:bevel/>
          </w14:textOutline>
        </w:rPr>
        <w:t>靖宇县第三次全国土壤普查成果汇总项目</w:t>
      </w:r>
      <w:bookmarkEnd w:id="0"/>
    </w:p>
    <w:p w14:paraId="3CB78D03">
      <w:pPr>
        <w:keepNext w:val="0"/>
        <w:keepLines w:val="0"/>
        <w:pageBreakBefore w:val="0"/>
        <w:kinsoku/>
        <w:overflowPunct/>
        <w:autoSpaceDE w:val="0"/>
        <w:autoSpaceDN w:val="0"/>
        <w:bidi w:val="0"/>
        <w:spacing w:line="273" w:lineRule="auto"/>
        <w:outlineLvl w:val="9"/>
        <w:rPr>
          <w:rFonts w:hint="eastAsia" w:ascii="黑体" w:hAnsi="黑体" w:eastAsia="黑体" w:cs="黑体"/>
          <w:color w:val="auto"/>
          <w:sz w:val="21"/>
          <w:highlight w:val="none"/>
        </w:rPr>
      </w:pPr>
    </w:p>
    <w:p w14:paraId="05793D25">
      <w:pPr>
        <w:keepNext w:val="0"/>
        <w:keepLines w:val="0"/>
        <w:pageBreakBefore w:val="0"/>
        <w:kinsoku/>
        <w:overflowPunct/>
        <w:autoSpaceDE w:val="0"/>
        <w:autoSpaceDN w:val="0"/>
        <w:bidi w:val="0"/>
        <w:spacing w:line="274" w:lineRule="auto"/>
        <w:outlineLvl w:val="9"/>
        <w:rPr>
          <w:rFonts w:hint="eastAsia" w:ascii="黑体" w:hAnsi="黑体" w:eastAsia="黑体" w:cs="黑体"/>
          <w:color w:val="auto"/>
          <w:sz w:val="21"/>
          <w:highlight w:val="none"/>
        </w:rPr>
      </w:pPr>
    </w:p>
    <w:p w14:paraId="2989B5F2">
      <w:pPr>
        <w:keepNext w:val="0"/>
        <w:keepLines w:val="0"/>
        <w:pageBreakBefore w:val="0"/>
        <w:kinsoku/>
        <w:overflowPunct/>
        <w:autoSpaceDE w:val="0"/>
        <w:autoSpaceDN w:val="0"/>
        <w:bidi w:val="0"/>
        <w:spacing w:line="257" w:lineRule="auto"/>
        <w:outlineLvl w:val="9"/>
        <w:rPr>
          <w:rFonts w:hint="eastAsia" w:ascii="黑体" w:hAnsi="黑体" w:eastAsia="黑体" w:cs="黑体"/>
          <w:color w:val="auto"/>
          <w:sz w:val="21"/>
          <w:highlight w:val="none"/>
        </w:rPr>
      </w:pPr>
    </w:p>
    <w:p w14:paraId="57D2CB04">
      <w:pPr>
        <w:keepNext w:val="0"/>
        <w:keepLines w:val="0"/>
        <w:pageBreakBefore w:val="0"/>
        <w:kinsoku/>
        <w:overflowPunct/>
        <w:autoSpaceDE w:val="0"/>
        <w:autoSpaceDN w:val="0"/>
        <w:bidi w:val="0"/>
        <w:spacing w:before="270" w:line="222" w:lineRule="auto"/>
        <w:outlineLvl w:val="9"/>
        <w:rPr>
          <w:rFonts w:hint="eastAsia" w:ascii="黑体" w:hAnsi="黑体" w:eastAsia="黑体" w:cs="黑体"/>
          <w:color w:val="auto"/>
          <w:spacing w:val="10"/>
          <w:sz w:val="83"/>
          <w:szCs w:val="83"/>
          <w:highlight w:val="none"/>
          <w14:textOutline w14:w="15255" w14:cap="sq" w14:cmpd="sng">
            <w14:solidFill>
              <w14:srgbClr w14:val="000000"/>
            </w14:solidFill>
            <w14:prstDash w14:val="solid"/>
            <w14:bevel/>
          </w14:textOutline>
        </w:rPr>
      </w:pPr>
    </w:p>
    <w:p w14:paraId="11E725A2">
      <w:pPr>
        <w:keepNext w:val="0"/>
        <w:keepLines w:val="0"/>
        <w:pageBreakBefore w:val="0"/>
        <w:kinsoku/>
        <w:overflowPunct/>
        <w:autoSpaceDE w:val="0"/>
        <w:autoSpaceDN w:val="0"/>
        <w:bidi w:val="0"/>
        <w:spacing w:before="270" w:line="222" w:lineRule="auto"/>
        <w:ind w:left="1259"/>
        <w:outlineLvl w:val="9"/>
        <w:rPr>
          <w:rFonts w:hint="eastAsia" w:ascii="黑体" w:hAnsi="黑体" w:eastAsia="黑体" w:cs="黑体"/>
          <w:color w:val="auto"/>
          <w:sz w:val="83"/>
          <w:szCs w:val="83"/>
          <w:highlight w:val="none"/>
        </w:rPr>
      </w:pPr>
      <w:bookmarkStart w:id="1" w:name="_Toc3553"/>
      <w:r>
        <w:rPr>
          <w:rFonts w:hint="eastAsia" w:ascii="黑体" w:hAnsi="黑体" w:eastAsia="黑体" w:cs="黑体"/>
          <w:color w:val="auto"/>
          <w:spacing w:val="10"/>
          <w:sz w:val="83"/>
          <w:szCs w:val="83"/>
          <w:highlight w:val="none"/>
          <w14:textOutline w14:w="15255" w14:cap="sq" w14:cmpd="sng">
            <w14:solidFill>
              <w14:srgbClr w14:val="000000"/>
            </w14:solidFill>
            <w14:prstDash w14:val="solid"/>
            <w14:bevel/>
          </w14:textOutline>
        </w:rPr>
        <w:t>竞</w:t>
      </w:r>
      <w:r>
        <w:rPr>
          <w:rFonts w:hint="eastAsia" w:ascii="黑体" w:hAnsi="黑体" w:eastAsia="黑体" w:cs="黑体"/>
          <w:color w:val="auto"/>
          <w:spacing w:val="6"/>
          <w:sz w:val="83"/>
          <w:szCs w:val="83"/>
          <w:highlight w:val="none"/>
          <w14:textOutline w14:w="15255" w14:cap="sq" w14:cmpd="sng">
            <w14:solidFill>
              <w14:srgbClr w14:val="000000"/>
            </w14:solidFill>
            <w14:prstDash w14:val="solid"/>
            <w14:bevel/>
          </w14:textOutline>
        </w:rPr>
        <w:t>争性磋商文件</w:t>
      </w:r>
      <w:bookmarkEnd w:id="1"/>
    </w:p>
    <w:p w14:paraId="086C6543">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560CDE52">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3B6FDBDA">
      <w:pPr>
        <w:keepNext w:val="0"/>
        <w:keepLines w:val="0"/>
        <w:pageBreakBefore w:val="0"/>
        <w:kinsoku/>
        <w:overflowPunct/>
        <w:autoSpaceDE w:val="0"/>
        <w:autoSpaceDN w:val="0"/>
        <w:bidi w:val="0"/>
        <w:spacing w:before="91" w:line="220" w:lineRule="auto"/>
        <w:ind w:left="2563"/>
        <w:outlineLvl w:val="9"/>
        <w:rPr>
          <w:rFonts w:hint="eastAsia" w:ascii="黑体" w:hAnsi="黑体" w:eastAsia="黑体" w:cs="黑体"/>
          <w:color w:val="auto"/>
          <w:sz w:val="28"/>
          <w:szCs w:val="28"/>
          <w:highlight w:val="none"/>
          <w:lang w:eastAsia="zh-CN"/>
        </w:rPr>
      </w:pPr>
      <w:r>
        <w:rPr>
          <w:rFonts w:hint="eastAsia" w:ascii="黑体" w:hAnsi="黑体" w:eastAsia="黑体" w:cs="黑体"/>
          <w:color w:val="auto"/>
          <w:spacing w:val="1"/>
          <w:sz w:val="28"/>
          <w:szCs w:val="28"/>
          <w:highlight w:val="none"/>
          <w14:textOutline w14:w="5103" w14:cap="sq" w14:cmpd="sng">
            <w14:solidFill>
              <w14:srgbClr w14:val="000000"/>
            </w14:solidFill>
            <w14:prstDash w14:val="solid"/>
            <w14:bevel/>
          </w14:textOutline>
        </w:rPr>
        <w:t>项目编号：</w:t>
      </w:r>
      <w:r>
        <w:rPr>
          <w:rFonts w:hint="eastAsia" w:ascii="黑体" w:hAnsi="黑体" w:eastAsia="黑体" w:cs="黑体"/>
          <w:color w:val="auto"/>
          <w:sz w:val="28"/>
          <w:szCs w:val="28"/>
          <w:highlight w:val="none"/>
          <w:lang w:eastAsia="zh-CN"/>
          <w14:textOutline w14:w="5103" w14:cap="sq" w14:cmpd="sng">
            <w14:solidFill>
              <w14:srgbClr w14:val="000000"/>
            </w14:solidFill>
            <w14:prstDash w14:val="solid"/>
            <w14:bevel/>
          </w14:textOutline>
        </w:rPr>
        <w:t>CCZF-2025-0421</w:t>
      </w:r>
    </w:p>
    <w:p w14:paraId="2BE1D8E2">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20369830">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0D0C22CF">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21EA90EA">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6D3F8CF1">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20D6CEAA">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74ADFC2F">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615DE5AE">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2DB7FF17">
      <w:pPr>
        <w:keepNext w:val="0"/>
        <w:keepLines w:val="0"/>
        <w:pageBreakBefore w:val="0"/>
        <w:kinsoku/>
        <w:overflowPunct/>
        <w:autoSpaceDE w:val="0"/>
        <w:autoSpaceDN w:val="0"/>
        <w:bidi w:val="0"/>
        <w:spacing w:line="247" w:lineRule="auto"/>
        <w:outlineLvl w:val="9"/>
        <w:rPr>
          <w:rFonts w:hint="eastAsia" w:ascii="黑体" w:hAnsi="黑体" w:eastAsia="黑体" w:cs="黑体"/>
          <w:color w:val="auto"/>
          <w:sz w:val="21"/>
          <w:highlight w:val="none"/>
        </w:rPr>
      </w:pPr>
    </w:p>
    <w:p w14:paraId="58F688EC">
      <w:pPr>
        <w:keepNext w:val="0"/>
        <w:keepLines w:val="0"/>
        <w:pageBreakBefore w:val="0"/>
        <w:kinsoku/>
        <w:overflowPunct/>
        <w:autoSpaceDE w:val="0"/>
        <w:autoSpaceDN w:val="0"/>
        <w:bidi w:val="0"/>
        <w:spacing w:line="248" w:lineRule="auto"/>
        <w:outlineLvl w:val="9"/>
        <w:rPr>
          <w:rFonts w:hint="eastAsia" w:ascii="黑体" w:hAnsi="黑体" w:eastAsia="黑体" w:cs="黑体"/>
          <w:color w:val="auto"/>
          <w:sz w:val="21"/>
          <w:highlight w:val="none"/>
        </w:rPr>
      </w:pPr>
    </w:p>
    <w:p w14:paraId="49D15F6D">
      <w:pPr>
        <w:keepNext w:val="0"/>
        <w:keepLines w:val="0"/>
        <w:pageBreakBefore w:val="0"/>
        <w:kinsoku/>
        <w:overflowPunct/>
        <w:autoSpaceDE w:val="0"/>
        <w:autoSpaceDN w:val="0"/>
        <w:bidi w:val="0"/>
        <w:spacing w:before="91" w:line="219" w:lineRule="auto"/>
        <w:ind w:left="165"/>
        <w:outlineLvl w:val="9"/>
        <w:rPr>
          <w:rFonts w:hint="eastAsia" w:ascii="黑体" w:hAnsi="黑体" w:eastAsia="黑体" w:cs="黑体"/>
          <w:color w:val="auto"/>
          <w:spacing w:val="1"/>
          <w:sz w:val="28"/>
          <w:szCs w:val="28"/>
          <w:highlight w:val="none"/>
          <w14:textOutline w14:w="5103" w14:cap="sq" w14:cmpd="sng">
            <w14:solidFill>
              <w14:srgbClr w14:val="000000"/>
            </w14:solidFill>
            <w14:prstDash w14:val="solid"/>
            <w14:bevel/>
          </w14:textOutline>
        </w:rPr>
      </w:pPr>
    </w:p>
    <w:p w14:paraId="07925741">
      <w:pPr>
        <w:keepNext w:val="0"/>
        <w:keepLines w:val="0"/>
        <w:pageBreakBefore w:val="0"/>
        <w:kinsoku/>
        <w:overflowPunct/>
        <w:autoSpaceDE w:val="0"/>
        <w:autoSpaceDN w:val="0"/>
        <w:bidi w:val="0"/>
        <w:spacing w:before="91" w:line="219" w:lineRule="auto"/>
        <w:ind w:left="165" w:firstLine="846" w:firstLineChars="300"/>
        <w:jc w:val="left"/>
        <w:outlineLvl w:val="9"/>
        <w:rPr>
          <w:rFonts w:hint="eastAsia" w:ascii="黑体" w:hAnsi="黑体" w:eastAsia="黑体" w:cs="黑体"/>
          <w:color w:val="auto"/>
          <w:sz w:val="28"/>
          <w:szCs w:val="28"/>
          <w:highlight w:val="none"/>
        </w:rPr>
      </w:pPr>
      <w:r>
        <w:rPr>
          <w:rFonts w:hint="eastAsia" w:ascii="黑体" w:hAnsi="黑体" w:eastAsia="黑体" w:cs="黑体"/>
          <w:color w:val="auto"/>
          <w:spacing w:val="1"/>
          <w:sz w:val="28"/>
          <w:szCs w:val="28"/>
          <w:highlight w:val="none"/>
          <w:lang w:val="en-US" w:eastAsia="zh-CN"/>
          <w14:textOutline w14:w="5103" w14:cap="sq" w14:cmpd="sng">
            <w14:solidFill>
              <w14:srgbClr w14:val="000000"/>
            </w14:solidFill>
            <w14:prstDash w14:val="solid"/>
            <w14:bevel/>
          </w14:textOutline>
        </w:rPr>
        <w:t>采购</w:t>
      </w:r>
      <w:r>
        <w:rPr>
          <w:rFonts w:hint="eastAsia" w:ascii="黑体" w:hAnsi="黑体" w:eastAsia="黑体" w:cs="黑体"/>
          <w:color w:val="auto"/>
          <w:sz w:val="28"/>
          <w:szCs w:val="28"/>
          <w:highlight w:val="none"/>
          <w14:textOutline w14:w="5103" w14:cap="sq" w14:cmpd="sng">
            <w14:solidFill>
              <w14:srgbClr w14:val="000000"/>
            </w14:solidFill>
            <w14:prstDash w14:val="solid"/>
            <w14:bevel/>
          </w14:textOutline>
        </w:rPr>
        <w:t>人：</w:t>
      </w:r>
      <w:r>
        <w:rPr>
          <w:rFonts w:hint="eastAsia" w:ascii="黑体" w:hAnsi="黑体" w:eastAsia="黑体" w:cs="黑体"/>
          <w:color w:val="auto"/>
          <w:sz w:val="28"/>
          <w:szCs w:val="28"/>
          <w:highlight w:val="none"/>
          <w:lang w:eastAsia="zh-CN"/>
          <w14:textOutline w14:w="5103" w14:cap="sq" w14:cmpd="sng">
            <w14:solidFill>
              <w14:srgbClr w14:val="000000"/>
            </w14:solidFill>
            <w14:prstDash w14:val="solid"/>
            <w14:bevel/>
          </w14:textOutline>
        </w:rPr>
        <w:t>靖宇县农业农村局</w:t>
      </w:r>
    </w:p>
    <w:p w14:paraId="10F8DCB5">
      <w:pPr>
        <w:keepNext w:val="0"/>
        <w:keepLines w:val="0"/>
        <w:pageBreakBefore w:val="0"/>
        <w:kinsoku/>
        <w:overflowPunct/>
        <w:autoSpaceDE w:val="0"/>
        <w:autoSpaceDN w:val="0"/>
        <w:bidi w:val="0"/>
        <w:spacing w:line="272" w:lineRule="auto"/>
        <w:jc w:val="center"/>
        <w:outlineLvl w:val="9"/>
        <w:rPr>
          <w:rFonts w:hint="eastAsia" w:ascii="黑体" w:hAnsi="黑体" w:eastAsia="黑体" w:cs="黑体"/>
          <w:color w:val="auto"/>
          <w:sz w:val="21"/>
          <w:highlight w:val="none"/>
        </w:rPr>
      </w:pPr>
    </w:p>
    <w:p w14:paraId="61D5CEC8">
      <w:pPr>
        <w:keepNext w:val="0"/>
        <w:keepLines w:val="0"/>
        <w:pageBreakBefore w:val="0"/>
        <w:kinsoku/>
        <w:overflowPunct/>
        <w:autoSpaceDE w:val="0"/>
        <w:autoSpaceDN w:val="0"/>
        <w:bidi w:val="0"/>
        <w:spacing w:line="273" w:lineRule="auto"/>
        <w:jc w:val="center"/>
        <w:outlineLvl w:val="9"/>
        <w:rPr>
          <w:rFonts w:hint="eastAsia" w:ascii="黑体" w:hAnsi="黑体" w:eastAsia="黑体" w:cs="黑体"/>
          <w:color w:val="auto"/>
          <w:sz w:val="21"/>
          <w:highlight w:val="none"/>
        </w:rPr>
      </w:pPr>
    </w:p>
    <w:p w14:paraId="32096864">
      <w:pPr>
        <w:keepNext w:val="0"/>
        <w:keepLines w:val="0"/>
        <w:pageBreakBefore w:val="0"/>
        <w:kinsoku/>
        <w:overflowPunct/>
        <w:autoSpaceDE w:val="0"/>
        <w:autoSpaceDN w:val="0"/>
        <w:bidi w:val="0"/>
        <w:spacing w:line="273" w:lineRule="auto"/>
        <w:jc w:val="center"/>
        <w:outlineLvl w:val="9"/>
        <w:rPr>
          <w:rFonts w:hint="eastAsia" w:ascii="黑体" w:hAnsi="黑体" w:eastAsia="黑体" w:cs="黑体"/>
          <w:color w:val="auto"/>
          <w:sz w:val="21"/>
          <w:highlight w:val="none"/>
        </w:rPr>
      </w:pPr>
    </w:p>
    <w:p w14:paraId="19314B37">
      <w:pPr>
        <w:keepNext w:val="0"/>
        <w:keepLines w:val="0"/>
        <w:pageBreakBefore w:val="0"/>
        <w:kinsoku/>
        <w:overflowPunct/>
        <w:autoSpaceDE w:val="0"/>
        <w:autoSpaceDN w:val="0"/>
        <w:bidi w:val="0"/>
        <w:spacing w:before="91" w:line="219" w:lineRule="auto"/>
        <w:ind w:left="165" w:firstLine="846" w:firstLineChars="300"/>
        <w:jc w:val="left"/>
        <w:outlineLvl w:val="9"/>
        <w:rPr>
          <w:rFonts w:hint="eastAsia" w:ascii="黑体" w:hAnsi="黑体" w:eastAsia="黑体" w:cs="黑体"/>
          <w:color w:val="auto"/>
          <w:sz w:val="28"/>
          <w:szCs w:val="28"/>
          <w:highlight w:val="none"/>
        </w:rPr>
      </w:pPr>
      <w:r>
        <w:rPr>
          <w:rFonts w:hint="eastAsia" w:ascii="黑体" w:hAnsi="黑体" w:eastAsia="黑体" w:cs="黑体"/>
          <w:color w:val="auto"/>
          <w:spacing w:val="1"/>
          <w:sz w:val="28"/>
          <w:szCs w:val="28"/>
          <w:highlight w:val="none"/>
          <w:lang w:val="en-US" w:eastAsia="zh-CN"/>
          <w14:textOutline w14:w="5103" w14:cap="sq" w14:cmpd="sng">
            <w14:solidFill>
              <w14:srgbClr w14:val="000000"/>
            </w14:solidFill>
            <w14:prstDash w14:val="solid"/>
            <w14:bevel/>
          </w14:textOutline>
        </w:rPr>
        <w:t>采购</w:t>
      </w:r>
      <w:r>
        <w:rPr>
          <w:rFonts w:hint="eastAsia" w:ascii="黑体" w:hAnsi="黑体" w:eastAsia="黑体" w:cs="黑体"/>
          <w:color w:val="auto"/>
          <w:spacing w:val="1"/>
          <w:sz w:val="28"/>
          <w:szCs w:val="28"/>
          <w:highlight w:val="none"/>
          <w14:textOutline w14:w="5103" w14:cap="sq" w14:cmpd="sng">
            <w14:solidFill>
              <w14:srgbClr w14:val="000000"/>
            </w14:solidFill>
            <w14:prstDash w14:val="solid"/>
            <w14:bevel/>
          </w14:textOutline>
        </w:rPr>
        <w:t>代理机构：</w:t>
      </w:r>
      <w:r>
        <w:rPr>
          <w:rFonts w:hint="eastAsia" w:ascii="黑体" w:hAnsi="黑体" w:eastAsia="黑体" w:cs="黑体"/>
          <w:color w:val="auto"/>
          <w:spacing w:val="1"/>
          <w:sz w:val="28"/>
          <w:szCs w:val="28"/>
          <w:highlight w:val="none"/>
          <w:lang w:eastAsia="zh-CN"/>
          <w14:textOutline w14:w="5103" w14:cap="sq" w14:cmpd="sng">
            <w14:solidFill>
              <w14:srgbClr w14:val="000000"/>
            </w14:solidFill>
            <w14:prstDash w14:val="solid"/>
            <w14:bevel/>
          </w14:textOutline>
        </w:rPr>
        <w:t>长春众釜工程项目管理有限公司</w:t>
      </w:r>
    </w:p>
    <w:p w14:paraId="1E58C944">
      <w:pPr>
        <w:keepNext w:val="0"/>
        <w:keepLines w:val="0"/>
        <w:pageBreakBefore w:val="0"/>
        <w:kinsoku/>
        <w:overflowPunct/>
        <w:autoSpaceDE w:val="0"/>
        <w:autoSpaceDN w:val="0"/>
        <w:bidi w:val="0"/>
        <w:spacing w:line="273" w:lineRule="auto"/>
        <w:jc w:val="center"/>
        <w:outlineLvl w:val="9"/>
        <w:rPr>
          <w:rFonts w:hint="eastAsia" w:ascii="黑体" w:hAnsi="黑体" w:eastAsia="黑体" w:cs="黑体"/>
          <w:color w:val="auto"/>
          <w:sz w:val="21"/>
          <w:highlight w:val="none"/>
        </w:rPr>
      </w:pPr>
    </w:p>
    <w:p w14:paraId="263118E4">
      <w:pPr>
        <w:keepNext w:val="0"/>
        <w:keepLines w:val="0"/>
        <w:pageBreakBefore w:val="0"/>
        <w:kinsoku/>
        <w:overflowPunct/>
        <w:autoSpaceDE w:val="0"/>
        <w:autoSpaceDN w:val="0"/>
        <w:bidi w:val="0"/>
        <w:spacing w:line="273" w:lineRule="auto"/>
        <w:outlineLvl w:val="9"/>
        <w:rPr>
          <w:rFonts w:hint="eastAsia" w:ascii="黑体" w:hAnsi="黑体" w:eastAsia="黑体" w:cs="黑体"/>
          <w:color w:val="auto"/>
          <w:sz w:val="21"/>
          <w:highlight w:val="none"/>
        </w:rPr>
      </w:pPr>
    </w:p>
    <w:p w14:paraId="214CD4CC">
      <w:pPr>
        <w:keepNext w:val="0"/>
        <w:keepLines w:val="0"/>
        <w:pageBreakBefore w:val="0"/>
        <w:kinsoku/>
        <w:overflowPunct/>
        <w:autoSpaceDE w:val="0"/>
        <w:autoSpaceDN w:val="0"/>
        <w:bidi w:val="0"/>
        <w:spacing w:line="274" w:lineRule="auto"/>
        <w:outlineLvl w:val="9"/>
        <w:rPr>
          <w:rFonts w:hint="eastAsia" w:ascii="黑体" w:hAnsi="黑体" w:eastAsia="黑体" w:cs="黑体"/>
          <w:color w:val="auto"/>
          <w:sz w:val="21"/>
          <w:highlight w:val="none"/>
        </w:rPr>
      </w:pPr>
    </w:p>
    <w:p w14:paraId="4C8C3585">
      <w:pPr>
        <w:keepNext w:val="0"/>
        <w:keepLines w:val="0"/>
        <w:pageBreakBefore w:val="0"/>
        <w:kinsoku/>
        <w:overflowPunct/>
        <w:autoSpaceDE w:val="0"/>
        <w:autoSpaceDN w:val="0"/>
        <w:bidi w:val="0"/>
        <w:spacing w:before="92" w:line="220" w:lineRule="auto"/>
        <w:ind w:left="3021"/>
        <w:outlineLvl w:val="9"/>
        <w:rPr>
          <w:rFonts w:hint="eastAsia" w:ascii="黑体" w:hAnsi="黑体" w:eastAsia="黑体" w:cs="黑体"/>
          <w:color w:val="auto"/>
          <w:sz w:val="28"/>
          <w:szCs w:val="28"/>
          <w:highlight w:val="none"/>
        </w:rPr>
      </w:pPr>
      <w:bookmarkStart w:id="2" w:name="_Toc23824"/>
      <w:r>
        <w:rPr>
          <w:rFonts w:hint="eastAsia" w:ascii="黑体" w:hAnsi="黑体" w:eastAsia="黑体" w:cs="黑体"/>
          <w:b/>
          <w:color w:val="auto"/>
          <w:sz w:val="30"/>
          <w:szCs w:val="30"/>
        </w:rPr>
        <w:t>日期：二○二</w:t>
      </w:r>
      <w:r>
        <w:rPr>
          <w:rFonts w:hint="eastAsia" w:ascii="黑体" w:hAnsi="黑体" w:eastAsia="黑体" w:cs="黑体"/>
          <w:b/>
          <w:color w:val="auto"/>
          <w:sz w:val="30"/>
          <w:szCs w:val="30"/>
          <w:lang w:val="en-US" w:eastAsia="zh-CN"/>
        </w:rPr>
        <w:t>五</w:t>
      </w:r>
      <w:r>
        <w:rPr>
          <w:rFonts w:hint="eastAsia" w:ascii="黑体" w:hAnsi="黑体" w:eastAsia="黑体" w:cs="黑体"/>
          <w:b/>
          <w:color w:val="auto"/>
          <w:sz w:val="30"/>
          <w:szCs w:val="30"/>
        </w:rPr>
        <w:t>年</w:t>
      </w:r>
      <w:r>
        <w:rPr>
          <w:rFonts w:hint="eastAsia" w:ascii="黑体" w:hAnsi="黑体" w:eastAsia="黑体" w:cs="黑体"/>
          <w:b/>
          <w:color w:val="auto"/>
          <w:sz w:val="30"/>
          <w:szCs w:val="30"/>
          <w:lang w:val="en-US" w:eastAsia="zh-CN"/>
        </w:rPr>
        <w:t>四</w:t>
      </w:r>
      <w:r>
        <w:rPr>
          <w:rFonts w:hint="eastAsia" w:ascii="黑体" w:hAnsi="黑体" w:eastAsia="黑体" w:cs="黑体"/>
          <w:b/>
          <w:color w:val="auto"/>
          <w:sz w:val="30"/>
          <w:szCs w:val="30"/>
        </w:rPr>
        <w:t>月</w:t>
      </w:r>
      <w:bookmarkEnd w:id="2"/>
    </w:p>
    <w:p w14:paraId="6270B9EE">
      <w:pPr>
        <w:keepNext w:val="0"/>
        <w:keepLines w:val="0"/>
        <w:pageBreakBefore w:val="0"/>
        <w:kinsoku/>
        <w:overflowPunct/>
        <w:autoSpaceDE w:val="0"/>
        <w:autoSpaceDN w:val="0"/>
        <w:bidi w:val="0"/>
        <w:outlineLvl w:val="9"/>
        <w:rPr>
          <w:rFonts w:hint="eastAsia" w:ascii="黑体" w:hAnsi="黑体" w:eastAsia="黑体" w:cs="黑体"/>
          <w:color w:val="auto"/>
          <w:highlight w:val="none"/>
        </w:rPr>
        <w:sectPr>
          <w:pgSz w:w="11906" w:h="16839"/>
          <w:pgMar w:top="1417" w:right="1417" w:bottom="1417" w:left="1417" w:header="0" w:footer="0" w:gutter="0"/>
          <w:pgBorders>
            <w:top w:val="none" w:sz="0" w:space="0"/>
            <w:left w:val="none" w:sz="0" w:space="0"/>
            <w:bottom w:val="none" w:sz="0" w:space="0"/>
            <w:right w:val="none" w:sz="0" w:space="0"/>
          </w:pgBorders>
          <w:cols w:space="720" w:num="1"/>
          <w:rtlGutter w:val="0"/>
        </w:sectPr>
      </w:pPr>
    </w:p>
    <w:p w14:paraId="6F0ACC62">
      <w:pPr>
        <w:keepNext w:val="0"/>
        <w:keepLines w:val="0"/>
        <w:pageBreakBefore w:val="0"/>
        <w:kinsoku/>
        <w:overflowPunct/>
        <w:autoSpaceDE w:val="0"/>
        <w:autoSpaceDN w:val="0"/>
        <w:bidi w:val="0"/>
        <w:spacing w:line="255" w:lineRule="auto"/>
        <w:rPr>
          <w:rFonts w:hint="eastAsia" w:ascii="黑体" w:hAnsi="黑体" w:eastAsia="黑体" w:cs="黑体"/>
          <w:color w:val="auto"/>
          <w:sz w:val="21"/>
          <w:highlight w:val="none"/>
        </w:rPr>
      </w:pPr>
    </w:p>
    <w:p w14:paraId="225C42C3">
      <w:pPr>
        <w:keepNext w:val="0"/>
        <w:keepLines w:val="0"/>
        <w:pageBreakBefore w:val="0"/>
        <w:kinsoku/>
        <w:overflowPunct/>
        <w:autoSpaceDE w:val="0"/>
        <w:autoSpaceDN w:val="0"/>
        <w:bidi w:val="0"/>
        <w:spacing w:line="255" w:lineRule="auto"/>
        <w:rPr>
          <w:rFonts w:hint="eastAsia" w:ascii="黑体" w:hAnsi="黑体" w:eastAsia="黑体" w:cs="黑体"/>
          <w:color w:val="auto"/>
          <w:sz w:val="21"/>
          <w:highlight w:val="none"/>
        </w:rPr>
      </w:pPr>
    </w:p>
    <w:sdt>
      <w:sdtPr>
        <w:rPr>
          <w:rFonts w:ascii="宋体" w:hAnsi="宋体" w:eastAsia="宋体" w:cs="Arial"/>
          <w:snapToGrid w:val="0"/>
          <w:color w:val="000000"/>
          <w:kern w:val="0"/>
          <w:sz w:val="21"/>
          <w:szCs w:val="21"/>
        </w:rPr>
        <w:id w:val="147472244"/>
        <w15:color w:val="DBDBDB"/>
      </w:sdtPr>
      <w:sdtEndPr>
        <w:rPr>
          <w:rFonts w:hint="eastAsia" w:ascii="黑体" w:hAnsi="黑体" w:eastAsia="黑体" w:cs="黑体"/>
          <w:snapToGrid w:val="0"/>
          <w:color w:val="auto"/>
          <w:kern w:val="0"/>
          <w:sz w:val="21"/>
          <w:szCs w:val="21"/>
          <w:highlight w:val="none"/>
        </w:rPr>
      </w:sdtEndPr>
      <w:sdtContent>
        <w:p w14:paraId="2FD827BB">
          <w:pPr>
            <w:spacing w:before="0" w:beforeLines="0" w:after="0" w:afterLines="0" w:line="240" w:lineRule="auto"/>
            <w:ind w:left="0" w:leftChars="0" w:right="0" w:rightChars="0" w:firstLine="0" w:firstLineChars="0"/>
            <w:jc w:val="center"/>
          </w:pPr>
          <w:r>
            <w:rPr>
              <w:rFonts w:ascii="宋体" w:hAnsi="宋体" w:eastAsia="宋体"/>
              <w:b/>
              <w:bCs/>
              <w:sz w:val="36"/>
              <w:szCs w:val="36"/>
            </w:rPr>
            <w:t>目录</w:t>
          </w:r>
        </w:p>
        <w:p w14:paraId="6E04E42B">
          <w:pPr>
            <w:pStyle w:val="26"/>
            <w:tabs>
              <w:tab w:val="right" w:leader="dot" w:pos="9072"/>
            </w:tabs>
            <w:rPr>
              <w:sz w:val="32"/>
              <w:szCs w:val="32"/>
            </w:rPr>
          </w:pPr>
          <w:r>
            <w:rPr>
              <w:rFonts w:hint="eastAsia" w:ascii="黑体" w:hAnsi="黑体" w:eastAsia="黑体" w:cs="黑体"/>
              <w:color w:val="auto"/>
              <w:sz w:val="21"/>
              <w:highlight w:val="none"/>
            </w:rPr>
            <w:fldChar w:fldCharType="begin"/>
          </w:r>
          <w:r>
            <w:rPr>
              <w:rFonts w:hint="eastAsia" w:ascii="黑体" w:hAnsi="黑体" w:eastAsia="黑体" w:cs="黑体"/>
              <w:color w:val="auto"/>
              <w:sz w:val="21"/>
              <w:highlight w:val="none"/>
            </w:rPr>
            <w:instrText xml:space="preserve">TOC \o "1-3" \h \u </w:instrText>
          </w:r>
          <w:r>
            <w:rPr>
              <w:rFonts w:hint="eastAsia" w:ascii="黑体" w:hAnsi="黑体" w:eastAsia="黑体" w:cs="黑体"/>
              <w:color w:val="auto"/>
              <w:sz w:val="21"/>
              <w:highlight w:val="none"/>
            </w:rPr>
            <w:fldChar w:fldCharType="separate"/>
          </w:r>
        </w:p>
        <w:p w14:paraId="477C099B">
          <w:pPr>
            <w:pStyle w:val="26"/>
            <w:tabs>
              <w:tab w:val="right" w:leader="dot" w:pos="9072"/>
            </w:tabs>
            <w:rPr>
              <w:sz w:val="32"/>
              <w:szCs w:val="32"/>
            </w:rPr>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_Toc9172 </w:instrText>
          </w:r>
          <w:r>
            <w:rPr>
              <w:rFonts w:hint="eastAsia" w:ascii="黑体" w:hAnsi="黑体" w:eastAsia="黑体" w:cs="黑体"/>
              <w:sz w:val="32"/>
              <w:szCs w:val="32"/>
              <w:highlight w:val="none"/>
            </w:rPr>
            <w:fldChar w:fldCharType="separate"/>
          </w:r>
          <w:r>
            <w:rPr>
              <w:rFonts w:hint="eastAsia" w:ascii="黑体" w:hAnsi="黑体" w:eastAsia="黑体" w:cs="黑体"/>
              <w:spacing w:val="11"/>
              <w:sz w:val="32"/>
              <w:szCs w:val="48"/>
              <w:highlight w:val="none"/>
              <w14:textOutline w14:w="5793" w14:cap="sq" w14:cmpd="sng">
                <w14:solidFill>
                  <w14:srgbClr w14:val="000000"/>
                </w14:solidFill>
                <w14:prstDash w14:val="solid"/>
                <w14:bevel/>
              </w14:textOutline>
            </w:rPr>
            <w:t>第一章竞争性磋商公告</w:t>
          </w:r>
          <w:r>
            <w:rPr>
              <w:sz w:val="32"/>
              <w:szCs w:val="32"/>
            </w:rPr>
            <w:tab/>
          </w:r>
          <w:r>
            <w:rPr>
              <w:sz w:val="32"/>
              <w:szCs w:val="32"/>
            </w:rPr>
            <w:fldChar w:fldCharType="begin"/>
          </w:r>
          <w:r>
            <w:rPr>
              <w:sz w:val="32"/>
              <w:szCs w:val="32"/>
            </w:rPr>
            <w:instrText xml:space="preserve"> PAGEREF _Toc9172 \h </w:instrText>
          </w:r>
          <w:r>
            <w:rPr>
              <w:sz w:val="32"/>
              <w:szCs w:val="32"/>
            </w:rPr>
            <w:fldChar w:fldCharType="separate"/>
          </w:r>
          <w:r>
            <w:rPr>
              <w:sz w:val="32"/>
              <w:szCs w:val="32"/>
            </w:rPr>
            <w:t>1</w:t>
          </w:r>
          <w:r>
            <w:rPr>
              <w:sz w:val="32"/>
              <w:szCs w:val="32"/>
            </w:rPr>
            <w:fldChar w:fldCharType="end"/>
          </w:r>
          <w:r>
            <w:rPr>
              <w:rFonts w:hint="eastAsia" w:ascii="黑体" w:hAnsi="黑体" w:eastAsia="黑体" w:cs="黑体"/>
              <w:color w:val="auto"/>
              <w:sz w:val="32"/>
              <w:szCs w:val="32"/>
              <w:highlight w:val="none"/>
            </w:rPr>
            <w:fldChar w:fldCharType="end"/>
          </w:r>
        </w:p>
        <w:p w14:paraId="41DD0527">
          <w:pPr>
            <w:pStyle w:val="28"/>
            <w:tabs>
              <w:tab w:val="right" w:leader="dot" w:pos="9072"/>
            </w:tabs>
            <w:rPr>
              <w:sz w:val="32"/>
              <w:szCs w:val="32"/>
            </w:rPr>
          </w:pPr>
        </w:p>
        <w:p w14:paraId="3CDA64C4">
          <w:pPr>
            <w:pStyle w:val="26"/>
            <w:tabs>
              <w:tab w:val="right" w:leader="dot" w:pos="9072"/>
            </w:tabs>
            <w:rPr>
              <w:sz w:val="32"/>
              <w:szCs w:val="32"/>
            </w:rPr>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_Toc2284 </w:instrText>
          </w:r>
          <w:r>
            <w:rPr>
              <w:rFonts w:hint="eastAsia" w:ascii="黑体" w:hAnsi="黑体" w:eastAsia="黑体" w:cs="黑体"/>
              <w:sz w:val="32"/>
              <w:szCs w:val="32"/>
              <w:highlight w:val="none"/>
            </w:rPr>
            <w:fldChar w:fldCharType="separate"/>
          </w:r>
          <w:r>
            <w:rPr>
              <w:rFonts w:hint="eastAsia" w:ascii="黑体" w:hAnsi="黑体" w:eastAsia="黑体" w:cs="黑体"/>
              <w:spacing w:val="11"/>
              <w:sz w:val="32"/>
              <w:szCs w:val="48"/>
              <w:highlight w:val="none"/>
              <w14:textOutline w14:w="5793" w14:cap="sq" w14:cmpd="sng">
                <w14:solidFill>
                  <w14:srgbClr w14:val="000000"/>
                </w14:solidFill>
                <w14:prstDash w14:val="solid"/>
                <w14:bevel/>
              </w14:textOutline>
            </w:rPr>
            <w:t>第</w:t>
          </w:r>
          <w:r>
            <w:rPr>
              <w:rFonts w:hint="eastAsia" w:ascii="黑体" w:hAnsi="黑体" w:eastAsia="黑体" w:cs="黑体"/>
              <w:spacing w:val="8"/>
              <w:sz w:val="32"/>
              <w:szCs w:val="48"/>
              <w:highlight w:val="none"/>
              <w14:textOutline w14:w="5793" w14:cap="sq" w14:cmpd="sng">
                <w14:solidFill>
                  <w14:srgbClr w14:val="000000"/>
                </w14:solidFill>
                <w14:prstDash w14:val="solid"/>
                <w14:bevel/>
              </w14:textOutline>
            </w:rPr>
            <w:t>二章磋商须知</w:t>
          </w:r>
          <w:r>
            <w:rPr>
              <w:sz w:val="32"/>
              <w:szCs w:val="32"/>
            </w:rPr>
            <w:tab/>
          </w:r>
          <w:r>
            <w:rPr>
              <w:sz w:val="32"/>
              <w:szCs w:val="32"/>
            </w:rPr>
            <w:fldChar w:fldCharType="begin"/>
          </w:r>
          <w:r>
            <w:rPr>
              <w:sz w:val="32"/>
              <w:szCs w:val="32"/>
            </w:rPr>
            <w:instrText xml:space="preserve"> PAGEREF _Toc2284 \h </w:instrText>
          </w:r>
          <w:r>
            <w:rPr>
              <w:sz w:val="32"/>
              <w:szCs w:val="32"/>
            </w:rPr>
            <w:fldChar w:fldCharType="separate"/>
          </w:r>
          <w:r>
            <w:rPr>
              <w:sz w:val="32"/>
              <w:szCs w:val="32"/>
            </w:rPr>
            <w:t>4</w:t>
          </w:r>
          <w:r>
            <w:rPr>
              <w:sz w:val="32"/>
              <w:szCs w:val="32"/>
            </w:rPr>
            <w:fldChar w:fldCharType="end"/>
          </w:r>
          <w:r>
            <w:rPr>
              <w:rFonts w:hint="eastAsia" w:ascii="黑体" w:hAnsi="黑体" w:eastAsia="黑体" w:cs="黑体"/>
              <w:color w:val="auto"/>
              <w:sz w:val="32"/>
              <w:szCs w:val="32"/>
              <w:highlight w:val="none"/>
            </w:rPr>
            <w:fldChar w:fldCharType="end"/>
          </w:r>
        </w:p>
        <w:p w14:paraId="7519F9DD">
          <w:pPr>
            <w:pStyle w:val="28"/>
            <w:tabs>
              <w:tab w:val="right" w:leader="dot" w:pos="9072"/>
            </w:tabs>
            <w:rPr>
              <w:sz w:val="32"/>
              <w:szCs w:val="32"/>
            </w:rPr>
          </w:pPr>
        </w:p>
        <w:p w14:paraId="2146BC04">
          <w:pPr>
            <w:pStyle w:val="26"/>
            <w:tabs>
              <w:tab w:val="right" w:leader="dot" w:pos="9072"/>
            </w:tabs>
            <w:rPr>
              <w:sz w:val="32"/>
              <w:szCs w:val="32"/>
            </w:rPr>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_Toc27091 </w:instrText>
          </w:r>
          <w:r>
            <w:rPr>
              <w:rFonts w:hint="eastAsia" w:ascii="黑体" w:hAnsi="黑体" w:eastAsia="黑体" w:cs="黑体"/>
              <w:sz w:val="32"/>
              <w:szCs w:val="32"/>
              <w:highlight w:val="none"/>
            </w:rPr>
            <w:fldChar w:fldCharType="separate"/>
          </w:r>
          <w:r>
            <w:rPr>
              <w:rFonts w:hint="eastAsia" w:ascii="黑体" w:hAnsi="黑体" w:eastAsia="黑体" w:cs="黑体"/>
              <w:spacing w:val="8"/>
              <w:sz w:val="32"/>
              <w:szCs w:val="48"/>
              <w:highlight w:val="none"/>
              <w14:textOutline w14:w="5793" w14:cap="sq" w14:cmpd="sng">
                <w14:solidFill>
                  <w14:srgbClr w14:val="000000"/>
                </w14:solidFill>
                <w14:prstDash w14:val="solid"/>
                <w14:bevel/>
              </w14:textOutline>
            </w:rPr>
            <w:t>第三章评标办法(综合评估法)</w:t>
          </w:r>
          <w:r>
            <w:rPr>
              <w:sz w:val="32"/>
              <w:szCs w:val="32"/>
            </w:rPr>
            <w:tab/>
          </w:r>
          <w:r>
            <w:rPr>
              <w:sz w:val="32"/>
              <w:szCs w:val="32"/>
            </w:rPr>
            <w:fldChar w:fldCharType="begin"/>
          </w:r>
          <w:r>
            <w:rPr>
              <w:sz w:val="32"/>
              <w:szCs w:val="32"/>
            </w:rPr>
            <w:instrText xml:space="preserve"> PAGEREF _Toc27091 \h </w:instrText>
          </w:r>
          <w:r>
            <w:rPr>
              <w:sz w:val="32"/>
              <w:szCs w:val="32"/>
            </w:rPr>
            <w:fldChar w:fldCharType="separate"/>
          </w:r>
          <w:r>
            <w:rPr>
              <w:sz w:val="32"/>
              <w:szCs w:val="32"/>
            </w:rPr>
            <w:t>22</w:t>
          </w:r>
          <w:r>
            <w:rPr>
              <w:sz w:val="32"/>
              <w:szCs w:val="32"/>
            </w:rPr>
            <w:fldChar w:fldCharType="end"/>
          </w:r>
          <w:r>
            <w:rPr>
              <w:rFonts w:hint="eastAsia" w:ascii="黑体" w:hAnsi="黑体" w:eastAsia="黑体" w:cs="黑体"/>
              <w:color w:val="auto"/>
              <w:sz w:val="32"/>
              <w:szCs w:val="32"/>
              <w:highlight w:val="none"/>
            </w:rPr>
            <w:fldChar w:fldCharType="end"/>
          </w:r>
        </w:p>
        <w:p w14:paraId="14818899">
          <w:pPr>
            <w:pStyle w:val="28"/>
            <w:tabs>
              <w:tab w:val="right" w:leader="dot" w:pos="9072"/>
            </w:tabs>
            <w:rPr>
              <w:sz w:val="32"/>
              <w:szCs w:val="32"/>
            </w:rPr>
          </w:pPr>
        </w:p>
        <w:p w14:paraId="7296F788">
          <w:pPr>
            <w:pStyle w:val="26"/>
            <w:tabs>
              <w:tab w:val="right" w:leader="dot" w:pos="9072"/>
            </w:tabs>
            <w:rPr>
              <w:sz w:val="32"/>
              <w:szCs w:val="32"/>
            </w:rPr>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_Toc15487 </w:instrText>
          </w:r>
          <w:r>
            <w:rPr>
              <w:rFonts w:hint="eastAsia" w:ascii="黑体" w:hAnsi="黑体" w:eastAsia="黑体" w:cs="黑体"/>
              <w:sz w:val="32"/>
              <w:szCs w:val="32"/>
              <w:highlight w:val="none"/>
            </w:rPr>
            <w:fldChar w:fldCharType="separate"/>
          </w:r>
          <w:r>
            <w:rPr>
              <w:rFonts w:hint="eastAsia" w:ascii="黑体" w:hAnsi="黑体" w:eastAsia="黑体" w:cs="黑体"/>
              <w:spacing w:val="8"/>
              <w:sz w:val="32"/>
              <w:szCs w:val="48"/>
              <w:highlight w:val="none"/>
              <w14:textOutline w14:w="5793" w14:cap="sq" w14:cmpd="sng">
                <w14:solidFill>
                  <w14:srgbClr w14:val="000000"/>
                </w14:solidFill>
                <w14:prstDash w14:val="solid"/>
                <w14:bevel/>
              </w14:textOutline>
            </w:rPr>
            <w:t>第四章合同条款及格式</w:t>
          </w:r>
          <w:r>
            <w:rPr>
              <w:sz w:val="32"/>
              <w:szCs w:val="32"/>
            </w:rPr>
            <w:tab/>
          </w:r>
          <w:r>
            <w:rPr>
              <w:sz w:val="32"/>
              <w:szCs w:val="32"/>
            </w:rPr>
            <w:fldChar w:fldCharType="begin"/>
          </w:r>
          <w:r>
            <w:rPr>
              <w:sz w:val="32"/>
              <w:szCs w:val="32"/>
            </w:rPr>
            <w:instrText xml:space="preserve"> PAGEREF _Toc15487 \h </w:instrText>
          </w:r>
          <w:r>
            <w:rPr>
              <w:sz w:val="32"/>
              <w:szCs w:val="32"/>
            </w:rPr>
            <w:fldChar w:fldCharType="separate"/>
          </w:r>
          <w:r>
            <w:rPr>
              <w:sz w:val="32"/>
              <w:szCs w:val="32"/>
            </w:rPr>
            <w:t>45</w:t>
          </w:r>
          <w:r>
            <w:rPr>
              <w:sz w:val="32"/>
              <w:szCs w:val="32"/>
            </w:rPr>
            <w:fldChar w:fldCharType="end"/>
          </w:r>
          <w:r>
            <w:rPr>
              <w:rFonts w:hint="eastAsia" w:ascii="黑体" w:hAnsi="黑体" w:eastAsia="黑体" w:cs="黑体"/>
              <w:color w:val="auto"/>
              <w:sz w:val="32"/>
              <w:szCs w:val="32"/>
              <w:highlight w:val="none"/>
            </w:rPr>
            <w:fldChar w:fldCharType="end"/>
          </w:r>
        </w:p>
        <w:p w14:paraId="3932C099">
          <w:pPr>
            <w:pStyle w:val="28"/>
            <w:tabs>
              <w:tab w:val="right" w:leader="dot" w:pos="9072"/>
            </w:tabs>
            <w:ind w:left="0" w:leftChars="0" w:firstLine="0" w:firstLineChars="0"/>
            <w:rPr>
              <w:sz w:val="32"/>
              <w:szCs w:val="32"/>
            </w:rPr>
          </w:pPr>
        </w:p>
        <w:p w14:paraId="794ECA1D">
          <w:pPr>
            <w:pStyle w:val="26"/>
            <w:tabs>
              <w:tab w:val="right" w:leader="dot" w:pos="9072"/>
            </w:tabs>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_Toc27572 </w:instrText>
          </w:r>
          <w:r>
            <w:rPr>
              <w:rFonts w:hint="eastAsia" w:ascii="黑体" w:hAnsi="黑体" w:eastAsia="黑体" w:cs="黑体"/>
              <w:sz w:val="32"/>
              <w:szCs w:val="32"/>
              <w:highlight w:val="none"/>
            </w:rPr>
            <w:fldChar w:fldCharType="separate"/>
          </w:r>
          <w:r>
            <w:rPr>
              <w:rFonts w:hint="eastAsia" w:ascii="黑体" w:hAnsi="黑体" w:eastAsia="黑体" w:cs="黑体"/>
              <w:spacing w:val="8"/>
              <w:sz w:val="32"/>
              <w:szCs w:val="48"/>
              <w:highlight w:val="none"/>
              <w14:textOutline w14:w="5793" w14:cap="sq" w14:cmpd="sng">
                <w14:solidFill>
                  <w14:srgbClr w14:val="000000"/>
                </w14:solidFill>
                <w14:prstDash w14:val="solid"/>
                <w14:bevel/>
              </w14:textOutline>
            </w:rPr>
            <w:t>第五章采购需求</w:t>
          </w:r>
          <w:r>
            <w:rPr>
              <w:sz w:val="32"/>
              <w:szCs w:val="32"/>
            </w:rPr>
            <w:tab/>
          </w:r>
          <w:r>
            <w:rPr>
              <w:sz w:val="32"/>
              <w:szCs w:val="32"/>
            </w:rPr>
            <w:fldChar w:fldCharType="begin"/>
          </w:r>
          <w:r>
            <w:rPr>
              <w:sz w:val="32"/>
              <w:szCs w:val="32"/>
            </w:rPr>
            <w:instrText xml:space="preserve"> PAGEREF _Toc27572 \h </w:instrText>
          </w:r>
          <w:r>
            <w:rPr>
              <w:sz w:val="32"/>
              <w:szCs w:val="32"/>
            </w:rPr>
            <w:fldChar w:fldCharType="separate"/>
          </w:r>
          <w:r>
            <w:rPr>
              <w:sz w:val="32"/>
              <w:szCs w:val="32"/>
            </w:rPr>
            <w:t>52</w:t>
          </w:r>
          <w:r>
            <w:rPr>
              <w:sz w:val="32"/>
              <w:szCs w:val="32"/>
            </w:rPr>
            <w:fldChar w:fldCharType="end"/>
          </w:r>
          <w:r>
            <w:rPr>
              <w:rFonts w:hint="eastAsia" w:ascii="黑体" w:hAnsi="黑体" w:eastAsia="黑体" w:cs="黑体"/>
              <w:color w:val="auto"/>
              <w:sz w:val="32"/>
              <w:szCs w:val="32"/>
              <w:highlight w:val="none"/>
            </w:rPr>
            <w:fldChar w:fldCharType="end"/>
          </w:r>
        </w:p>
        <w:p w14:paraId="06AB420C">
          <w:pPr>
            <w:pStyle w:val="26"/>
            <w:tabs>
              <w:tab w:val="right" w:leader="dot" w:pos="9072"/>
            </w:tabs>
            <w:rPr>
              <w:rFonts w:hint="eastAsia" w:ascii="黑体" w:hAnsi="黑体" w:eastAsia="黑体" w:cs="黑体"/>
              <w:color w:val="auto"/>
              <w:sz w:val="32"/>
              <w:szCs w:val="32"/>
              <w:highlight w:val="none"/>
            </w:rPr>
          </w:pPr>
        </w:p>
        <w:p w14:paraId="396209EF">
          <w:pPr>
            <w:pStyle w:val="26"/>
            <w:tabs>
              <w:tab w:val="right" w:leader="dot" w:pos="9072"/>
            </w:tabs>
          </w:pPr>
          <w:r>
            <w:rPr>
              <w:rFonts w:hint="eastAsia" w:ascii="黑体" w:hAnsi="黑体" w:eastAsia="黑体" w:cs="黑体"/>
              <w:color w:val="auto"/>
              <w:sz w:val="32"/>
              <w:szCs w:val="32"/>
              <w:highlight w:val="none"/>
            </w:rPr>
            <w:fldChar w:fldCharType="begin"/>
          </w:r>
          <w:r>
            <w:rPr>
              <w:rFonts w:hint="eastAsia" w:ascii="黑体" w:hAnsi="黑体" w:eastAsia="黑体" w:cs="黑体"/>
              <w:sz w:val="32"/>
              <w:szCs w:val="32"/>
              <w:highlight w:val="none"/>
            </w:rPr>
            <w:instrText xml:space="preserve"> HYPERLINK \l _Toc22988 </w:instrText>
          </w:r>
          <w:r>
            <w:rPr>
              <w:rFonts w:hint="eastAsia" w:ascii="黑体" w:hAnsi="黑体" w:eastAsia="黑体" w:cs="黑体"/>
              <w:sz w:val="32"/>
              <w:szCs w:val="32"/>
              <w:highlight w:val="none"/>
            </w:rPr>
            <w:fldChar w:fldCharType="separate"/>
          </w:r>
          <w:r>
            <w:rPr>
              <w:rFonts w:hint="eastAsia" w:ascii="黑体" w:hAnsi="黑体" w:eastAsia="黑体" w:cs="黑体"/>
              <w:spacing w:val="8"/>
              <w:sz w:val="32"/>
              <w:szCs w:val="48"/>
              <w:highlight w:val="none"/>
              <w14:textOutline w14:w="5793" w14:cap="sq" w14:cmpd="sng">
                <w14:solidFill>
                  <w14:srgbClr w14:val="000000"/>
                </w14:solidFill>
                <w14:prstDash w14:val="solid"/>
                <w14:bevel/>
              </w14:textOutline>
            </w:rPr>
            <w:t>第六章磋商响应文件格式</w:t>
          </w:r>
          <w:r>
            <w:rPr>
              <w:sz w:val="32"/>
              <w:szCs w:val="32"/>
            </w:rPr>
            <w:tab/>
          </w:r>
          <w:r>
            <w:rPr>
              <w:sz w:val="32"/>
              <w:szCs w:val="32"/>
            </w:rPr>
            <w:fldChar w:fldCharType="begin"/>
          </w:r>
          <w:r>
            <w:rPr>
              <w:sz w:val="32"/>
              <w:szCs w:val="32"/>
            </w:rPr>
            <w:instrText xml:space="preserve"> PAGEREF _Toc22988 \h </w:instrText>
          </w:r>
          <w:r>
            <w:rPr>
              <w:sz w:val="32"/>
              <w:szCs w:val="32"/>
            </w:rPr>
            <w:fldChar w:fldCharType="separate"/>
          </w:r>
          <w:r>
            <w:rPr>
              <w:sz w:val="32"/>
              <w:szCs w:val="32"/>
            </w:rPr>
            <w:t>54</w:t>
          </w:r>
          <w:r>
            <w:rPr>
              <w:sz w:val="32"/>
              <w:szCs w:val="32"/>
            </w:rPr>
            <w:fldChar w:fldCharType="end"/>
          </w:r>
          <w:r>
            <w:rPr>
              <w:rFonts w:hint="eastAsia" w:ascii="黑体" w:hAnsi="黑体" w:eastAsia="黑体" w:cs="黑体"/>
              <w:color w:val="auto"/>
              <w:sz w:val="32"/>
              <w:szCs w:val="32"/>
              <w:highlight w:val="none"/>
            </w:rPr>
            <w:fldChar w:fldCharType="end"/>
          </w:r>
        </w:p>
        <w:p w14:paraId="588E5505">
          <w:pPr>
            <w:pStyle w:val="28"/>
            <w:tabs>
              <w:tab w:val="right" w:leader="dot" w:pos="9072"/>
            </w:tabs>
            <w:ind w:left="0" w:leftChars="0" w:firstLine="0" w:firstLineChars="0"/>
          </w:pPr>
        </w:p>
        <w:p w14:paraId="6DC7B32B">
          <w:pPr>
            <w:keepNext w:val="0"/>
            <w:keepLines w:val="0"/>
            <w:pageBreakBefore w:val="0"/>
            <w:kinsoku/>
            <w:overflowPunct/>
            <w:autoSpaceDE w:val="0"/>
            <w:autoSpaceDN w:val="0"/>
            <w:bidi w:val="0"/>
            <w:spacing w:line="318" w:lineRule="auto"/>
            <w:rPr>
              <w:rFonts w:hint="eastAsia" w:ascii="黑体" w:hAnsi="黑体" w:eastAsia="黑体" w:cs="黑体"/>
              <w:color w:val="auto"/>
              <w:highlight w:val="none"/>
            </w:rPr>
            <w:sectPr>
              <w:footerReference r:id="rId5" w:type="default"/>
              <w:pgSz w:w="11906" w:h="16839"/>
              <w:pgMar w:top="1417" w:right="1417" w:bottom="1417" w:left="1417" w:header="0" w:footer="996" w:gutter="0"/>
              <w:pgBorders>
                <w:top w:val="none" w:sz="0" w:space="0"/>
                <w:left w:val="none" w:sz="0" w:space="0"/>
                <w:bottom w:val="none" w:sz="0" w:space="0"/>
                <w:right w:val="none" w:sz="0" w:space="0"/>
              </w:pgBorders>
              <w:cols w:space="720" w:num="1"/>
              <w:rtlGutter w:val="0"/>
            </w:sectPr>
          </w:pPr>
          <w:r>
            <w:rPr>
              <w:rFonts w:hint="eastAsia" w:ascii="黑体" w:hAnsi="黑体" w:eastAsia="黑体" w:cs="黑体"/>
              <w:color w:val="auto"/>
              <w:highlight w:val="none"/>
            </w:rPr>
            <w:fldChar w:fldCharType="end"/>
          </w:r>
        </w:p>
      </w:sdtContent>
    </w:sdt>
    <w:p w14:paraId="508FD180">
      <w:pPr>
        <w:keepNext w:val="0"/>
        <w:keepLines w:val="0"/>
        <w:pageBreakBefore w:val="0"/>
        <w:kinsoku/>
        <w:overflowPunct/>
        <w:autoSpaceDE w:val="0"/>
        <w:autoSpaceDN w:val="0"/>
        <w:bidi w:val="0"/>
        <w:spacing w:line="300" w:lineRule="auto"/>
        <w:rPr>
          <w:rFonts w:hint="eastAsia" w:ascii="黑体" w:hAnsi="黑体" w:eastAsia="黑体" w:cs="黑体"/>
          <w:color w:val="auto"/>
          <w:sz w:val="21"/>
          <w:highlight w:val="none"/>
        </w:rPr>
      </w:pPr>
    </w:p>
    <w:p w14:paraId="0E4BEDE3">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pacing w:val="11"/>
          <w:sz w:val="31"/>
          <w:szCs w:val="31"/>
          <w:highlight w:val="none"/>
          <w14:textOutline w14:w="5793" w14:cap="sq" w14:cmpd="sng">
            <w14:solidFill>
              <w14:srgbClr w14:val="000000"/>
            </w14:solidFill>
            <w14:prstDash w14:val="solid"/>
            <w14:bevel/>
          </w14:textOutline>
        </w:rPr>
      </w:pPr>
      <w:bookmarkStart w:id="3" w:name="_Toc9172"/>
      <w:r>
        <w:rPr>
          <w:rFonts w:hint="eastAsia" w:ascii="黑体" w:hAnsi="黑体" w:eastAsia="黑体" w:cs="黑体"/>
          <w:color w:val="auto"/>
          <w:spacing w:val="11"/>
          <w:sz w:val="31"/>
          <w:szCs w:val="31"/>
          <w:highlight w:val="none"/>
          <w14:textOutline w14:w="5793" w14:cap="sq" w14:cmpd="sng">
            <w14:solidFill>
              <w14:srgbClr w14:val="000000"/>
            </w14:solidFill>
            <w14:prstDash w14:val="solid"/>
            <w14:bevel/>
          </w14:textOutline>
        </w:rPr>
        <w:t>第一章竞争性磋商公告</w:t>
      </w:r>
      <w:bookmarkEnd w:id="3"/>
    </w:p>
    <w:p w14:paraId="58E2B692">
      <w:pPr>
        <w:keepNext w:val="0"/>
        <w:keepLines w:val="0"/>
        <w:pageBreakBefore w:val="0"/>
        <w:kinsoku/>
        <w:overflowPunct/>
        <w:autoSpaceDE w:val="0"/>
        <w:autoSpaceDN w:val="0"/>
        <w:bidi w:val="0"/>
        <w:spacing w:line="225" w:lineRule="exact"/>
        <w:rPr>
          <w:rFonts w:hint="eastAsia" w:ascii="黑体" w:hAnsi="黑体" w:eastAsia="黑体" w:cs="黑体"/>
          <w:color w:val="auto"/>
          <w:highlight w:val="none"/>
        </w:rPr>
      </w:pPr>
    </w:p>
    <w:p w14:paraId="6827A08B">
      <w:pPr>
        <w:pBdr>
          <w:top w:val="single" w:color="auto" w:sz="4" w:space="0"/>
          <w:left w:val="single" w:color="auto" w:sz="4" w:space="0"/>
          <w:bottom w:val="single" w:color="auto" w:sz="4" w:space="0"/>
          <w:right w:val="single" w:color="auto" w:sz="4" w:space="0"/>
        </w:pBdr>
        <w:adjustRightInd w:val="0"/>
        <w:snapToGrid w:val="0"/>
        <w:spacing w:line="360" w:lineRule="auto"/>
        <w:ind w:firstLine="420" w:firstLineChars="200"/>
        <w:rPr>
          <w:rFonts w:hint="eastAsia" w:ascii="黑体" w:hAnsi="黑体" w:eastAsia="黑体" w:cs="黑体"/>
          <w:color w:val="auto"/>
          <w:sz w:val="21"/>
          <w:szCs w:val="21"/>
        </w:rPr>
      </w:pPr>
      <w:r>
        <w:rPr>
          <w:rFonts w:hint="eastAsia" w:ascii="黑体" w:hAnsi="黑体" w:eastAsia="黑体" w:cs="黑体"/>
          <w:color w:val="auto"/>
          <w:sz w:val="21"/>
          <w:szCs w:val="21"/>
        </w:rPr>
        <w:t>项目概况</w:t>
      </w:r>
    </w:p>
    <w:p w14:paraId="5DEA8C66">
      <w:pPr>
        <w:pBdr>
          <w:top w:val="single" w:color="auto" w:sz="4" w:space="0"/>
          <w:left w:val="single" w:color="auto" w:sz="4" w:space="0"/>
          <w:bottom w:val="single" w:color="auto" w:sz="4" w:space="0"/>
          <w:right w:val="single" w:color="auto" w:sz="4" w:space="0"/>
        </w:pBdr>
        <w:adjustRightInd w:val="0"/>
        <w:snapToGrid w:val="0"/>
        <w:spacing w:line="360" w:lineRule="auto"/>
        <w:ind w:firstLine="420" w:firstLineChars="200"/>
        <w:rPr>
          <w:rFonts w:hint="eastAsia" w:ascii="黑体" w:hAnsi="黑体" w:eastAsia="黑体" w:cs="黑体"/>
          <w:color w:val="auto"/>
          <w:sz w:val="21"/>
          <w:szCs w:val="21"/>
        </w:rPr>
      </w:pPr>
      <w:r>
        <w:rPr>
          <w:rFonts w:hint="eastAsia" w:ascii="黑体" w:hAnsi="黑体" w:eastAsia="黑体" w:cs="黑体"/>
          <w:color w:val="auto"/>
          <w:sz w:val="21"/>
          <w:szCs w:val="21"/>
          <w:u w:val="single"/>
          <w:lang w:eastAsia="zh-CN"/>
        </w:rPr>
        <w:t>靖宇县第三次全国土壤普查成果汇总项目</w:t>
      </w:r>
      <w:r>
        <w:rPr>
          <w:rFonts w:hint="eastAsia" w:ascii="黑体" w:hAnsi="黑体" w:eastAsia="黑体" w:cs="黑体"/>
          <w:color w:val="auto"/>
          <w:sz w:val="21"/>
          <w:szCs w:val="21"/>
          <w:lang w:eastAsia="zh-CN"/>
        </w:rPr>
        <w:t>的潜在投标人应在</w:t>
      </w:r>
      <w:r>
        <w:rPr>
          <w:rFonts w:hint="eastAsia" w:ascii="黑体" w:hAnsi="黑体" w:eastAsia="黑体" w:cs="黑体"/>
          <w:color w:val="auto"/>
          <w:sz w:val="21"/>
          <w:szCs w:val="21"/>
          <w:lang w:val="zh-CN" w:eastAsia="zh-CN"/>
        </w:rPr>
        <w:t>“政采云”平台（http：//www.zcygov.cn）获取采购文件，并于2025年05月07日09点30分</w:t>
      </w:r>
      <w:r>
        <w:rPr>
          <w:rFonts w:hint="eastAsia" w:ascii="黑体" w:hAnsi="黑体" w:eastAsia="黑体" w:cs="黑体"/>
          <w:color w:val="auto"/>
          <w:sz w:val="21"/>
          <w:szCs w:val="21"/>
          <w:lang w:val="zh-CN" w:eastAsia="zh-CN"/>
        </w:rPr>
        <w:t>（北京时间）前提交响应文件</w:t>
      </w:r>
      <w:r>
        <w:rPr>
          <w:rFonts w:hint="eastAsia" w:ascii="黑体" w:hAnsi="黑体" w:eastAsia="黑体" w:cs="黑体"/>
          <w:color w:val="auto"/>
          <w:sz w:val="21"/>
          <w:szCs w:val="21"/>
          <w:lang w:eastAsia="zh-CN"/>
        </w:rPr>
        <w:t>。</w:t>
      </w:r>
    </w:p>
    <w:p w14:paraId="50E6DC79">
      <w:pPr>
        <w:adjustRightInd w:val="0"/>
        <w:snapToGrid w:val="0"/>
        <w:spacing w:line="360" w:lineRule="auto"/>
        <w:ind w:right="28"/>
        <w:outlineLvl w:val="1"/>
        <w:rPr>
          <w:rFonts w:hint="eastAsia" w:ascii="黑体" w:hAnsi="黑体" w:eastAsia="黑体" w:cs="黑体"/>
          <w:b/>
          <w:bCs/>
          <w:color w:val="auto"/>
          <w:sz w:val="21"/>
          <w:szCs w:val="21"/>
        </w:rPr>
      </w:pPr>
      <w:bookmarkStart w:id="4" w:name="_Toc7297"/>
      <w:r>
        <w:rPr>
          <w:rFonts w:hint="eastAsia" w:ascii="黑体" w:hAnsi="黑体" w:eastAsia="黑体" w:cs="黑体"/>
          <w:b/>
          <w:bCs/>
          <w:color w:val="auto"/>
          <w:sz w:val="21"/>
          <w:szCs w:val="21"/>
        </w:rPr>
        <w:t>一、项目基本概况</w:t>
      </w:r>
      <w:bookmarkEnd w:id="4"/>
    </w:p>
    <w:p w14:paraId="5429FF81">
      <w:pPr>
        <w:spacing w:line="360" w:lineRule="auto"/>
        <w:ind w:firstLine="420" w:firstLineChars="200"/>
        <w:jc w:val="both"/>
        <w:outlineLvl w:val="9"/>
        <w:rPr>
          <w:rFonts w:hint="eastAsia" w:ascii="黑体" w:hAnsi="黑体" w:eastAsia="黑体" w:cs="黑体"/>
          <w:b w:val="0"/>
          <w:bCs/>
          <w:color w:val="000000"/>
          <w:sz w:val="21"/>
          <w:szCs w:val="21"/>
        </w:rPr>
      </w:pPr>
      <w:bookmarkStart w:id="5" w:name="_Toc402180261"/>
      <w:r>
        <w:rPr>
          <w:rFonts w:hint="eastAsia" w:ascii="黑体" w:hAnsi="黑体" w:eastAsia="黑体" w:cs="黑体"/>
          <w:b w:val="0"/>
          <w:bCs/>
          <w:color w:val="000000"/>
          <w:sz w:val="21"/>
          <w:szCs w:val="21"/>
        </w:rPr>
        <w:t>1.1招标项目编号：</w:t>
      </w:r>
      <w:r>
        <w:rPr>
          <w:rFonts w:hint="eastAsia" w:ascii="黑体" w:hAnsi="黑体" w:eastAsia="黑体" w:cs="黑体"/>
          <w:b w:val="0"/>
          <w:bCs/>
          <w:color w:val="000000"/>
          <w:sz w:val="21"/>
          <w:szCs w:val="21"/>
          <w:highlight w:val="none"/>
          <w:lang w:eastAsia="zh-CN"/>
        </w:rPr>
        <w:t>CCZF-2025-0421</w:t>
      </w:r>
      <w:r>
        <w:rPr>
          <w:rFonts w:hint="eastAsia" w:ascii="黑体" w:hAnsi="黑体" w:eastAsia="黑体" w:cs="黑体"/>
          <w:b w:val="0"/>
          <w:bCs/>
          <w:color w:val="000000"/>
          <w:sz w:val="21"/>
          <w:szCs w:val="21"/>
        </w:rPr>
        <w:t>；</w:t>
      </w:r>
    </w:p>
    <w:bookmarkEnd w:id="5"/>
    <w:p w14:paraId="6453C065">
      <w:pPr>
        <w:spacing w:line="360" w:lineRule="auto"/>
        <w:ind w:firstLine="420" w:firstLineChars="200"/>
        <w:jc w:val="both"/>
        <w:outlineLvl w:val="9"/>
        <w:rPr>
          <w:rFonts w:hint="eastAsia" w:ascii="黑体" w:hAnsi="黑体" w:eastAsia="黑体" w:cs="黑体"/>
          <w:sz w:val="21"/>
          <w:szCs w:val="21"/>
        </w:rPr>
      </w:pPr>
      <w:r>
        <w:rPr>
          <w:rFonts w:hint="eastAsia" w:ascii="黑体" w:hAnsi="黑体" w:eastAsia="黑体" w:cs="黑体"/>
          <w:b w:val="0"/>
          <w:color w:val="000000"/>
          <w:sz w:val="21"/>
          <w:szCs w:val="21"/>
        </w:rPr>
        <w:t>1.2项目名称：</w:t>
      </w:r>
      <w:r>
        <w:rPr>
          <w:rFonts w:hint="eastAsia" w:ascii="黑体" w:hAnsi="黑体" w:eastAsia="黑体" w:cs="黑体"/>
          <w:b w:val="0"/>
          <w:bCs/>
          <w:sz w:val="21"/>
          <w:szCs w:val="21"/>
          <w:lang w:val="zh-CN"/>
        </w:rPr>
        <w:t>靖宇县第三次全国土壤普查成果汇总项目；</w:t>
      </w:r>
    </w:p>
    <w:p w14:paraId="65AA274E">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rPr>
        <w:t>1.3采购方</w:t>
      </w:r>
      <w:r>
        <w:rPr>
          <w:rFonts w:hint="eastAsia" w:ascii="黑体" w:hAnsi="黑体" w:eastAsia="黑体" w:cs="黑体"/>
          <w:b w:val="0"/>
          <w:color w:val="000000"/>
          <w:sz w:val="21"/>
          <w:szCs w:val="21"/>
          <w:highlight w:val="none"/>
        </w:rPr>
        <w:t>式：竞争性</w:t>
      </w:r>
      <w:r>
        <w:rPr>
          <w:rFonts w:hint="eastAsia" w:ascii="黑体" w:hAnsi="黑体" w:eastAsia="黑体" w:cs="黑体"/>
          <w:b w:val="0"/>
          <w:color w:val="000000"/>
          <w:sz w:val="21"/>
          <w:szCs w:val="21"/>
          <w:highlight w:val="none"/>
          <w:lang w:val="en-US" w:eastAsia="zh-CN"/>
        </w:rPr>
        <w:t>磋商</w:t>
      </w:r>
      <w:r>
        <w:rPr>
          <w:rFonts w:hint="eastAsia" w:ascii="黑体" w:hAnsi="黑体" w:eastAsia="黑体" w:cs="黑体"/>
          <w:b w:val="0"/>
          <w:color w:val="000000"/>
          <w:sz w:val="21"/>
          <w:szCs w:val="21"/>
          <w:highlight w:val="none"/>
        </w:rPr>
        <w:t>；</w:t>
      </w:r>
    </w:p>
    <w:p w14:paraId="2A2E2273">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1.4预算金额：</w:t>
      </w:r>
      <w:r>
        <w:rPr>
          <w:rFonts w:hint="eastAsia" w:ascii="黑体" w:hAnsi="黑体" w:eastAsia="黑体" w:cs="黑体"/>
          <w:b w:val="0"/>
          <w:color w:val="000000"/>
          <w:sz w:val="21"/>
          <w:szCs w:val="21"/>
          <w:highlight w:val="none"/>
          <w:lang w:eastAsia="zh-CN"/>
        </w:rPr>
        <w:t>174万元</w:t>
      </w:r>
      <w:r>
        <w:rPr>
          <w:rFonts w:hint="eastAsia" w:ascii="黑体" w:hAnsi="黑体" w:eastAsia="黑体" w:cs="黑体"/>
          <w:b w:val="0"/>
          <w:color w:val="000000"/>
          <w:sz w:val="21"/>
          <w:szCs w:val="21"/>
          <w:highlight w:val="none"/>
        </w:rPr>
        <w:t>；</w:t>
      </w:r>
    </w:p>
    <w:p w14:paraId="035E7241">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1.5最高限价：</w:t>
      </w:r>
      <w:r>
        <w:rPr>
          <w:rFonts w:hint="eastAsia" w:ascii="黑体" w:hAnsi="黑体" w:eastAsia="黑体" w:cs="黑体"/>
          <w:b w:val="0"/>
          <w:color w:val="000000"/>
          <w:sz w:val="21"/>
          <w:szCs w:val="21"/>
          <w:highlight w:val="none"/>
          <w:lang w:eastAsia="zh-CN"/>
        </w:rPr>
        <w:t>174万元</w:t>
      </w:r>
      <w:r>
        <w:rPr>
          <w:rFonts w:hint="eastAsia" w:ascii="黑体" w:hAnsi="黑体" w:eastAsia="黑体" w:cs="黑体"/>
          <w:b w:val="0"/>
          <w:color w:val="000000"/>
          <w:sz w:val="21"/>
          <w:szCs w:val="21"/>
          <w:highlight w:val="none"/>
        </w:rPr>
        <w:t>；</w:t>
      </w:r>
    </w:p>
    <w:p w14:paraId="06139825">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1.6采购需求：</w:t>
      </w:r>
      <w:r>
        <w:rPr>
          <w:rFonts w:hint="eastAsia" w:ascii="黑体" w:hAnsi="黑体" w:eastAsia="黑体" w:cs="黑体"/>
          <w:color w:val="auto"/>
          <w:sz w:val="21"/>
          <w:szCs w:val="21"/>
          <w:u w:val="none"/>
          <w:lang w:eastAsia="zh-CN"/>
        </w:rPr>
        <w:t>靖宇县第三次全国土壤普查成果汇总项目</w:t>
      </w:r>
      <w:r>
        <w:rPr>
          <w:rFonts w:hint="eastAsia" w:ascii="黑体" w:hAnsi="黑体" w:eastAsia="黑体" w:cs="黑体"/>
          <w:b w:val="0"/>
          <w:color w:val="000000"/>
          <w:sz w:val="21"/>
          <w:szCs w:val="21"/>
          <w:highlight w:val="none"/>
          <w:u w:val="none"/>
        </w:rPr>
        <w:t>；</w:t>
      </w:r>
    </w:p>
    <w:p w14:paraId="5DEAD8F7">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1.7合同履行期限：</w:t>
      </w:r>
      <w:r>
        <w:rPr>
          <w:rFonts w:hint="eastAsia" w:ascii="黑体" w:hAnsi="黑体" w:eastAsia="黑体" w:cs="黑体"/>
          <w:b w:val="0"/>
          <w:color w:val="000000"/>
          <w:sz w:val="21"/>
          <w:szCs w:val="21"/>
          <w:highlight w:val="none"/>
          <w:lang w:val="en-US" w:eastAsia="zh-CN"/>
        </w:rPr>
        <w:t>自合同签订之日起至合同履行完毕</w:t>
      </w:r>
      <w:r>
        <w:rPr>
          <w:rFonts w:hint="eastAsia" w:ascii="黑体" w:hAnsi="黑体" w:eastAsia="黑体" w:cs="黑体"/>
          <w:b w:val="0"/>
          <w:color w:val="000000"/>
          <w:sz w:val="21"/>
          <w:szCs w:val="21"/>
          <w:highlight w:val="none"/>
        </w:rPr>
        <w:t>；</w:t>
      </w:r>
    </w:p>
    <w:p w14:paraId="0F47FC6B">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1.8服务标准：</w:t>
      </w:r>
      <w:r>
        <w:rPr>
          <w:rFonts w:hint="eastAsia" w:ascii="黑体" w:hAnsi="黑体" w:eastAsia="黑体" w:cs="黑体"/>
          <w:b w:val="0"/>
          <w:color w:val="000000"/>
          <w:sz w:val="21"/>
          <w:szCs w:val="21"/>
          <w:highlight w:val="none"/>
          <w:lang w:eastAsia="zh-CN"/>
        </w:rPr>
        <w:t>符合国家及行业相关规范及标准，且提供优质服务</w:t>
      </w:r>
      <w:r>
        <w:rPr>
          <w:rFonts w:hint="eastAsia" w:ascii="黑体" w:hAnsi="黑体" w:eastAsia="黑体" w:cs="黑体"/>
          <w:b w:val="0"/>
          <w:color w:val="000000"/>
          <w:sz w:val="21"/>
          <w:szCs w:val="21"/>
          <w:highlight w:val="none"/>
        </w:rPr>
        <w:t>；</w:t>
      </w:r>
    </w:p>
    <w:p w14:paraId="6A64B8D2">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1.9本次招标不接受联合体投标。</w:t>
      </w:r>
    </w:p>
    <w:p w14:paraId="3CDA9A73">
      <w:pPr>
        <w:adjustRightInd w:val="0"/>
        <w:snapToGrid w:val="0"/>
        <w:spacing w:line="360" w:lineRule="auto"/>
        <w:outlineLvl w:val="1"/>
        <w:rPr>
          <w:rFonts w:hint="eastAsia" w:ascii="黑体" w:hAnsi="黑体" w:eastAsia="黑体" w:cs="黑体"/>
          <w:b/>
          <w:bCs/>
          <w:color w:val="auto"/>
          <w:sz w:val="21"/>
          <w:szCs w:val="21"/>
        </w:rPr>
      </w:pPr>
      <w:bookmarkStart w:id="6" w:name="_Toc19897"/>
      <w:r>
        <w:rPr>
          <w:rFonts w:hint="eastAsia" w:ascii="黑体" w:hAnsi="黑体" w:eastAsia="黑体" w:cs="黑体"/>
          <w:b/>
          <w:bCs/>
          <w:color w:val="auto"/>
          <w:sz w:val="21"/>
          <w:szCs w:val="21"/>
        </w:rPr>
        <w:t>二、申请人的资格要求：</w:t>
      </w:r>
      <w:bookmarkEnd w:id="6"/>
    </w:p>
    <w:p w14:paraId="717C299F">
      <w:pPr>
        <w:spacing w:line="360" w:lineRule="auto"/>
        <w:ind w:firstLine="420" w:firstLineChars="200"/>
        <w:jc w:val="both"/>
        <w:outlineLvl w:val="9"/>
        <w:rPr>
          <w:rFonts w:hint="eastAsia" w:ascii="黑体" w:hAnsi="黑体" w:eastAsia="黑体" w:cs="黑体"/>
          <w:b w:val="0"/>
          <w:color w:val="000000"/>
          <w:sz w:val="21"/>
          <w:szCs w:val="21"/>
          <w:highlight w:val="none"/>
        </w:rPr>
      </w:pPr>
      <w:bookmarkStart w:id="7" w:name="_Toc8643"/>
      <w:r>
        <w:rPr>
          <w:rFonts w:hint="eastAsia" w:ascii="黑体" w:hAnsi="黑体" w:eastAsia="黑体" w:cs="黑体"/>
          <w:b w:val="0"/>
          <w:color w:val="000000"/>
          <w:sz w:val="21"/>
          <w:szCs w:val="21"/>
          <w:highlight w:val="none"/>
        </w:rPr>
        <w:t>1.满足《中华人民共和国政府采购法》第二十二条规定；</w:t>
      </w:r>
      <w:bookmarkEnd w:id="7"/>
    </w:p>
    <w:p w14:paraId="28D02381">
      <w:pPr>
        <w:spacing w:line="360" w:lineRule="auto"/>
        <w:ind w:firstLine="420" w:firstLineChars="200"/>
        <w:jc w:val="both"/>
        <w:outlineLvl w:val="9"/>
        <w:rPr>
          <w:rFonts w:hint="eastAsia" w:ascii="黑体" w:hAnsi="黑体" w:eastAsia="黑体" w:cs="黑体"/>
          <w:b w:val="0"/>
          <w:color w:val="000000"/>
          <w:sz w:val="21"/>
          <w:szCs w:val="21"/>
          <w:highlight w:val="none"/>
        </w:rPr>
      </w:pPr>
      <w:r>
        <w:rPr>
          <w:rFonts w:hint="eastAsia" w:ascii="黑体" w:hAnsi="黑体" w:eastAsia="黑体" w:cs="黑体"/>
          <w:b w:val="0"/>
          <w:color w:val="000000"/>
          <w:sz w:val="21"/>
          <w:szCs w:val="21"/>
          <w:highlight w:val="none"/>
        </w:rPr>
        <w:t>2.落实政府采购政策需满足的资格要求：本项目专门面向中小企业</w:t>
      </w:r>
      <w:r>
        <w:rPr>
          <w:rFonts w:hint="eastAsia" w:ascii="黑体" w:hAnsi="黑体" w:eastAsia="黑体" w:cs="黑体"/>
          <w:b w:val="0"/>
          <w:color w:val="000000"/>
          <w:sz w:val="21"/>
          <w:szCs w:val="21"/>
          <w:highlight w:val="none"/>
          <w:lang w:eastAsia="zh-CN"/>
        </w:rPr>
        <w:t>，</w:t>
      </w:r>
      <w:r>
        <w:rPr>
          <w:rFonts w:hint="eastAsia" w:ascii="黑体" w:hAnsi="黑体" w:eastAsia="黑体" w:cs="黑体"/>
          <w:b w:val="0"/>
          <w:color w:val="000000"/>
          <w:sz w:val="21"/>
          <w:szCs w:val="21"/>
          <w:highlight w:val="none"/>
          <w:lang w:val="en-US" w:eastAsia="zh-CN"/>
        </w:rPr>
        <w:t>所属行业为其他未列明行业</w:t>
      </w:r>
      <w:r>
        <w:rPr>
          <w:rFonts w:hint="eastAsia" w:ascii="黑体" w:hAnsi="黑体" w:eastAsia="黑体" w:cs="黑体"/>
          <w:b w:val="0"/>
          <w:color w:val="000000"/>
          <w:sz w:val="21"/>
          <w:szCs w:val="21"/>
          <w:highlight w:val="none"/>
        </w:rPr>
        <w:t>；</w:t>
      </w:r>
    </w:p>
    <w:p w14:paraId="1B404329">
      <w:pPr>
        <w:spacing w:line="360" w:lineRule="auto"/>
        <w:ind w:firstLine="420" w:firstLineChars="200"/>
        <w:jc w:val="both"/>
        <w:outlineLvl w:val="9"/>
        <w:rPr>
          <w:rFonts w:hint="eastAsia" w:ascii="黑体" w:hAnsi="黑体" w:eastAsia="黑体" w:cs="黑体"/>
          <w:b w:val="0"/>
          <w:color w:val="000000"/>
          <w:sz w:val="21"/>
          <w:szCs w:val="21"/>
          <w:highlight w:val="none"/>
        </w:rPr>
      </w:pPr>
      <w:bookmarkStart w:id="8" w:name="_Toc580"/>
      <w:r>
        <w:rPr>
          <w:rFonts w:hint="eastAsia" w:ascii="黑体" w:hAnsi="黑体" w:eastAsia="黑体" w:cs="黑体"/>
          <w:b w:val="0"/>
          <w:color w:val="000000"/>
          <w:sz w:val="21"/>
          <w:szCs w:val="21"/>
          <w:highlight w:val="none"/>
        </w:rPr>
        <w:t>3.本项目的特定资格要求：</w:t>
      </w:r>
      <w:bookmarkEnd w:id="8"/>
    </w:p>
    <w:p w14:paraId="44609F21">
      <w:pPr>
        <w:spacing w:line="360" w:lineRule="auto"/>
        <w:ind w:firstLine="420" w:firstLineChars="200"/>
        <w:jc w:val="both"/>
        <w:outlineLvl w:val="9"/>
        <w:rPr>
          <w:rFonts w:hint="eastAsia" w:ascii="黑体" w:hAnsi="黑体" w:eastAsia="黑体" w:cs="黑体"/>
          <w:b w:val="0"/>
          <w:color w:val="000000"/>
          <w:sz w:val="21"/>
          <w:szCs w:val="21"/>
          <w:highlight w:val="none"/>
          <w:lang w:eastAsia="zh-CN"/>
        </w:rPr>
      </w:pPr>
      <w:r>
        <w:rPr>
          <w:rFonts w:hint="eastAsia" w:ascii="黑体" w:hAnsi="黑体" w:eastAsia="黑体" w:cs="黑体"/>
          <w:b w:val="0"/>
          <w:color w:val="000000"/>
          <w:sz w:val="21"/>
          <w:szCs w:val="21"/>
          <w:highlight w:val="none"/>
        </w:rPr>
        <w:t>3.1投标人具有合法有效企业法人资质（或其他组织）</w:t>
      </w:r>
      <w:r>
        <w:rPr>
          <w:rFonts w:hint="eastAsia" w:ascii="黑体" w:hAnsi="黑体" w:eastAsia="黑体" w:cs="黑体"/>
          <w:b w:val="0"/>
          <w:color w:val="000000"/>
          <w:sz w:val="21"/>
          <w:szCs w:val="21"/>
          <w:highlight w:val="none"/>
          <w:lang w:eastAsia="zh-CN"/>
        </w:rPr>
        <w:t>；</w:t>
      </w:r>
    </w:p>
    <w:p w14:paraId="25661BEF">
      <w:pPr>
        <w:spacing w:line="360" w:lineRule="auto"/>
        <w:ind w:firstLine="420" w:firstLineChars="200"/>
        <w:jc w:val="both"/>
        <w:outlineLvl w:val="9"/>
        <w:rPr>
          <w:rFonts w:hint="eastAsia" w:ascii="黑体" w:hAnsi="黑体" w:eastAsia="黑体" w:cs="黑体"/>
          <w:b w:val="0"/>
          <w:bCs/>
          <w:color w:val="000000"/>
          <w:sz w:val="21"/>
          <w:szCs w:val="21"/>
          <w:highlight w:val="none"/>
        </w:rPr>
      </w:pPr>
      <w:r>
        <w:rPr>
          <w:rFonts w:hint="eastAsia" w:ascii="黑体" w:hAnsi="黑体" w:eastAsia="黑体" w:cs="黑体"/>
          <w:b w:val="0"/>
          <w:bCs/>
          <w:color w:val="000000"/>
          <w:sz w:val="21"/>
          <w:szCs w:val="21"/>
          <w:highlight w:val="none"/>
          <w:lang w:val="en-US" w:eastAsia="zh-CN"/>
        </w:rPr>
        <w:t>3.2投标人应在投标文件中提交反映其财务状况、依法缴纳税收和社保保障资金情况的资格条件承诺函，并对资格条件承诺函有关内容的真实性、有效性、合法性负责</w:t>
      </w:r>
      <w:r>
        <w:rPr>
          <w:rFonts w:hint="eastAsia" w:ascii="黑体" w:hAnsi="黑体" w:eastAsia="黑体" w:cs="黑体"/>
          <w:b w:val="0"/>
          <w:bCs/>
          <w:color w:val="000000"/>
          <w:sz w:val="21"/>
          <w:szCs w:val="21"/>
          <w:highlight w:val="none"/>
        </w:rPr>
        <w:t>；</w:t>
      </w:r>
    </w:p>
    <w:p w14:paraId="5A482B50">
      <w:pPr>
        <w:spacing w:line="360" w:lineRule="auto"/>
        <w:ind w:firstLine="420" w:firstLineChars="200"/>
        <w:jc w:val="both"/>
        <w:outlineLvl w:val="9"/>
        <w:rPr>
          <w:rFonts w:hint="eastAsia" w:ascii="黑体" w:hAnsi="黑体" w:eastAsia="黑体" w:cs="黑体"/>
          <w:b w:val="0"/>
          <w:bCs/>
          <w:color w:val="000000"/>
          <w:sz w:val="21"/>
          <w:szCs w:val="21"/>
          <w:highlight w:val="none"/>
          <w:lang w:val="en-US" w:eastAsia="zh-CN"/>
        </w:rPr>
      </w:pPr>
      <w:r>
        <w:rPr>
          <w:rFonts w:hint="eastAsia" w:ascii="黑体" w:hAnsi="黑体" w:eastAsia="黑体" w:cs="黑体"/>
          <w:b w:val="0"/>
          <w:bCs/>
          <w:color w:val="000000"/>
          <w:sz w:val="21"/>
          <w:szCs w:val="21"/>
          <w:highlight w:val="none"/>
          <w:lang w:val="en-US" w:eastAsia="zh-CN"/>
        </w:rPr>
        <w:t>3.3信誉要求：投标人近三年内无数据造假、违法违规等不良信用记录，投标人未被工商行政管理机关在全国企业信用信息公示系统（www.gsxt.gov.cn）中列入严重违法失信企业名单；投标人不得为“信用中国”网站（www.creditchina.gov.cn）中列入失信被执行人；投标人不得为中国政府采购网（www.ccgp.gov.cn）政府采购严重违法失信行为记录名单中被财政部门禁止参加政府采购活动的投标人（在处罚决定规定的时间和地域范围内）（详见财库〔2016〕125号文）；拒绝列入政府取消投标资格记录期间的企业或个人投标；</w:t>
      </w:r>
    </w:p>
    <w:p w14:paraId="59174F60">
      <w:pPr>
        <w:spacing w:line="360" w:lineRule="auto"/>
        <w:ind w:firstLine="420" w:firstLineChars="200"/>
        <w:jc w:val="both"/>
        <w:outlineLvl w:val="9"/>
        <w:rPr>
          <w:rFonts w:hint="eastAsia" w:ascii="黑体" w:hAnsi="黑体" w:eastAsia="黑体" w:cs="黑体"/>
          <w:b w:val="0"/>
          <w:bCs/>
          <w:color w:val="000000"/>
          <w:sz w:val="21"/>
          <w:szCs w:val="21"/>
          <w:highlight w:val="none"/>
          <w:lang w:val="en-US" w:eastAsia="zh-CN"/>
        </w:rPr>
      </w:pPr>
      <w:r>
        <w:rPr>
          <w:rFonts w:hint="eastAsia" w:ascii="黑体" w:hAnsi="黑体" w:eastAsia="黑体" w:cs="黑体"/>
          <w:b w:val="0"/>
          <w:bCs/>
          <w:color w:val="000000"/>
          <w:sz w:val="21"/>
          <w:szCs w:val="21"/>
          <w:highlight w:val="none"/>
          <w:lang w:val="en-US" w:eastAsia="zh-CN"/>
        </w:rPr>
        <w:t>3.4.单位负责人为同一人或者存在直接控股、管理关系的不同供应商，不得参加同一合同项下的政府采购活动。</w:t>
      </w:r>
    </w:p>
    <w:p w14:paraId="502A4786">
      <w:pPr>
        <w:adjustRightInd w:val="0"/>
        <w:snapToGrid w:val="0"/>
        <w:spacing w:line="360" w:lineRule="auto"/>
        <w:outlineLvl w:val="1"/>
        <w:rPr>
          <w:rFonts w:hint="eastAsia" w:ascii="黑体" w:hAnsi="黑体" w:eastAsia="黑体" w:cs="黑体"/>
          <w:b/>
          <w:bCs/>
          <w:color w:val="auto"/>
          <w:sz w:val="21"/>
          <w:szCs w:val="21"/>
        </w:rPr>
      </w:pPr>
      <w:bookmarkStart w:id="9" w:name="_Toc20443"/>
      <w:r>
        <w:rPr>
          <w:rFonts w:hint="eastAsia" w:ascii="黑体" w:hAnsi="黑体" w:eastAsia="黑体" w:cs="黑体"/>
          <w:b/>
          <w:bCs/>
          <w:color w:val="auto"/>
          <w:sz w:val="21"/>
          <w:szCs w:val="21"/>
        </w:rPr>
        <w:t>三、获取招标文件</w:t>
      </w:r>
      <w:bookmarkEnd w:id="9"/>
    </w:p>
    <w:p w14:paraId="68C4A36E">
      <w:pPr>
        <w:keepNext w:val="0"/>
        <w:keepLines w:val="0"/>
        <w:pageBreakBefore w:val="0"/>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eastAsia="zh-CN"/>
        </w:rPr>
      </w:pPr>
      <w:bookmarkStart w:id="10" w:name="_Toc28359082"/>
      <w:bookmarkStart w:id="11" w:name="_Toc28359005"/>
      <w:bookmarkStart w:id="12" w:name="_Toc19189"/>
      <w:r>
        <w:rPr>
          <w:rFonts w:hint="eastAsia" w:ascii="黑体" w:hAnsi="黑体" w:eastAsia="黑体" w:cs="黑体"/>
          <w:color w:val="auto"/>
          <w:sz w:val="21"/>
          <w:szCs w:val="21"/>
          <w:highlight w:val="none"/>
          <w:lang w:val="en-US" w:eastAsia="zh-CN"/>
        </w:rPr>
        <w:t>1.</w:t>
      </w:r>
      <w:r>
        <w:rPr>
          <w:rFonts w:hint="eastAsia" w:ascii="黑体" w:hAnsi="黑体" w:eastAsia="黑体" w:cs="黑体"/>
          <w:color w:val="auto"/>
          <w:sz w:val="21"/>
          <w:szCs w:val="21"/>
          <w:highlight w:val="none"/>
        </w:rPr>
        <w:t>时间：</w:t>
      </w:r>
      <w:r>
        <w:rPr>
          <w:rFonts w:hint="eastAsia" w:ascii="黑体" w:hAnsi="黑体" w:eastAsia="黑体" w:cs="黑体"/>
          <w:bCs/>
          <w:color w:val="auto"/>
          <w:sz w:val="21"/>
          <w:szCs w:val="21"/>
          <w:highlight w:val="none"/>
          <w:u w:val="single"/>
          <w:lang w:val="en-US" w:eastAsia="zh-CN"/>
        </w:rPr>
        <w:t>自本公告发布之日起</w:t>
      </w:r>
      <w:r>
        <w:rPr>
          <w:rFonts w:hint="eastAsia" w:ascii="黑体" w:hAnsi="黑体" w:eastAsia="黑体" w:cs="黑体"/>
          <w:bCs/>
          <w:color w:val="auto"/>
          <w:sz w:val="21"/>
          <w:szCs w:val="21"/>
          <w:highlight w:val="none"/>
          <w:u w:val="single"/>
          <w:lang w:val="zh-CN" w:eastAsia="zh-CN"/>
        </w:rPr>
        <w:t>至</w:t>
      </w:r>
      <w:r>
        <w:rPr>
          <w:rFonts w:hint="eastAsia" w:ascii="黑体" w:hAnsi="黑体" w:eastAsia="黑体" w:cs="黑体"/>
          <w:bCs/>
          <w:color w:val="auto"/>
          <w:sz w:val="21"/>
          <w:szCs w:val="21"/>
          <w:highlight w:val="none"/>
          <w:u w:val="single"/>
          <w:lang w:val="en-US" w:eastAsia="zh-CN"/>
        </w:rPr>
        <w:t>2025</w:t>
      </w:r>
      <w:r>
        <w:rPr>
          <w:rFonts w:hint="eastAsia" w:ascii="黑体" w:hAnsi="黑体" w:eastAsia="黑体" w:cs="黑体"/>
          <w:bCs/>
          <w:color w:val="auto"/>
          <w:sz w:val="21"/>
          <w:szCs w:val="21"/>
          <w:highlight w:val="none"/>
          <w:u w:val="single"/>
          <w:lang w:val="zh-CN" w:eastAsia="zh-CN"/>
        </w:rPr>
        <w:t>年</w:t>
      </w:r>
      <w:r>
        <w:rPr>
          <w:rFonts w:hint="eastAsia" w:ascii="黑体" w:hAnsi="黑体" w:eastAsia="黑体" w:cs="黑体"/>
          <w:bCs/>
          <w:color w:val="auto"/>
          <w:sz w:val="21"/>
          <w:szCs w:val="21"/>
          <w:highlight w:val="none"/>
          <w:u w:val="single"/>
          <w:lang w:val="en-US" w:eastAsia="zh-CN"/>
        </w:rPr>
        <w:t>04</w:t>
      </w:r>
      <w:r>
        <w:rPr>
          <w:rFonts w:hint="eastAsia" w:ascii="黑体" w:hAnsi="黑体" w:eastAsia="黑体" w:cs="黑体"/>
          <w:bCs/>
          <w:color w:val="auto"/>
          <w:sz w:val="21"/>
          <w:szCs w:val="21"/>
          <w:highlight w:val="none"/>
          <w:u w:val="single"/>
          <w:lang w:val="zh-CN" w:eastAsia="zh-CN"/>
        </w:rPr>
        <w:t>月</w:t>
      </w:r>
      <w:r>
        <w:rPr>
          <w:rFonts w:hint="eastAsia" w:ascii="黑体" w:hAnsi="黑体" w:eastAsia="黑体" w:cs="黑体"/>
          <w:bCs/>
          <w:color w:val="auto"/>
          <w:sz w:val="21"/>
          <w:szCs w:val="21"/>
          <w:highlight w:val="none"/>
          <w:u w:val="single"/>
          <w:lang w:val="en-US" w:eastAsia="zh-CN"/>
        </w:rPr>
        <w:t>28</w:t>
      </w:r>
      <w:r>
        <w:rPr>
          <w:rFonts w:hint="eastAsia" w:ascii="黑体" w:hAnsi="黑体" w:eastAsia="黑体" w:cs="黑体"/>
          <w:bCs/>
          <w:color w:val="auto"/>
          <w:sz w:val="21"/>
          <w:szCs w:val="21"/>
          <w:highlight w:val="none"/>
          <w:u w:val="single"/>
          <w:lang w:val="zh-CN" w:eastAsia="zh-CN"/>
        </w:rPr>
        <w:t>日</w:t>
      </w:r>
      <w:r>
        <w:rPr>
          <w:rFonts w:hint="eastAsia" w:ascii="黑体" w:hAnsi="黑体" w:eastAsia="黑体" w:cs="黑体"/>
          <w:bCs/>
          <w:color w:val="auto"/>
          <w:sz w:val="21"/>
          <w:szCs w:val="21"/>
          <w:highlight w:val="none"/>
          <w:u w:val="single"/>
          <w:lang w:val="en-US" w:eastAsia="zh-CN"/>
        </w:rPr>
        <w:t>，每天上午00时00分至23时59分（北京时间，法定节假日除外）</w:t>
      </w:r>
      <w:r>
        <w:rPr>
          <w:rFonts w:hint="eastAsia" w:ascii="黑体" w:hAnsi="黑体" w:eastAsia="黑体" w:cs="黑体"/>
          <w:color w:val="auto"/>
          <w:sz w:val="21"/>
          <w:szCs w:val="21"/>
          <w:highlight w:val="none"/>
          <w:lang w:eastAsia="zh-CN"/>
        </w:rPr>
        <w:t>；</w:t>
      </w:r>
    </w:p>
    <w:p w14:paraId="0309BCE4">
      <w:pPr>
        <w:keepNext w:val="0"/>
        <w:keepLines w:val="0"/>
        <w:pageBreakBefore w:val="0"/>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zh-CN" w:eastAsia="zh-CN"/>
        </w:rPr>
      </w:pPr>
      <w:r>
        <w:rPr>
          <w:rFonts w:hint="eastAsia" w:ascii="黑体" w:hAnsi="黑体" w:eastAsia="黑体" w:cs="黑体"/>
          <w:color w:val="auto"/>
          <w:sz w:val="21"/>
          <w:szCs w:val="21"/>
          <w:highlight w:val="none"/>
          <w:lang w:val="zh-CN" w:eastAsia="zh-CN"/>
        </w:rPr>
        <w:t>2.地点、方式：网上下载。本项目不发放纸质文件，供应商可自行在“政采云”平台（http：//www.zcygov.cn）下载招标文件；</w:t>
      </w:r>
    </w:p>
    <w:p w14:paraId="174AF04A">
      <w:pPr>
        <w:keepNext w:val="0"/>
        <w:keepLines w:val="0"/>
        <w:pageBreakBefore w:val="0"/>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zh-CN" w:eastAsia="zh-CN"/>
        </w:rPr>
      </w:pPr>
      <w:r>
        <w:rPr>
          <w:rFonts w:hint="eastAsia" w:ascii="黑体" w:hAnsi="黑体" w:eastAsia="黑体" w:cs="黑体"/>
          <w:color w:val="auto"/>
          <w:sz w:val="21"/>
          <w:szCs w:val="21"/>
          <w:highlight w:val="none"/>
          <w:lang w:val="zh-CN" w:eastAsia="zh-CN"/>
        </w:rPr>
        <w:t>操作路径：登录“政采云”平台-项目采购-获取招标文件-找到本项目（</w:t>
      </w:r>
      <w:r>
        <w:rPr>
          <w:rFonts w:hint="eastAsia" w:ascii="黑体" w:hAnsi="黑体" w:eastAsia="黑体" w:cs="黑体"/>
          <w:b/>
          <w:bCs/>
          <w:color w:val="auto"/>
          <w:sz w:val="21"/>
          <w:szCs w:val="21"/>
          <w:highlight w:val="none"/>
          <w:lang w:val="zh-CN" w:eastAsia="zh-CN"/>
        </w:rPr>
        <w:t>搜索“靖宇县第三次全国土壤普查成果汇总项目”或“CCZF-2025-0421”</w:t>
      </w:r>
      <w:r>
        <w:rPr>
          <w:rFonts w:hint="eastAsia" w:ascii="黑体" w:hAnsi="黑体" w:eastAsia="黑体" w:cs="黑体"/>
          <w:color w:val="auto"/>
          <w:sz w:val="21"/>
          <w:szCs w:val="21"/>
          <w:highlight w:val="none"/>
          <w:lang w:val="zh-CN" w:eastAsia="zh-CN"/>
        </w:rPr>
        <w:t>）</w:t>
      </w:r>
      <w:r>
        <w:rPr>
          <w:rFonts w:hint="eastAsia" w:ascii="黑体" w:hAnsi="黑体" w:eastAsia="黑体" w:cs="黑体"/>
          <w:color w:val="auto"/>
          <w:sz w:val="21"/>
          <w:szCs w:val="21"/>
          <w:highlight w:val="none"/>
          <w:lang w:val="zh-CN" w:eastAsia="zh-CN"/>
        </w:rPr>
        <w:t>-点击“申请获取招标文件”。电子投标文件制作需要基于“政采云”平台获取的招标文件编制。未进行网上注册并办理CA认证的供应商将无法参与本次招标活动；</w:t>
      </w:r>
    </w:p>
    <w:p w14:paraId="612BC8FE">
      <w:pPr>
        <w:keepNext w:val="0"/>
        <w:keepLines w:val="0"/>
        <w:pageBreakBefore w:val="0"/>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zh-CN" w:eastAsia="zh-CN"/>
        </w:rPr>
      </w:pPr>
      <w:r>
        <w:rPr>
          <w:rFonts w:hint="eastAsia" w:ascii="黑体" w:hAnsi="黑体" w:eastAsia="黑体" w:cs="黑体"/>
          <w:color w:val="auto"/>
          <w:sz w:val="21"/>
          <w:szCs w:val="21"/>
          <w:highlight w:val="none"/>
          <w:lang w:val="zh-CN" w:eastAsia="zh-CN"/>
        </w:rPr>
        <w:t>3.售价：0元。</w:t>
      </w:r>
    </w:p>
    <w:p w14:paraId="73B2E6C1">
      <w:pPr>
        <w:adjustRightInd w:val="0"/>
        <w:snapToGrid w:val="0"/>
        <w:spacing w:line="360" w:lineRule="auto"/>
        <w:outlineLvl w:val="1"/>
        <w:rPr>
          <w:rFonts w:hint="eastAsia" w:ascii="黑体" w:hAnsi="黑体" w:eastAsia="黑体" w:cs="黑体"/>
          <w:b/>
          <w:bCs/>
          <w:color w:val="auto"/>
          <w:kern w:val="0"/>
          <w:sz w:val="21"/>
          <w:szCs w:val="21"/>
        </w:rPr>
      </w:pPr>
      <w:r>
        <w:rPr>
          <w:rFonts w:hint="eastAsia" w:ascii="黑体" w:hAnsi="黑体" w:eastAsia="黑体" w:cs="黑体"/>
          <w:b/>
          <w:bCs/>
          <w:color w:val="auto"/>
          <w:kern w:val="0"/>
          <w:sz w:val="21"/>
          <w:szCs w:val="21"/>
        </w:rPr>
        <w:t>四、响应文件</w:t>
      </w:r>
      <w:bookmarkEnd w:id="10"/>
      <w:bookmarkEnd w:id="11"/>
      <w:r>
        <w:rPr>
          <w:rFonts w:hint="eastAsia" w:ascii="黑体" w:hAnsi="黑体" w:eastAsia="黑体" w:cs="黑体"/>
          <w:b/>
          <w:bCs/>
          <w:color w:val="auto"/>
          <w:kern w:val="0"/>
          <w:sz w:val="21"/>
          <w:szCs w:val="21"/>
        </w:rPr>
        <w:t>提交</w:t>
      </w:r>
      <w:bookmarkEnd w:id="12"/>
    </w:p>
    <w:p w14:paraId="22F86236">
      <w:pPr>
        <w:keepNext w:val="0"/>
        <w:keepLines w:val="0"/>
        <w:pageBreakBefore w:val="0"/>
        <w:kinsoku/>
        <w:wordWrap/>
        <w:overflowPunct/>
        <w:topLinePunct w:val="0"/>
        <w:bidi w:val="0"/>
        <w:adjustRightInd w:val="0"/>
        <w:snapToGrid w:val="0"/>
        <w:spacing w:line="360" w:lineRule="auto"/>
        <w:ind w:left="0" w:leftChars="0" w:firstLine="420" w:firstLineChars="200"/>
        <w:jc w:val="left"/>
        <w:outlineLvl w:val="9"/>
        <w:rPr>
          <w:rFonts w:hint="eastAsia" w:ascii="黑体" w:hAnsi="黑体" w:eastAsia="黑体" w:cs="黑体"/>
          <w:b w:val="0"/>
          <w:color w:val="auto"/>
          <w:sz w:val="21"/>
          <w:szCs w:val="21"/>
          <w:highlight w:val="none"/>
          <w:lang w:val="en-US" w:eastAsia="zh-CN"/>
        </w:rPr>
      </w:pPr>
      <w:bookmarkStart w:id="13" w:name="_Toc25656"/>
      <w:bookmarkStart w:id="14" w:name="_Toc28359084"/>
      <w:bookmarkStart w:id="15" w:name="_Toc28359007"/>
      <w:r>
        <w:rPr>
          <w:rFonts w:hint="eastAsia" w:ascii="黑体" w:hAnsi="黑体" w:eastAsia="黑体" w:cs="黑体"/>
          <w:b w:val="0"/>
          <w:color w:val="auto"/>
          <w:sz w:val="21"/>
          <w:szCs w:val="21"/>
          <w:highlight w:val="none"/>
          <w:lang w:val="en-US" w:eastAsia="zh-CN"/>
        </w:rPr>
        <w:t>1、截止时间</w:t>
      </w:r>
      <w:r>
        <w:rPr>
          <w:rFonts w:hint="eastAsia" w:ascii="黑体" w:hAnsi="黑体" w:eastAsia="黑体" w:cs="黑体"/>
          <w:b w:val="0"/>
          <w:color w:val="auto"/>
          <w:spacing w:val="6"/>
          <w:kern w:val="2"/>
          <w:sz w:val="21"/>
          <w:szCs w:val="21"/>
          <w:highlight w:val="none"/>
          <w:u w:val="none"/>
          <w:lang w:val="en-US" w:eastAsia="zh-CN" w:bidi="ar-SA"/>
        </w:rPr>
        <w:t>：</w:t>
      </w:r>
      <w:r>
        <w:rPr>
          <w:rFonts w:hint="eastAsia" w:ascii="黑体" w:hAnsi="黑体" w:eastAsia="黑体" w:cs="黑体"/>
          <w:color w:val="auto"/>
          <w:sz w:val="21"/>
          <w:szCs w:val="21"/>
          <w:lang w:val="zh-CN" w:eastAsia="zh-CN"/>
        </w:rPr>
        <w:t>2025年05月07日09点30分</w:t>
      </w:r>
      <w:r>
        <w:rPr>
          <w:rFonts w:hint="eastAsia" w:ascii="黑体" w:hAnsi="黑体" w:eastAsia="黑体" w:cs="黑体"/>
          <w:bCs/>
          <w:color w:val="auto"/>
          <w:sz w:val="21"/>
          <w:szCs w:val="21"/>
          <w:highlight w:val="none"/>
          <w:u w:val="none"/>
          <w:lang w:val="en-US" w:eastAsia="zh-CN"/>
        </w:rPr>
        <w:t>（北京时间）；</w:t>
      </w:r>
    </w:p>
    <w:p w14:paraId="165B6EAC">
      <w:pPr>
        <w:keepNext w:val="0"/>
        <w:keepLines w:val="0"/>
        <w:pageBreakBefore w:val="0"/>
        <w:kinsoku/>
        <w:wordWrap/>
        <w:overflowPunct/>
        <w:topLinePunct w:val="0"/>
        <w:bidi w:val="0"/>
        <w:adjustRightInd w:val="0"/>
        <w:snapToGrid w:val="0"/>
        <w:spacing w:line="360" w:lineRule="auto"/>
        <w:ind w:left="0" w:leftChars="0" w:firstLine="420" w:firstLineChars="200"/>
        <w:jc w:val="left"/>
        <w:outlineLvl w:val="9"/>
        <w:rPr>
          <w:rFonts w:hint="eastAsia" w:ascii="黑体" w:hAnsi="黑体" w:eastAsia="黑体" w:cs="黑体"/>
          <w:b w:val="0"/>
          <w:color w:val="auto"/>
          <w:sz w:val="21"/>
          <w:szCs w:val="21"/>
          <w:highlight w:val="none"/>
          <w:lang w:val="en-US" w:eastAsia="zh-CN"/>
        </w:rPr>
      </w:pPr>
      <w:r>
        <w:rPr>
          <w:rFonts w:hint="eastAsia" w:ascii="黑体" w:hAnsi="黑体" w:eastAsia="黑体" w:cs="黑体"/>
          <w:b w:val="0"/>
          <w:color w:val="auto"/>
          <w:sz w:val="21"/>
          <w:szCs w:val="21"/>
          <w:highlight w:val="none"/>
          <w:lang w:val="en-US" w:eastAsia="zh-CN"/>
        </w:rPr>
        <w:t>2、地点：白山市浑江区红旗街578号国投大厦(白山妇幼保健院对面)3楼开标室1</w:t>
      </w:r>
      <w:r>
        <w:rPr>
          <w:rFonts w:hint="eastAsia" w:ascii="黑体" w:hAnsi="黑体" w:eastAsia="黑体" w:cs="黑体"/>
          <w:b w:val="0"/>
          <w:color w:val="auto"/>
          <w:sz w:val="21"/>
          <w:szCs w:val="21"/>
          <w:highlight w:val="none"/>
          <w:lang w:val="en-US" w:eastAsia="zh-CN"/>
        </w:rPr>
        <w:t>。</w:t>
      </w:r>
    </w:p>
    <w:p w14:paraId="2EC1F03B">
      <w:pPr>
        <w:keepNext w:val="0"/>
        <w:keepLines w:val="0"/>
        <w:pageBreakBefore w:val="0"/>
        <w:kinsoku/>
        <w:wordWrap/>
        <w:overflowPunct/>
        <w:topLinePunct w:val="0"/>
        <w:bidi w:val="0"/>
        <w:adjustRightInd w:val="0"/>
        <w:snapToGrid w:val="0"/>
        <w:spacing w:line="360" w:lineRule="auto"/>
        <w:ind w:left="0" w:leftChars="0" w:firstLine="420" w:firstLineChars="200"/>
        <w:jc w:val="left"/>
        <w:outlineLvl w:val="9"/>
        <w:rPr>
          <w:rFonts w:hint="eastAsia" w:ascii="黑体" w:hAnsi="黑体" w:eastAsia="黑体" w:cs="黑体"/>
          <w:b w:val="0"/>
          <w:color w:val="auto"/>
          <w:sz w:val="21"/>
          <w:szCs w:val="21"/>
          <w:highlight w:val="none"/>
          <w:lang w:val="en-US" w:eastAsia="zh-CN"/>
        </w:rPr>
      </w:pPr>
      <w:r>
        <w:rPr>
          <w:rFonts w:hint="eastAsia" w:ascii="黑体" w:hAnsi="黑体" w:eastAsia="黑体" w:cs="黑体"/>
          <w:b w:val="0"/>
          <w:color w:val="auto"/>
          <w:sz w:val="21"/>
          <w:szCs w:val="21"/>
          <w:highlight w:val="none"/>
          <w:lang w:val="en-US" w:eastAsia="zh-CN"/>
        </w:rPr>
        <w:t>3.本项目采用全流程电子化采购，供应商需通过“政采云”平台（https://www.zcygov.cn/）制作并递交电子投标文件，并按规定时间解密成功。所有供应商须在项目开启后24小时内将纸质文件递交至代理机构。</w:t>
      </w:r>
    </w:p>
    <w:p w14:paraId="73942519">
      <w:pPr>
        <w:keepNext w:val="0"/>
        <w:keepLines w:val="0"/>
        <w:pageBreakBefore w:val="0"/>
        <w:kinsoku/>
        <w:wordWrap/>
        <w:overflowPunct/>
        <w:topLinePunct w:val="0"/>
        <w:bidi w:val="0"/>
        <w:adjustRightInd w:val="0"/>
        <w:snapToGrid w:val="0"/>
        <w:spacing w:line="360" w:lineRule="auto"/>
        <w:ind w:left="0" w:leftChars="0" w:firstLine="420" w:firstLineChars="200"/>
        <w:jc w:val="left"/>
        <w:outlineLvl w:val="9"/>
        <w:rPr>
          <w:rFonts w:hint="eastAsia" w:ascii="黑体" w:hAnsi="黑体" w:eastAsia="黑体" w:cs="黑体"/>
          <w:b w:val="0"/>
          <w:color w:val="auto"/>
          <w:sz w:val="21"/>
          <w:szCs w:val="21"/>
          <w:highlight w:val="none"/>
          <w:lang w:val="en-US" w:eastAsia="zh-CN"/>
        </w:rPr>
      </w:pPr>
      <w:r>
        <w:rPr>
          <w:rFonts w:hint="eastAsia" w:ascii="黑体" w:hAnsi="黑体" w:eastAsia="黑体" w:cs="黑体"/>
          <w:b w:val="0"/>
          <w:color w:val="auto"/>
          <w:sz w:val="21"/>
          <w:szCs w:val="21"/>
          <w:highlight w:val="none"/>
          <w:lang w:val="en-US" w:eastAsia="zh-CN"/>
        </w:rPr>
        <w:t>操作流程：供应商在“政采云”平台注册入库成为正式供应商后，在平台按《政府采购项目电子交易管理操作指南-供应商》进行操作。业务操作流程咨询电话：95763，由于供应商自身原因在递交投标文件截止时间前无法完成办理的，后果自负；</w:t>
      </w:r>
    </w:p>
    <w:p w14:paraId="022FFD20">
      <w:pPr>
        <w:keepNext w:val="0"/>
        <w:keepLines w:val="0"/>
        <w:pageBreakBefore w:val="0"/>
        <w:kinsoku/>
        <w:wordWrap/>
        <w:overflowPunct/>
        <w:topLinePunct w:val="0"/>
        <w:bidi w:val="0"/>
        <w:adjustRightInd w:val="0"/>
        <w:snapToGrid w:val="0"/>
        <w:spacing w:line="360" w:lineRule="auto"/>
        <w:ind w:left="0" w:leftChars="0" w:firstLine="420" w:firstLineChars="200"/>
        <w:jc w:val="left"/>
        <w:outlineLvl w:val="9"/>
        <w:rPr>
          <w:rFonts w:hint="eastAsia" w:ascii="黑体" w:hAnsi="黑体" w:eastAsia="黑体" w:cs="黑体"/>
          <w:b w:val="0"/>
          <w:color w:val="auto"/>
          <w:sz w:val="21"/>
          <w:szCs w:val="21"/>
          <w:highlight w:val="none"/>
          <w:lang w:val="en-US" w:eastAsia="zh-CN"/>
        </w:rPr>
      </w:pPr>
      <w:r>
        <w:rPr>
          <w:rFonts w:hint="eastAsia" w:ascii="黑体" w:hAnsi="黑体" w:eastAsia="黑体" w:cs="黑体"/>
          <w:b w:val="0"/>
          <w:color w:val="auto"/>
          <w:sz w:val="21"/>
          <w:szCs w:val="21"/>
          <w:highlight w:val="none"/>
          <w:lang w:val="en-US" w:eastAsia="zh-CN"/>
        </w:rPr>
        <w:t>4.逾期送达的或者未送达指定地点的（未上传符合要求的电子投标文件或未解密成功）投标文件，采购人不予受理；</w:t>
      </w:r>
    </w:p>
    <w:p w14:paraId="134CF683">
      <w:pPr>
        <w:adjustRightInd w:val="0"/>
        <w:snapToGrid w:val="0"/>
        <w:spacing w:line="360" w:lineRule="auto"/>
        <w:outlineLvl w:val="1"/>
        <w:rPr>
          <w:rFonts w:hint="eastAsia" w:ascii="黑体" w:hAnsi="黑体" w:eastAsia="黑体" w:cs="黑体"/>
          <w:b/>
          <w:bCs/>
          <w:color w:val="auto"/>
          <w:kern w:val="0"/>
          <w:sz w:val="21"/>
          <w:szCs w:val="21"/>
        </w:rPr>
      </w:pPr>
      <w:r>
        <w:rPr>
          <w:rFonts w:hint="eastAsia" w:ascii="黑体" w:hAnsi="黑体" w:eastAsia="黑体" w:cs="黑体"/>
          <w:b/>
          <w:bCs/>
          <w:color w:val="auto"/>
          <w:kern w:val="0"/>
          <w:sz w:val="21"/>
          <w:szCs w:val="21"/>
        </w:rPr>
        <w:t>五、开启、磋商时间、地点</w:t>
      </w:r>
      <w:bookmarkEnd w:id="13"/>
    </w:p>
    <w:p w14:paraId="6E35743C">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bookmarkStart w:id="16" w:name="_Toc11800"/>
      <w:r>
        <w:rPr>
          <w:rFonts w:hint="eastAsia" w:ascii="黑体" w:hAnsi="黑体" w:eastAsia="黑体" w:cs="黑体"/>
          <w:color w:val="auto"/>
          <w:sz w:val="21"/>
          <w:szCs w:val="21"/>
          <w:highlight w:val="none"/>
          <w:lang w:val="en-US" w:eastAsia="zh-CN"/>
        </w:rPr>
        <w:t>时间：</w:t>
      </w:r>
      <w:r>
        <w:rPr>
          <w:rFonts w:hint="eastAsia" w:ascii="黑体" w:hAnsi="黑体" w:eastAsia="黑体" w:cs="黑体"/>
          <w:color w:val="auto"/>
          <w:sz w:val="21"/>
          <w:szCs w:val="21"/>
          <w:lang w:val="zh-CN" w:eastAsia="zh-CN"/>
        </w:rPr>
        <w:t>2025年05月07日09点30分</w:t>
      </w:r>
      <w:r>
        <w:rPr>
          <w:rFonts w:hint="eastAsia" w:ascii="黑体" w:hAnsi="黑体" w:eastAsia="黑体" w:cs="黑体"/>
          <w:color w:val="auto"/>
          <w:sz w:val="21"/>
          <w:szCs w:val="21"/>
          <w:highlight w:val="none"/>
          <w:lang w:val="en-US" w:eastAsia="zh-CN"/>
        </w:rPr>
        <w:t>（北京时间）；</w:t>
      </w:r>
    </w:p>
    <w:p w14:paraId="080140FF">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地点：白山市浑江区红旗街578号国投大厦(白山妇幼保健院对面)3楼开标室1</w:t>
      </w:r>
      <w:r>
        <w:rPr>
          <w:rFonts w:hint="eastAsia" w:ascii="黑体" w:hAnsi="黑体" w:eastAsia="黑体" w:cs="黑体"/>
          <w:color w:val="auto"/>
          <w:sz w:val="21"/>
          <w:szCs w:val="21"/>
          <w:highlight w:val="none"/>
          <w:lang w:val="en-US" w:eastAsia="zh-CN"/>
        </w:rPr>
        <w:t>。</w:t>
      </w:r>
    </w:p>
    <w:p w14:paraId="011DE720">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本项目执行电子化招投标，供应商须通过政府采购云平台（网址：http:// www.zcygov.cn）递交电子版投标文件，并按规定时间解密成功。未上传电子文件或解密不成功的无磋商资格。</w:t>
      </w:r>
    </w:p>
    <w:p w14:paraId="65C252E5">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投标操作流程：供应商在政府采购云平台网注册入库成为正式供应商后，在平台上按《政府采购项目电子交易管理操作指南-供应商》进行投标操作。</w:t>
      </w:r>
    </w:p>
    <w:p w14:paraId="60F98232">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数字证书办理及投标技术咨询：供应商须办理数字证书方可参加投标。</w:t>
      </w:r>
    </w:p>
    <w:p w14:paraId="7A4EF7BF">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（数字证书办理时限为1-3个工作日，供应商须自行考虑办理时间，由于供应商自身原因在开标前无法完成办理，后果自负。）</w:t>
      </w:r>
    </w:p>
    <w:p w14:paraId="0E31EC61">
      <w:pPr>
        <w:keepNext w:val="0"/>
        <w:keepLines w:val="0"/>
        <w:pageBreakBefore w:val="0"/>
        <w:kinsoku/>
        <w:wordWrap/>
        <w:overflowPunct/>
        <w:topLinePunct w:val="0"/>
        <w:bidi w:val="0"/>
        <w:adjustRightInd w:val="0"/>
        <w:snapToGrid w:val="0"/>
        <w:spacing w:line="360" w:lineRule="auto"/>
        <w:ind w:left="0" w:leftChars="0" w:firstLine="480" w:firstLineChars="200"/>
        <w:jc w:val="left"/>
        <w:outlineLvl w:val="9"/>
        <w:rPr>
          <w:rFonts w:hint="eastAsia" w:ascii="仿宋" w:hAnsi="仿宋" w:eastAsia="仿宋" w:cs="仿宋"/>
          <w:b w:val="0"/>
          <w:color w:val="auto"/>
          <w:sz w:val="24"/>
          <w:szCs w:val="24"/>
          <w:highlight w:val="none"/>
          <w:lang w:val="en-US" w:eastAsia="zh-CN"/>
        </w:rPr>
      </w:pPr>
    </w:p>
    <w:p w14:paraId="0DCC26A3">
      <w:pPr>
        <w:adjustRightInd w:val="0"/>
        <w:snapToGrid w:val="0"/>
        <w:spacing w:line="360" w:lineRule="auto"/>
        <w:outlineLvl w:val="1"/>
        <w:rPr>
          <w:rFonts w:hint="eastAsia" w:ascii="黑体" w:hAnsi="黑体" w:eastAsia="黑体" w:cs="黑体"/>
          <w:b/>
          <w:bCs/>
          <w:color w:val="auto"/>
          <w:sz w:val="21"/>
          <w:szCs w:val="21"/>
        </w:rPr>
      </w:pPr>
      <w:r>
        <w:rPr>
          <w:rFonts w:hint="eastAsia" w:ascii="黑体" w:hAnsi="黑体" w:eastAsia="黑体" w:cs="黑体"/>
          <w:b/>
          <w:bCs/>
          <w:color w:val="auto"/>
          <w:sz w:val="21"/>
          <w:szCs w:val="21"/>
        </w:rPr>
        <w:t>六、公告期限</w:t>
      </w:r>
      <w:bookmarkEnd w:id="16"/>
    </w:p>
    <w:p w14:paraId="59D7C5F8">
      <w:pPr>
        <w:spacing w:line="360" w:lineRule="auto"/>
        <w:ind w:firstLine="420" w:firstLineChars="200"/>
        <w:rPr>
          <w:rFonts w:hint="eastAsia" w:ascii="黑体" w:hAnsi="黑体" w:eastAsia="黑体" w:cs="黑体"/>
          <w:color w:val="auto"/>
          <w:sz w:val="21"/>
          <w:szCs w:val="21"/>
        </w:rPr>
      </w:pPr>
      <w:r>
        <w:rPr>
          <w:rFonts w:hint="eastAsia" w:ascii="黑体" w:hAnsi="黑体" w:eastAsia="黑体" w:cs="黑体"/>
          <w:color w:val="auto"/>
          <w:kern w:val="0"/>
          <w:sz w:val="21"/>
          <w:szCs w:val="21"/>
        </w:rPr>
        <w:t>自本公告发布之日起</w:t>
      </w:r>
      <w:r>
        <w:rPr>
          <w:rFonts w:hint="eastAsia" w:ascii="黑体" w:hAnsi="黑体" w:eastAsia="黑体" w:cs="黑体"/>
          <w:color w:val="auto"/>
          <w:kern w:val="0"/>
          <w:sz w:val="21"/>
          <w:szCs w:val="21"/>
          <w:lang w:val="en-US" w:eastAsia="zh-CN"/>
        </w:rPr>
        <w:t>3</w:t>
      </w:r>
      <w:r>
        <w:rPr>
          <w:rFonts w:hint="eastAsia" w:ascii="黑体" w:hAnsi="黑体" w:eastAsia="黑体" w:cs="黑体"/>
          <w:color w:val="auto"/>
          <w:kern w:val="0"/>
          <w:sz w:val="21"/>
          <w:szCs w:val="21"/>
        </w:rPr>
        <w:t>个工作日。</w:t>
      </w:r>
    </w:p>
    <w:p w14:paraId="1E5D7557">
      <w:pPr>
        <w:adjustRightInd w:val="0"/>
        <w:snapToGrid w:val="0"/>
        <w:spacing w:line="360" w:lineRule="auto"/>
        <w:outlineLvl w:val="1"/>
        <w:rPr>
          <w:rFonts w:hint="eastAsia" w:ascii="黑体" w:hAnsi="黑体" w:eastAsia="黑体" w:cs="黑体"/>
          <w:b/>
          <w:bCs/>
          <w:color w:val="auto"/>
          <w:kern w:val="0"/>
          <w:sz w:val="21"/>
          <w:szCs w:val="21"/>
        </w:rPr>
      </w:pPr>
      <w:bookmarkStart w:id="17" w:name="_Toc11061"/>
      <w:r>
        <w:rPr>
          <w:rFonts w:hint="eastAsia" w:ascii="黑体" w:hAnsi="黑体" w:eastAsia="黑体" w:cs="黑体"/>
          <w:b/>
          <w:bCs/>
          <w:color w:val="auto"/>
          <w:kern w:val="0"/>
          <w:sz w:val="21"/>
          <w:szCs w:val="21"/>
        </w:rPr>
        <w:t>七、</w:t>
      </w:r>
      <w:bookmarkEnd w:id="14"/>
      <w:bookmarkEnd w:id="15"/>
      <w:r>
        <w:rPr>
          <w:rFonts w:hint="eastAsia" w:ascii="黑体" w:hAnsi="黑体" w:eastAsia="黑体" w:cs="黑体"/>
          <w:b/>
          <w:bCs/>
          <w:color w:val="auto"/>
          <w:kern w:val="0"/>
          <w:sz w:val="21"/>
          <w:szCs w:val="21"/>
        </w:rPr>
        <w:t>发布公告的媒介</w:t>
      </w:r>
      <w:bookmarkEnd w:id="17"/>
    </w:p>
    <w:p w14:paraId="12D2D6EA">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default"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1.本次竞争性磋商公告同时在政采云平台发布同步推送到吉林省政府采购网。</w:t>
      </w:r>
    </w:p>
    <w:p w14:paraId="65BA7EEA">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zh-CN" w:eastAsia="zh-CN"/>
        </w:rPr>
      </w:pPr>
      <w:r>
        <w:rPr>
          <w:rFonts w:hint="eastAsia" w:ascii="黑体" w:hAnsi="黑体" w:eastAsia="黑体" w:cs="黑体"/>
          <w:color w:val="auto"/>
          <w:sz w:val="21"/>
          <w:szCs w:val="21"/>
          <w:highlight w:val="none"/>
          <w:lang w:val="zh-CN" w:eastAsia="zh-CN"/>
        </w:rPr>
        <w:t>2.若对项目采购电子交易系统操作有疑问，可登录“政采云”平台（https://www.zcygov.cn/），点击右侧咨询小采，获取采小蜜智能服务管家帮助，或拨打政采云服务热线95763获取热线服务帮助。</w:t>
      </w:r>
    </w:p>
    <w:p w14:paraId="6BC1F9EA">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zh-CN" w:eastAsia="zh-CN"/>
        </w:rPr>
      </w:pPr>
      <w:r>
        <w:rPr>
          <w:rFonts w:hint="eastAsia" w:ascii="黑体" w:hAnsi="黑体" w:eastAsia="黑体" w:cs="黑体"/>
          <w:color w:val="auto"/>
          <w:sz w:val="21"/>
          <w:szCs w:val="21"/>
          <w:highlight w:val="none"/>
          <w:lang w:val="en-US" w:eastAsia="zh-CN"/>
        </w:rPr>
        <w:t>3、若本项目竞争性磋商文件、工程量清单（如有）、图纸（如有）等有变更，请以本项目变更公告中的内容为准。</w:t>
      </w:r>
    </w:p>
    <w:p w14:paraId="58014904">
      <w:pPr>
        <w:keepNext w:val="0"/>
        <w:keepLines w:val="0"/>
        <w:pageBreakBefore w:val="0"/>
        <w:shd w:val="clear" w:color="auto" w:fill="FFFFFF"/>
        <w:kinsoku/>
        <w:wordWrap/>
        <w:overflowPunct/>
        <w:topLinePunct w:val="0"/>
        <w:bidi w:val="0"/>
        <w:adjustRightInd w:val="0"/>
        <w:snapToGrid w:val="0"/>
        <w:spacing w:line="360" w:lineRule="auto"/>
        <w:ind w:left="0" w:leftChars="0" w:firstLine="420" w:firstLineChars="200"/>
        <w:rPr>
          <w:rFonts w:hint="eastAsia" w:ascii="黑体" w:hAnsi="黑体" w:eastAsia="黑体" w:cs="黑体"/>
          <w:color w:val="auto"/>
          <w:sz w:val="21"/>
          <w:szCs w:val="21"/>
          <w:highlight w:val="none"/>
          <w:lang w:val="en-US" w:eastAsia="zh-CN"/>
        </w:rPr>
      </w:pPr>
      <w:r>
        <w:rPr>
          <w:rFonts w:hint="eastAsia" w:ascii="黑体" w:hAnsi="黑体" w:eastAsia="黑体" w:cs="黑体"/>
          <w:color w:val="auto"/>
          <w:sz w:val="21"/>
          <w:szCs w:val="21"/>
          <w:highlight w:val="none"/>
          <w:lang w:val="en-US" w:eastAsia="zh-CN"/>
        </w:rPr>
        <w:t>4、供应商请注意：请潜在供应商在参加本项目活动期间关注网站信息，所有有投标意愿的供应商有义务在网上自行查询，无需书面回复。竞争性磋商文件的澄清、修改、变更、延期等文件一经发布即视为已告知了所有已报名的供应商，因供应商自身原因没有及时查看、下载文件导致的一切后果由供应商自行负责。</w:t>
      </w:r>
    </w:p>
    <w:p w14:paraId="264D7B30">
      <w:pPr>
        <w:adjustRightInd w:val="0"/>
        <w:snapToGrid w:val="0"/>
        <w:spacing w:line="360" w:lineRule="auto"/>
        <w:ind w:right="28"/>
        <w:outlineLvl w:val="1"/>
        <w:rPr>
          <w:rFonts w:hint="eastAsia" w:ascii="黑体" w:hAnsi="黑体" w:eastAsia="黑体" w:cs="黑体"/>
          <w:color w:val="auto"/>
          <w:sz w:val="21"/>
          <w:szCs w:val="21"/>
        </w:rPr>
      </w:pPr>
      <w:bookmarkStart w:id="18" w:name="_Toc13078"/>
      <w:r>
        <w:rPr>
          <w:rFonts w:hint="eastAsia" w:ascii="黑体" w:hAnsi="黑体" w:eastAsia="黑体" w:cs="黑体"/>
          <w:b/>
          <w:bCs/>
          <w:color w:val="auto"/>
          <w:kern w:val="0"/>
          <w:sz w:val="21"/>
          <w:szCs w:val="21"/>
        </w:rPr>
        <w:t>八、对本次招标提出询问，请按以下方式联系</w:t>
      </w:r>
      <w:bookmarkEnd w:id="18"/>
    </w:p>
    <w:p w14:paraId="32FC7C23">
      <w:pPr>
        <w:spacing w:line="360" w:lineRule="auto"/>
        <w:ind w:firstLine="420" w:firstLineChars="200"/>
        <w:jc w:val="both"/>
        <w:outlineLvl w:val="9"/>
        <w:rPr>
          <w:rFonts w:hint="eastAsia" w:ascii="黑体" w:hAnsi="黑体" w:eastAsia="黑体" w:cs="黑体"/>
          <w:b w:val="0"/>
          <w:bCs/>
          <w:color w:val="000000"/>
          <w:sz w:val="21"/>
          <w:szCs w:val="21"/>
          <w:lang w:val="zh-CN"/>
        </w:rPr>
      </w:pPr>
      <w:bookmarkStart w:id="19" w:name="_Toc12153"/>
      <w:r>
        <w:rPr>
          <w:rFonts w:hint="eastAsia" w:ascii="黑体" w:hAnsi="黑体" w:eastAsia="黑体" w:cs="黑体"/>
          <w:b w:val="0"/>
          <w:bCs/>
          <w:color w:val="000000"/>
          <w:sz w:val="21"/>
          <w:szCs w:val="21"/>
        </w:rPr>
        <w:t>1.</w:t>
      </w:r>
      <w:r>
        <w:rPr>
          <w:rFonts w:hint="eastAsia" w:ascii="黑体" w:hAnsi="黑体" w:eastAsia="黑体" w:cs="黑体"/>
          <w:b w:val="0"/>
          <w:bCs/>
          <w:color w:val="000000"/>
          <w:sz w:val="21"/>
          <w:szCs w:val="21"/>
          <w:lang w:val="zh-CN"/>
        </w:rPr>
        <w:t>采购人名称：靖宇县农业农村局</w:t>
      </w:r>
      <w:bookmarkEnd w:id="19"/>
    </w:p>
    <w:p w14:paraId="09546BE8">
      <w:pPr>
        <w:spacing w:line="360" w:lineRule="auto"/>
        <w:ind w:firstLine="420" w:firstLineChars="200"/>
        <w:jc w:val="both"/>
        <w:outlineLvl w:val="9"/>
        <w:rPr>
          <w:rFonts w:hint="eastAsia" w:ascii="黑体" w:hAnsi="黑体" w:eastAsia="黑体" w:cs="黑体"/>
          <w:b w:val="0"/>
          <w:bCs/>
          <w:color w:val="000000"/>
          <w:sz w:val="21"/>
          <w:szCs w:val="21"/>
          <w:lang w:val="zh-CN" w:eastAsia="zh-CN"/>
        </w:rPr>
      </w:pPr>
      <w:r>
        <w:rPr>
          <w:rFonts w:hint="eastAsia" w:ascii="黑体" w:hAnsi="黑体" w:eastAsia="黑体" w:cs="黑体"/>
          <w:b w:val="0"/>
          <w:bCs/>
          <w:color w:val="000000"/>
          <w:sz w:val="21"/>
          <w:szCs w:val="21"/>
          <w:lang w:val="zh-CN"/>
        </w:rPr>
        <w:t>采购人地址：</w:t>
      </w:r>
      <w:r>
        <w:rPr>
          <w:rFonts w:hint="eastAsia" w:ascii="黑体" w:hAnsi="黑体" w:eastAsia="黑体" w:cs="黑体"/>
          <w:b w:val="0"/>
          <w:bCs/>
          <w:color w:val="000000"/>
          <w:sz w:val="21"/>
          <w:szCs w:val="21"/>
          <w:lang w:eastAsia="zh-CN"/>
        </w:rPr>
        <w:t>吉林省靖宇县靖宇镇靖宇大街府西胡同2号</w:t>
      </w:r>
    </w:p>
    <w:p w14:paraId="5CAC3F56">
      <w:pPr>
        <w:spacing w:line="360" w:lineRule="auto"/>
        <w:ind w:firstLine="420" w:firstLineChars="200"/>
        <w:jc w:val="both"/>
        <w:outlineLvl w:val="9"/>
        <w:rPr>
          <w:rFonts w:hint="default" w:ascii="黑体" w:hAnsi="黑体" w:eastAsia="黑体" w:cs="黑体"/>
          <w:b w:val="0"/>
          <w:bCs/>
          <w:color w:val="auto"/>
          <w:sz w:val="21"/>
          <w:szCs w:val="21"/>
          <w:highlight w:val="none"/>
          <w:lang w:val="en-US" w:eastAsia="zh-CN"/>
        </w:rPr>
      </w:pPr>
      <w:r>
        <w:rPr>
          <w:rFonts w:hint="eastAsia" w:ascii="黑体" w:hAnsi="黑体" w:eastAsia="黑体" w:cs="黑体"/>
          <w:b w:val="0"/>
          <w:bCs/>
          <w:color w:val="auto"/>
          <w:sz w:val="21"/>
          <w:szCs w:val="21"/>
          <w:highlight w:val="none"/>
          <w:lang w:val="zh-CN"/>
        </w:rPr>
        <w:t>联系人：</w:t>
      </w:r>
      <w:r>
        <w:rPr>
          <w:rFonts w:hint="eastAsia" w:ascii="黑体" w:hAnsi="黑体" w:eastAsia="黑体" w:cs="黑体"/>
          <w:b w:val="0"/>
          <w:bCs/>
          <w:color w:val="auto"/>
          <w:sz w:val="21"/>
          <w:szCs w:val="21"/>
          <w:highlight w:val="none"/>
          <w:lang w:val="en-US" w:eastAsia="zh-CN"/>
        </w:rPr>
        <w:t>夏培琦</w:t>
      </w:r>
    </w:p>
    <w:p w14:paraId="3FF9D8AE">
      <w:pPr>
        <w:spacing w:line="360" w:lineRule="auto"/>
        <w:ind w:firstLine="420" w:firstLineChars="200"/>
        <w:jc w:val="both"/>
        <w:outlineLvl w:val="9"/>
        <w:rPr>
          <w:rFonts w:hint="eastAsia" w:ascii="黑体" w:hAnsi="黑体" w:eastAsia="黑体" w:cs="黑体"/>
          <w:b w:val="0"/>
          <w:bCs/>
          <w:color w:val="auto"/>
          <w:sz w:val="21"/>
          <w:szCs w:val="21"/>
          <w:highlight w:val="yellow"/>
          <w:lang w:eastAsia="zh-CN"/>
        </w:rPr>
      </w:pPr>
      <w:r>
        <w:rPr>
          <w:rFonts w:hint="eastAsia" w:ascii="黑体" w:hAnsi="黑体" w:eastAsia="黑体" w:cs="黑体"/>
          <w:b w:val="0"/>
          <w:bCs/>
          <w:color w:val="auto"/>
          <w:sz w:val="21"/>
          <w:szCs w:val="21"/>
          <w:highlight w:val="none"/>
          <w:lang w:val="zh-CN"/>
        </w:rPr>
        <w:t>电话：(0439)7268781</w:t>
      </w:r>
    </w:p>
    <w:p w14:paraId="237A2CF6">
      <w:pPr>
        <w:spacing w:line="360" w:lineRule="auto"/>
        <w:ind w:firstLine="420" w:firstLineChars="200"/>
        <w:jc w:val="both"/>
        <w:outlineLvl w:val="9"/>
        <w:rPr>
          <w:rFonts w:hint="eastAsia" w:ascii="黑体" w:hAnsi="黑体" w:eastAsia="黑体" w:cs="黑体"/>
          <w:b w:val="0"/>
          <w:bCs/>
          <w:color w:val="000000"/>
          <w:sz w:val="21"/>
          <w:szCs w:val="21"/>
        </w:rPr>
      </w:pPr>
    </w:p>
    <w:p w14:paraId="1F740FA9">
      <w:pPr>
        <w:spacing w:line="360" w:lineRule="auto"/>
        <w:ind w:firstLine="420" w:firstLineChars="200"/>
        <w:jc w:val="both"/>
        <w:outlineLvl w:val="9"/>
        <w:rPr>
          <w:rFonts w:hint="eastAsia" w:ascii="黑体" w:hAnsi="黑体" w:eastAsia="黑体" w:cs="黑体"/>
          <w:b w:val="0"/>
          <w:bCs/>
          <w:color w:val="000000"/>
          <w:sz w:val="21"/>
          <w:szCs w:val="21"/>
        </w:rPr>
      </w:pPr>
      <w:bookmarkStart w:id="20" w:name="_Toc2350"/>
      <w:r>
        <w:rPr>
          <w:rFonts w:hint="eastAsia" w:ascii="黑体" w:hAnsi="黑体" w:eastAsia="黑体" w:cs="黑体"/>
          <w:b w:val="0"/>
          <w:bCs/>
          <w:color w:val="000000"/>
          <w:sz w:val="21"/>
          <w:szCs w:val="21"/>
        </w:rPr>
        <w:t>2.采购代理机构信息</w:t>
      </w:r>
      <w:bookmarkEnd w:id="20"/>
    </w:p>
    <w:p w14:paraId="10C65C62">
      <w:pPr>
        <w:spacing w:line="360" w:lineRule="auto"/>
        <w:ind w:firstLine="420" w:firstLineChars="200"/>
        <w:jc w:val="both"/>
        <w:outlineLvl w:val="9"/>
        <w:rPr>
          <w:rFonts w:hint="eastAsia" w:ascii="黑体" w:hAnsi="黑体" w:eastAsia="黑体" w:cs="黑体"/>
          <w:b w:val="0"/>
          <w:bCs/>
          <w:color w:val="000000"/>
          <w:sz w:val="21"/>
          <w:szCs w:val="21"/>
          <w:lang w:eastAsia="zh-CN"/>
        </w:rPr>
      </w:pPr>
      <w:r>
        <w:rPr>
          <w:rFonts w:hint="eastAsia" w:ascii="黑体" w:hAnsi="黑体" w:eastAsia="黑体" w:cs="黑体"/>
          <w:b w:val="0"/>
          <w:bCs/>
          <w:color w:val="000000"/>
          <w:sz w:val="21"/>
          <w:szCs w:val="21"/>
        </w:rPr>
        <w:t>招标代理机构：</w:t>
      </w:r>
      <w:r>
        <w:rPr>
          <w:rFonts w:hint="eastAsia" w:ascii="黑体" w:hAnsi="黑体" w:eastAsia="黑体" w:cs="黑体"/>
          <w:b w:val="0"/>
          <w:bCs/>
          <w:color w:val="000000"/>
          <w:sz w:val="21"/>
          <w:szCs w:val="21"/>
          <w:lang w:eastAsia="zh-CN"/>
        </w:rPr>
        <w:t>长春众釜工程项目管理有限公司</w:t>
      </w:r>
    </w:p>
    <w:p w14:paraId="5BC10365">
      <w:pPr>
        <w:spacing w:line="360" w:lineRule="auto"/>
        <w:ind w:firstLine="420" w:firstLineChars="200"/>
        <w:jc w:val="both"/>
        <w:outlineLvl w:val="9"/>
        <w:rPr>
          <w:rFonts w:hint="eastAsia" w:ascii="黑体" w:hAnsi="黑体" w:eastAsia="黑体" w:cs="黑体"/>
          <w:b w:val="0"/>
          <w:bCs/>
          <w:color w:val="000000"/>
          <w:sz w:val="21"/>
          <w:szCs w:val="21"/>
          <w:lang w:val="en-US" w:eastAsia="zh-CN"/>
        </w:rPr>
      </w:pPr>
      <w:r>
        <w:rPr>
          <w:rFonts w:hint="eastAsia" w:ascii="黑体" w:hAnsi="黑体" w:eastAsia="黑体" w:cs="黑体"/>
          <w:b w:val="0"/>
          <w:bCs/>
          <w:color w:val="000000"/>
          <w:sz w:val="21"/>
          <w:szCs w:val="21"/>
          <w:lang w:val="en-US" w:eastAsia="zh-CN"/>
        </w:rPr>
        <w:t>地址：长春市二道经济开发区新材料产业园区7号厂房</w:t>
      </w:r>
    </w:p>
    <w:p w14:paraId="6C9034C6">
      <w:pPr>
        <w:spacing w:line="360" w:lineRule="auto"/>
        <w:ind w:firstLine="420" w:firstLineChars="200"/>
        <w:jc w:val="both"/>
        <w:outlineLvl w:val="9"/>
        <w:rPr>
          <w:rFonts w:hint="eastAsia" w:ascii="黑体" w:hAnsi="黑体" w:eastAsia="黑体" w:cs="黑体"/>
          <w:b w:val="0"/>
          <w:bCs/>
          <w:color w:val="000000"/>
          <w:sz w:val="21"/>
          <w:szCs w:val="21"/>
          <w:lang w:eastAsia="zh-CN"/>
        </w:rPr>
      </w:pPr>
      <w:r>
        <w:rPr>
          <w:rFonts w:hint="eastAsia" w:ascii="黑体" w:hAnsi="黑体" w:eastAsia="黑体" w:cs="黑体"/>
          <w:b w:val="0"/>
          <w:bCs/>
          <w:color w:val="000000"/>
          <w:sz w:val="21"/>
          <w:szCs w:val="21"/>
        </w:rPr>
        <w:t>联系人：</w:t>
      </w:r>
      <w:r>
        <w:rPr>
          <w:rFonts w:hint="eastAsia" w:ascii="黑体" w:hAnsi="黑体" w:eastAsia="黑体" w:cs="黑体"/>
          <w:b w:val="0"/>
          <w:bCs/>
          <w:color w:val="000000"/>
          <w:sz w:val="21"/>
          <w:szCs w:val="21"/>
          <w:lang w:eastAsia="zh-CN"/>
        </w:rPr>
        <w:t>闫洪文</w:t>
      </w:r>
    </w:p>
    <w:p w14:paraId="77FCC7A0">
      <w:pPr>
        <w:spacing w:line="360" w:lineRule="auto"/>
        <w:ind w:firstLine="420" w:firstLineChars="200"/>
        <w:jc w:val="both"/>
        <w:outlineLvl w:val="9"/>
        <w:rPr>
          <w:rFonts w:hint="eastAsia" w:ascii="黑体" w:hAnsi="黑体" w:eastAsia="黑体" w:cs="黑体"/>
          <w:b w:val="0"/>
          <w:bCs/>
          <w:color w:val="000000"/>
          <w:sz w:val="21"/>
          <w:szCs w:val="21"/>
          <w:lang w:eastAsia="zh-CN"/>
        </w:rPr>
      </w:pPr>
      <w:r>
        <w:rPr>
          <w:rFonts w:hint="eastAsia" w:ascii="黑体" w:hAnsi="黑体" w:eastAsia="黑体" w:cs="黑体"/>
          <w:b w:val="0"/>
          <w:bCs/>
          <w:color w:val="000000"/>
          <w:sz w:val="21"/>
          <w:szCs w:val="21"/>
        </w:rPr>
        <w:t>电话：</w:t>
      </w:r>
      <w:r>
        <w:rPr>
          <w:rFonts w:hint="eastAsia" w:ascii="黑体" w:hAnsi="黑体" w:eastAsia="黑体" w:cs="黑体"/>
          <w:b w:val="0"/>
          <w:bCs/>
          <w:color w:val="000000"/>
          <w:sz w:val="21"/>
          <w:szCs w:val="21"/>
          <w:lang w:eastAsia="zh-CN"/>
        </w:rPr>
        <w:t>18186899927（</w:t>
      </w:r>
      <w:r>
        <w:rPr>
          <w:rFonts w:hint="eastAsia" w:ascii="黑体" w:hAnsi="黑体" w:eastAsia="黑体" w:cs="黑体"/>
          <w:b w:val="0"/>
          <w:bCs/>
          <w:color w:val="000000"/>
          <w:sz w:val="21"/>
          <w:szCs w:val="21"/>
          <w:lang w:val="en-US" w:eastAsia="zh-CN"/>
        </w:rPr>
        <w:t>办公电话</w:t>
      </w:r>
      <w:r>
        <w:rPr>
          <w:rFonts w:hint="eastAsia" w:ascii="黑体" w:hAnsi="黑体" w:eastAsia="黑体" w:cs="黑体"/>
          <w:b w:val="0"/>
          <w:bCs/>
          <w:color w:val="000000"/>
          <w:sz w:val="21"/>
          <w:szCs w:val="21"/>
          <w:lang w:eastAsia="zh-CN"/>
        </w:rPr>
        <w:t>）</w:t>
      </w:r>
    </w:p>
    <w:p w14:paraId="63647789">
      <w:pPr>
        <w:spacing w:line="360" w:lineRule="auto"/>
        <w:ind w:firstLine="420" w:firstLineChars="200"/>
        <w:jc w:val="both"/>
        <w:outlineLvl w:val="9"/>
        <w:rPr>
          <w:rFonts w:hint="eastAsia" w:ascii="黑体" w:hAnsi="黑体" w:eastAsia="黑体" w:cs="黑体"/>
          <w:b w:val="0"/>
          <w:bCs/>
          <w:color w:val="000000"/>
          <w:sz w:val="21"/>
          <w:szCs w:val="21"/>
        </w:rPr>
      </w:pPr>
    </w:p>
    <w:p w14:paraId="57D8B1FF">
      <w:pPr>
        <w:keepNext w:val="0"/>
        <w:keepLines w:val="0"/>
        <w:pageBreakBefore w:val="0"/>
        <w:kinsoku/>
        <w:overflowPunct/>
        <w:autoSpaceDE w:val="0"/>
        <w:autoSpaceDN w:val="0"/>
        <w:bidi w:val="0"/>
        <w:spacing w:before="71" w:line="224" w:lineRule="auto"/>
        <w:ind w:firstLine="420" w:firstLineChars="200"/>
        <w:jc w:val="left"/>
        <w:outlineLvl w:val="9"/>
        <w:rPr>
          <w:rFonts w:hint="eastAsia" w:ascii="黑体" w:hAnsi="黑体" w:eastAsia="黑体" w:cs="黑体"/>
          <w:b w:val="0"/>
          <w:bCs/>
          <w:color w:val="000000"/>
          <w:sz w:val="21"/>
          <w:szCs w:val="21"/>
          <w:lang w:eastAsia="zh-CN"/>
        </w:rPr>
      </w:pPr>
      <w:bookmarkStart w:id="21" w:name="_Toc11942"/>
      <w:r>
        <w:rPr>
          <w:rFonts w:hint="eastAsia" w:ascii="黑体" w:hAnsi="黑体" w:eastAsia="黑体" w:cs="黑体"/>
          <w:b w:val="0"/>
          <w:bCs/>
          <w:color w:val="000000"/>
          <w:sz w:val="21"/>
          <w:szCs w:val="21"/>
        </w:rPr>
        <w:t>3、监督部门：</w:t>
      </w:r>
      <w:r>
        <w:rPr>
          <w:rFonts w:hint="eastAsia" w:ascii="黑体" w:hAnsi="黑体" w:eastAsia="黑体" w:cs="黑体"/>
          <w:b w:val="0"/>
          <w:bCs/>
          <w:color w:val="000000"/>
          <w:sz w:val="21"/>
          <w:szCs w:val="21"/>
          <w:lang w:eastAsia="zh-CN"/>
        </w:rPr>
        <w:t>靖宇县政府采购管理办公室</w:t>
      </w:r>
      <w:bookmarkEnd w:id="21"/>
    </w:p>
    <w:p w14:paraId="31D8F9D4">
      <w:pPr>
        <w:outlineLvl w:val="9"/>
        <w:rPr>
          <w:rFonts w:hint="eastAsia" w:ascii="黑体" w:hAnsi="黑体" w:eastAsia="黑体" w:cs="黑体"/>
          <w:b w:val="0"/>
          <w:bCs/>
          <w:color w:val="000000"/>
          <w:sz w:val="21"/>
          <w:szCs w:val="21"/>
          <w:lang w:eastAsia="zh-CN"/>
        </w:rPr>
      </w:pPr>
      <w:r>
        <w:rPr>
          <w:rFonts w:hint="eastAsia" w:ascii="黑体" w:hAnsi="黑体" w:eastAsia="黑体" w:cs="黑体"/>
          <w:b w:val="0"/>
          <w:bCs/>
          <w:color w:val="000000"/>
          <w:sz w:val="21"/>
          <w:szCs w:val="21"/>
          <w:lang w:eastAsia="zh-CN"/>
        </w:rPr>
        <w:br w:type="page"/>
      </w:r>
    </w:p>
    <w:p w14:paraId="10D16A12">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z w:val="31"/>
          <w:szCs w:val="31"/>
          <w:highlight w:val="none"/>
        </w:rPr>
      </w:pPr>
      <w:bookmarkStart w:id="22" w:name="_Toc2284"/>
      <w:r>
        <w:rPr>
          <w:rFonts w:hint="eastAsia" w:ascii="黑体" w:hAnsi="黑体" w:eastAsia="黑体" w:cs="黑体"/>
          <w:color w:val="auto"/>
          <w:spacing w:val="11"/>
          <w:sz w:val="31"/>
          <w:szCs w:val="31"/>
          <w:highlight w:val="none"/>
          <w14:textOutline w14:w="5793" w14:cap="sq" w14:cmpd="sng">
            <w14:solidFill>
              <w14:srgbClr w14:val="000000"/>
            </w14:solidFill>
            <w14:prstDash w14:val="solid"/>
            <w14:bevel/>
          </w14:textOutline>
        </w:rPr>
        <w:t>第</w:t>
      </w:r>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二章磋商须知</w:t>
      </w:r>
      <w:bookmarkEnd w:id="22"/>
    </w:p>
    <w:p w14:paraId="51E25790">
      <w:pPr>
        <w:keepNext w:val="0"/>
        <w:keepLines w:val="0"/>
        <w:pageBreakBefore w:val="0"/>
        <w:kinsoku/>
        <w:overflowPunct/>
        <w:autoSpaceDE w:val="0"/>
        <w:autoSpaceDN w:val="0"/>
        <w:bidi w:val="0"/>
        <w:spacing w:before="303" w:line="224" w:lineRule="auto"/>
        <w:ind w:left="124"/>
        <w:jc w:val="center"/>
        <w:outlineLvl w:val="1"/>
        <w:rPr>
          <w:rFonts w:hint="eastAsia" w:ascii="黑体" w:hAnsi="黑体" w:eastAsia="黑体" w:cs="黑体"/>
          <w:color w:val="auto"/>
          <w:sz w:val="31"/>
          <w:szCs w:val="31"/>
          <w:highlight w:val="none"/>
        </w:rPr>
      </w:pPr>
      <w:bookmarkStart w:id="23" w:name="_Toc12990"/>
      <w:r>
        <w:rPr>
          <w:rFonts w:hint="eastAsia" w:ascii="黑体" w:hAnsi="黑体" w:eastAsia="黑体" w:cs="黑体"/>
          <w:color w:val="auto"/>
          <w:spacing w:val="11"/>
          <w:sz w:val="31"/>
          <w:szCs w:val="31"/>
          <w:highlight w:val="none"/>
          <w14:textOutline w14:w="5793" w14:cap="sq" w14:cmpd="sng">
            <w14:solidFill>
              <w14:srgbClr w14:val="000000"/>
            </w14:solidFill>
            <w14:prstDash w14:val="solid"/>
            <w14:bevel/>
          </w14:textOutline>
        </w:rPr>
        <w:t>磋</w:t>
      </w:r>
      <w:r>
        <w:rPr>
          <w:rFonts w:hint="eastAsia" w:ascii="黑体" w:hAnsi="黑体" w:eastAsia="黑体" w:cs="黑体"/>
          <w:color w:val="auto"/>
          <w:spacing w:val="9"/>
          <w:sz w:val="31"/>
          <w:szCs w:val="31"/>
          <w:highlight w:val="none"/>
          <w14:textOutline w14:w="5793" w14:cap="sq" w14:cmpd="sng">
            <w14:solidFill>
              <w14:srgbClr w14:val="000000"/>
            </w14:solidFill>
            <w14:prstDash w14:val="solid"/>
            <w14:bevel/>
          </w14:textOutline>
        </w:rPr>
        <w:t>商须知前附表</w:t>
      </w:r>
      <w:bookmarkEnd w:id="23"/>
    </w:p>
    <w:p w14:paraId="3421977C">
      <w:pPr>
        <w:keepNext w:val="0"/>
        <w:keepLines w:val="0"/>
        <w:pageBreakBefore w:val="0"/>
        <w:kinsoku/>
        <w:overflowPunct/>
        <w:autoSpaceDE w:val="0"/>
        <w:autoSpaceDN w:val="0"/>
        <w:bidi w:val="0"/>
        <w:spacing w:line="21" w:lineRule="exact"/>
        <w:rPr>
          <w:rFonts w:hint="eastAsia" w:ascii="黑体" w:hAnsi="黑体" w:eastAsia="黑体" w:cs="黑体"/>
          <w:color w:val="auto"/>
          <w:highlight w:val="none"/>
        </w:rPr>
      </w:pPr>
    </w:p>
    <w:tbl>
      <w:tblPr>
        <w:tblStyle w:val="22"/>
        <w:tblW w:w="918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5"/>
        <w:gridCol w:w="1899"/>
        <w:gridCol w:w="6180"/>
      </w:tblGrid>
      <w:tr w14:paraId="18C990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105" w:type="dxa"/>
            <w:vAlign w:val="top"/>
          </w:tcPr>
          <w:p w14:paraId="20BBA38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条款号</w:t>
            </w:r>
          </w:p>
        </w:tc>
        <w:tc>
          <w:tcPr>
            <w:tcW w:w="1899" w:type="dxa"/>
            <w:vAlign w:val="top"/>
          </w:tcPr>
          <w:p w14:paraId="64BADA03">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条款名称</w:t>
            </w:r>
          </w:p>
        </w:tc>
        <w:tc>
          <w:tcPr>
            <w:tcW w:w="6180" w:type="dxa"/>
            <w:vAlign w:val="top"/>
          </w:tcPr>
          <w:p w14:paraId="3C42AC65">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编列内容</w:t>
            </w:r>
          </w:p>
        </w:tc>
      </w:tr>
      <w:tr w14:paraId="639D59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9" w:hRule="atLeast"/>
          <w:jc w:val="center"/>
        </w:trPr>
        <w:tc>
          <w:tcPr>
            <w:tcW w:w="1105" w:type="dxa"/>
            <w:vAlign w:val="center"/>
          </w:tcPr>
          <w:p w14:paraId="7876A9B1">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2.1</w:t>
            </w:r>
          </w:p>
        </w:tc>
        <w:tc>
          <w:tcPr>
            <w:tcW w:w="1899" w:type="dxa"/>
            <w:vAlign w:val="center"/>
          </w:tcPr>
          <w:p w14:paraId="194C2FF9">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采购人</w:t>
            </w:r>
          </w:p>
        </w:tc>
        <w:tc>
          <w:tcPr>
            <w:tcW w:w="6180" w:type="dxa"/>
            <w:vAlign w:val="center"/>
          </w:tcPr>
          <w:p w14:paraId="78D585B5">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采购人名称：靖宇县农业农村局</w:t>
            </w:r>
          </w:p>
          <w:p w14:paraId="3EB1E0DF">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采购人地址：吉林省靖宇县靖宇镇靖宇大街府西胡同2号</w:t>
            </w:r>
          </w:p>
          <w:p w14:paraId="555DFE89">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联系人：</w:t>
            </w:r>
            <w:r>
              <w:rPr>
                <w:rFonts w:hint="eastAsia" w:ascii="黑体" w:hAnsi="黑体" w:eastAsia="黑体" w:cs="黑体"/>
                <w:color w:val="auto"/>
                <w:sz w:val="24"/>
                <w:szCs w:val="24"/>
                <w:highlight w:val="none"/>
                <w:lang w:val="en-US" w:eastAsia="zh-CN"/>
              </w:rPr>
              <w:t>夏培琦</w:t>
            </w:r>
          </w:p>
          <w:p w14:paraId="4CA7108D">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lang w:val="zh-CN" w:eastAsia="zh-CN"/>
              </w:rPr>
              <w:t>电话：(0439)7268781</w:t>
            </w:r>
          </w:p>
        </w:tc>
      </w:tr>
      <w:tr w14:paraId="7F6E0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jc w:val="center"/>
        </w:trPr>
        <w:tc>
          <w:tcPr>
            <w:tcW w:w="1105" w:type="dxa"/>
            <w:vAlign w:val="center"/>
          </w:tcPr>
          <w:p w14:paraId="7C50B8E6">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2.2</w:t>
            </w:r>
          </w:p>
        </w:tc>
        <w:tc>
          <w:tcPr>
            <w:tcW w:w="1899" w:type="dxa"/>
            <w:vAlign w:val="center"/>
          </w:tcPr>
          <w:p w14:paraId="3DC9E5A0">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采购代理机构</w:t>
            </w:r>
          </w:p>
        </w:tc>
        <w:tc>
          <w:tcPr>
            <w:tcW w:w="6180" w:type="dxa"/>
            <w:vAlign w:val="center"/>
          </w:tcPr>
          <w:p w14:paraId="45BCEF58">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en-US" w:eastAsia="zh-CN"/>
              </w:rPr>
              <w:t>采购</w:t>
            </w:r>
            <w:r>
              <w:rPr>
                <w:rFonts w:hint="eastAsia" w:ascii="黑体" w:hAnsi="黑体" w:eastAsia="黑体" w:cs="黑体"/>
                <w:color w:val="auto"/>
                <w:sz w:val="24"/>
                <w:szCs w:val="24"/>
                <w:highlight w:val="none"/>
                <w:lang w:val="zh-CN" w:eastAsia="zh-CN"/>
              </w:rPr>
              <w:t>代理机构：长春众釜工程项目管理有限公司</w:t>
            </w:r>
          </w:p>
          <w:p w14:paraId="63325B9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地址：长春市二道经济开发区新材料产业园区7号厂房</w:t>
            </w:r>
          </w:p>
          <w:p w14:paraId="77889A2D">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联系人：闫洪文</w:t>
            </w:r>
          </w:p>
          <w:p w14:paraId="77E5BB3B">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lang w:val="zh-CN" w:eastAsia="zh-CN"/>
              </w:rPr>
              <w:t>电话：18186899927</w:t>
            </w:r>
            <w:r>
              <w:rPr>
                <w:rFonts w:hint="eastAsia" w:ascii="黑体" w:hAnsi="黑体" w:eastAsia="黑体" w:cs="黑体"/>
                <w:color w:val="auto"/>
                <w:sz w:val="24"/>
                <w:szCs w:val="24"/>
                <w:highlight w:val="none"/>
                <w:lang w:val="en-US" w:eastAsia="zh-CN"/>
              </w:rPr>
              <w:t>（办公电话）</w:t>
            </w:r>
          </w:p>
        </w:tc>
      </w:tr>
      <w:tr w14:paraId="32928E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jc w:val="center"/>
        </w:trPr>
        <w:tc>
          <w:tcPr>
            <w:tcW w:w="1105" w:type="dxa"/>
            <w:vAlign w:val="center"/>
          </w:tcPr>
          <w:p w14:paraId="622B3523">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2.6.1</w:t>
            </w:r>
          </w:p>
        </w:tc>
        <w:tc>
          <w:tcPr>
            <w:tcW w:w="1899" w:type="dxa"/>
            <w:vAlign w:val="center"/>
          </w:tcPr>
          <w:p w14:paraId="5970CF16">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项目名称</w:t>
            </w:r>
          </w:p>
        </w:tc>
        <w:tc>
          <w:tcPr>
            <w:tcW w:w="6180" w:type="dxa"/>
            <w:vAlign w:val="center"/>
          </w:tcPr>
          <w:p w14:paraId="4A794FCC">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靖宇县第三次全国土壤普查成果汇总项目</w:t>
            </w:r>
          </w:p>
        </w:tc>
      </w:tr>
      <w:tr w14:paraId="38CC0D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105" w:type="dxa"/>
            <w:vAlign w:val="center"/>
          </w:tcPr>
          <w:p w14:paraId="514F61C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2.6.2</w:t>
            </w:r>
          </w:p>
        </w:tc>
        <w:tc>
          <w:tcPr>
            <w:tcW w:w="1899" w:type="dxa"/>
            <w:vAlign w:val="center"/>
          </w:tcPr>
          <w:p w14:paraId="2302C5DC">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服务地点</w:t>
            </w:r>
          </w:p>
        </w:tc>
        <w:tc>
          <w:tcPr>
            <w:tcW w:w="6180" w:type="dxa"/>
            <w:vAlign w:val="center"/>
          </w:tcPr>
          <w:p w14:paraId="7EA18C1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甲方指定位置</w:t>
            </w:r>
          </w:p>
        </w:tc>
      </w:tr>
      <w:tr w14:paraId="67989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105" w:type="dxa"/>
            <w:vAlign w:val="center"/>
          </w:tcPr>
          <w:p w14:paraId="04308C7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2.6.3</w:t>
            </w:r>
          </w:p>
        </w:tc>
        <w:tc>
          <w:tcPr>
            <w:tcW w:w="1899" w:type="dxa"/>
            <w:vAlign w:val="center"/>
          </w:tcPr>
          <w:p w14:paraId="4FDBA89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资金来源</w:t>
            </w:r>
          </w:p>
        </w:tc>
        <w:tc>
          <w:tcPr>
            <w:tcW w:w="6180" w:type="dxa"/>
            <w:vAlign w:val="center"/>
          </w:tcPr>
          <w:p w14:paraId="4D3AD7E8">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lang w:eastAsia="zh-CN"/>
              </w:rPr>
              <w:t>财政资金</w:t>
            </w:r>
          </w:p>
        </w:tc>
      </w:tr>
      <w:tr w14:paraId="13F4D9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105" w:type="dxa"/>
            <w:vAlign w:val="center"/>
          </w:tcPr>
          <w:p w14:paraId="253B1F8E">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2.6.4</w:t>
            </w:r>
          </w:p>
        </w:tc>
        <w:tc>
          <w:tcPr>
            <w:tcW w:w="1899" w:type="dxa"/>
            <w:vAlign w:val="center"/>
          </w:tcPr>
          <w:p w14:paraId="3E7F83AE">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出资比例</w:t>
            </w:r>
          </w:p>
        </w:tc>
        <w:tc>
          <w:tcPr>
            <w:tcW w:w="6180" w:type="dxa"/>
            <w:vAlign w:val="center"/>
          </w:tcPr>
          <w:p w14:paraId="5446616B">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100%</w:t>
            </w:r>
          </w:p>
        </w:tc>
      </w:tr>
      <w:tr w14:paraId="349FE9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105" w:type="dxa"/>
            <w:vAlign w:val="center"/>
          </w:tcPr>
          <w:p w14:paraId="1A6997D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2.6.5</w:t>
            </w:r>
          </w:p>
        </w:tc>
        <w:tc>
          <w:tcPr>
            <w:tcW w:w="1899" w:type="dxa"/>
            <w:vAlign w:val="center"/>
          </w:tcPr>
          <w:p w14:paraId="58D3D9F8">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资金落实情况</w:t>
            </w:r>
          </w:p>
        </w:tc>
        <w:tc>
          <w:tcPr>
            <w:tcW w:w="6180" w:type="dxa"/>
            <w:vAlign w:val="center"/>
          </w:tcPr>
          <w:p w14:paraId="34993EC4">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已落实</w:t>
            </w:r>
          </w:p>
        </w:tc>
      </w:tr>
      <w:tr w14:paraId="5452AE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jc w:val="center"/>
        </w:trPr>
        <w:tc>
          <w:tcPr>
            <w:tcW w:w="1105" w:type="dxa"/>
            <w:vAlign w:val="center"/>
          </w:tcPr>
          <w:p w14:paraId="587049D8">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2.6.6</w:t>
            </w:r>
          </w:p>
        </w:tc>
        <w:tc>
          <w:tcPr>
            <w:tcW w:w="1899" w:type="dxa"/>
            <w:vAlign w:val="center"/>
          </w:tcPr>
          <w:p w14:paraId="2648F067">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招标范围</w:t>
            </w:r>
          </w:p>
        </w:tc>
        <w:tc>
          <w:tcPr>
            <w:tcW w:w="6180" w:type="dxa"/>
            <w:vAlign w:val="center"/>
          </w:tcPr>
          <w:p w14:paraId="7B07437B">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靖宇县第三次全国土壤普查成果汇总项目</w:t>
            </w:r>
          </w:p>
        </w:tc>
      </w:tr>
      <w:tr w14:paraId="2EE95E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105" w:type="dxa"/>
            <w:vAlign w:val="center"/>
          </w:tcPr>
          <w:p w14:paraId="78FF2660">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2.6.7</w:t>
            </w:r>
          </w:p>
        </w:tc>
        <w:tc>
          <w:tcPr>
            <w:tcW w:w="1899" w:type="dxa"/>
            <w:vAlign w:val="center"/>
          </w:tcPr>
          <w:p w14:paraId="28F87D3E">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合同履行期限</w:t>
            </w:r>
          </w:p>
        </w:tc>
        <w:tc>
          <w:tcPr>
            <w:tcW w:w="6180" w:type="dxa"/>
            <w:vAlign w:val="center"/>
          </w:tcPr>
          <w:p w14:paraId="445C6C9D">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自合同签订之日起至合同履行完毕</w:t>
            </w:r>
          </w:p>
        </w:tc>
      </w:tr>
      <w:tr w14:paraId="4772F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1105" w:type="dxa"/>
            <w:vAlign w:val="center"/>
          </w:tcPr>
          <w:p w14:paraId="35ADB929">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2.6.8</w:t>
            </w:r>
          </w:p>
        </w:tc>
        <w:tc>
          <w:tcPr>
            <w:tcW w:w="1899" w:type="dxa"/>
            <w:vAlign w:val="center"/>
          </w:tcPr>
          <w:p w14:paraId="192D121D">
            <w:pPr>
              <w:keepNext w:val="0"/>
              <w:keepLines w:val="0"/>
              <w:pageBreakBefore w:val="0"/>
              <w:widowControl/>
              <w:kinsoku/>
              <w:overflowPunct/>
              <w:topLinePunct/>
              <w:autoSpaceDE w:val="0"/>
              <w:autoSpaceDN w:val="0"/>
              <w:bidi w:val="0"/>
              <w:adjustRightInd w:val="0"/>
              <w:jc w:val="center"/>
              <w:rPr>
                <w:rFonts w:hint="default"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服务标准</w:t>
            </w:r>
          </w:p>
        </w:tc>
        <w:tc>
          <w:tcPr>
            <w:tcW w:w="6180" w:type="dxa"/>
            <w:vAlign w:val="center"/>
          </w:tcPr>
          <w:p w14:paraId="1849B04F">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val="zh-CN"/>
              </w:rPr>
              <w:t>符合国家及行业相关规范及标准，且提供优质服务；</w:t>
            </w:r>
          </w:p>
        </w:tc>
      </w:tr>
      <w:tr w14:paraId="35EDAF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jc w:val="center"/>
        </w:trPr>
        <w:tc>
          <w:tcPr>
            <w:tcW w:w="1105" w:type="dxa"/>
            <w:vAlign w:val="center"/>
          </w:tcPr>
          <w:p w14:paraId="0EC13E82">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3.1</w:t>
            </w:r>
          </w:p>
        </w:tc>
        <w:tc>
          <w:tcPr>
            <w:tcW w:w="1899" w:type="dxa"/>
            <w:vAlign w:val="center"/>
          </w:tcPr>
          <w:p w14:paraId="3D9FCCB1">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供应商资格要求</w:t>
            </w:r>
          </w:p>
        </w:tc>
        <w:tc>
          <w:tcPr>
            <w:tcW w:w="6180" w:type="dxa"/>
            <w:vAlign w:val="top"/>
          </w:tcPr>
          <w:p w14:paraId="3544EA95">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1.满足《中华人民共和国政府采购法》第二十二条规定；</w:t>
            </w:r>
          </w:p>
          <w:p w14:paraId="766C6ED3">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2.落实政府采购政策需满足的资格要求：本项目专门面向中小企业；</w:t>
            </w:r>
          </w:p>
          <w:p w14:paraId="3ACE822B">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3.本项目的特定资格要求：</w:t>
            </w:r>
          </w:p>
          <w:p w14:paraId="2DD3EEFF">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rPr>
              <w:t>3.1投标人具有合法有效企业法人资质（或其他组织）</w:t>
            </w:r>
            <w:r>
              <w:rPr>
                <w:rFonts w:hint="eastAsia" w:ascii="黑体" w:hAnsi="黑体" w:eastAsia="黑体" w:cs="黑体"/>
                <w:color w:val="auto"/>
                <w:sz w:val="24"/>
                <w:szCs w:val="24"/>
                <w:highlight w:val="none"/>
                <w:lang w:eastAsia="zh-CN"/>
              </w:rPr>
              <w:t>；</w:t>
            </w:r>
          </w:p>
          <w:p w14:paraId="2C4A983E">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val="en-US" w:eastAsia="zh-CN"/>
              </w:rPr>
              <w:t>3.2投标人应在投标文件中提交反映其财务状况、依法缴纳税收和社保保障资金情况的资格条件承诺函，并对资格条件承诺函有关内容的真实性、有效性、合法性负责</w:t>
            </w:r>
            <w:r>
              <w:rPr>
                <w:rFonts w:hint="eastAsia" w:ascii="黑体" w:hAnsi="黑体" w:eastAsia="黑体" w:cs="黑体"/>
                <w:color w:val="auto"/>
                <w:sz w:val="24"/>
                <w:szCs w:val="24"/>
                <w:highlight w:val="none"/>
              </w:rPr>
              <w:t>；</w:t>
            </w:r>
          </w:p>
          <w:p w14:paraId="5A0AA442">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3.3信誉要求：投标人近三年内无数据造假、违法违规等不良信用记录，投标人未被工商行政管理机关在全国企业信用信息公示系统（www.gsxt.gov.cn）中列入严重违法失信企业名单；投标人不得为“信用中国”网站（www.creditchina.gov.cn）中列入失信被执行人；投标人不得为中国政府采购网（www.ccgp.gov.cn）政府采购严重违法失信行为记录名单中被财政部门禁止参加政府采购活动的投标人（在处罚决定规定的时间和地域范围内）（详见财库〔2016〕125号文）；拒绝列入政府取消投标资格记录期间的企业或个人投标；</w:t>
            </w:r>
          </w:p>
          <w:p w14:paraId="58A323C3">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lang w:val="en-US" w:eastAsia="zh-CN"/>
              </w:rPr>
              <w:t>3.4.单位负责人为同一人或者存在直接控股、管理关系的不同供应商，不得参加同一合同项下的政府采购活动。</w:t>
            </w:r>
          </w:p>
        </w:tc>
      </w:tr>
      <w:tr w14:paraId="10A2A9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54591C4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4.2</w:t>
            </w:r>
          </w:p>
        </w:tc>
        <w:tc>
          <w:tcPr>
            <w:tcW w:w="1899" w:type="dxa"/>
            <w:vAlign w:val="center"/>
          </w:tcPr>
          <w:p w14:paraId="2A9D046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采购代理服务费</w:t>
            </w:r>
          </w:p>
        </w:tc>
        <w:tc>
          <w:tcPr>
            <w:tcW w:w="6180" w:type="dxa"/>
            <w:vAlign w:val="center"/>
          </w:tcPr>
          <w:p w14:paraId="1EA48C6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执行发改办价格[2015]299号文件标准向中标单位收取招标代理服务费。</w:t>
            </w:r>
            <w:r>
              <w:rPr>
                <w:rFonts w:hint="eastAsia" w:ascii="黑体" w:hAnsi="黑体" w:eastAsia="黑体" w:cs="黑体"/>
                <w:b w:val="0"/>
                <w:bCs w:val="0"/>
                <w:color w:val="auto"/>
                <w:sz w:val="24"/>
                <w:szCs w:val="24"/>
                <w:highlight w:val="none"/>
                <w:lang w:val="zh-CN" w:eastAsia="zh-CN"/>
              </w:rPr>
              <w:t>金额为采购预算的</w:t>
            </w:r>
            <w:r>
              <w:rPr>
                <w:rFonts w:hint="eastAsia" w:ascii="黑体" w:hAnsi="黑体" w:eastAsia="黑体" w:cs="黑体"/>
                <w:b w:val="0"/>
                <w:bCs w:val="0"/>
                <w:color w:val="auto"/>
                <w:sz w:val="24"/>
                <w:szCs w:val="24"/>
                <w:highlight w:val="none"/>
                <w:lang w:val="en-US" w:eastAsia="zh-CN"/>
              </w:rPr>
              <w:t>1.3</w:t>
            </w:r>
            <w:r>
              <w:rPr>
                <w:rFonts w:hint="eastAsia" w:ascii="黑体" w:hAnsi="黑体" w:eastAsia="黑体" w:cs="黑体"/>
                <w:b w:val="0"/>
                <w:bCs w:val="0"/>
                <w:color w:val="auto"/>
                <w:sz w:val="24"/>
                <w:szCs w:val="24"/>
                <w:highlight w:val="none"/>
                <w:lang w:val="zh-CN" w:eastAsia="zh-CN"/>
              </w:rPr>
              <w:t>%，</w:t>
            </w:r>
            <w:r>
              <w:rPr>
                <w:rFonts w:hint="eastAsia" w:ascii="黑体" w:hAnsi="黑体" w:eastAsia="黑体" w:cs="黑体"/>
                <w:color w:val="auto"/>
                <w:sz w:val="24"/>
                <w:szCs w:val="24"/>
                <w:highlight w:val="none"/>
                <w:lang w:val="zh-CN" w:eastAsia="zh-CN"/>
              </w:rPr>
              <w:t>在成交公示期结束后、成交通知书发出前将本项目招标代理服务费支付给招标代理机构。</w:t>
            </w:r>
          </w:p>
          <w:p w14:paraId="0F0CA1A8">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收款人全称：长春众釜工程项目管理有限公司</w:t>
            </w:r>
          </w:p>
          <w:p w14:paraId="7C9C3D1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开户行：中国光大银行长春北京大街支行</w:t>
            </w:r>
          </w:p>
          <w:p w14:paraId="20033595">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账号：35940188000137534</w:t>
            </w:r>
          </w:p>
          <w:p w14:paraId="14F71908">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※请在汇款单据上标明项目名称以便核查。</w:t>
            </w:r>
          </w:p>
        </w:tc>
      </w:tr>
      <w:tr w14:paraId="36E5E6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6BE0792F">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6.1</w:t>
            </w:r>
          </w:p>
        </w:tc>
        <w:tc>
          <w:tcPr>
            <w:tcW w:w="1899" w:type="dxa"/>
            <w:vAlign w:val="center"/>
          </w:tcPr>
          <w:p w14:paraId="08D1FCF2">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是否接受联合体投标</w:t>
            </w:r>
          </w:p>
        </w:tc>
        <w:tc>
          <w:tcPr>
            <w:tcW w:w="6180" w:type="dxa"/>
            <w:vAlign w:val="center"/>
          </w:tcPr>
          <w:p w14:paraId="47F7ABBE">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不接受联合体投标</w:t>
            </w:r>
          </w:p>
        </w:tc>
      </w:tr>
      <w:tr w14:paraId="16BEA1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65E681D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5B95526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2412D31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7.1</w:t>
            </w:r>
          </w:p>
        </w:tc>
        <w:tc>
          <w:tcPr>
            <w:tcW w:w="1899" w:type="dxa"/>
            <w:vAlign w:val="center"/>
          </w:tcPr>
          <w:p w14:paraId="0A7F75DF">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2DEDAC4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踏勘现场</w:t>
            </w:r>
          </w:p>
        </w:tc>
        <w:tc>
          <w:tcPr>
            <w:tcW w:w="6180" w:type="dxa"/>
            <w:vAlign w:val="center"/>
          </w:tcPr>
          <w:p w14:paraId="5A01E749">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drawing>
                <wp:inline distT="0" distB="0" distL="0" distR="0">
                  <wp:extent cx="196215" cy="227965"/>
                  <wp:effectExtent l="0" t="0" r="13335" b="635"/>
                  <wp:docPr id="7" name="IM 1"/>
                  <wp:cNvGraphicFramePr/>
                  <a:graphic xmlns:a="http://schemas.openxmlformats.org/drawingml/2006/main">
                    <a:graphicData uri="http://schemas.openxmlformats.org/drawingml/2006/picture">
                      <pic:pic xmlns:pic="http://schemas.openxmlformats.org/drawingml/2006/picture">
                        <pic:nvPicPr>
                          <pic:cNvPr id="7" name="IM 1"/>
                          <pic:cNvPicPr/>
                        </pic:nvPicPr>
                        <pic:blipFill>
                          <a:blip r:embed="rId30"/>
                          <a:stretch>
                            <a:fillRect/>
                          </a:stretch>
                        </pic:blipFill>
                        <pic:spPr>
                          <a:xfrm>
                            <a:off x="0" y="0"/>
                            <a:ext cx="196367" cy="228371"/>
                          </a:xfrm>
                          <a:prstGeom prst="rect">
                            <a:avLst/>
                          </a:prstGeom>
                        </pic:spPr>
                      </pic:pic>
                    </a:graphicData>
                  </a:graphic>
                </wp:inline>
              </w:drawing>
            </w:r>
            <w:r>
              <w:rPr>
                <w:rFonts w:hint="eastAsia" w:ascii="黑体" w:hAnsi="黑体" w:eastAsia="黑体" w:cs="黑体"/>
                <w:color w:val="auto"/>
                <w:sz w:val="24"/>
                <w:szCs w:val="24"/>
                <w:highlight w:val="none"/>
              </w:rPr>
              <w:t>不组织</w:t>
            </w:r>
          </w:p>
          <w:p w14:paraId="744F3326">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□组织，踏勘时间：</w:t>
            </w:r>
          </w:p>
          <w:p w14:paraId="65D9D0A5">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踏勘集中地点：</w:t>
            </w:r>
          </w:p>
        </w:tc>
      </w:tr>
      <w:tr w14:paraId="65C397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2F3890E9">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7.4</w:t>
            </w:r>
          </w:p>
        </w:tc>
        <w:tc>
          <w:tcPr>
            <w:tcW w:w="1899" w:type="dxa"/>
            <w:vAlign w:val="center"/>
          </w:tcPr>
          <w:p w14:paraId="0C8D4AD9">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投标预备会</w:t>
            </w:r>
          </w:p>
        </w:tc>
        <w:tc>
          <w:tcPr>
            <w:tcW w:w="6180" w:type="dxa"/>
            <w:vAlign w:val="center"/>
          </w:tcPr>
          <w:p w14:paraId="607776A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drawing>
                <wp:inline distT="0" distB="0" distL="0" distR="0">
                  <wp:extent cx="196215" cy="227965"/>
                  <wp:effectExtent l="0" t="0" r="13335" b="635"/>
                  <wp:docPr id="8" name="IM 2"/>
                  <wp:cNvGraphicFramePr/>
                  <a:graphic xmlns:a="http://schemas.openxmlformats.org/drawingml/2006/main">
                    <a:graphicData uri="http://schemas.openxmlformats.org/drawingml/2006/picture">
                      <pic:pic xmlns:pic="http://schemas.openxmlformats.org/drawingml/2006/picture">
                        <pic:nvPicPr>
                          <pic:cNvPr id="8" name="IM 2"/>
                          <pic:cNvPicPr/>
                        </pic:nvPicPr>
                        <pic:blipFill>
                          <a:blip r:embed="rId31"/>
                          <a:stretch>
                            <a:fillRect/>
                          </a:stretch>
                        </pic:blipFill>
                        <pic:spPr>
                          <a:xfrm>
                            <a:off x="0" y="0"/>
                            <a:ext cx="196367" cy="228371"/>
                          </a:xfrm>
                          <a:prstGeom prst="rect">
                            <a:avLst/>
                          </a:prstGeom>
                        </pic:spPr>
                      </pic:pic>
                    </a:graphicData>
                  </a:graphic>
                </wp:inline>
              </w:drawing>
            </w:r>
            <w:r>
              <w:rPr>
                <w:rFonts w:hint="eastAsia" w:ascii="黑体" w:hAnsi="黑体" w:eastAsia="黑体" w:cs="黑体"/>
                <w:color w:val="auto"/>
                <w:sz w:val="24"/>
                <w:szCs w:val="24"/>
                <w:highlight w:val="none"/>
              </w:rPr>
              <w:t>不组织</w:t>
            </w:r>
          </w:p>
          <w:p w14:paraId="5195B00F">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□组织，召开时间：</w:t>
            </w:r>
          </w:p>
          <w:p w14:paraId="2F7265A3">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召开地点：</w:t>
            </w:r>
          </w:p>
        </w:tc>
      </w:tr>
      <w:tr w14:paraId="773833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54AB614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11.1</w:t>
            </w:r>
          </w:p>
        </w:tc>
        <w:tc>
          <w:tcPr>
            <w:tcW w:w="1899" w:type="dxa"/>
            <w:vAlign w:val="center"/>
          </w:tcPr>
          <w:p w14:paraId="5CCCB46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提交磋商响应文件截止时间</w:t>
            </w:r>
          </w:p>
        </w:tc>
        <w:tc>
          <w:tcPr>
            <w:tcW w:w="6180" w:type="dxa"/>
            <w:vAlign w:val="center"/>
          </w:tcPr>
          <w:p w14:paraId="2E127F65">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2025年05月07日09点30分</w:t>
            </w:r>
          </w:p>
        </w:tc>
      </w:tr>
      <w:tr w14:paraId="6A6906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0B4BDA52">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12.2</w:t>
            </w:r>
          </w:p>
        </w:tc>
        <w:tc>
          <w:tcPr>
            <w:tcW w:w="1899" w:type="dxa"/>
            <w:vAlign w:val="center"/>
          </w:tcPr>
          <w:p w14:paraId="2FCD0D16">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供应商提出问题的截止时间</w:t>
            </w:r>
          </w:p>
        </w:tc>
        <w:tc>
          <w:tcPr>
            <w:tcW w:w="6180" w:type="dxa"/>
            <w:vAlign w:val="center"/>
          </w:tcPr>
          <w:p w14:paraId="13252846">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时间：磋商响应文件递交截止时间前5日</w:t>
            </w:r>
          </w:p>
          <w:p w14:paraId="6E1A090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eastAsia="zh-CN"/>
              </w:rPr>
            </w:pPr>
            <w:r>
              <w:rPr>
                <w:rFonts w:hint="eastAsia" w:ascii="黑体" w:hAnsi="黑体" w:eastAsia="黑体" w:cs="黑体"/>
                <w:color w:val="auto"/>
                <w:sz w:val="24"/>
                <w:szCs w:val="24"/>
                <w:highlight w:val="none"/>
              </w:rPr>
              <w:t>联系人：</w:t>
            </w:r>
            <w:r>
              <w:rPr>
                <w:rFonts w:hint="eastAsia" w:ascii="黑体" w:hAnsi="黑体" w:eastAsia="黑体" w:cs="黑体"/>
                <w:color w:val="auto"/>
                <w:sz w:val="24"/>
                <w:szCs w:val="24"/>
                <w:highlight w:val="none"/>
                <w:lang w:eastAsia="zh-CN"/>
              </w:rPr>
              <w:t>闫洪文</w:t>
            </w:r>
          </w:p>
          <w:p w14:paraId="200D3CA7">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电话：</w:t>
            </w:r>
            <w:r>
              <w:rPr>
                <w:rFonts w:hint="eastAsia" w:ascii="黑体" w:hAnsi="黑体" w:eastAsia="黑体" w:cs="黑体"/>
                <w:color w:val="auto"/>
                <w:sz w:val="24"/>
                <w:szCs w:val="24"/>
                <w:highlight w:val="none"/>
                <w:lang w:eastAsia="zh-CN"/>
              </w:rPr>
              <w:t>18186899927</w:t>
            </w:r>
          </w:p>
        </w:tc>
      </w:tr>
      <w:tr w14:paraId="0A3CE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5F3E58B2">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12.2</w:t>
            </w:r>
          </w:p>
        </w:tc>
        <w:tc>
          <w:tcPr>
            <w:tcW w:w="1899" w:type="dxa"/>
            <w:vAlign w:val="center"/>
          </w:tcPr>
          <w:p w14:paraId="73D49E2F">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采购人书面澄清的时间</w:t>
            </w:r>
          </w:p>
        </w:tc>
        <w:tc>
          <w:tcPr>
            <w:tcW w:w="6180" w:type="dxa"/>
            <w:vAlign w:val="center"/>
          </w:tcPr>
          <w:p w14:paraId="4FB6E87F">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磋商响应文件递交截止时间前5日</w:t>
            </w:r>
          </w:p>
        </w:tc>
      </w:tr>
      <w:tr w14:paraId="56BCB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3177B9FC">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14.5</w:t>
            </w:r>
          </w:p>
        </w:tc>
        <w:tc>
          <w:tcPr>
            <w:tcW w:w="1899" w:type="dxa"/>
            <w:vAlign w:val="center"/>
          </w:tcPr>
          <w:p w14:paraId="344A2A6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偏离</w:t>
            </w:r>
          </w:p>
        </w:tc>
        <w:tc>
          <w:tcPr>
            <w:tcW w:w="6180" w:type="dxa"/>
            <w:vAlign w:val="center"/>
          </w:tcPr>
          <w:p w14:paraId="2457D4EE">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不允许负偏离</w:t>
            </w:r>
          </w:p>
        </w:tc>
      </w:tr>
      <w:tr w14:paraId="2BCE1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640CD1FF">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15.3</w:t>
            </w:r>
          </w:p>
        </w:tc>
        <w:tc>
          <w:tcPr>
            <w:tcW w:w="1899" w:type="dxa"/>
            <w:vAlign w:val="center"/>
          </w:tcPr>
          <w:p w14:paraId="6C59D09C">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最高投标限价</w:t>
            </w:r>
          </w:p>
        </w:tc>
        <w:tc>
          <w:tcPr>
            <w:tcW w:w="6180" w:type="dxa"/>
            <w:vAlign w:val="center"/>
          </w:tcPr>
          <w:p w14:paraId="31F3140B">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最高限价：¥</w:t>
            </w:r>
            <w:r>
              <w:rPr>
                <w:rFonts w:hint="eastAsia" w:ascii="黑体" w:hAnsi="黑体" w:eastAsia="黑体" w:cs="黑体"/>
                <w:color w:val="auto"/>
                <w:sz w:val="24"/>
                <w:szCs w:val="24"/>
                <w:highlight w:val="none"/>
                <w:lang w:eastAsia="zh-CN"/>
              </w:rPr>
              <w:t>174万元</w:t>
            </w:r>
            <w:r>
              <w:rPr>
                <w:rFonts w:hint="eastAsia" w:ascii="黑体" w:hAnsi="黑体" w:eastAsia="黑体" w:cs="黑体"/>
                <w:color w:val="auto"/>
                <w:sz w:val="24"/>
                <w:szCs w:val="24"/>
                <w:highlight w:val="none"/>
              </w:rPr>
              <w:t>。</w:t>
            </w:r>
          </w:p>
        </w:tc>
      </w:tr>
      <w:tr w14:paraId="38DC3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2ACCB9D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16.1</w:t>
            </w:r>
          </w:p>
        </w:tc>
        <w:tc>
          <w:tcPr>
            <w:tcW w:w="1899" w:type="dxa"/>
            <w:vAlign w:val="center"/>
          </w:tcPr>
          <w:p w14:paraId="2FF07298">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近年财务状况的年份要求</w:t>
            </w:r>
          </w:p>
        </w:tc>
        <w:tc>
          <w:tcPr>
            <w:tcW w:w="6180" w:type="dxa"/>
            <w:vAlign w:val="center"/>
          </w:tcPr>
          <w:p w14:paraId="0C0BFB52">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近一年（2023年1月1日至今）</w:t>
            </w:r>
          </w:p>
        </w:tc>
      </w:tr>
      <w:tr w14:paraId="331ADE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105" w:type="dxa"/>
            <w:vAlign w:val="center"/>
          </w:tcPr>
          <w:p w14:paraId="4712F50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17.1</w:t>
            </w:r>
          </w:p>
        </w:tc>
        <w:tc>
          <w:tcPr>
            <w:tcW w:w="1899" w:type="dxa"/>
            <w:vAlign w:val="center"/>
          </w:tcPr>
          <w:p w14:paraId="2EEC949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磋商保证金</w:t>
            </w:r>
          </w:p>
        </w:tc>
        <w:tc>
          <w:tcPr>
            <w:tcW w:w="6180" w:type="dxa"/>
            <w:vAlign w:val="top"/>
          </w:tcPr>
          <w:p w14:paraId="12846495">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color w:val="auto"/>
                <w:sz w:val="24"/>
                <w:szCs w:val="24"/>
                <w:highlight w:val="none"/>
                <w:lang w:val="zh-CN"/>
              </w:rPr>
            </w:pPr>
            <w:r>
              <w:rPr>
                <w:rFonts w:hint="eastAsia" w:ascii="黑体" w:hAnsi="黑体" w:eastAsia="黑体" w:cs="黑体"/>
                <w:b/>
                <w:bCs/>
                <w:color w:val="auto"/>
                <w:sz w:val="24"/>
                <w:szCs w:val="24"/>
                <w:highlight w:val="none"/>
                <w:lang w:val="zh-CN" w:eastAsia="zh-CN"/>
              </w:rPr>
              <w:t>磋商保证金的形式：支票、汇票、本票或者金融机构、担保机构出具的保函等非现金形式交纳。</w:t>
            </w:r>
            <w:r>
              <w:rPr>
                <w:rFonts w:hint="eastAsia" w:ascii="黑体" w:hAnsi="黑体" w:eastAsia="黑体" w:cs="黑体"/>
                <w:b w:val="0"/>
                <w:bCs w:val="0"/>
                <w:color w:val="auto"/>
                <w:sz w:val="24"/>
                <w:szCs w:val="24"/>
                <w:highlight w:val="none"/>
                <w:lang w:val="zh-CN" w:eastAsia="zh-CN"/>
              </w:rPr>
              <w:t>银行转账或支票形式提交的磋商保证金应当从供应商的基本账户转出。</w:t>
            </w:r>
          </w:p>
          <w:p w14:paraId="087BECCD">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color w:val="auto"/>
                <w:sz w:val="24"/>
                <w:szCs w:val="24"/>
                <w:highlight w:val="none"/>
                <w:lang w:val="zh-CN"/>
              </w:rPr>
            </w:pPr>
            <w:r>
              <w:rPr>
                <w:rFonts w:hint="eastAsia" w:ascii="黑体" w:hAnsi="黑体" w:eastAsia="黑体" w:cs="黑体"/>
                <w:b/>
                <w:bCs/>
                <w:color w:val="auto"/>
                <w:sz w:val="24"/>
                <w:szCs w:val="24"/>
                <w:highlight w:val="none"/>
                <w:lang w:val="zh-CN" w:eastAsia="zh-CN"/>
              </w:rPr>
              <w:t>磋商保证金递交的时间及方式：</w:t>
            </w:r>
            <w:r>
              <w:rPr>
                <w:rFonts w:hint="eastAsia" w:ascii="黑体" w:hAnsi="黑体" w:eastAsia="黑体" w:cs="黑体"/>
                <w:color w:val="auto"/>
                <w:sz w:val="24"/>
                <w:szCs w:val="24"/>
                <w:highlight w:val="none"/>
                <w:lang w:val="zh-CN" w:eastAsia="zh-CN"/>
              </w:rPr>
              <w:t xml:space="preserve">供应商须在投标截止时间前将磋商保证金存入指定账户。磋商保证金的确认以最终到账日期为准。 </w:t>
            </w:r>
          </w:p>
          <w:p w14:paraId="5F814295">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color w:val="auto"/>
                <w:sz w:val="24"/>
                <w:szCs w:val="24"/>
                <w:highlight w:val="none"/>
                <w:lang w:val="zh-CN"/>
              </w:rPr>
            </w:pPr>
            <w:r>
              <w:rPr>
                <w:rFonts w:hint="eastAsia" w:ascii="黑体" w:hAnsi="黑体" w:eastAsia="黑体" w:cs="黑体"/>
                <w:color w:val="auto"/>
                <w:sz w:val="24"/>
                <w:szCs w:val="24"/>
                <w:highlight w:val="none"/>
                <w:lang w:val="zh-CN" w:eastAsia="zh-CN"/>
              </w:rPr>
              <w:t>磋商保证金的金额：人民币</w:t>
            </w:r>
            <w:r>
              <w:rPr>
                <w:rFonts w:hint="eastAsia" w:ascii="黑体" w:hAnsi="黑体" w:eastAsia="黑体" w:cs="黑体"/>
                <w:color w:val="auto"/>
                <w:sz w:val="24"/>
                <w:szCs w:val="24"/>
                <w:highlight w:val="none"/>
                <w:lang w:val="en-US" w:eastAsia="zh-CN"/>
              </w:rPr>
              <w:t>17400</w:t>
            </w:r>
            <w:r>
              <w:rPr>
                <w:rFonts w:hint="eastAsia" w:ascii="黑体" w:hAnsi="黑体" w:eastAsia="黑体" w:cs="黑体"/>
                <w:color w:val="auto"/>
                <w:sz w:val="24"/>
                <w:szCs w:val="24"/>
                <w:highlight w:val="none"/>
                <w:lang w:val="zh-CN" w:eastAsia="zh-CN"/>
              </w:rPr>
              <w:t>元整（免收诚信记录良好供应商的磋商保证金，经“信用中国”网站查询存在行政处罚信息的供应商，须按规定递交</w:t>
            </w:r>
            <w:r>
              <w:rPr>
                <w:rFonts w:hint="eastAsia" w:ascii="黑体" w:hAnsi="黑体" w:eastAsia="黑体" w:cs="黑体"/>
                <w:color w:val="auto"/>
                <w:sz w:val="24"/>
                <w:szCs w:val="24"/>
                <w:highlight w:val="none"/>
                <w:lang w:val="en-US" w:eastAsia="zh-CN"/>
              </w:rPr>
              <w:t>磋商</w:t>
            </w:r>
            <w:r>
              <w:rPr>
                <w:rFonts w:hint="eastAsia" w:ascii="黑体" w:hAnsi="黑体" w:eastAsia="黑体" w:cs="黑体"/>
                <w:color w:val="auto"/>
                <w:sz w:val="24"/>
                <w:szCs w:val="24"/>
                <w:highlight w:val="none"/>
                <w:lang w:val="zh-CN" w:eastAsia="zh-CN"/>
              </w:rPr>
              <w:t>保证金并将保证金截图或查询截图发送采购代理机构邮箱cczfzbdl@163.com）。</w:t>
            </w:r>
          </w:p>
          <w:p w14:paraId="372B5518">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b/>
                <w:bCs/>
                <w:color w:val="auto"/>
                <w:sz w:val="24"/>
                <w:szCs w:val="24"/>
                <w:highlight w:val="none"/>
                <w:lang w:val="zh-CN" w:eastAsia="zh-CN"/>
              </w:rPr>
            </w:pPr>
            <w:r>
              <w:rPr>
                <w:rFonts w:hint="eastAsia" w:ascii="黑体" w:hAnsi="黑体" w:eastAsia="黑体" w:cs="黑体"/>
                <w:b/>
                <w:bCs/>
                <w:color w:val="auto"/>
                <w:sz w:val="24"/>
                <w:szCs w:val="24"/>
                <w:highlight w:val="none"/>
                <w:lang w:val="zh-CN" w:eastAsia="zh-CN"/>
              </w:rPr>
              <w:t>磋商保证金银行账号：</w:t>
            </w:r>
          </w:p>
          <w:p w14:paraId="6F7F9150">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b w:val="0"/>
                <w:bCs w:val="0"/>
                <w:color w:val="auto"/>
                <w:sz w:val="24"/>
                <w:szCs w:val="24"/>
                <w:highlight w:val="none"/>
                <w:lang w:val="zh-CN" w:eastAsia="zh-CN"/>
              </w:rPr>
            </w:pPr>
            <w:r>
              <w:rPr>
                <w:rFonts w:hint="eastAsia" w:ascii="黑体" w:hAnsi="黑体" w:eastAsia="黑体" w:cs="黑体"/>
                <w:b w:val="0"/>
                <w:bCs w:val="0"/>
                <w:color w:val="auto"/>
                <w:sz w:val="24"/>
                <w:szCs w:val="24"/>
                <w:highlight w:val="none"/>
                <w:lang w:val="zh-CN" w:eastAsia="zh-CN"/>
              </w:rPr>
              <w:t>收款人全称：长春众釜工程项目管理有限公司</w:t>
            </w:r>
          </w:p>
          <w:p w14:paraId="75AA6DD4">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b w:val="0"/>
                <w:bCs w:val="0"/>
                <w:color w:val="auto"/>
                <w:sz w:val="24"/>
                <w:szCs w:val="24"/>
                <w:highlight w:val="none"/>
                <w:lang w:val="zh-CN" w:eastAsia="zh-CN"/>
              </w:rPr>
            </w:pPr>
            <w:r>
              <w:rPr>
                <w:rFonts w:hint="eastAsia" w:ascii="黑体" w:hAnsi="黑体" w:eastAsia="黑体" w:cs="黑体"/>
                <w:b w:val="0"/>
                <w:bCs w:val="0"/>
                <w:color w:val="auto"/>
                <w:sz w:val="24"/>
                <w:szCs w:val="24"/>
                <w:highlight w:val="none"/>
                <w:lang w:val="zh-CN" w:eastAsia="zh-CN"/>
              </w:rPr>
              <w:t>开户行：中国光大银行长春北京大街支行</w:t>
            </w:r>
          </w:p>
          <w:p w14:paraId="029DDF9E">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b w:val="0"/>
                <w:bCs w:val="0"/>
                <w:color w:val="auto"/>
                <w:sz w:val="24"/>
                <w:szCs w:val="24"/>
                <w:highlight w:val="none"/>
                <w:lang w:val="zh-CN" w:eastAsia="zh-CN"/>
              </w:rPr>
            </w:pPr>
            <w:r>
              <w:rPr>
                <w:rFonts w:hint="eastAsia" w:ascii="黑体" w:hAnsi="黑体" w:eastAsia="黑体" w:cs="黑体"/>
                <w:b w:val="0"/>
                <w:bCs w:val="0"/>
                <w:color w:val="auto"/>
                <w:sz w:val="24"/>
                <w:szCs w:val="24"/>
                <w:highlight w:val="none"/>
                <w:lang w:val="zh-CN" w:eastAsia="zh-CN"/>
              </w:rPr>
              <w:t>账号：35940188000137534</w:t>
            </w:r>
          </w:p>
          <w:p w14:paraId="68DEF204">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b/>
                <w:bCs/>
                <w:color w:val="auto"/>
                <w:sz w:val="24"/>
                <w:szCs w:val="24"/>
                <w:highlight w:val="none"/>
                <w:lang w:val="zh-CN"/>
              </w:rPr>
            </w:pPr>
            <w:r>
              <w:rPr>
                <w:rFonts w:hint="eastAsia" w:ascii="黑体" w:hAnsi="黑体" w:eastAsia="黑体" w:cs="黑体"/>
                <w:b/>
                <w:bCs/>
                <w:color w:val="auto"/>
                <w:sz w:val="24"/>
                <w:szCs w:val="24"/>
                <w:highlight w:val="none"/>
                <w:lang w:val="zh-CN" w:eastAsia="zh-CN"/>
              </w:rPr>
              <w:t xml:space="preserve">磋商保证金须知： </w:t>
            </w:r>
          </w:p>
          <w:p w14:paraId="057960AE">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磋商保证金应当在提交响应文件截止时间前</w:t>
            </w:r>
            <w:r>
              <w:rPr>
                <w:rFonts w:hint="eastAsia" w:ascii="黑体" w:hAnsi="黑体" w:eastAsia="黑体" w:cs="黑体"/>
                <w:color w:val="auto"/>
                <w:sz w:val="24"/>
                <w:szCs w:val="24"/>
                <w:highlight w:val="none"/>
                <w:lang w:val="en-US" w:eastAsia="zh-CN"/>
              </w:rPr>
              <w:t>递交</w:t>
            </w:r>
            <w:r>
              <w:rPr>
                <w:rFonts w:hint="eastAsia" w:ascii="黑体" w:hAnsi="黑体" w:eastAsia="黑体" w:cs="黑体"/>
                <w:color w:val="auto"/>
                <w:sz w:val="24"/>
                <w:szCs w:val="24"/>
                <w:highlight w:val="none"/>
                <w:lang w:val="zh-CN" w:eastAsia="zh-CN"/>
              </w:rPr>
              <w:t xml:space="preserve">。 </w:t>
            </w:r>
          </w:p>
          <w:p w14:paraId="33D17F11">
            <w:pPr>
              <w:pStyle w:val="23"/>
              <w:keepNext w:val="0"/>
              <w:keepLines w:val="0"/>
              <w:pageBreakBefore w:val="0"/>
              <w:kinsoku/>
              <w:wordWrap/>
              <w:overflowPunct/>
              <w:topLinePunct w:val="0"/>
              <w:bidi w:val="0"/>
              <w:adjustRightInd w:val="0"/>
              <w:snapToGrid w:val="0"/>
              <w:spacing w:line="360" w:lineRule="auto"/>
              <w:ind w:left="0" w:right="0" w:firstLine="0" w:firstLineChars="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采用保函形式的，供应商应在提交响应文件截止时间前</w:t>
            </w:r>
            <w:r>
              <w:rPr>
                <w:rFonts w:hint="eastAsia" w:ascii="黑体" w:hAnsi="黑体" w:eastAsia="黑体" w:cs="黑体"/>
                <w:color w:val="auto"/>
                <w:sz w:val="24"/>
                <w:szCs w:val="24"/>
                <w:highlight w:val="none"/>
                <w:lang w:val="en-US" w:eastAsia="zh-CN"/>
              </w:rPr>
              <w:t>将投标保函原件扫描件发送至邮箱：cczfzbdl@163.com</w:t>
            </w:r>
            <w:r>
              <w:rPr>
                <w:rFonts w:hint="eastAsia" w:ascii="黑体" w:hAnsi="黑体" w:eastAsia="黑体" w:cs="黑体"/>
                <w:color w:val="auto"/>
                <w:kern w:val="2"/>
                <w:sz w:val="24"/>
                <w:szCs w:val="24"/>
                <w:highlight w:val="none"/>
                <w:lang w:val="en-US" w:eastAsia="zh-CN" w:bidi="ar"/>
              </w:rPr>
              <w:t>，同时</w:t>
            </w:r>
            <w:r>
              <w:rPr>
                <w:rFonts w:hint="eastAsia" w:ascii="黑体" w:hAnsi="黑体" w:eastAsia="黑体" w:cs="黑体"/>
                <w:color w:val="auto"/>
                <w:sz w:val="24"/>
                <w:szCs w:val="24"/>
                <w:highlight w:val="none"/>
                <w:lang w:val="zh-CN" w:eastAsia="zh-CN"/>
              </w:rPr>
              <w:t>保函原件</w:t>
            </w:r>
            <w:r>
              <w:rPr>
                <w:rFonts w:hint="eastAsia" w:ascii="黑体" w:hAnsi="黑体" w:eastAsia="黑体" w:cs="黑体"/>
                <w:color w:val="auto"/>
                <w:sz w:val="24"/>
                <w:szCs w:val="24"/>
                <w:highlight w:val="none"/>
                <w:lang w:val="en-US" w:eastAsia="zh-CN"/>
              </w:rPr>
              <w:t>同投标文件纸质版在开标后邮寄至</w:t>
            </w:r>
            <w:r>
              <w:rPr>
                <w:rFonts w:hint="eastAsia" w:ascii="黑体" w:hAnsi="黑体" w:eastAsia="黑体" w:cs="黑体"/>
                <w:bCs/>
                <w:color w:val="auto"/>
                <w:sz w:val="24"/>
                <w:szCs w:val="24"/>
                <w:highlight w:val="none"/>
                <w:lang w:val="en-US" w:eastAsia="zh-CN"/>
              </w:rPr>
              <w:t>长春市南关区解放大路与吉顺街交汇财富广场16楼1607室，</w:t>
            </w:r>
            <w:r>
              <w:rPr>
                <w:rFonts w:hint="eastAsia" w:ascii="黑体" w:hAnsi="黑体" w:eastAsia="黑体" w:cs="黑体"/>
                <w:color w:val="auto"/>
                <w:sz w:val="24"/>
                <w:szCs w:val="24"/>
                <w:highlight w:val="none"/>
                <w:lang w:val="en-US" w:eastAsia="zh-CN"/>
              </w:rPr>
              <w:t>联系人：何雷，18186899927（办公电话）</w:t>
            </w:r>
            <w:r>
              <w:rPr>
                <w:rFonts w:hint="eastAsia" w:ascii="黑体" w:hAnsi="黑体" w:eastAsia="黑体" w:cs="黑体"/>
                <w:color w:val="auto"/>
                <w:sz w:val="24"/>
                <w:szCs w:val="24"/>
                <w:highlight w:val="none"/>
                <w:lang w:val="zh-CN" w:eastAsia="zh-CN"/>
              </w:rPr>
              <w:t>。</w:t>
            </w:r>
          </w:p>
          <w:p w14:paraId="4B06298E">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zh-CN" w:eastAsia="zh-CN"/>
              </w:rPr>
              <w:t>温馨提示：供应商在交纳保证金时，请备注中注明本项目的项目名称，便于查询相关信息。</w:t>
            </w:r>
          </w:p>
        </w:tc>
      </w:tr>
      <w:tr w14:paraId="67D60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77440AA3">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18.1</w:t>
            </w:r>
          </w:p>
        </w:tc>
        <w:tc>
          <w:tcPr>
            <w:tcW w:w="1899" w:type="dxa"/>
            <w:vAlign w:val="center"/>
          </w:tcPr>
          <w:p w14:paraId="7D209C5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磋商响应有效期</w:t>
            </w:r>
          </w:p>
        </w:tc>
        <w:tc>
          <w:tcPr>
            <w:tcW w:w="6180" w:type="dxa"/>
            <w:vAlign w:val="center"/>
          </w:tcPr>
          <w:p w14:paraId="09A72F01">
            <w:pPr>
              <w:keepNext w:val="0"/>
              <w:keepLines w:val="0"/>
              <w:pageBreakBefore w:val="0"/>
              <w:widowControl/>
              <w:kinsoku/>
              <w:overflowPunct/>
              <w:topLinePunct/>
              <w:autoSpaceDE w:val="0"/>
              <w:autoSpaceDN w:val="0"/>
              <w:bidi w:val="0"/>
              <w:adjustRightInd w:val="0"/>
              <w:jc w:val="left"/>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投标截止之日后</w:t>
            </w:r>
            <w:r>
              <w:rPr>
                <w:rFonts w:hint="eastAsia" w:ascii="黑体" w:hAnsi="黑体" w:eastAsia="黑体" w:cs="黑体"/>
                <w:color w:val="auto"/>
                <w:sz w:val="24"/>
                <w:szCs w:val="24"/>
                <w:highlight w:val="none"/>
                <w:lang w:eastAsia="zh-CN"/>
              </w:rPr>
              <w:t>90天</w:t>
            </w:r>
            <w:r>
              <w:rPr>
                <w:rFonts w:hint="eastAsia" w:ascii="黑体" w:hAnsi="黑体" w:eastAsia="黑体" w:cs="黑体"/>
                <w:color w:val="auto"/>
                <w:sz w:val="24"/>
                <w:szCs w:val="24"/>
                <w:highlight w:val="none"/>
              </w:rPr>
              <w:t>(日历天)</w:t>
            </w:r>
          </w:p>
        </w:tc>
      </w:tr>
      <w:tr w14:paraId="36518A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06214C0E">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19.1(1)</w:t>
            </w:r>
          </w:p>
        </w:tc>
        <w:tc>
          <w:tcPr>
            <w:tcW w:w="1899" w:type="dxa"/>
            <w:vAlign w:val="center"/>
          </w:tcPr>
          <w:p w14:paraId="6594479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磋商响应文件副本份数</w:t>
            </w:r>
          </w:p>
        </w:tc>
        <w:tc>
          <w:tcPr>
            <w:tcW w:w="6180" w:type="dxa"/>
            <w:vAlign w:val="top"/>
          </w:tcPr>
          <w:p w14:paraId="31E4AEE1">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en-US" w:eastAsia="zh-CN"/>
              </w:rPr>
              <w:t>正本1份、副本2份、</w:t>
            </w:r>
            <w:r>
              <w:rPr>
                <w:rFonts w:hint="eastAsia" w:ascii="黑体" w:hAnsi="黑体" w:eastAsia="黑体" w:cs="黑体"/>
                <w:color w:val="auto"/>
                <w:sz w:val="24"/>
                <w:szCs w:val="24"/>
                <w:highlight w:val="none"/>
                <w:lang w:val="zh-CN" w:eastAsia="zh-CN"/>
              </w:rPr>
              <w:t>电子版（U盘）2份（</w:t>
            </w:r>
            <w:r>
              <w:rPr>
                <w:rFonts w:hint="eastAsia" w:ascii="黑体" w:hAnsi="黑体" w:eastAsia="黑体" w:cs="黑体"/>
                <w:color w:val="auto"/>
                <w:sz w:val="24"/>
                <w:szCs w:val="24"/>
                <w:highlight w:val="none"/>
                <w:lang w:val="en-US" w:eastAsia="zh-CN"/>
              </w:rPr>
              <w:t>内含word版本及上传到政采云平台的签字盖章版本</w:t>
            </w:r>
            <w:r>
              <w:rPr>
                <w:rFonts w:hint="eastAsia" w:ascii="黑体" w:hAnsi="黑体" w:eastAsia="黑体" w:cs="黑体"/>
                <w:color w:val="auto"/>
                <w:sz w:val="24"/>
                <w:szCs w:val="24"/>
                <w:highlight w:val="none"/>
                <w:lang w:val="zh-CN" w:eastAsia="zh-CN"/>
              </w:rPr>
              <w:t>）。</w:t>
            </w:r>
          </w:p>
          <w:p w14:paraId="24B8C403">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en-US" w:eastAsia="zh-CN"/>
              </w:rPr>
              <w:t>参与本项目的所有供应商，将纸质版投标文件送达或邮寄地址：长春市南关区解放大路与吉顺街交汇财富广场16楼1607室，联系人：何雷，18186899927（办公电话）</w:t>
            </w:r>
          </w:p>
        </w:tc>
      </w:tr>
      <w:tr w14:paraId="46FA09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6F678A8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19.1(2)</w:t>
            </w:r>
          </w:p>
        </w:tc>
        <w:tc>
          <w:tcPr>
            <w:tcW w:w="1899" w:type="dxa"/>
            <w:vAlign w:val="center"/>
          </w:tcPr>
          <w:p w14:paraId="38B53B38">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装订要求</w:t>
            </w:r>
          </w:p>
        </w:tc>
        <w:tc>
          <w:tcPr>
            <w:tcW w:w="6180" w:type="dxa"/>
            <w:vAlign w:val="top"/>
          </w:tcPr>
          <w:p w14:paraId="10111034">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磋商响应文件应严格按要求编制、装订(胶装)。不需要分册密封包装。</w:t>
            </w:r>
          </w:p>
        </w:tc>
      </w:tr>
      <w:tr w14:paraId="6C98CC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4" w:hRule="atLeast"/>
          <w:jc w:val="center"/>
        </w:trPr>
        <w:tc>
          <w:tcPr>
            <w:tcW w:w="1105" w:type="dxa"/>
            <w:vAlign w:val="center"/>
          </w:tcPr>
          <w:p w14:paraId="6675E3C8">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19.2</w:t>
            </w:r>
          </w:p>
        </w:tc>
        <w:tc>
          <w:tcPr>
            <w:tcW w:w="1899" w:type="dxa"/>
            <w:vAlign w:val="center"/>
          </w:tcPr>
          <w:p w14:paraId="68064CE5">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签字或盖章要求</w:t>
            </w:r>
          </w:p>
        </w:tc>
        <w:tc>
          <w:tcPr>
            <w:tcW w:w="6180" w:type="dxa"/>
            <w:vAlign w:val="top"/>
          </w:tcPr>
          <w:p w14:paraId="1E7FEB36">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(1)所有要求签字的地方都应用不褪色的墨水或签字笔由本人亲笔手写签字(包括姓和名)，不得用盖章(如签名章、签字章等)代替，也不得由他人代签。</w:t>
            </w:r>
          </w:p>
          <w:p w14:paraId="4CF503C6">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(2)所有要求盖章的地方都应按照竞争性磋商文件的规定加盖于供应商名称全相一致的标准公章，不得使用彩喷或者彩印的印章、不得使用专用章(如经济专用章、投标专用章等)或下属单位印章代替。</w:t>
            </w:r>
          </w:p>
          <w:p w14:paraId="21131DA0">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磋商响应文件格式中要求供应商“法定代表人或其委托代理人”签字的，如法定代表人亲自投标而不委托代理人投标，由法定代表人签字；如法定代表人授权委托代理人投标，由委托代理人签字，也可由法定代表人签字。</w:t>
            </w:r>
          </w:p>
          <w:p w14:paraId="0B42229A">
            <w:pPr>
              <w:keepNext w:val="0"/>
              <w:keepLines w:val="0"/>
              <w:pageBreakBefore w:val="0"/>
              <w:widowControl/>
              <w:kinsoku/>
              <w:overflowPunct/>
              <w:topLinePunct/>
              <w:autoSpaceDE w:val="0"/>
              <w:autoSpaceDN w:val="0"/>
              <w:bidi w:val="0"/>
              <w:adjustRightInd w:val="0"/>
              <w:rPr>
                <w:rFonts w:hint="default"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eastAsia="zh-CN"/>
              </w:rPr>
              <w:t>（</w:t>
            </w:r>
            <w:r>
              <w:rPr>
                <w:rFonts w:hint="eastAsia" w:ascii="黑体" w:hAnsi="黑体" w:eastAsia="黑体" w:cs="黑体"/>
                <w:color w:val="auto"/>
                <w:sz w:val="24"/>
                <w:szCs w:val="24"/>
                <w:highlight w:val="none"/>
                <w:lang w:val="en-US" w:eastAsia="zh-CN"/>
              </w:rPr>
              <w:t>4</w:t>
            </w:r>
            <w:r>
              <w:rPr>
                <w:rFonts w:hint="eastAsia" w:ascii="黑体" w:hAnsi="黑体" w:eastAsia="黑体" w:cs="黑体"/>
                <w:color w:val="auto"/>
                <w:sz w:val="24"/>
                <w:szCs w:val="24"/>
                <w:highlight w:val="none"/>
                <w:lang w:eastAsia="zh-CN"/>
              </w:rPr>
              <w:t>）</w:t>
            </w:r>
            <w:r>
              <w:rPr>
                <w:rFonts w:hint="eastAsia" w:ascii="黑体" w:hAnsi="黑体" w:eastAsia="黑体" w:cs="黑体"/>
                <w:color w:val="auto"/>
                <w:sz w:val="24"/>
                <w:szCs w:val="24"/>
                <w:highlight w:val="none"/>
                <w:lang w:val="en-US" w:eastAsia="zh-CN"/>
              </w:rPr>
              <w:t>执行电子化招标的，可按电子签章执行。</w:t>
            </w:r>
          </w:p>
        </w:tc>
      </w:tr>
      <w:tr w14:paraId="612730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105" w:type="dxa"/>
            <w:vAlign w:val="center"/>
          </w:tcPr>
          <w:p w14:paraId="7AE2F1F1">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22.1(1)</w:t>
            </w:r>
          </w:p>
        </w:tc>
        <w:tc>
          <w:tcPr>
            <w:tcW w:w="1899" w:type="dxa"/>
            <w:vAlign w:val="center"/>
          </w:tcPr>
          <w:p w14:paraId="3A9C1CE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构成磋商响应文件的其他材料</w:t>
            </w:r>
          </w:p>
        </w:tc>
        <w:tc>
          <w:tcPr>
            <w:tcW w:w="6180" w:type="dxa"/>
            <w:vAlign w:val="top"/>
          </w:tcPr>
          <w:p w14:paraId="3EFF30A1">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无</w:t>
            </w:r>
          </w:p>
        </w:tc>
      </w:tr>
      <w:tr w14:paraId="5207E8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7E87549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22.1(2)</w:t>
            </w:r>
          </w:p>
        </w:tc>
        <w:tc>
          <w:tcPr>
            <w:tcW w:w="1899" w:type="dxa"/>
            <w:vAlign w:val="center"/>
          </w:tcPr>
          <w:p w14:paraId="2B410C1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递交磋商响应文件地点</w:t>
            </w:r>
          </w:p>
        </w:tc>
        <w:tc>
          <w:tcPr>
            <w:tcW w:w="6180" w:type="dxa"/>
            <w:vAlign w:val="center"/>
          </w:tcPr>
          <w:p w14:paraId="7DA42D6D">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lang w:val="zh-CN" w:eastAsia="zh-CN"/>
              </w:rPr>
              <w:t>投标人在政府采购云平台（网址：http:// www.zcygov.cn）通过数字证书制作投标文件1份（此投标文件需上传至政府采购云平台，并在开标时间持编制投标文件的供应商数字证书远程解密）。</w:t>
            </w:r>
          </w:p>
        </w:tc>
      </w:tr>
      <w:tr w14:paraId="545C0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4F603DD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22.1(3)</w:t>
            </w:r>
          </w:p>
        </w:tc>
        <w:tc>
          <w:tcPr>
            <w:tcW w:w="1899" w:type="dxa"/>
            <w:vAlign w:val="center"/>
          </w:tcPr>
          <w:p w14:paraId="26EB489C">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是否退还磋商响应文件</w:t>
            </w:r>
          </w:p>
        </w:tc>
        <w:tc>
          <w:tcPr>
            <w:tcW w:w="6180" w:type="dxa"/>
            <w:vAlign w:val="center"/>
          </w:tcPr>
          <w:p w14:paraId="0FEB70B1">
            <w:pPr>
              <w:keepNext w:val="0"/>
              <w:keepLines w:val="0"/>
              <w:pageBreakBefore w:val="0"/>
              <w:widowControl/>
              <w:kinsoku/>
              <w:overflowPunct/>
              <w:topLinePunct/>
              <w:autoSpaceDE w:val="0"/>
              <w:autoSpaceDN w:val="0"/>
              <w:bidi w:val="0"/>
              <w:adjustRightInd w:val="0"/>
              <w:jc w:val="both"/>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不退还</w:t>
            </w:r>
          </w:p>
        </w:tc>
      </w:tr>
      <w:tr w14:paraId="6DEF73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6E83D247">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22.1(4)</w:t>
            </w:r>
          </w:p>
        </w:tc>
        <w:tc>
          <w:tcPr>
            <w:tcW w:w="1899" w:type="dxa"/>
            <w:vAlign w:val="center"/>
          </w:tcPr>
          <w:p w14:paraId="67C9504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开标时间和地点</w:t>
            </w:r>
          </w:p>
        </w:tc>
        <w:tc>
          <w:tcPr>
            <w:tcW w:w="6180" w:type="dxa"/>
            <w:vAlign w:val="top"/>
          </w:tcPr>
          <w:p w14:paraId="5D17549B">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开标时间：同提提交磋商响应文件截止时间</w:t>
            </w:r>
          </w:p>
          <w:p w14:paraId="1E39C75E">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开标地点：同递交磋商响应文件地点</w:t>
            </w:r>
          </w:p>
        </w:tc>
      </w:tr>
      <w:tr w14:paraId="57A06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0D7942E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23.1</w:t>
            </w:r>
          </w:p>
        </w:tc>
        <w:tc>
          <w:tcPr>
            <w:tcW w:w="1899" w:type="dxa"/>
            <w:vAlign w:val="center"/>
          </w:tcPr>
          <w:p w14:paraId="1A84922C">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磋商小组的组建</w:t>
            </w:r>
          </w:p>
        </w:tc>
        <w:tc>
          <w:tcPr>
            <w:tcW w:w="6180" w:type="dxa"/>
            <w:vAlign w:val="top"/>
          </w:tcPr>
          <w:p w14:paraId="0C280972">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磋商小组构成：3人,从依法设立的评标专家库中随机抽取技术、经济方面的专家组成</w:t>
            </w:r>
            <w:r>
              <w:rPr>
                <w:rFonts w:hint="eastAsia" w:ascii="黑体" w:hAnsi="黑体" w:eastAsia="黑体" w:cs="黑体"/>
                <w:color w:val="auto"/>
                <w:sz w:val="24"/>
                <w:szCs w:val="24"/>
                <w:highlight w:val="none"/>
                <w:lang w:val="en-US" w:eastAsia="zh-CN"/>
              </w:rPr>
              <w:t>磋商小组</w:t>
            </w:r>
            <w:r>
              <w:rPr>
                <w:rFonts w:hint="eastAsia" w:ascii="黑体" w:hAnsi="黑体" w:eastAsia="黑体" w:cs="黑体"/>
                <w:color w:val="auto"/>
                <w:sz w:val="24"/>
                <w:szCs w:val="24"/>
                <w:highlight w:val="none"/>
              </w:rPr>
              <w:t>。</w:t>
            </w:r>
          </w:p>
        </w:tc>
      </w:tr>
      <w:tr w14:paraId="274D1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071492B0">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2A8E91A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70555105">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29.2</w:t>
            </w:r>
          </w:p>
        </w:tc>
        <w:tc>
          <w:tcPr>
            <w:tcW w:w="1899" w:type="dxa"/>
            <w:vAlign w:val="center"/>
          </w:tcPr>
          <w:p w14:paraId="34523A0D">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p>
          <w:p w14:paraId="2CEAF7F7">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是否授权评标委员会确定成交供应商</w:t>
            </w:r>
          </w:p>
        </w:tc>
        <w:tc>
          <w:tcPr>
            <w:tcW w:w="6180" w:type="dxa"/>
            <w:vAlign w:val="top"/>
          </w:tcPr>
          <w:p w14:paraId="55F23C98">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□是</w:t>
            </w:r>
          </w:p>
          <w:p w14:paraId="24F47F62">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drawing>
                <wp:inline distT="0" distB="0" distL="0" distR="0">
                  <wp:extent cx="130810" cy="165735"/>
                  <wp:effectExtent l="0" t="0" r="2540" b="5080"/>
                  <wp:docPr id="17" name="IM 3"/>
                  <wp:cNvGraphicFramePr/>
                  <a:graphic xmlns:a="http://schemas.openxmlformats.org/drawingml/2006/main">
                    <a:graphicData uri="http://schemas.openxmlformats.org/drawingml/2006/picture">
                      <pic:pic xmlns:pic="http://schemas.openxmlformats.org/drawingml/2006/picture">
                        <pic:nvPicPr>
                          <pic:cNvPr id="17" name="IM 3"/>
                          <pic:cNvPicPr/>
                        </pic:nvPicPr>
                        <pic:blipFill>
                          <a:blip r:embed="rId32"/>
                          <a:stretch>
                            <a:fillRect/>
                          </a:stretch>
                        </pic:blipFill>
                        <pic:spPr>
                          <a:xfrm>
                            <a:off x="0" y="0"/>
                            <a:ext cx="130911" cy="165963"/>
                          </a:xfrm>
                          <a:prstGeom prst="rect">
                            <a:avLst/>
                          </a:prstGeom>
                        </pic:spPr>
                      </pic:pic>
                    </a:graphicData>
                  </a:graphic>
                </wp:inline>
              </w:drawing>
            </w:r>
            <w:r>
              <w:rPr>
                <w:rFonts w:hint="eastAsia" w:ascii="黑体" w:hAnsi="黑体" w:eastAsia="黑体" w:cs="黑体"/>
                <w:color w:val="auto"/>
                <w:sz w:val="24"/>
                <w:szCs w:val="24"/>
                <w:highlight w:val="none"/>
              </w:rPr>
              <w:t>否，磋商小组推荐初步评审合格，综合评审得分由高到低排名第一、第二、第三的供应商为成交候选人。</w:t>
            </w:r>
          </w:p>
          <w:p w14:paraId="372AC75B">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采购人根据评标委员会确定成交候选人情况进行现场考察，如情况与投标一致后，采购人应当确定排名第一的成交候选人为成交供应商。排名第一的成交候选人放弃中标、因不可抗力不能履行合同或者被查实存在影响中标结果的违法行为等情形，不符合中标条件的，采购人可以按照磋商小组提出的成交候选人名单排序依次确定其他成交候选人为成交供应商，也可以重新招标。</w:t>
            </w:r>
          </w:p>
        </w:tc>
      </w:tr>
      <w:tr w14:paraId="010DE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371C60C0">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35.1</w:t>
            </w:r>
          </w:p>
        </w:tc>
        <w:tc>
          <w:tcPr>
            <w:tcW w:w="1899" w:type="dxa"/>
            <w:vAlign w:val="center"/>
          </w:tcPr>
          <w:p w14:paraId="353E7027">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成交通知书发出时间</w:t>
            </w:r>
          </w:p>
        </w:tc>
        <w:tc>
          <w:tcPr>
            <w:tcW w:w="6180" w:type="dxa"/>
            <w:vAlign w:val="center"/>
          </w:tcPr>
          <w:p w14:paraId="0EB98933">
            <w:pPr>
              <w:keepNext w:val="0"/>
              <w:keepLines w:val="0"/>
              <w:pageBreakBefore w:val="0"/>
              <w:widowControl/>
              <w:kinsoku/>
              <w:overflowPunct/>
              <w:topLinePunct/>
              <w:autoSpaceDE w:val="0"/>
              <w:autoSpaceDN w:val="0"/>
              <w:bidi w:val="0"/>
              <w:adjustRightInd w:val="0"/>
              <w:jc w:val="left"/>
              <w:rPr>
                <w:rFonts w:hint="default"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同</w:t>
            </w:r>
            <w:r>
              <w:rPr>
                <w:rFonts w:hint="eastAsia" w:ascii="黑体" w:hAnsi="黑体" w:eastAsia="黑体" w:cs="黑体"/>
                <w:color w:val="auto"/>
                <w:sz w:val="24"/>
                <w:szCs w:val="24"/>
                <w:highlight w:val="none"/>
              </w:rPr>
              <w:t>成交结果信息公</w:t>
            </w:r>
            <w:r>
              <w:rPr>
                <w:rFonts w:hint="eastAsia" w:ascii="黑体" w:hAnsi="黑体" w:eastAsia="黑体" w:cs="黑体"/>
                <w:color w:val="auto"/>
                <w:sz w:val="24"/>
                <w:szCs w:val="24"/>
                <w:highlight w:val="none"/>
                <w:lang w:val="en-US" w:eastAsia="zh-CN"/>
              </w:rPr>
              <w:t>告时间</w:t>
            </w:r>
          </w:p>
        </w:tc>
      </w:tr>
      <w:tr w14:paraId="5F200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1ACC498B">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35.2</w:t>
            </w:r>
          </w:p>
        </w:tc>
        <w:tc>
          <w:tcPr>
            <w:tcW w:w="1899" w:type="dxa"/>
            <w:vAlign w:val="center"/>
          </w:tcPr>
          <w:p w14:paraId="0BA1AB21">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补充(答疑)文件说明</w:t>
            </w:r>
          </w:p>
        </w:tc>
        <w:tc>
          <w:tcPr>
            <w:tcW w:w="6180" w:type="dxa"/>
            <w:vAlign w:val="top"/>
          </w:tcPr>
          <w:p w14:paraId="03749ADB">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有关本次竞争性磋商招标的事项若存在变动或修改，敬请及时关注公告网址上发布的信息更正公告。</w:t>
            </w:r>
          </w:p>
          <w:p w14:paraId="02163738">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采购人(采购代理机构)如需澄清或补充修改时，应以补充公告或补充(答疑)文件的形式，在网上发布。已下载竞争性磋商文件的潜在供应商应及时登陆市交易中心网，下载补充(答疑)文件，下载方式同下载招标文件。</w:t>
            </w:r>
          </w:p>
          <w:p w14:paraId="10BA37C6">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竞争性磋商公告与竞争性磋商文件不一致之处，以竞争性磋商文件为准。</w:t>
            </w:r>
          </w:p>
        </w:tc>
      </w:tr>
      <w:tr w14:paraId="4B42E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4A3A00B4">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lang w:val="en-US" w:eastAsia="zh-CN"/>
              </w:rPr>
            </w:pPr>
            <w:r>
              <w:rPr>
                <w:rFonts w:hint="eastAsia" w:ascii="黑体" w:hAnsi="黑体" w:eastAsia="黑体" w:cs="黑体"/>
                <w:color w:val="auto"/>
                <w:sz w:val="24"/>
                <w:szCs w:val="24"/>
                <w:highlight w:val="none"/>
                <w:lang w:val="en-US" w:eastAsia="zh-CN"/>
              </w:rPr>
              <w:t>35.3</w:t>
            </w:r>
          </w:p>
        </w:tc>
        <w:tc>
          <w:tcPr>
            <w:tcW w:w="1899" w:type="dxa"/>
            <w:vAlign w:val="center"/>
          </w:tcPr>
          <w:p w14:paraId="11670AEA">
            <w:pPr>
              <w:keepNext w:val="0"/>
              <w:keepLines w:val="0"/>
              <w:pageBreakBefore w:val="0"/>
              <w:widowControl/>
              <w:kinsoku/>
              <w:overflowPunct/>
              <w:topLinePunct/>
              <w:autoSpaceDE w:val="0"/>
              <w:autoSpaceDN w:val="0"/>
              <w:bidi w:val="0"/>
              <w:adjustRightInd w:val="0"/>
              <w:jc w:val="center"/>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t>是否采用电子招标投标</w:t>
            </w:r>
          </w:p>
        </w:tc>
        <w:tc>
          <w:tcPr>
            <w:tcW w:w="6180" w:type="dxa"/>
            <w:vAlign w:val="top"/>
          </w:tcPr>
          <w:p w14:paraId="6845504E">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rPr>
              <w:drawing>
                <wp:inline distT="0" distB="0" distL="0" distR="0">
                  <wp:extent cx="130810" cy="171450"/>
                  <wp:effectExtent l="0" t="0" r="2540" b="0"/>
                  <wp:docPr id="19" name="IM 4"/>
                  <wp:cNvGraphicFramePr/>
                  <a:graphic xmlns:a="http://schemas.openxmlformats.org/drawingml/2006/main">
                    <a:graphicData uri="http://schemas.openxmlformats.org/drawingml/2006/picture">
                      <pic:pic xmlns:pic="http://schemas.openxmlformats.org/drawingml/2006/picture">
                        <pic:nvPicPr>
                          <pic:cNvPr id="19" name="IM 4"/>
                          <pic:cNvPicPr/>
                        </pic:nvPicPr>
                        <pic:blipFill>
                          <a:blip r:embed="rId33"/>
                          <a:stretch>
                            <a:fillRect/>
                          </a:stretch>
                        </pic:blipFill>
                        <pic:spPr>
                          <a:xfrm>
                            <a:off x="0" y="0"/>
                            <a:ext cx="130911" cy="172059"/>
                          </a:xfrm>
                          <a:prstGeom prst="rect">
                            <a:avLst/>
                          </a:prstGeom>
                        </pic:spPr>
                      </pic:pic>
                    </a:graphicData>
                  </a:graphic>
                </wp:inline>
              </w:drawing>
            </w:r>
            <w:r>
              <w:rPr>
                <w:rFonts w:hint="eastAsia" w:ascii="黑体" w:hAnsi="黑体" w:eastAsia="黑体" w:cs="黑体"/>
                <w:color w:val="auto"/>
                <w:sz w:val="24"/>
                <w:szCs w:val="24"/>
                <w:highlight w:val="none"/>
              </w:rPr>
              <w:t>否</w:t>
            </w:r>
          </w:p>
          <w:p w14:paraId="2265667A">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lang w:val="zh-CN" w:eastAsia="zh-CN"/>
              </w:rPr>
            </w:pPr>
            <w:r>
              <w:rPr>
                <w:rFonts w:hint="eastAsia" w:ascii="黑体" w:hAnsi="黑体" w:eastAsia="黑体" w:cs="黑体"/>
                <w:color w:val="auto"/>
                <w:sz w:val="24"/>
                <w:szCs w:val="24"/>
                <w:highlight w:val="none"/>
              </w:rPr>
              <w:t>□是，具体要求：</w:t>
            </w:r>
          </w:p>
        </w:tc>
      </w:tr>
      <w:tr w14:paraId="3853F0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2589E88F">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36</w:t>
            </w:r>
          </w:p>
        </w:tc>
        <w:tc>
          <w:tcPr>
            <w:tcW w:w="1899" w:type="dxa"/>
            <w:vAlign w:val="center"/>
          </w:tcPr>
          <w:p w14:paraId="1778409C">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snapToGrid w:val="0"/>
                <w:color w:val="auto"/>
                <w:kern w:val="2"/>
                <w:sz w:val="24"/>
                <w:szCs w:val="24"/>
                <w:highlight w:val="none"/>
                <w:lang w:val="zh-CN" w:eastAsia="zh-CN" w:bidi="ar-SA"/>
              </w:rPr>
            </w:pPr>
            <w:r>
              <w:rPr>
                <w:rFonts w:hint="eastAsia" w:ascii="黑体" w:hAnsi="黑体" w:eastAsia="黑体" w:cs="黑体"/>
                <w:color w:val="auto"/>
                <w:kern w:val="2"/>
                <w:sz w:val="24"/>
                <w:szCs w:val="24"/>
                <w:highlight w:val="none"/>
              </w:rPr>
              <w:t>落实政府采购政策</w:t>
            </w:r>
          </w:p>
        </w:tc>
        <w:tc>
          <w:tcPr>
            <w:tcW w:w="6180" w:type="dxa"/>
            <w:vAlign w:val="center"/>
          </w:tcPr>
          <w:p w14:paraId="072D9306">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rPr>
            </w:pPr>
            <w:r>
              <w:rPr>
                <w:rFonts w:hint="eastAsia" w:ascii="黑体" w:hAnsi="黑体" w:eastAsia="黑体" w:cs="黑体"/>
                <w:color w:val="auto"/>
                <w:kern w:val="2"/>
                <w:sz w:val="24"/>
                <w:szCs w:val="24"/>
                <w:highlight w:val="none"/>
              </w:rPr>
              <w:t>①《政府采购促进中小企业发展管理办法》（财库[2020]46号）；</w:t>
            </w:r>
          </w:p>
          <w:p w14:paraId="1D3D2B74">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rPr>
            </w:pPr>
            <w:r>
              <w:rPr>
                <w:rFonts w:hint="eastAsia" w:ascii="黑体" w:hAnsi="黑体" w:eastAsia="黑体" w:cs="黑体"/>
                <w:color w:val="auto"/>
                <w:kern w:val="2"/>
                <w:sz w:val="24"/>
                <w:szCs w:val="24"/>
                <w:highlight w:val="none"/>
              </w:rPr>
              <w:t>②《财政部司法部关于政府采购支持监狱企业发展有关问题的通知》（财库[2014]68号）；</w:t>
            </w:r>
          </w:p>
          <w:p w14:paraId="5ED80460">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rPr>
            </w:pPr>
            <w:r>
              <w:rPr>
                <w:rFonts w:hint="eastAsia" w:ascii="黑体" w:hAnsi="黑体" w:eastAsia="黑体" w:cs="黑体"/>
                <w:color w:val="auto"/>
                <w:kern w:val="2"/>
                <w:sz w:val="24"/>
                <w:szCs w:val="24"/>
                <w:highlight w:val="none"/>
              </w:rPr>
              <w:t>③《关于促进残疾人就业政府采购政策的通知》（财库〔2017〕141号）；</w:t>
            </w:r>
          </w:p>
          <w:p w14:paraId="3208B51A">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leftChars="0" w:right="0" w:rightChars="0" w:firstLine="0" w:firstLineChars="0"/>
              <w:jc w:val="left"/>
              <w:textAlignment w:val="auto"/>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color w:val="auto"/>
                <w:kern w:val="2"/>
                <w:sz w:val="24"/>
                <w:szCs w:val="24"/>
                <w:highlight w:val="none"/>
              </w:rPr>
              <w:t>④《关于调整优化节能产品、环境标志产品政府采购执行机制的通知》(财库[2019]9号)等国家最新政策。</w:t>
            </w:r>
          </w:p>
        </w:tc>
      </w:tr>
      <w:tr w14:paraId="1493A6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1220924C">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37</w:t>
            </w:r>
          </w:p>
        </w:tc>
        <w:tc>
          <w:tcPr>
            <w:tcW w:w="1899" w:type="dxa"/>
            <w:vAlign w:val="center"/>
          </w:tcPr>
          <w:p w14:paraId="7F43913E">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zh-CN" w:eastAsia="en-US" w:bidi="ar-SA"/>
              </w:rPr>
            </w:pPr>
            <w:r>
              <w:rPr>
                <w:rFonts w:hint="eastAsia" w:ascii="黑体" w:hAnsi="黑体" w:eastAsia="黑体" w:cs="黑体"/>
                <w:bCs/>
                <w:color w:val="auto"/>
                <w:kern w:val="2"/>
                <w:sz w:val="24"/>
                <w:szCs w:val="24"/>
                <w:highlight w:val="none"/>
                <w:lang w:val="zh-CN"/>
              </w:rPr>
              <w:t>本项目所属行业</w:t>
            </w:r>
          </w:p>
        </w:tc>
        <w:tc>
          <w:tcPr>
            <w:tcW w:w="6180" w:type="dxa"/>
            <w:vAlign w:val="top"/>
          </w:tcPr>
          <w:p w14:paraId="52999CEF">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leftChars="0" w:right="0" w:rightChars="0" w:firstLine="0" w:firstLineChars="0"/>
              <w:jc w:val="left"/>
              <w:textAlignment w:val="auto"/>
              <w:rPr>
                <w:rFonts w:hint="eastAsia" w:ascii="黑体" w:hAnsi="黑体" w:eastAsia="黑体" w:cs="黑体"/>
                <w:bCs/>
                <w:snapToGrid w:val="0"/>
                <w:color w:val="auto"/>
                <w:kern w:val="2"/>
                <w:sz w:val="24"/>
                <w:szCs w:val="24"/>
                <w:highlight w:val="none"/>
                <w:u w:val="none"/>
                <w:lang w:val="en-US" w:eastAsia="zh-CN" w:bidi="ar-SA"/>
              </w:rPr>
            </w:pPr>
            <w:r>
              <w:rPr>
                <w:rFonts w:hint="eastAsia" w:ascii="黑体" w:hAnsi="黑体" w:eastAsia="黑体" w:cs="黑体"/>
                <w:bCs/>
                <w:snapToGrid w:val="0"/>
                <w:color w:val="auto"/>
                <w:kern w:val="2"/>
                <w:sz w:val="24"/>
                <w:szCs w:val="24"/>
                <w:highlight w:val="none"/>
                <w:u w:val="none"/>
                <w:lang w:val="en-US" w:eastAsia="zh-CN" w:bidi="ar-SA"/>
              </w:rPr>
              <w:t>所属行业：其他未列明行业。从业人员300人以下的为中小微型企业。其中，从业人员100人及以上的为中型企业；从业人员10人及以上的为小型企业；从业人员10人以下的为微型企业。</w:t>
            </w:r>
          </w:p>
          <w:p w14:paraId="7824E5CD">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leftChars="0" w:right="0" w:rightChars="0" w:firstLine="0" w:firstLineChars="0"/>
              <w:jc w:val="left"/>
              <w:textAlignment w:val="auto"/>
              <w:rPr>
                <w:rFonts w:hint="eastAsia" w:ascii="黑体" w:hAnsi="黑体" w:eastAsia="黑体" w:cs="黑体"/>
                <w:bCs/>
                <w:snapToGrid w:val="0"/>
                <w:color w:val="auto"/>
                <w:kern w:val="2"/>
                <w:sz w:val="24"/>
                <w:szCs w:val="24"/>
                <w:highlight w:val="none"/>
                <w:u w:val="none"/>
                <w:lang w:val="en-US" w:eastAsia="zh-CN" w:bidi="ar-SA"/>
              </w:rPr>
            </w:pPr>
            <w:r>
              <w:rPr>
                <w:rFonts w:hint="eastAsia" w:ascii="黑体" w:hAnsi="黑体" w:eastAsia="黑体" w:cs="黑体"/>
                <w:bCs/>
                <w:snapToGrid w:val="0"/>
                <w:color w:val="auto"/>
                <w:kern w:val="2"/>
                <w:sz w:val="24"/>
                <w:szCs w:val="24"/>
                <w:highlight w:val="none"/>
                <w:u w:val="none"/>
                <w:lang w:val="en-US" w:eastAsia="zh-CN" w:bidi="ar-SA"/>
              </w:rPr>
              <w:t>本项目为专门面向中小企业项目，根据《政府采购促进中小企业发展政策问答》 第四大点第二小条“专门面向中小企业采购的项目或者采购包，不再执行价格评审优惠的扶持政策”，故本项目中小微企业均不进行价格扣除计算报价得分，中小企业须提供《中小企业声明函》。</w:t>
            </w:r>
          </w:p>
        </w:tc>
      </w:tr>
      <w:tr w14:paraId="0922E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3F50E7E9">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val="en-US" w:eastAsia="zh-CN"/>
              </w:rPr>
              <w:t>38</w:t>
            </w:r>
          </w:p>
        </w:tc>
        <w:tc>
          <w:tcPr>
            <w:tcW w:w="1899" w:type="dxa"/>
            <w:vAlign w:val="center"/>
          </w:tcPr>
          <w:p w14:paraId="07873A56">
            <w:pPr>
              <w:keepNext w:val="0"/>
              <w:keepLines w:val="0"/>
              <w:pageBreakBefore w:val="0"/>
              <w:widowControl/>
              <w:suppressLineNumbers w:val="0"/>
              <w:kinsoku/>
              <w:overflowPunct/>
              <w:topLinePunct/>
              <w:autoSpaceDE w:val="0"/>
              <w:autoSpaceDN w:val="0"/>
              <w:bidi w:val="0"/>
              <w:adjustRightInd w:val="0"/>
              <w:snapToGrid w:val="0"/>
              <w:spacing w:before="120" w:beforeLines="50" w:beforeAutospacing="0" w:after="0" w:afterAutospacing="0" w:line="240" w:lineRule="auto"/>
              <w:ind w:left="0" w:leftChars="0" w:right="0" w:rightChars="0"/>
              <w:jc w:val="center"/>
              <w:rPr>
                <w:rFonts w:hint="eastAsia" w:ascii="黑体" w:hAnsi="黑体" w:eastAsia="黑体" w:cs="黑体"/>
                <w:snapToGrid w:val="0"/>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rPr>
              <w:t>落实政府采购政策</w:t>
            </w:r>
          </w:p>
        </w:tc>
        <w:tc>
          <w:tcPr>
            <w:tcW w:w="6180" w:type="dxa"/>
            <w:vAlign w:val="center"/>
          </w:tcPr>
          <w:p w14:paraId="2177A1ED">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lang w:val="zh-CN" w:eastAsia="zh-CN"/>
              </w:rPr>
            </w:pPr>
            <w:r>
              <w:rPr>
                <w:rFonts w:hint="eastAsia" w:ascii="黑体" w:hAnsi="黑体" w:eastAsia="黑体" w:cs="黑体"/>
                <w:color w:val="auto"/>
                <w:kern w:val="2"/>
                <w:sz w:val="24"/>
                <w:szCs w:val="24"/>
                <w:highlight w:val="none"/>
                <w:lang w:val="zh-CN" w:eastAsia="zh-CN"/>
              </w:rPr>
              <w:t>本项目专门面向中小企业采购，供应商必须是中小微企业，残疾人福利性单位、监狱企业视同小型、微型企业。</w:t>
            </w:r>
          </w:p>
          <w:p w14:paraId="3EE31ED6">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lang w:val="en-US" w:eastAsia="zh-CN"/>
              </w:rPr>
            </w:pPr>
            <w:r>
              <w:rPr>
                <w:rFonts w:hint="eastAsia" w:ascii="黑体" w:hAnsi="黑体" w:eastAsia="黑体" w:cs="黑体"/>
                <w:color w:val="auto"/>
                <w:kern w:val="2"/>
                <w:sz w:val="24"/>
                <w:szCs w:val="24"/>
                <w:highlight w:val="none"/>
                <w:lang w:val="en-US" w:eastAsia="zh-CN"/>
              </w:rPr>
              <w:t>注：</w:t>
            </w:r>
          </w:p>
          <w:p w14:paraId="24F9632C">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lang w:val="en-US" w:eastAsia="zh-CN"/>
              </w:rPr>
            </w:pPr>
            <w:r>
              <w:rPr>
                <w:rFonts w:hint="eastAsia" w:ascii="黑体" w:hAnsi="黑体" w:eastAsia="黑体" w:cs="黑体"/>
                <w:color w:val="auto"/>
                <w:kern w:val="2"/>
                <w:sz w:val="24"/>
                <w:szCs w:val="24"/>
                <w:highlight w:val="none"/>
                <w:lang w:val="en-US" w:eastAsia="zh-CN"/>
              </w:rPr>
              <w:t>1）监狱企业参加政府采购活动时，应当提供由省级以上监狱管理局、戒毒管理局（含新疆生产建设兵团）出具的属于监狱企业的证明文件（</w:t>
            </w:r>
            <w:r>
              <w:rPr>
                <w:rFonts w:hint="eastAsia" w:ascii="黑体" w:hAnsi="黑体" w:eastAsia="黑体" w:cs="黑体"/>
                <w:color w:val="auto"/>
                <w:kern w:val="2"/>
                <w:sz w:val="24"/>
                <w:szCs w:val="24"/>
                <w:highlight w:val="none"/>
                <w:lang w:val="zh-CN" w:eastAsia="zh-CN"/>
              </w:rPr>
              <w:t>财库【2014】68号文件</w:t>
            </w:r>
            <w:r>
              <w:rPr>
                <w:rFonts w:hint="eastAsia" w:ascii="黑体" w:hAnsi="黑体" w:eastAsia="黑体" w:cs="黑体"/>
                <w:color w:val="auto"/>
                <w:kern w:val="2"/>
                <w:sz w:val="24"/>
                <w:szCs w:val="24"/>
                <w:highlight w:val="none"/>
                <w:lang w:val="en-US" w:eastAsia="zh-CN"/>
              </w:rPr>
              <w:t>）。</w:t>
            </w:r>
          </w:p>
          <w:p w14:paraId="2AD00804">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right="0" w:firstLine="0" w:firstLineChars="0"/>
              <w:jc w:val="left"/>
              <w:textAlignment w:val="auto"/>
              <w:rPr>
                <w:rFonts w:hint="eastAsia" w:ascii="黑体" w:hAnsi="黑体" w:eastAsia="黑体" w:cs="黑体"/>
                <w:color w:val="auto"/>
                <w:kern w:val="2"/>
                <w:sz w:val="24"/>
                <w:szCs w:val="24"/>
                <w:highlight w:val="none"/>
                <w:lang w:val="en-US" w:eastAsia="zh-CN"/>
              </w:rPr>
            </w:pPr>
            <w:r>
              <w:rPr>
                <w:rFonts w:hint="eastAsia" w:ascii="黑体" w:hAnsi="黑体" w:eastAsia="黑体" w:cs="黑体"/>
                <w:color w:val="auto"/>
                <w:kern w:val="2"/>
                <w:sz w:val="24"/>
                <w:szCs w:val="24"/>
                <w:highlight w:val="none"/>
                <w:lang w:val="en-US" w:eastAsia="zh-CN"/>
              </w:rPr>
              <w:t>2）小微企业需提供以下资料：中小企业声明函（</w:t>
            </w:r>
            <w:r>
              <w:rPr>
                <w:rFonts w:hint="eastAsia" w:ascii="黑体" w:hAnsi="黑体" w:eastAsia="黑体" w:cs="黑体"/>
                <w:color w:val="auto"/>
                <w:kern w:val="2"/>
                <w:sz w:val="24"/>
                <w:szCs w:val="24"/>
                <w:highlight w:val="none"/>
                <w:lang w:val="zh-CN" w:eastAsia="zh-CN"/>
              </w:rPr>
              <w:t>财库〔2020〕46号</w:t>
            </w:r>
            <w:r>
              <w:rPr>
                <w:rFonts w:hint="eastAsia" w:ascii="黑体" w:hAnsi="黑体" w:eastAsia="黑体" w:cs="黑体"/>
                <w:color w:val="auto"/>
                <w:kern w:val="2"/>
                <w:sz w:val="24"/>
                <w:szCs w:val="24"/>
                <w:highlight w:val="none"/>
                <w:lang w:val="en-US" w:eastAsia="zh-CN"/>
              </w:rPr>
              <w:t>）。</w:t>
            </w:r>
          </w:p>
          <w:p w14:paraId="36A8F2DD">
            <w:pPr>
              <w:keepNext w:val="0"/>
              <w:keepLines w:val="0"/>
              <w:pageBreakBefore w:val="0"/>
              <w:widowControl/>
              <w:suppressLineNumbers w:val="0"/>
              <w:kinsoku/>
              <w:overflowPunct/>
              <w:topLinePunct/>
              <w:autoSpaceDE w:val="0"/>
              <w:autoSpaceDN w:val="0"/>
              <w:bidi w:val="0"/>
              <w:adjustRightInd w:val="0"/>
              <w:snapToGrid/>
              <w:spacing w:before="0" w:beforeAutospacing="0" w:after="0" w:afterAutospacing="0" w:line="240" w:lineRule="auto"/>
              <w:ind w:left="0" w:leftChars="0" w:right="0" w:rightChars="0" w:firstLine="0" w:firstLineChars="0"/>
              <w:jc w:val="left"/>
              <w:textAlignment w:val="auto"/>
              <w:rPr>
                <w:rFonts w:hint="eastAsia" w:ascii="黑体" w:hAnsi="黑体" w:eastAsia="黑体" w:cs="黑体"/>
                <w:snapToGrid w:val="0"/>
                <w:color w:val="auto"/>
                <w:kern w:val="2"/>
                <w:sz w:val="24"/>
                <w:szCs w:val="24"/>
                <w:highlight w:val="none"/>
                <w:lang w:val="en-US" w:eastAsia="zh-CN"/>
              </w:rPr>
            </w:pPr>
            <w:r>
              <w:rPr>
                <w:rFonts w:hint="eastAsia" w:ascii="黑体" w:hAnsi="黑体" w:eastAsia="黑体" w:cs="黑体"/>
                <w:color w:val="auto"/>
                <w:kern w:val="2"/>
                <w:sz w:val="24"/>
                <w:szCs w:val="24"/>
                <w:highlight w:val="none"/>
                <w:lang w:val="en-US" w:eastAsia="zh-CN"/>
              </w:rPr>
              <w:t>3）</w:t>
            </w:r>
            <w:r>
              <w:rPr>
                <w:rFonts w:hint="eastAsia" w:ascii="黑体" w:hAnsi="黑体" w:eastAsia="黑体" w:cs="黑体"/>
                <w:color w:val="auto"/>
                <w:kern w:val="2"/>
                <w:sz w:val="24"/>
                <w:szCs w:val="24"/>
                <w:highlight w:val="none"/>
                <w:lang w:val="zh-CN" w:eastAsia="zh-CN"/>
              </w:rPr>
              <w:t>残疾人福利性单位</w:t>
            </w:r>
            <w:r>
              <w:rPr>
                <w:rFonts w:hint="eastAsia" w:ascii="黑体" w:hAnsi="黑体" w:eastAsia="黑体" w:cs="黑体"/>
                <w:color w:val="auto"/>
                <w:kern w:val="2"/>
                <w:sz w:val="24"/>
                <w:szCs w:val="24"/>
                <w:highlight w:val="none"/>
                <w:lang w:val="en-US" w:eastAsia="zh-CN"/>
              </w:rPr>
              <w:t>须提供</w:t>
            </w:r>
            <w:r>
              <w:rPr>
                <w:rFonts w:hint="eastAsia" w:ascii="黑体" w:hAnsi="黑体" w:eastAsia="黑体" w:cs="黑体"/>
                <w:color w:val="auto"/>
                <w:kern w:val="2"/>
                <w:sz w:val="24"/>
                <w:szCs w:val="24"/>
                <w:highlight w:val="none"/>
                <w:lang w:val="zh-CN" w:eastAsia="zh-CN"/>
              </w:rPr>
              <w:t>残疾人福利性单位声明函（财库[2017]141号）。</w:t>
            </w:r>
          </w:p>
        </w:tc>
      </w:tr>
      <w:tr w14:paraId="4518B5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14314A55">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val="en-US" w:eastAsia="zh-CN"/>
              </w:rPr>
              <w:t>39</w:t>
            </w:r>
          </w:p>
        </w:tc>
        <w:tc>
          <w:tcPr>
            <w:tcW w:w="1899" w:type="dxa"/>
            <w:vAlign w:val="center"/>
          </w:tcPr>
          <w:p w14:paraId="23EF02F6">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50" w:leftChars="0" w:right="50" w:rightChars="0"/>
              <w:contextualSpacing/>
              <w:jc w:val="center"/>
              <w:rPr>
                <w:rFonts w:hint="eastAsia" w:ascii="黑体" w:hAnsi="黑体" w:eastAsia="黑体" w:cs="黑体"/>
                <w:snapToGrid w:val="0"/>
                <w:color w:val="auto"/>
                <w:kern w:val="2"/>
                <w:sz w:val="24"/>
                <w:szCs w:val="24"/>
                <w:highlight w:val="none"/>
                <w:lang w:val="zh-CN" w:eastAsia="zh-CN" w:bidi="ar-SA"/>
              </w:rPr>
            </w:pPr>
            <w:r>
              <w:rPr>
                <w:rFonts w:hint="eastAsia" w:ascii="黑体" w:hAnsi="黑体" w:eastAsia="黑体" w:cs="黑体"/>
                <w:color w:val="auto"/>
                <w:kern w:val="2"/>
                <w:sz w:val="24"/>
                <w:szCs w:val="24"/>
                <w:highlight w:val="none"/>
                <w:lang w:val="en-US" w:eastAsia="zh-CN"/>
              </w:rPr>
              <w:t>节能和环保要求</w:t>
            </w:r>
          </w:p>
        </w:tc>
        <w:tc>
          <w:tcPr>
            <w:tcW w:w="6180" w:type="dxa"/>
            <w:vAlign w:val="center"/>
          </w:tcPr>
          <w:p w14:paraId="030DC2B2">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eastAsia="zh-CN"/>
              </w:rPr>
              <w:t>服务</w:t>
            </w:r>
            <w:r>
              <w:rPr>
                <w:rFonts w:hint="eastAsia" w:ascii="黑体" w:hAnsi="黑体" w:eastAsia="黑体" w:cs="黑体"/>
                <w:bCs/>
                <w:color w:val="auto"/>
                <w:kern w:val="2"/>
                <w:sz w:val="24"/>
                <w:szCs w:val="24"/>
                <w:highlight w:val="none"/>
              </w:rPr>
              <w:t>中使用材料的成品及半成品应优先使用纳入《节能产品政府采购清单》和《环境标志产品政府采购清单》内的产品，并符合国家标准、绿色环保。</w:t>
            </w:r>
          </w:p>
        </w:tc>
      </w:tr>
      <w:tr w14:paraId="1553C4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72176DBB">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val="en-US" w:eastAsia="zh-CN"/>
              </w:rPr>
              <w:t>40</w:t>
            </w:r>
          </w:p>
        </w:tc>
        <w:tc>
          <w:tcPr>
            <w:tcW w:w="1899" w:type="dxa"/>
            <w:vAlign w:val="center"/>
          </w:tcPr>
          <w:p w14:paraId="1038FEE2">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50" w:leftChars="0" w:right="50" w:rightChars="0"/>
              <w:contextualSpacing/>
              <w:jc w:val="center"/>
              <w:rPr>
                <w:rFonts w:hint="eastAsia" w:ascii="黑体" w:hAnsi="黑体" w:eastAsia="黑体" w:cs="黑体"/>
                <w:snapToGrid w:val="0"/>
                <w:color w:val="auto"/>
                <w:kern w:val="2"/>
                <w:sz w:val="24"/>
                <w:szCs w:val="24"/>
                <w:highlight w:val="none"/>
                <w:lang w:val="zh-CN" w:eastAsia="zh-CN" w:bidi="ar-SA"/>
              </w:rPr>
            </w:pPr>
            <w:r>
              <w:rPr>
                <w:rFonts w:hint="eastAsia" w:ascii="黑体" w:hAnsi="黑体" w:eastAsia="黑体" w:cs="黑体"/>
                <w:color w:val="auto"/>
                <w:kern w:val="2"/>
                <w:sz w:val="24"/>
                <w:szCs w:val="24"/>
                <w:highlight w:val="none"/>
                <w:lang w:val="en-US" w:eastAsia="zh-CN"/>
              </w:rPr>
              <w:t>合同备案管理</w:t>
            </w:r>
          </w:p>
        </w:tc>
        <w:tc>
          <w:tcPr>
            <w:tcW w:w="6180" w:type="dxa"/>
            <w:vAlign w:val="center"/>
          </w:tcPr>
          <w:p w14:paraId="6E3CD06E">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en-US" w:eastAsia="zh-CN"/>
              </w:rPr>
              <w:t>中标单位与采购人签订合同后2日内，将扫描件交于采购代理机构，采购代理机构协助采购人，将政府采购合同在省级以上人民政府部门指定的媒体上公告（政府采购合同中涉及国家秘密、商业秘密的内容除外）。</w:t>
            </w:r>
          </w:p>
        </w:tc>
      </w:tr>
      <w:tr w14:paraId="6E1A6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2099954E">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val="en-US" w:eastAsia="zh-CN"/>
              </w:rPr>
              <w:t>41</w:t>
            </w:r>
          </w:p>
        </w:tc>
        <w:tc>
          <w:tcPr>
            <w:tcW w:w="1899" w:type="dxa"/>
            <w:vAlign w:val="center"/>
          </w:tcPr>
          <w:p w14:paraId="68C5A4D3">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snapToGrid w:val="0"/>
                <w:color w:val="auto"/>
                <w:kern w:val="2"/>
                <w:sz w:val="24"/>
                <w:szCs w:val="24"/>
                <w:highlight w:val="none"/>
                <w:lang w:val="en-US" w:eastAsia="zh-CN" w:bidi="ar-SA"/>
              </w:rPr>
            </w:pPr>
            <w:r>
              <w:rPr>
                <w:rFonts w:hint="eastAsia" w:ascii="黑体" w:hAnsi="黑体" w:eastAsia="黑体" w:cs="黑体"/>
                <w:color w:val="auto"/>
                <w:kern w:val="2"/>
                <w:sz w:val="24"/>
                <w:szCs w:val="24"/>
                <w:highlight w:val="none"/>
                <w:lang w:val="zh-CN"/>
              </w:rPr>
              <w:t>法律责任</w:t>
            </w:r>
          </w:p>
        </w:tc>
        <w:tc>
          <w:tcPr>
            <w:tcW w:w="6180" w:type="dxa"/>
            <w:vAlign w:val="center"/>
          </w:tcPr>
          <w:p w14:paraId="35277214">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eastAsia="zh-CN"/>
              </w:rPr>
              <w:t>投标人提供的投标文件内容不实的，属于提供虚假材料谋取中标、成交，依照《中华人民共和国政府采购法》等国家有关法律法规规定追究相应责任。</w:t>
            </w:r>
          </w:p>
        </w:tc>
      </w:tr>
      <w:tr w14:paraId="119FE6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0C38D3CC">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eastAsia" w:ascii="黑体" w:hAnsi="黑体" w:eastAsia="黑体" w:cs="黑体"/>
                <w:bCs/>
                <w:snapToGrid w:val="0"/>
                <w:color w:val="auto"/>
                <w:kern w:val="2"/>
                <w:sz w:val="24"/>
                <w:szCs w:val="24"/>
                <w:highlight w:val="none"/>
                <w:lang w:val="en-US" w:eastAsia="zh-CN" w:bidi="ar-SA"/>
              </w:rPr>
            </w:pPr>
            <w:r>
              <w:rPr>
                <w:rFonts w:hint="eastAsia" w:ascii="黑体" w:hAnsi="黑体" w:eastAsia="黑体" w:cs="黑体"/>
                <w:bCs/>
                <w:color w:val="auto"/>
                <w:kern w:val="2"/>
                <w:sz w:val="24"/>
                <w:szCs w:val="24"/>
                <w:highlight w:val="none"/>
                <w:lang w:val="en-US" w:eastAsia="zh-CN"/>
              </w:rPr>
              <w:t>42</w:t>
            </w:r>
          </w:p>
        </w:tc>
        <w:tc>
          <w:tcPr>
            <w:tcW w:w="8079" w:type="dxa"/>
            <w:gridSpan w:val="2"/>
            <w:vAlign w:val="center"/>
          </w:tcPr>
          <w:p w14:paraId="52A080C7">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color w:val="auto"/>
                <w:kern w:val="2"/>
                <w:sz w:val="24"/>
                <w:szCs w:val="24"/>
                <w:highlight w:val="none"/>
                <w:lang w:eastAsia="zh-CN"/>
              </w:rPr>
            </w:pPr>
            <w:r>
              <w:rPr>
                <w:rFonts w:hint="eastAsia" w:ascii="黑体" w:hAnsi="黑体" w:eastAsia="黑体" w:cs="黑体"/>
                <w:bCs/>
                <w:color w:val="auto"/>
                <w:kern w:val="2"/>
                <w:sz w:val="24"/>
                <w:szCs w:val="24"/>
                <w:highlight w:val="none"/>
                <w:lang w:eastAsia="zh-CN"/>
              </w:rPr>
              <w:t>低于成本价不正当竞争预防措施：</w:t>
            </w:r>
          </w:p>
          <w:p w14:paraId="3D127877">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color w:val="auto"/>
                <w:kern w:val="2"/>
                <w:sz w:val="24"/>
                <w:szCs w:val="24"/>
                <w:highlight w:val="none"/>
                <w:lang w:eastAsia="zh-CN"/>
              </w:rPr>
            </w:pPr>
            <w:r>
              <w:rPr>
                <w:rFonts w:hint="eastAsia" w:ascii="黑体" w:hAnsi="黑体" w:eastAsia="黑体" w:cs="黑体"/>
                <w:bCs/>
                <w:color w:val="auto"/>
                <w:kern w:val="2"/>
                <w:sz w:val="24"/>
                <w:szCs w:val="24"/>
                <w:highlight w:val="none"/>
                <w:lang w:eastAsia="zh-CN"/>
              </w:rPr>
              <w:t>1.在评审过程中，供应商报价过低，有可能影响</w:t>
            </w:r>
            <w:r>
              <w:rPr>
                <w:rFonts w:hint="eastAsia" w:ascii="黑体" w:hAnsi="黑体" w:eastAsia="黑体" w:cs="黑体"/>
                <w:bCs/>
                <w:color w:val="auto"/>
                <w:kern w:val="2"/>
                <w:sz w:val="24"/>
                <w:szCs w:val="24"/>
                <w:highlight w:val="none"/>
                <w:lang w:val="en-US" w:eastAsia="zh-CN"/>
              </w:rPr>
              <w:t>项目</w:t>
            </w:r>
            <w:r>
              <w:rPr>
                <w:rFonts w:hint="eastAsia" w:ascii="黑体" w:hAnsi="黑体" w:eastAsia="黑体" w:cs="黑体"/>
                <w:bCs/>
                <w:color w:val="auto"/>
                <w:kern w:val="2"/>
                <w:sz w:val="24"/>
                <w:szCs w:val="24"/>
                <w:highlight w:val="none"/>
                <w:lang w:eastAsia="zh-CN"/>
              </w:rPr>
              <w:t>质量或者不能诚信履约的，评审小组应当要求其在合理的时间（</w:t>
            </w:r>
            <w:r>
              <w:rPr>
                <w:rFonts w:hint="eastAsia" w:ascii="黑体" w:hAnsi="黑体" w:eastAsia="黑体" w:cs="黑体"/>
                <w:bCs/>
                <w:color w:val="auto"/>
                <w:kern w:val="2"/>
                <w:sz w:val="24"/>
                <w:szCs w:val="24"/>
                <w:highlight w:val="none"/>
                <w:lang w:val="en-US" w:eastAsia="zh-CN"/>
              </w:rPr>
              <w:t>约20分钟</w:t>
            </w:r>
            <w:r>
              <w:rPr>
                <w:rFonts w:hint="eastAsia" w:ascii="黑体" w:hAnsi="黑体" w:eastAsia="黑体" w:cs="黑体"/>
                <w:bCs/>
                <w:color w:val="auto"/>
                <w:kern w:val="2"/>
                <w:sz w:val="24"/>
                <w:szCs w:val="24"/>
                <w:highlight w:val="none"/>
                <w:lang w:eastAsia="zh-CN"/>
              </w:rPr>
              <w:t>）内提供书面说明，并提交相关证明材料，供应商不能证明其报价合理性的，评审小组应当将其作为无效处理。供应商的书面说明材料应当按照国家财务会计制度的规定要求，逐项就供应商提供的货物、工程和服务的主营业务成本、税金及附加、销售费用、管理费用、财务费用等成本构成事项详细陈述）。</w:t>
            </w:r>
          </w:p>
          <w:p w14:paraId="57BF2788">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color w:val="auto"/>
                <w:kern w:val="2"/>
                <w:sz w:val="24"/>
                <w:szCs w:val="24"/>
                <w:highlight w:val="none"/>
                <w:lang w:eastAsia="zh-CN"/>
              </w:rPr>
            </w:pPr>
            <w:r>
              <w:rPr>
                <w:rFonts w:hint="eastAsia" w:ascii="黑体" w:hAnsi="黑体" w:eastAsia="黑体" w:cs="黑体"/>
                <w:bCs/>
                <w:color w:val="auto"/>
                <w:kern w:val="2"/>
                <w:sz w:val="24"/>
                <w:szCs w:val="24"/>
                <w:highlight w:val="none"/>
                <w:lang w:eastAsia="zh-CN"/>
              </w:rPr>
              <w:t>2.供应商书面说明应当签字确认或者加盖公章，否则无效。书面说明的签字确认，由其法定代表人或授权代表完成。</w:t>
            </w:r>
          </w:p>
          <w:p w14:paraId="2A049385">
            <w:pPr>
              <w:keepNext w:val="0"/>
              <w:keepLines w:val="0"/>
              <w:pageBreakBefore w:val="0"/>
              <w:widowControl/>
              <w:suppressLineNumbers w:val="0"/>
              <w:kinsoku/>
              <w:wordWrap w:val="0"/>
              <w:overflowPunct/>
              <w:topLinePunct/>
              <w:autoSpaceDE w:val="0"/>
              <w:autoSpaceDN w:val="0"/>
              <w:bidi w:val="0"/>
              <w:adjustRightInd w:val="0"/>
              <w:snapToGrid/>
              <w:spacing w:before="0" w:beforeAutospacing="0" w:after="0" w:afterAutospacing="0" w:line="240" w:lineRule="auto"/>
              <w:ind w:left="51" w:leftChars="0" w:right="51" w:rightChars="0" w:firstLine="0" w:firstLineChars="0"/>
              <w:contextualSpacing/>
              <w:jc w:val="left"/>
              <w:textAlignment w:val="auto"/>
              <w:rPr>
                <w:rFonts w:hint="eastAsia" w:ascii="黑体" w:hAnsi="黑体" w:eastAsia="黑体" w:cs="黑体"/>
                <w:bCs/>
                <w:color w:val="auto"/>
                <w:kern w:val="2"/>
                <w:sz w:val="24"/>
                <w:szCs w:val="24"/>
                <w:highlight w:val="none"/>
                <w:lang w:eastAsia="zh-CN"/>
              </w:rPr>
            </w:pPr>
            <w:r>
              <w:rPr>
                <w:rFonts w:hint="eastAsia" w:ascii="黑体" w:hAnsi="黑体" w:eastAsia="黑体" w:cs="黑体"/>
                <w:bCs/>
                <w:color w:val="auto"/>
                <w:kern w:val="2"/>
                <w:sz w:val="24"/>
                <w:szCs w:val="24"/>
                <w:highlight w:val="none"/>
                <w:lang w:eastAsia="zh-CN"/>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评审小组应当将其响应文件作为无效处理。</w:t>
            </w:r>
          </w:p>
          <w:p w14:paraId="1BB2D9C9">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bCs/>
                <w:color w:val="auto"/>
                <w:kern w:val="2"/>
                <w:sz w:val="24"/>
                <w:szCs w:val="24"/>
                <w:highlight w:val="none"/>
                <w:lang w:val="en-US" w:eastAsia="zh-CN"/>
              </w:rPr>
              <w:t>4、供应商拟低价投标的，请事先做好书面说明或提供相关证明材料备用（一般包含：成本构成、较其他投标申请人能支撑自己报更低价格优势的说明等）。</w:t>
            </w:r>
          </w:p>
        </w:tc>
      </w:tr>
      <w:tr w14:paraId="3D2CE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47FF227B">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default"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43</w:t>
            </w:r>
          </w:p>
        </w:tc>
        <w:tc>
          <w:tcPr>
            <w:tcW w:w="8079" w:type="dxa"/>
            <w:gridSpan w:val="2"/>
            <w:vAlign w:val="center"/>
          </w:tcPr>
          <w:p w14:paraId="34FC9552">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投标人代表出席开标会：</w:t>
            </w:r>
          </w:p>
          <w:p w14:paraId="769E8B20">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 xml:space="preserve">1、本项目开标采用“政采云”平台进行远程开标，供应商无须到现场，供应商应提前自行准备设备及 CA 锁，准时参加开启会议，按系统提示按时解密投标文件。 </w:t>
            </w:r>
          </w:p>
          <w:p w14:paraId="552B5B1F">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2、供应商未参加开标会议的或未完全参加开标会议全过程的，视为认同开标会议结果。</w:t>
            </w:r>
          </w:p>
        </w:tc>
      </w:tr>
      <w:tr w14:paraId="7B8C2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1105" w:type="dxa"/>
            <w:vAlign w:val="center"/>
          </w:tcPr>
          <w:p w14:paraId="2DF5122D">
            <w:pPr>
              <w:keepNext w:val="0"/>
              <w:keepLines w:val="0"/>
              <w:pageBreakBefore w:val="0"/>
              <w:widowControl/>
              <w:suppressLineNumbers w:val="0"/>
              <w:kinsoku/>
              <w:overflowPunct/>
              <w:topLinePunct/>
              <w:autoSpaceDE w:val="0"/>
              <w:autoSpaceDN w:val="0"/>
              <w:bidi w:val="0"/>
              <w:adjustRightInd w:val="0"/>
              <w:spacing w:before="0" w:beforeAutospacing="0" w:after="0" w:afterAutospacing="0" w:line="240" w:lineRule="auto"/>
              <w:ind w:left="0" w:leftChars="0" w:right="0" w:rightChars="0"/>
              <w:jc w:val="center"/>
              <w:rPr>
                <w:rFonts w:hint="default"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44</w:t>
            </w:r>
          </w:p>
        </w:tc>
        <w:tc>
          <w:tcPr>
            <w:tcW w:w="8079" w:type="dxa"/>
            <w:gridSpan w:val="2"/>
            <w:vAlign w:val="center"/>
          </w:tcPr>
          <w:p w14:paraId="4FDCCE52">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电子标说明：上传的电子证件及资料均需按要求签字盖章上传，否则按未签章处理。以上传至政采云平台的投标文件为准，进行评审。</w:t>
            </w:r>
          </w:p>
          <w:p w14:paraId="57C0E646">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投标文件电子版方面技术支持：95763</w:t>
            </w:r>
          </w:p>
          <w:p w14:paraId="1EE5BD96">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投标人在政府采购云平台（网址：http:// www.zcygov.cn）通过数字证书制作投标文件（此投标文件需上传至政府采购云平台，并在开标时间持编制投标文件的供应商数字证书远程解密）。</w:t>
            </w:r>
          </w:p>
          <w:p w14:paraId="6B575636">
            <w:pPr>
              <w:keepNext w:val="0"/>
              <w:keepLines w:val="0"/>
              <w:pageBreakBefore w:val="0"/>
              <w:widowControl/>
              <w:kinsoku/>
              <w:overflowPunct/>
              <w:topLinePunct/>
              <w:autoSpaceDE w:val="0"/>
              <w:autoSpaceDN w:val="0"/>
              <w:bidi w:val="0"/>
              <w:adjustRightInd w:val="0"/>
              <w:rPr>
                <w:rFonts w:hint="eastAsia" w:ascii="黑体" w:hAnsi="黑体" w:eastAsia="黑体" w:cs="黑体"/>
                <w:bCs/>
                <w:color w:val="auto"/>
                <w:kern w:val="2"/>
                <w:sz w:val="24"/>
                <w:szCs w:val="24"/>
                <w:highlight w:val="none"/>
                <w:lang w:val="en-US" w:eastAsia="zh-CN"/>
              </w:rPr>
            </w:pPr>
            <w:r>
              <w:rPr>
                <w:rFonts w:hint="eastAsia" w:ascii="黑体" w:hAnsi="黑体" w:eastAsia="黑体" w:cs="黑体"/>
                <w:bCs/>
                <w:color w:val="auto"/>
                <w:kern w:val="2"/>
                <w:sz w:val="24"/>
                <w:szCs w:val="24"/>
                <w:highlight w:val="none"/>
                <w:lang w:val="en-US" w:eastAsia="zh-CN"/>
              </w:rPr>
              <w:t>备注：投标文件电子版按招标文件规定执行，用数字证书编制的电子版按《政府采购项目电子交易管理操作指南-供应商》进行投标操作。</w:t>
            </w:r>
          </w:p>
        </w:tc>
      </w:tr>
      <w:tr w14:paraId="2B74AC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jc w:val="center"/>
        </w:trPr>
        <w:tc>
          <w:tcPr>
            <w:tcW w:w="9184" w:type="dxa"/>
            <w:gridSpan w:val="3"/>
            <w:vAlign w:val="center"/>
          </w:tcPr>
          <w:p w14:paraId="67D6C985">
            <w:pPr>
              <w:keepNext w:val="0"/>
              <w:keepLines w:val="0"/>
              <w:pageBreakBefore w:val="0"/>
              <w:widowControl/>
              <w:kinsoku/>
              <w:overflowPunct/>
              <w:topLinePunct/>
              <w:autoSpaceDE w:val="0"/>
              <w:autoSpaceDN w:val="0"/>
              <w:bidi w:val="0"/>
              <w:adjustRightInd w:val="0"/>
              <w:rPr>
                <w:rFonts w:hint="eastAsia" w:ascii="黑体" w:hAnsi="黑体" w:eastAsia="黑体" w:cs="黑体"/>
                <w:color w:val="auto"/>
                <w:sz w:val="24"/>
                <w:szCs w:val="24"/>
                <w:highlight w:val="none"/>
              </w:rPr>
            </w:pPr>
            <w:r>
              <w:rPr>
                <w:rFonts w:hint="eastAsia" w:ascii="黑体" w:hAnsi="黑体" w:eastAsia="黑体" w:cs="黑体"/>
                <w:bCs/>
                <w:color w:val="auto"/>
                <w:kern w:val="2"/>
                <w:sz w:val="24"/>
                <w:szCs w:val="24"/>
                <w:highlight w:val="none"/>
                <w:lang w:val="zh-CN" w:eastAsia="en-US" w:bidi="ar-SA"/>
              </w:rPr>
              <w:t>招标文件内容前后不一致的以投标人须知前附表为准，投标人须知前附表没有的以最后内容为准。</w:t>
            </w:r>
          </w:p>
        </w:tc>
      </w:tr>
    </w:tbl>
    <w:p w14:paraId="20C0986C">
      <w:pPr>
        <w:keepNext w:val="0"/>
        <w:keepLines w:val="0"/>
        <w:pageBreakBefore w:val="0"/>
        <w:kinsoku/>
        <w:overflowPunct/>
        <w:autoSpaceDE w:val="0"/>
        <w:autoSpaceDN w:val="0"/>
        <w:bidi w:val="0"/>
        <w:spacing w:before="167" w:line="227" w:lineRule="auto"/>
        <w:rPr>
          <w:rFonts w:hint="eastAsia" w:ascii="黑体" w:hAnsi="黑体" w:eastAsia="黑体" w:cs="黑体"/>
          <w:color w:val="auto"/>
          <w:spacing w:val="9"/>
          <w:sz w:val="23"/>
          <w:szCs w:val="23"/>
          <w:highlight w:val="none"/>
        </w:rPr>
      </w:pPr>
    </w:p>
    <w:p w14:paraId="30F8657C">
      <w:pPr>
        <w:keepNext w:val="0"/>
        <w:keepLines w:val="0"/>
        <w:pageBreakBefore w:val="0"/>
        <w:kinsoku/>
        <w:overflowPunct/>
        <w:autoSpaceDE w:val="0"/>
        <w:autoSpaceDN w:val="0"/>
        <w:bidi w:val="0"/>
        <w:rPr>
          <w:rFonts w:hint="eastAsia" w:ascii="黑体" w:hAnsi="黑体" w:eastAsia="黑体" w:cs="黑体"/>
          <w:color w:val="auto"/>
          <w:sz w:val="21"/>
          <w:highlight w:val="none"/>
        </w:rPr>
      </w:pPr>
    </w:p>
    <w:p w14:paraId="31EFBB33">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6" w:type="default"/>
          <w:pgSz w:w="11906" w:h="16839"/>
          <w:pgMar w:top="1417" w:right="1417" w:bottom="1417" w:left="1417" w:header="0" w:footer="996" w:gutter="0"/>
          <w:pgBorders>
            <w:top w:val="none" w:sz="0" w:space="0"/>
            <w:left w:val="none" w:sz="0" w:space="0"/>
            <w:bottom w:val="none" w:sz="0" w:space="0"/>
            <w:right w:val="none" w:sz="0" w:space="0"/>
          </w:pgBorders>
          <w:pgNumType w:fmt="decimal" w:start="1"/>
          <w:cols w:space="720" w:num="1"/>
          <w:rtlGutter w:val="0"/>
        </w:sectPr>
      </w:pPr>
    </w:p>
    <w:p w14:paraId="3F3AA631">
      <w:pPr>
        <w:keepNext w:val="0"/>
        <w:keepLines w:val="0"/>
        <w:pageBreakBefore w:val="0"/>
        <w:kinsoku/>
        <w:overflowPunct/>
        <w:autoSpaceDE w:val="0"/>
        <w:autoSpaceDN w:val="0"/>
        <w:bidi w:val="0"/>
        <w:spacing w:line="91" w:lineRule="auto"/>
        <w:rPr>
          <w:rFonts w:hint="eastAsia" w:ascii="黑体" w:hAnsi="黑体" w:eastAsia="黑体" w:cs="黑体"/>
          <w:color w:val="auto"/>
          <w:sz w:val="2"/>
          <w:highlight w:val="none"/>
        </w:rPr>
      </w:pPr>
    </w:p>
    <w:p w14:paraId="3C491BEC">
      <w:pPr>
        <w:keepNext w:val="0"/>
        <w:keepLines w:val="0"/>
        <w:pageBreakBefore w:val="0"/>
        <w:kinsoku/>
        <w:overflowPunct/>
        <w:autoSpaceDE w:val="0"/>
        <w:autoSpaceDN w:val="0"/>
        <w:bidi w:val="0"/>
        <w:spacing w:line="91" w:lineRule="auto"/>
        <w:rPr>
          <w:rFonts w:hint="eastAsia" w:ascii="黑体" w:hAnsi="黑体" w:eastAsia="黑体" w:cs="黑体"/>
          <w:color w:val="auto"/>
          <w:sz w:val="2"/>
          <w:highlight w:val="none"/>
        </w:rPr>
      </w:pPr>
    </w:p>
    <w:p w14:paraId="0DD68E67">
      <w:pPr>
        <w:keepNext w:val="0"/>
        <w:keepLines w:val="0"/>
        <w:pageBreakBefore w:val="0"/>
        <w:kinsoku/>
        <w:overflowPunct/>
        <w:autoSpaceDE w:val="0"/>
        <w:autoSpaceDN w:val="0"/>
        <w:bidi w:val="0"/>
        <w:spacing w:line="91" w:lineRule="auto"/>
        <w:rPr>
          <w:rFonts w:hint="eastAsia" w:ascii="黑体" w:hAnsi="黑体" w:eastAsia="黑体" w:cs="黑体"/>
          <w:color w:val="auto"/>
          <w:sz w:val="2"/>
          <w:highlight w:val="none"/>
        </w:rPr>
      </w:pPr>
    </w:p>
    <w:p w14:paraId="5B711226">
      <w:pPr>
        <w:keepNext w:val="0"/>
        <w:keepLines w:val="0"/>
        <w:pageBreakBefore w:val="0"/>
        <w:kinsoku/>
        <w:overflowPunct/>
        <w:autoSpaceDE w:val="0"/>
        <w:autoSpaceDN w:val="0"/>
        <w:bidi w:val="0"/>
        <w:spacing w:line="91" w:lineRule="auto"/>
        <w:rPr>
          <w:rFonts w:hint="eastAsia" w:ascii="黑体" w:hAnsi="黑体" w:eastAsia="黑体" w:cs="黑体"/>
          <w:color w:val="auto"/>
          <w:sz w:val="2"/>
          <w:highlight w:val="none"/>
        </w:rPr>
      </w:pPr>
    </w:p>
    <w:p w14:paraId="20D417E4">
      <w:pPr>
        <w:keepNext w:val="0"/>
        <w:keepLines w:val="0"/>
        <w:pageBreakBefore w:val="0"/>
        <w:kinsoku/>
        <w:overflowPunct/>
        <w:autoSpaceDE w:val="0"/>
        <w:autoSpaceDN w:val="0"/>
        <w:bidi w:val="0"/>
        <w:spacing w:before="122" w:line="394" w:lineRule="exact"/>
        <w:ind w:left="3948"/>
        <w:outlineLvl w:val="1"/>
        <w:rPr>
          <w:rFonts w:hint="eastAsia" w:ascii="黑体" w:hAnsi="黑体" w:eastAsia="黑体" w:cs="黑体"/>
          <w:color w:val="auto"/>
          <w:sz w:val="23"/>
          <w:szCs w:val="23"/>
          <w:highlight w:val="none"/>
        </w:rPr>
      </w:pPr>
      <w:bookmarkStart w:id="24" w:name="_Toc328"/>
      <w:r>
        <w:rPr>
          <w:rFonts w:hint="eastAsia" w:ascii="黑体" w:hAnsi="黑体" w:eastAsia="黑体" w:cs="黑体"/>
          <w:color w:val="auto"/>
          <w:spacing w:val="8"/>
          <w:position w:val="2"/>
          <w:sz w:val="23"/>
          <w:szCs w:val="23"/>
          <w:highlight w:val="none"/>
          <w14:textOutline w14:w="4358" w14:cap="sq" w14:cmpd="sng">
            <w14:solidFill>
              <w14:srgbClr w14:val="000000"/>
            </w14:solidFill>
            <w14:prstDash w14:val="solid"/>
            <w14:bevel/>
          </w14:textOutline>
        </w:rPr>
        <w:t>一</w:t>
      </w:r>
      <w:r>
        <w:rPr>
          <w:rFonts w:hint="eastAsia" w:ascii="黑体" w:hAnsi="黑体" w:eastAsia="黑体" w:cs="黑体"/>
          <w:color w:val="auto"/>
          <w:spacing w:val="7"/>
          <w:position w:val="2"/>
          <w:sz w:val="23"/>
          <w:szCs w:val="23"/>
          <w:highlight w:val="none"/>
          <w14:textOutline w14:w="4358" w14:cap="sq" w14:cmpd="sng">
            <w14:solidFill>
              <w14:srgbClr w14:val="000000"/>
            </w14:solidFill>
            <w14:prstDash w14:val="solid"/>
            <w14:bevel/>
          </w14:textOutline>
        </w:rPr>
        <w:t>、总则</w:t>
      </w:r>
      <w:bookmarkEnd w:id="24"/>
    </w:p>
    <w:p w14:paraId="21AE4F97">
      <w:pPr>
        <w:keepNext w:val="0"/>
        <w:keepLines w:val="0"/>
        <w:pageBreakBefore w:val="0"/>
        <w:kinsoku/>
        <w:overflowPunct/>
        <w:autoSpaceDE w:val="0"/>
        <w:autoSpaceDN w:val="0"/>
        <w:bidi w:val="0"/>
        <w:spacing w:before="194" w:line="310" w:lineRule="exact"/>
        <w:ind w:left="518"/>
        <w:outlineLvl w:val="2"/>
        <w:rPr>
          <w:rFonts w:hint="eastAsia" w:ascii="黑体" w:hAnsi="黑体" w:eastAsia="黑体" w:cs="黑体"/>
          <w:color w:val="auto"/>
          <w:sz w:val="23"/>
          <w:szCs w:val="23"/>
          <w:highlight w:val="none"/>
        </w:rPr>
      </w:pPr>
      <w:bookmarkStart w:id="25" w:name="_Toc4053"/>
      <w:r>
        <w:rPr>
          <w:rFonts w:hint="eastAsia" w:ascii="黑体" w:hAnsi="黑体" w:eastAsia="黑体" w:cs="黑体"/>
          <w:color w:val="auto"/>
          <w:spacing w:val="4"/>
          <w:position w:val="1"/>
          <w:sz w:val="23"/>
          <w:szCs w:val="23"/>
          <w:highlight w:val="none"/>
        </w:rPr>
        <w:t>1.适用范</w:t>
      </w:r>
      <w:r>
        <w:rPr>
          <w:rFonts w:hint="eastAsia" w:ascii="黑体" w:hAnsi="黑体" w:eastAsia="黑体" w:cs="黑体"/>
          <w:color w:val="auto"/>
          <w:spacing w:val="2"/>
          <w:position w:val="1"/>
          <w:sz w:val="23"/>
          <w:szCs w:val="23"/>
          <w:highlight w:val="none"/>
        </w:rPr>
        <w:t>围</w:t>
      </w:r>
      <w:bookmarkEnd w:id="25"/>
    </w:p>
    <w:p w14:paraId="5A056B16">
      <w:pPr>
        <w:keepNext w:val="0"/>
        <w:keepLines w:val="0"/>
        <w:pageBreakBefore w:val="0"/>
        <w:kinsoku/>
        <w:overflowPunct/>
        <w:autoSpaceDE w:val="0"/>
        <w:autoSpaceDN w:val="0"/>
        <w:bidi w:val="0"/>
        <w:spacing w:before="156" w:line="376" w:lineRule="auto"/>
        <w:ind w:left="503" w:right="1217" w:firstLine="14"/>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1</w:t>
      </w:r>
      <w:r>
        <w:rPr>
          <w:rFonts w:hint="eastAsia" w:ascii="黑体" w:hAnsi="黑体" w:eastAsia="黑体" w:cs="黑体"/>
          <w:color w:val="auto"/>
          <w:spacing w:val="7"/>
          <w:sz w:val="23"/>
          <w:szCs w:val="23"/>
          <w:highlight w:val="none"/>
        </w:rPr>
        <w:t>.</w:t>
      </w:r>
      <w:r>
        <w:rPr>
          <w:rFonts w:hint="eastAsia" w:ascii="黑体" w:hAnsi="黑体" w:eastAsia="黑体" w:cs="黑体"/>
          <w:color w:val="auto"/>
          <w:spacing w:val="5"/>
          <w:sz w:val="23"/>
          <w:szCs w:val="23"/>
          <w:highlight w:val="none"/>
        </w:rPr>
        <w:t>1本磋商文件仅适用于</w:t>
      </w:r>
      <w:r>
        <w:rPr>
          <w:rFonts w:hint="eastAsia" w:ascii="黑体" w:hAnsi="黑体" w:eastAsia="黑体" w:cs="黑体"/>
          <w:color w:val="auto"/>
          <w:spacing w:val="5"/>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5"/>
          <w:sz w:val="23"/>
          <w:szCs w:val="23"/>
          <w:highlight w:val="none"/>
        </w:rPr>
        <w:t>中所叙述的采购项目。2</w:t>
      </w:r>
      <w:r>
        <w:rPr>
          <w:rFonts w:hint="eastAsia" w:ascii="黑体" w:hAnsi="黑体" w:eastAsia="黑体" w:cs="黑体"/>
          <w:color w:val="auto"/>
          <w:spacing w:val="4"/>
          <w:sz w:val="23"/>
          <w:szCs w:val="23"/>
          <w:highlight w:val="none"/>
        </w:rPr>
        <w:t>.定义</w:t>
      </w:r>
    </w:p>
    <w:p w14:paraId="7F5A538C">
      <w:pPr>
        <w:keepNext w:val="0"/>
        <w:keepLines w:val="0"/>
        <w:pageBreakBefore w:val="0"/>
        <w:kinsoku/>
        <w:overflowPunct/>
        <w:autoSpaceDE w:val="0"/>
        <w:autoSpaceDN w:val="0"/>
        <w:bidi w:val="0"/>
        <w:spacing w:before="1" w:line="375" w:lineRule="auto"/>
        <w:ind w:left="22" w:right="51" w:firstLine="481"/>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2.1“采购人”是指依法进行政府采购的国家机关、事业单位、团体组织</w:t>
      </w:r>
      <w:r>
        <w:rPr>
          <w:rFonts w:hint="eastAsia" w:ascii="黑体" w:hAnsi="黑体" w:eastAsia="黑体" w:cs="黑体"/>
          <w:color w:val="auto"/>
          <w:spacing w:val="7"/>
          <w:sz w:val="23"/>
          <w:szCs w:val="23"/>
          <w:highlight w:val="none"/>
        </w:rPr>
        <w:t>。</w:t>
      </w:r>
      <w:r>
        <w:rPr>
          <w:rFonts w:hint="eastAsia" w:ascii="黑体" w:hAnsi="黑体" w:eastAsia="黑体" w:cs="黑体"/>
          <w:color w:val="auto"/>
          <w:spacing w:val="18"/>
          <w:sz w:val="23"/>
          <w:szCs w:val="23"/>
          <w:highlight w:val="none"/>
        </w:rPr>
        <w:t>本</w:t>
      </w:r>
      <w:r>
        <w:rPr>
          <w:rFonts w:hint="eastAsia" w:ascii="黑体" w:hAnsi="黑体" w:eastAsia="黑体" w:cs="黑体"/>
          <w:color w:val="auto"/>
          <w:spacing w:val="15"/>
          <w:sz w:val="23"/>
          <w:szCs w:val="23"/>
          <w:highlight w:val="none"/>
        </w:rPr>
        <w:t>次</w:t>
      </w:r>
      <w:r>
        <w:rPr>
          <w:rFonts w:hint="eastAsia" w:ascii="黑体" w:hAnsi="黑体" w:eastAsia="黑体" w:cs="黑体"/>
          <w:color w:val="auto"/>
          <w:spacing w:val="9"/>
          <w:sz w:val="23"/>
          <w:szCs w:val="23"/>
          <w:highlight w:val="none"/>
        </w:rPr>
        <w:t>政府采购的采购人名称、地址、电话、联系人见</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9"/>
          <w:sz w:val="23"/>
          <w:szCs w:val="23"/>
          <w:highlight w:val="none"/>
        </w:rPr>
        <w:t>。</w:t>
      </w:r>
    </w:p>
    <w:p w14:paraId="19CB62FC">
      <w:pPr>
        <w:keepNext w:val="0"/>
        <w:keepLines w:val="0"/>
        <w:pageBreakBefore w:val="0"/>
        <w:kinsoku/>
        <w:overflowPunct/>
        <w:autoSpaceDE w:val="0"/>
        <w:autoSpaceDN w:val="0"/>
        <w:bidi w:val="0"/>
        <w:spacing w:before="2" w:line="375" w:lineRule="auto"/>
        <w:ind w:left="22" w:right="11" w:firstLine="481"/>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.2“采购代理机构”是指接受采购人委托，代理采购项目的集中采购机构</w:t>
      </w:r>
      <w:r>
        <w:rPr>
          <w:rFonts w:hint="eastAsia" w:ascii="黑体" w:hAnsi="黑体" w:eastAsia="黑体" w:cs="黑体"/>
          <w:color w:val="auto"/>
          <w:spacing w:val="12"/>
          <w:sz w:val="23"/>
          <w:szCs w:val="23"/>
          <w:highlight w:val="none"/>
        </w:rPr>
        <w:t>和</w:t>
      </w:r>
      <w:r>
        <w:rPr>
          <w:rFonts w:hint="eastAsia" w:ascii="黑体" w:hAnsi="黑体" w:eastAsia="黑体" w:cs="黑体"/>
          <w:color w:val="auto"/>
          <w:spacing w:val="7"/>
          <w:sz w:val="23"/>
          <w:szCs w:val="23"/>
          <w:highlight w:val="none"/>
        </w:rPr>
        <w:t>其他采购代理机构。本次政府采购的采购代理机构名称、地址、电话、联系人</w:t>
      </w:r>
      <w:r>
        <w:rPr>
          <w:rFonts w:hint="eastAsia" w:ascii="黑体" w:hAnsi="黑体" w:eastAsia="黑体" w:cs="黑体"/>
          <w:color w:val="auto"/>
          <w:spacing w:val="10"/>
          <w:sz w:val="23"/>
          <w:szCs w:val="23"/>
          <w:highlight w:val="none"/>
        </w:rPr>
        <w:t>见</w:t>
      </w:r>
      <w:r>
        <w:rPr>
          <w:rFonts w:hint="eastAsia" w:ascii="黑体" w:hAnsi="黑体" w:eastAsia="黑体" w:cs="黑体"/>
          <w:color w:val="auto"/>
          <w:spacing w:val="8"/>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8"/>
          <w:sz w:val="23"/>
          <w:szCs w:val="23"/>
          <w:highlight w:val="none"/>
        </w:rPr>
        <w:t>。</w:t>
      </w:r>
    </w:p>
    <w:p w14:paraId="5601DDA7">
      <w:pPr>
        <w:keepNext w:val="0"/>
        <w:keepLines w:val="0"/>
        <w:pageBreakBefore w:val="0"/>
        <w:kinsoku/>
        <w:overflowPunct/>
        <w:autoSpaceDE w:val="0"/>
        <w:autoSpaceDN w:val="0"/>
        <w:bidi w:val="0"/>
        <w:spacing w:before="3" w:line="375" w:lineRule="auto"/>
        <w:ind w:left="21" w:right="4" w:firstLine="482"/>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.3“供应商”是指响应磋商文件要求、参加竞争性磋商采购的法人、其他</w:t>
      </w:r>
      <w:r>
        <w:rPr>
          <w:rFonts w:hint="eastAsia" w:ascii="黑体" w:hAnsi="黑体" w:eastAsia="黑体" w:cs="黑体"/>
          <w:color w:val="auto"/>
          <w:spacing w:val="14"/>
          <w:sz w:val="23"/>
          <w:szCs w:val="23"/>
          <w:highlight w:val="none"/>
        </w:rPr>
        <w:t>组织</w:t>
      </w:r>
      <w:r>
        <w:rPr>
          <w:rFonts w:hint="eastAsia" w:ascii="黑体" w:hAnsi="黑体" w:eastAsia="黑体" w:cs="黑体"/>
          <w:color w:val="auto"/>
          <w:spacing w:val="7"/>
          <w:sz w:val="23"/>
          <w:szCs w:val="23"/>
          <w:highlight w:val="none"/>
        </w:rPr>
        <w:t>或者自然人。本次政府采购项目邀请的供应商通过</w:t>
      </w:r>
      <w:r>
        <w:rPr>
          <w:rFonts w:hint="eastAsia" w:ascii="黑体" w:hAnsi="黑体" w:eastAsia="黑体" w:cs="黑体"/>
          <w:color w:val="auto"/>
          <w:spacing w:val="7"/>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7"/>
          <w:sz w:val="23"/>
          <w:szCs w:val="23"/>
          <w:highlight w:val="none"/>
        </w:rPr>
        <w:t>所述方式</w:t>
      </w:r>
      <w:r>
        <w:rPr>
          <w:rFonts w:hint="eastAsia" w:ascii="黑体" w:hAnsi="黑体" w:eastAsia="黑体" w:cs="黑体"/>
          <w:color w:val="auto"/>
          <w:spacing w:val="4"/>
          <w:sz w:val="23"/>
          <w:szCs w:val="23"/>
          <w:highlight w:val="none"/>
        </w:rPr>
        <w:t>产</w:t>
      </w:r>
      <w:r>
        <w:rPr>
          <w:rFonts w:hint="eastAsia" w:ascii="黑体" w:hAnsi="黑体" w:eastAsia="黑体" w:cs="黑体"/>
          <w:color w:val="auto"/>
          <w:spacing w:val="3"/>
          <w:sz w:val="23"/>
          <w:szCs w:val="23"/>
          <w:highlight w:val="none"/>
        </w:rPr>
        <w:t>生。</w:t>
      </w:r>
    </w:p>
    <w:p w14:paraId="4A69F7F1">
      <w:pPr>
        <w:keepNext w:val="0"/>
        <w:keepLines w:val="0"/>
        <w:pageBreakBefore w:val="0"/>
        <w:kinsoku/>
        <w:overflowPunct/>
        <w:autoSpaceDE w:val="0"/>
        <w:autoSpaceDN w:val="0"/>
        <w:bidi w:val="0"/>
        <w:spacing w:before="2" w:line="375" w:lineRule="auto"/>
        <w:ind w:left="22" w:right="11" w:firstLine="481"/>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.4“磋商小组”依据《政府采购竞争性磋商采购方式管理暂行办法》有关</w:t>
      </w:r>
      <w:r>
        <w:rPr>
          <w:rFonts w:hint="eastAsia" w:ascii="黑体" w:hAnsi="黑体" w:eastAsia="黑体" w:cs="黑体"/>
          <w:color w:val="auto"/>
          <w:spacing w:val="11"/>
          <w:sz w:val="23"/>
          <w:szCs w:val="23"/>
          <w:highlight w:val="none"/>
        </w:rPr>
        <w:t>规</w:t>
      </w:r>
      <w:r>
        <w:rPr>
          <w:rFonts w:hint="eastAsia" w:ascii="黑体" w:hAnsi="黑体" w:eastAsia="黑体" w:cs="黑体"/>
          <w:color w:val="auto"/>
          <w:spacing w:val="8"/>
          <w:sz w:val="23"/>
          <w:szCs w:val="23"/>
          <w:highlight w:val="none"/>
        </w:rPr>
        <w:t>定组建，依法履行职责。</w:t>
      </w:r>
    </w:p>
    <w:p w14:paraId="19B77307">
      <w:pPr>
        <w:keepNext w:val="0"/>
        <w:keepLines w:val="0"/>
        <w:pageBreakBefore w:val="0"/>
        <w:kinsoku/>
        <w:overflowPunct/>
        <w:autoSpaceDE w:val="0"/>
        <w:autoSpaceDN w:val="0"/>
        <w:bidi w:val="0"/>
        <w:spacing w:line="310" w:lineRule="exact"/>
        <w:ind w:left="503"/>
        <w:rPr>
          <w:rFonts w:hint="eastAsia" w:ascii="黑体" w:hAnsi="黑体" w:eastAsia="黑体" w:cs="黑体"/>
          <w:color w:val="auto"/>
          <w:sz w:val="23"/>
          <w:szCs w:val="23"/>
          <w:highlight w:val="none"/>
        </w:rPr>
      </w:pPr>
      <w:r>
        <w:rPr>
          <w:rFonts w:hint="eastAsia" w:ascii="黑体" w:hAnsi="黑体" w:eastAsia="黑体" w:cs="黑体"/>
          <w:color w:val="auto"/>
          <w:spacing w:val="13"/>
          <w:position w:val="1"/>
          <w:sz w:val="23"/>
          <w:szCs w:val="23"/>
          <w:highlight w:val="none"/>
        </w:rPr>
        <w:t>2</w:t>
      </w:r>
      <w:r>
        <w:rPr>
          <w:rFonts w:hint="eastAsia" w:ascii="黑体" w:hAnsi="黑体" w:eastAsia="黑体" w:cs="黑体"/>
          <w:color w:val="auto"/>
          <w:spacing w:val="10"/>
          <w:position w:val="1"/>
          <w:sz w:val="23"/>
          <w:szCs w:val="23"/>
          <w:highlight w:val="none"/>
        </w:rPr>
        <w:t>.5“货物”是指各种形态和种类的物品，包括原材料、燃料、设备、产品</w:t>
      </w:r>
    </w:p>
    <w:p w14:paraId="75EED6DE">
      <w:pPr>
        <w:keepNext w:val="0"/>
        <w:keepLines w:val="0"/>
        <w:pageBreakBefore w:val="0"/>
        <w:kinsoku/>
        <w:overflowPunct/>
        <w:autoSpaceDE w:val="0"/>
        <w:autoSpaceDN w:val="0"/>
        <w:bidi w:val="0"/>
        <w:spacing w:before="158" w:line="227" w:lineRule="auto"/>
        <w:ind w:left="2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等</w:t>
      </w:r>
      <w:r>
        <w:rPr>
          <w:rFonts w:hint="eastAsia" w:ascii="黑体" w:hAnsi="黑体" w:eastAsia="黑体" w:cs="黑体"/>
          <w:color w:val="auto"/>
          <w:spacing w:val="8"/>
          <w:sz w:val="23"/>
          <w:szCs w:val="23"/>
          <w:highlight w:val="none"/>
        </w:rPr>
        <w:t>，详见《政府采购品目分类目录》。</w:t>
      </w:r>
    </w:p>
    <w:p w14:paraId="38C9BFA9">
      <w:pPr>
        <w:keepNext w:val="0"/>
        <w:keepLines w:val="0"/>
        <w:pageBreakBefore w:val="0"/>
        <w:kinsoku/>
        <w:overflowPunct/>
        <w:autoSpaceDE w:val="0"/>
        <w:autoSpaceDN w:val="0"/>
        <w:bidi w:val="0"/>
        <w:spacing w:before="184" w:line="376" w:lineRule="auto"/>
        <w:ind w:left="40" w:right="11" w:firstLine="463"/>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.6“服务”是指除货物和工程以外的其他政府采购对象，详见《政府采购</w:t>
      </w:r>
      <w:r>
        <w:rPr>
          <w:rFonts w:hint="eastAsia" w:ascii="黑体" w:hAnsi="黑体" w:eastAsia="黑体" w:cs="黑体"/>
          <w:color w:val="auto"/>
          <w:spacing w:val="4"/>
          <w:sz w:val="23"/>
          <w:szCs w:val="23"/>
          <w:highlight w:val="none"/>
        </w:rPr>
        <w:t>品目分类目录》</w:t>
      </w:r>
      <w:r>
        <w:rPr>
          <w:rFonts w:hint="eastAsia" w:ascii="黑体" w:hAnsi="黑体" w:eastAsia="黑体" w:cs="黑体"/>
          <w:color w:val="auto"/>
          <w:spacing w:val="2"/>
          <w:sz w:val="23"/>
          <w:szCs w:val="23"/>
          <w:highlight w:val="none"/>
        </w:rPr>
        <w:t>。</w:t>
      </w:r>
    </w:p>
    <w:p w14:paraId="553B4D4A">
      <w:pPr>
        <w:keepNext w:val="0"/>
        <w:keepLines w:val="0"/>
        <w:pageBreakBefore w:val="0"/>
        <w:kinsoku/>
        <w:overflowPunct/>
        <w:autoSpaceDE w:val="0"/>
        <w:autoSpaceDN w:val="0"/>
        <w:bidi w:val="0"/>
        <w:spacing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1项目名称：详见磋商须知前附表；</w:t>
      </w:r>
    </w:p>
    <w:p w14:paraId="79308A70">
      <w:pPr>
        <w:keepNext w:val="0"/>
        <w:keepLines w:val="0"/>
        <w:pageBreakBefore w:val="0"/>
        <w:kinsoku/>
        <w:overflowPunct/>
        <w:autoSpaceDE w:val="0"/>
        <w:autoSpaceDN w:val="0"/>
        <w:bidi w:val="0"/>
        <w:spacing w:before="186"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14"/>
          <w:sz w:val="23"/>
          <w:szCs w:val="23"/>
          <w:highlight w:val="none"/>
        </w:rPr>
        <w:t>2</w:t>
      </w:r>
      <w:r>
        <w:rPr>
          <w:rFonts w:hint="eastAsia" w:ascii="黑体" w:hAnsi="黑体" w:eastAsia="黑体" w:cs="黑体"/>
          <w:color w:val="auto"/>
          <w:spacing w:val="10"/>
          <w:sz w:val="23"/>
          <w:szCs w:val="23"/>
          <w:highlight w:val="none"/>
        </w:rPr>
        <w:t>.</w:t>
      </w:r>
      <w:r>
        <w:rPr>
          <w:rFonts w:hint="eastAsia" w:ascii="黑体" w:hAnsi="黑体" w:eastAsia="黑体" w:cs="黑体"/>
          <w:color w:val="auto"/>
          <w:spacing w:val="7"/>
          <w:sz w:val="23"/>
          <w:szCs w:val="23"/>
          <w:highlight w:val="none"/>
        </w:rPr>
        <w:t>6.2服务地点：详见磋商须知前附表；</w:t>
      </w:r>
    </w:p>
    <w:p w14:paraId="297EB487">
      <w:pPr>
        <w:keepNext w:val="0"/>
        <w:keepLines w:val="0"/>
        <w:pageBreakBefore w:val="0"/>
        <w:kinsoku/>
        <w:overflowPunct/>
        <w:autoSpaceDE w:val="0"/>
        <w:autoSpaceDN w:val="0"/>
        <w:bidi w:val="0"/>
        <w:spacing w:before="184" w:line="226"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3资金来源：详见磋商须知前附表；</w:t>
      </w:r>
    </w:p>
    <w:p w14:paraId="57E63FEF">
      <w:pPr>
        <w:keepNext w:val="0"/>
        <w:keepLines w:val="0"/>
        <w:pageBreakBefore w:val="0"/>
        <w:kinsoku/>
        <w:overflowPunct/>
        <w:autoSpaceDE w:val="0"/>
        <w:autoSpaceDN w:val="0"/>
        <w:bidi w:val="0"/>
        <w:spacing w:before="187" w:line="226"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4出资比例：详见磋商须知前附表；</w:t>
      </w:r>
    </w:p>
    <w:p w14:paraId="46EEE8D6">
      <w:pPr>
        <w:keepNext w:val="0"/>
        <w:keepLines w:val="0"/>
        <w:pageBreakBefore w:val="0"/>
        <w:kinsoku/>
        <w:overflowPunct/>
        <w:autoSpaceDE w:val="0"/>
        <w:autoSpaceDN w:val="0"/>
        <w:bidi w:val="0"/>
        <w:spacing w:before="186" w:line="224"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7"/>
          <w:sz w:val="23"/>
          <w:szCs w:val="23"/>
          <w:highlight w:val="none"/>
        </w:rPr>
        <w:t>2</w:t>
      </w:r>
      <w:r>
        <w:rPr>
          <w:rFonts w:hint="eastAsia" w:ascii="黑体" w:hAnsi="黑体" w:eastAsia="黑体" w:cs="黑体"/>
          <w:color w:val="auto"/>
          <w:spacing w:val="5"/>
          <w:sz w:val="23"/>
          <w:szCs w:val="23"/>
          <w:highlight w:val="none"/>
        </w:rPr>
        <w:t>.6.5资金落实情况：详见磋商须知前附表；</w:t>
      </w:r>
    </w:p>
    <w:p w14:paraId="2FD8A375">
      <w:pPr>
        <w:keepNext w:val="0"/>
        <w:keepLines w:val="0"/>
        <w:pageBreakBefore w:val="0"/>
        <w:kinsoku/>
        <w:overflowPunct/>
        <w:autoSpaceDE w:val="0"/>
        <w:autoSpaceDN w:val="0"/>
        <w:bidi w:val="0"/>
        <w:spacing w:before="189" w:line="228"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6招标范围：详见磋商须知前附表；</w:t>
      </w:r>
    </w:p>
    <w:p w14:paraId="745FFF01">
      <w:pPr>
        <w:keepNext w:val="0"/>
        <w:keepLines w:val="0"/>
        <w:pageBreakBefore w:val="0"/>
        <w:kinsoku/>
        <w:overflowPunct/>
        <w:autoSpaceDE w:val="0"/>
        <w:autoSpaceDN w:val="0"/>
        <w:bidi w:val="0"/>
        <w:spacing w:before="184"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7服务期限：详见磋商须知前附表；</w:t>
      </w:r>
    </w:p>
    <w:p w14:paraId="5651EE96">
      <w:pPr>
        <w:keepNext w:val="0"/>
        <w:keepLines w:val="0"/>
        <w:pageBreakBefore w:val="0"/>
        <w:kinsoku/>
        <w:overflowPunct/>
        <w:autoSpaceDE w:val="0"/>
        <w:autoSpaceDN w:val="0"/>
        <w:bidi w:val="0"/>
        <w:spacing w:before="186" w:line="312" w:lineRule="auto"/>
        <w:ind w:left="503" w:right="11"/>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2.6</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8质量要求：详见磋商须知前附表；</w:t>
      </w: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.7“节能产品”或者“环保产品”是指国务院有关部门发布的《节能产品</w:t>
      </w:r>
    </w:p>
    <w:p w14:paraId="701BFDD9">
      <w:pPr>
        <w:keepNext w:val="0"/>
        <w:keepLines w:val="0"/>
        <w:pageBreakBefore w:val="0"/>
        <w:kinsoku/>
        <w:overflowPunct/>
        <w:autoSpaceDE w:val="0"/>
        <w:autoSpaceDN w:val="0"/>
        <w:bidi w:val="0"/>
        <w:spacing w:before="157" w:line="395" w:lineRule="auto"/>
        <w:ind w:left="503" w:right="11" w:hanging="483"/>
        <w:rPr>
          <w:rFonts w:hint="eastAsia" w:ascii="黑体" w:hAnsi="黑体" w:eastAsia="黑体" w:cs="黑体"/>
          <w:color w:val="auto"/>
          <w:sz w:val="23"/>
          <w:szCs w:val="23"/>
          <w:highlight w:val="none"/>
        </w:rPr>
      </w:pPr>
      <w:r>
        <w:rPr>
          <w:rFonts w:hint="eastAsia" w:ascii="黑体" w:hAnsi="黑体" w:eastAsia="黑体" w:cs="黑体"/>
          <w:color w:val="auto"/>
          <w:spacing w:val="20"/>
          <w:sz w:val="23"/>
          <w:szCs w:val="23"/>
          <w:highlight w:val="none"/>
        </w:rPr>
        <w:t>政</w:t>
      </w:r>
      <w:r>
        <w:rPr>
          <w:rFonts w:hint="eastAsia" w:ascii="黑体" w:hAnsi="黑体" w:eastAsia="黑体" w:cs="黑体"/>
          <w:color w:val="auto"/>
          <w:spacing w:val="14"/>
          <w:sz w:val="23"/>
          <w:szCs w:val="23"/>
          <w:highlight w:val="none"/>
        </w:rPr>
        <w:t>府</w:t>
      </w:r>
      <w:r>
        <w:rPr>
          <w:rFonts w:hint="eastAsia" w:ascii="黑体" w:hAnsi="黑体" w:eastAsia="黑体" w:cs="黑体"/>
          <w:color w:val="auto"/>
          <w:spacing w:val="10"/>
          <w:sz w:val="23"/>
          <w:szCs w:val="23"/>
          <w:highlight w:val="none"/>
        </w:rPr>
        <w:t>采购清单》或者《环境标志产品政府采购清单》的产品。</w:t>
      </w:r>
      <w:r>
        <w:rPr>
          <w:rFonts w:hint="eastAsia" w:ascii="黑体" w:hAnsi="黑体" w:eastAsia="黑体" w:cs="黑体"/>
          <w:color w:val="auto"/>
          <w:spacing w:val="13"/>
          <w:sz w:val="23"/>
          <w:szCs w:val="23"/>
          <w:highlight w:val="none"/>
        </w:rPr>
        <w:t>2</w:t>
      </w:r>
      <w:r>
        <w:rPr>
          <w:rFonts w:hint="eastAsia" w:ascii="黑体" w:hAnsi="黑体" w:eastAsia="黑体" w:cs="黑体"/>
          <w:color w:val="auto"/>
          <w:spacing w:val="10"/>
          <w:sz w:val="23"/>
          <w:szCs w:val="23"/>
          <w:highlight w:val="none"/>
        </w:rPr>
        <w:t>.8“进口产品”是指通过中国海关报关验放进入中国境内且产自关境外的</w:t>
      </w:r>
    </w:p>
    <w:p w14:paraId="243A0878">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7"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44476C84">
      <w:pPr>
        <w:keepNext w:val="0"/>
        <w:keepLines w:val="0"/>
        <w:pageBreakBefore w:val="0"/>
        <w:kinsoku/>
        <w:overflowPunct/>
        <w:autoSpaceDE w:val="0"/>
        <w:autoSpaceDN w:val="0"/>
        <w:bidi w:val="0"/>
        <w:spacing w:before="123" w:line="227" w:lineRule="auto"/>
        <w:ind w:left="21"/>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产品，详见《关于政府采购进口产品管理有关问题的通知》</w:t>
      </w:r>
      <w:r>
        <w:rPr>
          <w:rFonts w:hint="eastAsia" w:ascii="黑体" w:hAnsi="黑体" w:eastAsia="黑体" w:cs="黑体"/>
          <w:color w:val="auto"/>
          <w:spacing w:val="6"/>
          <w:sz w:val="23"/>
          <w:szCs w:val="23"/>
          <w:highlight w:val="none"/>
        </w:rPr>
        <w:t>。</w:t>
      </w:r>
    </w:p>
    <w:p w14:paraId="7A955AA5">
      <w:pPr>
        <w:keepNext w:val="0"/>
        <w:keepLines w:val="0"/>
        <w:pageBreakBefore w:val="0"/>
        <w:kinsoku/>
        <w:overflowPunct/>
        <w:autoSpaceDE w:val="0"/>
        <w:autoSpaceDN w:val="0"/>
        <w:bidi w:val="0"/>
        <w:spacing w:before="184" w:line="309" w:lineRule="exact"/>
        <w:ind w:left="505"/>
        <w:outlineLvl w:val="2"/>
        <w:rPr>
          <w:rFonts w:hint="eastAsia" w:ascii="黑体" w:hAnsi="黑体" w:eastAsia="黑体" w:cs="黑体"/>
          <w:color w:val="auto"/>
          <w:sz w:val="23"/>
          <w:szCs w:val="23"/>
          <w:highlight w:val="none"/>
        </w:rPr>
      </w:pPr>
      <w:bookmarkStart w:id="26" w:name="_Toc6943"/>
      <w:r>
        <w:rPr>
          <w:rFonts w:hint="eastAsia" w:ascii="黑体" w:hAnsi="黑体" w:eastAsia="黑体" w:cs="黑体"/>
          <w:color w:val="auto"/>
          <w:spacing w:val="12"/>
          <w:position w:val="1"/>
          <w:sz w:val="23"/>
          <w:szCs w:val="23"/>
          <w:highlight w:val="none"/>
        </w:rPr>
        <w:t>3</w:t>
      </w:r>
      <w:r>
        <w:rPr>
          <w:rFonts w:hint="eastAsia" w:ascii="黑体" w:hAnsi="黑体" w:eastAsia="黑体" w:cs="黑体"/>
          <w:color w:val="auto"/>
          <w:spacing w:val="7"/>
          <w:position w:val="1"/>
          <w:sz w:val="23"/>
          <w:szCs w:val="23"/>
          <w:highlight w:val="none"/>
        </w:rPr>
        <w:t>.供应商的资格要求</w:t>
      </w:r>
      <w:bookmarkEnd w:id="26"/>
    </w:p>
    <w:p w14:paraId="558FF3DE">
      <w:pPr>
        <w:keepNext w:val="0"/>
        <w:keepLines w:val="0"/>
        <w:pageBreakBefore w:val="0"/>
        <w:kinsoku/>
        <w:overflowPunct/>
        <w:autoSpaceDE w:val="0"/>
        <w:autoSpaceDN w:val="0"/>
        <w:bidi w:val="0"/>
        <w:spacing w:before="158" w:line="376" w:lineRule="auto"/>
        <w:ind w:left="31" w:right="80" w:firstLine="474"/>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3.1</w:t>
      </w:r>
      <w:r>
        <w:rPr>
          <w:rFonts w:hint="eastAsia" w:ascii="黑体" w:hAnsi="黑体" w:eastAsia="黑体" w:cs="黑体"/>
          <w:color w:val="auto"/>
          <w:spacing w:val="5"/>
          <w:sz w:val="23"/>
          <w:szCs w:val="23"/>
          <w:highlight w:val="none"/>
        </w:rPr>
        <w:t>供应商资格要求：详见第一章“竞争性磋商公告”的“二、申请人的</w:t>
      </w:r>
      <w:r>
        <w:rPr>
          <w:rFonts w:hint="eastAsia" w:ascii="黑体" w:hAnsi="黑体" w:eastAsia="黑体" w:cs="黑体"/>
          <w:color w:val="auto"/>
          <w:spacing w:val="10"/>
          <w:sz w:val="23"/>
          <w:szCs w:val="23"/>
          <w:highlight w:val="none"/>
        </w:rPr>
        <w:t>资格</w:t>
      </w:r>
      <w:r>
        <w:rPr>
          <w:rFonts w:hint="eastAsia" w:ascii="黑体" w:hAnsi="黑体" w:eastAsia="黑体" w:cs="黑体"/>
          <w:color w:val="auto"/>
          <w:spacing w:val="5"/>
          <w:sz w:val="23"/>
          <w:szCs w:val="23"/>
          <w:highlight w:val="none"/>
        </w:rPr>
        <w:t>要求”和磋商须知前附表第3.1条款“供应商资质条件、能力和信誉”。</w:t>
      </w:r>
    </w:p>
    <w:p w14:paraId="394CF49D">
      <w:pPr>
        <w:keepNext w:val="0"/>
        <w:keepLines w:val="0"/>
        <w:pageBreakBefore w:val="0"/>
        <w:kinsoku/>
        <w:overflowPunct/>
        <w:autoSpaceDE w:val="0"/>
        <w:autoSpaceDN w:val="0"/>
        <w:bidi w:val="0"/>
        <w:spacing w:line="226" w:lineRule="auto"/>
        <w:ind w:left="505"/>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3.2供应商存在下列情形之一的不得参加竞争性磋商</w:t>
      </w:r>
      <w:r>
        <w:rPr>
          <w:rFonts w:hint="eastAsia" w:ascii="黑体" w:hAnsi="黑体" w:eastAsia="黑体" w:cs="黑体"/>
          <w:color w:val="auto"/>
          <w:spacing w:val="5"/>
          <w:sz w:val="23"/>
          <w:szCs w:val="23"/>
          <w:highlight w:val="none"/>
        </w:rPr>
        <w:t>：</w:t>
      </w:r>
    </w:p>
    <w:p w14:paraId="1D179FFC">
      <w:pPr>
        <w:keepNext w:val="0"/>
        <w:keepLines w:val="0"/>
        <w:pageBreakBefore w:val="0"/>
        <w:kinsoku/>
        <w:overflowPunct/>
        <w:autoSpaceDE w:val="0"/>
        <w:autoSpaceDN w:val="0"/>
        <w:bidi w:val="0"/>
        <w:spacing w:before="184" w:line="376" w:lineRule="auto"/>
        <w:ind w:left="22" w:firstLine="520"/>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(1)单位负责人为同一人或者存在直接控股、管理关系的不同供应商，不</w:t>
      </w:r>
      <w:r>
        <w:rPr>
          <w:rFonts w:hint="eastAsia" w:ascii="黑体" w:hAnsi="黑体" w:eastAsia="黑体" w:cs="黑体"/>
          <w:color w:val="auto"/>
          <w:spacing w:val="5"/>
          <w:sz w:val="23"/>
          <w:szCs w:val="23"/>
          <w:highlight w:val="none"/>
        </w:rPr>
        <w:t>得</w:t>
      </w:r>
      <w:r>
        <w:rPr>
          <w:rFonts w:hint="eastAsia" w:ascii="黑体" w:hAnsi="黑体" w:eastAsia="黑体" w:cs="黑体"/>
          <w:color w:val="auto"/>
          <w:spacing w:val="11"/>
          <w:sz w:val="23"/>
          <w:szCs w:val="23"/>
          <w:highlight w:val="none"/>
        </w:rPr>
        <w:t>参</w:t>
      </w:r>
      <w:r>
        <w:rPr>
          <w:rFonts w:hint="eastAsia" w:ascii="黑体" w:hAnsi="黑体" w:eastAsia="黑体" w:cs="黑体"/>
          <w:color w:val="auto"/>
          <w:spacing w:val="7"/>
          <w:sz w:val="23"/>
          <w:szCs w:val="23"/>
          <w:highlight w:val="none"/>
        </w:rPr>
        <w:t>加同一合同项下的政府采购活动。为采购项目提供整体设计、规范编制或者项</w:t>
      </w:r>
      <w:r>
        <w:rPr>
          <w:rFonts w:hint="eastAsia" w:ascii="黑体" w:hAnsi="黑体" w:eastAsia="黑体" w:cs="黑体"/>
          <w:color w:val="auto"/>
          <w:spacing w:val="16"/>
          <w:sz w:val="23"/>
          <w:szCs w:val="23"/>
          <w:highlight w:val="none"/>
        </w:rPr>
        <w:t>目管</w:t>
      </w:r>
      <w:r>
        <w:rPr>
          <w:rFonts w:hint="eastAsia" w:ascii="黑体" w:hAnsi="黑体" w:eastAsia="黑体" w:cs="黑体"/>
          <w:color w:val="auto"/>
          <w:spacing w:val="10"/>
          <w:sz w:val="23"/>
          <w:szCs w:val="23"/>
          <w:highlight w:val="none"/>
        </w:rPr>
        <w:t>理</w:t>
      </w:r>
      <w:r>
        <w:rPr>
          <w:rFonts w:hint="eastAsia" w:ascii="黑体" w:hAnsi="黑体" w:eastAsia="黑体" w:cs="黑体"/>
          <w:color w:val="auto"/>
          <w:spacing w:val="8"/>
          <w:sz w:val="23"/>
          <w:szCs w:val="23"/>
          <w:highlight w:val="none"/>
        </w:rPr>
        <w:t>、监理、检测等服务的供应商，不得再参加该采购项目的其他采购活动。</w:t>
      </w:r>
    </w:p>
    <w:p w14:paraId="23031637">
      <w:pPr>
        <w:keepNext w:val="0"/>
        <w:keepLines w:val="0"/>
        <w:pageBreakBefore w:val="0"/>
        <w:kinsoku/>
        <w:overflowPunct/>
        <w:autoSpaceDE w:val="0"/>
        <w:autoSpaceDN w:val="0"/>
        <w:bidi w:val="0"/>
        <w:spacing w:before="2" w:line="375" w:lineRule="auto"/>
        <w:ind w:left="20" w:right="48" w:firstLine="52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w:t>
      </w:r>
      <w:r>
        <w:rPr>
          <w:rFonts w:hint="eastAsia" w:ascii="黑体" w:hAnsi="黑体" w:eastAsia="黑体" w:cs="黑体"/>
          <w:color w:val="auto"/>
          <w:spacing w:val="9"/>
          <w:sz w:val="23"/>
          <w:szCs w:val="23"/>
          <w:highlight w:val="none"/>
        </w:rPr>
        <w:t>)</w:t>
      </w:r>
      <w:r>
        <w:rPr>
          <w:rFonts w:hint="eastAsia" w:ascii="黑体" w:hAnsi="黑体" w:eastAsia="黑体" w:cs="黑体"/>
          <w:color w:val="auto"/>
          <w:spacing w:val="5"/>
          <w:sz w:val="23"/>
          <w:szCs w:val="23"/>
          <w:highlight w:val="none"/>
        </w:rPr>
        <w:t>因违法经营受到刑事处罚或者责令停产停业、吊销许可证或者执照、较</w:t>
      </w:r>
      <w:r>
        <w:rPr>
          <w:rFonts w:hint="eastAsia" w:ascii="黑体" w:hAnsi="黑体" w:eastAsia="黑体" w:cs="黑体"/>
          <w:color w:val="auto"/>
          <w:spacing w:val="14"/>
          <w:sz w:val="23"/>
          <w:szCs w:val="23"/>
          <w:highlight w:val="none"/>
        </w:rPr>
        <w:t>大</w:t>
      </w:r>
      <w:r>
        <w:rPr>
          <w:rFonts w:hint="eastAsia" w:ascii="黑体" w:hAnsi="黑体" w:eastAsia="黑体" w:cs="黑体"/>
          <w:color w:val="auto"/>
          <w:spacing w:val="7"/>
          <w:sz w:val="23"/>
          <w:szCs w:val="23"/>
          <w:highlight w:val="none"/>
        </w:rPr>
        <w:t>数额罚款等行政处罚、或者存在财政部门认定的其他重大违法记录，以及在财</w:t>
      </w:r>
      <w:r>
        <w:rPr>
          <w:rFonts w:hint="eastAsia" w:ascii="黑体" w:hAnsi="黑体" w:eastAsia="黑体" w:cs="黑体"/>
          <w:color w:val="auto"/>
          <w:spacing w:val="9"/>
          <w:sz w:val="23"/>
          <w:szCs w:val="23"/>
          <w:highlight w:val="none"/>
        </w:rPr>
        <w:t>政部门禁止参加政府采购活动期限以内的。</w:t>
      </w:r>
    </w:p>
    <w:p w14:paraId="53AABB01">
      <w:pPr>
        <w:keepNext w:val="0"/>
        <w:keepLines w:val="0"/>
        <w:pageBreakBefore w:val="0"/>
        <w:kinsoku/>
        <w:overflowPunct/>
        <w:autoSpaceDE w:val="0"/>
        <w:autoSpaceDN w:val="0"/>
        <w:bidi w:val="0"/>
        <w:spacing w:line="310" w:lineRule="exact"/>
        <w:ind w:left="500"/>
        <w:outlineLvl w:val="2"/>
        <w:rPr>
          <w:rFonts w:hint="eastAsia" w:ascii="黑体" w:hAnsi="黑体" w:eastAsia="黑体" w:cs="黑体"/>
          <w:color w:val="auto"/>
          <w:sz w:val="23"/>
          <w:szCs w:val="23"/>
          <w:highlight w:val="none"/>
        </w:rPr>
      </w:pPr>
      <w:bookmarkStart w:id="27" w:name="_Toc9249"/>
      <w:r>
        <w:rPr>
          <w:rFonts w:hint="eastAsia" w:ascii="黑体" w:hAnsi="黑体" w:eastAsia="黑体" w:cs="黑体"/>
          <w:color w:val="auto"/>
          <w:spacing w:val="8"/>
          <w:position w:val="1"/>
          <w:sz w:val="23"/>
          <w:szCs w:val="23"/>
          <w:highlight w:val="none"/>
        </w:rPr>
        <w:t>4.参与磋商的费</w:t>
      </w:r>
      <w:r>
        <w:rPr>
          <w:rFonts w:hint="eastAsia" w:ascii="黑体" w:hAnsi="黑体" w:eastAsia="黑体" w:cs="黑体"/>
          <w:color w:val="auto"/>
          <w:spacing w:val="7"/>
          <w:position w:val="1"/>
          <w:sz w:val="23"/>
          <w:szCs w:val="23"/>
          <w:highlight w:val="none"/>
        </w:rPr>
        <w:t>用</w:t>
      </w:r>
      <w:bookmarkEnd w:id="27"/>
    </w:p>
    <w:p w14:paraId="6B70D0C7">
      <w:pPr>
        <w:keepNext w:val="0"/>
        <w:keepLines w:val="0"/>
        <w:pageBreakBefore w:val="0"/>
        <w:kinsoku/>
        <w:overflowPunct/>
        <w:autoSpaceDE w:val="0"/>
        <w:autoSpaceDN w:val="0"/>
        <w:bidi w:val="0"/>
        <w:spacing w:before="157" w:line="376" w:lineRule="auto"/>
        <w:ind w:left="24" w:right="49" w:firstLine="475"/>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4.1</w:t>
      </w:r>
      <w:r>
        <w:rPr>
          <w:rFonts w:hint="eastAsia" w:ascii="黑体" w:hAnsi="黑体" w:eastAsia="黑体" w:cs="黑体"/>
          <w:color w:val="auto"/>
          <w:spacing w:val="6"/>
          <w:sz w:val="23"/>
          <w:szCs w:val="23"/>
          <w:highlight w:val="none"/>
        </w:rPr>
        <w:t>无论磋商的结果如何，供应商应自行承担所有与竞争性磋商采购活动有</w:t>
      </w:r>
      <w:r>
        <w:rPr>
          <w:rFonts w:hint="eastAsia" w:ascii="黑体" w:hAnsi="黑体" w:eastAsia="黑体" w:cs="黑体"/>
          <w:color w:val="auto"/>
          <w:spacing w:val="10"/>
          <w:sz w:val="23"/>
          <w:szCs w:val="23"/>
          <w:highlight w:val="none"/>
        </w:rPr>
        <w:t>关</w:t>
      </w:r>
      <w:r>
        <w:rPr>
          <w:rFonts w:hint="eastAsia" w:ascii="黑体" w:hAnsi="黑体" w:eastAsia="黑体" w:cs="黑体"/>
          <w:color w:val="auto"/>
          <w:spacing w:val="6"/>
          <w:sz w:val="23"/>
          <w:szCs w:val="23"/>
          <w:highlight w:val="none"/>
        </w:rPr>
        <w:t>的全部费用；</w:t>
      </w:r>
    </w:p>
    <w:p w14:paraId="69A79875">
      <w:pPr>
        <w:keepNext w:val="0"/>
        <w:keepLines w:val="0"/>
        <w:pageBreakBefore w:val="0"/>
        <w:kinsoku/>
        <w:overflowPunct/>
        <w:autoSpaceDE w:val="0"/>
        <w:autoSpaceDN w:val="0"/>
        <w:bidi w:val="0"/>
        <w:spacing w:before="1" w:line="225" w:lineRule="auto"/>
        <w:ind w:left="500"/>
        <w:rPr>
          <w:rFonts w:hint="eastAsia" w:ascii="黑体" w:hAnsi="黑体" w:eastAsia="黑体" w:cs="黑体"/>
          <w:color w:val="auto"/>
          <w:sz w:val="23"/>
          <w:szCs w:val="23"/>
          <w:highlight w:val="none"/>
          <w:lang w:val="en-US" w:eastAsia="zh-CN"/>
        </w:rPr>
      </w:pPr>
      <w:r>
        <w:rPr>
          <w:rFonts w:hint="eastAsia" w:ascii="黑体" w:hAnsi="黑体" w:eastAsia="黑体" w:cs="黑体"/>
          <w:color w:val="auto"/>
          <w:spacing w:val="6"/>
          <w:sz w:val="23"/>
          <w:szCs w:val="23"/>
          <w:highlight w:val="none"/>
        </w:rPr>
        <w:t>4.2代理服务费由中标人向招标代理机构缴</w:t>
      </w:r>
      <w:r>
        <w:rPr>
          <w:rFonts w:hint="eastAsia" w:ascii="黑体" w:hAnsi="黑体" w:eastAsia="黑体" w:cs="黑体"/>
          <w:color w:val="auto"/>
          <w:spacing w:val="5"/>
          <w:sz w:val="23"/>
          <w:szCs w:val="23"/>
          <w:highlight w:val="none"/>
        </w:rPr>
        <w:t>纳</w:t>
      </w:r>
      <w:r>
        <w:rPr>
          <w:rFonts w:hint="eastAsia" w:ascii="黑体" w:hAnsi="黑体" w:eastAsia="黑体" w:cs="黑体"/>
          <w:color w:val="auto"/>
          <w:spacing w:val="5"/>
          <w:sz w:val="23"/>
          <w:szCs w:val="23"/>
          <w:highlight w:val="none"/>
          <w:lang w:val="en-US" w:eastAsia="zh-CN"/>
        </w:rPr>
        <w:t>。</w:t>
      </w:r>
    </w:p>
    <w:p w14:paraId="18A4AF87">
      <w:pPr>
        <w:keepNext w:val="0"/>
        <w:keepLines w:val="0"/>
        <w:pageBreakBefore w:val="0"/>
        <w:kinsoku/>
        <w:overflowPunct/>
        <w:autoSpaceDE w:val="0"/>
        <w:autoSpaceDN w:val="0"/>
        <w:bidi w:val="0"/>
        <w:spacing w:before="187" w:line="308" w:lineRule="exact"/>
        <w:ind w:left="505"/>
        <w:outlineLvl w:val="2"/>
        <w:rPr>
          <w:rFonts w:hint="eastAsia" w:ascii="黑体" w:hAnsi="黑体" w:eastAsia="黑体" w:cs="黑体"/>
          <w:color w:val="auto"/>
          <w:sz w:val="23"/>
          <w:szCs w:val="23"/>
          <w:highlight w:val="none"/>
        </w:rPr>
      </w:pPr>
      <w:bookmarkStart w:id="28" w:name="_Toc22893"/>
      <w:r>
        <w:rPr>
          <w:rFonts w:hint="eastAsia" w:ascii="黑体" w:hAnsi="黑体" w:eastAsia="黑体" w:cs="黑体"/>
          <w:color w:val="auto"/>
          <w:spacing w:val="6"/>
          <w:position w:val="1"/>
          <w:sz w:val="23"/>
          <w:szCs w:val="23"/>
          <w:highlight w:val="none"/>
        </w:rPr>
        <w:t>5.授权委</w:t>
      </w:r>
      <w:r>
        <w:rPr>
          <w:rFonts w:hint="eastAsia" w:ascii="黑体" w:hAnsi="黑体" w:eastAsia="黑体" w:cs="黑体"/>
          <w:color w:val="auto"/>
          <w:spacing w:val="5"/>
          <w:position w:val="1"/>
          <w:sz w:val="23"/>
          <w:szCs w:val="23"/>
          <w:highlight w:val="none"/>
        </w:rPr>
        <w:t>托</w:t>
      </w:r>
      <w:bookmarkEnd w:id="28"/>
    </w:p>
    <w:p w14:paraId="61E1BAB7">
      <w:pPr>
        <w:keepNext w:val="0"/>
        <w:keepLines w:val="0"/>
        <w:pageBreakBefore w:val="0"/>
        <w:kinsoku/>
        <w:overflowPunct/>
        <w:autoSpaceDE w:val="0"/>
        <w:autoSpaceDN w:val="0"/>
        <w:bidi w:val="0"/>
        <w:spacing w:before="159" w:line="376" w:lineRule="auto"/>
        <w:ind w:left="21" w:right="48" w:firstLine="484"/>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5.</w:t>
      </w:r>
      <w:r>
        <w:rPr>
          <w:rFonts w:hint="eastAsia" w:ascii="黑体" w:hAnsi="黑体" w:eastAsia="黑体" w:cs="黑体"/>
          <w:color w:val="auto"/>
          <w:spacing w:val="11"/>
          <w:sz w:val="23"/>
          <w:szCs w:val="23"/>
          <w:highlight w:val="none"/>
        </w:rPr>
        <w:t>1</w:t>
      </w:r>
      <w:r>
        <w:rPr>
          <w:rFonts w:hint="eastAsia" w:ascii="黑体" w:hAnsi="黑体" w:eastAsia="黑体" w:cs="黑体"/>
          <w:color w:val="auto"/>
          <w:spacing w:val="6"/>
          <w:sz w:val="23"/>
          <w:szCs w:val="23"/>
          <w:highlight w:val="none"/>
        </w:rPr>
        <w:t>供应商代表为供应商法定代表人的，应持有法定代表人身份证明。供应</w:t>
      </w:r>
      <w:r>
        <w:rPr>
          <w:rFonts w:hint="eastAsia" w:ascii="黑体" w:hAnsi="黑体" w:eastAsia="黑体" w:cs="黑体"/>
          <w:color w:val="auto"/>
          <w:spacing w:val="13"/>
          <w:sz w:val="23"/>
          <w:szCs w:val="23"/>
          <w:highlight w:val="none"/>
        </w:rPr>
        <w:t>商</w:t>
      </w:r>
      <w:r>
        <w:rPr>
          <w:rFonts w:hint="eastAsia" w:ascii="黑体" w:hAnsi="黑体" w:eastAsia="黑体" w:cs="黑体"/>
          <w:color w:val="auto"/>
          <w:spacing w:val="7"/>
          <w:sz w:val="23"/>
          <w:szCs w:val="23"/>
          <w:highlight w:val="none"/>
        </w:rPr>
        <w:t>代表不是供应商法定代表人的，应持有法定代表人授权书，并附授权代表的身</w:t>
      </w:r>
      <w:r>
        <w:rPr>
          <w:rFonts w:hint="eastAsia" w:ascii="黑体" w:hAnsi="黑体" w:eastAsia="黑体" w:cs="黑体"/>
          <w:color w:val="auto"/>
          <w:spacing w:val="5"/>
          <w:sz w:val="23"/>
          <w:szCs w:val="23"/>
          <w:highlight w:val="none"/>
        </w:rPr>
        <w:t>份证明。</w:t>
      </w:r>
    </w:p>
    <w:p w14:paraId="6E870E39">
      <w:pPr>
        <w:keepNext w:val="0"/>
        <w:keepLines w:val="0"/>
        <w:pageBreakBefore w:val="0"/>
        <w:kinsoku/>
        <w:overflowPunct/>
        <w:autoSpaceDE w:val="0"/>
        <w:autoSpaceDN w:val="0"/>
        <w:bidi w:val="0"/>
        <w:spacing w:before="1" w:line="225" w:lineRule="auto"/>
        <w:ind w:left="502"/>
        <w:outlineLvl w:val="2"/>
        <w:rPr>
          <w:rFonts w:hint="eastAsia" w:ascii="黑体" w:hAnsi="黑体" w:eastAsia="黑体" w:cs="黑体"/>
          <w:color w:val="auto"/>
          <w:sz w:val="23"/>
          <w:szCs w:val="23"/>
          <w:highlight w:val="none"/>
        </w:rPr>
      </w:pPr>
      <w:bookmarkStart w:id="29" w:name="_Toc5573"/>
      <w:r>
        <w:rPr>
          <w:rFonts w:hint="eastAsia" w:ascii="黑体" w:hAnsi="黑体" w:eastAsia="黑体" w:cs="黑体"/>
          <w:color w:val="auto"/>
          <w:spacing w:val="16"/>
          <w:sz w:val="23"/>
          <w:szCs w:val="23"/>
          <w:highlight w:val="none"/>
        </w:rPr>
        <w:t>6</w:t>
      </w:r>
      <w:r>
        <w:rPr>
          <w:rFonts w:hint="eastAsia" w:ascii="黑体" w:hAnsi="黑体" w:eastAsia="黑体" w:cs="黑体"/>
          <w:color w:val="auto"/>
          <w:spacing w:val="10"/>
          <w:sz w:val="23"/>
          <w:szCs w:val="23"/>
          <w:highlight w:val="none"/>
        </w:rPr>
        <w:t>.</w:t>
      </w:r>
      <w:r>
        <w:rPr>
          <w:rFonts w:hint="eastAsia" w:ascii="黑体" w:hAnsi="黑体" w:eastAsia="黑体" w:cs="黑体"/>
          <w:color w:val="auto"/>
          <w:spacing w:val="8"/>
          <w:sz w:val="23"/>
          <w:szCs w:val="23"/>
          <w:highlight w:val="none"/>
        </w:rPr>
        <w:t>联合体形式</w:t>
      </w:r>
      <w:r>
        <w:rPr>
          <w:rFonts w:hint="eastAsia" w:ascii="黑体" w:hAnsi="黑体" w:eastAsia="黑体" w:cs="黑体"/>
          <w:color w:val="auto"/>
          <w:spacing w:val="8"/>
          <w:sz w:val="23"/>
          <w:szCs w:val="23"/>
          <w:highlight w:val="none"/>
          <w14:textOutline w14:w="4358" w14:cap="sq" w14:cmpd="sng">
            <w14:solidFill>
              <w14:srgbClr w14:val="000000"/>
            </w14:solidFill>
            <w14:prstDash w14:val="solid"/>
            <w14:bevel/>
          </w14:textOutline>
        </w:rPr>
        <w:t>(本项目不接受联合体报价)</w:t>
      </w:r>
      <w:bookmarkEnd w:id="29"/>
    </w:p>
    <w:p w14:paraId="412EB28F">
      <w:pPr>
        <w:keepNext w:val="0"/>
        <w:keepLines w:val="0"/>
        <w:pageBreakBefore w:val="0"/>
        <w:kinsoku/>
        <w:overflowPunct/>
        <w:autoSpaceDE w:val="0"/>
        <w:autoSpaceDN w:val="0"/>
        <w:bidi w:val="0"/>
        <w:spacing w:before="186" w:line="376" w:lineRule="auto"/>
        <w:ind w:left="21" w:right="41" w:firstLine="481"/>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6.1</w:t>
      </w:r>
      <w:r>
        <w:rPr>
          <w:rFonts w:hint="eastAsia" w:ascii="黑体" w:hAnsi="黑体" w:eastAsia="黑体" w:cs="黑体"/>
          <w:color w:val="auto"/>
          <w:spacing w:val="9"/>
          <w:sz w:val="23"/>
          <w:szCs w:val="23"/>
          <w:highlight w:val="none"/>
        </w:rPr>
        <w:t>除</w:t>
      </w:r>
      <w:r>
        <w:rPr>
          <w:rFonts w:hint="eastAsia" w:ascii="黑体" w:hAnsi="黑体" w:eastAsia="黑体" w:cs="黑体"/>
          <w:color w:val="auto"/>
          <w:spacing w:val="6"/>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6"/>
          <w:sz w:val="23"/>
          <w:szCs w:val="23"/>
          <w:highlight w:val="none"/>
        </w:rPr>
        <w:t>中另有规定，本次磋商采购不接受为联合体形式的供</w:t>
      </w:r>
      <w:r>
        <w:rPr>
          <w:rFonts w:hint="eastAsia" w:ascii="黑体" w:hAnsi="黑体" w:eastAsia="黑体" w:cs="黑体"/>
          <w:color w:val="auto"/>
          <w:spacing w:val="4"/>
          <w:sz w:val="23"/>
          <w:szCs w:val="23"/>
          <w:highlight w:val="none"/>
        </w:rPr>
        <w:t>应</w:t>
      </w:r>
      <w:r>
        <w:rPr>
          <w:rFonts w:hint="eastAsia" w:ascii="黑体" w:hAnsi="黑体" w:eastAsia="黑体" w:cs="黑体"/>
          <w:color w:val="auto"/>
          <w:spacing w:val="3"/>
          <w:sz w:val="23"/>
          <w:szCs w:val="23"/>
          <w:highlight w:val="none"/>
        </w:rPr>
        <w:t>商。</w:t>
      </w:r>
    </w:p>
    <w:p w14:paraId="281C87A9">
      <w:pPr>
        <w:keepNext w:val="0"/>
        <w:keepLines w:val="0"/>
        <w:pageBreakBefore w:val="0"/>
        <w:kinsoku/>
        <w:overflowPunct/>
        <w:autoSpaceDE w:val="0"/>
        <w:autoSpaceDN w:val="0"/>
        <w:bidi w:val="0"/>
        <w:spacing w:before="1" w:line="375" w:lineRule="auto"/>
        <w:ind w:left="26" w:right="48" w:firstLine="476"/>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6</w:t>
      </w:r>
      <w:r>
        <w:rPr>
          <w:rFonts w:hint="eastAsia" w:ascii="黑体" w:hAnsi="黑体" w:eastAsia="黑体" w:cs="黑体"/>
          <w:color w:val="auto"/>
          <w:spacing w:val="3"/>
          <w:sz w:val="23"/>
          <w:szCs w:val="23"/>
          <w:highlight w:val="none"/>
        </w:rPr>
        <w:t>.2供应商为联合体形式的，除应符合本章第3条规定外，还应遵守以下规</w:t>
      </w:r>
      <w:r>
        <w:rPr>
          <w:rFonts w:hint="eastAsia" w:ascii="黑体" w:hAnsi="黑体" w:eastAsia="黑体" w:cs="黑体"/>
          <w:color w:val="auto"/>
          <w:spacing w:val="-4"/>
          <w:sz w:val="23"/>
          <w:szCs w:val="23"/>
          <w:highlight w:val="none"/>
        </w:rPr>
        <w:t>定</w:t>
      </w:r>
      <w:r>
        <w:rPr>
          <w:rFonts w:hint="eastAsia" w:ascii="黑体" w:hAnsi="黑体" w:eastAsia="黑体" w:cs="黑体"/>
          <w:color w:val="auto"/>
          <w:spacing w:val="-2"/>
          <w:sz w:val="23"/>
          <w:szCs w:val="23"/>
          <w:highlight w:val="none"/>
        </w:rPr>
        <w:t>：</w:t>
      </w:r>
    </w:p>
    <w:p w14:paraId="52273DE2">
      <w:pPr>
        <w:keepNext w:val="0"/>
        <w:keepLines w:val="0"/>
        <w:pageBreakBefore w:val="0"/>
        <w:kinsoku/>
        <w:overflowPunct/>
        <w:autoSpaceDE w:val="0"/>
        <w:autoSpaceDN w:val="0"/>
        <w:bidi w:val="0"/>
        <w:spacing w:before="2" w:line="375" w:lineRule="auto"/>
        <w:ind w:left="22" w:right="49" w:firstLine="520"/>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(1)联合体各方必须签订联合体协议书，明确联合体牵头人和各方权利、</w:t>
      </w:r>
      <w:r>
        <w:rPr>
          <w:rFonts w:hint="eastAsia" w:ascii="黑体" w:hAnsi="黑体" w:eastAsia="黑体" w:cs="黑体"/>
          <w:color w:val="auto"/>
          <w:spacing w:val="7"/>
          <w:sz w:val="23"/>
          <w:szCs w:val="23"/>
          <w:highlight w:val="none"/>
        </w:rPr>
        <w:t>义</w:t>
      </w:r>
      <w:r>
        <w:rPr>
          <w:rFonts w:hint="eastAsia" w:ascii="黑体" w:hAnsi="黑体" w:eastAsia="黑体" w:cs="黑体"/>
          <w:color w:val="auto"/>
          <w:spacing w:val="12"/>
          <w:sz w:val="23"/>
          <w:szCs w:val="23"/>
          <w:highlight w:val="none"/>
        </w:rPr>
        <w:t>务</w:t>
      </w:r>
      <w:r>
        <w:rPr>
          <w:rFonts w:hint="eastAsia" w:ascii="黑体" w:hAnsi="黑体" w:eastAsia="黑体" w:cs="黑体"/>
          <w:color w:val="auto"/>
          <w:spacing w:val="8"/>
          <w:sz w:val="23"/>
          <w:szCs w:val="23"/>
          <w:highlight w:val="none"/>
        </w:rPr>
        <w:t>及分工、合同工作量比例；</w:t>
      </w:r>
    </w:p>
    <w:p w14:paraId="7D4E0019">
      <w:pPr>
        <w:keepNext w:val="0"/>
        <w:keepLines w:val="0"/>
        <w:pageBreakBefore w:val="0"/>
        <w:kinsoku/>
        <w:overflowPunct/>
        <w:autoSpaceDE w:val="0"/>
        <w:autoSpaceDN w:val="0"/>
        <w:bidi w:val="0"/>
        <w:spacing w:before="1" w:line="225"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(2)联合体各</w:t>
      </w:r>
      <w:r>
        <w:rPr>
          <w:rFonts w:hint="eastAsia" w:ascii="黑体" w:hAnsi="黑体" w:eastAsia="黑体" w:cs="黑体"/>
          <w:color w:val="auto"/>
          <w:spacing w:val="5"/>
          <w:sz w:val="23"/>
          <w:szCs w:val="23"/>
          <w:highlight w:val="none"/>
        </w:rPr>
        <w:t>方</w:t>
      </w:r>
      <w:r>
        <w:rPr>
          <w:rFonts w:hint="eastAsia" w:ascii="黑体" w:hAnsi="黑体" w:eastAsia="黑体" w:cs="黑体"/>
          <w:color w:val="auto"/>
          <w:spacing w:val="3"/>
          <w:sz w:val="23"/>
          <w:szCs w:val="23"/>
          <w:highlight w:val="none"/>
        </w:rPr>
        <w:t>均应当符合本章第3.1款规定的供应商基本资格条件；</w:t>
      </w:r>
    </w:p>
    <w:p w14:paraId="06C69655">
      <w:pPr>
        <w:keepNext w:val="0"/>
        <w:keepLines w:val="0"/>
        <w:pageBreakBefore w:val="0"/>
        <w:kinsoku/>
        <w:overflowPunct/>
        <w:autoSpaceDE w:val="0"/>
        <w:autoSpaceDN w:val="0"/>
        <w:bidi w:val="0"/>
        <w:spacing w:before="187" w:line="383" w:lineRule="auto"/>
        <w:ind w:left="21" w:right="41" w:firstLine="522"/>
        <w:rPr>
          <w:rFonts w:hint="eastAsia" w:ascii="黑体" w:hAnsi="黑体" w:eastAsia="黑体" w:cs="黑体"/>
          <w:color w:val="auto"/>
          <w:sz w:val="23"/>
          <w:szCs w:val="23"/>
          <w:highlight w:val="none"/>
        </w:rPr>
      </w:pPr>
      <w:r>
        <w:rPr>
          <w:rFonts w:hint="eastAsia" w:ascii="黑体" w:hAnsi="黑体" w:eastAsia="黑体" w:cs="黑体"/>
          <w:color w:val="auto"/>
          <w:spacing w:val="14"/>
          <w:sz w:val="23"/>
          <w:szCs w:val="23"/>
          <w:highlight w:val="none"/>
        </w:rPr>
        <w:t>(</w:t>
      </w:r>
      <w:r>
        <w:rPr>
          <w:rFonts w:hint="eastAsia" w:ascii="黑体" w:hAnsi="黑体" w:eastAsia="黑体" w:cs="黑体"/>
          <w:color w:val="auto"/>
          <w:spacing w:val="9"/>
          <w:sz w:val="23"/>
          <w:szCs w:val="23"/>
          <w:highlight w:val="none"/>
        </w:rPr>
        <w:t>3)除</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9"/>
          <w:sz w:val="23"/>
          <w:szCs w:val="23"/>
          <w:highlight w:val="none"/>
        </w:rPr>
        <w:t>中另有规定，联合体各方中至少有一方应当符合本章</w:t>
      </w:r>
      <w:r>
        <w:rPr>
          <w:rFonts w:hint="eastAsia" w:ascii="黑体" w:hAnsi="黑体" w:eastAsia="黑体" w:cs="黑体"/>
          <w:color w:val="auto"/>
          <w:spacing w:val="6"/>
          <w:sz w:val="23"/>
          <w:szCs w:val="23"/>
          <w:highlight w:val="none"/>
        </w:rPr>
        <w:t>第3.1款</w:t>
      </w:r>
      <w:r>
        <w:rPr>
          <w:rFonts w:hint="eastAsia" w:ascii="黑体" w:hAnsi="黑体" w:eastAsia="黑体" w:cs="黑体"/>
          <w:color w:val="auto"/>
          <w:spacing w:val="4"/>
          <w:sz w:val="23"/>
          <w:szCs w:val="23"/>
          <w:highlight w:val="none"/>
        </w:rPr>
        <w:t>规</w:t>
      </w:r>
      <w:r>
        <w:rPr>
          <w:rFonts w:hint="eastAsia" w:ascii="黑体" w:hAnsi="黑体" w:eastAsia="黑体" w:cs="黑体"/>
          <w:color w:val="auto"/>
          <w:spacing w:val="3"/>
          <w:sz w:val="23"/>
          <w:szCs w:val="23"/>
          <w:highlight w:val="none"/>
        </w:rPr>
        <w:t>定的供应商特定资格条件；联合体中有同类资质的供应商按照联合体</w:t>
      </w:r>
    </w:p>
    <w:p w14:paraId="47B60DCB">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8"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74261746">
      <w:pPr>
        <w:keepNext w:val="0"/>
        <w:keepLines w:val="0"/>
        <w:pageBreakBefore w:val="0"/>
        <w:kinsoku/>
        <w:overflowPunct/>
        <w:autoSpaceDE w:val="0"/>
        <w:autoSpaceDN w:val="0"/>
        <w:bidi w:val="0"/>
        <w:spacing w:before="123" w:line="227" w:lineRule="auto"/>
        <w:ind w:left="23"/>
        <w:rPr>
          <w:rFonts w:hint="eastAsia" w:ascii="黑体" w:hAnsi="黑体" w:eastAsia="黑体" w:cs="黑体"/>
          <w:color w:val="auto"/>
          <w:sz w:val="23"/>
          <w:szCs w:val="23"/>
          <w:highlight w:val="none"/>
        </w:rPr>
      </w:pPr>
      <w:r>
        <w:rPr>
          <w:rFonts w:hint="eastAsia" w:ascii="黑体" w:hAnsi="黑体" w:eastAsia="黑体" w:cs="黑体"/>
          <w:color w:val="auto"/>
          <w:spacing w:val="17"/>
          <w:sz w:val="23"/>
          <w:szCs w:val="23"/>
          <w:highlight w:val="none"/>
        </w:rPr>
        <w:t>分</w:t>
      </w:r>
      <w:r>
        <w:rPr>
          <w:rFonts w:hint="eastAsia" w:ascii="黑体" w:hAnsi="黑体" w:eastAsia="黑体" w:cs="黑体"/>
          <w:color w:val="auto"/>
          <w:spacing w:val="9"/>
          <w:sz w:val="23"/>
          <w:szCs w:val="23"/>
          <w:highlight w:val="none"/>
        </w:rPr>
        <w:t>工承担相同工作的，应当按照资质等级较低的供应商确定资质等级；</w:t>
      </w:r>
    </w:p>
    <w:p w14:paraId="2E107D2F">
      <w:pPr>
        <w:keepNext w:val="0"/>
        <w:keepLines w:val="0"/>
        <w:pageBreakBefore w:val="0"/>
        <w:kinsoku/>
        <w:overflowPunct/>
        <w:autoSpaceDE w:val="0"/>
        <w:autoSpaceDN w:val="0"/>
        <w:bidi w:val="0"/>
        <w:spacing w:before="183" w:line="376" w:lineRule="auto"/>
        <w:ind w:left="20" w:right="11" w:firstLine="523"/>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(4)联合体各方不得再单独或与其他供应商组成新的联合体参加同一项目</w:t>
      </w:r>
      <w:r>
        <w:rPr>
          <w:rFonts w:hint="eastAsia" w:ascii="黑体" w:hAnsi="黑体" w:eastAsia="黑体" w:cs="黑体"/>
          <w:color w:val="auto"/>
          <w:spacing w:val="7"/>
          <w:sz w:val="23"/>
          <w:szCs w:val="23"/>
          <w:highlight w:val="none"/>
        </w:rPr>
        <w:t>的采</w:t>
      </w:r>
      <w:r>
        <w:rPr>
          <w:rFonts w:hint="eastAsia" w:ascii="黑体" w:hAnsi="黑体" w:eastAsia="黑体" w:cs="黑体"/>
          <w:color w:val="auto"/>
          <w:spacing w:val="6"/>
          <w:sz w:val="23"/>
          <w:szCs w:val="23"/>
          <w:highlight w:val="none"/>
        </w:rPr>
        <w:t>购活动。</w:t>
      </w:r>
    </w:p>
    <w:p w14:paraId="12AC17C9">
      <w:pPr>
        <w:keepNext w:val="0"/>
        <w:keepLines w:val="0"/>
        <w:pageBreakBefore w:val="0"/>
        <w:kinsoku/>
        <w:overflowPunct/>
        <w:autoSpaceDE w:val="0"/>
        <w:autoSpaceDN w:val="0"/>
        <w:bidi w:val="0"/>
        <w:spacing w:line="308" w:lineRule="exact"/>
        <w:ind w:left="506"/>
        <w:outlineLvl w:val="2"/>
        <w:rPr>
          <w:rFonts w:hint="eastAsia" w:ascii="黑体" w:hAnsi="黑体" w:eastAsia="黑体" w:cs="黑体"/>
          <w:color w:val="auto"/>
          <w:sz w:val="23"/>
          <w:szCs w:val="23"/>
          <w:highlight w:val="none"/>
        </w:rPr>
      </w:pPr>
      <w:bookmarkStart w:id="30" w:name="_Toc9338"/>
      <w:r>
        <w:rPr>
          <w:rFonts w:hint="eastAsia" w:ascii="黑体" w:hAnsi="黑体" w:eastAsia="黑体" w:cs="黑体"/>
          <w:color w:val="auto"/>
          <w:spacing w:val="6"/>
          <w:position w:val="1"/>
          <w:sz w:val="23"/>
          <w:szCs w:val="23"/>
          <w:highlight w:val="none"/>
        </w:rPr>
        <w:t>7.现场勘</w:t>
      </w:r>
      <w:r>
        <w:rPr>
          <w:rFonts w:hint="eastAsia" w:ascii="黑体" w:hAnsi="黑体" w:eastAsia="黑体" w:cs="黑体"/>
          <w:color w:val="auto"/>
          <w:spacing w:val="4"/>
          <w:position w:val="1"/>
          <w:sz w:val="23"/>
          <w:szCs w:val="23"/>
          <w:highlight w:val="none"/>
        </w:rPr>
        <w:t>察</w:t>
      </w:r>
      <w:bookmarkEnd w:id="30"/>
    </w:p>
    <w:p w14:paraId="00287826">
      <w:pPr>
        <w:keepNext w:val="0"/>
        <w:keepLines w:val="0"/>
        <w:pageBreakBefore w:val="0"/>
        <w:kinsoku/>
        <w:overflowPunct/>
        <w:autoSpaceDE w:val="0"/>
        <w:autoSpaceDN w:val="0"/>
        <w:bidi w:val="0"/>
        <w:spacing w:before="158" w:line="376" w:lineRule="auto"/>
        <w:ind w:left="21" w:right="4" w:firstLine="485"/>
        <w:rPr>
          <w:rFonts w:hint="eastAsia" w:ascii="黑体" w:hAnsi="黑体" w:eastAsia="黑体" w:cs="黑体"/>
          <w:color w:val="auto"/>
          <w:sz w:val="23"/>
          <w:szCs w:val="23"/>
          <w:highlight w:val="none"/>
        </w:rPr>
      </w:pPr>
      <w:r>
        <w:rPr>
          <w:rFonts w:hint="eastAsia" w:ascii="黑体" w:hAnsi="黑体" w:eastAsia="黑体" w:cs="黑体"/>
          <w:color w:val="auto"/>
          <w:spacing w:val="26"/>
          <w:sz w:val="23"/>
          <w:szCs w:val="23"/>
          <w:highlight w:val="none"/>
        </w:rPr>
        <w:t>7</w:t>
      </w:r>
      <w:r>
        <w:rPr>
          <w:rFonts w:hint="eastAsia" w:ascii="黑体" w:hAnsi="黑体" w:eastAsia="黑体" w:cs="黑体"/>
          <w:color w:val="auto"/>
          <w:spacing w:val="21"/>
          <w:sz w:val="23"/>
          <w:szCs w:val="23"/>
          <w:highlight w:val="none"/>
        </w:rPr>
        <w:t>.</w:t>
      </w:r>
      <w:r>
        <w:rPr>
          <w:rFonts w:hint="eastAsia" w:ascii="黑体" w:hAnsi="黑体" w:eastAsia="黑体" w:cs="黑体"/>
          <w:color w:val="auto"/>
          <w:spacing w:val="13"/>
          <w:sz w:val="23"/>
          <w:szCs w:val="23"/>
          <w:highlight w:val="none"/>
        </w:rPr>
        <w:t>1供应商应按</w:t>
      </w:r>
      <w:r>
        <w:rPr>
          <w:rFonts w:hint="eastAsia" w:ascii="黑体" w:hAnsi="黑体" w:eastAsia="黑体" w:cs="黑体"/>
          <w:color w:val="auto"/>
          <w:spacing w:val="13"/>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13"/>
          <w:sz w:val="23"/>
          <w:szCs w:val="23"/>
          <w:highlight w:val="none"/>
        </w:rPr>
        <w:t>中规定对采购项目现场和周围环境的现场</w:t>
      </w:r>
      <w:r>
        <w:rPr>
          <w:rFonts w:hint="eastAsia" w:ascii="黑体" w:hAnsi="黑体" w:eastAsia="黑体" w:cs="黑体"/>
          <w:color w:val="auto"/>
          <w:spacing w:val="4"/>
          <w:sz w:val="23"/>
          <w:szCs w:val="23"/>
          <w:highlight w:val="none"/>
        </w:rPr>
        <w:t>考</w:t>
      </w:r>
      <w:r>
        <w:rPr>
          <w:rFonts w:hint="eastAsia" w:ascii="黑体" w:hAnsi="黑体" w:eastAsia="黑体" w:cs="黑体"/>
          <w:color w:val="auto"/>
          <w:spacing w:val="3"/>
          <w:sz w:val="23"/>
          <w:szCs w:val="23"/>
          <w:highlight w:val="none"/>
        </w:rPr>
        <w:t>察。</w:t>
      </w:r>
    </w:p>
    <w:p w14:paraId="69BD2DCA">
      <w:pPr>
        <w:keepNext w:val="0"/>
        <w:keepLines w:val="0"/>
        <w:pageBreakBefore w:val="0"/>
        <w:kinsoku/>
        <w:overflowPunct/>
        <w:autoSpaceDE w:val="0"/>
        <w:autoSpaceDN w:val="0"/>
        <w:bidi w:val="0"/>
        <w:spacing w:before="1" w:line="375" w:lineRule="auto"/>
        <w:ind w:left="21" w:right="11" w:firstLine="485"/>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7.</w:t>
      </w:r>
      <w:r>
        <w:rPr>
          <w:rFonts w:hint="eastAsia" w:ascii="黑体" w:hAnsi="黑体" w:eastAsia="黑体" w:cs="黑体"/>
          <w:color w:val="auto"/>
          <w:spacing w:val="10"/>
          <w:sz w:val="23"/>
          <w:szCs w:val="23"/>
          <w:highlight w:val="none"/>
        </w:rPr>
        <w:t>2</w:t>
      </w:r>
      <w:r>
        <w:rPr>
          <w:rFonts w:hint="eastAsia" w:ascii="黑体" w:hAnsi="黑体" w:eastAsia="黑体" w:cs="黑体"/>
          <w:color w:val="auto"/>
          <w:spacing w:val="6"/>
          <w:sz w:val="23"/>
          <w:szCs w:val="23"/>
          <w:highlight w:val="none"/>
        </w:rPr>
        <w:t>勘察现场的费用由供应商自己承担，勘察期间所发生的人身伤害及财产</w:t>
      </w:r>
      <w:r>
        <w:rPr>
          <w:rFonts w:hint="eastAsia" w:ascii="黑体" w:hAnsi="黑体" w:eastAsia="黑体" w:cs="黑体"/>
          <w:color w:val="auto"/>
          <w:spacing w:val="10"/>
          <w:sz w:val="23"/>
          <w:szCs w:val="23"/>
          <w:highlight w:val="none"/>
        </w:rPr>
        <w:t>损</w:t>
      </w:r>
      <w:r>
        <w:rPr>
          <w:rFonts w:hint="eastAsia" w:ascii="黑体" w:hAnsi="黑体" w:eastAsia="黑体" w:cs="黑体"/>
          <w:color w:val="auto"/>
          <w:spacing w:val="8"/>
          <w:sz w:val="23"/>
          <w:szCs w:val="23"/>
          <w:highlight w:val="none"/>
        </w:rPr>
        <w:t>失由供应商自己负责。</w:t>
      </w:r>
    </w:p>
    <w:p w14:paraId="7FA699D9">
      <w:pPr>
        <w:keepNext w:val="0"/>
        <w:keepLines w:val="0"/>
        <w:pageBreakBefore w:val="0"/>
        <w:kinsoku/>
        <w:overflowPunct/>
        <w:autoSpaceDE w:val="0"/>
        <w:autoSpaceDN w:val="0"/>
        <w:bidi w:val="0"/>
        <w:spacing w:before="2" w:line="375" w:lineRule="auto"/>
        <w:ind w:left="21" w:right="11" w:firstLine="485"/>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7.</w:t>
      </w:r>
      <w:r>
        <w:rPr>
          <w:rFonts w:hint="eastAsia" w:ascii="黑体" w:hAnsi="黑体" w:eastAsia="黑体" w:cs="黑体"/>
          <w:color w:val="auto"/>
          <w:spacing w:val="10"/>
          <w:sz w:val="23"/>
          <w:szCs w:val="23"/>
          <w:highlight w:val="none"/>
        </w:rPr>
        <w:t>3</w:t>
      </w:r>
      <w:r>
        <w:rPr>
          <w:rFonts w:hint="eastAsia" w:ascii="黑体" w:hAnsi="黑体" w:eastAsia="黑体" w:cs="黑体"/>
          <w:color w:val="auto"/>
          <w:spacing w:val="6"/>
          <w:sz w:val="23"/>
          <w:szCs w:val="23"/>
          <w:highlight w:val="none"/>
        </w:rPr>
        <w:t>采购人不对供应商据此而做出的推论、理解和结论负责。一旦成交，供</w:t>
      </w:r>
      <w:r>
        <w:rPr>
          <w:rFonts w:hint="eastAsia" w:ascii="黑体" w:hAnsi="黑体" w:eastAsia="黑体" w:cs="黑体"/>
          <w:color w:val="auto"/>
          <w:spacing w:val="17"/>
          <w:sz w:val="23"/>
          <w:szCs w:val="23"/>
          <w:highlight w:val="none"/>
        </w:rPr>
        <w:t>应</w:t>
      </w:r>
      <w:r>
        <w:rPr>
          <w:rFonts w:hint="eastAsia" w:ascii="黑体" w:hAnsi="黑体" w:eastAsia="黑体" w:cs="黑体"/>
          <w:color w:val="auto"/>
          <w:spacing w:val="9"/>
          <w:sz w:val="23"/>
          <w:szCs w:val="23"/>
          <w:highlight w:val="none"/>
        </w:rPr>
        <w:t>商不得以任何借口，提出额外补偿，或延长合同期限的要求。</w:t>
      </w:r>
    </w:p>
    <w:p w14:paraId="5D2069C4">
      <w:pPr>
        <w:keepNext w:val="0"/>
        <w:keepLines w:val="0"/>
        <w:pageBreakBefore w:val="0"/>
        <w:kinsoku/>
        <w:overflowPunct/>
        <w:autoSpaceDE w:val="0"/>
        <w:autoSpaceDN w:val="0"/>
        <w:bidi w:val="0"/>
        <w:spacing w:line="308" w:lineRule="exact"/>
        <w:ind w:left="502"/>
        <w:outlineLvl w:val="2"/>
        <w:rPr>
          <w:rFonts w:hint="eastAsia" w:ascii="黑体" w:hAnsi="黑体" w:eastAsia="黑体" w:cs="黑体"/>
          <w:color w:val="auto"/>
          <w:sz w:val="23"/>
          <w:szCs w:val="23"/>
          <w:highlight w:val="none"/>
        </w:rPr>
      </w:pPr>
      <w:bookmarkStart w:id="31" w:name="_Toc25552"/>
      <w:r>
        <w:rPr>
          <w:rFonts w:hint="eastAsia" w:ascii="黑体" w:hAnsi="黑体" w:eastAsia="黑体" w:cs="黑体"/>
          <w:color w:val="auto"/>
          <w:spacing w:val="10"/>
          <w:position w:val="1"/>
          <w:sz w:val="23"/>
          <w:szCs w:val="23"/>
          <w:highlight w:val="none"/>
        </w:rPr>
        <w:t>8</w:t>
      </w:r>
      <w:r>
        <w:rPr>
          <w:rFonts w:hint="eastAsia" w:ascii="黑体" w:hAnsi="黑体" w:eastAsia="黑体" w:cs="黑体"/>
          <w:color w:val="auto"/>
          <w:spacing w:val="7"/>
          <w:position w:val="1"/>
          <w:sz w:val="23"/>
          <w:szCs w:val="23"/>
          <w:highlight w:val="none"/>
        </w:rPr>
        <w:t>.采购进口产品</w:t>
      </w:r>
      <w:bookmarkEnd w:id="31"/>
    </w:p>
    <w:p w14:paraId="22A2900E">
      <w:pPr>
        <w:keepNext w:val="0"/>
        <w:keepLines w:val="0"/>
        <w:pageBreakBefore w:val="0"/>
        <w:kinsoku/>
        <w:overflowPunct/>
        <w:autoSpaceDE w:val="0"/>
        <w:autoSpaceDN w:val="0"/>
        <w:bidi w:val="0"/>
        <w:spacing w:before="160" w:line="227" w:lineRule="auto"/>
        <w:ind w:left="502"/>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8</w:t>
      </w:r>
      <w:r>
        <w:rPr>
          <w:rFonts w:hint="eastAsia" w:ascii="黑体" w:hAnsi="黑体" w:eastAsia="黑体" w:cs="黑体"/>
          <w:color w:val="auto"/>
          <w:spacing w:val="9"/>
          <w:sz w:val="23"/>
          <w:szCs w:val="23"/>
          <w:highlight w:val="none"/>
        </w:rPr>
        <w:t>.</w:t>
      </w:r>
      <w:r>
        <w:rPr>
          <w:rFonts w:hint="eastAsia" w:ascii="黑体" w:hAnsi="黑体" w:eastAsia="黑体" w:cs="黑体"/>
          <w:color w:val="auto"/>
          <w:spacing w:val="6"/>
          <w:sz w:val="23"/>
          <w:szCs w:val="23"/>
          <w:highlight w:val="none"/>
        </w:rPr>
        <w:t>1除前附表另有规定外，本项目拒绝进口产品参加竞争性磋商采购活动。</w:t>
      </w:r>
    </w:p>
    <w:p w14:paraId="35964BD4">
      <w:pPr>
        <w:keepNext w:val="0"/>
        <w:keepLines w:val="0"/>
        <w:pageBreakBefore w:val="0"/>
        <w:kinsoku/>
        <w:overflowPunct/>
        <w:autoSpaceDE w:val="0"/>
        <w:autoSpaceDN w:val="0"/>
        <w:bidi w:val="0"/>
        <w:spacing w:before="184" w:line="376" w:lineRule="auto"/>
        <w:ind w:left="25" w:right="11" w:firstLine="476"/>
        <w:rPr>
          <w:rFonts w:hint="eastAsia" w:ascii="黑体" w:hAnsi="黑体" w:eastAsia="黑体" w:cs="黑体"/>
          <w:color w:val="auto"/>
          <w:sz w:val="23"/>
          <w:szCs w:val="23"/>
          <w:highlight w:val="none"/>
        </w:rPr>
      </w:pPr>
      <w:r>
        <w:rPr>
          <w:rFonts w:hint="eastAsia" w:ascii="黑体" w:hAnsi="黑体" w:eastAsia="黑体" w:cs="黑体"/>
          <w:color w:val="auto"/>
          <w:spacing w:val="4"/>
          <w:sz w:val="23"/>
          <w:szCs w:val="23"/>
          <w:highlight w:val="none"/>
        </w:rPr>
        <w:t>8</w:t>
      </w:r>
      <w:r>
        <w:rPr>
          <w:rFonts w:hint="eastAsia" w:ascii="黑体" w:hAnsi="黑体" w:eastAsia="黑体" w:cs="黑体"/>
          <w:color w:val="auto"/>
          <w:spacing w:val="3"/>
          <w:sz w:val="23"/>
          <w:szCs w:val="23"/>
          <w:highlight w:val="none"/>
        </w:rPr>
        <w:t>.2本章第8.1款规定同意购买进口产品的，本项目采购活动不限制满足磋</w:t>
      </w:r>
      <w:r>
        <w:rPr>
          <w:rFonts w:hint="eastAsia" w:ascii="黑体" w:hAnsi="黑体" w:eastAsia="黑体" w:cs="黑体"/>
          <w:color w:val="auto"/>
          <w:spacing w:val="16"/>
          <w:sz w:val="23"/>
          <w:szCs w:val="23"/>
          <w:highlight w:val="none"/>
        </w:rPr>
        <w:t>商</w:t>
      </w:r>
      <w:r>
        <w:rPr>
          <w:rFonts w:hint="eastAsia" w:ascii="黑体" w:hAnsi="黑体" w:eastAsia="黑体" w:cs="黑体"/>
          <w:color w:val="auto"/>
          <w:spacing w:val="11"/>
          <w:sz w:val="23"/>
          <w:szCs w:val="23"/>
          <w:highlight w:val="none"/>
        </w:rPr>
        <w:t>文</w:t>
      </w:r>
      <w:r>
        <w:rPr>
          <w:rFonts w:hint="eastAsia" w:ascii="黑体" w:hAnsi="黑体" w:eastAsia="黑体" w:cs="黑体"/>
          <w:color w:val="auto"/>
          <w:spacing w:val="8"/>
          <w:sz w:val="23"/>
          <w:szCs w:val="23"/>
          <w:highlight w:val="none"/>
        </w:rPr>
        <w:t>件要求的国内产品参与竞争性磋商。</w:t>
      </w:r>
    </w:p>
    <w:p w14:paraId="023DB508">
      <w:pPr>
        <w:keepNext w:val="0"/>
        <w:keepLines w:val="0"/>
        <w:pageBreakBefore w:val="0"/>
        <w:kinsoku/>
        <w:overflowPunct/>
        <w:autoSpaceDE w:val="0"/>
        <w:autoSpaceDN w:val="0"/>
        <w:bidi w:val="0"/>
        <w:spacing w:line="309" w:lineRule="exact"/>
        <w:ind w:left="502"/>
        <w:outlineLvl w:val="2"/>
        <w:rPr>
          <w:rFonts w:hint="eastAsia" w:ascii="黑体" w:hAnsi="黑体" w:eastAsia="黑体" w:cs="黑体"/>
          <w:color w:val="auto"/>
          <w:sz w:val="23"/>
          <w:szCs w:val="23"/>
          <w:highlight w:val="none"/>
        </w:rPr>
      </w:pPr>
      <w:bookmarkStart w:id="32" w:name="_Toc32604"/>
      <w:r>
        <w:rPr>
          <w:rFonts w:hint="eastAsia" w:ascii="黑体" w:hAnsi="黑体" w:eastAsia="黑体" w:cs="黑体"/>
          <w:color w:val="auto"/>
          <w:spacing w:val="8"/>
          <w:position w:val="1"/>
          <w:sz w:val="23"/>
          <w:szCs w:val="23"/>
          <w:highlight w:val="none"/>
        </w:rPr>
        <w:t>9.政府采购政策支</w:t>
      </w:r>
      <w:r>
        <w:rPr>
          <w:rFonts w:hint="eastAsia" w:ascii="黑体" w:hAnsi="黑体" w:eastAsia="黑体" w:cs="黑体"/>
          <w:color w:val="auto"/>
          <w:spacing w:val="7"/>
          <w:position w:val="1"/>
          <w:sz w:val="23"/>
          <w:szCs w:val="23"/>
          <w:highlight w:val="none"/>
        </w:rPr>
        <w:t>持</w:t>
      </w:r>
      <w:bookmarkEnd w:id="32"/>
    </w:p>
    <w:p w14:paraId="71E4864E">
      <w:pPr>
        <w:keepNext w:val="0"/>
        <w:keepLines w:val="0"/>
        <w:pageBreakBefore w:val="0"/>
        <w:kinsoku/>
        <w:overflowPunct/>
        <w:autoSpaceDE w:val="0"/>
        <w:autoSpaceDN w:val="0"/>
        <w:bidi w:val="0"/>
        <w:spacing w:before="158" w:line="376" w:lineRule="auto"/>
        <w:ind w:left="22" w:right="11" w:firstLine="479"/>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9.1</w:t>
      </w:r>
      <w:r>
        <w:rPr>
          <w:rFonts w:hint="eastAsia" w:ascii="黑体" w:hAnsi="黑体" w:eastAsia="黑体" w:cs="黑体"/>
          <w:color w:val="auto"/>
          <w:spacing w:val="6"/>
          <w:sz w:val="23"/>
          <w:szCs w:val="23"/>
          <w:highlight w:val="none"/>
        </w:rPr>
        <w:t>产品属于政府强制采购节能产品范围，必须将是否列入最新一期节能清</w:t>
      </w:r>
      <w:r>
        <w:rPr>
          <w:rFonts w:hint="eastAsia" w:ascii="黑体" w:hAnsi="黑体" w:eastAsia="黑体" w:cs="黑体"/>
          <w:color w:val="auto"/>
          <w:spacing w:val="18"/>
          <w:sz w:val="23"/>
          <w:szCs w:val="23"/>
          <w:highlight w:val="none"/>
        </w:rPr>
        <w:t>单</w:t>
      </w:r>
      <w:r>
        <w:rPr>
          <w:rFonts w:hint="eastAsia" w:ascii="黑体" w:hAnsi="黑体" w:eastAsia="黑体" w:cs="黑体"/>
          <w:color w:val="auto"/>
          <w:spacing w:val="13"/>
          <w:sz w:val="23"/>
          <w:szCs w:val="23"/>
          <w:highlight w:val="none"/>
        </w:rPr>
        <w:t>作</w:t>
      </w:r>
      <w:r>
        <w:rPr>
          <w:rFonts w:hint="eastAsia" w:ascii="黑体" w:hAnsi="黑体" w:eastAsia="黑体" w:cs="黑体"/>
          <w:color w:val="auto"/>
          <w:spacing w:val="9"/>
          <w:sz w:val="23"/>
          <w:szCs w:val="23"/>
          <w:highlight w:val="none"/>
        </w:rPr>
        <w:t>为采购产品的资格条件。本项目的详细要求见</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9"/>
          <w:sz w:val="23"/>
          <w:szCs w:val="23"/>
          <w:highlight w:val="none"/>
        </w:rPr>
        <w:t>。</w:t>
      </w:r>
    </w:p>
    <w:p w14:paraId="7BF5FAF6">
      <w:pPr>
        <w:keepNext w:val="0"/>
        <w:keepLines w:val="0"/>
        <w:pageBreakBefore w:val="0"/>
        <w:kinsoku/>
        <w:overflowPunct/>
        <w:autoSpaceDE w:val="0"/>
        <w:autoSpaceDN w:val="0"/>
        <w:bidi w:val="0"/>
        <w:spacing w:before="2" w:line="375" w:lineRule="auto"/>
        <w:ind w:left="28" w:right="11" w:firstLine="473"/>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9.</w:t>
      </w:r>
      <w:r>
        <w:rPr>
          <w:rFonts w:hint="eastAsia" w:ascii="黑体" w:hAnsi="黑体" w:eastAsia="黑体" w:cs="黑体"/>
          <w:color w:val="auto"/>
          <w:spacing w:val="8"/>
          <w:sz w:val="23"/>
          <w:szCs w:val="23"/>
          <w:highlight w:val="none"/>
        </w:rPr>
        <w:t>2</w:t>
      </w:r>
      <w:r>
        <w:rPr>
          <w:rFonts w:hint="eastAsia" w:ascii="黑体" w:hAnsi="黑体" w:eastAsia="黑体" w:cs="黑体"/>
          <w:color w:val="auto"/>
          <w:spacing w:val="6"/>
          <w:sz w:val="23"/>
          <w:szCs w:val="23"/>
          <w:highlight w:val="none"/>
        </w:rPr>
        <w:t>对列入最新一期节能清单(非强制类)、环保清单内的产品，具体要求如</w:t>
      </w:r>
      <w:r>
        <w:rPr>
          <w:rFonts w:hint="eastAsia" w:ascii="黑体" w:hAnsi="黑体" w:eastAsia="黑体" w:cs="黑体"/>
          <w:color w:val="auto"/>
          <w:spacing w:val="-4"/>
          <w:sz w:val="23"/>
          <w:szCs w:val="23"/>
          <w:highlight w:val="none"/>
        </w:rPr>
        <w:t>下</w:t>
      </w:r>
      <w:r>
        <w:rPr>
          <w:rFonts w:hint="eastAsia" w:ascii="黑体" w:hAnsi="黑体" w:eastAsia="黑体" w:cs="黑体"/>
          <w:color w:val="auto"/>
          <w:spacing w:val="-3"/>
          <w:sz w:val="23"/>
          <w:szCs w:val="23"/>
          <w:highlight w:val="none"/>
        </w:rPr>
        <w:t>：</w:t>
      </w:r>
    </w:p>
    <w:p w14:paraId="6BE1B27E">
      <w:pPr>
        <w:keepNext w:val="0"/>
        <w:keepLines w:val="0"/>
        <w:pageBreakBefore w:val="0"/>
        <w:kinsoku/>
        <w:overflowPunct/>
        <w:autoSpaceDE w:val="0"/>
        <w:autoSpaceDN w:val="0"/>
        <w:bidi w:val="0"/>
        <w:spacing w:before="3" w:line="375" w:lineRule="auto"/>
        <w:ind w:left="23" w:right="11" w:firstLine="519"/>
        <w:rPr>
          <w:rFonts w:hint="eastAsia" w:ascii="黑体" w:hAnsi="黑体" w:eastAsia="黑体" w:cs="黑体"/>
          <w:color w:val="auto"/>
          <w:sz w:val="23"/>
          <w:szCs w:val="23"/>
          <w:highlight w:val="none"/>
        </w:rPr>
      </w:pPr>
      <w:r>
        <w:rPr>
          <w:rFonts w:hint="eastAsia" w:ascii="黑体" w:hAnsi="黑体" w:eastAsia="黑体" w:cs="黑体"/>
          <w:color w:val="auto"/>
          <w:spacing w:val="23"/>
          <w:sz w:val="23"/>
          <w:szCs w:val="23"/>
          <w:highlight w:val="none"/>
        </w:rPr>
        <w:t>(</w:t>
      </w:r>
      <w:r>
        <w:rPr>
          <w:rFonts w:hint="eastAsia" w:ascii="黑体" w:hAnsi="黑体" w:eastAsia="黑体" w:cs="黑体"/>
          <w:color w:val="auto"/>
          <w:spacing w:val="12"/>
          <w:sz w:val="23"/>
          <w:szCs w:val="23"/>
          <w:highlight w:val="none"/>
        </w:rPr>
        <w:t>一)采用招标方式采购的(除评标方法采用最低评标价法外)或适用于竞争</w:t>
      </w:r>
      <w:r>
        <w:rPr>
          <w:rFonts w:hint="eastAsia" w:ascii="黑体" w:hAnsi="黑体" w:eastAsia="黑体" w:cs="黑体"/>
          <w:color w:val="auto"/>
          <w:spacing w:val="10"/>
          <w:sz w:val="23"/>
          <w:szCs w:val="23"/>
          <w:highlight w:val="none"/>
        </w:rPr>
        <w:t>性</w:t>
      </w:r>
      <w:r>
        <w:rPr>
          <w:rFonts w:hint="eastAsia" w:ascii="黑体" w:hAnsi="黑体" w:eastAsia="黑体" w:cs="黑体"/>
          <w:color w:val="auto"/>
          <w:spacing w:val="7"/>
          <w:sz w:val="23"/>
          <w:szCs w:val="23"/>
          <w:highlight w:val="none"/>
        </w:rPr>
        <w:t>磋商采购方式的，应当对列入“两个清单”的产品分别予以相应的加分；对于</w:t>
      </w:r>
      <w:r>
        <w:rPr>
          <w:rFonts w:hint="eastAsia" w:ascii="黑体" w:hAnsi="黑体" w:eastAsia="黑体" w:cs="黑体"/>
          <w:color w:val="auto"/>
          <w:spacing w:val="18"/>
          <w:sz w:val="23"/>
          <w:szCs w:val="23"/>
          <w:highlight w:val="none"/>
        </w:rPr>
        <w:t>同</w:t>
      </w:r>
      <w:r>
        <w:rPr>
          <w:rFonts w:hint="eastAsia" w:ascii="黑体" w:hAnsi="黑体" w:eastAsia="黑体" w:cs="黑体"/>
          <w:color w:val="auto"/>
          <w:spacing w:val="9"/>
          <w:sz w:val="23"/>
          <w:szCs w:val="23"/>
          <w:highlight w:val="none"/>
        </w:rPr>
        <w:t>时列入“两个清单”的产品，应当优先于只获得其中一项认证的产品。</w:t>
      </w:r>
    </w:p>
    <w:p w14:paraId="4CF69367">
      <w:pPr>
        <w:keepNext w:val="0"/>
        <w:keepLines w:val="0"/>
        <w:pageBreakBefore w:val="0"/>
        <w:kinsoku/>
        <w:overflowPunct/>
        <w:autoSpaceDE w:val="0"/>
        <w:autoSpaceDN w:val="0"/>
        <w:bidi w:val="0"/>
        <w:spacing w:before="2" w:line="375" w:lineRule="auto"/>
        <w:ind w:left="20" w:right="11" w:firstLine="52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(二</w:t>
      </w:r>
      <w:r>
        <w:rPr>
          <w:rFonts w:hint="eastAsia" w:ascii="黑体" w:hAnsi="黑体" w:eastAsia="黑体" w:cs="黑体"/>
          <w:color w:val="auto"/>
          <w:spacing w:val="9"/>
          <w:sz w:val="23"/>
          <w:szCs w:val="23"/>
          <w:highlight w:val="none"/>
        </w:rPr>
        <w:t>)</w:t>
      </w:r>
      <w:r>
        <w:rPr>
          <w:rFonts w:hint="eastAsia" w:ascii="黑体" w:hAnsi="黑体" w:eastAsia="黑体" w:cs="黑体"/>
          <w:color w:val="auto"/>
          <w:spacing w:val="5"/>
          <w:sz w:val="23"/>
          <w:szCs w:val="23"/>
          <w:highlight w:val="none"/>
        </w:rPr>
        <w:t>采用非招标方式(竞争性谈判、询价)及招标方式评标方法采用最低评标</w:t>
      </w:r>
      <w:r>
        <w:rPr>
          <w:rFonts w:hint="eastAsia" w:ascii="黑体" w:hAnsi="黑体" w:eastAsia="黑体" w:cs="黑体"/>
          <w:color w:val="auto"/>
          <w:spacing w:val="14"/>
          <w:sz w:val="23"/>
          <w:szCs w:val="23"/>
          <w:highlight w:val="none"/>
        </w:rPr>
        <w:t>价</w:t>
      </w:r>
      <w:r>
        <w:rPr>
          <w:rFonts w:hint="eastAsia" w:ascii="黑体" w:hAnsi="黑体" w:eastAsia="黑体" w:cs="黑体"/>
          <w:color w:val="auto"/>
          <w:spacing w:val="7"/>
          <w:sz w:val="23"/>
          <w:szCs w:val="23"/>
          <w:highlight w:val="none"/>
        </w:rPr>
        <w:t>法的，在报价相同的前提下，应优先采购“两个清单”内的产品；对于同时列</w:t>
      </w:r>
      <w:r>
        <w:rPr>
          <w:rFonts w:hint="eastAsia" w:ascii="黑体" w:hAnsi="黑体" w:eastAsia="黑体" w:cs="黑体"/>
          <w:color w:val="auto"/>
          <w:spacing w:val="18"/>
          <w:sz w:val="23"/>
          <w:szCs w:val="23"/>
          <w:highlight w:val="none"/>
        </w:rPr>
        <w:t>入</w:t>
      </w:r>
      <w:r>
        <w:rPr>
          <w:rFonts w:hint="eastAsia" w:ascii="黑体" w:hAnsi="黑体" w:eastAsia="黑体" w:cs="黑体"/>
          <w:color w:val="auto"/>
          <w:spacing w:val="10"/>
          <w:sz w:val="23"/>
          <w:szCs w:val="23"/>
          <w:highlight w:val="none"/>
        </w:rPr>
        <w:t>“</w:t>
      </w:r>
      <w:r>
        <w:rPr>
          <w:rFonts w:hint="eastAsia" w:ascii="黑体" w:hAnsi="黑体" w:eastAsia="黑体" w:cs="黑体"/>
          <w:color w:val="auto"/>
          <w:spacing w:val="9"/>
          <w:sz w:val="23"/>
          <w:szCs w:val="23"/>
          <w:highlight w:val="none"/>
        </w:rPr>
        <w:t>两个清单”的产品，应当优先于只获得其中一项认证的产品。</w:t>
      </w:r>
    </w:p>
    <w:p w14:paraId="52F3300C">
      <w:pPr>
        <w:keepNext w:val="0"/>
        <w:keepLines w:val="0"/>
        <w:pageBreakBefore w:val="0"/>
        <w:kinsoku/>
        <w:overflowPunct/>
        <w:autoSpaceDE w:val="0"/>
        <w:autoSpaceDN w:val="0"/>
        <w:bidi w:val="0"/>
        <w:spacing w:before="1" w:line="226" w:lineRule="auto"/>
        <w:ind w:left="50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本</w:t>
      </w:r>
      <w:r>
        <w:rPr>
          <w:rFonts w:hint="eastAsia" w:ascii="黑体" w:hAnsi="黑体" w:eastAsia="黑体" w:cs="黑体"/>
          <w:color w:val="auto"/>
          <w:spacing w:val="9"/>
          <w:sz w:val="23"/>
          <w:szCs w:val="23"/>
          <w:highlight w:val="none"/>
        </w:rPr>
        <w:t>项目的详细要求见</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9"/>
          <w:sz w:val="23"/>
          <w:szCs w:val="23"/>
          <w:highlight w:val="none"/>
        </w:rPr>
        <w:t>。</w:t>
      </w:r>
    </w:p>
    <w:p w14:paraId="70952A5B">
      <w:pPr>
        <w:keepNext w:val="0"/>
        <w:keepLines w:val="0"/>
        <w:pageBreakBefore w:val="0"/>
        <w:kinsoku/>
        <w:overflowPunct/>
        <w:autoSpaceDE w:val="0"/>
        <w:autoSpaceDN w:val="0"/>
        <w:bidi w:val="0"/>
        <w:spacing w:before="185" w:line="381" w:lineRule="auto"/>
        <w:ind w:left="31" w:right="11" w:firstLine="470"/>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9.3</w:t>
      </w:r>
      <w:r>
        <w:rPr>
          <w:rFonts w:hint="eastAsia" w:ascii="黑体" w:hAnsi="黑体" w:eastAsia="黑体" w:cs="黑体"/>
          <w:color w:val="auto"/>
          <w:spacing w:val="6"/>
          <w:sz w:val="23"/>
          <w:szCs w:val="23"/>
          <w:highlight w:val="none"/>
        </w:rPr>
        <w:t>采购人使用财政性资金采购信息安全产品的，应当采购经国家认证的信</w:t>
      </w:r>
      <w:r>
        <w:rPr>
          <w:rFonts w:hint="eastAsia" w:ascii="黑体" w:hAnsi="黑体" w:eastAsia="黑体" w:cs="黑体"/>
          <w:color w:val="auto"/>
          <w:spacing w:val="7"/>
          <w:sz w:val="23"/>
          <w:szCs w:val="23"/>
          <w:highlight w:val="none"/>
        </w:rPr>
        <w:t>息安全产品，应当在采购文件中载明对产品获得信息安全认证的要求，并要求</w:t>
      </w:r>
      <w:r>
        <w:rPr>
          <w:rFonts w:hint="eastAsia" w:ascii="黑体" w:hAnsi="黑体" w:eastAsia="黑体" w:cs="黑体"/>
          <w:color w:val="auto"/>
          <w:spacing w:val="3"/>
          <w:sz w:val="23"/>
          <w:szCs w:val="23"/>
          <w:highlight w:val="none"/>
        </w:rPr>
        <w:t>产</w:t>
      </w:r>
      <w:r>
        <w:rPr>
          <w:rFonts w:hint="eastAsia" w:ascii="黑体" w:hAnsi="黑体" w:eastAsia="黑体" w:cs="黑体"/>
          <w:color w:val="auto"/>
          <w:spacing w:val="7"/>
          <w:sz w:val="23"/>
          <w:szCs w:val="23"/>
          <w:highlight w:val="none"/>
        </w:rPr>
        <w:t>品供应商提供由中国信息安全认证中心按国家标准认证颁发的有效认证证书。</w:t>
      </w:r>
      <w:r>
        <w:rPr>
          <w:rFonts w:hint="eastAsia" w:ascii="黑体" w:hAnsi="黑体" w:eastAsia="黑体" w:cs="黑体"/>
          <w:color w:val="auto"/>
          <w:spacing w:val="3"/>
          <w:sz w:val="23"/>
          <w:szCs w:val="23"/>
          <w:highlight w:val="none"/>
        </w:rPr>
        <w:t>本</w:t>
      </w:r>
    </w:p>
    <w:p w14:paraId="66D86D84">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9"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4BE7CAF3">
      <w:pPr>
        <w:keepNext w:val="0"/>
        <w:keepLines w:val="0"/>
        <w:pageBreakBefore w:val="0"/>
        <w:kinsoku/>
        <w:overflowPunct/>
        <w:autoSpaceDE w:val="0"/>
        <w:autoSpaceDN w:val="0"/>
        <w:bidi w:val="0"/>
        <w:spacing w:before="122" w:line="227" w:lineRule="auto"/>
        <w:ind w:left="24"/>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项目的详细要求见</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6"/>
          <w:sz w:val="23"/>
          <w:szCs w:val="23"/>
          <w:highlight w:val="none"/>
        </w:rPr>
        <w:t>。</w:t>
      </w:r>
    </w:p>
    <w:p w14:paraId="4C9DF8BD">
      <w:pPr>
        <w:keepNext w:val="0"/>
        <w:keepLines w:val="0"/>
        <w:pageBreakBefore w:val="0"/>
        <w:kinsoku/>
        <w:overflowPunct/>
        <w:autoSpaceDE w:val="0"/>
        <w:autoSpaceDN w:val="0"/>
        <w:bidi w:val="0"/>
        <w:spacing w:before="185" w:line="225" w:lineRule="auto"/>
        <w:ind w:left="50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9</w:t>
      </w:r>
      <w:r>
        <w:rPr>
          <w:rFonts w:hint="eastAsia" w:ascii="黑体" w:hAnsi="黑体" w:eastAsia="黑体" w:cs="黑体"/>
          <w:color w:val="auto"/>
          <w:spacing w:val="7"/>
          <w:sz w:val="23"/>
          <w:szCs w:val="23"/>
          <w:highlight w:val="none"/>
        </w:rPr>
        <w:t>.4其他法律法规强制性规定。本项目的详细要求见</w:t>
      </w:r>
      <w:r>
        <w:rPr>
          <w:rFonts w:hint="eastAsia" w:ascii="黑体" w:hAnsi="黑体" w:eastAsia="黑体" w:cs="黑体"/>
          <w:color w:val="auto"/>
          <w:spacing w:val="7"/>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7"/>
          <w:sz w:val="23"/>
          <w:szCs w:val="23"/>
          <w:highlight w:val="none"/>
        </w:rPr>
        <w:t>。</w:t>
      </w:r>
    </w:p>
    <w:p w14:paraId="490FCD0D">
      <w:pPr>
        <w:keepNext w:val="0"/>
        <w:keepLines w:val="0"/>
        <w:pageBreakBefore w:val="0"/>
        <w:kinsoku/>
        <w:overflowPunct/>
        <w:autoSpaceDE w:val="0"/>
        <w:autoSpaceDN w:val="0"/>
        <w:bidi w:val="0"/>
        <w:spacing w:before="307" w:line="314" w:lineRule="exact"/>
        <w:ind w:left="3701"/>
        <w:outlineLvl w:val="1"/>
        <w:rPr>
          <w:rFonts w:hint="eastAsia" w:ascii="黑体" w:hAnsi="黑体" w:eastAsia="黑体" w:cs="黑体"/>
          <w:color w:val="auto"/>
          <w:sz w:val="23"/>
          <w:szCs w:val="23"/>
          <w:highlight w:val="none"/>
        </w:rPr>
      </w:pPr>
      <w:bookmarkStart w:id="33" w:name="_Toc3135"/>
      <w:r>
        <w:rPr>
          <w:rFonts w:hint="eastAsia" w:ascii="黑体" w:hAnsi="黑体" w:eastAsia="黑体" w:cs="黑体"/>
          <w:color w:val="auto"/>
          <w:spacing w:val="11"/>
          <w:position w:val="1"/>
          <w:sz w:val="23"/>
          <w:szCs w:val="23"/>
          <w:highlight w:val="none"/>
          <w14:textOutline w14:w="4358" w14:cap="sq" w14:cmpd="sng">
            <w14:solidFill>
              <w14:srgbClr w14:val="000000"/>
            </w14:solidFill>
            <w14:prstDash w14:val="solid"/>
            <w14:bevel/>
          </w14:textOutline>
        </w:rPr>
        <w:t>二</w:t>
      </w:r>
      <w:r>
        <w:rPr>
          <w:rFonts w:hint="eastAsia" w:ascii="黑体" w:hAnsi="黑体" w:eastAsia="黑体" w:cs="黑体"/>
          <w:color w:val="auto"/>
          <w:spacing w:val="8"/>
          <w:position w:val="1"/>
          <w:sz w:val="23"/>
          <w:szCs w:val="23"/>
          <w:highlight w:val="none"/>
          <w14:textOutline w14:w="4358" w14:cap="sq" w14:cmpd="sng">
            <w14:solidFill>
              <w14:srgbClr w14:val="000000"/>
            </w14:solidFill>
            <w14:prstDash w14:val="solid"/>
            <w14:bevel/>
          </w14:textOutline>
        </w:rPr>
        <w:t>、磋商文件</w:t>
      </w:r>
      <w:bookmarkEnd w:id="33"/>
    </w:p>
    <w:p w14:paraId="7D05F3F9">
      <w:pPr>
        <w:keepNext w:val="0"/>
        <w:keepLines w:val="0"/>
        <w:pageBreakBefore w:val="0"/>
        <w:kinsoku/>
        <w:overflowPunct/>
        <w:autoSpaceDE w:val="0"/>
        <w:autoSpaceDN w:val="0"/>
        <w:bidi w:val="0"/>
        <w:spacing w:before="274" w:line="308" w:lineRule="exact"/>
        <w:ind w:left="518"/>
        <w:outlineLvl w:val="2"/>
        <w:rPr>
          <w:rFonts w:hint="eastAsia" w:ascii="黑体" w:hAnsi="黑体" w:eastAsia="黑体" w:cs="黑体"/>
          <w:color w:val="auto"/>
          <w:sz w:val="23"/>
          <w:szCs w:val="23"/>
          <w:highlight w:val="none"/>
        </w:rPr>
      </w:pPr>
      <w:bookmarkStart w:id="34" w:name="_Toc17008"/>
      <w:r>
        <w:rPr>
          <w:rFonts w:hint="eastAsia" w:ascii="黑体" w:hAnsi="黑体" w:eastAsia="黑体" w:cs="黑体"/>
          <w:color w:val="auto"/>
          <w:spacing w:val="10"/>
          <w:position w:val="1"/>
          <w:sz w:val="23"/>
          <w:szCs w:val="23"/>
          <w:highlight w:val="none"/>
        </w:rPr>
        <w:t>1</w:t>
      </w:r>
      <w:r>
        <w:rPr>
          <w:rFonts w:hint="eastAsia" w:ascii="黑体" w:hAnsi="黑体" w:eastAsia="黑体" w:cs="黑体"/>
          <w:color w:val="auto"/>
          <w:spacing w:val="7"/>
          <w:position w:val="1"/>
          <w:sz w:val="23"/>
          <w:szCs w:val="23"/>
          <w:highlight w:val="none"/>
        </w:rPr>
        <w:t>0</w:t>
      </w:r>
      <w:r>
        <w:rPr>
          <w:rFonts w:hint="eastAsia" w:ascii="黑体" w:hAnsi="黑体" w:eastAsia="黑体" w:cs="黑体"/>
          <w:color w:val="auto"/>
          <w:spacing w:val="5"/>
          <w:position w:val="1"/>
          <w:sz w:val="23"/>
          <w:szCs w:val="23"/>
          <w:highlight w:val="none"/>
        </w:rPr>
        <w:t>.磋商文件的组成</w:t>
      </w:r>
      <w:bookmarkEnd w:id="34"/>
    </w:p>
    <w:p w14:paraId="01672E8F">
      <w:pPr>
        <w:keepNext w:val="0"/>
        <w:keepLines w:val="0"/>
        <w:pageBreakBefore w:val="0"/>
        <w:kinsoku/>
        <w:overflowPunct/>
        <w:autoSpaceDE w:val="0"/>
        <w:autoSpaceDN w:val="0"/>
        <w:bidi w:val="0"/>
        <w:spacing w:before="160" w:line="227"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3"/>
          <w:sz w:val="23"/>
          <w:szCs w:val="23"/>
          <w:highlight w:val="none"/>
        </w:rPr>
        <w:t>10.1磋商文件由下列文件组</w:t>
      </w:r>
      <w:r>
        <w:rPr>
          <w:rFonts w:hint="eastAsia" w:ascii="黑体" w:hAnsi="黑体" w:eastAsia="黑体" w:cs="黑体"/>
          <w:color w:val="auto"/>
          <w:spacing w:val="2"/>
          <w:sz w:val="23"/>
          <w:szCs w:val="23"/>
          <w:highlight w:val="none"/>
        </w:rPr>
        <w:t>成</w:t>
      </w:r>
      <w:r>
        <w:rPr>
          <w:rFonts w:hint="eastAsia" w:ascii="黑体" w:hAnsi="黑体" w:eastAsia="黑体" w:cs="黑体"/>
          <w:color w:val="auto"/>
          <w:sz w:val="23"/>
          <w:szCs w:val="23"/>
          <w:highlight w:val="none"/>
        </w:rPr>
        <w:t>：</w:t>
      </w:r>
    </w:p>
    <w:p w14:paraId="73E27D4C">
      <w:pPr>
        <w:keepNext w:val="0"/>
        <w:keepLines w:val="0"/>
        <w:pageBreakBefore w:val="0"/>
        <w:kinsoku/>
        <w:overflowPunct/>
        <w:autoSpaceDE w:val="0"/>
        <w:autoSpaceDN w:val="0"/>
        <w:bidi w:val="0"/>
        <w:spacing w:before="185" w:line="227" w:lineRule="auto"/>
        <w:ind w:left="501"/>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第一部分商务部分</w:t>
      </w:r>
    </w:p>
    <w:p w14:paraId="65F84BEE">
      <w:pPr>
        <w:keepNext w:val="0"/>
        <w:keepLines w:val="0"/>
        <w:pageBreakBefore w:val="0"/>
        <w:kinsoku/>
        <w:overflowPunct/>
        <w:autoSpaceDE w:val="0"/>
        <w:autoSpaceDN w:val="0"/>
        <w:bidi w:val="0"/>
        <w:spacing w:before="184" w:line="226" w:lineRule="auto"/>
        <w:ind w:left="500"/>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磋</w:t>
      </w:r>
      <w:r>
        <w:rPr>
          <w:rFonts w:hint="eastAsia" w:ascii="黑体" w:hAnsi="黑体" w:eastAsia="黑体" w:cs="黑体"/>
          <w:color w:val="auto"/>
          <w:spacing w:val="8"/>
          <w:sz w:val="23"/>
          <w:szCs w:val="23"/>
          <w:highlight w:val="none"/>
        </w:rPr>
        <w:t>商邀公告</w:t>
      </w:r>
    </w:p>
    <w:p w14:paraId="75DE1B16">
      <w:pPr>
        <w:keepNext w:val="0"/>
        <w:keepLines w:val="0"/>
        <w:pageBreakBefore w:val="0"/>
        <w:kinsoku/>
        <w:overflowPunct/>
        <w:autoSpaceDE w:val="0"/>
        <w:autoSpaceDN w:val="0"/>
        <w:bidi w:val="0"/>
        <w:spacing w:before="187" w:line="227" w:lineRule="auto"/>
        <w:ind w:left="500"/>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磋商须</w:t>
      </w:r>
      <w:r>
        <w:rPr>
          <w:rFonts w:hint="eastAsia" w:ascii="黑体" w:hAnsi="黑体" w:eastAsia="黑体" w:cs="黑体"/>
          <w:color w:val="auto"/>
          <w:spacing w:val="7"/>
          <w:sz w:val="23"/>
          <w:szCs w:val="23"/>
          <w:highlight w:val="none"/>
        </w:rPr>
        <w:t>知</w:t>
      </w:r>
    </w:p>
    <w:p w14:paraId="61D0AE37">
      <w:pPr>
        <w:keepNext w:val="0"/>
        <w:keepLines w:val="0"/>
        <w:pageBreakBefore w:val="0"/>
        <w:kinsoku/>
        <w:overflowPunct/>
        <w:autoSpaceDE w:val="0"/>
        <w:autoSpaceDN w:val="0"/>
        <w:bidi w:val="0"/>
        <w:spacing w:before="185" w:line="228" w:lineRule="auto"/>
        <w:ind w:left="500"/>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评审方法及标</w:t>
      </w:r>
      <w:r>
        <w:rPr>
          <w:rFonts w:hint="eastAsia" w:ascii="黑体" w:hAnsi="黑体" w:eastAsia="黑体" w:cs="黑体"/>
          <w:color w:val="auto"/>
          <w:spacing w:val="7"/>
          <w:sz w:val="23"/>
          <w:szCs w:val="23"/>
          <w:highlight w:val="none"/>
        </w:rPr>
        <w:t>准</w:t>
      </w:r>
    </w:p>
    <w:p w14:paraId="54DF2253">
      <w:pPr>
        <w:keepNext w:val="0"/>
        <w:keepLines w:val="0"/>
        <w:pageBreakBefore w:val="0"/>
        <w:kinsoku/>
        <w:overflowPunct/>
        <w:autoSpaceDE w:val="0"/>
        <w:autoSpaceDN w:val="0"/>
        <w:bidi w:val="0"/>
        <w:spacing w:before="184" w:line="227" w:lineRule="auto"/>
        <w:ind w:left="500"/>
        <w:rPr>
          <w:rFonts w:hint="eastAsia" w:ascii="黑体" w:hAnsi="黑体" w:eastAsia="黑体" w:cs="黑体"/>
          <w:color w:val="auto"/>
          <w:sz w:val="23"/>
          <w:szCs w:val="23"/>
          <w:highlight w:val="none"/>
        </w:rPr>
      </w:pPr>
      <w:r>
        <w:rPr>
          <w:rFonts w:hint="eastAsia" w:ascii="黑体" w:hAnsi="黑体" w:eastAsia="黑体" w:cs="黑体"/>
          <w:color w:val="auto"/>
          <w:spacing w:val="11"/>
          <w:sz w:val="23"/>
          <w:szCs w:val="23"/>
          <w:highlight w:val="none"/>
        </w:rPr>
        <w:t>政</w:t>
      </w:r>
      <w:r>
        <w:rPr>
          <w:rFonts w:hint="eastAsia" w:ascii="黑体" w:hAnsi="黑体" w:eastAsia="黑体" w:cs="黑体"/>
          <w:color w:val="auto"/>
          <w:spacing w:val="8"/>
          <w:sz w:val="23"/>
          <w:szCs w:val="23"/>
          <w:highlight w:val="none"/>
        </w:rPr>
        <w:t>府采购合同</w:t>
      </w:r>
    </w:p>
    <w:p w14:paraId="00325B93">
      <w:pPr>
        <w:keepNext w:val="0"/>
        <w:keepLines w:val="0"/>
        <w:pageBreakBefore w:val="0"/>
        <w:kinsoku/>
        <w:overflowPunct/>
        <w:autoSpaceDE w:val="0"/>
        <w:autoSpaceDN w:val="0"/>
        <w:bidi w:val="0"/>
        <w:spacing w:before="186" w:line="227" w:lineRule="auto"/>
        <w:ind w:left="51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响</w:t>
      </w:r>
      <w:r>
        <w:rPr>
          <w:rFonts w:hint="eastAsia" w:ascii="黑体" w:hAnsi="黑体" w:eastAsia="黑体" w:cs="黑体"/>
          <w:color w:val="auto"/>
          <w:spacing w:val="6"/>
          <w:sz w:val="23"/>
          <w:szCs w:val="23"/>
          <w:highlight w:val="none"/>
        </w:rPr>
        <w:t>应文件组成</w:t>
      </w:r>
    </w:p>
    <w:p w14:paraId="2DEFB65D">
      <w:pPr>
        <w:keepNext w:val="0"/>
        <w:keepLines w:val="0"/>
        <w:pageBreakBefore w:val="0"/>
        <w:kinsoku/>
        <w:overflowPunct/>
        <w:autoSpaceDE w:val="0"/>
        <w:autoSpaceDN w:val="0"/>
        <w:bidi w:val="0"/>
        <w:spacing w:before="184" w:line="227" w:lineRule="auto"/>
        <w:ind w:left="501"/>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第</w:t>
      </w:r>
      <w:r>
        <w:rPr>
          <w:rFonts w:hint="eastAsia" w:ascii="黑体" w:hAnsi="黑体" w:eastAsia="黑体" w:cs="黑体"/>
          <w:color w:val="auto"/>
          <w:spacing w:val="8"/>
          <w:sz w:val="23"/>
          <w:szCs w:val="23"/>
          <w:highlight w:val="none"/>
        </w:rPr>
        <w:t>二部分技术部分(采购需求)</w:t>
      </w:r>
    </w:p>
    <w:p w14:paraId="7C7BFD0C">
      <w:pPr>
        <w:keepNext w:val="0"/>
        <w:keepLines w:val="0"/>
        <w:pageBreakBefore w:val="0"/>
        <w:kinsoku/>
        <w:overflowPunct/>
        <w:autoSpaceDE w:val="0"/>
        <w:autoSpaceDN w:val="0"/>
        <w:bidi w:val="0"/>
        <w:spacing w:before="185" w:line="376" w:lineRule="auto"/>
        <w:ind w:left="22" w:right="27" w:firstLine="495"/>
        <w:rPr>
          <w:rFonts w:hint="eastAsia" w:ascii="黑体" w:hAnsi="黑体" w:eastAsia="黑体" w:cs="黑体"/>
          <w:color w:val="auto"/>
          <w:sz w:val="23"/>
          <w:szCs w:val="23"/>
          <w:highlight w:val="none"/>
        </w:rPr>
      </w:pPr>
      <w:r>
        <w:rPr>
          <w:rFonts w:hint="eastAsia" w:ascii="黑体" w:hAnsi="黑体" w:eastAsia="黑体" w:cs="黑体"/>
          <w:color w:val="auto"/>
          <w:spacing w:val="4"/>
          <w:sz w:val="23"/>
          <w:szCs w:val="23"/>
          <w:highlight w:val="none"/>
        </w:rPr>
        <w:t>10.2本章第11</w:t>
      </w:r>
      <w:r>
        <w:rPr>
          <w:rFonts w:hint="eastAsia" w:ascii="黑体" w:hAnsi="黑体" w:eastAsia="黑体" w:cs="黑体"/>
          <w:color w:val="auto"/>
          <w:spacing w:val="3"/>
          <w:sz w:val="23"/>
          <w:szCs w:val="23"/>
          <w:highlight w:val="none"/>
        </w:rPr>
        <w:t>.</w:t>
      </w:r>
      <w:r>
        <w:rPr>
          <w:rFonts w:hint="eastAsia" w:ascii="黑体" w:hAnsi="黑体" w:eastAsia="黑体" w:cs="黑体"/>
          <w:color w:val="auto"/>
          <w:spacing w:val="2"/>
          <w:sz w:val="23"/>
          <w:szCs w:val="23"/>
          <w:highlight w:val="none"/>
        </w:rPr>
        <w:t>1款规定的提交首次响应文件截止时间前对磋商文件澄清或</w:t>
      </w:r>
      <w:r>
        <w:rPr>
          <w:rFonts w:hint="eastAsia" w:ascii="黑体" w:hAnsi="黑体" w:eastAsia="黑体" w:cs="黑体"/>
          <w:color w:val="auto"/>
          <w:spacing w:val="16"/>
          <w:sz w:val="23"/>
          <w:szCs w:val="23"/>
          <w:highlight w:val="none"/>
        </w:rPr>
        <w:t>者</w:t>
      </w:r>
      <w:r>
        <w:rPr>
          <w:rFonts w:hint="eastAsia" w:ascii="黑体" w:hAnsi="黑体" w:eastAsia="黑体" w:cs="黑体"/>
          <w:color w:val="auto"/>
          <w:spacing w:val="12"/>
          <w:sz w:val="23"/>
          <w:szCs w:val="23"/>
          <w:highlight w:val="none"/>
        </w:rPr>
        <w:t>修</w:t>
      </w:r>
      <w:r>
        <w:rPr>
          <w:rFonts w:hint="eastAsia" w:ascii="黑体" w:hAnsi="黑体" w:eastAsia="黑体" w:cs="黑体"/>
          <w:color w:val="auto"/>
          <w:spacing w:val="8"/>
          <w:sz w:val="23"/>
          <w:szCs w:val="23"/>
          <w:highlight w:val="none"/>
        </w:rPr>
        <w:t>改内容，为磋商文件的组成部分。</w:t>
      </w:r>
    </w:p>
    <w:p w14:paraId="7D02C323">
      <w:pPr>
        <w:keepNext w:val="0"/>
        <w:keepLines w:val="0"/>
        <w:pageBreakBefore w:val="0"/>
        <w:kinsoku/>
        <w:overflowPunct/>
        <w:autoSpaceDE w:val="0"/>
        <w:autoSpaceDN w:val="0"/>
        <w:bidi w:val="0"/>
        <w:spacing w:before="2" w:line="375" w:lineRule="auto"/>
        <w:ind w:left="22" w:right="30" w:firstLine="49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4"/>
          <w:sz w:val="23"/>
          <w:szCs w:val="23"/>
          <w:highlight w:val="none"/>
        </w:rPr>
        <w:t>0</w:t>
      </w:r>
      <w:r>
        <w:rPr>
          <w:rFonts w:hint="eastAsia" w:ascii="黑体" w:hAnsi="黑体" w:eastAsia="黑体" w:cs="黑体"/>
          <w:color w:val="auto"/>
          <w:spacing w:val="9"/>
          <w:sz w:val="23"/>
          <w:szCs w:val="23"/>
          <w:highlight w:val="none"/>
        </w:rPr>
        <w:t>.3磋商小组根据与供应商磋商情况可能实质性变动的内容，包括采购需</w:t>
      </w:r>
      <w:r>
        <w:rPr>
          <w:rFonts w:hint="eastAsia" w:ascii="黑体" w:hAnsi="黑体" w:eastAsia="黑体" w:cs="黑体"/>
          <w:color w:val="auto"/>
          <w:spacing w:val="11"/>
          <w:sz w:val="23"/>
          <w:szCs w:val="23"/>
          <w:highlight w:val="none"/>
        </w:rPr>
        <w:t>求</w:t>
      </w:r>
      <w:r>
        <w:rPr>
          <w:rFonts w:hint="eastAsia" w:ascii="黑体" w:hAnsi="黑体" w:eastAsia="黑体" w:cs="黑体"/>
          <w:color w:val="auto"/>
          <w:spacing w:val="7"/>
          <w:sz w:val="23"/>
          <w:szCs w:val="23"/>
          <w:highlight w:val="none"/>
        </w:rPr>
        <w:t>中的技术、服务要求以及合同条款，对磋商文件作出的实质性变动是磋商文件</w:t>
      </w:r>
      <w:r>
        <w:rPr>
          <w:rFonts w:hint="eastAsia" w:ascii="黑体" w:hAnsi="黑体" w:eastAsia="黑体" w:cs="黑体"/>
          <w:color w:val="auto"/>
          <w:spacing w:val="9"/>
          <w:sz w:val="23"/>
          <w:szCs w:val="23"/>
          <w:highlight w:val="none"/>
        </w:rPr>
        <w:t>的</w:t>
      </w:r>
      <w:r>
        <w:rPr>
          <w:rFonts w:hint="eastAsia" w:ascii="黑体" w:hAnsi="黑体" w:eastAsia="黑体" w:cs="黑体"/>
          <w:color w:val="auto"/>
          <w:spacing w:val="7"/>
          <w:sz w:val="23"/>
          <w:szCs w:val="23"/>
          <w:highlight w:val="none"/>
        </w:rPr>
        <w:t>有效组成部分。</w:t>
      </w:r>
    </w:p>
    <w:p w14:paraId="55AEA07F">
      <w:pPr>
        <w:keepNext w:val="0"/>
        <w:keepLines w:val="0"/>
        <w:pageBreakBefore w:val="0"/>
        <w:kinsoku/>
        <w:overflowPunct/>
        <w:autoSpaceDE w:val="0"/>
        <w:autoSpaceDN w:val="0"/>
        <w:bidi w:val="0"/>
        <w:spacing w:before="3" w:line="375" w:lineRule="auto"/>
        <w:ind w:left="22" w:firstLine="496"/>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0</w:t>
      </w:r>
      <w:r>
        <w:rPr>
          <w:rFonts w:hint="eastAsia" w:ascii="黑体" w:hAnsi="黑体" w:eastAsia="黑体" w:cs="黑体"/>
          <w:color w:val="auto"/>
          <w:spacing w:val="9"/>
          <w:sz w:val="23"/>
          <w:szCs w:val="23"/>
          <w:highlight w:val="none"/>
        </w:rPr>
        <w:t>.4供应商应仔细阅读磋商文件的全部内容，按照磋商文件要求编制响应文</w:t>
      </w:r>
      <w:r>
        <w:rPr>
          <w:rFonts w:hint="eastAsia" w:ascii="黑体" w:hAnsi="黑体" w:eastAsia="黑体" w:cs="黑体"/>
          <w:color w:val="auto"/>
          <w:spacing w:val="8"/>
          <w:sz w:val="23"/>
          <w:szCs w:val="23"/>
          <w:highlight w:val="none"/>
        </w:rPr>
        <w:t>件。任何对磋商文件的忽略或误解不能作为响应文件存在缺陷或瑕疵的理由，其风险由供应商承担</w:t>
      </w:r>
      <w:r>
        <w:rPr>
          <w:rFonts w:hint="eastAsia" w:ascii="黑体" w:hAnsi="黑体" w:eastAsia="黑体" w:cs="黑体"/>
          <w:color w:val="auto"/>
          <w:spacing w:val="7"/>
          <w:sz w:val="23"/>
          <w:szCs w:val="23"/>
          <w:highlight w:val="none"/>
        </w:rPr>
        <w:t>。</w:t>
      </w:r>
    </w:p>
    <w:p w14:paraId="3B1D7E7C">
      <w:pPr>
        <w:keepNext w:val="0"/>
        <w:keepLines w:val="0"/>
        <w:pageBreakBefore w:val="0"/>
        <w:kinsoku/>
        <w:overflowPunct/>
        <w:autoSpaceDE w:val="0"/>
        <w:autoSpaceDN w:val="0"/>
        <w:bidi w:val="0"/>
        <w:spacing w:line="310" w:lineRule="exact"/>
        <w:ind w:left="518"/>
        <w:outlineLvl w:val="2"/>
        <w:rPr>
          <w:rFonts w:hint="eastAsia" w:ascii="黑体" w:hAnsi="黑体" w:eastAsia="黑体" w:cs="黑体"/>
          <w:color w:val="auto"/>
          <w:sz w:val="23"/>
          <w:szCs w:val="23"/>
          <w:highlight w:val="none"/>
        </w:rPr>
      </w:pPr>
      <w:bookmarkStart w:id="35" w:name="_Toc22277"/>
      <w:r>
        <w:rPr>
          <w:rFonts w:hint="eastAsia" w:ascii="黑体" w:hAnsi="黑体" w:eastAsia="黑体" w:cs="黑体"/>
          <w:color w:val="auto"/>
          <w:spacing w:val="12"/>
          <w:position w:val="1"/>
          <w:sz w:val="23"/>
          <w:szCs w:val="23"/>
          <w:highlight w:val="none"/>
        </w:rPr>
        <w:t>1</w:t>
      </w:r>
      <w:r>
        <w:rPr>
          <w:rFonts w:hint="eastAsia" w:ascii="黑体" w:hAnsi="黑体" w:eastAsia="黑体" w:cs="黑体"/>
          <w:color w:val="auto"/>
          <w:spacing w:val="7"/>
          <w:position w:val="1"/>
          <w:sz w:val="23"/>
          <w:szCs w:val="23"/>
          <w:highlight w:val="none"/>
        </w:rPr>
        <w:t>1.提交首次响应文件的截止时间</w:t>
      </w:r>
      <w:bookmarkEnd w:id="35"/>
    </w:p>
    <w:p w14:paraId="2B70C005">
      <w:pPr>
        <w:keepNext w:val="0"/>
        <w:keepLines w:val="0"/>
        <w:pageBreakBefore w:val="0"/>
        <w:kinsoku/>
        <w:overflowPunct/>
        <w:autoSpaceDE w:val="0"/>
        <w:autoSpaceDN w:val="0"/>
        <w:bidi w:val="0"/>
        <w:spacing w:before="157" w:line="227"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1</w:t>
      </w:r>
      <w:r>
        <w:rPr>
          <w:rFonts w:hint="eastAsia" w:ascii="黑体" w:hAnsi="黑体" w:eastAsia="黑体" w:cs="黑体"/>
          <w:color w:val="auto"/>
          <w:spacing w:val="10"/>
          <w:sz w:val="23"/>
          <w:szCs w:val="23"/>
          <w:highlight w:val="none"/>
        </w:rPr>
        <w:t>1</w:t>
      </w:r>
      <w:r>
        <w:rPr>
          <w:rFonts w:hint="eastAsia" w:ascii="黑体" w:hAnsi="黑体" w:eastAsia="黑体" w:cs="黑体"/>
          <w:color w:val="auto"/>
          <w:spacing w:val="6"/>
          <w:sz w:val="23"/>
          <w:szCs w:val="23"/>
          <w:highlight w:val="none"/>
        </w:rPr>
        <w:t>.1供应商提交首次响应文件截止时间及地点见</w:t>
      </w:r>
      <w:r>
        <w:rPr>
          <w:rFonts w:hint="eastAsia" w:ascii="黑体" w:hAnsi="黑体" w:eastAsia="黑体" w:cs="黑体"/>
          <w:color w:val="auto"/>
          <w:spacing w:val="6"/>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6"/>
          <w:sz w:val="23"/>
          <w:szCs w:val="23"/>
          <w:highlight w:val="none"/>
        </w:rPr>
        <w:t>。</w:t>
      </w:r>
    </w:p>
    <w:p w14:paraId="19695485">
      <w:pPr>
        <w:keepNext w:val="0"/>
        <w:keepLines w:val="0"/>
        <w:pageBreakBefore w:val="0"/>
        <w:kinsoku/>
        <w:overflowPunct/>
        <w:autoSpaceDE w:val="0"/>
        <w:autoSpaceDN w:val="0"/>
        <w:bidi w:val="0"/>
        <w:spacing w:before="186" w:line="310" w:lineRule="exact"/>
        <w:ind w:left="518"/>
        <w:outlineLvl w:val="2"/>
        <w:rPr>
          <w:rFonts w:hint="eastAsia" w:ascii="黑体" w:hAnsi="黑体" w:eastAsia="黑体" w:cs="黑体"/>
          <w:color w:val="auto"/>
          <w:sz w:val="23"/>
          <w:szCs w:val="23"/>
          <w:highlight w:val="none"/>
        </w:rPr>
      </w:pPr>
      <w:bookmarkStart w:id="36" w:name="_Toc19131"/>
      <w:r>
        <w:rPr>
          <w:rFonts w:hint="eastAsia" w:ascii="黑体" w:hAnsi="黑体" w:eastAsia="黑体" w:cs="黑体"/>
          <w:color w:val="auto"/>
          <w:spacing w:val="7"/>
          <w:position w:val="1"/>
          <w:sz w:val="23"/>
          <w:szCs w:val="23"/>
          <w:highlight w:val="none"/>
        </w:rPr>
        <w:t>12.磋商文件的澄清或者修</w:t>
      </w:r>
      <w:r>
        <w:rPr>
          <w:rFonts w:hint="eastAsia" w:ascii="黑体" w:hAnsi="黑体" w:eastAsia="黑体" w:cs="黑体"/>
          <w:color w:val="auto"/>
          <w:spacing w:val="6"/>
          <w:position w:val="1"/>
          <w:sz w:val="23"/>
          <w:szCs w:val="23"/>
          <w:highlight w:val="none"/>
        </w:rPr>
        <w:t>改</w:t>
      </w:r>
      <w:bookmarkEnd w:id="36"/>
    </w:p>
    <w:p w14:paraId="6B54423C">
      <w:pPr>
        <w:keepNext w:val="0"/>
        <w:keepLines w:val="0"/>
        <w:pageBreakBefore w:val="0"/>
        <w:kinsoku/>
        <w:overflowPunct/>
        <w:autoSpaceDE w:val="0"/>
        <w:autoSpaceDN w:val="0"/>
        <w:bidi w:val="0"/>
        <w:spacing w:before="157" w:line="376" w:lineRule="auto"/>
        <w:ind w:left="20" w:right="30" w:firstLine="498"/>
        <w:rPr>
          <w:rFonts w:hint="eastAsia" w:ascii="黑体" w:hAnsi="黑体" w:eastAsia="黑体" w:cs="黑体"/>
          <w:color w:val="auto"/>
          <w:sz w:val="23"/>
          <w:szCs w:val="23"/>
          <w:highlight w:val="none"/>
        </w:rPr>
      </w:pPr>
      <w:r>
        <w:rPr>
          <w:rFonts w:hint="eastAsia" w:ascii="黑体" w:hAnsi="黑体" w:eastAsia="黑体" w:cs="黑体"/>
          <w:color w:val="auto"/>
          <w:spacing w:val="4"/>
          <w:sz w:val="23"/>
          <w:szCs w:val="23"/>
          <w:highlight w:val="none"/>
        </w:rPr>
        <w:t>12.1在本章第</w:t>
      </w:r>
      <w:r>
        <w:rPr>
          <w:rFonts w:hint="eastAsia" w:ascii="黑体" w:hAnsi="黑体" w:eastAsia="黑体" w:cs="黑体"/>
          <w:color w:val="auto"/>
          <w:spacing w:val="3"/>
          <w:sz w:val="23"/>
          <w:szCs w:val="23"/>
          <w:highlight w:val="none"/>
        </w:rPr>
        <w:t>1</w:t>
      </w:r>
      <w:r>
        <w:rPr>
          <w:rFonts w:hint="eastAsia" w:ascii="黑体" w:hAnsi="黑体" w:eastAsia="黑体" w:cs="黑体"/>
          <w:color w:val="auto"/>
          <w:spacing w:val="2"/>
          <w:sz w:val="23"/>
          <w:szCs w:val="23"/>
          <w:highlight w:val="none"/>
        </w:rPr>
        <w:t>1.1款规定的提交首次响应文件截止之日前，采购人、采购</w:t>
      </w:r>
      <w:r>
        <w:rPr>
          <w:rFonts w:hint="eastAsia" w:ascii="黑体" w:hAnsi="黑体" w:eastAsia="黑体" w:cs="黑体"/>
          <w:color w:val="auto"/>
          <w:spacing w:val="18"/>
          <w:sz w:val="23"/>
          <w:szCs w:val="23"/>
          <w:highlight w:val="none"/>
        </w:rPr>
        <w:t>代</w:t>
      </w:r>
      <w:r>
        <w:rPr>
          <w:rFonts w:hint="eastAsia" w:ascii="黑体" w:hAnsi="黑体" w:eastAsia="黑体" w:cs="黑体"/>
          <w:color w:val="auto"/>
          <w:spacing w:val="14"/>
          <w:sz w:val="23"/>
          <w:szCs w:val="23"/>
          <w:highlight w:val="none"/>
        </w:rPr>
        <w:t>理</w:t>
      </w:r>
      <w:r>
        <w:rPr>
          <w:rFonts w:hint="eastAsia" w:ascii="黑体" w:hAnsi="黑体" w:eastAsia="黑体" w:cs="黑体"/>
          <w:color w:val="auto"/>
          <w:spacing w:val="9"/>
          <w:sz w:val="23"/>
          <w:szCs w:val="23"/>
          <w:highlight w:val="none"/>
        </w:rPr>
        <w:t>机构或者磋商小组可以对已发出的磋商文件进行必要的澄清或者修改。</w:t>
      </w:r>
    </w:p>
    <w:p w14:paraId="321E16BC">
      <w:pPr>
        <w:keepNext w:val="0"/>
        <w:keepLines w:val="0"/>
        <w:pageBreakBefore w:val="0"/>
        <w:kinsoku/>
        <w:overflowPunct/>
        <w:autoSpaceDE w:val="0"/>
        <w:autoSpaceDN w:val="0"/>
        <w:bidi w:val="0"/>
        <w:spacing w:before="2" w:line="380" w:lineRule="auto"/>
        <w:ind w:left="21" w:right="30" w:firstLine="497"/>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4"/>
          <w:sz w:val="23"/>
          <w:szCs w:val="23"/>
          <w:highlight w:val="none"/>
        </w:rPr>
        <w:t>2</w:t>
      </w:r>
      <w:r>
        <w:rPr>
          <w:rFonts w:hint="eastAsia" w:ascii="黑体" w:hAnsi="黑体" w:eastAsia="黑体" w:cs="黑体"/>
          <w:color w:val="auto"/>
          <w:spacing w:val="9"/>
          <w:sz w:val="23"/>
          <w:szCs w:val="23"/>
          <w:highlight w:val="none"/>
        </w:rPr>
        <w:t>.2澄清或者修改的内容可能影响响应文件编制的，采购人、采购代理机</w:t>
      </w:r>
      <w:r>
        <w:rPr>
          <w:rFonts w:hint="eastAsia" w:ascii="黑体" w:hAnsi="黑体" w:eastAsia="黑体" w:cs="黑体"/>
          <w:color w:val="auto"/>
          <w:spacing w:val="6"/>
          <w:sz w:val="23"/>
          <w:szCs w:val="23"/>
          <w:highlight w:val="none"/>
        </w:rPr>
        <w:t>构应当在本</w:t>
      </w:r>
      <w:r>
        <w:rPr>
          <w:rFonts w:hint="eastAsia" w:ascii="黑体" w:hAnsi="黑体" w:eastAsia="黑体" w:cs="黑体"/>
          <w:color w:val="auto"/>
          <w:spacing w:val="4"/>
          <w:sz w:val="23"/>
          <w:szCs w:val="23"/>
          <w:highlight w:val="none"/>
        </w:rPr>
        <w:t>章</w:t>
      </w:r>
      <w:r>
        <w:rPr>
          <w:rFonts w:hint="eastAsia" w:ascii="黑体" w:hAnsi="黑体" w:eastAsia="黑体" w:cs="黑体"/>
          <w:color w:val="auto"/>
          <w:spacing w:val="3"/>
          <w:sz w:val="23"/>
          <w:szCs w:val="23"/>
          <w:highlight w:val="none"/>
        </w:rPr>
        <w:t>第11.1款规定的提交首次响应文件截止之日5日前，以书面形式</w:t>
      </w:r>
      <w:r>
        <w:rPr>
          <w:rFonts w:hint="eastAsia" w:ascii="黑体" w:hAnsi="黑体" w:eastAsia="黑体" w:cs="黑体"/>
          <w:color w:val="auto"/>
          <w:spacing w:val="6"/>
          <w:sz w:val="23"/>
          <w:szCs w:val="23"/>
          <w:highlight w:val="none"/>
        </w:rPr>
        <w:t>通知所有接收磋商</w:t>
      </w:r>
      <w:r>
        <w:rPr>
          <w:rFonts w:hint="eastAsia" w:ascii="黑体" w:hAnsi="黑体" w:eastAsia="黑体" w:cs="黑体"/>
          <w:color w:val="auto"/>
          <w:spacing w:val="4"/>
          <w:sz w:val="23"/>
          <w:szCs w:val="23"/>
          <w:highlight w:val="none"/>
        </w:rPr>
        <w:t>文</w:t>
      </w:r>
      <w:r>
        <w:rPr>
          <w:rFonts w:hint="eastAsia" w:ascii="黑体" w:hAnsi="黑体" w:eastAsia="黑体" w:cs="黑体"/>
          <w:color w:val="auto"/>
          <w:spacing w:val="3"/>
          <w:sz w:val="23"/>
          <w:szCs w:val="23"/>
          <w:highlight w:val="none"/>
        </w:rPr>
        <w:t>件的供应商，不足5日的，顺延供应商提交首次响应文件截</w:t>
      </w:r>
      <w:r>
        <w:rPr>
          <w:rFonts w:hint="eastAsia" w:ascii="黑体" w:hAnsi="黑体" w:eastAsia="黑体" w:cs="黑体"/>
          <w:color w:val="auto"/>
          <w:spacing w:val="5"/>
          <w:sz w:val="23"/>
          <w:szCs w:val="23"/>
          <w:highlight w:val="none"/>
        </w:rPr>
        <w:t>止时间。</w:t>
      </w:r>
    </w:p>
    <w:p w14:paraId="04FD75A1">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0"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3459278F">
      <w:pPr>
        <w:keepNext w:val="0"/>
        <w:keepLines w:val="0"/>
        <w:pageBreakBefore w:val="0"/>
        <w:kinsoku/>
        <w:overflowPunct/>
        <w:autoSpaceDE w:val="0"/>
        <w:autoSpaceDN w:val="0"/>
        <w:bidi w:val="0"/>
        <w:spacing w:before="122" w:line="305" w:lineRule="exact"/>
        <w:ind w:left="3697"/>
        <w:outlineLvl w:val="1"/>
        <w:rPr>
          <w:rFonts w:hint="eastAsia" w:ascii="黑体" w:hAnsi="黑体" w:eastAsia="黑体" w:cs="黑体"/>
          <w:color w:val="auto"/>
          <w:sz w:val="23"/>
          <w:szCs w:val="23"/>
          <w:highlight w:val="none"/>
        </w:rPr>
      </w:pPr>
      <w:bookmarkStart w:id="37" w:name="_Toc5737"/>
      <w:r>
        <w:rPr>
          <w:rFonts w:hint="eastAsia" w:ascii="黑体" w:hAnsi="黑体" w:eastAsia="黑体" w:cs="黑体"/>
          <w:color w:val="auto"/>
          <w:spacing w:val="10"/>
          <w:position w:val="1"/>
          <w:sz w:val="23"/>
          <w:szCs w:val="23"/>
          <w:highlight w:val="none"/>
          <w14:textOutline w14:w="4358" w14:cap="sq" w14:cmpd="sng">
            <w14:solidFill>
              <w14:srgbClr w14:val="000000"/>
            </w14:solidFill>
            <w14:prstDash w14:val="solid"/>
            <w14:bevel/>
          </w14:textOutline>
        </w:rPr>
        <w:t>三</w:t>
      </w:r>
      <w:r>
        <w:rPr>
          <w:rFonts w:hint="eastAsia" w:ascii="黑体" w:hAnsi="黑体" w:eastAsia="黑体" w:cs="黑体"/>
          <w:color w:val="auto"/>
          <w:spacing w:val="9"/>
          <w:position w:val="1"/>
          <w:sz w:val="23"/>
          <w:szCs w:val="23"/>
          <w:highlight w:val="none"/>
          <w14:textOutline w14:w="4358" w14:cap="sq" w14:cmpd="sng">
            <w14:solidFill>
              <w14:srgbClr w14:val="000000"/>
            </w14:solidFill>
            <w14:prstDash w14:val="solid"/>
            <w14:bevel/>
          </w14:textOutline>
        </w:rPr>
        <w:t>、响应文件</w:t>
      </w:r>
      <w:bookmarkEnd w:id="37"/>
    </w:p>
    <w:p w14:paraId="53992EAD">
      <w:pPr>
        <w:keepNext w:val="0"/>
        <w:keepLines w:val="0"/>
        <w:pageBreakBefore w:val="0"/>
        <w:kinsoku/>
        <w:overflowPunct/>
        <w:autoSpaceDE w:val="0"/>
        <w:autoSpaceDN w:val="0"/>
        <w:bidi w:val="0"/>
        <w:spacing w:before="283" w:line="308" w:lineRule="exact"/>
        <w:ind w:left="518"/>
        <w:outlineLvl w:val="2"/>
        <w:rPr>
          <w:rFonts w:hint="eastAsia" w:ascii="黑体" w:hAnsi="黑体" w:eastAsia="黑体" w:cs="黑体"/>
          <w:color w:val="auto"/>
          <w:sz w:val="23"/>
          <w:szCs w:val="23"/>
          <w:highlight w:val="none"/>
        </w:rPr>
      </w:pPr>
      <w:bookmarkStart w:id="38" w:name="_Toc19805"/>
      <w:r>
        <w:rPr>
          <w:rFonts w:hint="eastAsia" w:ascii="黑体" w:hAnsi="黑体" w:eastAsia="黑体" w:cs="黑体"/>
          <w:color w:val="auto"/>
          <w:spacing w:val="4"/>
          <w:position w:val="1"/>
          <w:sz w:val="23"/>
          <w:szCs w:val="23"/>
          <w:highlight w:val="none"/>
        </w:rPr>
        <w:t>13.一般要</w:t>
      </w:r>
      <w:r>
        <w:rPr>
          <w:rFonts w:hint="eastAsia" w:ascii="黑体" w:hAnsi="黑体" w:eastAsia="黑体" w:cs="黑体"/>
          <w:color w:val="auto"/>
          <w:spacing w:val="3"/>
          <w:position w:val="1"/>
          <w:sz w:val="23"/>
          <w:szCs w:val="23"/>
          <w:highlight w:val="none"/>
        </w:rPr>
        <w:t>求</w:t>
      </w:r>
      <w:bookmarkEnd w:id="38"/>
    </w:p>
    <w:p w14:paraId="6A04648E">
      <w:pPr>
        <w:keepNext w:val="0"/>
        <w:keepLines w:val="0"/>
        <w:pageBreakBefore w:val="0"/>
        <w:kinsoku/>
        <w:overflowPunct/>
        <w:autoSpaceDE w:val="0"/>
        <w:autoSpaceDN w:val="0"/>
        <w:bidi w:val="0"/>
        <w:spacing w:before="158" w:line="376" w:lineRule="auto"/>
        <w:ind w:left="22" w:right="11" w:firstLine="49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3</w:t>
      </w:r>
      <w:r>
        <w:rPr>
          <w:rFonts w:hint="eastAsia" w:ascii="黑体" w:hAnsi="黑体" w:eastAsia="黑体" w:cs="黑体"/>
          <w:color w:val="auto"/>
          <w:spacing w:val="9"/>
          <w:sz w:val="23"/>
          <w:szCs w:val="23"/>
          <w:highlight w:val="none"/>
        </w:rPr>
        <w:t>.1供应商应仔细阅读磋商文件的所有内容，按磋商文件的要求编制响应</w:t>
      </w:r>
      <w:r>
        <w:rPr>
          <w:rFonts w:hint="eastAsia" w:ascii="黑体" w:hAnsi="黑体" w:eastAsia="黑体" w:cs="黑体"/>
          <w:color w:val="auto"/>
          <w:spacing w:val="11"/>
          <w:sz w:val="23"/>
          <w:szCs w:val="23"/>
          <w:highlight w:val="none"/>
        </w:rPr>
        <w:t>文</w:t>
      </w:r>
      <w:r>
        <w:rPr>
          <w:rFonts w:hint="eastAsia" w:ascii="黑体" w:hAnsi="黑体" w:eastAsia="黑体" w:cs="黑体"/>
          <w:color w:val="auto"/>
          <w:spacing w:val="7"/>
          <w:sz w:val="23"/>
          <w:szCs w:val="23"/>
          <w:highlight w:val="none"/>
        </w:rPr>
        <w:t>件，并保证所提供的全部资料的真实性，以使其响应文件对磋商文件做出实质</w:t>
      </w:r>
      <w:r>
        <w:rPr>
          <w:rFonts w:hint="eastAsia" w:ascii="黑体" w:hAnsi="黑体" w:eastAsia="黑体" w:cs="黑体"/>
          <w:color w:val="auto"/>
          <w:spacing w:val="8"/>
          <w:sz w:val="23"/>
          <w:szCs w:val="23"/>
          <w:highlight w:val="none"/>
        </w:rPr>
        <w:t>性</w:t>
      </w:r>
      <w:r>
        <w:rPr>
          <w:rFonts w:hint="eastAsia" w:ascii="黑体" w:hAnsi="黑体" w:eastAsia="黑体" w:cs="黑体"/>
          <w:color w:val="auto"/>
          <w:spacing w:val="5"/>
          <w:sz w:val="23"/>
          <w:szCs w:val="23"/>
          <w:highlight w:val="none"/>
        </w:rPr>
        <w:t>的响应。</w:t>
      </w:r>
    </w:p>
    <w:p w14:paraId="3AE9FE54">
      <w:pPr>
        <w:keepNext w:val="0"/>
        <w:keepLines w:val="0"/>
        <w:pageBreakBefore w:val="0"/>
        <w:kinsoku/>
        <w:overflowPunct/>
        <w:autoSpaceDE w:val="0"/>
        <w:autoSpaceDN w:val="0"/>
        <w:bidi w:val="0"/>
        <w:spacing w:before="2" w:line="375" w:lineRule="auto"/>
        <w:ind w:left="22" w:right="11" w:firstLine="49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3</w:t>
      </w:r>
      <w:r>
        <w:rPr>
          <w:rFonts w:hint="eastAsia" w:ascii="黑体" w:hAnsi="黑体" w:eastAsia="黑体" w:cs="黑体"/>
          <w:color w:val="auto"/>
          <w:spacing w:val="9"/>
          <w:sz w:val="23"/>
          <w:szCs w:val="23"/>
          <w:highlight w:val="none"/>
        </w:rPr>
        <w:t>.2供应商提交的响应文件及供应商与采购人或采购代理机构、磋商小组</w:t>
      </w:r>
      <w:r>
        <w:rPr>
          <w:rFonts w:hint="eastAsia" w:ascii="黑体" w:hAnsi="黑体" w:eastAsia="黑体" w:cs="黑体"/>
          <w:color w:val="auto"/>
          <w:spacing w:val="11"/>
          <w:sz w:val="23"/>
          <w:szCs w:val="23"/>
          <w:highlight w:val="none"/>
        </w:rPr>
        <w:t>就</w:t>
      </w:r>
      <w:r>
        <w:rPr>
          <w:rFonts w:hint="eastAsia" w:ascii="黑体" w:hAnsi="黑体" w:eastAsia="黑体" w:cs="黑体"/>
          <w:color w:val="auto"/>
          <w:spacing w:val="7"/>
          <w:sz w:val="23"/>
          <w:szCs w:val="23"/>
          <w:highlight w:val="none"/>
        </w:rPr>
        <w:t>有关磋商的所有来往函电均使用中文。供应商可以提交其他语言的资料，但应</w:t>
      </w:r>
      <w:r>
        <w:rPr>
          <w:rFonts w:hint="eastAsia" w:ascii="黑体" w:hAnsi="黑体" w:eastAsia="黑体" w:cs="黑体"/>
          <w:color w:val="auto"/>
          <w:spacing w:val="16"/>
          <w:sz w:val="23"/>
          <w:szCs w:val="23"/>
          <w:highlight w:val="none"/>
        </w:rPr>
        <w:t>附</w:t>
      </w:r>
      <w:r>
        <w:rPr>
          <w:rFonts w:hint="eastAsia" w:ascii="黑体" w:hAnsi="黑体" w:eastAsia="黑体" w:cs="黑体"/>
          <w:color w:val="auto"/>
          <w:spacing w:val="12"/>
          <w:sz w:val="23"/>
          <w:szCs w:val="23"/>
          <w:highlight w:val="none"/>
        </w:rPr>
        <w:t>中</w:t>
      </w:r>
      <w:r>
        <w:rPr>
          <w:rFonts w:hint="eastAsia" w:ascii="黑体" w:hAnsi="黑体" w:eastAsia="黑体" w:cs="黑体"/>
          <w:color w:val="auto"/>
          <w:spacing w:val="8"/>
          <w:sz w:val="23"/>
          <w:szCs w:val="23"/>
          <w:highlight w:val="none"/>
        </w:rPr>
        <w:t>文注释，在有差异时以中文为准。</w:t>
      </w:r>
    </w:p>
    <w:p w14:paraId="535CFD65">
      <w:pPr>
        <w:keepNext w:val="0"/>
        <w:keepLines w:val="0"/>
        <w:pageBreakBefore w:val="0"/>
        <w:kinsoku/>
        <w:overflowPunct/>
        <w:autoSpaceDE w:val="0"/>
        <w:autoSpaceDN w:val="0"/>
        <w:bidi w:val="0"/>
        <w:spacing w:before="1" w:line="375" w:lineRule="auto"/>
        <w:ind w:left="22" w:right="11" w:firstLine="49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3</w:t>
      </w:r>
      <w:r>
        <w:rPr>
          <w:rFonts w:hint="eastAsia" w:ascii="黑体" w:hAnsi="黑体" w:eastAsia="黑体" w:cs="黑体"/>
          <w:color w:val="auto"/>
          <w:spacing w:val="9"/>
          <w:sz w:val="23"/>
          <w:szCs w:val="23"/>
          <w:highlight w:val="none"/>
        </w:rPr>
        <w:t>.3计量单位应使用我国法定计量单位，未列明时应默认为我国法定计量</w:t>
      </w:r>
      <w:r>
        <w:rPr>
          <w:rFonts w:hint="eastAsia" w:ascii="黑体" w:hAnsi="黑体" w:eastAsia="黑体" w:cs="黑体"/>
          <w:color w:val="auto"/>
          <w:spacing w:val="3"/>
          <w:sz w:val="23"/>
          <w:szCs w:val="23"/>
          <w:highlight w:val="none"/>
        </w:rPr>
        <w:t>单位</w:t>
      </w:r>
      <w:r>
        <w:rPr>
          <w:rFonts w:hint="eastAsia" w:ascii="黑体" w:hAnsi="黑体" w:eastAsia="黑体" w:cs="黑体"/>
          <w:color w:val="auto"/>
          <w:spacing w:val="2"/>
          <w:sz w:val="23"/>
          <w:szCs w:val="23"/>
          <w:highlight w:val="none"/>
        </w:rPr>
        <w:t>。</w:t>
      </w:r>
    </w:p>
    <w:p w14:paraId="7BE78F80">
      <w:pPr>
        <w:keepNext w:val="0"/>
        <w:keepLines w:val="0"/>
        <w:pageBreakBefore w:val="0"/>
        <w:kinsoku/>
        <w:overflowPunct/>
        <w:autoSpaceDE w:val="0"/>
        <w:autoSpaceDN w:val="0"/>
        <w:bidi w:val="0"/>
        <w:spacing w:before="2" w:line="375" w:lineRule="auto"/>
        <w:ind w:left="22" w:right="11" w:firstLine="496"/>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4"/>
          <w:sz w:val="23"/>
          <w:szCs w:val="23"/>
          <w:highlight w:val="none"/>
        </w:rPr>
        <w:t>3</w:t>
      </w:r>
      <w:r>
        <w:rPr>
          <w:rFonts w:hint="eastAsia" w:ascii="黑体" w:hAnsi="黑体" w:eastAsia="黑体" w:cs="黑体"/>
          <w:color w:val="auto"/>
          <w:spacing w:val="9"/>
          <w:sz w:val="23"/>
          <w:szCs w:val="23"/>
          <w:highlight w:val="none"/>
        </w:rPr>
        <w:t>.4响应文件应采用书面形式，磋商文件中要求提供电子版的，应按要求</w:t>
      </w:r>
      <w:r>
        <w:rPr>
          <w:rFonts w:hint="eastAsia" w:ascii="黑体" w:hAnsi="黑体" w:eastAsia="黑体" w:cs="黑体"/>
          <w:color w:val="auto"/>
          <w:spacing w:val="3"/>
          <w:sz w:val="23"/>
          <w:szCs w:val="23"/>
          <w:highlight w:val="none"/>
        </w:rPr>
        <w:t>提供。</w:t>
      </w:r>
    </w:p>
    <w:p w14:paraId="036D5D1B">
      <w:pPr>
        <w:keepNext w:val="0"/>
        <w:keepLines w:val="0"/>
        <w:pageBreakBefore w:val="0"/>
        <w:kinsoku/>
        <w:overflowPunct/>
        <w:autoSpaceDE w:val="0"/>
        <w:autoSpaceDN w:val="0"/>
        <w:bidi w:val="0"/>
        <w:spacing w:line="312" w:lineRule="auto"/>
        <w:ind w:left="518" w:right="2062"/>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13</w:t>
      </w:r>
      <w:r>
        <w:rPr>
          <w:rFonts w:hint="eastAsia" w:ascii="黑体" w:hAnsi="黑体" w:eastAsia="黑体" w:cs="黑体"/>
          <w:color w:val="auto"/>
          <w:spacing w:val="6"/>
          <w:sz w:val="23"/>
          <w:szCs w:val="23"/>
          <w:highlight w:val="none"/>
        </w:rPr>
        <w:t>.</w:t>
      </w:r>
      <w:r>
        <w:rPr>
          <w:rFonts w:hint="eastAsia" w:ascii="黑体" w:hAnsi="黑体" w:eastAsia="黑体" w:cs="黑体"/>
          <w:color w:val="auto"/>
          <w:spacing w:val="4"/>
          <w:sz w:val="23"/>
          <w:szCs w:val="23"/>
          <w:highlight w:val="none"/>
        </w:rPr>
        <w:t>5供应商应按磋商文件中提供的响应文件格式填写。</w:t>
      </w:r>
      <w:r>
        <w:rPr>
          <w:rFonts w:hint="eastAsia" w:ascii="黑体" w:hAnsi="黑体" w:eastAsia="黑体" w:cs="黑体"/>
          <w:color w:val="auto"/>
          <w:spacing w:val="10"/>
          <w:sz w:val="23"/>
          <w:szCs w:val="23"/>
          <w:highlight w:val="none"/>
        </w:rPr>
        <w:t>1</w:t>
      </w:r>
      <w:r>
        <w:rPr>
          <w:rFonts w:hint="eastAsia" w:ascii="黑体" w:hAnsi="黑体" w:eastAsia="黑体" w:cs="黑体"/>
          <w:color w:val="auto"/>
          <w:spacing w:val="7"/>
          <w:sz w:val="23"/>
          <w:szCs w:val="23"/>
          <w:highlight w:val="none"/>
        </w:rPr>
        <w:t>4</w:t>
      </w:r>
      <w:r>
        <w:rPr>
          <w:rFonts w:hint="eastAsia" w:ascii="黑体" w:hAnsi="黑体" w:eastAsia="黑体" w:cs="黑体"/>
          <w:color w:val="auto"/>
          <w:spacing w:val="5"/>
          <w:sz w:val="23"/>
          <w:szCs w:val="23"/>
          <w:highlight w:val="none"/>
        </w:rPr>
        <w:t>.响应文件的组成</w:t>
      </w:r>
    </w:p>
    <w:p w14:paraId="7A350421">
      <w:pPr>
        <w:keepNext w:val="0"/>
        <w:keepLines w:val="0"/>
        <w:pageBreakBefore w:val="0"/>
        <w:kinsoku/>
        <w:overflowPunct/>
        <w:autoSpaceDE w:val="0"/>
        <w:autoSpaceDN w:val="0"/>
        <w:bidi w:val="0"/>
        <w:spacing w:before="159" w:line="227"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4"/>
          <w:sz w:val="23"/>
          <w:szCs w:val="23"/>
          <w:highlight w:val="none"/>
        </w:rPr>
        <w:t>14</w:t>
      </w:r>
      <w:r>
        <w:rPr>
          <w:rFonts w:hint="eastAsia" w:ascii="黑体" w:hAnsi="黑体" w:eastAsia="黑体" w:cs="黑体"/>
          <w:color w:val="auto"/>
          <w:spacing w:val="3"/>
          <w:sz w:val="23"/>
          <w:szCs w:val="23"/>
          <w:highlight w:val="none"/>
        </w:rPr>
        <w:t>.</w:t>
      </w:r>
      <w:r>
        <w:rPr>
          <w:rFonts w:hint="eastAsia" w:ascii="黑体" w:hAnsi="黑体" w:eastAsia="黑体" w:cs="黑体"/>
          <w:color w:val="auto"/>
          <w:spacing w:val="2"/>
          <w:sz w:val="23"/>
          <w:szCs w:val="23"/>
          <w:highlight w:val="none"/>
        </w:rPr>
        <w:t>1响应文件包括下列内容：</w:t>
      </w:r>
    </w:p>
    <w:p w14:paraId="7E2CB60A">
      <w:pPr>
        <w:keepNext w:val="0"/>
        <w:keepLines w:val="0"/>
        <w:pageBreakBefore w:val="0"/>
        <w:kinsoku/>
        <w:overflowPunct/>
        <w:autoSpaceDE w:val="0"/>
        <w:autoSpaceDN w:val="0"/>
        <w:bidi w:val="0"/>
        <w:spacing w:before="298" w:line="227" w:lineRule="auto"/>
        <w:ind w:left="457"/>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(1)磋商响应声</w:t>
      </w:r>
      <w:r>
        <w:rPr>
          <w:rFonts w:hint="eastAsia" w:ascii="黑体" w:hAnsi="黑体" w:eastAsia="黑体" w:cs="黑体"/>
          <w:color w:val="auto"/>
          <w:spacing w:val="17"/>
          <w:sz w:val="23"/>
          <w:szCs w:val="23"/>
          <w:highlight w:val="none"/>
        </w:rPr>
        <w:t>明</w:t>
      </w:r>
    </w:p>
    <w:p w14:paraId="3991BB41">
      <w:pPr>
        <w:keepNext w:val="0"/>
        <w:keepLines w:val="0"/>
        <w:pageBreakBefore w:val="0"/>
        <w:kinsoku/>
        <w:overflowPunct/>
        <w:autoSpaceDE w:val="0"/>
        <w:autoSpaceDN w:val="0"/>
        <w:bidi w:val="0"/>
        <w:spacing w:before="256" w:line="226"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16"/>
          <w:sz w:val="23"/>
          <w:szCs w:val="23"/>
          <w:highlight w:val="none"/>
        </w:rPr>
        <w:t>2)法定代表人身份证明</w:t>
      </w:r>
    </w:p>
    <w:p w14:paraId="648D7F14">
      <w:pPr>
        <w:keepNext w:val="0"/>
        <w:keepLines w:val="0"/>
        <w:pageBreakBefore w:val="0"/>
        <w:kinsoku/>
        <w:overflowPunct/>
        <w:autoSpaceDE w:val="0"/>
        <w:autoSpaceDN w:val="0"/>
        <w:bidi w:val="0"/>
        <w:spacing w:before="259" w:line="224"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25"/>
          <w:sz w:val="23"/>
          <w:szCs w:val="23"/>
          <w:highlight w:val="none"/>
        </w:rPr>
        <w:t>(</w:t>
      </w:r>
      <w:r>
        <w:rPr>
          <w:rFonts w:hint="eastAsia" w:ascii="黑体" w:hAnsi="黑体" w:eastAsia="黑体" w:cs="黑体"/>
          <w:color w:val="auto"/>
          <w:spacing w:val="18"/>
          <w:sz w:val="23"/>
          <w:szCs w:val="23"/>
          <w:highlight w:val="none"/>
        </w:rPr>
        <w:t>3)授权委托书</w:t>
      </w:r>
    </w:p>
    <w:p w14:paraId="5859BD30">
      <w:pPr>
        <w:keepNext w:val="0"/>
        <w:keepLines w:val="0"/>
        <w:pageBreakBefore w:val="0"/>
        <w:kinsoku/>
        <w:overflowPunct/>
        <w:autoSpaceDE w:val="0"/>
        <w:autoSpaceDN w:val="0"/>
        <w:bidi w:val="0"/>
        <w:spacing w:before="261" w:line="228"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25"/>
          <w:sz w:val="23"/>
          <w:szCs w:val="23"/>
          <w:highlight w:val="none"/>
        </w:rPr>
        <w:t>(</w:t>
      </w:r>
      <w:r>
        <w:rPr>
          <w:rFonts w:hint="eastAsia" w:ascii="黑体" w:hAnsi="黑体" w:eastAsia="黑体" w:cs="黑体"/>
          <w:color w:val="auto"/>
          <w:spacing w:val="18"/>
          <w:sz w:val="23"/>
          <w:szCs w:val="23"/>
          <w:highlight w:val="none"/>
        </w:rPr>
        <w:t>4)投标保证金</w:t>
      </w:r>
    </w:p>
    <w:p w14:paraId="46DA2D23">
      <w:pPr>
        <w:keepNext w:val="0"/>
        <w:keepLines w:val="0"/>
        <w:pageBreakBefore w:val="0"/>
        <w:kinsoku/>
        <w:overflowPunct/>
        <w:autoSpaceDE w:val="0"/>
        <w:autoSpaceDN w:val="0"/>
        <w:bidi w:val="0"/>
        <w:spacing w:before="256" w:line="230"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25"/>
          <w:sz w:val="23"/>
          <w:szCs w:val="23"/>
          <w:highlight w:val="none"/>
        </w:rPr>
        <w:t>(</w:t>
      </w:r>
      <w:r>
        <w:rPr>
          <w:rFonts w:hint="eastAsia" w:ascii="黑体" w:hAnsi="黑体" w:eastAsia="黑体" w:cs="黑体"/>
          <w:color w:val="auto"/>
          <w:spacing w:val="18"/>
          <w:sz w:val="23"/>
          <w:szCs w:val="23"/>
          <w:highlight w:val="none"/>
        </w:rPr>
        <w:t>5)一次标价表</w:t>
      </w:r>
    </w:p>
    <w:p w14:paraId="21958D78">
      <w:pPr>
        <w:keepNext w:val="0"/>
        <w:keepLines w:val="0"/>
        <w:pageBreakBefore w:val="0"/>
        <w:kinsoku/>
        <w:overflowPunct/>
        <w:autoSpaceDE w:val="0"/>
        <w:autoSpaceDN w:val="0"/>
        <w:bidi w:val="0"/>
        <w:spacing w:before="254" w:line="227"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(6)服务技术方</w:t>
      </w:r>
      <w:r>
        <w:rPr>
          <w:rFonts w:hint="eastAsia" w:ascii="黑体" w:hAnsi="黑体" w:eastAsia="黑体" w:cs="黑体"/>
          <w:color w:val="auto"/>
          <w:spacing w:val="17"/>
          <w:sz w:val="23"/>
          <w:szCs w:val="23"/>
          <w:highlight w:val="none"/>
        </w:rPr>
        <w:t>案</w:t>
      </w:r>
    </w:p>
    <w:p w14:paraId="22167B18">
      <w:pPr>
        <w:keepNext w:val="0"/>
        <w:keepLines w:val="0"/>
        <w:pageBreakBefore w:val="0"/>
        <w:kinsoku/>
        <w:overflowPunct/>
        <w:autoSpaceDE w:val="0"/>
        <w:autoSpaceDN w:val="0"/>
        <w:bidi w:val="0"/>
        <w:spacing w:before="256" w:line="229"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20"/>
          <w:sz w:val="23"/>
          <w:szCs w:val="23"/>
          <w:highlight w:val="none"/>
        </w:rPr>
        <w:t>(7)人员配</w:t>
      </w:r>
      <w:r>
        <w:rPr>
          <w:rFonts w:hint="eastAsia" w:ascii="黑体" w:hAnsi="黑体" w:eastAsia="黑体" w:cs="黑体"/>
          <w:color w:val="auto"/>
          <w:spacing w:val="19"/>
          <w:sz w:val="23"/>
          <w:szCs w:val="23"/>
          <w:highlight w:val="none"/>
        </w:rPr>
        <w:t>备</w:t>
      </w:r>
    </w:p>
    <w:p w14:paraId="4C6081C4">
      <w:pPr>
        <w:keepNext w:val="0"/>
        <w:keepLines w:val="0"/>
        <w:pageBreakBefore w:val="0"/>
        <w:kinsoku/>
        <w:overflowPunct/>
        <w:autoSpaceDE w:val="0"/>
        <w:autoSpaceDN w:val="0"/>
        <w:bidi w:val="0"/>
        <w:spacing w:before="255" w:line="226"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(8)资格审查资</w:t>
      </w:r>
      <w:r>
        <w:rPr>
          <w:rFonts w:hint="eastAsia" w:ascii="黑体" w:hAnsi="黑体" w:eastAsia="黑体" w:cs="黑体"/>
          <w:color w:val="auto"/>
          <w:spacing w:val="17"/>
          <w:sz w:val="23"/>
          <w:szCs w:val="23"/>
          <w:highlight w:val="none"/>
        </w:rPr>
        <w:t>料</w:t>
      </w:r>
    </w:p>
    <w:p w14:paraId="6E6E7109">
      <w:pPr>
        <w:keepNext w:val="0"/>
        <w:keepLines w:val="0"/>
        <w:pageBreakBefore w:val="0"/>
        <w:kinsoku/>
        <w:overflowPunct/>
        <w:autoSpaceDE w:val="0"/>
        <w:autoSpaceDN w:val="0"/>
        <w:bidi w:val="0"/>
        <w:spacing w:before="259" w:line="225" w:lineRule="auto"/>
        <w:ind w:left="512"/>
        <w:rPr>
          <w:rFonts w:hint="eastAsia" w:ascii="黑体" w:hAnsi="黑体" w:eastAsia="黑体" w:cs="黑体"/>
          <w:color w:val="auto"/>
          <w:sz w:val="23"/>
          <w:szCs w:val="23"/>
          <w:highlight w:val="none"/>
        </w:rPr>
      </w:pPr>
      <w:r>
        <w:rPr>
          <w:rFonts w:hint="eastAsia" w:ascii="黑体" w:hAnsi="黑体" w:eastAsia="黑体" w:cs="黑体"/>
          <w:color w:val="auto"/>
          <w:spacing w:val="20"/>
          <w:sz w:val="23"/>
          <w:szCs w:val="23"/>
          <w:highlight w:val="none"/>
        </w:rPr>
        <w:t>(9)其他资</w:t>
      </w:r>
      <w:r>
        <w:rPr>
          <w:rFonts w:hint="eastAsia" w:ascii="黑体" w:hAnsi="黑体" w:eastAsia="黑体" w:cs="黑体"/>
          <w:color w:val="auto"/>
          <w:spacing w:val="19"/>
          <w:sz w:val="23"/>
          <w:szCs w:val="23"/>
          <w:highlight w:val="none"/>
        </w:rPr>
        <w:t>料</w:t>
      </w:r>
    </w:p>
    <w:p w14:paraId="79A08518">
      <w:pPr>
        <w:keepNext w:val="0"/>
        <w:keepLines w:val="0"/>
        <w:pageBreakBefore w:val="0"/>
        <w:kinsoku/>
        <w:overflowPunct/>
        <w:autoSpaceDE w:val="0"/>
        <w:autoSpaceDN w:val="0"/>
        <w:bidi w:val="0"/>
        <w:spacing w:before="145" w:line="376" w:lineRule="auto"/>
        <w:ind w:left="22" w:right="4" w:firstLine="481"/>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★14.2除</w:t>
      </w:r>
      <w:r>
        <w:rPr>
          <w:rFonts w:hint="eastAsia" w:ascii="黑体" w:hAnsi="黑体" w:eastAsia="黑体" w:cs="黑体"/>
          <w:color w:val="auto"/>
          <w:spacing w:val="10"/>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10"/>
          <w:sz w:val="23"/>
          <w:szCs w:val="23"/>
          <w:highlight w:val="none"/>
        </w:rPr>
        <w:t>另有规定外，供应商提供的货物及服务不是供应</w:t>
      </w:r>
      <w:r>
        <w:rPr>
          <w:rFonts w:hint="eastAsia" w:ascii="黑体" w:hAnsi="黑体" w:eastAsia="黑体" w:cs="黑体"/>
          <w:color w:val="auto"/>
          <w:spacing w:val="11"/>
          <w:sz w:val="23"/>
          <w:szCs w:val="23"/>
          <w:highlight w:val="none"/>
        </w:rPr>
        <w:t>商</w:t>
      </w:r>
      <w:r>
        <w:rPr>
          <w:rFonts w:hint="eastAsia" w:ascii="黑体" w:hAnsi="黑体" w:eastAsia="黑体" w:cs="黑体"/>
          <w:color w:val="auto"/>
          <w:spacing w:val="7"/>
          <w:sz w:val="23"/>
          <w:szCs w:val="23"/>
          <w:highlight w:val="none"/>
        </w:rPr>
        <w:t>制造或拥有的，则应当提供经销、或代理磋商货物、或为磋商货物提供售后服</w:t>
      </w:r>
      <w:r>
        <w:rPr>
          <w:rFonts w:hint="eastAsia" w:ascii="黑体" w:hAnsi="黑体" w:eastAsia="黑体" w:cs="黑体"/>
          <w:color w:val="auto"/>
          <w:spacing w:val="12"/>
          <w:sz w:val="23"/>
          <w:szCs w:val="23"/>
          <w:highlight w:val="none"/>
        </w:rPr>
        <w:t>务</w:t>
      </w:r>
      <w:r>
        <w:rPr>
          <w:rFonts w:hint="eastAsia" w:ascii="黑体" w:hAnsi="黑体" w:eastAsia="黑体" w:cs="黑体"/>
          <w:color w:val="auto"/>
          <w:spacing w:val="9"/>
          <w:sz w:val="23"/>
          <w:szCs w:val="23"/>
          <w:highlight w:val="none"/>
        </w:rPr>
        <w:t>的证明文件。否则，在磋商时将其视为无效响应文件。</w:t>
      </w:r>
    </w:p>
    <w:p w14:paraId="13665BCD">
      <w:pPr>
        <w:keepNext w:val="0"/>
        <w:keepLines w:val="0"/>
        <w:pageBreakBefore w:val="0"/>
        <w:kinsoku/>
        <w:overflowPunct/>
        <w:autoSpaceDE w:val="0"/>
        <w:autoSpaceDN w:val="0"/>
        <w:bidi w:val="0"/>
        <w:spacing w:before="1" w:line="226" w:lineRule="auto"/>
        <w:ind w:left="504"/>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★14.3</w:t>
      </w:r>
      <w:r>
        <w:rPr>
          <w:rFonts w:hint="eastAsia" w:ascii="黑体" w:hAnsi="黑体" w:eastAsia="黑体" w:cs="黑体"/>
          <w:color w:val="auto"/>
          <w:spacing w:val="10"/>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10"/>
          <w:sz w:val="23"/>
          <w:szCs w:val="23"/>
          <w:highlight w:val="none"/>
        </w:rPr>
        <w:t>规定供应商在磋商时提供样品的，供应商有以下情</w:t>
      </w:r>
    </w:p>
    <w:p w14:paraId="642E7F52">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1"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23EA3541">
      <w:pPr>
        <w:keepNext w:val="0"/>
        <w:keepLines w:val="0"/>
        <w:pageBreakBefore w:val="0"/>
        <w:kinsoku/>
        <w:overflowPunct/>
        <w:autoSpaceDE w:val="0"/>
        <w:autoSpaceDN w:val="0"/>
        <w:bidi w:val="0"/>
        <w:spacing w:before="122" w:line="230" w:lineRule="auto"/>
        <w:ind w:left="23"/>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形之一的，在磋商时将其视为无效响应文件</w:t>
      </w:r>
      <w:r>
        <w:rPr>
          <w:rFonts w:hint="eastAsia" w:ascii="黑体" w:hAnsi="黑体" w:eastAsia="黑体" w:cs="黑体"/>
          <w:color w:val="auto"/>
          <w:spacing w:val="6"/>
          <w:sz w:val="23"/>
          <w:szCs w:val="23"/>
          <w:highlight w:val="none"/>
        </w:rPr>
        <w:t>。</w:t>
      </w:r>
    </w:p>
    <w:p w14:paraId="46CA24BC">
      <w:pPr>
        <w:keepNext w:val="0"/>
        <w:keepLines w:val="0"/>
        <w:pageBreakBefore w:val="0"/>
        <w:kinsoku/>
        <w:overflowPunct/>
        <w:autoSpaceDE w:val="0"/>
        <w:autoSpaceDN w:val="0"/>
        <w:bidi w:val="0"/>
        <w:spacing w:before="181"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w:t>
      </w:r>
      <w:r>
        <w:rPr>
          <w:rFonts w:hint="eastAsia" w:ascii="黑体" w:hAnsi="黑体" w:eastAsia="黑体" w:cs="黑体"/>
          <w:color w:val="auto"/>
          <w:spacing w:val="7"/>
          <w:sz w:val="23"/>
          <w:szCs w:val="23"/>
          <w:highlight w:val="none"/>
        </w:rPr>
        <w:t>1)未在</w:t>
      </w:r>
      <w:r>
        <w:rPr>
          <w:rFonts w:hint="eastAsia" w:ascii="黑体" w:hAnsi="黑体" w:eastAsia="黑体" w:cs="黑体"/>
          <w:color w:val="auto"/>
          <w:spacing w:val="7"/>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7"/>
          <w:sz w:val="23"/>
          <w:szCs w:val="23"/>
          <w:highlight w:val="none"/>
        </w:rPr>
        <w:t>规定的提交时间、地点提交的；</w:t>
      </w:r>
    </w:p>
    <w:p w14:paraId="0C7AB5D3">
      <w:pPr>
        <w:keepNext w:val="0"/>
        <w:keepLines w:val="0"/>
        <w:pageBreakBefore w:val="0"/>
        <w:kinsoku/>
        <w:overflowPunct/>
        <w:autoSpaceDE w:val="0"/>
        <w:autoSpaceDN w:val="0"/>
        <w:bidi w:val="0"/>
        <w:spacing w:before="185"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1"/>
          <w:sz w:val="23"/>
          <w:szCs w:val="23"/>
          <w:highlight w:val="none"/>
        </w:rPr>
        <w:t>(</w:t>
      </w:r>
      <w:r>
        <w:rPr>
          <w:rFonts w:hint="eastAsia" w:ascii="黑体" w:hAnsi="黑体" w:eastAsia="黑体" w:cs="黑体"/>
          <w:color w:val="auto"/>
          <w:spacing w:val="7"/>
          <w:sz w:val="23"/>
          <w:szCs w:val="23"/>
          <w:highlight w:val="none"/>
        </w:rPr>
        <w:t>2)供应商提供的样品与响应文件中型号、规格不一致的。</w:t>
      </w:r>
    </w:p>
    <w:p w14:paraId="4A0CA00D">
      <w:pPr>
        <w:keepNext w:val="0"/>
        <w:keepLines w:val="0"/>
        <w:pageBreakBefore w:val="0"/>
        <w:kinsoku/>
        <w:overflowPunct/>
        <w:autoSpaceDE w:val="0"/>
        <w:autoSpaceDN w:val="0"/>
        <w:bidi w:val="0"/>
        <w:spacing w:before="184" w:line="376" w:lineRule="auto"/>
        <w:ind w:left="22" w:right="61" w:firstLine="495"/>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14.4在磋商过程中，供应商根据磋商小组书面形式要求提交的最后报价(</w:t>
      </w:r>
      <w:r>
        <w:rPr>
          <w:rFonts w:hint="eastAsia" w:ascii="黑体" w:hAnsi="黑体" w:eastAsia="黑体" w:cs="黑体"/>
          <w:color w:val="auto"/>
          <w:spacing w:val="4"/>
          <w:sz w:val="23"/>
          <w:szCs w:val="23"/>
          <w:highlight w:val="none"/>
        </w:rPr>
        <w:t>或</w:t>
      </w:r>
      <w:r>
        <w:rPr>
          <w:rFonts w:hint="eastAsia" w:ascii="黑体" w:hAnsi="黑体" w:eastAsia="黑体" w:cs="黑体"/>
          <w:color w:val="auto"/>
          <w:spacing w:val="11"/>
          <w:sz w:val="23"/>
          <w:szCs w:val="23"/>
          <w:highlight w:val="none"/>
        </w:rPr>
        <w:t>者</w:t>
      </w:r>
      <w:r>
        <w:rPr>
          <w:rFonts w:hint="eastAsia" w:ascii="黑体" w:hAnsi="黑体" w:eastAsia="黑体" w:cs="黑体"/>
          <w:color w:val="auto"/>
          <w:spacing w:val="9"/>
          <w:sz w:val="23"/>
          <w:szCs w:val="23"/>
          <w:highlight w:val="none"/>
        </w:rPr>
        <w:t>重新提交的响应文件和最后报价)是响应文件的有效组成部分。</w:t>
      </w:r>
    </w:p>
    <w:p w14:paraId="4EACC1AF">
      <w:pPr>
        <w:keepNext w:val="0"/>
        <w:keepLines w:val="0"/>
        <w:pageBreakBefore w:val="0"/>
        <w:kinsoku/>
        <w:overflowPunct/>
        <w:autoSpaceDE w:val="0"/>
        <w:autoSpaceDN w:val="0"/>
        <w:bidi w:val="0"/>
        <w:spacing w:before="1" w:line="375" w:lineRule="auto"/>
        <w:ind w:left="25" w:right="61" w:firstLine="492"/>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14.5磋商文件规定可能发生实质性变动的，供应商应当在《技术/商务响</w:t>
      </w:r>
      <w:r>
        <w:rPr>
          <w:rFonts w:hint="eastAsia" w:ascii="黑体" w:hAnsi="黑体" w:eastAsia="黑体" w:cs="黑体"/>
          <w:color w:val="auto"/>
          <w:spacing w:val="4"/>
          <w:sz w:val="23"/>
          <w:szCs w:val="23"/>
          <w:highlight w:val="none"/>
        </w:rPr>
        <w:t>应</w:t>
      </w:r>
      <w:r>
        <w:rPr>
          <w:rFonts w:hint="eastAsia" w:ascii="黑体" w:hAnsi="黑体" w:eastAsia="黑体" w:cs="黑体"/>
          <w:color w:val="auto"/>
          <w:spacing w:val="9"/>
          <w:sz w:val="23"/>
          <w:szCs w:val="23"/>
          <w:highlight w:val="none"/>
        </w:rPr>
        <w:t>与</w:t>
      </w:r>
      <w:r>
        <w:rPr>
          <w:rFonts w:hint="eastAsia" w:ascii="黑体" w:hAnsi="黑体" w:eastAsia="黑体" w:cs="黑体"/>
          <w:color w:val="auto"/>
          <w:spacing w:val="8"/>
          <w:sz w:val="23"/>
          <w:szCs w:val="23"/>
          <w:highlight w:val="none"/>
        </w:rPr>
        <w:t>偏离表》中对应内容注明。</w:t>
      </w:r>
    </w:p>
    <w:p w14:paraId="151D4488">
      <w:pPr>
        <w:keepNext w:val="0"/>
        <w:keepLines w:val="0"/>
        <w:pageBreakBefore w:val="0"/>
        <w:kinsoku/>
        <w:overflowPunct/>
        <w:autoSpaceDE w:val="0"/>
        <w:autoSpaceDN w:val="0"/>
        <w:bidi w:val="0"/>
        <w:spacing w:before="2" w:line="375" w:lineRule="auto"/>
        <w:ind w:left="21" w:right="63" w:firstLine="497"/>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1"/>
          <w:sz w:val="23"/>
          <w:szCs w:val="23"/>
          <w:highlight w:val="none"/>
        </w:rPr>
        <w:t>4</w:t>
      </w:r>
      <w:r>
        <w:rPr>
          <w:rFonts w:hint="eastAsia" w:ascii="黑体" w:hAnsi="黑体" w:eastAsia="黑体" w:cs="黑体"/>
          <w:color w:val="auto"/>
          <w:spacing w:val="9"/>
          <w:sz w:val="23"/>
          <w:szCs w:val="23"/>
          <w:highlight w:val="none"/>
        </w:rPr>
        <w:t>.6根据《政府采购法》第四十二条的规定，供应商无论成交与否，其响</w:t>
      </w:r>
      <w:r>
        <w:rPr>
          <w:rFonts w:hint="eastAsia" w:ascii="黑体" w:hAnsi="黑体" w:eastAsia="黑体" w:cs="黑体"/>
          <w:color w:val="auto"/>
          <w:spacing w:val="11"/>
          <w:sz w:val="23"/>
          <w:szCs w:val="23"/>
          <w:highlight w:val="none"/>
        </w:rPr>
        <w:t>应</w:t>
      </w:r>
      <w:r>
        <w:rPr>
          <w:rFonts w:hint="eastAsia" w:ascii="黑体" w:hAnsi="黑体" w:eastAsia="黑体" w:cs="黑体"/>
          <w:color w:val="auto"/>
          <w:spacing w:val="7"/>
          <w:sz w:val="23"/>
          <w:szCs w:val="23"/>
          <w:highlight w:val="none"/>
        </w:rPr>
        <w:t>文件不予退还。</w:t>
      </w:r>
    </w:p>
    <w:p w14:paraId="227031BB">
      <w:pPr>
        <w:keepNext w:val="0"/>
        <w:keepLines w:val="0"/>
        <w:pageBreakBefore w:val="0"/>
        <w:kinsoku/>
        <w:overflowPunct/>
        <w:autoSpaceDE w:val="0"/>
        <w:autoSpaceDN w:val="0"/>
        <w:bidi w:val="0"/>
        <w:spacing w:line="308" w:lineRule="exact"/>
        <w:ind w:left="518"/>
        <w:outlineLvl w:val="2"/>
        <w:rPr>
          <w:rFonts w:hint="eastAsia" w:ascii="黑体" w:hAnsi="黑体" w:eastAsia="黑体" w:cs="黑体"/>
          <w:color w:val="auto"/>
          <w:sz w:val="23"/>
          <w:szCs w:val="23"/>
          <w:highlight w:val="none"/>
        </w:rPr>
      </w:pPr>
      <w:bookmarkStart w:id="39" w:name="_Toc28472"/>
      <w:r>
        <w:rPr>
          <w:rFonts w:hint="eastAsia" w:ascii="黑体" w:hAnsi="黑体" w:eastAsia="黑体" w:cs="黑体"/>
          <w:color w:val="auto"/>
          <w:spacing w:val="2"/>
          <w:position w:val="1"/>
          <w:sz w:val="23"/>
          <w:szCs w:val="23"/>
          <w:highlight w:val="none"/>
        </w:rPr>
        <w:t>15</w:t>
      </w:r>
      <w:r>
        <w:rPr>
          <w:rFonts w:hint="eastAsia" w:ascii="黑体" w:hAnsi="黑体" w:eastAsia="黑体" w:cs="黑体"/>
          <w:color w:val="auto"/>
          <w:spacing w:val="1"/>
          <w:position w:val="1"/>
          <w:sz w:val="23"/>
          <w:szCs w:val="23"/>
          <w:highlight w:val="none"/>
        </w:rPr>
        <w:t>.报价</w:t>
      </w:r>
      <w:bookmarkEnd w:id="39"/>
    </w:p>
    <w:p w14:paraId="643A1F17">
      <w:pPr>
        <w:keepNext w:val="0"/>
        <w:keepLines w:val="0"/>
        <w:pageBreakBefore w:val="0"/>
        <w:kinsoku/>
        <w:overflowPunct/>
        <w:autoSpaceDE w:val="0"/>
        <w:autoSpaceDN w:val="0"/>
        <w:bidi w:val="0"/>
        <w:spacing w:before="159" w:line="376" w:lineRule="auto"/>
        <w:ind w:left="22" w:right="120" w:firstLine="496"/>
        <w:rPr>
          <w:rFonts w:hint="eastAsia" w:ascii="黑体" w:hAnsi="黑体" w:eastAsia="黑体" w:cs="黑体"/>
          <w:color w:val="auto"/>
          <w:sz w:val="23"/>
          <w:szCs w:val="23"/>
          <w:highlight w:val="none"/>
        </w:rPr>
      </w:pPr>
      <w:r>
        <w:rPr>
          <w:rFonts w:hint="eastAsia" w:ascii="黑体" w:hAnsi="黑体" w:eastAsia="黑体" w:cs="黑体"/>
          <w:color w:val="auto"/>
          <w:spacing w:val="2"/>
          <w:sz w:val="23"/>
          <w:szCs w:val="23"/>
          <w:highlight w:val="none"/>
        </w:rPr>
        <w:t>15.</w:t>
      </w:r>
      <w:r>
        <w:rPr>
          <w:rFonts w:hint="eastAsia" w:ascii="黑体" w:hAnsi="黑体" w:eastAsia="黑体" w:cs="黑体"/>
          <w:color w:val="auto"/>
          <w:spacing w:val="1"/>
          <w:sz w:val="23"/>
          <w:szCs w:val="23"/>
          <w:highlight w:val="none"/>
        </w:rPr>
        <w:t>1供应商应当根据磋商文件要求和范围，以人民币报价，以元为单位，</w:t>
      </w:r>
      <w:r>
        <w:rPr>
          <w:rFonts w:hint="eastAsia" w:ascii="黑体" w:hAnsi="黑体" w:eastAsia="黑体" w:cs="黑体"/>
          <w:color w:val="auto"/>
          <w:spacing w:val="13"/>
          <w:sz w:val="23"/>
          <w:szCs w:val="23"/>
          <w:highlight w:val="none"/>
        </w:rPr>
        <w:t>保</w:t>
      </w:r>
      <w:r>
        <w:rPr>
          <w:rFonts w:hint="eastAsia" w:ascii="黑体" w:hAnsi="黑体" w:eastAsia="黑体" w:cs="黑体"/>
          <w:color w:val="auto"/>
          <w:spacing w:val="7"/>
          <w:sz w:val="23"/>
          <w:szCs w:val="23"/>
          <w:highlight w:val="none"/>
        </w:rPr>
        <w:t>留小数点后两位。</w:t>
      </w:r>
    </w:p>
    <w:p w14:paraId="38AE5818">
      <w:pPr>
        <w:keepNext w:val="0"/>
        <w:keepLines w:val="0"/>
        <w:pageBreakBefore w:val="0"/>
        <w:kinsoku/>
        <w:overflowPunct/>
        <w:autoSpaceDE w:val="0"/>
        <w:autoSpaceDN w:val="0"/>
        <w:bidi w:val="0"/>
        <w:spacing w:before="1" w:line="225"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15</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2供应商应按照磋商文件要求进行报价。</w:t>
      </w:r>
    </w:p>
    <w:p w14:paraId="7A6D525A">
      <w:pPr>
        <w:keepNext w:val="0"/>
        <w:keepLines w:val="0"/>
        <w:pageBreakBefore w:val="0"/>
        <w:kinsoku/>
        <w:overflowPunct/>
        <w:autoSpaceDE w:val="0"/>
        <w:autoSpaceDN w:val="0"/>
        <w:bidi w:val="0"/>
        <w:spacing w:before="186" w:line="226"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15</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3供应商的报价不得超过采购项目预算。</w:t>
      </w:r>
    </w:p>
    <w:p w14:paraId="41F8C10D">
      <w:pPr>
        <w:keepNext w:val="0"/>
        <w:keepLines w:val="0"/>
        <w:pageBreakBefore w:val="0"/>
        <w:kinsoku/>
        <w:overflowPunct/>
        <w:autoSpaceDE w:val="0"/>
        <w:autoSpaceDN w:val="0"/>
        <w:bidi w:val="0"/>
        <w:spacing w:before="187" w:line="308" w:lineRule="exact"/>
        <w:ind w:left="518"/>
        <w:outlineLvl w:val="2"/>
        <w:rPr>
          <w:rFonts w:hint="eastAsia" w:ascii="黑体" w:hAnsi="黑体" w:eastAsia="黑体" w:cs="黑体"/>
          <w:color w:val="auto"/>
          <w:sz w:val="23"/>
          <w:szCs w:val="23"/>
          <w:highlight w:val="none"/>
        </w:rPr>
      </w:pPr>
      <w:bookmarkStart w:id="40" w:name="_Toc14193"/>
      <w:r>
        <w:rPr>
          <w:rFonts w:hint="eastAsia" w:ascii="黑体" w:hAnsi="黑体" w:eastAsia="黑体" w:cs="黑体"/>
          <w:color w:val="auto"/>
          <w:spacing w:val="11"/>
          <w:position w:val="1"/>
          <w:sz w:val="23"/>
          <w:szCs w:val="23"/>
          <w:highlight w:val="none"/>
        </w:rPr>
        <w:t>1</w:t>
      </w:r>
      <w:r>
        <w:rPr>
          <w:rFonts w:hint="eastAsia" w:ascii="黑体" w:hAnsi="黑体" w:eastAsia="黑体" w:cs="黑体"/>
          <w:color w:val="auto"/>
          <w:spacing w:val="6"/>
          <w:position w:val="1"/>
          <w:sz w:val="23"/>
          <w:szCs w:val="23"/>
          <w:highlight w:val="none"/>
        </w:rPr>
        <w:t>6.供应商资格证明文件</w:t>
      </w:r>
      <w:bookmarkEnd w:id="40"/>
    </w:p>
    <w:p w14:paraId="16C833BD">
      <w:pPr>
        <w:keepNext w:val="0"/>
        <w:keepLines w:val="0"/>
        <w:pageBreakBefore w:val="0"/>
        <w:kinsoku/>
        <w:overflowPunct/>
        <w:autoSpaceDE w:val="0"/>
        <w:autoSpaceDN w:val="0"/>
        <w:bidi w:val="0"/>
        <w:spacing w:before="159" w:line="376" w:lineRule="auto"/>
        <w:ind w:left="24" w:right="63" w:firstLine="49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1"/>
          <w:sz w:val="23"/>
          <w:szCs w:val="23"/>
          <w:highlight w:val="none"/>
        </w:rPr>
        <w:t>6</w:t>
      </w:r>
      <w:r>
        <w:rPr>
          <w:rFonts w:hint="eastAsia" w:ascii="黑体" w:hAnsi="黑体" w:eastAsia="黑体" w:cs="黑体"/>
          <w:color w:val="auto"/>
          <w:spacing w:val="9"/>
          <w:sz w:val="23"/>
          <w:szCs w:val="23"/>
          <w:highlight w:val="none"/>
        </w:rPr>
        <w:t>.1供应商应提供磋商文件要求的资格证明材料，包括《政府采购法》第</w:t>
      </w:r>
      <w:r>
        <w:rPr>
          <w:rFonts w:hint="eastAsia" w:ascii="黑体" w:hAnsi="黑体" w:eastAsia="黑体" w:cs="黑体"/>
          <w:color w:val="auto"/>
          <w:spacing w:val="15"/>
          <w:sz w:val="23"/>
          <w:szCs w:val="23"/>
          <w:highlight w:val="none"/>
        </w:rPr>
        <w:t>二</w:t>
      </w:r>
      <w:r>
        <w:rPr>
          <w:rFonts w:hint="eastAsia" w:ascii="黑体" w:hAnsi="黑体" w:eastAsia="黑体" w:cs="黑体"/>
          <w:color w:val="auto"/>
          <w:spacing w:val="9"/>
          <w:sz w:val="23"/>
          <w:szCs w:val="23"/>
          <w:highlight w:val="none"/>
        </w:rPr>
        <w:t>十二条第一款规定的资格及前附表中规定的特定资格的证明材料。</w:t>
      </w:r>
    </w:p>
    <w:p w14:paraId="11B61D21">
      <w:pPr>
        <w:keepNext w:val="0"/>
        <w:keepLines w:val="0"/>
        <w:pageBreakBefore w:val="0"/>
        <w:kinsoku/>
        <w:overflowPunct/>
        <w:autoSpaceDE w:val="0"/>
        <w:autoSpaceDN w:val="0"/>
        <w:bidi w:val="0"/>
        <w:spacing w:before="2" w:line="375" w:lineRule="auto"/>
        <w:ind w:left="28" w:firstLine="490"/>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16.2</w:t>
      </w:r>
      <w:r>
        <w:rPr>
          <w:rFonts w:hint="eastAsia" w:ascii="黑体" w:hAnsi="黑体" w:eastAsia="黑体" w:cs="黑体"/>
          <w:color w:val="auto"/>
          <w:spacing w:val="4"/>
          <w:sz w:val="23"/>
          <w:szCs w:val="23"/>
          <w:highlight w:val="none"/>
        </w:rPr>
        <w:t>供应商为联合体形式的，则应提交联合体各方资格文件、联合体协议，</w:t>
      </w:r>
      <w:r>
        <w:rPr>
          <w:rFonts w:hint="eastAsia" w:ascii="黑体" w:hAnsi="黑体" w:eastAsia="黑体" w:cs="黑体"/>
          <w:color w:val="auto"/>
          <w:spacing w:val="8"/>
          <w:sz w:val="23"/>
          <w:szCs w:val="23"/>
          <w:highlight w:val="none"/>
        </w:rPr>
        <w:t>否则将视</w:t>
      </w:r>
      <w:r>
        <w:rPr>
          <w:rFonts w:hint="eastAsia" w:ascii="黑体" w:hAnsi="黑体" w:eastAsia="黑体" w:cs="黑体"/>
          <w:color w:val="auto"/>
          <w:spacing w:val="6"/>
          <w:sz w:val="23"/>
          <w:szCs w:val="23"/>
          <w:highlight w:val="none"/>
        </w:rPr>
        <w:t>为</w:t>
      </w:r>
      <w:r>
        <w:rPr>
          <w:rFonts w:hint="eastAsia" w:ascii="黑体" w:hAnsi="黑体" w:eastAsia="黑体" w:cs="黑体"/>
          <w:color w:val="auto"/>
          <w:spacing w:val="4"/>
          <w:sz w:val="23"/>
          <w:szCs w:val="23"/>
          <w:highlight w:val="none"/>
        </w:rPr>
        <w:t>非实质响应而被拒绝。(本项目不接受联合体报价)</w:t>
      </w:r>
    </w:p>
    <w:p w14:paraId="34276CA0">
      <w:pPr>
        <w:keepNext w:val="0"/>
        <w:keepLines w:val="0"/>
        <w:pageBreakBefore w:val="0"/>
        <w:kinsoku/>
        <w:overflowPunct/>
        <w:autoSpaceDE w:val="0"/>
        <w:autoSpaceDN w:val="0"/>
        <w:bidi w:val="0"/>
        <w:spacing w:line="308" w:lineRule="exact"/>
        <w:ind w:left="518"/>
        <w:outlineLvl w:val="2"/>
        <w:rPr>
          <w:rFonts w:hint="eastAsia" w:ascii="黑体" w:hAnsi="黑体" w:eastAsia="黑体" w:cs="黑体"/>
          <w:color w:val="auto"/>
          <w:sz w:val="23"/>
          <w:szCs w:val="23"/>
          <w:highlight w:val="none"/>
        </w:rPr>
      </w:pPr>
      <w:bookmarkStart w:id="41" w:name="_Toc3994"/>
      <w:r>
        <w:rPr>
          <w:rFonts w:hint="eastAsia" w:ascii="黑体" w:hAnsi="黑体" w:eastAsia="黑体" w:cs="黑体"/>
          <w:color w:val="auto"/>
          <w:spacing w:val="8"/>
          <w:position w:val="1"/>
          <w:sz w:val="23"/>
          <w:szCs w:val="23"/>
          <w:highlight w:val="none"/>
        </w:rPr>
        <w:t>1</w:t>
      </w:r>
      <w:r>
        <w:rPr>
          <w:rFonts w:hint="eastAsia" w:ascii="黑体" w:hAnsi="黑体" w:eastAsia="黑体" w:cs="黑体"/>
          <w:color w:val="auto"/>
          <w:spacing w:val="5"/>
          <w:position w:val="1"/>
          <w:sz w:val="23"/>
          <w:szCs w:val="23"/>
          <w:highlight w:val="none"/>
        </w:rPr>
        <w:t>7</w:t>
      </w:r>
      <w:r>
        <w:rPr>
          <w:rFonts w:hint="eastAsia" w:ascii="黑体" w:hAnsi="黑体" w:eastAsia="黑体" w:cs="黑体"/>
          <w:color w:val="auto"/>
          <w:spacing w:val="4"/>
          <w:position w:val="1"/>
          <w:sz w:val="23"/>
          <w:szCs w:val="23"/>
          <w:highlight w:val="none"/>
        </w:rPr>
        <w:t>.磋商保证金</w:t>
      </w:r>
      <w:bookmarkEnd w:id="41"/>
    </w:p>
    <w:p w14:paraId="40FEA071">
      <w:pPr>
        <w:keepNext w:val="0"/>
        <w:keepLines w:val="0"/>
        <w:pageBreakBefore w:val="0"/>
        <w:kinsoku/>
        <w:overflowPunct/>
        <w:autoSpaceDE w:val="0"/>
        <w:autoSpaceDN w:val="0"/>
        <w:bidi w:val="0"/>
        <w:spacing w:before="158" w:line="376" w:lineRule="auto"/>
        <w:ind w:left="21" w:right="61" w:firstLine="497"/>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7</w:t>
      </w:r>
      <w:r>
        <w:rPr>
          <w:rFonts w:hint="eastAsia" w:ascii="黑体" w:hAnsi="黑体" w:eastAsia="黑体" w:cs="黑体"/>
          <w:color w:val="auto"/>
          <w:spacing w:val="9"/>
          <w:sz w:val="23"/>
          <w:szCs w:val="23"/>
          <w:highlight w:val="none"/>
        </w:rPr>
        <w:t>.1前附表规定交纳磋商保证金的，应按前附表规定的保证金数额及形式</w:t>
      </w:r>
      <w:r>
        <w:rPr>
          <w:rFonts w:hint="eastAsia" w:ascii="黑体" w:hAnsi="黑体" w:eastAsia="黑体" w:cs="黑体"/>
          <w:color w:val="auto"/>
          <w:spacing w:val="12"/>
          <w:sz w:val="23"/>
          <w:szCs w:val="23"/>
          <w:highlight w:val="none"/>
        </w:rPr>
        <w:t>交纳，</w:t>
      </w:r>
      <w:r>
        <w:rPr>
          <w:rFonts w:hint="eastAsia" w:ascii="黑体" w:hAnsi="黑体" w:eastAsia="黑体" w:cs="黑体"/>
          <w:color w:val="auto"/>
          <w:spacing w:val="11"/>
          <w:sz w:val="23"/>
          <w:szCs w:val="23"/>
          <w:highlight w:val="none"/>
        </w:rPr>
        <w:t>不</w:t>
      </w:r>
      <w:r>
        <w:rPr>
          <w:rFonts w:hint="eastAsia" w:ascii="黑体" w:hAnsi="黑体" w:eastAsia="黑体" w:cs="黑体"/>
          <w:color w:val="auto"/>
          <w:spacing w:val="6"/>
          <w:sz w:val="23"/>
          <w:szCs w:val="23"/>
          <w:highlight w:val="none"/>
        </w:rPr>
        <w:t>得以现金方式交纳。保证金有效期应当与本章第18.1款规定的磋商响</w:t>
      </w:r>
      <w:r>
        <w:rPr>
          <w:rFonts w:hint="eastAsia" w:ascii="黑体" w:hAnsi="黑体" w:eastAsia="黑体" w:cs="黑体"/>
          <w:color w:val="auto"/>
          <w:spacing w:val="8"/>
          <w:sz w:val="23"/>
          <w:szCs w:val="23"/>
          <w:highlight w:val="none"/>
        </w:rPr>
        <w:t>应</w:t>
      </w:r>
      <w:r>
        <w:rPr>
          <w:rFonts w:hint="eastAsia" w:ascii="黑体" w:hAnsi="黑体" w:eastAsia="黑体" w:cs="黑体"/>
          <w:color w:val="auto"/>
          <w:spacing w:val="7"/>
          <w:sz w:val="23"/>
          <w:szCs w:val="23"/>
          <w:highlight w:val="none"/>
        </w:rPr>
        <w:t>有效期一致。</w:t>
      </w:r>
    </w:p>
    <w:p w14:paraId="088CF845">
      <w:pPr>
        <w:keepNext w:val="0"/>
        <w:keepLines w:val="0"/>
        <w:pageBreakBefore w:val="0"/>
        <w:kinsoku/>
        <w:overflowPunct/>
        <w:autoSpaceDE w:val="0"/>
        <w:autoSpaceDN w:val="0"/>
        <w:bidi w:val="0"/>
        <w:spacing w:before="2" w:line="375" w:lineRule="auto"/>
        <w:ind w:left="25" w:right="61" w:firstLine="49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4"/>
          <w:sz w:val="23"/>
          <w:szCs w:val="23"/>
          <w:highlight w:val="none"/>
        </w:rPr>
        <w:t>7</w:t>
      </w:r>
      <w:r>
        <w:rPr>
          <w:rFonts w:hint="eastAsia" w:ascii="黑体" w:hAnsi="黑体" w:eastAsia="黑体" w:cs="黑体"/>
          <w:color w:val="auto"/>
          <w:spacing w:val="9"/>
          <w:sz w:val="23"/>
          <w:szCs w:val="23"/>
          <w:highlight w:val="none"/>
        </w:rPr>
        <w:t>.2供应商为联合体的，可以由联合体中的一方或者共同交纳保证金，其</w:t>
      </w:r>
      <w:r>
        <w:rPr>
          <w:rFonts w:hint="eastAsia" w:ascii="黑体" w:hAnsi="黑体" w:eastAsia="黑体" w:cs="黑体"/>
          <w:color w:val="auto"/>
          <w:spacing w:val="16"/>
          <w:sz w:val="23"/>
          <w:szCs w:val="23"/>
          <w:highlight w:val="none"/>
        </w:rPr>
        <w:t>交</w:t>
      </w:r>
      <w:r>
        <w:rPr>
          <w:rFonts w:hint="eastAsia" w:ascii="黑体" w:hAnsi="黑体" w:eastAsia="黑体" w:cs="黑体"/>
          <w:color w:val="auto"/>
          <w:spacing w:val="9"/>
          <w:sz w:val="23"/>
          <w:szCs w:val="23"/>
          <w:highlight w:val="none"/>
        </w:rPr>
        <w:t>纳的保证金，对联合体各方均具有约束力。本项目不接受联合体报价。</w:t>
      </w:r>
    </w:p>
    <w:p w14:paraId="252D4A18">
      <w:pPr>
        <w:keepNext w:val="0"/>
        <w:keepLines w:val="0"/>
        <w:pageBreakBefore w:val="0"/>
        <w:kinsoku/>
        <w:overflowPunct/>
        <w:autoSpaceDE w:val="0"/>
        <w:autoSpaceDN w:val="0"/>
        <w:bidi w:val="0"/>
        <w:spacing w:before="1" w:line="375" w:lineRule="auto"/>
        <w:ind w:left="29" w:right="61" w:firstLine="489"/>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w:t>
      </w:r>
      <w:r>
        <w:rPr>
          <w:rFonts w:hint="eastAsia" w:ascii="黑体" w:hAnsi="黑体" w:eastAsia="黑体" w:cs="黑体"/>
          <w:color w:val="auto"/>
          <w:spacing w:val="13"/>
          <w:sz w:val="23"/>
          <w:szCs w:val="23"/>
          <w:highlight w:val="none"/>
        </w:rPr>
        <w:t>7</w:t>
      </w:r>
      <w:r>
        <w:rPr>
          <w:rFonts w:hint="eastAsia" w:ascii="黑体" w:hAnsi="黑体" w:eastAsia="黑体" w:cs="黑体"/>
          <w:color w:val="auto"/>
          <w:spacing w:val="9"/>
          <w:sz w:val="23"/>
          <w:szCs w:val="23"/>
          <w:highlight w:val="none"/>
        </w:rPr>
        <w:t>.3未按磋商文件规定提交保证金的，采购人或采购代理机构应当拒绝接收</w:t>
      </w:r>
      <w:r>
        <w:rPr>
          <w:rFonts w:hint="eastAsia" w:ascii="黑体" w:hAnsi="黑体" w:eastAsia="黑体" w:cs="黑体"/>
          <w:color w:val="auto"/>
          <w:spacing w:val="7"/>
          <w:sz w:val="23"/>
          <w:szCs w:val="23"/>
          <w:highlight w:val="none"/>
        </w:rPr>
        <w:t>供应商的响应文件。</w:t>
      </w:r>
    </w:p>
    <w:p w14:paraId="0DC28E65">
      <w:pPr>
        <w:keepNext w:val="0"/>
        <w:keepLines w:val="0"/>
        <w:pageBreakBefore w:val="0"/>
        <w:kinsoku/>
        <w:overflowPunct/>
        <w:autoSpaceDE w:val="0"/>
        <w:autoSpaceDN w:val="0"/>
        <w:bidi w:val="0"/>
        <w:spacing w:before="2" w:line="383" w:lineRule="auto"/>
        <w:ind w:left="22" w:right="61" w:firstLine="496"/>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17.4</w:t>
      </w:r>
      <w:r>
        <w:rPr>
          <w:rFonts w:hint="eastAsia" w:ascii="黑体" w:hAnsi="黑体" w:eastAsia="黑体" w:cs="黑体"/>
          <w:color w:val="auto"/>
          <w:spacing w:val="8"/>
          <w:sz w:val="23"/>
          <w:szCs w:val="23"/>
          <w:highlight w:val="none"/>
        </w:rPr>
        <w:t>采</w:t>
      </w:r>
      <w:r>
        <w:rPr>
          <w:rFonts w:hint="eastAsia" w:ascii="黑体" w:hAnsi="黑体" w:eastAsia="黑体" w:cs="黑体"/>
          <w:color w:val="auto"/>
          <w:spacing w:val="5"/>
          <w:sz w:val="23"/>
          <w:szCs w:val="23"/>
          <w:highlight w:val="none"/>
        </w:rPr>
        <w:t>购代理机构在成交通知书发出后5个工作日内退还未成交供应商的</w:t>
      </w:r>
      <w:r>
        <w:rPr>
          <w:rFonts w:hint="eastAsia" w:ascii="黑体" w:hAnsi="黑体" w:eastAsia="黑体" w:cs="黑体"/>
          <w:color w:val="auto"/>
          <w:spacing w:val="6"/>
          <w:sz w:val="23"/>
          <w:szCs w:val="23"/>
          <w:highlight w:val="none"/>
        </w:rPr>
        <w:t>保证金；在采购合</w:t>
      </w:r>
      <w:r>
        <w:rPr>
          <w:rFonts w:hint="eastAsia" w:ascii="黑体" w:hAnsi="黑体" w:eastAsia="黑体" w:cs="黑体"/>
          <w:color w:val="auto"/>
          <w:spacing w:val="3"/>
          <w:sz w:val="23"/>
          <w:szCs w:val="23"/>
          <w:highlight w:val="none"/>
        </w:rPr>
        <w:t>同签订后5个工作日内退还成交供应商的保证金，但因供应商</w:t>
      </w:r>
    </w:p>
    <w:p w14:paraId="5D0C1F17">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2"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6F2D95CD">
      <w:pPr>
        <w:keepNext w:val="0"/>
        <w:keepLines w:val="0"/>
        <w:pageBreakBefore w:val="0"/>
        <w:kinsoku/>
        <w:overflowPunct/>
        <w:autoSpaceDE w:val="0"/>
        <w:autoSpaceDN w:val="0"/>
        <w:bidi w:val="0"/>
        <w:spacing w:before="123" w:line="227" w:lineRule="auto"/>
        <w:ind w:left="60"/>
        <w:rPr>
          <w:rFonts w:hint="eastAsia" w:ascii="黑体" w:hAnsi="黑体" w:eastAsia="黑体" w:cs="黑体"/>
          <w:color w:val="auto"/>
          <w:sz w:val="23"/>
          <w:szCs w:val="23"/>
          <w:highlight w:val="none"/>
        </w:rPr>
      </w:pPr>
      <w:r>
        <w:rPr>
          <w:rFonts w:hint="eastAsia" w:ascii="黑体" w:hAnsi="黑体" w:eastAsia="黑体" w:cs="黑体"/>
          <w:color w:val="auto"/>
          <w:spacing w:val="11"/>
          <w:sz w:val="23"/>
          <w:szCs w:val="23"/>
          <w:highlight w:val="none"/>
        </w:rPr>
        <w:t>自</w:t>
      </w:r>
      <w:r>
        <w:rPr>
          <w:rFonts w:hint="eastAsia" w:ascii="黑体" w:hAnsi="黑体" w:eastAsia="黑体" w:cs="黑体"/>
          <w:color w:val="auto"/>
          <w:spacing w:val="6"/>
          <w:sz w:val="23"/>
          <w:szCs w:val="23"/>
          <w:highlight w:val="none"/>
        </w:rPr>
        <w:t>身原因导致无法及时退还的除外。</w:t>
      </w:r>
    </w:p>
    <w:p w14:paraId="7A293FEB">
      <w:pPr>
        <w:keepNext w:val="0"/>
        <w:keepLines w:val="0"/>
        <w:pageBreakBefore w:val="0"/>
        <w:kinsoku/>
        <w:overflowPunct/>
        <w:autoSpaceDE w:val="0"/>
        <w:autoSpaceDN w:val="0"/>
        <w:bidi w:val="0"/>
        <w:spacing w:before="184" w:line="228" w:lineRule="auto"/>
        <w:ind w:left="518"/>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17</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5有下列情形之一的，保证金不予退还：</w:t>
      </w:r>
    </w:p>
    <w:p w14:paraId="0BA55B46">
      <w:pPr>
        <w:keepNext w:val="0"/>
        <w:keepLines w:val="0"/>
        <w:pageBreakBefore w:val="0"/>
        <w:kinsoku/>
        <w:overflowPunct/>
        <w:autoSpaceDE w:val="0"/>
        <w:autoSpaceDN w:val="0"/>
        <w:bidi w:val="0"/>
        <w:spacing w:before="182" w:line="376" w:lineRule="auto"/>
        <w:ind w:left="22" w:right="49" w:firstLine="520"/>
        <w:rPr>
          <w:rFonts w:hint="eastAsia" w:ascii="黑体" w:hAnsi="黑体" w:eastAsia="黑体" w:cs="黑体"/>
          <w:color w:val="auto"/>
          <w:sz w:val="23"/>
          <w:szCs w:val="23"/>
          <w:highlight w:val="none"/>
        </w:rPr>
      </w:pPr>
      <w:r>
        <w:rPr>
          <w:rFonts w:hint="eastAsia" w:ascii="黑体" w:hAnsi="黑体" w:eastAsia="黑体" w:cs="黑体"/>
          <w:color w:val="auto"/>
          <w:spacing w:val="16"/>
          <w:sz w:val="23"/>
          <w:szCs w:val="23"/>
          <w:highlight w:val="none"/>
        </w:rPr>
        <w:t>(</w:t>
      </w:r>
      <w:r>
        <w:rPr>
          <w:rFonts w:hint="eastAsia" w:ascii="黑体" w:hAnsi="黑体" w:eastAsia="黑体" w:cs="黑体"/>
          <w:color w:val="auto"/>
          <w:spacing w:val="8"/>
          <w:sz w:val="23"/>
          <w:szCs w:val="23"/>
          <w:highlight w:val="none"/>
        </w:rPr>
        <w:t>1)供应商在本章第11.1款规定的提交首次响应文件截止时间后撤回响应</w:t>
      </w:r>
      <w:r>
        <w:rPr>
          <w:rFonts w:hint="eastAsia" w:ascii="黑体" w:hAnsi="黑体" w:eastAsia="黑体" w:cs="黑体"/>
          <w:color w:val="auto"/>
          <w:spacing w:val="6"/>
          <w:sz w:val="23"/>
          <w:szCs w:val="23"/>
          <w:highlight w:val="none"/>
        </w:rPr>
        <w:t>文</w:t>
      </w:r>
      <w:r>
        <w:rPr>
          <w:rFonts w:hint="eastAsia" w:ascii="黑体" w:hAnsi="黑体" w:eastAsia="黑体" w:cs="黑体"/>
          <w:color w:val="auto"/>
          <w:spacing w:val="4"/>
          <w:sz w:val="23"/>
          <w:szCs w:val="23"/>
          <w:highlight w:val="none"/>
        </w:rPr>
        <w:t>件的；</w:t>
      </w:r>
    </w:p>
    <w:p w14:paraId="37128636">
      <w:pPr>
        <w:keepNext w:val="0"/>
        <w:keepLines w:val="0"/>
        <w:pageBreakBefore w:val="0"/>
        <w:kinsoku/>
        <w:overflowPunct/>
        <w:autoSpaceDE w:val="0"/>
        <w:autoSpaceDN w:val="0"/>
        <w:bidi w:val="0"/>
        <w:spacing w:line="226"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w:t>
      </w:r>
      <w:r>
        <w:rPr>
          <w:rFonts w:hint="eastAsia" w:ascii="黑体" w:hAnsi="黑体" w:eastAsia="黑体" w:cs="黑体"/>
          <w:color w:val="auto"/>
          <w:spacing w:val="6"/>
          <w:sz w:val="23"/>
          <w:szCs w:val="23"/>
          <w:highlight w:val="none"/>
        </w:rPr>
        <w:t>2)供应商在响应文件中提供虚假材料的；</w:t>
      </w:r>
    </w:p>
    <w:p w14:paraId="602D5EF4">
      <w:pPr>
        <w:keepNext w:val="0"/>
        <w:keepLines w:val="0"/>
        <w:pageBreakBefore w:val="0"/>
        <w:kinsoku/>
        <w:overflowPunct/>
        <w:autoSpaceDE w:val="0"/>
        <w:autoSpaceDN w:val="0"/>
        <w:bidi w:val="0"/>
        <w:spacing w:before="185" w:line="376" w:lineRule="auto"/>
        <w:ind w:left="22" w:right="49" w:firstLine="521"/>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(3)除因不可抗力或磋商文件认可的情形以外，成交供应商不与采购人签</w:t>
      </w:r>
      <w:r>
        <w:rPr>
          <w:rFonts w:hint="eastAsia" w:ascii="黑体" w:hAnsi="黑体" w:eastAsia="黑体" w:cs="黑体"/>
          <w:color w:val="auto"/>
          <w:spacing w:val="7"/>
          <w:sz w:val="23"/>
          <w:szCs w:val="23"/>
          <w:highlight w:val="none"/>
        </w:rPr>
        <w:t>订</w:t>
      </w:r>
      <w:r>
        <w:rPr>
          <w:rFonts w:hint="eastAsia" w:ascii="黑体" w:hAnsi="黑体" w:eastAsia="黑体" w:cs="黑体"/>
          <w:color w:val="auto"/>
          <w:spacing w:val="5"/>
          <w:sz w:val="23"/>
          <w:szCs w:val="23"/>
          <w:highlight w:val="none"/>
        </w:rPr>
        <w:t>合同的</w:t>
      </w:r>
      <w:r>
        <w:rPr>
          <w:rFonts w:hint="eastAsia" w:ascii="黑体" w:hAnsi="黑体" w:eastAsia="黑体" w:cs="黑体"/>
          <w:color w:val="auto"/>
          <w:spacing w:val="4"/>
          <w:sz w:val="23"/>
          <w:szCs w:val="23"/>
          <w:highlight w:val="none"/>
        </w:rPr>
        <w:t>；</w:t>
      </w:r>
    </w:p>
    <w:p w14:paraId="7307A4E2">
      <w:pPr>
        <w:keepNext w:val="0"/>
        <w:keepLines w:val="0"/>
        <w:pageBreakBefore w:val="0"/>
        <w:kinsoku/>
        <w:overflowPunct/>
        <w:autoSpaceDE w:val="0"/>
        <w:autoSpaceDN w:val="0"/>
        <w:bidi w:val="0"/>
        <w:spacing w:before="1" w:line="226"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4"/>
          <w:sz w:val="23"/>
          <w:szCs w:val="23"/>
          <w:highlight w:val="none"/>
        </w:rPr>
        <w:t>(</w:t>
      </w:r>
      <w:r>
        <w:rPr>
          <w:rFonts w:hint="eastAsia" w:ascii="黑体" w:hAnsi="黑体" w:eastAsia="黑体" w:cs="黑体"/>
          <w:color w:val="auto"/>
          <w:spacing w:val="13"/>
          <w:sz w:val="23"/>
          <w:szCs w:val="23"/>
          <w:highlight w:val="none"/>
        </w:rPr>
        <w:t>4</w:t>
      </w:r>
      <w:r>
        <w:rPr>
          <w:rFonts w:hint="eastAsia" w:ascii="黑体" w:hAnsi="黑体" w:eastAsia="黑体" w:cs="黑体"/>
          <w:color w:val="auto"/>
          <w:spacing w:val="7"/>
          <w:sz w:val="23"/>
          <w:szCs w:val="23"/>
          <w:highlight w:val="none"/>
        </w:rPr>
        <w:t>)供应商与采购人、其他供应商或者采购代理机构恶意串通的；</w:t>
      </w:r>
    </w:p>
    <w:p w14:paraId="31B5F70E">
      <w:pPr>
        <w:keepNext w:val="0"/>
        <w:keepLines w:val="0"/>
        <w:pageBreakBefore w:val="0"/>
        <w:kinsoku/>
        <w:overflowPunct/>
        <w:autoSpaceDE w:val="0"/>
        <w:autoSpaceDN w:val="0"/>
        <w:bidi w:val="0"/>
        <w:spacing w:before="186" w:line="225"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5"/>
          <w:sz w:val="23"/>
          <w:szCs w:val="23"/>
          <w:highlight w:val="none"/>
        </w:rPr>
        <w:t>(5)磋商文件规定的其他情形</w:t>
      </w:r>
      <w:r>
        <w:rPr>
          <w:rFonts w:hint="eastAsia" w:ascii="黑体" w:hAnsi="黑体" w:eastAsia="黑体" w:cs="黑体"/>
          <w:color w:val="auto"/>
          <w:spacing w:val="3"/>
          <w:sz w:val="23"/>
          <w:szCs w:val="23"/>
          <w:highlight w:val="none"/>
        </w:rPr>
        <w:t>。</w:t>
      </w:r>
    </w:p>
    <w:p w14:paraId="10E51DF9">
      <w:pPr>
        <w:keepNext w:val="0"/>
        <w:keepLines w:val="0"/>
        <w:pageBreakBefore w:val="0"/>
        <w:kinsoku/>
        <w:overflowPunct/>
        <w:autoSpaceDE w:val="0"/>
        <w:autoSpaceDN w:val="0"/>
        <w:bidi w:val="0"/>
        <w:spacing w:before="187" w:line="309" w:lineRule="exact"/>
        <w:ind w:left="518"/>
        <w:outlineLvl w:val="2"/>
        <w:rPr>
          <w:rFonts w:hint="eastAsia" w:ascii="黑体" w:hAnsi="黑体" w:eastAsia="黑体" w:cs="黑体"/>
          <w:color w:val="auto"/>
          <w:sz w:val="23"/>
          <w:szCs w:val="23"/>
          <w:highlight w:val="none"/>
        </w:rPr>
      </w:pPr>
      <w:bookmarkStart w:id="42" w:name="_Toc1551"/>
      <w:r>
        <w:rPr>
          <w:rFonts w:hint="eastAsia" w:ascii="黑体" w:hAnsi="黑体" w:eastAsia="黑体" w:cs="黑体"/>
          <w:color w:val="auto"/>
          <w:spacing w:val="10"/>
          <w:position w:val="1"/>
          <w:sz w:val="23"/>
          <w:szCs w:val="23"/>
          <w:highlight w:val="none"/>
        </w:rPr>
        <w:t>1</w:t>
      </w:r>
      <w:r>
        <w:rPr>
          <w:rFonts w:hint="eastAsia" w:ascii="黑体" w:hAnsi="黑体" w:eastAsia="黑体" w:cs="黑体"/>
          <w:color w:val="auto"/>
          <w:spacing w:val="7"/>
          <w:position w:val="1"/>
          <w:sz w:val="23"/>
          <w:szCs w:val="23"/>
          <w:highlight w:val="none"/>
        </w:rPr>
        <w:t>8</w:t>
      </w:r>
      <w:r>
        <w:rPr>
          <w:rFonts w:hint="eastAsia" w:ascii="黑体" w:hAnsi="黑体" w:eastAsia="黑体" w:cs="黑体"/>
          <w:color w:val="auto"/>
          <w:spacing w:val="5"/>
          <w:position w:val="1"/>
          <w:sz w:val="23"/>
          <w:szCs w:val="23"/>
          <w:highlight w:val="none"/>
        </w:rPr>
        <w:t>.磋商响应有效期</w:t>
      </w:r>
      <w:bookmarkEnd w:id="42"/>
    </w:p>
    <w:p w14:paraId="4E969641">
      <w:pPr>
        <w:keepNext w:val="0"/>
        <w:keepLines w:val="0"/>
        <w:pageBreakBefore w:val="0"/>
        <w:kinsoku/>
        <w:overflowPunct/>
        <w:autoSpaceDE w:val="0"/>
        <w:autoSpaceDN w:val="0"/>
        <w:bidi w:val="0"/>
        <w:spacing w:before="158" w:line="376" w:lineRule="auto"/>
        <w:ind w:left="27" w:right="41" w:firstLine="477"/>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w:t>
      </w:r>
      <w:r>
        <w:rPr>
          <w:rFonts w:hint="eastAsia" w:ascii="黑体" w:hAnsi="黑体" w:eastAsia="黑体" w:cs="黑体"/>
          <w:color w:val="auto"/>
          <w:spacing w:val="3"/>
          <w:sz w:val="23"/>
          <w:szCs w:val="23"/>
          <w:highlight w:val="none"/>
        </w:rPr>
        <w:t>18.1磋商响应有效期见</w:t>
      </w:r>
      <w:r>
        <w:rPr>
          <w:rFonts w:hint="eastAsia" w:ascii="黑体" w:hAnsi="黑体" w:eastAsia="黑体" w:cs="黑体"/>
          <w:color w:val="auto"/>
          <w:spacing w:val="3"/>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3"/>
          <w:sz w:val="23"/>
          <w:szCs w:val="23"/>
          <w:highlight w:val="none"/>
        </w:rPr>
        <w:t>，从本章第11.1款规定的提交首</w:t>
      </w:r>
      <w:r>
        <w:rPr>
          <w:rFonts w:hint="eastAsia" w:ascii="黑体" w:hAnsi="黑体" w:eastAsia="黑体" w:cs="黑体"/>
          <w:color w:val="auto"/>
          <w:spacing w:val="17"/>
          <w:sz w:val="23"/>
          <w:szCs w:val="23"/>
          <w:highlight w:val="none"/>
        </w:rPr>
        <w:t>次</w:t>
      </w:r>
      <w:r>
        <w:rPr>
          <w:rFonts w:hint="eastAsia" w:ascii="黑体" w:hAnsi="黑体" w:eastAsia="黑体" w:cs="黑体"/>
          <w:color w:val="auto"/>
          <w:spacing w:val="9"/>
          <w:sz w:val="23"/>
          <w:szCs w:val="23"/>
          <w:highlight w:val="none"/>
        </w:rPr>
        <w:t>响应文件截止时间之日起计算。磋商响应有效期不足的将被视为无效响应。</w:t>
      </w:r>
    </w:p>
    <w:p w14:paraId="0C33BB7E">
      <w:pPr>
        <w:keepNext w:val="0"/>
        <w:keepLines w:val="0"/>
        <w:pageBreakBefore w:val="0"/>
        <w:kinsoku/>
        <w:overflowPunct/>
        <w:autoSpaceDE w:val="0"/>
        <w:autoSpaceDN w:val="0"/>
        <w:bidi w:val="0"/>
        <w:spacing w:line="309" w:lineRule="exact"/>
        <w:ind w:left="518"/>
        <w:outlineLvl w:val="2"/>
        <w:rPr>
          <w:rFonts w:hint="eastAsia" w:ascii="黑体" w:hAnsi="黑体" w:eastAsia="黑体" w:cs="黑体"/>
          <w:color w:val="auto"/>
          <w:sz w:val="23"/>
          <w:szCs w:val="23"/>
          <w:highlight w:val="none"/>
        </w:rPr>
      </w:pPr>
      <w:bookmarkStart w:id="43" w:name="_Toc12691"/>
      <w:r>
        <w:rPr>
          <w:rFonts w:hint="eastAsia" w:ascii="黑体" w:hAnsi="黑体" w:eastAsia="黑体" w:cs="黑体"/>
          <w:color w:val="auto"/>
          <w:spacing w:val="12"/>
          <w:position w:val="1"/>
          <w:sz w:val="23"/>
          <w:szCs w:val="23"/>
          <w:highlight w:val="none"/>
        </w:rPr>
        <w:t>1</w:t>
      </w:r>
      <w:r>
        <w:rPr>
          <w:rFonts w:hint="eastAsia" w:ascii="黑体" w:hAnsi="黑体" w:eastAsia="黑体" w:cs="黑体"/>
          <w:color w:val="auto"/>
          <w:spacing w:val="9"/>
          <w:position w:val="1"/>
          <w:sz w:val="23"/>
          <w:szCs w:val="23"/>
          <w:highlight w:val="none"/>
        </w:rPr>
        <w:t>9</w:t>
      </w:r>
      <w:r>
        <w:rPr>
          <w:rFonts w:hint="eastAsia" w:ascii="黑体" w:hAnsi="黑体" w:eastAsia="黑体" w:cs="黑体"/>
          <w:color w:val="auto"/>
          <w:spacing w:val="6"/>
          <w:position w:val="1"/>
          <w:sz w:val="23"/>
          <w:szCs w:val="23"/>
          <w:highlight w:val="none"/>
        </w:rPr>
        <w:t>.响应文件的签署及规定</w:t>
      </w:r>
      <w:bookmarkEnd w:id="43"/>
    </w:p>
    <w:p w14:paraId="1B5BF7FB">
      <w:pPr>
        <w:keepNext w:val="0"/>
        <w:keepLines w:val="0"/>
        <w:pageBreakBefore w:val="0"/>
        <w:kinsoku/>
        <w:overflowPunct/>
        <w:autoSpaceDE w:val="0"/>
        <w:autoSpaceDN w:val="0"/>
        <w:bidi w:val="0"/>
        <w:spacing w:before="158" w:line="376" w:lineRule="auto"/>
        <w:ind w:left="22" w:firstLine="496"/>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19</w:t>
      </w:r>
      <w:r>
        <w:rPr>
          <w:rFonts w:hint="eastAsia" w:ascii="黑体" w:hAnsi="黑体" w:eastAsia="黑体" w:cs="黑体"/>
          <w:color w:val="auto"/>
          <w:spacing w:val="9"/>
          <w:sz w:val="23"/>
          <w:szCs w:val="23"/>
          <w:highlight w:val="none"/>
        </w:rPr>
        <w:t>.1供应商应根据</w:t>
      </w:r>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9"/>
          <w:sz w:val="23"/>
          <w:szCs w:val="23"/>
          <w:highlight w:val="none"/>
        </w:rPr>
        <w:t>规定提交响应文件。纸质文件的正本和</w:t>
      </w:r>
      <w:r>
        <w:rPr>
          <w:rFonts w:hint="eastAsia" w:ascii="黑体" w:hAnsi="黑体" w:eastAsia="黑体" w:cs="黑体"/>
          <w:color w:val="auto"/>
          <w:spacing w:val="12"/>
          <w:sz w:val="23"/>
          <w:szCs w:val="23"/>
          <w:highlight w:val="none"/>
        </w:rPr>
        <w:t>副</w:t>
      </w:r>
      <w:r>
        <w:rPr>
          <w:rFonts w:hint="eastAsia" w:ascii="黑体" w:hAnsi="黑体" w:eastAsia="黑体" w:cs="黑体"/>
          <w:color w:val="auto"/>
          <w:spacing w:val="7"/>
          <w:sz w:val="23"/>
          <w:szCs w:val="23"/>
          <w:highlight w:val="none"/>
        </w:rPr>
        <w:t>本应装订成册。正本和副本的封面上应标记“正本”或“副本”的字样，当正</w:t>
      </w:r>
      <w:r>
        <w:rPr>
          <w:rFonts w:hint="eastAsia" w:ascii="黑体" w:hAnsi="黑体" w:eastAsia="黑体" w:cs="黑体"/>
          <w:color w:val="auto"/>
          <w:spacing w:val="9"/>
          <w:sz w:val="23"/>
          <w:szCs w:val="23"/>
          <w:highlight w:val="none"/>
        </w:rPr>
        <w:t>本</w:t>
      </w:r>
      <w:r>
        <w:rPr>
          <w:rFonts w:hint="eastAsia" w:ascii="黑体" w:hAnsi="黑体" w:eastAsia="黑体" w:cs="黑体"/>
          <w:color w:val="auto"/>
          <w:spacing w:val="5"/>
          <w:sz w:val="23"/>
          <w:szCs w:val="23"/>
          <w:highlight w:val="none"/>
        </w:rPr>
        <w:t>和副本有差异时，以正本为准。正本一份，副本四份，电子版磋商文件一份。</w:t>
      </w:r>
    </w:p>
    <w:p w14:paraId="404E96E6">
      <w:pPr>
        <w:keepNext w:val="0"/>
        <w:keepLines w:val="0"/>
        <w:pageBreakBefore w:val="0"/>
        <w:kinsoku/>
        <w:overflowPunct/>
        <w:autoSpaceDE w:val="0"/>
        <w:autoSpaceDN w:val="0"/>
        <w:bidi w:val="0"/>
        <w:spacing w:before="3" w:line="375" w:lineRule="auto"/>
        <w:ind w:left="20" w:right="48" w:firstLine="484"/>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w:t>
      </w:r>
      <w:r>
        <w:rPr>
          <w:rFonts w:hint="eastAsia" w:ascii="黑体" w:hAnsi="黑体" w:eastAsia="黑体" w:cs="黑体"/>
          <w:color w:val="auto"/>
          <w:spacing w:val="11"/>
          <w:sz w:val="23"/>
          <w:szCs w:val="23"/>
          <w:highlight w:val="none"/>
        </w:rPr>
        <w:t>1</w:t>
      </w:r>
      <w:r>
        <w:rPr>
          <w:rFonts w:hint="eastAsia" w:ascii="黑体" w:hAnsi="黑体" w:eastAsia="黑体" w:cs="黑体"/>
          <w:color w:val="auto"/>
          <w:spacing w:val="6"/>
          <w:sz w:val="23"/>
          <w:szCs w:val="23"/>
          <w:highlight w:val="none"/>
        </w:rPr>
        <w:t>9.2响应文件正本和副本应按磋商文件要求在签章处加盖公章，由法定</w:t>
      </w:r>
      <w:r>
        <w:rPr>
          <w:rFonts w:hint="eastAsia" w:ascii="黑体" w:hAnsi="黑体" w:eastAsia="黑体" w:cs="黑体"/>
          <w:color w:val="auto"/>
          <w:spacing w:val="14"/>
          <w:sz w:val="23"/>
          <w:szCs w:val="23"/>
          <w:highlight w:val="none"/>
        </w:rPr>
        <w:t>代</w:t>
      </w:r>
      <w:r>
        <w:rPr>
          <w:rFonts w:hint="eastAsia" w:ascii="黑体" w:hAnsi="黑体" w:eastAsia="黑体" w:cs="黑体"/>
          <w:color w:val="auto"/>
          <w:spacing w:val="7"/>
          <w:sz w:val="23"/>
          <w:szCs w:val="23"/>
          <w:highlight w:val="none"/>
        </w:rPr>
        <w:t>表人或其代理人签字；任何加行、涂改、增删，应有法定代表人或其委托代理</w:t>
      </w:r>
      <w:r>
        <w:rPr>
          <w:rFonts w:hint="eastAsia" w:ascii="黑体" w:hAnsi="黑体" w:eastAsia="黑体" w:cs="黑体"/>
          <w:color w:val="auto"/>
          <w:spacing w:val="10"/>
          <w:sz w:val="23"/>
          <w:szCs w:val="23"/>
          <w:highlight w:val="none"/>
        </w:rPr>
        <w:t>人</w:t>
      </w:r>
      <w:r>
        <w:rPr>
          <w:rFonts w:hint="eastAsia" w:ascii="黑体" w:hAnsi="黑体" w:eastAsia="黑体" w:cs="黑体"/>
          <w:color w:val="auto"/>
          <w:spacing w:val="9"/>
          <w:sz w:val="23"/>
          <w:szCs w:val="23"/>
          <w:highlight w:val="none"/>
        </w:rPr>
        <w:t>在旁边签字。否则，将导致响应文件无效。</w:t>
      </w:r>
    </w:p>
    <w:p w14:paraId="06E55386">
      <w:pPr>
        <w:keepNext w:val="0"/>
        <w:keepLines w:val="0"/>
        <w:pageBreakBefore w:val="0"/>
        <w:kinsoku/>
        <w:overflowPunct/>
        <w:autoSpaceDE w:val="0"/>
        <w:autoSpaceDN w:val="0"/>
        <w:bidi w:val="0"/>
        <w:spacing w:line="381" w:lineRule="auto"/>
        <w:ind w:left="22" w:right="48" w:firstLine="481"/>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★19</w:t>
      </w:r>
      <w:r>
        <w:rPr>
          <w:rFonts w:hint="eastAsia" w:ascii="黑体" w:hAnsi="黑体" w:eastAsia="黑体" w:cs="黑体"/>
          <w:color w:val="auto"/>
          <w:spacing w:val="9"/>
          <w:sz w:val="23"/>
          <w:szCs w:val="23"/>
          <w:highlight w:val="none"/>
        </w:rPr>
        <w:t>.3在磋商过程中，供应商按磋商文件规定和磋商小组要求重新提交的</w:t>
      </w:r>
      <w:r>
        <w:rPr>
          <w:rFonts w:hint="eastAsia" w:ascii="黑体" w:hAnsi="黑体" w:eastAsia="黑体" w:cs="黑体"/>
          <w:color w:val="auto"/>
          <w:spacing w:val="11"/>
          <w:sz w:val="23"/>
          <w:szCs w:val="23"/>
          <w:highlight w:val="none"/>
        </w:rPr>
        <w:t>响</w:t>
      </w:r>
      <w:r>
        <w:rPr>
          <w:rFonts w:hint="eastAsia" w:ascii="黑体" w:hAnsi="黑体" w:eastAsia="黑体" w:cs="黑体"/>
          <w:color w:val="auto"/>
          <w:spacing w:val="7"/>
          <w:sz w:val="23"/>
          <w:szCs w:val="23"/>
          <w:highlight w:val="none"/>
        </w:rPr>
        <w:t>应文件和最后报价，可打印或用不褪色墨水书写，但需经法定代表人或其代理</w:t>
      </w:r>
      <w:r>
        <w:rPr>
          <w:rFonts w:hint="eastAsia" w:ascii="黑体" w:hAnsi="黑体" w:eastAsia="黑体" w:cs="黑体"/>
          <w:color w:val="auto"/>
          <w:spacing w:val="14"/>
          <w:sz w:val="23"/>
          <w:szCs w:val="23"/>
          <w:highlight w:val="none"/>
        </w:rPr>
        <w:t>人</w:t>
      </w:r>
      <w:r>
        <w:rPr>
          <w:rFonts w:hint="eastAsia" w:ascii="黑体" w:hAnsi="黑体" w:eastAsia="黑体" w:cs="黑体"/>
          <w:color w:val="auto"/>
          <w:spacing w:val="9"/>
          <w:sz w:val="23"/>
          <w:szCs w:val="23"/>
          <w:highlight w:val="none"/>
        </w:rPr>
        <w:t>签字，或者加盖供应商公章。否则，将导致响应文件无效。</w:t>
      </w:r>
    </w:p>
    <w:p w14:paraId="09922A37">
      <w:pPr>
        <w:keepNext w:val="0"/>
        <w:keepLines w:val="0"/>
        <w:pageBreakBefore w:val="0"/>
        <w:kinsoku/>
        <w:overflowPunct/>
        <w:autoSpaceDE w:val="0"/>
        <w:autoSpaceDN w:val="0"/>
        <w:bidi w:val="0"/>
        <w:spacing w:before="100" w:line="230" w:lineRule="auto"/>
        <w:ind w:left="3360"/>
        <w:outlineLvl w:val="1"/>
        <w:rPr>
          <w:rFonts w:hint="eastAsia" w:ascii="黑体" w:hAnsi="黑体" w:eastAsia="黑体" w:cs="黑体"/>
          <w:color w:val="auto"/>
          <w:sz w:val="23"/>
          <w:szCs w:val="23"/>
          <w:highlight w:val="none"/>
        </w:rPr>
      </w:pPr>
      <w:bookmarkStart w:id="44" w:name="_Toc8017"/>
      <w:r>
        <w:rPr>
          <w:rFonts w:hint="eastAsia" w:ascii="黑体" w:hAnsi="黑体" w:eastAsia="黑体" w:cs="黑体"/>
          <w:color w:val="auto"/>
          <w:spacing w:val="9"/>
          <w:sz w:val="23"/>
          <w:szCs w:val="23"/>
          <w:highlight w:val="none"/>
          <w14:textOutline w14:w="4358" w14:cap="sq" w14:cmpd="sng">
            <w14:solidFill>
              <w14:srgbClr w14:val="000000"/>
            </w14:solidFill>
            <w14:prstDash w14:val="solid"/>
            <w14:bevel/>
          </w14:textOutline>
        </w:rPr>
        <w:t>四</w:t>
      </w:r>
      <w:r>
        <w:rPr>
          <w:rFonts w:hint="eastAsia" w:ascii="黑体" w:hAnsi="黑体" w:eastAsia="黑体" w:cs="黑体"/>
          <w:color w:val="auto"/>
          <w:spacing w:val="7"/>
          <w:sz w:val="23"/>
          <w:szCs w:val="23"/>
          <w:highlight w:val="none"/>
          <w14:textOutline w14:w="4358" w14:cap="sq" w14:cmpd="sng">
            <w14:solidFill>
              <w14:srgbClr w14:val="000000"/>
            </w14:solidFill>
            <w14:prstDash w14:val="solid"/>
            <w14:bevel/>
          </w14:textOutline>
        </w:rPr>
        <w:t>、响应文件的递交</w:t>
      </w:r>
      <w:bookmarkEnd w:id="44"/>
    </w:p>
    <w:p w14:paraId="39229C17">
      <w:pPr>
        <w:keepNext w:val="0"/>
        <w:keepLines w:val="0"/>
        <w:pageBreakBefore w:val="0"/>
        <w:kinsoku/>
        <w:overflowPunct/>
        <w:autoSpaceDE w:val="0"/>
        <w:autoSpaceDN w:val="0"/>
        <w:bidi w:val="0"/>
        <w:spacing w:before="301" w:line="308" w:lineRule="exact"/>
        <w:ind w:left="503"/>
        <w:outlineLvl w:val="2"/>
        <w:rPr>
          <w:rFonts w:hint="eastAsia" w:ascii="黑体" w:hAnsi="黑体" w:eastAsia="黑体" w:cs="黑体"/>
          <w:color w:val="auto"/>
          <w:sz w:val="23"/>
          <w:szCs w:val="23"/>
          <w:highlight w:val="none"/>
        </w:rPr>
      </w:pPr>
      <w:bookmarkStart w:id="45" w:name="_Toc28269"/>
      <w:r>
        <w:rPr>
          <w:rFonts w:hint="eastAsia" w:ascii="黑体" w:hAnsi="黑体" w:eastAsia="黑体" w:cs="黑体"/>
          <w:color w:val="auto"/>
          <w:spacing w:val="8"/>
          <w:position w:val="1"/>
          <w:sz w:val="23"/>
          <w:szCs w:val="23"/>
          <w:highlight w:val="none"/>
        </w:rPr>
        <w:t>20.响应文件的密封和标</w:t>
      </w:r>
      <w:r>
        <w:rPr>
          <w:rFonts w:hint="eastAsia" w:ascii="黑体" w:hAnsi="黑体" w:eastAsia="黑体" w:cs="黑体"/>
          <w:color w:val="auto"/>
          <w:spacing w:val="6"/>
          <w:position w:val="1"/>
          <w:sz w:val="23"/>
          <w:szCs w:val="23"/>
          <w:highlight w:val="none"/>
        </w:rPr>
        <w:t>记</w:t>
      </w:r>
      <w:bookmarkEnd w:id="45"/>
    </w:p>
    <w:p w14:paraId="38F99BEC">
      <w:pPr>
        <w:keepNext w:val="0"/>
        <w:keepLines w:val="0"/>
        <w:pageBreakBefore w:val="0"/>
        <w:kinsoku/>
        <w:overflowPunct/>
        <w:autoSpaceDE w:val="0"/>
        <w:autoSpaceDN w:val="0"/>
        <w:bidi w:val="0"/>
        <w:spacing w:before="159" w:line="376" w:lineRule="auto"/>
        <w:ind w:left="21" w:right="51" w:firstLine="48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20</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1响应文件应密封包装，封口处加盖单位公章，并由法定代表人或其委</w:t>
      </w:r>
      <w:r>
        <w:rPr>
          <w:rFonts w:hint="eastAsia" w:ascii="黑体" w:hAnsi="黑体" w:eastAsia="黑体" w:cs="黑体"/>
          <w:color w:val="auto"/>
          <w:spacing w:val="8"/>
          <w:sz w:val="23"/>
          <w:szCs w:val="23"/>
          <w:highlight w:val="none"/>
        </w:rPr>
        <w:t>托</w:t>
      </w:r>
      <w:r>
        <w:rPr>
          <w:rFonts w:hint="eastAsia" w:ascii="黑体" w:hAnsi="黑体" w:eastAsia="黑体" w:cs="黑体"/>
          <w:color w:val="auto"/>
          <w:spacing w:val="7"/>
          <w:sz w:val="23"/>
          <w:szCs w:val="23"/>
          <w:highlight w:val="none"/>
        </w:rPr>
        <w:t>代理人签字。</w:t>
      </w:r>
    </w:p>
    <w:p w14:paraId="14837FC7">
      <w:pPr>
        <w:keepNext w:val="0"/>
        <w:keepLines w:val="0"/>
        <w:pageBreakBefore w:val="0"/>
        <w:kinsoku/>
        <w:overflowPunct/>
        <w:autoSpaceDE w:val="0"/>
        <w:autoSpaceDN w:val="0"/>
        <w:bidi w:val="0"/>
        <w:spacing w:before="1" w:line="312" w:lineRule="auto"/>
        <w:ind w:left="503" w:right="2095"/>
        <w:rPr>
          <w:rFonts w:hint="eastAsia" w:ascii="黑体" w:hAnsi="黑体" w:eastAsia="黑体" w:cs="黑体"/>
          <w:color w:val="auto"/>
          <w:sz w:val="23"/>
          <w:szCs w:val="23"/>
          <w:highlight w:val="none"/>
        </w:rPr>
      </w:pPr>
      <w:r>
        <w:rPr>
          <w:rFonts w:hint="eastAsia" w:ascii="黑体" w:hAnsi="黑体" w:eastAsia="黑体" w:cs="黑体"/>
          <w:color w:val="auto"/>
          <w:spacing w:val="7"/>
          <w:sz w:val="23"/>
          <w:szCs w:val="23"/>
          <w:highlight w:val="none"/>
        </w:rPr>
        <w:t>2</w:t>
      </w:r>
      <w:r>
        <w:rPr>
          <w:rFonts w:hint="eastAsia" w:ascii="黑体" w:hAnsi="黑体" w:eastAsia="黑体" w:cs="黑体"/>
          <w:color w:val="auto"/>
          <w:spacing w:val="5"/>
          <w:sz w:val="23"/>
          <w:szCs w:val="23"/>
          <w:highlight w:val="none"/>
        </w:rPr>
        <w:t>0.2响应文件封套上应写明的内容见</w:t>
      </w:r>
      <w:r>
        <w:rPr>
          <w:rFonts w:hint="eastAsia" w:ascii="黑体" w:hAnsi="黑体" w:eastAsia="黑体" w:cs="黑体"/>
          <w:color w:val="auto"/>
          <w:spacing w:val="5"/>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14"/>
          <w:sz w:val="23"/>
          <w:szCs w:val="23"/>
          <w:highlight w:val="none"/>
        </w:rPr>
        <w:t>2</w:t>
      </w:r>
      <w:r>
        <w:rPr>
          <w:rFonts w:hint="eastAsia" w:ascii="黑体" w:hAnsi="黑体" w:eastAsia="黑体" w:cs="黑体"/>
          <w:color w:val="auto"/>
          <w:spacing w:val="8"/>
          <w:sz w:val="23"/>
          <w:szCs w:val="23"/>
          <w:highlight w:val="none"/>
        </w:rPr>
        <w:t>1.响应文件的补充、修改或者撤回</w:t>
      </w:r>
    </w:p>
    <w:p w14:paraId="1A032035">
      <w:pPr>
        <w:keepNext w:val="0"/>
        <w:keepLines w:val="0"/>
        <w:pageBreakBefore w:val="0"/>
        <w:kinsoku/>
        <w:overflowPunct/>
        <w:autoSpaceDE w:val="0"/>
        <w:autoSpaceDN w:val="0"/>
        <w:bidi w:val="0"/>
        <w:spacing w:before="157"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3"/>
          <w:sz w:val="23"/>
          <w:szCs w:val="23"/>
          <w:highlight w:val="none"/>
        </w:rPr>
        <w:t>21.1供应商在本章第11.1款规定的提交首次响应文件截止时间前，可</w:t>
      </w:r>
      <w:r>
        <w:rPr>
          <w:rFonts w:hint="eastAsia" w:ascii="黑体" w:hAnsi="黑体" w:eastAsia="黑体" w:cs="黑体"/>
          <w:color w:val="auto"/>
          <w:spacing w:val="2"/>
          <w:sz w:val="23"/>
          <w:szCs w:val="23"/>
          <w:highlight w:val="none"/>
        </w:rPr>
        <w:t>以</w:t>
      </w:r>
      <w:r>
        <w:rPr>
          <w:rFonts w:hint="eastAsia" w:ascii="黑体" w:hAnsi="黑体" w:eastAsia="黑体" w:cs="黑体"/>
          <w:color w:val="auto"/>
          <w:sz w:val="23"/>
          <w:szCs w:val="23"/>
          <w:highlight w:val="none"/>
        </w:rPr>
        <w:t>对</w:t>
      </w:r>
    </w:p>
    <w:p w14:paraId="7B01C7FD">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3"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145F75A4">
      <w:pPr>
        <w:keepNext w:val="0"/>
        <w:keepLines w:val="0"/>
        <w:pageBreakBefore w:val="0"/>
        <w:kinsoku/>
        <w:overflowPunct/>
        <w:autoSpaceDE w:val="0"/>
        <w:autoSpaceDN w:val="0"/>
        <w:bidi w:val="0"/>
        <w:spacing w:before="121" w:line="376" w:lineRule="auto"/>
        <w:ind w:left="20" w:right="11"/>
        <w:rPr>
          <w:rFonts w:hint="eastAsia" w:ascii="黑体" w:hAnsi="黑体" w:eastAsia="黑体" w:cs="黑体"/>
          <w:color w:val="auto"/>
          <w:sz w:val="23"/>
          <w:szCs w:val="23"/>
          <w:highlight w:val="none"/>
        </w:rPr>
      </w:pPr>
      <w:r>
        <w:rPr>
          <w:rFonts w:hint="eastAsia" w:ascii="黑体" w:hAnsi="黑体" w:eastAsia="黑体" w:cs="黑体"/>
          <w:color w:val="auto"/>
          <w:spacing w:val="13"/>
          <w:sz w:val="23"/>
          <w:szCs w:val="23"/>
          <w:highlight w:val="none"/>
        </w:rPr>
        <w:t>所</w:t>
      </w:r>
      <w:r>
        <w:rPr>
          <w:rFonts w:hint="eastAsia" w:ascii="黑体" w:hAnsi="黑体" w:eastAsia="黑体" w:cs="黑体"/>
          <w:color w:val="auto"/>
          <w:spacing w:val="7"/>
          <w:sz w:val="23"/>
          <w:szCs w:val="23"/>
          <w:highlight w:val="none"/>
        </w:rPr>
        <w:t>提交的首次响应文件进行补充、修改或者撤回，并书面通知采购人、采购代理</w:t>
      </w:r>
      <w:r>
        <w:rPr>
          <w:rFonts w:hint="eastAsia" w:ascii="黑体" w:hAnsi="黑体" w:eastAsia="黑体" w:cs="黑体"/>
          <w:color w:val="auto"/>
          <w:spacing w:val="16"/>
          <w:sz w:val="23"/>
          <w:szCs w:val="23"/>
          <w:highlight w:val="none"/>
        </w:rPr>
        <w:t>机</w:t>
      </w:r>
      <w:r>
        <w:rPr>
          <w:rFonts w:hint="eastAsia" w:ascii="黑体" w:hAnsi="黑体" w:eastAsia="黑体" w:cs="黑体"/>
          <w:color w:val="auto"/>
          <w:spacing w:val="9"/>
          <w:sz w:val="23"/>
          <w:szCs w:val="23"/>
          <w:highlight w:val="none"/>
        </w:rPr>
        <w:t>构。该通知应有供应商法定代表人或其委托代理人签字。</w:t>
      </w:r>
    </w:p>
    <w:p w14:paraId="5AB5E1C1">
      <w:pPr>
        <w:keepNext w:val="0"/>
        <w:keepLines w:val="0"/>
        <w:pageBreakBefore w:val="0"/>
        <w:kinsoku/>
        <w:overflowPunct/>
        <w:autoSpaceDE w:val="0"/>
        <w:autoSpaceDN w:val="0"/>
        <w:bidi w:val="0"/>
        <w:spacing w:line="312" w:lineRule="auto"/>
        <w:ind w:left="503" w:right="142"/>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w:t>
      </w:r>
      <w:r>
        <w:rPr>
          <w:rFonts w:hint="eastAsia" w:ascii="黑体" w:hAnsi="黑体" w:eastAsia="黑体" w:cs="黑体"/>
          <w:color w:val="auto"/>
          <w:spacing w:val="6"/>
          <w:sz w:val="23"/>
          <w:szCs w:val="23"/>
          <w:highlight w:val="none"/>
        </w:rPr>
        <w:t>1.2补充、修改的内容与响应文件不一致时，以补充、修改的内容为准。</w:t>
      </w:r>
      <w:r>
        <w:rPr>
          <w:rFonts w:hint="eastAsia" w:ascii="黑体" w:hAnsi="黑体" w:eastAsia="黑体" w:cs="黑体"/>
          <w:color w:val="auto"/>
          <w:spacing w:val="8"/>
          <w:sz w:val="23"/>
          <w:szCs w:val="23"/>
          <w:highlight w:val="none"/>
        </w:rPr>
        <w:t>22.响应文件的递交与接</w:t>
      </w:r>
      <w:r>
        <w:rPr>
          <w:rFonts w:hint="eastAsia" w:ascii="黑体" w:hAnsi="黑体" w:eastAsia="黑体" w:cs="黑体"/>
          <w:color w:val="auto"/>
          <w:spacing w:val="6"/>
          <w:sz w:val="23"/>
          <w:szCs w:val="23"/>
          <w:highlight w:val="none"/>
        </w:rPr>
        <w:t>收</w:t>
      </w:r>
    </w:p>
    <w:p w14:paraId="1032F4E4">
      <w:pPr>
        <w:keepNext w:val="0"/>
        <w:keepLines w:val="0"/>
        <w:pageBreakBefore w:val="0"/>
        <w:kinsoku/>
        <w:overflowPunct/>
        <w:autoSpaceDE w:val="0"/>
        <w:autoSpaceDN w:val="0"/>
        <w:bidi w:val="0"/>
        <w:spacing w:before="157"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3"/>
          <w:sz w:val="23"/>
          <w:szCs w:val="23"/>
          <w:highlight w:val="none"/>
        </w:rPr>
        <w:t>22.1供应商应在本章第11.1款规定的提交首次响应文件截止时间前，</w:t>
      </w:r>
      <w:r>
        <w:rPr>
          <w:rFonts w:hint="eastAsia" w:ascii="黑体" w:hAnsi="黑体" w:eastAsia="黑体" w:cs="黑体"/>
          <w:color w:val="auto"/>
          <w:spacing w:val="2"/>
          <w:sz w:val="23"/>
          <w:szCs w:val="23"/>
          <w:highlight w:val="none"/>
        </w:rPr>
        <w:t>将</w:t>
      </w:r>
      <w:r>
        <w:rPr>
          <w:rFonts w:hint="eastAsia" w:ascii="黑体" w:hAnsi="黑体" w:eastAsia="黑体" w:cs="黑体"/>
          <w:color w:val="auto"/>
          <w:sz w:val="23"/>
          <w:szCs w:val="23"/>
          <w:highlight w:val="none"/>
        </w:rPr>
        <w:t>响</w:t>
      </w:r>
    </w:p>
    <w:p w14:paraId="57328396">
      <w:pPr>
        <w:keepNext w:val="0"/>
        <w:keepLines w:val="0"/>
        <w:pageBreakBefore w:val="0"/>
        <w:kinsoku/>
        <w:overflowPunct/>
        <w:autoSpaceDE w:val="0"/>
        <w:autoSpaceDN w:val="0"/>
        <w:bidi w:val="0"/>
        <w:spacing w:before="184" w:line="376" w:lineRule="auto"/>
        <w:ind w:left="22" w:right="4" w:hanging="1"/>
        <w:rPr>
          <w:rFonts w:hint="eastAsia" w:ascii="黑体" w:hAnsi="黑体" w:eastAsia="黑体" w:cs="黑体"/>
          <w:color w:val="auto"/>
          <w:sz w:val="23"/>
          <w:szCs w:val="23"/>
          <w:highlight w:val="none"/>
        </w:rPr>
      </w:pPr>
      <w:r>
        <w:rPr>
          <w:rFonts w:hint="eastAsia" w:ascii="黑体" w:hAnsi="黑体" w:eastAsia="黑体" w:cs="黑体"/>
          <w:color w:val="auto"/>
          <w:spacing w:val="14"/>
          <w:sz w:val="23"/>
          <w:szCs w:val="23"/>
          <w:highlight w:val="none"/>
        </w:rPr>
        <w:t>应文</w:t>
      </w:r>
      <w:r>
        <w:rPr>
          <w:rFonts w:hint="eastAsia" w:ascii="黑体" w:hAnsi="黑体" w:eastAsia="黑体" w:cs="黑体"/>
          <w:color w:val="auto"/>
          <w:spacing w:val="7"/>
          <w:sz w:val="23"/>
          <w:szCs w:val="23"/>
          <w:highlight w:val="none"/>
        </w:rPr>
        <w:t>件送达</w:t>
      </w:r>
      <w:r>
        <w:rPr>
          <w:rFonts w:hint="eastAsia" w:ascii="黑体" w:hAnsi="黑体" w:eastAsia="黑体" w:cs="黑体"/>
          <w:color w:val="auto"/>
          <w:spacing w:val="7"/>
          <w:sz w:val="23"/>
          <w:szCs w:val="23"/>
          <w:highlight w:val="none"/>
          <w14:textOutline w14:w="4358" w14:cap="sq" w14:cmpd="sng">
            <w14:solidFill>
              <w14:srgbClr w14:val="000000"/>
            </w14:solidFill>
            <w14:prstDash w14:val="solid"/>
            <w14:bevel/>
          </w14:textOutline>
        </w:rPr>
        <w:t>磋商须知前附表</w:t>
      </w:r>
      <w:r>
        <w:rPr>
          <w:rFonts w:hint="eastAsia" w:ascii="黑体" w:hAnsi="黑体" w:eastAsia="黑体" w:cs="黑体"/>
          <w:color w:val="auto"/>
          <w:spacing w:val="7"/>
          <w:sz w:val="23"/>
          <w:szCs w:val="23"/>
          <w:highlight w:val="none"/>
        </w:rPr>
        <w:t>中指定的地点。在截止时间后送达的响应文件，采购</w:t>
      </w:r>
      <w:r>
        <w:rPr>
          <w:rFonts w:hint="eastAsia" w:ascii="黑体" w:hAnsi="黑体" w:eastAsia="黑体" w:cs="黑体"/>
          <w:color w:val="auto"/>
          <w:spacing w:val="9"/>
          <w:sz w:val="23"/>
          <w:szCs w:val="23"/>
          <w:highlight w:val="none"/>
        </w:rPr>
        <w:t>人、采购代理机构或者磋商小组应当拒收</w:t>
      </w:r>
      <w:r>
        <w:rPr>
          <w:rFonts w:hint="eastAsia" w:ascii="黑体" w:hAnsi="黑体" w:eastAsia="黑体" w:cs="黑体"/>
          <w:color w:val="auto"/>
          <w:spacing w:val="6"/>
          <w:sz w:val="23"/>
          <w:szCs w:val="23"/>
          <w:highlight w:val="none"/>
        </w:rPr>
        <w:t>。</w:t>
      </w:r>
    </w:p>
    <w:p w14:paraId="62BB8ED6">
      <w:pPr>
        <w:keepNext w:val="0"/>
        <w:keepLines w:val="0"/>
        <w:pageBreakBefore w:val="0"/>
        <w:kinsoku/>
        <w:overflowPunct/>
        <w:autoSpaceDE w:val="0"/>
        <w:autoSpaceDN w:val="0"/>
        <w:bidi w:val="0"/>
        <w:spacing w:before="3" w:line="383" w:lineRule="auto"/>
        <w:ind w:left="22" w:right="11" w:firstLine="480"/>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22.2响应文件如果未按规定密封和加写标记，采购人或采购代理机构将</w:t>
      </w:r>
      <w:r>
        <w:rPr>
          <w:rFonts w:hint="eastAsia" w:ascii="黑体" w:hAnsi="黑体" w:eastAsia="黑体" w:cs="黑体"/>
          <w:color w:val="auto"/>
          <w:spacing w:val="3"/>
          <w:sz w:val="23"/>
          <w:szCs w:val="23"/>
          <w:highlight w:val="none"/>
        </w:rPr>
        <w:t>拒</w:t>
      </w:r>
      <w:r>
        <w:rPr>
          <w:rFonts w:hint="eastAsia" w:ascii="黑体" w:hAnsi="黑体" w:eastAsia="黑体" w:cs="黑体"/>
          <w:color w:val="auto"/>
          <w:spacing w:val="6"/>
          <w:sz w:val="23"/>
          <w:szCs w:val="23"/>
          <w:highlight w:val="none"/>
        </w:rPr>
        <w:t>绝</w:t>
      </w:r>
      <w:r>
        <w:rPr>
          <w:rFonts w:hint="eastAsia" w:ascii="黑体" w:hAnsi="黑体" w:eastAsia="黑体" w:cs="黑体"/>
          <w:color w:val="auto"/>
          <w:spacing w:val="4"/>
          <w:sz w:val="23"/>
          <w:szCs w:val="23"/>
          <w:highlight w:val="none"/>
        </w:rPr>
        <w:t>接收。</w:t>
      </w:r>
    </w:p>
    <w:p w14:paraId="47744234">
      <w:pPr>
        <w:keepNext w:val="0"/>
        <w:keepLines w:val="0"/>
        <w:pageBreakBefore w:val="0"/>
        <w:kinsoku/>
        <w:overflowPunct/>
        <w:autoSpaceDE w:val="0"/>
        <w:autoSpaceDN w:val="0"/>
        <w:bidi w:val="0"/>
        <w:spacing w:before="100" w:line="237" w:lineRule="auto"/>
        <w:ind w:left="3581"/>
        <w:outlineLvl w:val="1"/>
        <w:rPr>
          <w:rFonts w:hint="eastAsia" w:ascii="黑体" w:hAnsi="黑体" w:eastAsia="黑体" w:cs="黑体"/>
          <w:color w:val="auto"/>
          <w:sz w:val="23"/>
          <w:szCs w:val="23"/>
          <w:highlight w:val="none"/>
        </w:rPr>
      </w:pPr>
      <w:bookmarkStart w:id="46" w:name="_Toc15493"/>
      <w:r>
        <w:rPr>
          <w:rFonts w:hint="eastAsia" w:ascii="黑体" w:hAnsi="黑体" w:eastAsia="黑体" w:cs="黑体"/>
          <w:color w:val="auto"/>
          <w:spacing w:val="13"/>
          <w:sz w:val="23"/>
          <w:szCs w:val="23"/>
          <w:highlight w:val="none"/>
          <w14:textOutline w14:w="4358" w14:cap="sq" w14:cmpd="sng">
            <w14:solidFill>
              <w14:srgbClr w14:val="000000"/>
            </w14:solidFill>
            <w14:prstDash w14:val="solid"/>
            <w14:bevel/>
          </w14:textOutline>
        </w:rPr>
        <w:t>五</w:t>
      </w:r>
      <w:r>
        <w:rPr>
          <w:rFonts w:hint="eastAsia" w:ascii="黑体" w:hAnsi="黑体" w:eastAsia="黑体" w:cs="黑体"/>
          <w:color w:val="auto"/>
          <w:spacing w:val="8"/>
          <w:sz w:val="23"/>
          <w:szCs w:val="23"/>
          <w:highlight w:val="none"/>
          <w14:textOutline w14:w="4358" w14:cap="sq" w14:cmpd="sng">
            <w14:solidFill>
              <w14:srgbClr w14:val="000000"/>
            </w14:solidFill>
            <w14:prstDash w14:val="solid"/>
            <w14:bevel/>
          </w14:textOutline>
        </w:rPr>
        <w:t>、磋商与评审</w:t>
      </w:r>
      <w:bookmarkEnd w:id="46"/>
    </w:p>
    <w:p w14:paraId="0B94563F">
      <w:pPr>
        <w:keepNext w:val="0"/>
        <w:keepLines w:val="0"/>
        <w:pageBreakBefore w:val="0"/>
        <w:kinsoku/>
        <w:overflowPunct/>
        <w:autoSpaceDE w:val="0"/>
        <w:autoSpaceDN w:val="0"/>
        <w:bidi w:val="0"/>
        <w:spacing w:before="292" w:line="308" w:lineRule="exact"/>
        <w:ind w:left="503"/>
        <w:outlineLvl w:val="2"/>
        <w:rPr>
          <w:rFonts w:hint="eastAsia" w:ascii="黑体" w:hAnsi="黑体" w:eastAsia="黑体" w:cs="黑体"/>
          <w:color w:val="auto"/>
          <w:sz w:val="23"/>
          <w:szCs w:val="23"/>
          <w:highlight w:val="none"/>
        </w:rPr>
      </w:pPr>
      <w:bookmarkStart w:id="47" w:name="_Toc21158"/>
      <w:r>
        <w:rPr>
          <w:rFonts w:hint="eastAsia" w:ascii="黑体" w:hAnsi="黑体" w:eastAsia="黑体" w:cs="黑体"/>
          <w:color w:val="auto"/>
          <w:spacing w:val="6"/>
          <w:position w:val="1"/>
          <w:sz w:val="23"/>
          <w:szCs w:val="23"/>
          <w:highlight w:val="none"/>
        </w:rPr>
        <w:t>23.磋商小组</w:t>
      </w:r>
      <w:bookmarkEnd w:id="47"/>
    </w:p>
    <w:p w14:paraId="27B0D666">
      <w:pPr>
        <w:keepNext w:val="0"/>
        <w:keepLines w:val="0"/>
        <w:pageBreakBefore w:val="0"/>
        <w:kinsoku/>
        <w:overflowPunct/>
        <w:autoSpaceDE w:val="0"/>
        <w:autoSpaceDN w:val="0"/>
        <w:bidi w:val="0"/>
        <w:spacing w:before="159" w:line="376" w:lineRule="auto"/>
        <w:ind w:left="33" w:right="11" w:firstLine="470"/>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23.1磋商与评审由依法组建的磋商小组负责，磋商小组由采购人代表和</w:t>
      </w:r>
      <w:r>
        <w:rPr>
          <w:rFonts w:hint="eastAsia" w:ascii="黑体" w:hAnsi="黑体" w:eastAsia="黑体" w:cs="黑体"/>
          <w:color w:val="auto"/>
          <w:spacing w:val="3"/>
          <w:sz w:val="23"/>
          <w:szCs w:val="23"/>
          <w:highlight w:val="none"/>
        </w:rPr>
        <w:t>评</w:t>
      </w:r>
      <w:r>
        <w:rPr>
          <w:rFonts w:hint="eastAsia" w:ascii="黑体" w:hAnsi="黑体" w:eastAsia="黑体" w:cs="黑体"/>
          <w:color w:val="auto"/>
          <w:spacing w:val="-2"/>
          <w:sz w:val="23"/>
          <w:szCs w:val="23"/>
          <w:highlight w:val="none"/>
        </w:rPr>
        <w:t>审专</w:t>
      </w:r>
      <w:r>
        <w:rPr>
          <w:rFonts w:hint="eastAsia" w:ascii="黑体" w:hAnsi="黑体" w:eastAsia="黑体" w:cs="黑体"/>
          <w:color w:val="auto"/>
          <w:spacing w:val="-1"/>
          <w:sz w:val="23"/>
          <w:szCs w:val="23"/>
          <w:highlight w:val="none"/>
        </w:rPr>
        <w:t>家共3人以上单数组成。</w:t>
      </w:r>
    </w:p>
    <w:p w14:paraId="1ED5E39E">
      <w:pPr>
        <w:keepNext w:val="0"/>
        <w:keepLines w:val="0"/>
        <w:pageBreakBefore w:val="0"/>
        <w:kinsoku/>
        <w:overflowPunct/>
        <w:autoSpaceDE w:val="0"/>
        <w:autoSpaceDN w:val="0"/>
        <w:bidi w:val="0"/>
        <w:spacing w:line="310" w:lineRule="exact"/>
        <w:ind w:left="503"/>
        <w:outlineLvl w:val="2"/>
        <w:rPr>
          <w:rFonts w:hint="eastAsia" w:ascii="黑体" w:hAnsi="黑体" w:eastAsia="黑体" w:cs="黑体"/>
          <w:color w:val="auto"/>
          <w:sz w:val="23"/>
          <w:szCs w:val="23"/>
          <w:highlight w:val="none"/>
        </w:rPr>
      </w:pPr>
      <w:bookmarkStart w:id="48" w:name="_Toc14072"/>
      <w:r>
        <w:rPr>
          <w:rFonts w:hint="eastAsia" w:ascii="黑体" w:hAnsi="黑体" w:eastAsia="黑体" w:cs="黑体"/>
          <w:color w:val="auto"/>
          <w:spacing w:val="6"/>
          <w:position w:val="1"/>
          <w:sz w:val="23"/>
          <w:szCs w:val="23"/>
          <w:highlight w:val="none"/>
        </w:rPr>
        <w:t>24.初步审查</w:t>
      </w:r>
      <w:bookmarkEnd w:id="48"/>
    </w:p>
    <w:p w14:paraId="301C02BC">
      <w:pPr>
        <w:keepNext w:val="0"/>
        <w:keepLines w:val="0"/>
        <w:pageBreakBefore w:val="0"/>
        <w:kinsoku/>
        <w:overflowPunct/>
        <w:autoSpaceDE w:val="0"/>
        <w:autoSpaceDN w:val="0"/>
        <w:bidi w:val="0"/>
        <w:spacing w:before="156" w:line="376" w:lineRule="auto"/>
        <w:ind w:left="21" w:right="11" w:firstLine="48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★24</w:t>
      </w:r>
      <w:r>
        <w:rPr>
          <w:rFonts w:hint="eastAsia" w:ascii="黑体" w:hAnsi="黑体" w:eastAsia="黑体" w:cs="黑体"/>
          <w:color w:val="auto"/>
          <w:spacing w:val="9"/>
          <w:sz w:val="23"/>
          <w:szCs w:val="23"/>
          <w:highlight w:val="none"/>
        </w:rPr>
        <w:t>.1磋商小组应当对供应商提交的首次响应文件进行初步审查，包括响</w:t>
      </w:r>
      <w:r>
        <w:rPr>
          <w:rFonts w:hint="eastAsia" w:ascii="黑体" w:hAnsi="黑体" w:eastAsia="黑体" w:cs="黑体"/>
          <w:color w:val="auto"/>
          <w:spacing w:val="13"/>
          <w:sz w:val="23"/>
          <w:szCs w:val="23"/>
          <w:highlight w:val="none"/>
        </w:rPr>
        <w:t>应</w:t>
      </w:r>
      <w:r>
        <w:rPr>
          <w:rFonts w:hint="eastAsia" w:ascii="黑体" w:hAnsi="黑体" w:eastAsia="黑体" w:cs="黑体"/>
          <w:color w:val="auto"/>
          <w:spacing w:val="7"/>
          <w:sz w:val="23"/>
          <w:szCs w:val="23"/>
          <w:highlight w:val="none"/>
        </w:rPr>
        <w:t>文件的有效性、完整性、符合性。除可变动的技术、服务要求以及合同草案条</w:t>
      </w:r>
      <w:r>
        <w:rPr>
          <w:rFonts w:hint="eastAsia" w:ascii="黑体" w:hAnsi="黑体" w:eastAsia="黑体" w:cs="黑体"/>
          <w:color w:val="auto"/>
          <w:spacing w:val="13"/>
          <w:sz w:val="23"/>
          <w:szCs w:val="23"/>
          <w:highlight w:val="none"/>
        </w:rPr>
        <w:t>款</w:t>
      </w:r>
      <w:r>
        <w:rPr>
          <w:rFonts w:hint="eastAsia" w:ascii="黑体" w:hAnsi="黑体" w:eastAsia="黑体" w:cs="黑体"/>
          <w:color w:val="auto"/>
          <w:spacing w:val="7"/>
          <w:sz w:val="23"/>
          <w:szCs w:val="23"/>
          <w:highlight w:val="none"/>
        </w:rPr>
        <w:t>外，首次提交的响应文件有下列情况之一，其响应文件无效，磋商小组应当告</w:t>
      </w:r>
      <w:r>
        <w:rPr>
          <w:rFonts w:hint="eastAsia" w:ascii="黑体" w:hAnsi="黑体" w:eastAsia="黑体" w:cs="黑体"/>
          <w:color w:val="auto"/>
          <w:spacing w:val="8"/>
          <w:sz w:val="23"/>
          <w:szCs w:val="23"/>
          <w:highlight w:val="none"/>
        </w:rPr>
        <w:t>知</w:t>
      </w:r>
      <w:r>
        <w:rPr>
          <w:rFonts w:hint="eastAsia" w:ascii="黑体" w:hAnsi="黑体" w:eastAsia="黑体" w:cs="黑体"/>
          <w:color w:val="auto"/>
          <w:spacing w:val="7"/>
          <w:sz w:val="23"/>
          <w:szCs w:val="23"/>
          <w:highlight w:val="none"/>
        </w:rPr>
        <w:t>有关供应商。</w:t>
      </w:r>
    </w:p>
    <w:p w14:paraId="258D2DCA">
      <w:pPr>
        <w:keepNext w:val="0"/>
        <w:keepLines w:val="0"/>
        <w:pageBreakBefore w:val="0"/>
        <w:kinsoku/>
        <w:overflowPunct/>
        <w:autoSpaceDE w:val="0"/>
        <w:autoSpaceDN w:val="0"/>
        <w:bidi w:val="0"/>
        <w:spacing w:before="2" w:line="375" w:lineRule="auto"/>
        <w:ind w:left="20" w:right="11" w:firstLine="523"/>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(1)应交未交保证金或金额不足、保函有效期不足、保证金形式或保函出</w:t>
      </w:r>
      <w:r>
        <w:rPr>
          <w:rFonts w:hint="eastAsia" w:ascii="黑体" w:hAnsi="黑体" w:eastAsia="黑体" w:cs="黑体"/>
          <w:color w:val="auto"/>
          <w:spacing w:val="7"/>
          <w:sz w:val="23"/>
          <w:szCs w:val="23"/>
          <w:highlight w:val="none"/>
        </w:rPr>
        <w:t>证</w:t>
      </w:r>
      <w:r>
        <w:rPr>
          <w:rFonts w:hint="eastAsia" w:ascii="黑体" w:hAnsi="黑体" w:eastAsia="黑体" w:cs="黑体"/>
          <w:color w:val="auto"/>
          <w:spacing w:val="15"/>
          <w:sz w:val="23"/>
          <w:szCs w:val="23"/>
          <w:highlight w:val="none"/>
        </w:rPr>
        <w:t>机</w:t>
      </w:r>
      <w:r>
        <w:rPr>
          <w:rFonts w:hint="eastAsia" w:ascii="黑体" w:hAnsi="黑体" w:eastAsia="黑体" w:cs="黑体"/>
          <w:color w:val="auto"/>
          <w:spacing w:val="8"/>
          <w:sz w:val="23"/>
          <w:szCs w:val="23"/>
          <w:highlight w:val="none"/>
        </w:rPr>
        <w:t>构不符合磋商文件要求的；</w:t>
      </w:r>
    </w:p>
    <w:p w14:paraId="071E6B71">
      <w:pPr>
        <w:keepNext w:val="0"/>
        <w:keepLines w:val="0"/>
        <w:pageBreakBefore w:val="0"/>
        <w:kinsoku/>
        <w:overflowPunct/>
        <w:autoSpaceDE w:val="0"/>
        <w:autoSpaceDN w:val="0"/>
        <w:bidi w:val="0"/>
        <w:spacing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7"/>
          <w:sz w:val="23"/>
          <w:szCs w:val="23"/>
          <w:highlight w:val="none"/>
        </w:rPr>
        <w:t>(2)未按照磋商文件规定要求密封、签署、盖章的</w:t>
      </w:r>
      <w:r>
        <w:rPr>
          <w:rFonts w:hint="eastAsia" w:ascii="黑体" w:hAnsi="黑体" w:eastAsia="黑体" w:cs="黑体"/>
          <w:color w:val="auto"/>
          <w:spacing w:val="2"/>
          <w:sz w:val="23"/>
          <w:szCs w:val="23"/>
          <w:highlight w:val="none"/>
        </w:rPr>
        <w:t>；</w:t>
      </w:r>
    </w:p>
    <w:p w14:paraId="4591B08D">
      <w:pPr>
        <w:keepNext w:val="0"/>
        <w:keepLines w:val="0"/>
        <w:pageBreakBefore w:val="0"/>
        <w:kinsoku/>
        <w:overflowPunct/>
        <w:autoSpaceDE w:val="0"/>
        <w:autoSpaceDN w:val="0"/>
        <w:bidi w:val="0"/>
        <w:spacing w:before="185" w:line="228"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6"/>
          <w:sz w:val="23"/>
          <w:szCs w:val="23"/>
          <w:highlight w:val="none"/>
        </w:rPr>
        <w:t>(3</w:t>
      </w:r>
      <w:r>
        <w:rPr>
          <w:rFonts w:hint="eastAsia" w:ascii="黑体" w:hAnsi="黑体" w:eastAsia="黑体" w:cs="黑体"/>
          <w:color w:val="auto"/>
          <w:spacing w:val="4"/>
          <w:sz w:val="23"/>
          <w:szCs w:val="23"/>
          <w:highlight w:val="none"/>
        </w:rPr>
        <w:t>)</w:t>
      </w:r>
      <w:r>
        <w:rPr>
          <w:rFonts w:hint="eastAsia" w:ascii="黑体" w:hAnsi="黑体" w:eastAsia="黑体" w:cs="黑体"/>
          <w:color w:val="auto"/>
          <w:spacing w:val="3"/>
          <w:sz w:val="23"/>
          <w:szCs w:val="23"/>
          <w:highlight w:val="none"/>
        </w:rPr>
        <w:t>响应有效期不足的；</w:t>
      </w:r>
    </w:p>
    <w:p w14:paraId="30E71F75">
      <w:pPr>
        <w:keepNext w:val="0"/>
        <w:keepLines w:val="0"/>
        <w:pageBreakBefore w:val="0"/>
        <w:kinsoku/>
        <w:overflowPunct/>
        <w:autoSpaceDE w:val="0"/>
        <w:autoSpaceDN w:val="0"/>
        <w:bidi w:val="0"/>
        <w:spacing w:before="184" w:line="226"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w:t>
      </w:r>
      <w:r>
        <w:rPr>
          <w:rFonts w:hint="eastAsia" w:ascii="黑体" w:hAnsi="黑体" w:eastAsia="黑体" w:cs="黑体"/>
          <w:color w:val="auto"/>
          <w:spacing w:val="11"/>
          <w:sz w:val="23"/>
          <w:szCs w:val="23"/>
          <w:highlight w:val="none"/>
        </w:rPr>
        <w:t>4</w:t>
      </w:r>
      <w:r>
        <w:rPr>
          <w:rFonts w:hint="eastAsia" w:ascii="黑体" w:hAnsi="黑体" w:eastAsia="黑体" w:cs="黑体"/>
          <w:color w:val="auto"/>
          <w:spacing w:val="6"/>
          <w:sz w:val="23"/>
          <w:szCs w:val="23"/>
          <w:highlight w:val="none"/>
        </w:rPr>
        <w:t>)未按照磋商文件规定提供资格证明材料的；</w:t>
      </w:r>
    </w:p>
    <w:p w14:paraId="290A41E3">
      <w:pPr>
        <w:keepNext w:val="0"/>
        <w:keepLines w:val="0"/>
        <w:pageBreakBefore w:val="0"/>
        <w:kinsoku/>
        <w:overflowPunct/>
        <w:autoSpaceDE w:val="0"/>
        <w:autoSpaceDN w:val="0"/>
        <w:bidi w:val="0"/>
        <w:spacing w:before="185" w:line="312" w:lineRule="auto"/>
        <w:ind w:left="503" w:right="1522" w:firstLine="39"/>
        <w:rPr>
          <w:rFonts w:hint="eastAsia" w:ascii="黑体" w:hAnsi="黑体" w:eastAsia="黑体" w:cs="黑体"/>
          <w:color w:val="auto"/>
          <w:sz w:val="23"/>
          <w:szCs w:val="23"/>
          <w:highlight w:val="none"/>
        </w:rPr>
      </w:pPr>
      <w:r>
        <w:rPr>
          <w:rFonts w:hint="eastAsia" w:ascii="黑体" w:hAnsi="黑体" w:eastAsia="黑体" w:cs="黑体"/>
          <w:color w:val="auto"/>
          <w:spacing w:val="11"/>
          <w:sz w:val="23"/>
          <w:szCs w:val="23"/>
          <w:highlight w:val="none"/>
        </w:rPr>
        <w:t>(</w:t>
      </w:r>
      <w:r>
        <w:rPr>
          <w:rFonts w:hint="eastAsia" w:ascii="黑体" w:hAnsi="黑体" w:eastAsia="黑体" w:cs="黑体"/>
          <w:color w:val="auto"/>
          <w:spacing w:val="6"/>
          <w:sz w:val="23"/>
          <w:szCs w:val="23"/>
          <w:highlight w:val="none"/>
        </w:rPr>
        <w:t>5)其他不符合法律、规章、规范性文件和磋商文件规定的。2</w:t>
      </w:r>
      <w:r>
        <w:rPr>
          <w:rFonts w:hint="eastAsia" w:ascii="黑体" w:hAnsi="黑体" w:eastAsia="黑体" w:cs="黑体"/>
          <w:color w:val="auto"/>
          <w:spacing w:val="4"/>
          <w:sz w:val="23"/>
          <w:szCs w:val="23"/>
          <w:highlight w:val="none"/>
        </w:rPr>
        <w:t>5.澄清</w:t>
      </w:r>
    </w:p>
    <w:p w14:paraId="5FD38475">
      <w:pPr>
        <w:keepNext w:val="0"/>
        <w:keepLines w:val="0"/>
        <w:pageBreakBefore w:val="0"/>
        <w:kinsoku/>
        <w:overflowPunct/>
        <w:autoSpaceDE w:val="0"/>
        <w:autoSpaceDN w:val="0"/>
        <w:bidi w:val="0"/>
        <w:spacing w:before="160" w:line="227"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25</w:t>
      </w:r>
      <w:r>
        <w:rPr>
          <w:rFonts w:hint="eastAsia" w:ascii="黑体" w:hAnsi="黑体" w:eastAsia="黑体" w:cs="黑体"/>
          <w:color w:val="auto"/>
          <w:spacing w:val="10"/>
          <w:sz w:val="23"/>
          <w:szCs w:val="23"/>
          <w:highlight w:val="none"/>
        </w:rPr>
        <w:t>.</w:t>
      </w:r>
      <w:r>
        <w:rPr>
          <w:rFonts w:hint="eastAsia" w:ascii="黑体" w:hAnsi="黑体" w:eastAsia="黑体" w:cs="黑体"/>
          <w:color w:val="auto"/>
          <w:spacing w:val="9"/>
          <w:sz w:val="23"/>
          <w:szCs w:val="23"/>
          <w:highlight w:val="none"/>
        </w:rPr>
        <w:t>1磋商小组在对响应文件(包括首次响应文件、重新提交的响应文件)的</w:t>
      </w:r>
    </w:p>
    <w:p w14:paraId="4513976B">
      <w:pPr>
        <w:keepNext w:val="0"/>
        <w:keepLines w:val="0"/>
        <w:pageBreakBefore w:val="0"/>
        <w:kinsoku/>
        <w:overflowPunct/>
        <w:autoSpaceDE w:val="0"/>
        <w:autoSpaceDN w:val="0"/>
        <w:bidi w:val="0"/>
        <w:spacing w:before="187" w:line="381" w:lineRule="auto"/>
        <w:ind w:left="20" w:right="11" w:firstLine="1"/>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有</w:t>
      </w:r>
      <w:r>
        <w:rPr>
          <w:rFonts w:hint="eastAsia" w:ascii="黑体" w:hAnsi="黑体" w:eastAsia="黑体" w:cs="黑体"/>
          <w:color w:val="auto"/>
          <w:spacing w:val="7"/>
          <w:sz w:val="23"/>
          <w:szCs w:val="23"/>
          <w:highlight w:val="none"/>
        </w:rPr>
        <w:t>效性、完整性和对磋商文件的响应程度进行审查时，可以要求供应商对响应文</w:t>
      </w:r>
      <w:r>
        <w:rPr>
          <w:rFonts w:hint="eastAsia" w:ascii="黑体" w:hAnsi="黑体" w:eastAsia="黑体" w:cs="黑体"/>
          <w:color w:val="auto"/>
          <w:spacing w:val="14"/>
          <w:sz w:val="23"/>
          <w:szCs w:val="23"/>
          <w:highlight w:val="none"/>
        </w:rPr>
        <w:t>件</w:t>
      </w:r>
      <w:r>
        <w:rPr>
          <w:rFonts w:hint="eastAsia" w:ascii="黑体" w:hAnsi="黑体" w:eastAsia="黑体" w:cs="黑体"/>
          <w:color w:val="auto"/>
          <w:spacing w:val="7"/>
          <w:sz w:val="23"/>
          <w:szCs w:val="23"/>
          <w:highlight w:val="none"/>
        </w:rPr>
        <w:t>中含义不明确、同类问题表述不一致或者有明显文字和计算错误的内容等作出</w:t>
      </w:r>
      <w:r>
        <w:rPr>
          <w:rFonts w:hint="eastAsia" w:ascii="黑体" w:hAnsi="黑体" w:eastAsia="黑体" w:cs="黑体"/>
          <w:color w:val="auto"/>
          <w:spacing w:val="14"/>
          <w:sz w:val="23"/>
          <w:szCs w:val="23"/>
          <w:highlight w:val="none"/>
        </w:rPr>
        <w:t>必</w:t>
      </w:r>
      <w:r>
        <w:rPr>
          <w:rFonts w:hint="eastAsia" w:ascii="黑体" w:hAnsi="黑体" w:eastAsia="黑体" w:cs="黑体"/>
          <w:color w:val="auto"/>
          <w:spacing w:val="7"/>
          <w:sz w:val="23"/>
          <w:szCs w:val="23"/>
          <w:highlight w:val="none"/>
        </w:rPr>
        <w:t>要的澄清、说明或者更正。该要求应当以书面形式作出。供应商的澄清、说明</w:t>
      </w:r>
    </w:p>
    <w:p w14:paraId="553CF5F0">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4"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5D7866E5">
      <w:pPr>
        <w:keepNext w:val="0"/>
        <w:keepLines w:val="0"/>
        <w:pageBreakBefore w:val="0"/>
        <w:kinsoku/>
        <w:overflowPunct/>
        <w:autoSpaceDE w:val="0"/>
        <w:autoSpaceDN w:val="0"/>
        <w:bidi w:val="0"/>
        <w:spacing w:before="121" w:line="376" w:lineRule="auto"/>
        <w:ind w:left="21" w:right="30" w:firstLine="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或</w:t>
      </w:r>
      <w:r>
        <w:rPr>
          <w:rFonts w:hint="eastAsia" w:ascii="黑体" w:hAnsi="黑体" w:eastAsia="黑体" w:cs="黑体"/>
          <w:color w:val="auto"/>
          <w:spacing w:val="7"/>
          <w:sz w:val="23"/>
          <w:szCs w:val="23"/>
          <w:highlight w:val="none"/>
        </w:rPr>
        <w:t>者更正应当采用书面形式，由其法定代表人或其委托代理人签字，供应商的澄</w:t>
      </w:r>
      <w:r>
        <w:rPr>
          <w:rFonts w:hint="eastAsia" w:ascii="黑体" w:hAnsi="黑体" w:eastAsia="黑体" w:cs="黑体"/>
          <w:color w:val="auto"/>
          <w:spacing w:val="18"/>
          <w:sz w:val="23"/>
          <w:szCs w:val="23"/>
          <w:highlight w:val="none"/>
        </w:rPr>
        <w:t>清</w:t>
      </w:r>
      <w:r>
        <w:rPr>
          <w:rFonts w:hint="eastAsia" w:ascii="黑体" w:hAnsi="黑体" w:eastAsia="黑体" w:cs="黑体"/>
          <w:color w:val="auto"/>
          <w:spacing w:val="14"/>
          <w:sz w:val="23"/>
          <w:szCs w:val="23"/>
          <w:highlight w:val="none"/>
        </w:rPr>
        <w:t>、</w:t>
      </w:r>
      <w:r>
        <w:rPr>
          <w:rFonts w:hint="eastAsia" w:ascii="黑体" w:hAnsi="黑体" w:eastAsia="黑体" w:cs="黑体"/>
          <w:color w:val="auto"/>
          <w:spacing w:val="9"/>
          <w:sz w:val="23"/>
          <w:szCs w:val="23"/>
          <w:highlight w:val="none"/>
        </w:rPr>
        <w:t>说明或者更正不得超出磋商文件的范围或者改变响应文件的实质性内容。</w:t>
      </w:r>
    </w:p>
    <w:p w14:paraId="059A87E9">
      <w:pPr>
        <w:keepNext w:val="0"/>
        <w:keepLines w:val="0"/>
        <w:pageBreakBefore w:val="0"/>
        <w:kinsoku/>
        <w:overflowPunct/>
        <w:autoSpaceDE w:val="0"/>
        <w:autoSpaceDN w:val="0"/>
        <w:bidi w:val="0"/>
        <w:spacing w:line="308" w:lineRule="exact"/>
        <w:ind w:left="503"/>
        <w:outlineLvl w:val="2"/>
        <w:rPr>
          <w:rFonts w:hint="eastAsia" w:ascii="黑体" w:hAnsi="黑体" w:eastAsia="黑体" w:cs="黑体"/>
          <w:color w:val="auto"/>
          <w:sz w:val="23"/>
          <w:szCs w:val="23"/>
          <w:highlight w:val="none"/>
        </w:rPr>
      </w:pPr>
      <w:bookmarkStart w:id="49" w:name="_Toc24084"/>
      <w:r>
        <w:rPr>
          <w:rFonts w:hint="eastAsia" w:ascii="黑体" w:hAnsi="黑体" w:eastAsia="黑体" w:cs="黑体"/>
          <w:color w:val="auto"/>
          <w:spacing w:val="6"/>
          <w:position w:val="1"/>
          <w:sz w:val="23"/>
          <w:szCs w:val="23"/>
          <w:highlight w:val="none"/>
        </w:rPr>
        <w:t>2</w:t>
      </w:r>
      <w:r>
        <w:rPr>
          <w:rFonts w:hint="eastAsia" w:ascii="黑体" w:hAnsi="黑体" w:eastAsia="黑体" w:cs="黑体"/>
          <w:color w:val="auto"/>
          <w:spacing w:val="4"/>
          <w:position w:val="1"/>
          <w:sz w:val="23"/>
          <w:szCs w:val="23"/>
          <w:highlight w:val="none"/>
        </w:rPr>
        <w:t>6.磋商</w:t>
      </w:r>
      <w:bookmarkEnd w:id="49"/>
    </w:p>
    <w:p w14:paraId="76FE9A5F">
      <w:pPr>
        <w:keepNext w:val="0"/>
        <w:keepLines w:val="0"/>
        <w:pageBreakBefore w:val="0"/>
        <w:kinsoku/>
        <w:overflowPunct/>
        <w:autoSpaceDE w:val="0"/>
        <w:autoSpaceDN w:val="0"/>
        <w:bidi w:val="0"/>
        <w:spacing w:before="158" w:line="376" w:lineRule="auto"/>
        <w:ind w:left="22" w:right="30" w:firstLine="481"/>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26.1初审结束后，磋商小组所有成员集中与单一供应商分别进行磋商，</w:t>
      </w:r>
      <w:r>
        <w:rPr>
          <w:rFonts w:hint="eastAsia" w:ascii="黑体" w:hAnsi="黑体" w:eastAsia="黑体" w:cs="黑体"/>
          <w:color w:val="auto"/>
          <w:spacing w:val="3"/>
          <w:sz w:val="23"/>
          <w:szCs w:val="23"/>
          <w:highlight w:val="none"/>
        </w:rPr>
        <w:t>并</w:t>
      </w:r>
      <w:r>
        <w:rPr>
          <w:rFonts w:hint="eastAsia" w:ascii="黑体" w:hAnsi="黑体" w:eastAsia="黑体" w:cs="黑体"/>
          <w:color w:val="auto"/>
          <w:spacing w:val="12"/>
          <w:sz w:val="23"/>
          <w:szCs w:val="23"/>
          <w:highlight w:val="none"/>
        </w:rPr>
        <w:t>给</w:t>
      </w:r>
      <w:r>
        <w:rPr>
          <w:rFonts w:hint="eastAsia" w:ascii="黑体" w:hAnsi="黑体" w:eastAsia="黑体" w:cs="黑体"/>
          <w:color w:val="auto"/>
          <w:spacing w:val="7"/>
          <w:sz w:val="23"/>
          <w:szCs w:val="23"/>
          <w:highlight w:val="none"/>
        </w:rPr>
        <w:t>予所有参加磋商的供应商平等的磋商机会。供应商应派其法定代表人或委托代理人参加磋商。</w:t>
      </w:r>
    </w:p>
    <w:p w14:paraId="39F84B23">
      <w:pPr>
        <w:keepNext w:val="0"/>
        <w:keepLines w:val="0"/>
        <w:pageBreakBefore w:val="0"/>
        <w:kinsoku/>
        <w:overflowPunct/>
        <w:autoSpaceDE w:val="0"/>
        <w:autoSpaceDN w:val="0"/>
        <w:bidi w:val="0"/>
        <w:spacing w:before="2" w:line="375" w:lineRule="auto"/>
        <w:ind w:left="19" w:right="30" w:firstLine="484"/>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26.2在磋商过程中，磋商小组可以根据磋商文件和磋商情况实质性变动</w:t>
      </w:r>
      <w:r>
        <w:rPr>
          <w:rFonts w:hint="eastAsia" w:ascii="黑体" w:hAnsi="黑体" w:eastAsia="黑体" w:cs="黑体"/>
          <w:color w:val="auto"/>
          <w:spacing w:val="3"/>
          <w:sz w:val="23"/>
          <w:szCs w:val="23"/>
          <w:highlight w:val="none"/>
        </w:rPr>
        <w:t>采</w:t>
      </w:r>
      <w:r>
        <w:rPr>
          <w:rFonts w:hint="eastAsia" w:ascii="黑体" w:hAnsi="黑体" w:eastAsia="黑体" w:cs="黑体"/>
          <w:color w:val="auto"/>
          <w:spacing w:val="14"/>
          <w:sz w:val="23"/>
          <w:szCs w:val="23"/>
          <w:highlight w:val="none"/>
        </w:rPr>
        <w:t>购</w:t>
      </w:r>
      <w:r>
        <w:rPr>
          <w:rFonts w:hint="eastAsia" w:ascii="黑体" w:hAnsi="黑体" w:eastAsia="黑体" w:cs="黑体"/>
          <w:color w:val="auto"/>
          <w:spacing w:val="8"/>
          <w:sz w:val="23"/>
          <w:szCs w:val="23"/>
          <w:highlight w:val="none"/>
        </w:rPr>
        <w:t>需</w:t>
      </w:r>
      <w:r>
        <w:rPr>
          <w:rFonts w:hint="eastAsia" w:ascii="黑体" w:hAnsi="黑体" w:eastAsia="黑体" w:cs="黑体"/>
          <w:color w:val="auto"/>
          <w:spacing w:val="7"/>
          <w:sz w:val="23"/>
          <w:szCs w:val="23"/>
          <w:highlight w:val="none"/>
        </w:rPr>
        <w:t>求中的技术、服务要求以及合同草案条款，但不得变动磋商文件中的其他内</w:t>
      </w:r>
      <w:r>
        <w:rPr>
          <w:rFonts w:hint="eastAsia" w:ascii="黑体" w:hAnsi="黑体" w:eastAsia="黑体" w:cs="黑体"/>
          <w:color w:val="auto"/>
          <w:spacing w:val="12"/>
          <w:sz w:val="23"/>
          <w:szCs w:val="23"/>
          <w:highlight w:val="none"/>
        </w:rPr>
        <w:t>容</w:t>
      </w:r>
      <w:r>
        <w:rPr>
          <w:rFonts w:hint="eastAsia" w:ascii="黑体" w:hAnsi="黑体" w:eastAsia="黑体" w:cs="黑体"/>
          <w:color w:val="auto"/>
          <w:spacing w:val="9"/>
          <w:sz w:val="23"/>
          <w:szCs w:val="23"/>
          <w:highlight w:val="none"/>
        </w:rPr>
        <w:t>。实质性变动的内容，须经采购人代表确认。</w:t>
      </w:r>
    </w:p>
    <w:p w14:paraId="16C87EDC">
      <w:pPr>
        <w:keepNext w:val="0"/>
        <w:keepLines w:val="0"/>
        <w:pageBreakBefore w:val="0"/>
        <w:kinsoku/>
        <w:overflowPunct/>
        <w:autoSpaceDE w:val="0"/>
        <w:autoSpaceDN w:val="0"/>
        <w:bidi w:val="0"/>
        <w:spacing w:before="1" w:line="375" w:lineRule="auto"/>
        <w:ind w:left="32" w:right="30" w:firstLine="467"/>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对</w:t>
      </w:r>
      <w:r>
        <w:rPr>
          <w:rFonts w:hint="eastAsia" w:ascii="黑体" w:hAnsi="黑体" w:eastAsia="黑体" w:cs="黑体"/>
          <w:color w:val="auto"/>
          <w:spacing w:val="7"/>
          <w:sz w:val="23"/>
          <w:szCs w:val="23"/>
          <w:highlight w:val="none"/>
        </w:rPr>
        <w:t>磋商文件作出的实质性变动是磋商文件的有效组成部分，磋商小组应当及</w:t>
      </w:r>
      <w:r>
        <w:rPr>
          <w:rFonts w:hint="eastAsia" w:ascii="黑体" w:hAnsi="黑体" w:eastAsia="黑体" w:cs="黑体"/>
          <w:color w:val="auto"/>
          <w:spacing w:val="16"/>
          <w:sz w:val="23"/>
          <w:szCs w:val="23"/>
          <w:highlight w:val="none"/>
        </w:rPr>
        <w:t>时</w:t>
      </w:r>
      <w:r>
        <w:rPr>
          <w:rFonts w:hint="eastAsia" w:ascii="黑体" w:hAnsi="黑体" w:eastAsia="黑体" w:cs="黑体"/>
          <w:color w:val="auto"/>
          <w:spacing w:val="11"/>
          <w:sz w:val="23"/>
          <w:szCs w:val="23"/>
          <w:highlight w:val="none"/>
        </w:rPr>
        <w:t>以</w:t>
      </w:r>
      <w:r>
        <w:rPr>
          <w:rFonts w:hint="eastAsia" w:ascii="黑体" w:hAnsi="黑体" w:eastAsia="黑体" w:cs="黑体"/>
          <w:color w:val="auto"/>
          <w:spacing w:val="8"/>
          <w:sz w:val="23"/>
          <w:szCs w:val="23"/>
          <w:highlight w:val="none"/>
        </w:rPr>
        <w:t>书面形式同时通知所有参加磋商的供应商。</w:t>
      </w:r>
    </w:p>
    <w:p w14:paraId="2211AE2A">
      <w:pPr>
        <w:keepNext w:val="0"/>
        <w:keepLines w:val="0"/>
        <w:pageBreakBefore w:val="0"/>
        <w:kinsoku/>
        <w:overflowPunct/>
        <w:autoSpaceDE w:val="0"/>
        <w:autoSpaceDN w:val="0"/>
        <w:bidi w:val="0"/>
        <w:spacing w:before="3" w:line="375" w:lineRule="auto"/>
        <w:ind w:left="26" w:firstLine="474"/>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供应商应当按照磋商文件的变动情况和磋商小组的要求重新提交响应文件</w:t>
      </w:r>
      <w:r>
        <w:rPr>
          <w:rFonts w:hint="eastAsia" w:ascii="黑体" w:hAnsi="黑体" w:eastAsia="黑体" w:cs="黑体"/>
          <w:color w:val="auto"/>
          <w:spacing w:val="6"/>
          <w:sz w:val="23"/>
          <w:szCs w:val="23"/>
          <w:highlight w:val="none"/>
        </w:rPr>
        <w:t>，</w:t>
      </w:r>
      <w:r>
        <w:rPr>
          <w:rFonts w:hint="eastAsia" w:ascii="黑体" w:hAnsi="黑体" w:eastAsia="黑体" w:cs="黑体"/>
          <w:color w:val="auto"/>
          <w:spacing w:val="8"/>
          <w:sz w:val="23"/>
          <w:szCs w:val="23"/>
          <w:highlight w:val="none"/>
        </w:rPr>
        <w:t>并</w:t>
      </w:r>
      <w:r>
        <w:rPr>
          <w:rFonts w:hint="eastAsia" w:ascii="黑体" w:hAnsi="黑体" w:eastAsia="黑体" w:cs="黑体"/>
          <w:color w:val="auto"/>
          <w:spacing w:val="7"/>
          <w:sz w:val="23"/>
          <w:szCs w:val="23"/>
          <w:highlight w:val="none"/>
        </w:rPr>
        <w:t>由其法定代表人或授权代表签字或者加盖公章。由授权代表签字的，应当附法</w:t>
      </w:r>
      <w:r>
        <w:rPr>
          <w:rFonts w:hint="eastAsia" w:ascii="黑体" w:hAnsi="黑体" w:eastAsia="黑体" w:cs="黑体"/>
          <w:color w:val="auto"/>
          <w:spacing w:val="14"/>
          <w:sz w:val="23"/>
          <w:szCs w:val="23"/>
          <w:highlight w:val="none"/>
        </w:rPr>
        <w:t>定</w:t>
      </w:r>
      <w:r>
        <w:rPr>
          <w:rFonts w:hint="eastAsia" w:ascii="黑体" w:hAnsi="黑体" w:eastAsia="黑体" w:cs="黑体"/>
          <w:color w:val="auto"/>
          <w:spacing w:val="9"/>
          <w:sz w:val="23"/>
          <w:szCs w:val="23"/>
          <w:highlight w:val="none"/>
        </w:rPr>
        <w:t>代表人授权书。供应商为自然人的，应当由本人签字并附身份证明。</w:t>
      </w:r>
    </w:p>
    <w:p w14:paraId="39D7CD03">
      <w:pPr>
        <w:keepNext w:val="0"/>
        <w:keepLines w:val="0"/>
        <w:pageBreakBefore w:val="0"/>
        <w:kinsoku/>
        <w:overflowPunct/>
        <w:autoSpaceDE w:val="0"/>
        <w:autoSpaceDN w:val="0"/>
        <w:bidi w:val="0"/>
        <w:spacing w:before="1" w:line="375" w:lineRule="auto"/>
        <w:ind w:left="40" w:right="30" w:firstLine="46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26.3磋商小组应当根据实际情况与供应商进行价格磋商，并确定价格磋</w:t>
      </w:r>
      <w:r>
        <w:rPr>
          <w:rFonts w:hint="eastAsia" w:ascii="黑体" w:hAnsi="黑体" w:eastAsia="黑体" w:cs="黑体"/>
          <w:color w:val="auto"/>
          <w:spacing w:val="3"/>
          <w:sz w:val="23"/>
          <w:szCs w:val="23"/>
          <w:highlight w:val="none"/>
        </w:rPr>
        <w:t>商</w:t>
      </w:r>
      <w:r>
        <w:rPr>
          <w:rFonts w:hint="eastAsia" w:ascii="黑体" w:hAnsi="黑体" w:eastAsia="黑体" w:cs="黑体"/>
          <w:color w:val="auto"/>
          <w:sz w:val="23"/>
          <w:szCs w:val="23"/>
          <w:highlight w:val="none"/>
        </w:rPr>
        <w:t>的轮次。</w:t>
      </w:r>
    </w:p>
    <w:p w14:paraId="5911B70E">
      <w:pPr>
        <w:keepNext w:val="0"/>
        <w:keepLines w:val="0"/>
        <w:pageBreakBefore w:val="0"/>
        <w:kinsoku/>
        <w:overflowPunct/>
        <w:autoSpaceDE w:val="0"/>
        <w:autoSpaceDN w:val="0"/>
        <w:bidi w:val="0"/>
        <w:spacing w:before="2" w:line="375" w:lineRule="auto"/>
        <w:ind w:left="22" w:right="30" w:firstLine="481"/>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26.4已提交响应文件的供应商，在提交最后报价之前，可以根据磋商情</w:t>
      </w:r>
      <w:r>
        <w:rPr>
          <w:rFonts w:hint="eastAsia" w:ascii="黑体" w:hAnsi="黑体" w:eastAsia="黑体" w:cs="黑体"/>
          <w:color w:val="auto"/>
          <w:spacing w:val="3"/>
          <w:sz w:val="23"/>
          <w:szCs w:val="23"/>
          <w:highlight w:val="none"/>
        </w:rPr>
        <w:t>况</w:t>
      </w:r>
      <w:r>
        <w:rPr>
          <w:rFonts w:hint="eastAsia" w:ascii="黑体" w:hAnsi="黑体" w:eastAsia="黑体" w:cs="黑体"/>
          <w:color w:val="auto"/>
          <w:spacing w:val="18"/>
          <w:sz w:val="23"/>
          <w:szCs w:val="23"/>
          <w:highlight w:val="none"/>
        </w:rPr>
        <w:t>退</w:t>
      </w:r>
      <w:r>
        <w:rPr>
          <w:rFonts w:hint="eastAsia" w:ascii="黑体" w:hAnsi="黑体" w:eastAsia="黑体" w:cs="黑体"/>
          <w:color w:val="auto"/>
          <w:spacing w:val="13"/>
          <w:sz w:val="23"/>
          <w:szCs w:val="23"/>
          <w:highlight w:val="none"/>
        </w:rPr>
        <w:t>出</w:t>
      </w:r>
      <w:r>
        <w:rPr>
          <w:rFonts w:hint="eastAsia" w:ascii="黑体" w:hAnsi="黑体" w:eastAsia="黑体" w:cs="黑体"/>
          <w:color w:val="auto"/>
          <w:spacing w:val="9"/>
          <w:sz w:val="23"/>
          <w:szCs w:val="23"/>
          <w:highlight w:val="none"/>
        </w:rPr>
        <w:t>磋商。采购人、采购代理机构应当退还退出磋商的供应商的磋商保证金。</w:t>
      </w:r>
    </w:p>
    <w:p w14:paraId="0C6778A9">
      <w:pPr>
        <w:keepNext w:val="0"/>
        <w:keepLines w:val="0"/>
        <w:pageBreakBefore w:val="0"/>
        <w:kinsoku/>
        <w:overflowPunct/>
        <w:autoSpaceDE w:val="0"/>
        <w:autoSpaceDN w:val="0"/>
        <w:bidi w:val="0"/>
        <w:spacing w:before="2" w:line="375" w:lineRule="auto"/>
        <w:ind w:left="23" w:right="30" w:firstLine="480"/>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★2</w:t>
      </w:r>
      <w:r>
        <w:rPr>
          <w:rFonts w:hint="eastAsia" w:ascii="黑体" w:hAnsi="黑体" w:eastAsia="黑体" w:cs="黑体"/>
          <w:color w:val="auto"/>
          <w:spacing w:val="16"/>
          <w:sz w:val="23"/>
          <w:szCs w:val="23"/>
          <w:highlight w:val="none"/>
        </w:rPr>
        <w:t>6</w:t>
      </w:r>
      <w:r>
        <w:rPr>
          <w:rFonts w:hint="eastAsia" w:ascii="黑体" w:hAnsi="黑体" w:eastAsia="黑体" w:cs="黑体"/>
          <w:color w:val="auto"/>
          <w:spacing w:val="9"/>
          <w:sz w:val="23"/>
          <w:szCs w:val="23"/>
          <w:highlight w:val="none"/>
        </w:rPr>
        <w:t>.5磋商结束后，供应商按照磋商小组要求重新提交的响应文件，不满</w:t>
      </w:r>
      <w:r>
        <w:rPr>
          <w:rFonts w:hint="eastAsia" w:ascii="黑体" w:hAnsi="黑体" w:eastAsia="黑体" w:cs="黑体"/>
          <w:color w:val="auto"/>
          <w:spacing w:val="10"/>
          <w:sz w:val="23"/>
          <w:szCs w:val="23"/>
          <w:highlight w:val="none"/>
        </w:rPr>
        <w:t>足</w:t>
      </w:r>
      <w:r>
        <w:rPr>
          <w:rFonts w:hint="eastAsia" w:ascii="黑体" w:hAnsi="黑体" w:eastAsia="黑体" w:cs="黑体"/>
          <w:color w:val="auto"/>
          <w:spacing w:val="7"/>
          <w:sz w:val="23"/>
          <w:szCs w:val="23"/>
          <w:highlight w:val="none"/>
        </w:rPr>
        <w:t>磋商文件及变动后的技术、服务要求以及合同草案条款的实质性要求的，将视</w:t>
      </w:r>
      <w:r>
        <w:rPr>
          <w:rFonts w:hint="eastAsia" w:ascii="黑体" w:hAnsi="黑体" w:eastAsia="黑体" w:cs="黑体"/>
          <w:color w:val="auto"/>
          <w:spacing w:val="8"/>
          <w:sz w:val="23"/>
          <w:szCs w:val="23"/>
          <w:highlight w:val="none"/>
        </w:rPr>
        <w:t>为</w:t>
      </w:r>
      <w:r>
        <w:rPr>
          <w:rFonts w:hint="eastAsia" w:ascii="黑体" w:hAnsi="黑体" w:eastAsia="黑体" w:cs="黑体"/>
          <w:color w:val="auto"/>
          <w:spacing w:val="7"/>
          <w:sz w:val="23"/>
          <w:szCs w:val="23"/>
          <w:highlight w:val="none"/>
        </w:rPr>
        <w:t>无效响应文件。</w:t>
      </w:r>
    </w:p>
    <w:p w14:paraId="1C950D57">
      <w:pPr>
        <w:keepNext w:val="0"/>
        <w:keepLines w:val="0"/>
        <w:pageBreakBefore w:val="0"/>
        <w:kinsoku/>
        <w:overflowPunct/>
        <w:autoSpaceDE w:val="0"/>
        <w:autoSpaceDN w:val="0"/>
        <w:bidi w:val="0"/>
        <w:spacing w:line="309" w:lineRule="exact"/>
        <w:ind w:left="503"/>
        <w:outlineLvl w:val="2"/>
        <w:rPr>
          <w:rFonts w:hint="eastAsia" w:ascii="黑体" w:hAnsi="黑体" w:eastAsia="黑体" w:cs="黑体"/>
          <w:color w:val="auto"/>
          <w:sz w:val="23"/>
          <w:szCs w:val="23"/>
          <w:highlight w:val="none"/>
        </w:rPr>
      </w:pPr>
      <w:bookmarkStart w:id="50" w:name="_Toc21494"/>
      <w:r>
        <w:rPr>
          <w:rFonts w:hint="eastAsia" w:ascii="黑体" w:hAnsi="黑体" w:eastAsia="黑体" w:cs="黑体"/>
          <w:color w:val="auto"/>
          <w:spacing w:val="6"/>
          <w:position w:val="1"/>
          <w:sz w:val="23"/>
          <w:szCs w:val="23"/>
          <w:highlight w:val="none"/>
        </w:rPr>
        <w:t>2</w:t>
      </w:r>
      <w:r>
        <w:rPr>
          <w:rFonts w:hint="eastAsia" w:ascii="黑体" w:hAnsi="黑体" w:eastAsia="黑体" w:cs="黑体"/>
          <w:color w:val="auto"/>
          <w:spacing w:val="4"/>
          <w:position w:val="1"/>
          <w:sz w:val="23"/>
          <w:szCs w:val="23"/>
          <w:highlight w:val="none"/>
        </w:rPr>
        <w:t>7.报价</w:t>
      </w:r>
      <w:bookmarkEnd w:id="50"/>
    </w:p>
    <w:p w14:paraId="64BB6BF9">
      <w:pPr>
        <w:keepNext w:val="0"/>
        <w:keepLines w:val="0"/>
        <w:pageBreakBefore w:val="0"/>
        <w:kinsoku/>
        <w:overflowPunct/>
        <w:autoSpaceDE w:val="0"/>
        <w:autoSpaceDN w:val="0"/>
        <w:bidi w:val="0"/>
        <w:spacing w:before="158" w:line="376" w:lineRule="auto"/>
        <w:ind w:left="50" w:right="32" w:firstLine="45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27</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1磋商结束后，磋商小组应当要求所有实质性响应的供应商在规定时间</w:t>
      </w:r>
      <w:r>
        <w:rPr>
          <w:rFonts w:hint="eastAsia" w:ascii="黑体" w:hAnsi="黑体" w:eastAsia="黑体" w:cs="黑体"/>
          <w:color w:val="auto"/>
          <w:spacing w:val="4"/>
          <w:sz w:val="23"/>
          <w:szCs w:val="23"/>
          <w:highlight w:val="none"/>
        </w:rPr>
        <w:t>内提交最后报价</w:t>
      </w:r>
      <w:r>
        <w:rPr>
          <w:rFonts w:hint="eastAsia" w:ascii="黑体" w:hAnsi="黑体" w:eastAsia="黑体" w:cs="黑体"/>
          <w:color w:val="auto"/>
          <w:spacing w:val="3"/>
          <w:sz w:val="23"/>
          <w:szCs w:val="23"/>
          <w:highlight w:val="none"/>
        </w:rPr>
        <w:t>。</w:t>
      </w:r>
    </w:p>
    <w:p w14:paraId="4154F5EB">
      <w:pPr>
        <w:keepNext w:val="0"/>
        <w:keepLines w:val="0"/>
        <w:pageBreakBefore w:val="0"/>
        <w:kinsoku/>
        <w:overflowPunct/>
        <w:autoSpaceDE w:val="0"/>
        <w:autoSpaceDN w:val="0"/>
        <w:bidi w:val="0"/>
        <w:spacing w:before="3" w:line="375" w:lineRule="auto"/>
        <w:ind w:left="20" w:right="30" w:firstLine="48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27.2最后报价是供应商响应文件的有效组成部分。符合《政府采购竞争</w:t>
      </w:r>
      <w:r>
        <w:rPr>
          <w:rFonts w:hint="eastAsia" w:ascii="黑体" w:hAnsi="黑体" w:eastAsia="黑体" w:cs="黑体"/>
          <w:color w:val="auto"/>
          <w:spacing w:val="3"/>
          <w:sz w:val="23"/>
          <w:szCs w:val="23"/>
          <w:highlight w:val="none"/>
        </w:rPr>
        <w:t>性</w:t>
      </w:r>
      <w:r>
        <w:rPr>
          <w:rFonts w:hint="eastAsia" w:ascii="黑体" w:hAnsi="黑体" w:eastAsia="黑体" w:cs="黑体"/>
          <w:color w:val="auto"/>
          <w:spacing w:val="14"/>
          <w:sz w:val="23"/>
          <w:szCs w:val="23"/>
          <w:highlight w:val="none"/>
        </w:rPr>
        <w:t>磋</w:t>
      </w:r>
      <w:r>
        <w:rPr>
          <w:rFonts w:hint="eastAsia" w:ascii="黑体" w:hAnsi="黑体" w:eastAsia="黑体" w:cs="黑体"/>
          <w:color w:val="auto"/>
          <w:spacing w:val="7"/>
          <w:sz w:val="23"/>
          <w:szCs w:val="23"/>
          <w:highlight w:val="none"/>
        </w:rPr>
        <w:t>商采购方式管理暂行办法》第三条第四项情形的，提交最后报价的供应商可以</w:t>
      </w:r>
      <w:r>
        <w:rPr>
          <w:rFonts w:hint="eastAsia" w:ascii="黑体" w:hAnsi="黑体" w:eastAsia="黑体" w:cs="黑体"/>
          <w:color w:val="auto"/>
          <w:spacing w:val="-19"/>
          <w:sz w:val="23"/>
          <w:szCs w:val="23"/>
          <w:highlight w:val="none"/>
        </w:rPr>
        <w:t>为</w:t>
      </w:r>
      <w:r>
        <w:rPr>
          <w:rFonts w:hint="eastAsia" w:ascii="黑体" w:hAnsi="黑体" w:eastAsia="黑体" w:cs="黑体"/>
          <w:color w:val="auto"/>
          <w:spacing w:val="-15"/>
          <w:sz w:val="23"/>
          <w:szCs w:val="23"/>
          <w:highlight w:val="none"/>
        </w:rPr>
        <w:t>2家。</w:t>
      </w:r>
    </w:p>
    <w:p w14:paraId="7BF7C7C2">
      <w:pPr>
        <w:keepNext w:val="0"/>
        <w:keepLines w:val="0"/>
        <w:pageBreakBefore w:val="0"/>
        <w:kinsoku/>
        <w:overflowPunct/>
        <w:autoSpaceDE w:val="0"/>
        <w:autoSpaceDN w:val="0"/>
        <w:bidi w:val="0"/>
        <w:spacing w:line="308" w:lineRule="exact"/>
        <w:ind w:left="503"/>
        <w:outlineLvl w:val="2"/>
        <w:rPr>
          <w:rFonts w:hint="eastAsia" w:ascii="黑体" w:hAnsi="黑体" w:eastAsia="黑体" w:cs="黑体"/>
          <w:color w:val="auto"/>
          <w:sz w:val="23"/>
          <w:szCs w:val="23"/>
          <w:highlight w:val="none"/>
        </w:rPr>
      </w:pPr>
      <w:bookmarkStart w:id="51" w:name="_Toc14940"/>
      <w:r>
        <w:rPr>
          <w:rFonts w:hint="eastAsia" w:ascii="黑体" w:hAnsi="黑体" w:eastAsia="黑体" w:cs="黑体"/>
          <w:color w:val="auto"/>
          <w:spacing w:val="6"/>
          <w:position w:val="1"/>
          <w:sz w:val="23"/>
          <w:szCs w:val="23"/>
          <w:highlight w:val="none"/>
        </w:rPr>
        <w:t>2</w:t>
      </w:r>
      <w:r>
        <w:rPr>
          <w:rFonts w:hint="eastAsia" w:ascii="黑体" w:hAnsi="黑体" w:eastAsia="黑体" w:cs="黑体"/>
          <w:color w:val="auto"/>
          <w:spacing w:val="4"/>
          <w:position w:val="1"/>
          <w:sz w:val="23"/>
          <w:szCs w:val="23"/>
          <w:highlight w:val="none"/>
        </w:rPr>
        <w:t>8.评审</w:t>
      </w:r>
      <w:bookmarkEnd w:id="51"/>
    </w:p>
    <w:p w14:paraId="0A5FE3C4">
      <w:pPr>
        <w:keepNext w:val="0"/>
        <w:keepLines w:val="0"/>
        <w:pageBreakBefore w:val="0"/>
        <w:kinsoku/>
        <w:overflowPunct/>
        <w:autoSpaceDE w:val="0"/>
        <w:autoSpaceDN w:val="0"/>
        <w:bidi w:val="0"/>
        <w:spacing w:before="160" w:line="226" w:lineRule="auto"/>
        <w:ind w:left="503"/>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2</w:t>
      </w:r>
      <w:r>
        <w:rPr>
          <w:rFonts w:hint="eastAsia" w:ascii="黑体" w:hAnsi="黑体" w:eastAsia="黑体" w:cs="黑体"/>
          <w:color w:val="auto"/>
          <w:spacing w:val="10"/>
          <w:sz w:val="23"/>
          <w:szCs w:val="23"/>
          <w:highlight w:val="none"/>
        </w:rPr>
        <w:t>8</w:t>
      </w:r>
      <w:r>
        <w:rPr>
          <w:rFonts w:hint="eastAsia" w:ascii="黑体" w:hAnsi="黑体" w:eastAsia="黑体" w:cs="黑体"/>
          <w:color w:val="auto"/>
          <w:spacing w:val="6"/>
          <w:sz w:val="23"/>
          <w:szCs w:val="23"/>
          <w:highlight w:val="none"/>
        </w:rPr>
        <w:t>.1经磋商确定最终采购需求和提交最后报价的供应商后，由磋商小组采</w:t>
      </w:r>
    </w:p>
    <w:p w14:paraId="71C1080B">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5"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583E4911">
      <w:pPr>
        <w:keepNext w:val="0"/>
        <w:keepLines w:val="0"/>
        <w:pageBreakBefore w:val="0"/>
        <w:kinsoku/>
        <w:overflowPunct/>
        <w:autoSpaceDE w:val="0"/>
        <w:autoSpaceDN w:val="0"/>
        <w:bidi w:val="0"/>
        <w:spacing w:before="122" w:line="226" w:lineRule="auto"/>
        <w:ind w:left="2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用</w:t>
      </w:r>
      <w:r>
        <w:rPr>
          <w:rFonts w:hint="eastAsia" w:ascii="黑体" w:hAnsi="黑体" w:eastAsia="黑体" w:cs="黑体"/>
          <w:color w:val="auto"/>
          <w:spacing w:val="12"/>
          <w:sz w:val="23"/>
          <w:szCs w:val="23"/>
          <w:highlight w:val="none"/>
        </w:rPr>
        <w:t>综</w:t>
      </w:r>
      <w:r>
        <w:rPr>
          <w:rFonts w:hint="eastAsia" w:ascii="黑体" w:hAnsi="黑体" w:eastAsia="黑体" w:cs="黑体"/>
          <w:color w:val="auto"/>
          <w:spacing w:val="9"/>
          <w:sz w:val="23"/>
          <w:szCs w:val="23"/>
          <w:highlight w:val="none"/>
        </w:rPr>
        <w:t>合评分法对提交最后报价的供应商的响应文件和最后报价进行综合评分。</w:t>
      </w:r>
    </w:p>
    <w:p w14:paraId="020EBBA7">
      <w:pPr>
        <w:keepNext w:val="0"/>
        <w:keepLines w:val="0"/>
        <w:pageBreakBefore w:val="0"/>
        <w:kinsoku/>
        <w:overflowPunct/>
        <w:autoSpaceDE w:val="0"/>
        <w:autoSpaceDN w:val="0"/>
        <w:bidi w:val="0"/>
        <w:spacing w:before="185" w:line="376" w:lineRule="auto"/>
        <w:ind w:left="22" w:right="61" w:firstLine="481"/>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28.2评审办法及标准见第三章。评审时，磋商小组各成员应当独立对每</w:t>
      </w:r>
      <w:r>
        <w:rPr>
          <w:rFonts w:hint="eastAsia" w:ascii="黑体" w:hAnsi="黑体" w:eastAsia="黑体" w:cs="黑体"/>
          <w:color w:val="auto"/>
          <w:spacing w:val="3"/>
          <w:sz w:val="23"/>
          <w:szCs w:val="23"/>
          <w:highlight w:val="none"/>
        </w:rPr>
        <w:t>个</w:t>
      </w:r>
      <w:r>
        <w:rPr>
          <w:rFonts w:hint="eastAsia" w:ascii="黑体" w:hAnsi="黑体" w:eastAsia="黑体" w:cs="黑体"/>
          <w:color w:val="auto"/>
          <w:spacing w:val="18"/>
          <w:sz w:val="23"/>
          <w:szCs w:val="23"/>
          <w:highlight w:val="none"/>
        </w:rPr>
        <w:t>有</w:t>
      </w:r>
      <w:r>
        <w:rPr>
          <w:rFonts w:hint="eastAsia" w:ascii="黑体" w:hAnsi="黑体" w:eastAsia="黑体" w:cs="黑体"/>
          <w:color w:val="auto"/>
          <w:spacing w:val="13"/>
          <w:sz w:val="23"/>
          <w:szCs w:val="23"/>
          <w:highlight w:val="none"/>
        </w:rPr>
        <w:t>效</w:t>
      </w:r>
      <w:r>
        <w:rPr>
          <w:rFonts w:hint="eastAsia" w:ascii="黑体" w:hAnsi="黑体" w:eastAsia="黑体" w:cs="黑体"/>
          <w:color w:val="auto"/>
          <w:spacing w:val="9"/>
          <w:sz w:val="23"/>
          <w:szCs w:val="23"/>
          <w:highlight w:val="none"/>
        </w:rPr>
        <w:t>响应的文件进行评价、打分，然后汇总每个供应商每项评分因素的得分。</w:t>
      </w:r>
    </w:p>
    <w:p w14:paraId="5B22819D">
      <w:pPr>
        <w:keepNext w:val="0"/>
        <w:keepLines w:val="0"/>
        <w:pageBreakBefore w:val="0"/>
        <w:kinsoku/>
        <w:overflowPunct/>
        <w:autoSpaceDE w:val="0"/>
        <w:autoSpaceDN w:val="0"/>
        <w:bidi w:val="0"/>
        <w:spacing w:before="3" w:line="375" w:lineRule="auto"/>
        <w:ind w:left="21" w:right="61" w:firstLine="48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28.3最后报价计算错误修正的原则：最后报价的大写金额和小写金额不</w:t>
      </w:r>
      <w:r>
        <w:rPr>
          <w:rFonts w:hint="eastAsia" w:ascii="黑体" w:hAnsi="黑体" w:eastAsia="黑体" w:cs="黑体"/>
          <w:color w:val="auto"/>
          <w:spacing w:val="3"/>
          <w:sz w:val="23"/>
          <w:szCs w:val="23"/>
          <w:highlight w:val="none"/>
        </w:rPr>
        <w:t>一</w:t>
      </w:r>
      <w:r>
        <w:rPr>
          <w:rFonts w:hint="eastAsia" w:ascii="黑体" w:hAnsi="黑体" w:eastAsia="黑体" w:cs="黑体"/>
          <w:color w:val="auto"/>
          <w:spacing w:val="13"/>
          <w:sz w:val="23"/>
          <w:szCs w:val="23"/>
          <w:highlight w:val="none"/>
        </w:rPr>
        <w:t>致</w:t>
      </w:r>
      <w:r>
        <w:rPr>
          <w:rFonts w:hint="eastAsia" w:ascii="黑体" w:hAnsi="黑体" w:eastAsia="黑体" w:cs="黑体"/>
          <w:color w:val="auto"/>
          <w:spacing w:val="7"/>
          <w:sz w:val="23"/>
          <w:szCs w:val="23"/>
          <w:highlight w:val="none"/>
        </w:rPr>
        <w:t>的，以大写金额为准；总价金额与按分项报价汇总金额不一致的，以分项报价</w:t>
      </w:r>
      <w:r>
        <w:rPr>
          <w:rFonts w:hint="eastAsia" w:ascii="黑体" w:hAnsi="黑体" w:eastAsia="黑体" w:cs="黑体"/>
          <w:color w:val="auto"/>
          <w:spacing w:val="13"/>
          <w:sz w:val="23"/>
          <w:szCs w:val="23"/>
          <w:highlight w:val="none"/>
        </w:rPr>
        <w:t>金</w:t>
      </w:r>
      <w:r>
        <w:rPr>
          <w:rFonts w:hint="eastAsia" w:ascii="黑体" w:hAnsi="黑体" w:eastAsia="黑体" w:cs="黑体"/>
          <w:color w:val="auto"/>
          <w:spacing w:val="7"/>
          <w:sz w:val="23"/>
          <w:szCs w:val="23"/>
          <w:highlight w:val="none"/>
        </w:rPr>
        <w:t>额计算结果为准；分项报价金额小数点有明显错位的，应以总价为准，并修改</w:t>
      </w:r>
      <w:r>
        <w:rPr>
          <w:rFonts w:hint="eastAsia" w:ascii="黑体" w:hAnsi="黑体" w:eastAsia="黑体" w:cs="黑体"/>
          <w:color w:val="auto"/>
          <w:spacing w:val="6"/>
          <w:sz w:val="23"/>
          <w:szCs w:val="23"/>
          <w:highlight w:val="none"/>
        </w:rPr>
        <w:t>分项报价。</w:t>
      </w:r>
    </w:p>
    <w:p w14:paraId="567FFCC4">
      <w:pPr>
        <w:keepNext w:val="0"/>
        <w:keepLines w:val="0"/>
        <w:pageBreakBefore w:val="0"/>
        <w:kinsoku/>
        <w:overflowPunct/>
        <w:autoSpaceDE w:val="0"/>
        <w:autoSpaceDN w:val="0"/>
        <w:bidi w:val="0"/>
        <w:spacing w:line="308" w:lineRule="exact"/>
        <w:ind w:left="503"/>
        <w:outlineLvl w:val="2"/>
        <w:rPr>
          <w:rFonts w:hint="eastAsia" w:ascii="黑体" w:hAnsi="黑体" w:eastAsia="黑体" w:cs="黑体"/>
          <w:color w:val="auto"/>
          <w:sz w:val="23"/>
          <w:szCs w:val="23"/>
          <w:highlight w:val="none"/>
        </w:rPr>
      </w:pPr>
      <w:bookmarkStart w:id="52" w:name="_Toc20984"/>
      <w:r>
        <w:rPr>
          <w:rFonts w:hint="eastAsia" w:ascii="黑体" w:hAnsi="黑体" w:eastAsia="黑体" w:cs="黑体"/>
          <w:color w:val="auto"/>
          <w:spacing w:val="9"/>
          <w:position w:val="1"/>
          <w:sz w:val="23"/>
          <w:szCs w:val="23"/>
          <w:highlight w:val="none"/>
        </w:rPr>
        <w:t>2</w:t>
      </w:r>
      <w:r>
        <w:rPr>
          <w:rFonts w:hint="eastAsia" w:ascii="黑体" w:hAnsi="黑体" w:eastAsia="黑体" w:cs="黑体"/>
          <w:color w:val="auto"/>
          <w:spacing w:val="7"/>
          <w:position w:val="1"/>
          <w:sz w:val="23"/>
          <w:szCs w:val="23"/>
          <w:highlight w:val="none"/>
        </w:rPr>
        <w:t>9.提出成交供应商</w:t>
      </w:r>
      <w:bookmarkEnd w:id="52"/>
    </w:p>
    <w:p w14:paraId="08763E25">
      <w:pPr>
        <w:keepNext w:val="0"/>
        <w:keepLines w:val="0"/>
        <w:pageBreakBefore w:val="0"/>
        <w:kinsoku/>
        <w:overflowPunct/>
        <w:autoSpaceDE w:val="0"/>
        <w:autoSpaceDN w:val="0"/>
        <w:bidi w:val="0"/>
        <w:spacing w:before="158" w:line="376" w:lineRule="auto"/>
        <w:ind w:left="26" w:firstLine="477"/>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29.1磋</w:t>
      </w:r>
      <w:r>
        <w:rPr>
          <w:rFonts w:hint="eastAsia" w:ascii="黑体" w:hAnsi="黑体" w:eastAsia="黑体" w:cs="黑体"/>
          <w:color w:val="auto"/>
          <w:spacing w:val="7"/>
          <w:sz w:val="23"/>
          <w:szCs w:val="23"/>
          <w:highlight w:val="none"/>
        </w:rPr>
        <w:t>商</w:t>
      </w:r>
      <w:r>
        <w:rPr>
          <w:rFonts w:hint="eastAsia" w:ascii="黑体" w:hAnsi="黑体" w:eastAsia="黑体" w:cs="黑体"/>
          <w:color w:val="auto"/>
          <w:spacing w:val="4"/>
          <w:sz w:val="23"/>
          <w:szCs w:val="23"/>
          <w:highlight w:val="none"/>
        </w:rPr>
        <w:t>小组应当按照综合评分由高到低的顺序提出3名以上成交候选人，</w:t>
      </w:r>
      <w:r>
        <w:rPr>
          <w:rFonts w:hint="eastAsia" w:ascii="黑体" w:hAnsi="黑体" w:eastAsia="黑体" w:cs="黑体"/>
          <w:color w:val="auto"/>
          <w:spacing w:val="7"/>
          <w:sz w:val="23"/>
          <w:szCs w:val="23"/>
          <w:highlight w:val="none"/>
        </w:rPr>
        <w:t>并编写评审报告</w:t>
      </w:r>
      <w:r>
        <w:rPr>
          <w:rFonts w:hint="eastAsia" w:ascii="黑体" w:hAnsi="黑体" w:eastAsia="黑体" w:cs="黑体"/>
          <w:color w:val="auto"/>
          <w:spacing w:val="5"/>
          <w:sz w:val="23"/>
          <w:szCs w:val="23"/>
          <w:highlight w:val="none"/>
        </w:rPr>
        <w:t>。</w:t>
      </w:r>
    </w:p>
    <w:p w14:paraId="099179A8">
      <w:pPr>
        <w:keepNext w:val="0"/>
        <w:keepLines w:val="0"/>
        <w:pageBreakBefore w:val="0"/>
        <w:kinsoku/>
        <w:overflowPunct/>
        <w:autoSpaceDE w:val="0"/>
        <w:autoSpaceDN w:val="0"/>
        <w:bidi w:val="0"/>
        <w:spacing w:before="2" w:line="375" w:lineRule="auto"/>
        <w:ind w:left="21" w:right="61" w:firstLine="482"/>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29.2采购人授权磋商小组确定成交供应商的，磋商小组在评审报告中予</w:t>
      </w:r>
      <w:r>
        <w:rPr>
          <w:rFonts w:hint="eastAsia" w:ascii="黑体" w:hAnsi="黑体" w:eastAsia="黑体" w:cs="黑体"/>
          <w:color w:val="auto"/>
          <w:spacing w:val="3"/>
          <w:sz w:val="23"/>
          <w:szCs w:val="23"/>
          <w:highlight w:val="none"/>
        </w:rPr>
        <w:t>以</w:t>
      </w:r>
      <w:r>
        <w:rPr>
          <w:rFonts w:hint="eastAsia" w:ascii="黑体" w:hAnsi="黑体" w:eastAsia="黑体" w:cs="黑体"/>
          <w:color w:val="auto"/>
          <w:spacing w:val="4"/>
          <w:sz w:val="23"/>
          <w:szCs w:val="23"/>
          <w:highlight w:val="none"/>
        </w:rPr>
        <w:t>确</w:t>
      </w:r>
      <w:r>
        <w:rPr>
          <w:rFonts w:hint="eastAsia" w:ascii="黑体" w:hAnsi="黑体" w:eastAsia="黑体" w:cs="黑体"/>
          <w:color w:val="auto"/>
          <w:spacing w:val="3"/>
          <w:sz w:val="23"/>
          <w:szCs w:val="23"/>
          <w:highlight w:val="none"/>
        </w:rPr>
        <w:t>定。</w:t>
      </w:r>
    </w:p>
    <w:p w14:paraId="1097B4CD">
      <w:pPr>
        <w:keepNext w:val="0"/>
        <w:keepLines w:val="0"/>
        <w:pageBreakBefore w:val="0"/>
        <w:kinsoku/>
        <w:overflowPunct/>
        <w:autoSpaceDE w:val="0"/>
        <w:autoSpaceDN w:val="0"/>
        <w:bidi w:val="0"/>
        <w:spacing w:line="308" w:lineRule="exact"/>
        <w:ind w:left="505"/>
        <w:outlineLvl w:val="2"/>
        <w:rPr>
          <w:rFonts w:hint="eastAsia" w:ascii="黑体" w:hAnsi="黑体" w:eastAsia="黑体" w:cs="黑体"/>
          <w:color w:val="auto"/>
          <w:sz w:val="23"/>
          <w:szCs w:val="23"/>
          <w:highlight w:val="none"/>
        </w:rPr>
      </w:pPr>
      <w:bookmarkStart w:id="53" w:name="_Toc495"/>
      <w:r>
        <w:rPr>
          <w:rFonts w:hint="eastAsia" w:ascii="黑体" w:hAnsi="黑体" w:eastAsia="黑体" w:cs="黑体"/>
          <w:color w:val="auto"/>
          <w:spacing w:val="6"/>
          <w:position w:val="1"/>
          <w:sz w:val="23"/>
          <w:szCs w:val="23"/>
          <w:highlight w:val="none"/>
        </w:rPr>
        <w:t>30.磋商终</w:t>
      </w:r>
      <w:r>
        <w:rPr>
          <w:rFonts w:hint="eastAsia" w:ascii="黑体" w:hAnsi="黑体" w:eastAsia="黑体" w:cs="黑体"/>
          <w:color w:val="auto"/>
          <w:spacing w:val="4"/>
          <w:position w:val="1"/>
          <w:sz w:val="23"/>
          <w:szCs w:val="23"/>
          <w:highlight w:val="none"/>
        </w:rPr>
        <w:t>止</w:t>
      </w:r>
      <w:bookmarkEnd w:id="53"/>
    </w:p>
    <w:p w14:paraId="10E3BA56">
      <w:pPr>
        <w:keepNext w:val="0"/>
        <w:keepLines w:val="0"/>
        <w:pageBreakBefore w:val="0"/>
        <w:kinsoku/>
        <w:overflowPunct/>
        <w:autoSpaceDE w:val="0"/>
        <w:autoSpaceDN w:val="0"/>
        <w:bidi w:val="0"/>
        <w:spacing w:before="159" w:line="376" w:lineRule="auto"/>
        <w:ind w:left="20" w:right="61" w:firstLine="48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30</w:t>
      </w:r>
      <w:r>
        <w:rPr>
          <w:rFonts w:hint="eastAsia" w:ascii="黑体" w:hAnsi="黑体" w:eastAsia="黑体" w:cs="黑体"/>
          <w:color w:val="auto"/>
          <w:spacing w:val="15"/>
          <w:sz w:val="23"/>
          <w:szCs w:val="23"/>
          <w:highlight w:val="none"/>
        </w:rPr>
        <w:t>.</w:t>
      </w:r>
      <w:r>
        <w:rPr>
          <w:rFonts w:hint="eastAsia" w:ascii="黑体" w:hAnsi="黑体" w:eastAsia="黑体" w:cs="黑体"/>
          <w:color w:val="auto"/>
          <w:spacing w:val="9"/>
          <w:sz w:val="23"/>
          <w:szCs w:val="23"/>
          <w:highlight w:val="none"/>
        </w:rPr>
        <w:t>1出现下列情形之一的，采购人或者采购代理机构应当终止竞争性磋商</w:t>
      </w:r>
      <w:r>
        <w:rPr>
          <w:rFonts w:hint="eastAsia" w:ascii="黑体" w:hAnsi="黑体" w:eastAsia="黑体" w:cs="黑体"/>
          <w:color w:val="auto"/>
          <w:spacing w:val="14"/>
          <w:sz w:val="23"/>
          <w:szCs w:val="23"/>
          <w:highlight w:val="none"/>
        </w:rPr>
        <w:t>采</w:t>
      </w:r>
      <w:r>
        <w:rPr>
          <w:rFonts w:hint="eastAsia" w:ascii="黑体" w:hAnsi="黑体" w:eastAsia="黑体" w:cs="黑体"/>
          <w:color w:val="auto"/>
          <w:spacing w:val="7"/>
          <w:sz w:val="23"/>
          <w:szCs w:val="23"/>
          <w:highlight w:val="none"/>
        </w:rPr>
        <w:t>购活动，在财政部指定的媒体上发布项目终止公告并说明原因，重新开展采购</w:t>
      </w:r>
      <w:r>
        <w:rPr>
          <w:rFonts w:hint="eastAsia" w:ascii="黑体" w:hAnsi="黑体" w:eastAsia="黑体" w:cs="黑体"/>
          <w:color w:val="auto"/>
          <w:spacing w:val="4"/>
          <w:sz w:val="23"/>
          <w:szCs w:val="23"/>
          <w:highlight w:val="none"/>
        </w:rPr>
        <w:t>活动</w:t>
      </w:r>
      <w:r>
        <w:rPr>
          <w:rFonts w:hint="eastAsia" w:ascii="黑体" w:hAnsi="黑体" w:eastAsia="黑体" w:cs="黑体"/>
          <w:color w:val="auto"/>
          <w:spacing w:val="3"/>
          <w:sz w:val="23"/>
          <w:szCs w:val="23"/>
          <w:highlight w:val="none"/>
        </w:rPr>
        <w:t>：</w:t>
      </w:r>
    </w:p>
    <w:p w14:paraId="542CE84A">
      <w:pPr>
        <w:keepNext w:val="0"/>
        <w:keepLines w:val="0"/>
        <w:pageBreakBefore w:val="0"/>
        <w:kinsoku/>
        <w:overflowPunct/>
        <w:autoSpaceDE w:val="0"/>
        <w:autoSpaceDN w:val="0"/>
        <w:bidi w:val="0"/>
        <w:spacing w:line="228"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4"/>
          <w:sz w:val="23"/>
          <w:szCs w:val="23"/>
          <w:highlight w:val="none"/>
        </w:rPr>
        <w:t>(1</w:t>
      </w:r>
      <w:r>
        <w:rPr>
          <w:rFonts w:hint="eastAsia" w:ascii="黑体" w:hAnsi="黑体" w:eastAsia="黑体" w:cs="黑体"/>
          <w:color w:val="auto"/>
          <w:spacing w:val="9"/>
          <w:sz w:val="23"/>
          <w:szCs w:val="23"/>
          <w:highlight w:val="none"/>
        </w:rPr>
        <w:t>)</w:t>
      </w:r>
      <w:r>
        <w:rPr>
          <w:rFonts w:hint="eastAsia" w:ascii="黑体" w:hAnsi="黑体" w:eastAsia="黑体" w:cs="黑体"/>
          <w:color w:val="auto"/>
          <w:spacing w:val="7"/>
          <w:sz w:val="23"/>
          <w:szCs w:val="23"/>
          <w:highlight w:val="none"/>
        </w:rPr>
        <w:t>因情况变化，不再符合规定的竞争性磋商采购方式适用情形的；</w:t>
      </w:r>
    </w:p>
    <w:p w14:paraId="5421DE8E">
      <w:pPr>
        <w:keepNext w:val="0"/>
        <w:keepLines w:val="0"/>
        <w:pageBreakBefore w:val="0"/>
        <w:kinsoku/>
        <w:overflowPunct/>
        <w:autoSpaceDE w:val="0"/>
        <w:autoSpaceDN w:val="0"/>
        <w:bidi w:val="0"/>
        <w:spacing w:before="183"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w:t>
      </w:r>
      <w:r>
        <w:rPr>
          <w:rFonts w:hint="eastAsia" w:ascii="黑体" w:hAnsi="黑体" w:eastAsia="黑体" w:cs="黑体"/>
          <w:color w:val="auto"/>
          <w:spacing w:val="7"/>
          <w:sz w:val="23"/>
          <w:szCs w:val="23"/>
          <w:highlight w:val="none"/>
        </w:rPr>
        <w:t>2</w:t>
      </w:r>
      <w:r>
        <w:rPr>
          <w:rFonts w:hint="eastAsia" w:ascii="黑体" w:hAnsi="黑体" w:eastAsia="黑体" w:cs="黑体"/>
          <w:color w:val="auto"/>
          <w:spacing w:val="6"/>
          <w:sz w:val="23"/>
          <w:szCs w:val="23"/>
          <w:highlight w:val="none"/>
        </w:rPr>
        <w:t>)出现影响采购公正的违法、违规行为的；</w:t>
      </w:r>
    </w:p>
    <w:p w14:paraId="7E565D2C">
      <w:pPr>
        <w:keepNext w:val="0"/>
        <w:keepLines w:val="0"/>
        <w:pageBreakBefore w:val="0"/>
        <w:kinsoku/>
        <w:overflowPunct/>
        <w:autoSpaceDE w:val="0"/>
        <w:autoSpaceDN w:val="0"/>
        <w:bidi w:val="0"/>
        <w:spacing w:before="186" w:line="228"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w:t>
      </w:r>
      <w:r>
        <w:rPr>
          <w:rFonts w:hint="eastAsia" w:ascii="黑体" w:hAnsi="黑体" w:eastAsia="黑体" w:cs="黑体"/>
          <w:color w:val="auto"/>
          <w:spacing w:val="8"/>
          <w:sz w:val="23"/>
          <w:szCs w:val="23"/>
          <w:highlight w:val="none"/>
        </w:rPr>
        <w:t>3</w:t>
      </w:r>
      <w:r>
        <w:rPr>
          <w:rFonts w:hint="eastAsia" w:ascii="黑体" w:hAnsi="黑体" w:eastAsia="黑体" w:cs="黑体"/>
          <w:color w:val="auto"/>
          <w:spacing w:val="5"/>
          <w:sz w:val="23"/>
          <w:szCs w:val="23"/>
          <w:highlight w:val="none"/>
        </w:rPr>
        <w:t>)因重大变故，采购任务取消的。</w:t>
      </w:r>
    </w:p>
    <w:p w14:paraId="4CCC4B50">
      <w:pPr>
        <w:keepNext w:val="0"/>
        <w:keepLines w:val="0"/>
        <w:pageBreakBefore w:val="0"/>
        <w:kinsoku/>
        <w:overflowPunct/>
        <w:autoSpaceDE w:val="0"/>
        <w:autoSpaceDN w:val="0"/>
        <w:bidi w:val="0"/>
        <w:spacing w:before="184" w:line="308" w:lineRule="exact"/>
        <w:ind w:left="505"/>
        <w:outlineLvl w:val="2"/>
        <w:rPr>
          <w:rFonts w:hint="eastAsia" w:ascii="黑体" w:hAnsi="黑体" w:eastAsia="黑体" w:cs="黑体"/>
          <w:color w:val="auto"/>
          <w:sz w:val="23"/>
          <w:szCs w:val="23"/>
          <w:highlight w:val="none"/>
        </w:rPr>
      </w:pPr>
      <w:bookmarkStart w:id="54" w:name="_Toc18454"/>
      <w:r>
        <w:rPr>
          <w:rFonts w:hint="eastAsia" w:ascii="黑体" w:hAnsi="黑体" w:eastAsia="黑体" w:cs="黑体"/>
          <w:color w:val="auto"/>
          <w:spacing w:val="6"/>
          <w:position w:val="1"/>
          <w:sz w:val="23"/>
          <w:szCs w:val="23"/>
          <w:highlight w:val="none"/>
        </w:rPr>
        <w:t>31.重新评</w:t>
      </w:r>
      <w:r>
        <w:rPr>
          <w:rFonts w:hint="eastAsia" w:ascii="黑体" w:hAnsi="黑体" w:eastAsia="黑体" w:cs="黑体"/>
          <w:color w:val="auto"/>
          <w:spacing w:val="4"/>
          <w:position w:val="1"/>
          <w:sz w:val="23"/>
          <w:szCs w:val="23"/>
          <w:highlight w:val="none"/>
        </w:rPr>
        <w:t>审</w:t>
      </w:r>
      <w:bookmarkEnd w:id="54"/>
    </w:p>
    <w:p w14:paraId="05092CE9">
      <w:pPr>
        <w:keepNext w:val="0"/>
        <w:keepLines w:val="0"/>
        <w:pageBreakBefore w:val="0"/>
        <w:kinsoku/>
        <w:overflowPunct/>
        <w:autoSpaceDE w:val="0"/>
        <w:autoSpaceDN w:val="0"/>
        <w:bidi w:val="0"/>
        <w:spacing w:before="158" w:line="376" w:lineRule="auto"/>
        <w:ind w:left="22" w:right="61" w:firstLine="482"/>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31</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1除资格性检查认定错误、分值汇总计算错误、分项评分超出评分标准</w:t>
      </w:r>
      <w:r>
        <w:rPr>
          <w:rFonts w:hint="eastAsia" w:ascii="黑体" w:hAnsi="黑体" w:eastAsia="黑体" w:cs="黑体"/>
          <w:color w:val="auto"/>
          <w:spacing w:val="11"/>
          <w:sz w:val="23"/>
          <w:szCs w:val="23"/>
          <w:highlight w:val="none"/>
        </w:rPr>
        <w:t>范</w:t>
      </w:r>
      <w:r>
        <w:rPr>
          <w:rFonts w:hint="eastAsia" w:ascii="黑体" w:hAnsi="黑体" w:eastAsia="黑体" w:cs="黑体"/>
          <w:color w:val="auto"/>
          <w:spacing w:val="7"/>
          <w:sz w:val="23"/>
          <w:szCs w:val="23"/>
          <w:highlight w:val="none"/>
        </w:rPr>
        <w:t>围、客观分评分不一致、经磋商小组一致认定评分畸高、畸低的情形外，采购</w:t>
      </w:r>
      <w:r>
        <w:rPr>
          <w:rFonts w:hint="eastAsia" w:ascii="黑体" w:hAnsi="黑体" w:eastAsia="黑体" w:cs="黑体"/>
          <w:color w:val="auto"/>
          <w:spacing w:val="10"/>
          <w:sz w:val="23"/>
          <w:szCs w:val="23"/>
          <w:highlight w:val="none"/>
        </w:rPr>
        <w:t>人</w:t>
      </w:r>
      <w:r>
        <w:rPr>
          <w:rFonts w:hint="eastAsia" w:ascii="黑体" w:hAnsi="黑体" w:eastAsia="黑体" w:cs="黑体"/>
          <w:color w:val="auto"/>
          <w:spacing w:val="9"/>
          <w:sz w:val="23"/>
          <w:szCs w:val="23"/>
          <w:highlight w:val="none"/>
        </w:rPr>
        <w:t>或者采购代理机构不得以任何理由组织重新评审。</w:t>
      </w:r>
    </w:p>
    <w:p w14:paraId="3C05F77B">
      <w:pPr>
        <w:keepNext w:val="0"/>
        <w:keepLines w:val="0"/>
        <w:pageBreakBefore w:val="0"/>
        <w:kinsoku/>
        <w:overflowPunct/>
        <w:autoSpaceDE w:val="0"/>
        <w:autoSpaceDN w:val="0"/>
        <w:bidi w:val="0"/>
        <w:spacing w:line="309" w:lineRule="exact"/>
        <w:ind w:left="505"/>
        <w:outlineLvl w:val="2"/>
        <w:rPr>
          <w:rFonts w:hint="eastAsia" w:ascii="黑体" w:hAnsi="黑体" w:eastAsia="黑体" w:cs="黑体"/>
          <w:color w:val="auto"/>
          <w:sz w:val="23"/>
          <w:szCs w:val="23"/>
          <w:highlight w:val="none"/>
        </w:rPr>
      </w:pPr>
      <w:bookmarkStart w:id="55" w:name="_Toc1069"/>
      <w:r>
        <w:rPr>
          <w:rFonts w:hint="eastAsia" w:ascii="黑体" w:hAnsi="黑体" w:eastAsia="黑体" w:cs="黑体"/>
          <w:color w:val="auto"/>
          <w:spacing w:val="7"/>
          <w:position w:val="1"/>
          <w:sz w:val="23"/>
          <w:szCs w:val="23"/>
          <w:highlight w:val="none"/>
        </w:rPr>
        <w:t>32.保密及串通行为</w:t>
      </w:r>
      <w:bookmarkEnd w:id="55"/>
    </w:p>
    <w:p w14:paraId="455CC963">
      <w:pPr>
        <w:keepNext w:val="0"/>
        <w:keepLines w:val="0"/>
        <w:pageBreakBefore w:val="0"/>
        <w:kinsoku/>
        <w:overflowPunct/>
        <w:autoSpaceDE w:val="0"/>
        <w:autoSpaceDN w:val="0"/>
        <w:bidi w:val="0"/>
        <w:spacing w:before="159" w:line="376" w:lineRule="auto"/>
        <w:ind w:left="22" w:right="61" w:firstLine="48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32</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1磋商小组成员以及与评审工作有关的人员不得泄露评审情况以及评审</w:t>
      </w:r>
      <w:r>
        <w:rPr>
          <w:rFonts w:hint="eastAsia" w:ascii="黑体" w:hAnsi="黑体" w:eastAsia="黑体" w:cs="黑体"/>
          <w:color w:val="auto"/>
          <w:spacing w:val="16"/>
          <w:sz w:val="23"/>
          <w:szCs w:val="23"/>
          <w:highlight w:val="none"/>
        </w:rPr>
        <w:t>过</w:t>
      </w:r>
      <w:r>
        <w:rPr>
          <w:rFonts w:hint="eastAsia" w:ascii="黑体" w:hAnsi="黑体" w:eastAsia="黑体" w:cs="黑体"/>
          <w:color w:val="auto"/>
          <w:spacing w:val="11"/>
          <w:sz w:val="23"/>
          <w:szCs w:val="23"/>
          <w:highlight w:val="none"/>
        </w:rPr>
        <w:t>程</w:t>
      </w:r>
      <w:r>
        <w:rPr>
          <w:rFonts w:hint="eastAsia" w:ascii="黑体" w:hAnsi="黑体" w:eastAsia="黑体" w:cs="黑体"/>
          <w:color w:val="auto"/>
          <w:spacing w:val="8"/>
          <w:sz w:val="23"/>
          <w:szCs w:val="23"/>
          <w:highlight w:val="none"/>
        </w:rPr>
        <w:t>中获悉的国家秘密、商业秘密。</w:t>
      </w:r>
    </w:p>
    <w:p w14:paraId="7AB4D1B8">
      <w:pPr>
        <w:keepNext w:val="0"/>
        <w:keepLines w:val="0"/>
        <w:pageBreakBefore w:val="0"/>
        <w:kinsoku/>
        <w:overflowPunct/>
        <w:autoSpaceDE w:val="0"/>
        <w:autoSpaceDN w:val="0"/>
        <w:bidi w:val="0"/>
        <w:spacing w:before="3" w:line="380" w:lineRule="auto"/>
        <w:ind w:left="20" w:right="61" w:firstLine="48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32</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2供应商不得与采购人、采购代理机构、其他供应商恶意串通；不得向</w:t>
      </w:r>
      <w:r>
        <w:rPr>
          <w:rFonts w:hint="eastAsia" w:ascii="黑体" w:hAnsi="黑体" w:eastAsia="黑体" w:cs="黑体"/>
          <w:color w:val="auto"/>
          <w:spacing w:val="14"/>
          <w:sz w:val="23"/>
          <w:szCs w:val="23"/>
          <w:highlight w:val="none"/>
        </w:rPr>
        <w:t>采</w:t>
      </w:r>
      <w:r>
        <w:rPr>
          <w:rFonts w:hint="eastAsia" w:ascii="黑体" w:hAnsi="黑体" w:eastAsia="黑体" w:cs="黑体"/>
          <w:color w:val="auto"/>
          <w:spacing w:val="7"/>
          <w:sz w:val="23"/>
          <w:szCs w:val="23"/>
          <w:highlight w:val="none"/>
        </w:rPr>
        <w:t>购人、采购代理机构或者磋商小组成员行贿或者提供其他不正当利益；不得提</w:t>
      </w:r>
      <w:r>
        <w:rPr>
          <w:rFonts w:hint="eastAsia" w:ascii="黑体" w:hAnsi="黑体" w:eastAsia="黑体" w:cs="黑体"/>
          <w:color w:val="auto"/>
          <w:spacing w:val="17"/>
          <w:sz w:val="23"/>
          <w:szCs w:val="23"/>
          <w:highlight w:val="none"/>
        </w:rPr>
        <w:t>供</w:t>
      </w:r>
      <w:r>
        <w:rPr>
          <w:rFonts w:hint="eastAsia" w:ascii="黑体" w:hAnsi="黑体" w:eastAsia="黑体" w:cs="黑体"/>
          <w:color w:val="auto"/>
          <w:spacing w:val="9"/>
          <w:sz w:val="23"/>
          <w:szCs w:val="23"/>
          <w:highlight w:val="none"/>
        </w:rPr>
        <w:t>虚假材料谋取成交；不得以任何方式干扰、影响采购工作。</w:t>
      </w:r>
    </w:p>
    <w:p w14:paraId="7CD7F00D">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6"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39BC7711">
      <w:pPr>
        <w:keepNext w:val="0"/>
        <w:keepLines w:val="0"/>
        <w:pageBreakBefore w:val="0"/>
        <w:kinsoku/>
        <w:overflowPunct/>
        <w:autoSpaceDE w:val="0"/>
        <w:autoSpaceDN w:val="0"/>
        <w:bidi w:val="0"/>
        <w:spacing w:before="122" w:line="232" w:lineRule="auto"/>
        <w:ind w:left="2619"/>
        <w:outlineLvl w:val="1"/>
        <w:rPr>
          <w:rFonts w:hint="eastAsia" w:ascii="黑体" w:hAnsi="黑体" w:eastAsia="黑体" w:cs="黑体"/>
          <w:color w:val="auto"/>
          <w:sz w:val="23"/>
          <w:szCs w:val="23"/>
          <w:highlight w:val="none"/>
        </w:rPr>
      </w:pPr>
      <w:bookmarkStart w:id="56" w:name="_Toc12854"/>
      <w:r>
        <w:rPr>
          <w:rFonts w:hint="eastAsia" w:ascii="黑体" w:hAnsi="黑体" w:eastAsia="黑体" w:cs="黑体"/>
          <w:color w:val="auto"/>
          <w:spacing w:val="10"/>
          <w:sz w:val="23"/>
          <w:szCs w:val="23"/>
          <w:highlight w:val="none"/>
          <w14:textOutline w14:w="4358" w14:cap="sq" w14:cmpd="sng">
            <w14:solidFill>
              <w14:srgbClr w14:val="000000"/>
            </w14:solidFill>
            <w14:prstDash w14:val="solid"/>
            <w14:bevel/>
          </w14:textOutline>
        </w:rPr>
        <w:t>六、成交结果信息公布与授予合同</w:t>
      </w:r>
      <w:bookmarkEnd w:id="56"/>
    </w:p>
    <w:p w14:paraId="357EE11B">
      <w:pPr>
        <w:keepNext w:val="0"/>
        <w:keepLines w:val="0"/>
        <w:pageBreakBefore w:val="0"/>
        <w:kinsoku/>
        <w:overflowPunct/>
        <w:autoSpaceDE w:val="0"/>
        <w:autoSpaceDN w:val="0"/>
        <w:bidi w:val="0"/>
        <w:spacing w:before="299" w:line="308" w:lineRule="exact"/>
        <w:ind w:left="505"/>
        <w:outlineLvl w:val="2"/>
        <w:rPr>
          <w:rFonts w:hint="eastAsia" w:ascii="黑体" w:hAnsi="黑体" w:eastAsia="黑体" w:cs="黑体"/>
          <w:color w:val="auto"/>
          <w:sz w:val="23"/>
          <w:szCs w:val="23"/>
          <w:highlight w:val="none"/>
        </w:rPr>
      </w:pPr>
      <w:bookmarkStart w:id="57" w:name="_Toc5981"/>
      <w:r>
        <w:rPr>
          <w:rFonts w:hint="eastAsia" w:ascii="黑体" w:hAnsi="黑体" w:eastAsia="黑体" w:cs="黑体"/>
          <w:color w:val="auto"/>
          <w:spacing w:val="7"/>
          <w:position w:val="1"/>
          <w:sz w:val="23"/>
          <w:szCs w:val="23"/>
          <w:highlight w:val="none"/>
        </w:rPr>
        <w:t>33.成交信息的公布</w:t>
      </w:r>
      <w:bookmarkEnd w:id="57"/>
    </w:p>
    <w:p w14:paraId="5402A55C">
      <w:pPr>
        <w:keepNext w:val="0"/>
        <w:keepLines w:val="0"/>
        <w:pageBreakBefore w:val="0"/>
        <w:kinsoku/>
        <w:overflowPunct/>
        <w:autoSpaceDE w:val="0"/>
        <w:autoSpaceDN w:val="0"/>
        <w:bidi w:val="0"/>
        <w:spacing w:before="158" w:line="376" w:lineRule="auto"/>
        <w:ind w:left="26" w:right="80" w:firstLine="479"/>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3</w:t>
      </w:r>
      <w:r>
        <w:rPr>
          <w:rFonts w:hint="eastAsia" w:ascii="黑体" w:hAnsi="黑体" w:eastAsia="黑体" w:cs="黑体"/>
          <w:color w:val="auto"/>
          <w:spacing w:val="6"/>
          <w:sz w:val="23"/>
          <w:szCs w:val="23"/>
          <w:highlight w:val="none"/>
        </w:rPr>
        <w:t>3.1成交供应商确定后2个工作日内，采购人或者采购代理机构应将成交</w:t>
      </w:r>
      <w:r>
        <w:rPr>
          <w:rFonts w:hint="eastAsia" w:ascii="黑体" w:hAnsi="黑体" w:eastAsia="黑体" w:cs="黑体"/>
          <w:color w:val="auto"/>
          <w:spacing w:val="10"/>
          <w:sz w:val="23"/>
          <w:szCs w:val="23"/>
          <w:highlight w:val="none"/>
        </w:rPr>
        <w:t>结</w:t>
      </w:r>
      <w:r>
        <w:rPr>
          <w:rFonts w:hint="eastAsia" w:ascii="黑体" w:hAnsi="黑体" w:eastAsia="黑体" w:cs="黑体"/>
          <w:color w:val="auto"/>
          <w:spacing w:val="8"/>
          <w:sz w:val="23"/>
          <w:szCs w:val="23"/>
          <w:highlight w:val="none"/>
        </w:rPr>
        <w:t>果信息在指定的媒体上公布。</w:t>
      </w:r>
    </w:p>
    <w:p w14:paraId="1D735137">
      <w:pPr>
        <w:keepNext w:val="0"/>
        <w:keepLines w:val="0"/>
        <w:pageBreakBefore w:val="0"/>
        <w:kinsoku/>
        <w:overflowPunct/>
        <w:autoSpaceDE w:val="0"/>
        <w:autoSpaceDN w:val="0"/>
        <w:bidi w:val="0"/>
        <w:spacing w:line="308" w:lineRule="exact"/>
        <w:ind w:left="505"/>
        <w:outlineLvl w:val="2"/>
        <w:rPr>
          <w:rFonts w:hint="eastAsia" w:ascii="黑体" w:hAnsi="黑体" w:eastAsia="黑体" w:cs="黑体"/>
          <w:color w:val="auto"/>
          <w:sz w:val="23"/>
          <w:szCs w:val="23"/>
          <w:highlight w:val="none"/>
        </w:rPr>
      </w:pPr>
      <w:bookmarkStart w:id="58" w:name="_Toc6036"/>
      <w:r>
        <w:rPr>
          <w:rFonts w:hint="eastAsia" w:ascii="黑体" w:hAnsi="黑体" w:eastAsia="黑体" w:cs="黑体"/>
          <w:color w:val="auto"/>
          <w:spacing w:val="8"/>
          <w:position w:val="1"/>
          <w:sz w:val="23"/>
          <w:szCs w:val="23"/>
          <w:highlight w:val="none"/>
        </w:rPr>
        <w:t>3</w:t>
      </w:r>
      <w:r>
        <w:rPr>
          <w:rFonts w:hint="eastAsia" w:ascii="黑体" w:hAnsi="黑体" w:eastAsia="黑体" w:cs="黑体"/>
          <w:color w:val="auto"/>
          <w:spacing w:val="6"/>
          <w:position w:val="1"/>
          <w:sz w:val="23"/>
          <w:szCs w:val="23"/>
          <w:highlight w:val="none"/>
        </w:rPr>
        <w:t>4.询问及质疑</w:t>
      </w:r>
      <w:bookmarkEnd w:id="58"/>
    </w:p>
    <w:p w14:paraId="5FF17669">
      <w:pPr>
        <w:keepNext w:val="0"/>
        <w:keepLines w:val="0"/>
        <w:pageBreakBefore w:val="0"/>
        <w:kinsoku/>
        <w:overflowPunct/>
        <w:autoSpaceDE w:val="0"/>
        <w:autoSpaceDN w:val="0"/>
        <w:bidi w:val="0"/>
        <w:spacing w:before="159" w:line="376" w:lineRule="auto"/>
        <w:ind w:left="22" w:right="80" w:firstLine="48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34</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1供应商对政府采购活动事项有疑问的，可以向采购人或采购代理机构</w:t>
      </w:r>
      <w:r>
        <w:rPr>
          <w:rFonts w:hint="eastAsia" w:ascii="黑体" w:hAnsi="黑体" w:eastAsia="黑体" w:cs="黑体"/>
          <w:color w:val="auto"/>
          <w:spacing w:val="6"/>
          <w:sz w:val="23"/>
          <w:szCs w:val="23"/>
          <w:highlight w:val="none"/>
        </w:rPr>
        <w:t>提出询问</w:t>
      </w:r>
      <w:r>
        <w:rPr>
          <w:rFonts w:hint="eastAsia" w:ascii="黑体" w:hAnsi="黑体" w:eastAsia="黑体" w:cs="黑体"/>
          <w:color w:val="auto"/>
          <w:spacing w:val="5"/>
          <w:sz w:val="23"/>
          <w:szCs w:val="23"/>
          <w:highlight w:val="none"/>
        </w:rPr>
        <w:t>。</w:t>
      </w:r>
    </w:p>
    <w:p w14:paraId="452EC68F">
      <w:pPr>
        <w:keepNext w:val="0"/>
        <w:keepLines w:val="0"/>
        <w:pageBreakBefore w:val="0"/>
        <w:kinsoku/>
        <w:overflowPunct/>
        <w:autoSpaceDE w:val="0"/>
        <w:autoSpaceDN w:val="0"/>
        <w:bidi w:val="0"/>
        <w:spacing w:before="1" w:line="375" w:lineRule="auto"/>
        <w:ind w:left="22" w:right="18" w:firstLine="482"/>
        <w:rPr>
          <w:rFonts w:hint="eastAsia" w:ascii="黑体" w:hAnsi="黑体" w:eastAsia="黑体" w:cs="黑体"/>
          <w:color w:val="auto"/>
          <w:sz w:val="23"/>
          <w:szCs w:val="23"/>
          <w:highlight w:val="none"/>
        </w:rPr>
      </w:pPr>
      <w:r>
        <w:rPr>
          <w:rFonts w:hint="eastAsia" w:ascii="黑体" w:hAnsi="黑体" w:eastAsia="黑体" w:cs="黑体"/>
          <w:color w:val="auto"/>
          <w:spacing w:val="5"/>
          <w:sz w:val="23"/>
          <w:szCs w:val="23"/>
          <w:highlight w:val="none"/>
        </w:rPr>
        <w:t>34.2供应商若认为磋商文件、采购过程和成交结果使自己的权益受到损</w:t>
      </w:r>
      <w:r>
        <w:rPr>
          <w:rFonts w:hint="eastAsia" w:ascii="黑体" w:hAnsi="黑体" w:eastAsia="黑体" w:cs="黑体"/>
          <w:color w:val="auto"/>
          <w:spacing w:val="3"/>
          <w:sz w:val="23"/>
          <w:szCs w:val="23"/>
          <w:highlight w:val="none"/>
        </w:rPr>
        <w:t>害</w:t>
      </w:r>
      <w:r>
        <w:rPr>
          <w:rFonts w:hint="eastAsia" w:ascii="黑体" w:hAnsi="黑体" w:eastAsia="黑体" w:cs="黑体"/>
          <w:color w:val="auto"/>
          <w:sz w:val="23"/>
          <w:szCs w:val="23"/>
          <w:highlight w:val="none"/>
        </w:rPr>
        <w:t>，</w:t>
      </w:r>
      <w:r>
        <w:rPr>
          <w:rFonts w:hint="eastAsia" w:ascii="黑体" w:hAnsi="黑体" w:eastAsia="黑体" w:cs="黑体"/>
          <w:color w:val="auto"/>
          <w:spacing w:val="18"/>
          <w:sz w:val="23"/>
          <w:szCs w:val="23"/>
          <w:highlight w:val="none"/>
        </w:rPr>
        <w:t>可</w:t>
      </w:r>
      <w:r>
        <w:rPr>
          <w:rFonts w:hint="eastAsia" w:ascii="黑体" w:hAnsi="黑体" w:eastAsia="黑体" w:cs="黑体"/>
          <w:color w:val="auto"/>
          <w:spacing w:val="12"/>
          <w:sz w:val="23"/>
          <w:szCs w:val="23"/>
          <w:highlight w:val="none"/>
        </w:rPr>
        <w:t>以</w:t>
      </w:r>
      <w:r>
        <w:rPr>
          <w:rFonts w:hint="eastAsia" w:ascii="黑体" w:hAnsi="黑体" w:eastAsia="黑体" w:cs="黑体"/>
          <w:color w:val="auto"/>
          <w:spacing w:val="9"/>
          <w:sz w:val="23"/>
          <w:szCs w:val="23"/>
          <w:highlight w:val="none"/>
        </w:rPr>
        <w:t>按法律、规章及财政部相关文件规定向采购人或采购代理机构提出质疑。</w:t>
      </w:r>
    </w:p>
    <w:p w14:paraId="401FC5D7">
      <w:pPr>
        <w:keepNext w:val="0"/>
        <w:keepLines w:val="0"/>
        <w:pageBreakBefore w:val="0"/>
        <w:kinsoku/>
        <w:overflowPunct/>
        <w:autoSpaceDE w:val="0"/>
        <w:autoSpaceDN w:val="0"/>
        <w:bidi w:val="0"/>
        <w:spacing w:line="309" w:lineRule="exact"/>
        <w:ind w:left="505"/>
        <w:outlineLvl w:val="2"/>
        <w:rPr>
          <w:rFonts w:hint="eastAsia" w:ascii="黑体" w:hAnsi="黑体" w:eastAsia="黑体" w:cs="黑体"/>
          <w:color w:val="auto"/>
          <w:sz w:val="23"/>
          <w:szCs w:val="23"/>
          <w:highlight w:val="none"/>
        </w:rPr>
      </w:pPr>
      <w:bookmarkStart w:id="59" w:name="_Toc20374"/>
      <w:r>
        <w:rPr>
          <w:rFonts w:hint="eastAsia" w:ascii="黑体" w:hAnsi="黑体" w:eastAsia="黑体" w:cs="黑体"/>
          <w:color w:val="auto"/>
          <w:spacing w:val="6"/>
          <w:position w:val="1"/>
          <w:sz w:val="23"/>
          <w:szCs w:val="23"/>
          <w:highlight w:val="none"/>
        </w:rPr>
        <w:t>35.成交通</w:t>
      </w:r>
      <w:r>
        <w:rPr>
          <w:rFonts w:hint="eastAsia" w:ascii="黑体" w:hAnsi="黑体" w:eastAsia="黑体" w:cs="黑体"/>
          <w:color w:val="auto"/>
          <w:spacing w:val="4"/>
          <w:position w:val="1"/>
          <w:sz w:val="23"/>
          <w:szCs w:val="23"/>
          <w:highlight w:val="none"/>
        </w:rPr>
        <w:t>知</w:t>
      </w:r>
      <w:bookmarkEnd w:id="59"/>
    </w:p>
    <w:p w14:paraId="0C7F6B6E">
      <w:pPr>
        <w:keepNext w:val="0"/>
        <w:keepLines w:val="0"/>
        <w:pageBreakBefore w:val="0"/>
        <w:kinsoku/>
        <w:overflowPunct/>
        <w:autoSpaceDE w:val="0"/>
        <w:autoSpaceDN w:val="0"/>
        <w:bidi w:val="0"/>
        <w:spacing w:before="158" w:line="376" w:lineRule="auto"/>
        <w:ind w:left="22" w:right="80" w:firstLine="483"/>
        <w:rPr>
          <w:rFonts w:hint="eastAsia" w:ascii="黑体" w:hAnsi="黑体" w:eastAsia="黑体" w:cs="黑体"/>
          <w:color w:val="auto"/>
          <w:sz w:val="23"/>
          <w:szCs w:val="23"/>
          <w:highlight w:val="none"/>
        </w:rPr>
      </w:pPr>
      <w:r>
        <w:rPr>
          <w:rFonts w:hint="eastAsia" w:ascii="黑体" w:hAnsi="黑体" w:eastAsia="黑体" w:cs="黑体"/>
          <w:color w:val="auto"/>
          <w:spacing w:val="10"/>
          <w:sz w:val="23"/>
          <w:szCs w:val="23"/>
          <w:highlight w:val="none"/>
        </w:rPr>
        <w:t>3</w:t>
      </w:r>
      <w:r>
        <w:rPr>
          <w:rFonts w:hint="eastAsia" w:ascii="黑体" w:hAnsi="黑体" w:eastAsia="黑体" w:cs="黑体"/>
          <w:color w:val="auto"/>
          <w:spacing w:val="6"/>
          <w:sz w:val="23"/>
          <w:szCs w:val="23"/>
          <w:highlight w:val="none"/>
        </w:rPr>
        <w:t>5.1成交供应商确定后，结果信息发布3日后，采购人或采购代理机构将</w:t>
      </w:r>
      <w:r>
        <w:rPr>
          <w:rFonts w:hint="eastAsia" w:ascii="黑体" w:hAnsi="黑体" w:eastAsia="黑体" w:cs="黑体"/>
          <w:color w:val="auto"/>
          <w:spacing w:val="12"/>
          <w:sz w:val="23"/>
          <w:szCs w:val="23"/>
          <w:highlight w:val="none"/>
        </w:rPr>
        <w:t>以</w:t>
      </w:r>
      <w:r>
        <w:rPr>
          <w:rFonts w:hint="eastAsia" w:ascii="黑体" w:hAnsi="黑体" w:eastAsia="黑体" w:cs="黑体"/>
          <w:color w:val="auto"/>
          <w:spacing w:val="7"/>
          <w:sz w:val="23"/>
          <w:szCs w:val="23"/>
          <w:highlight w:val="none"/>
        </w:rPr>
        <w:t>书面形式向成交供应商发出成交通知书。成交通知书对采购人和成交供应商具</w:t>
      </w:r>
      <w:r>
        <w:rPr>
          <w:rFonts w:hint="eastAsia" w:ascii="黑体" w:hAnsi="黑体" w:eastAsia="黑体" w:cs="黑体"/>
          <w:color w:val="auto"/>
          <w:spacing w:val="10"/>
          <w:sz w:val="23"/>
          <w:szCs w:val="23"/>
          <w:highlight w:val="none"/>
        </w:rPr>
        <w:t>有</w:t>
      </w:r>
      <w:r>
        <w:rPr>
          <w:rFonts w:hint="eastAsia" w:ascii="黑体" w:hAnsi="黑体" w:eastAsia="黑体" w:cs="黑体"/>
          <w:color w:val="auto"/>
          <w:spacing w:val="7"/>
          <w:sz w:val="23"/>
          <w:szCs w:val="23"/>
          <w:highlight w:val="none"/>
        </w:rPr>
        <w:t>同等法律效力。</w:t>
      </w:r>
    </w:p>
    <w:p w14:paraId="7D98EE3C">
      <w:pPr>
        <w:keepNext w:val="0"/>
        <w:keepLines w:val="0"/>
        <w:pageBreakBefore w:val="0"/>
        <w:kinsoku/>
        <w:overflowPunct/>
        <w:autoSpaceDE w:val="0"/>
        <w:autoSpaceDN w:val="0"/>
        <w:bidi w:val="0"/>
        <w:spacing w:before="1" w:line="226" w:lineRule="auto"/>
        <w:ind w:left="505"/>
        <w:rPr>
          <w:rFonts w:hint="eastAsia" w:ascii="黑体" w:hAnsi="黑体" w:eastAsia="黑体" w:cs="黑体"/>
          <w:color w:val="auto"/>
          <w:sz w:val="23"/>
          <w:szCs w:val="23"/>
          <w:highlight w:val="none"/>
        </w:rPr>
      </w:pPr>
      <w:r>
        <w:rPr>
          <w:rFonts w:hint="eastAsia" w:ascii="黑体" w:hAnsi="黑体" w:eastAsia="黑体" w:cs="黑体"/>
          <w:color w:val="auto"/>
          <w:spacing w:val="5"/>
          <w:sz w:val="23"/>
          <w:szCs w:val="23"/>
          <w:highlight w:val="none"/>
        </w:rPr>
        <w:t>35.2成交通知书是合同文件的组成部分</w:t>
      </w:r>
      <w:r>
        <w:rPr>
          <w:rFonts w:hint="eastAsia" w:ascii="黑体" w:hAnsi="黑体" w:eastAsia="黑体" w:cs="黑体"/>
          <w:color w:val="auto"/>
          <w:sz w:val="23"/>
          <w:szCs w:val="23"/>
          <w:highlight w:val="none"/>
        </w:rPr>
        <w:t>。</w:t>
      </w:r>
    </w:p>
    <w:p w14:paraId="6D914D2C">
      <w:pPr>
        <w:keepNext w:val="0"/>
        <w:keepLines w:val="0"/>
        <w:pageBreakBefore w:val="0"/>
        <w:kinsoku/>
        <w:overflowPunct/>
        <w:autoSpaceDE w:val="0"/>
        <w:autoSpaceDN w:val="0"/>
        <w:bidi w:val="0"/>
        <w:spacing w:before="184" w:line="376" w:lineRule="auto"/>
        <w:ind w:left="22" w:right="18" w:firstLine="483"/>
        <w:rPr>
          <w:rFonts w:hint="eastAsia" w:ascii="黑体" w:hAnsi="黑体" w:eastAsia="黑体" w:cs="黑体"/>
          <w:color w:val="auto"/>
          <w:sz w:val="23"/>
          <w:szCs w:val="23"/>
          <w:highlight w:val="none"/>
        </w:rPr>
      </w:pPr>
      <w:r>
        <w:rPr>
          <w:rFonts w:hint="eastAsia" w:ascii="黑体" w:hAnsi="黑体" w:eastAsia="黑体" w:cs="黑体"/>
          <w:color w:val="auto"/>
          <w:spacing w:val="5"/>
          <w:sz w:val="23"/>
          <w:szCs w:val="23"/>
          <w:highlight w:val="none"/>
        </w:rPr>
        <w:t>35.3成交供应商在收到成交通知书后，应按照磋商文件中合同草案的规</w:t>
      </w:r>
      <w:r>
        <w:rPr>
          <w:rFonts w:hint="eastAsia" w:ascii="黑体" w:hAnsi="黑体" w:eastAsia="黑体" w:cs="黑体"/>
          <w:color w:val="auto"/>
          <w:spacing w:val="3"/>
          <w:sz w:val="23"/>
          <w:szCs w:val="23"/>
          <w:highlight w:val="none"/>
        </w:rPr>
        <w:t>定</w:t>
      </w:r>
      <w:r>
        <w:rPr>
          <w:rFonts w:hint="eastAsia" w:ascii="黑体" w:hAnsi="黑体" w:eastAsia="黑体" w:cs="黑体"/>
          <w:color w:val="auto"/>
          <w:sz w:val="23"/>
          <w:szCs w:val="23"/>
          <w:highlight w:val="none"/>
        </w:rPr>
        <w:t>，</w:t>
      </w:r>
      <w:r>
        <w:rPr>
          <w:rFonts w:hint="eastAsia" w:ascii="黑体" w:hAnsi="黑体" w:eastAsia="黑体" w:cs="黑体"/>
          <w:color w:val="auto"/>
          <w:spacing w:val="12"/>
          <w:sz w:val="23"/>
          <w:szCs w:val="23"/>
          <w:highlight w:val="none"/>
        </w:rPr>
        <w:t>向</w:t>
      </w:r>
      <w:r>
        <w:rPr>
          <w:rFonts w:hint="eastAsia" w:ascii="黑体" w:hAnsi="黑体" w:eastAsia="黑体" w:cs="黑体"/>
          <w:color w:val="auto"/>
          <w:spacing w:val="7"/>
          <w:sz w:val="23"/>
          <w:szCs w:val="23"/>
          <w:highlight w:val="none"/>
        </w:rPr>
        <w:t>采购人提交履约保证金，具体要求见前附表。联合体成交的，履约保证金以联</w:t>
      </w:r>
      <w:r>
        <w:rPr>
          <w:rFonts w:hint="eastAsia" w:ascii="黑体" w:hAnsi="黑体" w:eastAsia="黑体" w:cs="黑体"/>
          <w:color w:val="auto"/>
          <w:spacing w:val="9"/>
          <w:sz w:val="23"/>
          <w:szCs w:val="23"/>
          <w:highlight w:val="none"/>
        </w:rPr>
        <w:t>合体各方或联合体中牵头人的名义提交(本项目不接受联合体报价)</w:t>
      </w:r>
      <w:r>
        <w:rPr>
          <w:rFonts w:hint="eastAsia" w:ascii="黑体" w:hAnsi="黑体" w:eastAsia="黑体" w:cs="黑体"/>
          <w:color w:val="auto"/>
          <w:spacing w:val="3"/>
          <w:sz w:val="23"/>
          <w:szCs w:val="23"/>
          <w:highlight w:val="none"/>
        </w:rPr>
        <w:t>。</w:t>
      </w:r>
    </w:p>
    <w:p w14:paraId="662089B7">
      <w:pPr>
        <w:keepNext w:val="0"/>
        <w:keepLines w:val="0"/>
        <w:pageBreakBefore w:val="0"/>
        <w:kinsoku/>
        <w:overflowPunct/>
        <w:autoSpaceDE w:val="0"/>
        <w:autoSpaceDN w:val="0"/>
        <w:bidi w:val="0"/>
        <w:spacing w:before="2" w:line="375" w:lineRule="auto"/>
        <w:ind w:left="22" w:right="80" w:firstLine="482"/>
        <w:rPr>
          <w:rFonts w:hint="eastAsia" w:ascii="黑体" w:hAnsi="黑体" w:eastAsia="黑体" w:cs="黑体"/>
          <w:color w:val="auto"/>
          <w:sz w:val="23"/>
          <w:szCs w:val="23"/>
          <w:highlight w:val="none"/>
        </w:rPr>
      </w:pPr>
      <w:r>
        <w:rPr>
          <w:rFonts w:hint="eastAsia" w:ascii="黑体" w:hAnsi="黑体" w:eastAsia="黑体" w:cs="黑体"/>
          <w:color w:val="auto"/>
          <w:spacing w:val="3"/>
          <w:sz w:val="23"/>
          <w:szCs w:val="23"/>
          <w:highlight w:val="none"/>
        </w:rPr>
        <w:t>35.4成交供应商没有按照本章第35.3款规定提交履约保证金的，视为</w:t>
      </w:r>
      <w:r>
        <w:rPr>
          <w:rFonts w:hint="eastAsia" w:ascii="黑体" w:hAnsi="黑体" w:eastAsia="黑体" w:cs="黑体"/>
          <w:color w:val="auto"/>
          <w:spacing w:val="1"/>
          <w:sz w:val="23"/>
          <w:szCs w:val="23"/>
          <w:highlight w:val="none"/>
        </w:rPr>
        <w:t>放</w:t>
      </w:r>
      <w:r>
        <w:rPr>
          <w:rFonts w:hint="eastAsia" w:ascii="黑体" w:hAnsi="黑体" w:eastAsia="黑体" w:cs="黑体"/>
          <w:color w:val="auto"/>
          <w:sz w:val="23"/>
          <w:szCs w:val="23"/>
          <w:highlight w:val="none"/>
        </w:rPr>
        <w:t>弃</w:t>
      </w:r>
      <w:r>
        <w:rPr>
          <w:rFonts w:hint="eastAsia" w:ascii="黑体" w:hAnsi="黑体" w:eastAsia="黑体" w:cs="黑体"/>
          <w:color w:val="auto"/>
          <w:spacing w:val="16"/>
          <w:sz w:val="23"/>
          <w:szCs w:val="23"/>
          <w:highlight w:val="none"/>
        </w:rPr>
        <w:t>成</w:t>
      </w:r>
      <w:r>
        <w:rPr>
          <w:rFonts w:hint="eastAsia" w:ascii="黑体" w:hAnsi="黑体" w:eastAsia="黑体" w:cs="黑体"/>
          <w:color w:val="auto"/>
          <w:spacing w:val="10"/>
          <w:sz w:val="23"/>
          <w:szCs w:val="23"/>
          <w:highlight w:val="none"/>
        </w:rPr>
        <w:t>交</w:t>
      </w:r>
      <w:r>
        <w:rPr>
          <w:rFonts w:hint="eastAsia" w:ascii="黑体" w:hAnsi="黑体" w:eastAsia="黑体" w:cs="黑体"/>
          <w:color w:val="auto"/>
          <w:spacing w:val="8"/>
          <w:sz w:val="23"/>
          <w:szCs w:val="23"/>
          <w:highlight w:val="none"/>
        </w:rPr>
        <w:t>资格，其磋商保证金不予退还。</w:t>
      </w:r>
    </w:p>
    <w:p w14:paraId="41ED46ED">
      <w:pPr>
        <w:keepNext w:val="0"/>
        <w:keepLines w:val="0"/>
        <w:pageBreakBefore w:val="0"/>
        <w:kinsoku/>
        <w:overflowPunct/>
        <w:autoSpaceDE w:val="0"/>
        <w:autoSpaceDN w:val="0"/>
        <w:bidi w:val="0"/>
        <w:spacing w:line="308" w:lineRule="exact"/>
        <w:ind w:left="505"/>
        <w:outlineLvl w:val="2"/>
        <w:rPr>
          <w:rFonts w:hint="eastAsia" w:ascii="黑体" w:hAnsi="黑体" w:eastAsia="黑体" w:cs="黑体"/>
          <w:color w:val="auto"/>
          <w:sz w:val="23"/>
          <w:szCs w:val="23"/>
          <w:highlight w:val="none"/>
        </w:rPr>
      </w:pPr>
      <w:bookmarkStart w:id="60" w:name="_Toc26256"/>
      <w:r>
        <w:rPr>
          <w:rFonts w:hint="eastAsia" w:ascii="黑体" w:hAnsi="黑体" w:eastAsia="黑体" w:cs="黑体"/>
          <w:color w:val="auto"/>
          <w:spacing w:val="6"/>
          <w:position w:val="1"/>
          <w:sz w:val="23"/>
          <w:szCs w:val="23"/>
          <w:highlight w:val="none"/>
        </w:rPr>
        <w:t>36.签订合</w:t>
      </w:r>
      <w:r>
        <w:rPr>
          <w:rFonts w:hint="eastAsia" w:ascii="黑体" w:hAnsi="黑体" w:eastAsia="黑体" w:cs="黑体"/>
          <w:color w:val="auto"/>
          <w:spacing w:val="4"/>
          <w:position w:val="1"/>
          <w:sz w:val="23"/>
          <w:szCs w:val="23"/>
          <w:highlight w:val="none"/>
        </w:rPr>
        <w:t>同</w:t>
      </w:r>
      <w:bookmarkEnd w:id="60"/>
    </w:p>
    <w:p w14:paraId="21D71831">
      <w:pPr>
        <w:keepNext w:val="0"/>
        <w:keepLines w:val="0"/>
        <w:pageBreakBefore w:val="0"/>
        <w:kinsoku/>
        <w:overflowPunct/>
        <w:autoSpaceDE w:val="0"/>
        <w:autoSpaceDN w:val="0"/>
        <w:bidi w:val="0"/>
        <w:spacing w:before="159" w:line="376" w:lineRule="auto"/>
        <w:ind w:left="20" w:right="80" w:firstLine="485"/>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36</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1磋商文件、成交供应商的响应文件及其补充的响应文件等均为签订政</w:t>
      </w:r>
      <w:r>
        <w:rPr>
          <w:rFonts w:hint="eastAsia" w:ascii="黑体" w:hAnsi="黑体" w:eastAsia="黑体" w:cs="黑体"/>
          <w:color w:val="auto"/>
          <w:spacing w:val="8"/>
          <w:sz w:val="23"/>
          <w:szCs w:val="23"/>
          <w:highlight w:val="none"/>
        </w:rPr>
        <w:t>府采购合同的依据</w:t>
      </w:r>
      <w:r>
        <w:rPr>
          <w:rFonts w:hint="eastAsia" w:ascii="黑体" w:hAnsi="黑体" w:eastAsia="黑体" w:cs="黑体"/>
          <w:color w:val="auto"/>
          <w:spacing w:val="7"/>
          <w:sz w:val="23"/>
          <w:szCs w:val="23"/>
          <w:highlight w:val="none"/>
        </w:rPr>
        <w:t>。</w:t>
      </w:r>
    </w:p>
    <w:p w14:paraId="4E9DC311">
      <w:pPr>
        <w:keepNext w:val="0"/>
        <w:keepLines w:val="0"/>
        <w:pageBreakBefore w:val="0"/>
        <w:kinsoku/>
        <w:overflowPunct/>
        <w:autoSpaceDE w:val="0"/>
        <w:autoSpaceDN w:val="0"/>
        <w:bidi w:val="0"/>
        <w:spacing w:before="1" w:line="375" w:lineRule="auto"/>
        <w:ind w:left="19" w:right="80" w:firstLine="486"/>
        <w:rPr>
          <w:rFonts w:hint="eastAsia" w:ascii="黑体" w:hAnsi="黑体" w:eastAsia="黑体" w:cs="黑体"/>
          <w:color w:val="auto"/>
          <w:sz w:val="23"/>
          <w:szCs w:val="23"/>
          <w:highlight w:val="none"/>
        </w:rPr>
      </w:pPr>
      <w:r>
        <w:rPr>
          <w:rFonts w:hint="eastAsia" w:ascii="黑体" w:hAnsi="黑体" w:eastAsia="黑体" w:cs="黑体"/>
          <w:color w:val="auto"/>
          <w:spacing w:val="3"/>
          <w:sz w:val="23"/>
          <w:szCs w:val="23"/>
          <w:highlight w:val="none"/>
        </w:rPr>
        <w:t>36.2成交供应商应当在成交通知书发出之日起30日内与采购人签订政府</w:t>
      </w:r>
      <w:r>
        <w:rPr>
          <w:rFonts w:hint="eastAsia" w:ascii="黑体" w:hAnsi="黑体" w:eastAsia="黑体" w:cs="黑体"/>
          <w:color w:val="auto"/>
          <w:spacing w:val="1"/>
          <w:sz w:val="23"/>
          <w:szCs w:val="23"/>
          <w:highlight w:val="none"/>
        </w:rPr>
        <w:t>采</w:t>
      </w:r>
      <w:r>
        <w:rPr>
          <w:rFonts w:hint="eastAsia" w:ascii="黑体" w:hAnsi="黑体" w:eastAsia="黑体" w:cs="黑体"/>
          <w:color w:val="auto"/>
          <w:spacing w:val="7"/>
          <w:sz w:val="23"/>
          <w:szCs w:val="23"/>
          <w:highlight w:val="none"/>
        </w:rPr>
        <w:t>购</w:t>
      </w:r>
      <w:r>
        <w:rPr>
          <w:rFonts w:hint="eastAsia" w:ascii="黑体" w:hAnsi="黑体" w:eastAsia="黑体" w:cs="黑体"/>
          <w:color w:val="auto"/>
          <w:spacing w:val="5"/>
          <w:sz w:val="23"/>
          <w:szCs w:val="23"/>
          <w:highlight w:val="none"/>
        </w:rPr>
        <w:t>合同。</w:t>
      </w:r>
    </w:p>
    <w:p w14:paraId="0BD68153">
      <w:pPr>
        <w:keepNext w:val="0"/>
        <w:keepLines w:val="0"/>
        <w:pageBreakBefore w:val="0"/>
        <w:kinsoku/>
        <w:overflowPunct/>
        <w:autoSpaceDE w:val="0"/>
        <w:autoSpaceDN w:val="0"/>
        <w:bidi w:val="0"/>
        <w:spacing w:before="3" w:line="375" w:lineRule="auto"/>
        <w:ind w:left="22" w:right="80" w:firstLine="483"/>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36</w:t>
      </w:r>
      <w:r>
        <w:rPr>
          <w:rFonts w:hint="eastAsia" w:ascii="黑体" w:hAnsi="黑体" w:eastAsia="黑体" w:cs="黑体"/>
          <w:color w:val="auto"/>
          <w:spacing w:val="17"/>
          <w:sz w:val="23"/>
          <w:szCs w:val="23"/>
          <w:highlight w:val="none"/>
        </w:rPr>
        <w:t>.</w:t>
      </w:r>
      <w:r>
        <w:rPr>
          <w:rFonts w:hint="eastAsia" w:ascii="黑体" w:hAnsi="黑体" w:eastAsia="黑体" w:cs="黑体"/>
          <w:color w:val="auto"/>
          <w:spacing w:val="9"/>
          <w:sz w:val="23"/>
          <w:szCs w:val="23"/>
          <w:highlight w:val="none"/>
        </w:rPr>
        <w:t>3采购人不得向成交供应商提出超出磋商文件以外的任何要求作为签订</w:t>
      </w:r>
      <w:r>
        <w:rPr>
          <w:rFonts w:hint="eastAsia" w:ascii="黑体" w:hAnsi="黑体" w:eastAsia="黑体" w:cs="黑体"/>
          <w:color w:val="auto"/>
          <w:spacing w:val="18"/>
          <w:sz w:val="23"/>
          <w:szCs w:val="23"/>
          <w:highlight w:val="none"/>
        </w:rPr>
        <w:t>合</w:t>
      </w:r>
      <w:r>
        <w:rPr>
          <w:rFonts w:hint="eastAsia" w:ascii="黑体" w:hAnsi="黑体" w:eastAsia="黑体" w:cs="黑体"/>
          <w:color w:val="auto"/>
          <w:spacing w:val="14"/>
          <w:sz w:val="23"/>
          <w:szCs w:val="23"/>
          <w:highlight w:val="none"/>
        </w:rPr>
        <w:t>同的条件，不得与成交供应商订立背离磋商文件确定的合同文本以及采购标</w:t>
      </w:r>
      <w:r>
        <w:rPr>
          <w:rFonts w:hint="eastAsia" w:ascii="黑体" w:hAnsi="黑体" w:eastAsia="黑体" w:cs="黑体"/>
          <w:color w:val="auto"/>
          <w:spacing w:val="18"/>
          <w:sz w:val="23"/>
          <w:szCs w:val="23"/>
          <w:highlight w:val="none"/>
        </w:rPr>
        <w:t>的</w:t>
      </w:r>
      <w:r>
        <w:rPr>
          <w:rFonts w:hint="eastAsia" w:ascii="黑体" w:hAnsi="黑体" w:eastAsia="黑体" w:cs="黑体"/>
          <w:color w:val="auto"/>
          <w:spacing w:val="13"/>
          <w:sz w:val="23"/>
          <w:szCs w:val="23"/>
          <w:highlight w:val="none"/>
        </w:rPr>
        <w:t>、</w:t>
      </w:r>
      <w:r>
        <w:rPr>
          <w:rFonts w:hint="eastAsia" w:ascii="黑体" w:hAnsi="黑体" w:eastAsia="黑体" w:cs="黑体"/>
          <w:color w:val="auto"/>
          <w:spacing w:val="9"/>
          <w:sz w:val="23"/>
          <w:szCs w:val="23"/>
          <w:highlight w:val="none"/>
        </w:rPr>
        <w:t>规格型号、采购金额、采购数量、技术和服务要求等实质性内容的协议。</w:t>
      </w:r>
    </w:p>
    <w:p w14:paraId="70A9F079">
      <w:pPr>
        <w:keepNext w:val="0"/>
        <w:keepLines w:val="0"/>
        <w:pageBreakBefore w:val="0"/>
        <w:kinsoku/>
        <w:overflowPunct/>
        <w:autoSpaceDE w:val="0"/>
        <w:autoSpaceDN w:val="0"/>
        <w:bidi w:val="0"/>
        <w:spacing w:line="383" w:lineRule="auto"/>
        <w:ind w:left="22" w:firstLine="483"/>
        <w:rPr>
          <w:rFonts w:hint="eastAsia" w:ascii="黑体" w:hAnsi="黑体" w:eastAsia="黑体" w:cs="黑体"/>
          <w:color w:val="auto"/>
          <w:sz w:val="23"/>
          <w:szCs w:val="23"/>
          <w:highlight w:val="none"/>
        </w:rPr>
      </w:pPr>
      <w:r>
        <w:rPr>
          <w:rFonts w:hint="eastAsia" w:ascii="黑体" w:hAnsi="黑体" w:eastAsia="黑体" w:cs="黑体"/>
          <w:color w:val="auto"/>
          <w:spacing w:val="11"/>
          <w:sz w:val="23"/>
          <w:szCs w:val="23"/>
          <w:highlight w:val="none"/>
        </w:rPr>
        <w:t>3</w:t>
      </w:r>
      <w:r>
        <w:rPr>
          <w:rFonts w:hint="eastAsia" w:ascii="黑体" w:hAnsi="黑体" w:eastAsia="黑体" w:cs="黑体"/>
          <w:color w:val="auto"/>
          <w:spacing w:val="6"/>
          <w:sz w:val="23"/>
          <w:szCs w:val="23"/>
          <w:highlight w:val="none"/>
        </w:rPr>
        <w:t>6.4自政府采购合同签订之日起2个工作日内，本项目政府采购合同在</w:t>
      </w:r>
      <w:r>
        <w:rPr>
          <w:rFonts w:hint="eastAsia" w:ascii="黑体" w:hAnsi="黑体" w:eastAsia="黑体" w:cs="黑体"/>
          <w:color w:val="auto"/>
          <w:spacing w:val="6"/>
          <w:sz w:val="23"/>
          <w:szCs w:val="23"/>
          <w:highlight w:val="none"/>
          <w:lang w:val="en-US" w:eastAsia="zh-CN"/>
        </w:rPr>
        <w:t>白山</w:t>
      </w:r>
      <w:r>
        <w:rPr>
          <w:rFonts w:hint="eastAsia" w:ascii="黑体" w:hAnsi="黑体" w:eastAsia="黑体" w:cs="黑体"/>
          <w:color w:val="auto"/>
          <w:spacing w:val="3"/>
          <w:sz w:val="23"/>
          <w:szCs w:val="23"/>
          <w:highlight w:val="none"/>
        </w:rPr>
        <w:t>市公共资源交易中心，但政府采购合同中涉及国家秘密、商业秘密的内容</w:t>
      </w:r>
      <w:r>
        <w:rPr>
          <w:rFonts w:hint="eastAsia" w:ascii="黑体" w:hAnsi="黑体" w:eastAsia="黑体" w:cs="黑体"/>
          <w:color w:val="auto"/>
          <w:spacing w:val="2"/>
          <w:sz w:val="23"/>
          <w:szCs w:val="23"/>
          <w:highlight w:val="none"/>
        </w:rPr>
        <w:t>除</w:t>
      </w:r>
      <w:r>
        <w:rPr>
          <w:rFonts w:hint="eastAsia" w:ascii="黑体" w:hAnsi="黑体" w:eastAsia="黑体" w:cs="黑体"/>
          <w:color w:val="auto"/>
          <w:sz w:val="23"/>
          <w:szCs w:val="23"/>
          <w:highlight w:val="none"/>
        </w:rPr>
        <w:t>外。</w:t>
      </w:r>
    </w:p>
    <w:p w14:paraId="23E91F3D">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7"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1CD386E9">
      <w:pPr>
        <w:keepNext w:val="0"/>
        <w:keepLines w:val="0"/>
        <w:pageBreakBefore w:val="0"/>
        <w:kinsoku/>
        <w:overflowPunct/>
        <w:autoSpaceDE w:val="0"/>
        <w:autoSpaceDN w:val="0"/>
        <w:bidi w:val="0"/>
        <w:spacing w:before="121" w:line="376" w:lineRule="auto"/>
        <w:ind w:left="59" w:right="11" w:firstLine="446"/>
        <w:rPr>
          <w:rFonts w:hint="eastAsia" w:ascii="黑体" w:hAnsi="黑体" w:eastAsia="黑体" w:cs="黑体"/>
          <w:color w:val="auto"/>
          <w:sz w:val="23"/>
          <w:szCs w:val="23"/>
          <w:highlight w:val="none"/>
        </w:rPr>
      </w:pPr>
      <w:r>
        <w:rPr>
          <w:rFonts w:hint="eastAsia" w:ascii="黑体" w:hAnsi="黑体" w:eastAsia="黑体" w:cs="黑体"/>
          <w:color w:val="auto"/>
          <w:spacing w:val="18"/>
          <w:sz w:val="23"/>
          <w:szCs w:val="23"/>
          <w:highlight w:val="none"/>
        </w:rPr>
        <w:t>36.</w:t>
      </w:r>
      <w:r>
        <w:rPr>
          <w:rFonts w:hint="eastAsia" w:ascii="黑体" w:hAnsi="黑体" w:eastAsia="黑体" w:cs="黑体"/>
          <w:color w:val="auto"/>
          <w:spacing w:val="9"/>
          <w:sz w:val="23"/>
          <w:szCs w:val="23"/>
          <w:highlight w:val="none"/>
        </w:rPr>
        <w:t>5成交供应商有下列情形之一的，责令限期改正，情节严重的，列入不</w:t>
      </w:r>
      <w:r>
        <w:rPr>
          <w:rFonts w:hint="eastAsia" w:ascii="黑体" w:hAnsi="黑体" w:eastAsia="黑体" w:cs="黑体"/>
          <w:color w:val="auto"/>
          <w:spacing w:val="1"/>
          <w:sz w:val="23"/>
          <w:szCs w:val="23"/>
          <w:highlight w:val="none"/>
        </w:rPr>
        <w:t>良行为记录名单，在1至3年内禁止参加</w:t>
      </w:r>
      <w:r>
        <w:rPr>
          <w:rFonts w:hint="eastAsia" w:ascii="黑体" w:hAnsi="黑体" w:eastAsia="黑体" w:cs="黑体"/>
          <w:color w:val="auto"/>
          <w:sz w:val="23"/>
          <w:szCs w:val="23"/>
          <w:highlight w:val="none"/>
        </w:rPr>
        <w:t>政府采购活动，并予以通报：</w:t>
      </w:r>
    </w:p>
    <w:p w14:paraId="730D0B01">
      <w:pPr>
        <w:keepNext w:val="0"/>
        <w:keepLines w:val="0"/>
        <w:pageBreakBefore w:val="0"/>
        <w:kinsoku/>
        <w:overflowPunct/>
        <w:autoSpaceDE w:val="0"/>
        <w:autoSpaceDN w:val="0"/>
        <w:bidi w:val="0"/>
        <w:spacing w:line="226"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12"/>
          <w:sz w:val="23"/>
          <w:szCs w:val="23"/>
          <w:highlight w:val="none"/>
        </w:rPr>
        <w:t>(</w:t>
      </w:r>
      <w:r>
        <w:rPr>
          <w:rFonts w:hint="eastAsia" w:ascii="黑体" w:hAnsi="黑体" w:eastAsia="黑体" w:cs="黑体"/>
          <w:color w:val="auto"/>
          <w:spacing w:val="11"/>
          <w:sz w:val="23"/>
          <w:szCs w:val="23"/>
          <w:highlight w:val="none"/>
        </w:rPr>
        <w:t>1</w:t>
      </w:r>
      <w:r>
        <w:rPr>
          <w:rFonts w:hint="eastAsia" w:ascii="黑体" w:hAnsi="黑体" w:eastAsia="黑体" w:cs="黑体"/>
          <w:color w:val="auto"/>
          <w:spacing w:val="6"/>
          <w:sz w:val="23"/>
          <w:szCs w:val="23"/>
          <w:highlight w:val="none"/>
        </w:rPr>
        <w:t>)成交后无正当理由不与采购人签订合同的；</w:t>
      </w:r>
    </w:p>
    <w:p w14:paraId="363F9523">
      <w:pPr>
        <w:keepNext w:val="0"/>
        <w:keepLines w:val="0"/>
        <w:pageBreakBefore w:val="0"/>
        <w:kinsoku/>
        <w:overflowPunct/>
        <w:autoSpaceDE w:val="0"/>
        <w:autoSpaceDN w:val="0"/>
        <w:bidi w:val="0"/>
        <w:spacing w:before="184" w:line="376" w:lineRule="auto"/>
        <w:ind w:left="24" w:right="11" w:firstLine="518"/>
        <w:rPr>
          <w:rFonts w:hint="eastAsia" w:ascii="黑体" w:hAnsi="黑体" w:eastAsia="黑体" w:cs="黑体"/>
          <w:color w:val="auto"/>
          <w:sz w:val="23"/>
          <w:szCs w:val="23"/>
          <w:highlight w:val="none"/>
        </w:rPr>
      </w:pPr>
      <w:r>
        <w:rPr>
          <w:rFonts w:hint="eastAsia" w:ascii="黑体" w:hAnsi="黑体" w:eastAsia="黑体" w:cs="黑体"/>
          <w:color w:val="auto"/>
          <w:spacing w:val="9"/>
          <w:sz w:val="23"/>
          <w:szCs w:val="23"/>
          <w:highlight w:val="none"/>
        </w:rPr>
        <w:t>(2)未按照采购文件确定的事项签订政府采购合同，或者与采购人另行订</w:t>
      </w:r>
      <w:r>
        <w:rPr>
          <w:rFonts w:hint="eastAsia" w:ascii="黑体" w:hAnsi="黑体" w:eastAsia="黑体" w:cs="黑体"/>
          <w:color w:val="auto"/>
          <w:spacing w:val="7"/>
          <w:sz w:val="23"/>
          <w:szCs w:val="23"/>
          <w:highlight w:val="none"/>
        </w:rPr>
        <w:t>立</w:t>
      </w:r>
      <w:r>
        <w:rPr>
          <w:rFonts w:hint="eastAsia" w:ascii="黑体" w:hAnsi="黑体" w:eastAsia="黑体" w:cs="黑体"/>
          <w:color w:val="auto"/>
          <w:spacing w:val="12"/>
          <w:sz w:val="23"/>
          <w:szCs w:val="23"/>
          <w:highlight w:val="none"/>
        </w:rPr>
        <w:t>背</w:t>
      </w:r>
      <w:r>
        <w:rPr>
          <w:rFonts w:hint="eastAsia" w:ascii="黑体" w:hAnsi="黑体" w:eastAsia="黑体" w:cs="黑体"/>
          <w:color w:val="auto"/>
          <w:spacing w:val="8"/>
          <w:sz w:val="23"/>
          <w:szCs w:val="23"/>
          <w:highlight w:val="none"/>
        </w:rPr>
        <w:t>离合同实质性内容的协议的；</w:t>
      </w:r>
    </w:p>
    <w:p w14:paraId="1826DE85">
      <w:pPr>
        <w:keepNext w:val="0"/>
        <w:keepLines w:val="0"/>
        <w:pageBreakBefore w:val="0"/>
        <w:kinsoku/>
        <w:overflowPunct/>
        <w:autoSpaceDE w:val="0"/>
        <w:autoSpaceDN w:val="0"/>
        <w:bidi w:val="0"/>
        <w:spacing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5"/>
          <w:sz w:val="23"/>
          <w:szCs w:val="23"/>
          <w:highlight w:val="none"/>
        </w:rPr>
        <w:t>(</w:t>
      </w:r>
      <w:r>
        <w:rPr>
          <w:rFonts w:hint="eastAsia" w:ascii="黑体" w:hAnsi="黑体" w:eastAsia="黑体" w:cs="黑体"/>
          <w:color w:val="auto"/>
          <w:spacing w:val="4"/>
          <w:sz w:val="23"/>
          <w:szCs w:val="23"/>
          <w:highlight w:val="none"/>
        </w:rPr>
        <w:t>3)拒绝履行合同义务的；</w:t>
      </w:r>
    </w:p>
    <w:p w14:paraId="18FB114C">
      <w:pPr>
        <w:keepNext w:val="0"/>
        <w:keepLines w:val="0"/>
        <w:pageBreakBefore w:val="0"/>
        <w:kinsoku/>
        <w:overflowPunct/>
        <w:autoSpaceDE w:val="0"/>
        <w:autoSpaceDN w:val="0"/>
        <w:bidi w:val="0"/>
        <w:spacing w:before="186" w:line="227" w:lineRule="auto"/>
        <w:ind w:left="543"/>
        <w:rPr>
          <w:rFonts w:hint="eastAsia" w:ascii="黑体" w:hAnsi="黑体" w:eastAsia="黑体" w:cs="黑体"/>
          <w:color w:val="auto"/>
          <w:sz w:val="23"/>
          <w:szCs w:val="23"/>
          <w:highlight w:val="none"/>
        </w:rPr>
      </w:pPr>
      <w:r>
        <w:rPr>
          <w:rFonts w:hint="eastAsia" w:ascii="黑体" w:hAnsi="黑体" w:eastAsia="黑体" w:cs="黑体"/>
          <w:color w:val="auto"/>
          <w:spacing w:val="8"/>
          <w:sz w:val="23"/>
          <w:szCs w:val="23"/>
          <w:highlight w:val="none"/>
        </w:rPr>
        <w:t>(</w:t>
      </w:r>
      <w:r>
        <w:rPr>
          <w:rFonts w:hint="eastAsia" w:ascii="黑体" w:hAnsi="黑体" w:eastAsia="黑体" w:cs="黑体"/>
          <w:color w:val="auto"/>
          <w:spacing w:val="5"/>
          <w:sz w:val="23"/>
          <w:szCs w:val="23"/>
          <w:highlight w:val="none"/>
        </w:rPr>
        <w:t>4)违反法律法规相关规定的</w:t>
      </w:r>
    </w:p>
    <w:p w14:paraId="444D0542">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18"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29426B0E">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pPr>
      <w:bookmarkStart w:id="61" w:name="_Toc27091"/>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第三章评标办法(综合评估法)</w:t>
      </w:r>
      <w:bookmarkEnd w:id="61"/>
    </w:p>
    <w:p w14:paraId="1E1E4908">
      <w:pPr>
        <w:autoSpaceDE w:val="0"/>
        <w:autoSpaceDN w:val="0"/>
        <w:adjustRightInd w:val="0"/>
        <w:spacing w:line="240" w:lineRule="auto"/>
        <w:jc w:val="center"/>
        <w:outlineLvl w:val="1"/>
        <w:rPr>
          <w:rFonts w:hint="eastAsia" w:ascii="黑体" w:hAnsi="黑体" w:eastAsia="黑体" w:cs="黑体"/>
          <w:b/>
          <w:color w:val="auto"/>
          <w:sz w:val="24"/>
          <w:szCs w:val="24"/>
          <w:lang w:val="zh-CN"/>
        </w:rPr>
      </w:pPr>
      <w:bookmarkStart w:id="62" w:name="_Toc14311"/>
      <w:r>
        <w:rPr>
          <w:rFonts w:hint="eastAsia" w:ascii="黑体" w:hAnsi="黑体" w:eastAsia="黑体" w:cs="黑体"/>
          <w:b/>
          <w:color w:val="auto"/>
          <w:sz w:val="24"/>
          <w:szCs w:val="24"/>
          <w:lang w:val="zh-CN"/>
        </w:rPr>
        <w:t>评标办法前附表（一）</w:t>
      </w:r>
      <w:bookmarkEnd w:id="62"/>
    </w:p>
    <w:p w14:paraId="3A942CE4">
      <w:pPr>
        <w:bidi w:val="0"/>
        <w:rPr>
          <w:rFonts w:hint="eastAsia"/>
          <w:lang w:val="zh-CN"/>
        </w:rPr>
      </w:pPr>
    </w:p>
    <w:tbl>
      <w:tblPr>
        <w:tblStyle w:val="17"/>
        <w:tblW w:w="93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1765"/>
        <w:gridCol w:w="6602"/>
      </w:tblGrid>
      <w:tr w14:paraId="11D66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jc w:val="center"/>
        </w:trPr>
        <w:tc>
          <w:tcPr>
            <w:tcW w:w="949" w:type="dxa"/>
            <w:vMerge w:val="restart"/>
            <w:vAlign w:val="center"/>
          </w:tcPr>
          <w:p w14:paraId="5DE44F82">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黑体" w:hAnsi="黑体" w:eastAsia="黑体" w:cs="黑体"/>
                <w:color w:val="auto"/>
                <w:sz w:val="21"/>
                <w:szCs w:val="21"/>
                <w:highlight w:val="none"/>
                <w:lang w:val="zh-CN"/>
              </w:rPr>
            </w:pPr>
            <w:r>
              <w:rPr>
                <w:rFonts w:hint="eastAsia" w:ascii="黑体" w:hAnsi="黑体" w:eastAsia="黑体" w:cs="黑体"/>
                <w:color w:val="auto"/>
                <w:sz w:val="21"/>
                <w:szCs w:val="21"/>
                <w:highlight w:val="none"/>
                <w:lang w:val="zh-CN"/>
              </w:rPr>
              <w:t>资格评审标准</w:t>
            </w:r>
          </w:p>
        </w:tc>
        <w:tc>
          <w:tcPr>
            <w:tcW w:w="1765" w:type="dxa"/>
            <w:vAlign w:val="center"/>
          </w:tcPr>
          <w:p w14:paraId="453F42E7">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lang w:val="zh-CN"/>
              </w:rPr>
              <w:t>营业执照</w:t>
            </w:r>
          </w:p>
        </w:tc>
        <w:tc>
          <w:tcPr>
            <w:tcW w:w="6602" w:type="dxa"/>
            <w:vAlign w:val="center"/>
          </w:tcPr>
          <w:p w14:paraId="2E8F0609">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rPr>
              <w:t>具备有效的营业执照，响应文件内附营业执照复印件加盖</w:t>
            </w:r>
            <w:r>
              <w:rPr>
                <w:rFonts w:hint="eastAsia" w:ascii="黑体" w:hAnsi="黑体" w:eastAsia="黑体" w:cs="黑体"/>
                <w:color w:val="auto"/>
                <w:sz w:val="21"/>
                <w:szCs w:val="21"/>
                <w:highlight w:val="none"/>
                <w:lang w:eastAsia="zh-CN"/>
              </w:rPr>
              <w:t>供应商</w:t>
            </w:r>
            <w:r>
              <w:rPr>
                <w:rFonts w:hint="eastAsia" w:ascii="黑体" w:hAnsi="黑体" w:eastAsia="黑体" w:cs="黑体"/>
                <w:color w:val="auto"/>
                <w:sz w:val="21"/>
                <w:szCs w:val="21"/>
                <w:highlight w:val="none"/>
              </w:rPr>
              <w:t>公章</w:t>
            </w:r>
            <w:r>
              <w:rPr>
                <w:rFonts w:hint="eastAsia" w:ascii="黑体" w:hAnsi="黑体" w:eastAsia="黑体" w:cs="黑体"/>
                <w:color w:val="auto"/>
                <w:sz w:val="21"/>
                <w:szCs w:val="21"/>
                <w:highlight w:val="none"/>
                <w:lang w:val="zh-CN"/>
              </w:rPr>
              <w:t>。</w:t>
            </w:r>
          </w:p>
        </w:tc>
      </w:tr>
      <w:tr w14:paraId="69FCC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7" w:hRule="atLeast"/>
          <w:jc w:val="center"/>
        </w:trPr>
        <w:tc>
          <w:tcPr>
            <w:tcW w:w="949" w:type="dxa"/>
            <w:vMerge w:val="continue"/>
            <w:vAlign w:val="center"/>
          </w:tcPr>
          <w:p w14:paraId="12A75EB9">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0B8B5F8F">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黑体" w:hAnsi="黑体" w:eastAsia="黑体" w:cs="黑体"/>
                <w:bCs/>
                <w:color w:val="auto"/>
                <w:sz w:val="21"/>
                <w:szCs w:val="21"/>
                <w:highlight w:val="none"/>
                <w:shd w:val="clear" w:color="auto" w:fill="FFFFFF"/>
                <w:lang w:val="zh-CN" w:eastAsia="zh-CN"/>
              </w:rPr>
            </w:pPr>
            <w:r>
              <w:rPr>
                <w:rFonts w:hint="eastAsia" w:ascii="黑体" w:hAnsi="黑体" w:eastAsia="黑体" w:cs="黑体"/>
                <w:bCs/>
                <w:color w:val="auto"/>
                <w:sz w:val="21"/>
                <w:szCs w:val="21"/>
                <w:highlight w:val="none"/>
                <w:shd w:val="clear" w:color="auto" w:fill="FFFFFF"/>
                <w:lang w:val="zh-CN" w:eastAsia="zh-CN"/>
              </w:rPr>
              <w:t>信誉</w:t>
            </w:r>
          </w:p>
        </w:tc>
        <w:tc>
          <w:tcPr>
            <w:tcW w:w="6602" w:type="dxa"/>
            <w:vAlign w:val="center"/>
          </w:tcPr>
          <w:p w14:paraId="06059999">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黑体" w:hAnsi="黑体" w:eastAsia="黑体" w:cs="黑体"/>
                <w:bCs/>
                <w:color w:val="auto"/>
                <w:sz w:val="21"/>
                <w:szCs w:val="21"/>
                <w:highlight w:val="none"/>
                <w:shd w:val="clear" w:color="auto" w:fill="FFFFFF"/>
                <w:lang w:val="en-US" w:eastAsia="zh-CN"/>
              </w:rPr>
            </w:pPr>
            <w:r>
              <w:rPr>
                <w:rFonts w:hint="eastAsia" w:ascii="黑体" w:hAnsi="黑体" w:eastAsia="黑体" w:cs="黑体"/>
                <w:bCs/>
                <w:color w:val="auto"/>
                <w:sz w:val="21"/>
                <w:szCs w:val="21"/>
                <w:highlight w:val="none"/>
                <w:shd w:val="clear" w:color="auto" w:fill="FFFFFF"/>
                <w:lang w:val="en-US" w:eastAsia="zh-CN"/>
              </w:rPr>
              <w:t>对在“信用中国”网站(www.creditchina.gov.cn)存在失信被执行人、重大税收违法失信主体，被中国政府采购网(www.ccgp.gov.cn)列入政府采购严重违法失信行为记录名单中列入经营异常名录或严重违法失信名单及其他不符合《中华人民共和国政府采购法》第二十二条规定条件的供应商，不得参与政府采购活动</w:t>
            </w:r>
            <w:r>
              <w:rPr>
                <w:rFonts w:hint="eastAsia" w:ascii="黑体" w:hAnsi="黑体" w:eastAsia="黑体" w:cs="黑体"/>
                <w:bCs/>
                <w:color w:val="auto"/>
                <w:sz w:val="21"/>
                <w:szCs w:val="21"/>
                <w:highlight w:val="none"/>
                <w:shd w:val="clear" w:color="auto" w:fill="FFFFFF"/>
                <w:lang w:val="zh-CN" w:eastAsia="zh-CN"/>
              </w:rPr>
              <w:t>（处罚决定规定的时间和地域范围内）</w:t>
            </w:r>
            <w:r>
              <w:rPr>
                <w:rFonts w:hint="eastAsia" w:ascii="黑体" w:hAnsi="黑体" w:eastAsia="黑体" w:cs="黑体"/>
                <w:bCs/>
                <w:color w:val="auto"/>
                <w:sz w:val="21"/>
                <w:szCs w:val="21"/>
                <w:highlight w:val="none"/>
                <w:shd w:val="clear" w:color="auto" w:fill="FFFFFF"/>
                <w:lang w:val="en-US" w:eastAsia="zh-CN"/>
              </w:rPr>
              <w:t>。</w:t>
            </w:r>
          </w:p>
          <w:p w14:paraId="0684EFD6">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黑体" w:hAnsi="黑体" w:eastAsia="黑体" w:cs="黑体"/>
                <w:bCs/>
                <w:color w:val="auto"/>
                <w:sz w:val="21"/>
                <w:szCs w:val="21"/>
                <w:highlight w:val="none"/>
                <w:shd w:val="clear" w:color="auto" w:fill="FFFFFF"/>
                <w:lang w:val="en-US" w:eastAsia="zh-CN"/>
              </w:rPr>
            </w:pPr>
            <w:r>
              <w:rPr>
                <w:rFonts w:hint="eastAsia" w:ascii="黑体" w:hAnsi="黑体" w:eastAsia="黑体" w:cs="黑体"/>
                <w:bCs/>
                <w:color w:val="auto"/>
                <w:sz w:val="21"/>
                <w:szCs w:val="21"/>
                <w:highlight w:val="none"/>
                <w:shd w:val="clear" w:color="auto" w:fill="FFFFFF"/>
                <w:lang w:val="en-US" w:eastAsia="zh-CN"/>
              </w:rPr>
              <w:t>查询时间为本项目开启后进行评审前由资格审查小组在政采云系统直接网上查询。</w:t>
            </w:r>
          </w:p>
        </w:tc>
      </w:tr>
      <w:tr w14:paraId="77BD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47" w:hRule="atLeast"/>
          <w:jc w:val="center"/>
        </w:trPr>
        <w:tc>
          <w:tcPr>
            <w:tcW w:w="949" w:type="dxa"/>
            <w:vMerge w:val="continue"/>
            <w:vAlign w:val="center"/>
          </w:tcPr>
          <w:p w14:paraId="7E2BCDF2">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38EC2872">
            <w:pPr>
              <w:autoSpaceDE w:val="0"/>
              <w:autoSpaceDN w:val="0"/>
              <w:adjustRightInd w:val="0"/>
              <w:jc w:val="center"/>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lang w:eastAsia="zh-CN"/>
              </w:rPr>
              <w:t>良好的商业信誉和健全的财务会计制度</w:t>
            </w:r>
          </w:p>
        </w:tc>
        <w:tc>
          <w:tcPr>
            <w:tcW w:w="6602" w:type="dxa"/>
            <w:vAlign w:val="center"/>
          </w:tcPr>
          <w:p w14:paraId="0893B766">
            <w:pPr>
              <w:autoSpaceDE w:val="0"/>
              <w:autoSpaceDN w:val="0"/>
              <w:adjustRightInd w:val="0"/>
              <w:spacing w:line="312" w:lineRule="auto"/>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lang w:eastAsia="zh-CN"/>
              </w:rPr>
              <w:t>投标人须具有良好的商业信誉和健全的财务会计制度，按照以下要求提供相应材料。</w:t>
            </w:r>
          </w:p>
          <w:p w14:paraId="477CF73C">
            <w:pPr>
              <w:widowControl/>
              <w:spacing w:line="312" w:lineRule="auto"/>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lang w:eastAsia="zh-CN"/>
              </w:rPr>
              <w:t>应提供</w:t>
            </w:r>
            <w:r>
              <w:rPr>
                <w:rFonts w:hint="eastAsia" w:ascii="黑体" w:hAnsi="黑体" w:eastAsia="黑体" w:cs="黑体"/>
                <w:color w:val="auto"/>
                <w:sz w:val="21"/>
                <w:szCs w:val="21"/>
                <w:highlight w:val="none"/>
                <w:lang w:val="en-US" w:eastAsia="zh-CN"/>
              </w:rPr>
              <w:t>2023年</w:t>
            </w:r>
            <w:r>
              <w:rPr>
                <w:rFonts w:hint="eastAsia" w:ascii="黑体" w:hAnsi="黑体" w:eastAsia="黑体" w:cs="黑体"/>
                <w:color w:val="auto"/>
                <w:sz w:val="21"/>
                <w:szCs w:val="21"/>
                <w:highlight w:val="none"/>
                <w:lang w:eastAsia="zh-CN"/>
              </w:rPr>
              <w:t>度</w:t>
            </w:r>
            <w:r>
              <w:rPr>
                <w:rFonts w:hint="eastAsia" w:ascii="黑体" w:hAnsi="黑体" w:eastAsia="黑体" w:cs="黑体"/>
                <w:color w:val="auto"/>
                <w:sz w:val="21"/>
                <w:szCs w:val="21"/>
                <w:highlight w:val="none"/>
                <w:lang w:val="en-US" w:eastAsia="zh-CN"/>
              </w:rPr>
              <w:t>或2024年度</w:t>
            </w:r>
            <w:r>
              <w:rPr>
                <w:rFonts w:hint="eastAsia" w:ascii="黑体" w:hAnsi="黑体" w:eastAsia="黑体" w:cs="黑体"/>
                <w:color w:val="auto"/>
                <w:sz w:val="21"/>
                <w:szCs w:val="21"/>
                <w:highlight w:val="none"/>
                <w:lang w:eastAsia="zh-CN"/>
              </w:rPr>
              <w:t>经审计的财务报告复印件，或其基本开户银行出具的开标日前三个月的资信证明原件（或复印件）或按投标文件格式提供资格条件承诺函</w:t>
            </w:r>
            <w:r>
              <w:rPr>
                <w:rFonts w:hint="eastAsia" w:ascii="黑体" w:hAnsi="黑体" w:eastAsia="黑体" w:cs="黑体"/>
                <w:b/>
                <w:color w:val="auto"/>
                <w:sz w:val="21"/>
                <w:szCs w:val="21"/>
                <w:highlight w:val="none"/>
                <w:lang w:eastAsia="zh-CN"/>
              </w:rPr>
              <w:t>①（不适用信用承诺的情形不得仅提供承诺函①）</w:t>
            </w:r>
            <w:r>
              <w:rPr>
                <w:rFonts w:hint="eastAsia" w:ascii="黑体" w:hAnsi="黑体" w:eastAsia="黑体" w:cs="黑体"/>
                <w:color w:val="auto"/>
                <w:sz w:val="21"/>
                <w:szCs w:val="21"/>
                <w:highlight w:val="none"/>
                <w:lang w:eastAsia="zh-CN"/>
              </w:rPr>
              <w:t xml:space="preserve">； </w:t>
            </w:r>
          </w:p>
          <w:p w14:paraId="431EAE21">
            <w:pPr>
              <w:widowControl/>
              <w:spacing w:line="312" w:lineRule="auto"/>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sz w:val="21"/>
                <w:szCs w:val="21"/>
                <w:highlight w:val="none"/>
                <w:lang w:eastAsia="zh-CN"/>
              </w:rPr>
              <w:t>说明：银行资信证明若提供的是复印件，招标采购单位保留审核原件的权利。若资信证明中有注明复印无效等规定，则必须在投标文件正本中提供原件，否则将视为未提供资信证明。202</w:t>
            </w:r>
            <w:r>
              <w:rPr>
                <w:rFonts w:hint="eastAsia" w:ascii="黑体" w:hAnsi="黑体" w:eastAsia="黑体" w:cs="黑体"/>
                <w:color w:val="auto"/>
                <w:sz w:val="21"/>
                <w:szCs w:val="21"/>
                <w:highlight w:val="none"/>
                <w:lang w:val="en-US" w:eastAsia="zh-CN"/>
              </w:rPr>
              <w:t>5</w:t>
            </w:r>
            <w:r>
              <w:rPr>
                <w:rFonts w:hint="eastAsia" w:ascii="黑体" w:hAnsi="黑体" w:eastAsia="黑体" w:cs="黑体"/>
                <w:color w:val="auto"/>
                <w:sz w:val="21"/>
                <w:szCs w:val="21"/>
                <w:highlight w:val="none"/>
                <w:lang w:eastAsia="zh-CN"/>
              </w:rPr>
              <w:t>年及以后新成立的企业可按投标文件格式提供资格条件承诺函</w:t>
            </w:r>
            <w:r>
              <w:rPr>
                <w:rFonts w:hint="eastAsia" w:ascii="黑体" w:hAnsi="黑体" w:eastAsia="黑体" w:cs="黑体"/>
                <w:b/>
                <w:color w:val="auto"/>
                <w:sz w:val="21"/>
                <w:szCs w:val="21"/>
                <w:highlight w:val="none"/>
                <w:lang w:eastAsia="zh-CN"/>
              </w:rPr>
              <w:t>①（不适用信用承诺的情形不得仅提供承诺函①）</w:t>
            </w:r>
            <w:r>
              <w:rPr>
                <w:rFonts w:hint="eastAsia" w:ascii="黑体" w:hAnsi="黑体" w:eastAsia="黑体" w:cs="黑体"/>
                <w:b/>
                <w:bCs/>
                <w:color w:val="auto"/>
                <w:sz w:val="21"/>
                <w:szCs w:val="21"/>
                <w:highlight w:val="none"/>
                <w:lang w:eastAsia="zh-CN"/>
              </w:rPr>
              <w:t>。</w:t>
            </w:r>
          </w:p>
        </w:tc>
      </w:tr>
      <w:tr w14:paraId="61A33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949" w:type="dxa"/>
            <w:vMerge w:val="continue"/>
            <w:vAlign w:val="center"/>
          </w:tcPr>
          <w:p w14:paraId="42560918">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68F849E6">
            <w:pPr>
              <w:kinsoku w:val="0"/>
              <w:overflowPunct w:val="0"/>
              <w:autoSpaceDE w:val="0"/>
              <w:autoSpaceDN w:val="0"/>
              <w:adjustRightInd w:val="0"/>
              <w:snapToGrid w:val="0"/>
              <w:spacing w:line="400" w:lineRule="exact"/>
              <w:jc w:val="center"/>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sz w:val="21"/>
                <w:szCs w:val="21"/>
                <w:highlight w:val="none"/>
                <w:lang w:eastAsia="zh-CN"/>
              </w:rPr>
              <w:t>依法缴纳税收和社会保障资金证明</w:t>
            </w:r>
          </w:p>
        </w:tc>
        <w:tc>
          <w:tcPr>
            <w:tcW w:w="6602" w:type="dxa"/>
            <w:vAlign w:val="center"/>
          </w:tcPr>
          <w:p w14:paraId="61AAFA86">
            <w:pPr>
              <w:autoSpaceDE w:val="0"/>
              <w:autoSpaceDN w:val="0"/>
              <w:adjustRightInd w:val="0"/>
              <w:spacing w:line="312" w:lineRule="auto"/>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lang w:eastAsia="zh-CN"/>
              </w:rPr>
              <w:t>投标人须具有依法缴纳税收和社会保障资金的良好记录，按照以下要求提供相应材料。</w:t>
            </w:r>
          </w:p>
          <w:p w14:paraId="350676E0">
            <w:pPr>
              <w:widowControl/>
              <w:spacing w:line="312" w:lineRule="auto"/>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lang w:eastAsia="zh-CN"/>
              </w:rPr>
              <w:t>缴纳税收的证明材料，应提供开标前六个月内任意一个月的依法缴税凭据复印件（依法免税的投标人，须提供相应文件证明其依法免税）或按投标文件格式提供资格条件承诺函</w:t>
            </w:r>
            <w:r>
              <w:rPr>
                <w:rFonts w:hint="eastAsia" w:ascii="黑体" w:hAnsi="黑体" w:eastAsia="黑体" w:cs="黑体"/>
                <w:b/>
                <w:color w:val="auto"/>
                <w:sz w:val="21"/>
                <w:szCs w:val="21"/>
                <w:highlight w:val="none"/>
                <w:lang w:eastAsia="zh-CN"/>
              </w:rPr>
              <w:t>①（不适用信用承诺的情形不得仅提供承诺函①）</w:t>
            </w:r>
            <w:r>
              <w:rPr>
                <w:rFonts w:hint="eastAsia" w:ascii="黑体" w:hAnsi="黑体" w:eastAsia="黑体" w:cs="黑体"/>
                <w:color w:val="auto"/>
                <w:sz w:val="21"/>
                <w:szCs w:val="21"/>
                <w:highlight w:val="none"/>
                <w:lang w:eastAsia="zh-CN"/>
              </w:rPr>
              <w:t>；</w:t>
            </w:r>
          </w:p>
          <w:p w14:paraId="21B01083">
            <w:pPr>
              <w:kinsoku w:val="0"/>
              <w:overflowPunct w:val="0"/>
              <w:autoSpaceDE w:val="0"/>
              <w:autoSpaceDN w:val="0"/>
              <w:adjustRightInd w:val="0"/>
              <w:snapToGrid w:val="0"/>
              <w:spacing w:line="400" w:lineRule="exact"/>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lang w:eastAsia="zh-CN"/>
              </w:rPr>
              <w:t>缴纳社会保障资金的证明材料，应提供开标前六个月内任意一个月的缴纳社会保险的凭据复印件（专用收据或社会保险缴纳清单，依法不需要缴纳社会保障资金的投标人，须提供相应文件证明其依法不需要缴纳社会保障资金）或按投标文件格式提供资格条件承诺函</w:t>
            </w:r>
            <w:r>
              <w:rPr>
                <w:rFonts w:hint="eastAsia" w:ascii="黑体" w:hAnsi="黑体" w:eastAsia="黑体" w:cs="黑体"/>
                <w:b/>
                <w:color w:val="auto"/>
                <w:sz w:val="21"/>
                <w:szCs w:val="21"/>
                <w:highlight w:val="none"/>
                <w:lang w:eastAsia="zh-CN"/>
              </w:rPr>
              <w:t>①（不适用信用承诺的情形不得仅提供承诺函①）</w:t>
            </w:r>
            <w:r>
              <w:rPr>
                <w:rFonts w:hint="eastAsia" w:ascii="黑体" w:hAnsi="黑体" w:eastAsia="黑体" w:cs="黑体"/>
                <w:color w:val="auto"/>
                <w:sz w:val="21"/>
                <w:szCs w:val="21"/>
                <w:highlight w:val="none"/>
                <w:lang w:eastAsia="zh-CN"/>
              </w:rPr>
              <w:t>；</w:t>
            </w:r>
          </w:p>
        </w:tc>
      </w:tr>
      <w:tr w14:paraId="35FC5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7" w:hRule="atLeast"/>
          <w:jc w:val="center"/>
        </w:trPr>
        <w:tc>
          <w:tcPr>
            <w:tcW w:w="949" w:type="dxa"/>
            <w:vMerge w:val="continue"/>
            <w:vAlign w:val="center"/>
          </w:tcPr>
          <w:p w14:paraId="1609A035">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57B243BD">
            <w:pPr>
              <w:autoSpaceDE w:val="0"/>
              <w:autoSpaceDN w:val="0"/>
              <w:adjustRightInd w:val="0"/>
              <w:jc w:val="center"/>
              <w:rPr>
                <w:rFonts w:hint="eastAsia" w:ascii="黑体" w:hAnsi="黑体" w:eastAsia="黑体" w:cs="黑体"/>
                <w:b w:val="0"/>
                <w:bCs w:val="0"/>
                <w:color w:val="auto"/>
                <w:kern w:val="2"/>
                <w:sz w:val="21"/>
                <w:szCs w:val="21"/>
                <w:highlight w:val="none"/>
                <w:lang w:val="en-US" w:eastAsia="zh-CN" w:bidi="ar-SA"/>
              </w:rPr>
            </w:pPr>
            <w:r>
              <w:rPr>
                <w:rFonts w:hint="eastAsia" w:ascii="黑体" w:hAnsi="黑体" w:eastAsia="黑体" w:cs="黑体"/>
                <w:b w:val="0"/>
                <w:bCs w:val="0"/>
                <w:color w:val="auto"/>
                <w:sz w:val="21"/>
                <w:szCs w:val="21"/>
                <w:highlight w:val="none"/>
                <w:lang w:eastAsia="zh-CN"/>
              </w:rPr>
              <w:t>声明书②</w:t>
            </w:r>
          </w:p>
        </w:tc>
        <w:tc>
          <w:tcPr>
            <w:tcW w:w="6602" w:type="dxa"/>
            <w:vAlign w:val="center"/>
          </w:tcPr>
          <w:p w14:paraId="703AA045">
            <w:pPr>
              <w:autoSpaceDE w:val="0"/>
              <w:autoSpaceDN w:val="0"/>
              <w:adjustRightInd w:val="0"/>
              <w:spacing w:line="312" w:lineRule="auto"/>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sz w:val="21"/>
                <w:szCs w:val="21"/>
                <w:highlight w:val="none"/>
                <w:lang w:eastAsia="zh-CN"/>
              </w:rPr>
              <w:t>投标人须具有履行合同所必需的设备和专业技术能力，须附相关证明材料或书面声明。</w:t>
            </w:r>
          </w:p>
        </w:tc>
      </w:tr>
      <w:tr w14:paraId="0D89B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7" w:hRule="atLeast"/>
          <w:jc w:val="center"/>
        </w:trPr>
        <w:tc>
          <w:tcPr>
            <w:tcW w:w="949" w:type="dxa"/>
            <w:vMerge w:val="continue"/>
            <w:vAlign w:val="center"/>
          </w:tcPr>
          <w:p w14:paraId="17C53AA3">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00E3358C">
            <w:pPr>
              <w:autoSpaceDE w:val="0"/>
              <w:autoSpaceDN w:val="0"/>
              <w:adjustRightInd w:val="0"/>
              <w:jc w:val="center"/>
              <w:rPr>
                <w:rFonts w:hint="eastAsia" w:ascii="黑体" w:hAnsi="黑体" w:eastAsia="黑体" w:cs="黑体"/>
                <w:b w:val="0"/>
                <w:bCs w:val="0"/>
                <w:color w:val="auto"/>
                <w:kern w:val="2"/>
                <w:sz w:val="21"/>
                <w:szCs w:val="21"/>
                <w:highlight w:val="none"/>
                <w:lang w:val="en-US" w:eastAsia="zh-CN" w:bidi="ar-SA"/>
              </w:rPr>
            </w:pPr>
            <w:r>
              <w:rPr>
                <w:rFonts w:hint="eastAsia" w:ascii="黑体" w:hAnsi="黑体" w:eastAsia="黑体" w:cs="黑体"/>
                <w:b w:val="0"/>
                <w:bCs w:val="0"/>
                <w:color w:val="auto"/>
                <w:sz w:val="21"/>
                <w:szCs w:val="21"/>
                <w:highlight w:val="none"/>
                <w:lang w:eastAsia="zh-CN"/>
              </w:rPr>
              <w:t>声明书③</w:t>
            </w:r>
          </w:p>
        </w:tc>
        <w:tc>
          <w:tcPr>
            <w:tcW w:w="6602" w:type="dxa"/>
            <w:vAlign w:val="center"/>
          </w:tcPr>
          <w:p w14:paraId="68C7C6BD">
            <w:pPr>
              <w:autoSpaceDE w:val="0"/>
              <w:autoSpaceDN w:val="0"/>
              <w:adjustRightInd w:val="0"/>
              <w:spacing w:line="312" w:lineRule="auto"/>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lang w:eastAsia="zh-CN"/>
              </w:rPr>
              <w:t xml:space="preserve">投标人须提供参与本采购活动前三年内在经营活动中没有重大违法记录的书面声明。 </w:t>
            </w:r>
          </w:p>
          <w:p w14:paraId="4672B4FB">
            <w:pPr>
              <w:pStyle w:val="8"/>
              <w:spacing w:line="312" w:lineRule="auto"/>
              <w:rPr>
                <w:rFonts w:hint="eastAsia" w:ascii="黑体" w:hAnsi="黑体" w:eastAsia="黑体" w:cs="黑体"/>
                <w:color w:val="auto"/>
                <w:sz w:val="21"/>
                <w:szCs w:val="21"/>
                <w:highlight w:val="none"/>
                <w:lang w:val="zh-CN" w:eastAsia="zh-CN" w:bidi="ar-SA"/>
              </w:rPr>
            </w:pPr>
            <w:r>
              <w:rPr>
                <w:rFonts w:hint="eastAsia" w:ascii="黑体" w:hAnsi="黑体" w:eastAsia="黑体" w:cs="黑体"/>
                <w:color w:val="auto"/>
                <w:sz w:val="21"/>
                <w:szCs w:val="21"/>
                <w:highlight w:val="none"/>
              </w:rPr>
              <w:t>注：重大违法记录是指投标人因违法经营受到刑事处罚或者责令停产停业、吊销许可证或者执照、较大数额罚款等行政处罚</w:t>
            </w:r>
            <w:r>
              <w:rPr>
                <w:rFonts w:hint="eastAsia" w:ascii="黑体" w:hAnsi="黑体" w:eastAsia="黑体" w:cs="黑体"/>
                <w:bCs/>
                <w:color w:val="auto"/>
                <w:sz w:val="21"/>
                <w:szCs w:val="21"/>
                <w:highlight w:val="none"/>
                <w:lang w:val="zh-CN"/>
              </w:rPr>
              <w:t>（根据财库〔2022〕3号文，“较大数额罚款”认定为200万元以上的罚款，法律、行政法规以及国务院有关部门明确规定相关领域“较大数额罚款”标准高于200万元的，从其规定）</w:t>
            </w:r>
          </w:p>
        </w:tc>
      </w:tr>
      <w:tr w14:paraId="7F05C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7" w:hRule="atLeast"/>
          <w:jc w:val="center"/>
        </w:trPr>
        <w:tc>
          <w:tcPr>
            <w:tcW w:w="949" w:type="dxa"/>
            <w:vMerge w:val="continue"/>
            <w:vAlign w:val="center"/>
          </w:tcPr>
          <w:p w14:paraId="1F30567A">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014C7466">
            <w:pPr>
              <w:autoSpaceDE w:val="0"/>
              <w:autoSpaceDN w:val="0"/>
              <w:adjustRightInd w:val="0"/>
              <w:jc w:val="center"/>
              <w:rPr>
                <w:rFonts w:hint="eastAsia" w:ascii="黑体" w:hAnsi="黑体" w:eastAsia="黑体" w:cs="黑体"/>
                <w:b w:val="0"/>
                <w:bCs w:val="0"/>
                <w:color w:val="auto"/>
                <w:kern w:val="2"/>
                <w:sz w:val="21"/>
                <w:szCs w:val="21"/>
                <w:highlight w:val="none"/>
                <w:lang w:val="en-US" w:eastAsia="zh-CN" w:bidi="ar-SA"/>
              </w:rPr>
            </w:pPr>
            <w:r>
              <w:rPr>
                <w:rFonts w:hint="eastAsia" w:ascii="黑体" w:hAnsi="黑体" w:eastAsia="黑体" w:cs="黑体"/>
                <w:b w:val="0"/>
                <w:bCs w:val="0"/>
                <w:color w:val="auto"/>
                <w:sz w:val="21"/>
                <w:szCs w:val="21"/>
                <w:highlight w:val="none"/>
                <w:lang w:eastAsia="zh-CN"/>
              </w:rPr>
              <w:t>声明书④</w:t>
            </w:r>
          </w:p>
        </w:tc>
        <w:tc>
          <w:tcPr>
            <w:tcW w:w="6602" w:type="dxa"/>
            <w:vAlign w:val="center"/>
          </w:tcPr>
          <w:p w14:paraId="77E3D019">
            <w:pPr>
              <w:autoSpaceDE w:val="0"/>
              <w:autoSpaceDN w:val="0"/>
              <w:adjustRightInd w:val="0"/>
              <w:spacing w:line="312" w:lineRule="auto"/>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lang w:val="zh-CN" w:eastAsia="zh-CN"/>
              </w:rPr>
              <w:t>单位负责人为同一人或者存在直接控股、管理关系的不同投标人，不得参加同一包的投标或者未划分包的同一招标项目的投标，投标人须提供声明。</w:t>
            </w:r>
          </w:p>
        </w:tc>
      </w:tr>
      <w:tr w14:paraId="2A35B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center"/>
        </w:trPr>
        <w:tc>
          <w:tcPr>
            <w:tcW w:w="949" w:type="dxa"/>
            <w:vMerge w:val="continue"/>
            <w:vAlign w:val="center"/>
          </w:tcPr>
          <w:p w14:paraId="52B19A1F">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4351BEE9">
            <w:pPr>
              <w:autoSpaceDE w:val="0"/>
              <w:autoSpaceDN w:val="0"/>
              <w:adjustRightInd w:val="0"/>
              <w:jc w:val="center"/>
              <w:rPr>
                <w:rFonts w:hint="eastAsia" w:ascii="黑体" w:hAnsi="黑体" w:eastAsia="黑体" w:cs="黑体"/>
                <w:b w:val="0"/>
                <w:bCs w:val="0"/>
                <w:color w:val="auto"/>
                <w:kern w:val="2"/>
                <w:sz w:val="21"/>
                <w:szCs w:val="21"/>
                <w:highlight w:val="none"/>
                <w:lang w:val="en-US" w:eastAsia="zh-CN" w:bidi="ar-SA"/>
              </w:rPr>
            </w:pPr>
            <w:r>
              <w:rPr>
                <w:rFonts w:hint="eastAsia" w:ascii="黑体" w:hAnsi="黑体" w:eastAsia="黑体" w:cs="黑体"/>
                <w:b w:val="0"/>
                <w:bCs w:val="0"/>
                <w:color w:val="auto"/>
                <w:sz w:val="21"/>
                <w:szCs w:val="21"/>
                <w:highlight w:val="none"/>
                <w:lang w:eastAsia="zh-CN"/>
              </w:rPr>
              <w:t>声明书⑤</w:t>
            </w:r>
          </w:p>
        </w:tc>
        <w:tc>
          <w:tcPr>
            <w:tcW w:w="6602" w:type="dxa"/>
            <w:vAlign w:val="center"/>
          </w:tcPr>
          <w:p w14:paraId="01D4F97C">
            <w:pPr>
              <w:autoSpaceDE w:val="0"/>
              <w:autoSpaceDN w:val="0"/>
              <w:adjustRightInd w:val="0"/>
              <w:spacing w:line="312" w:lineRule="auto"/>
              <w:rPr>
                <w:rFonts w:hint="eastAsia" w:ascii="黑体" w:hAnsi="黑体" w:eastAsia="黑体" w:cs="黑体"/>
                <w:color w:val="auto"/>
                <w:kern w:val="2"/>
                <w:sz w:val="21"/>
                <w:szCs w:val="21"/>
                <w:highlight w:val="none"/>
                <w:lang w:val="zh-CN" w:eastAsia="zh-CN" w:bidi="ar-SA"/>
              </w:rPr>
            </w:pPr>
            <w:r>
              <w:rPr>
                <w:rFonts w:hint="eastAsia" w:ascii="黑体" w:hAnsi="黑体" w:eastAsia="黑体" w:cs="黑体"/>
                <w:color w:val="auto"/>
                <w:sz w:val="21"/>
                <w:szCs w:val="21"/>
                <w:highlight w:val="none"/>
                <w:lang w:val="zh-CN" w:eastAsia="zh-CN"/>
              </w:rPr>
              <w:t>为本采购项目提供过整体设计、规范编制或者项目管理、监理、检测等服务的投标人及其附属机构，不得再参加本采购项目的投标活动，投标人须提供声明。</w:t>
            </w:r>
          </w:p>
        </w:tc>
      </w:tr>
      <w:tr w14:paraId="07257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8" w:hRule="atLeast"/>
          <w:jc w:val="center"/>
        </w:trPr>
        <w:tc>
          <w:tcPr>
            <w:tcW w:w="949" w:type="dxa"/>
            <w:vMerge w:val="continue"/>
            <w:vAlign w:val="center"/>
          </w:tcPr>
          <w:p w14:paraId="33B6BFCC">
            <w:pPr>
              <w:keepNext w:val="0"/>
              <w:keepLines w:val="0"/>
              <w:pageBreakBefore w:val="0"/>
              <w:widowControl w:val="0"/>
              <w:kinsoku/>
              <w:wordWrap/>
              <w:overflowPunct/>
              <w:topLinePunct w:val="0"/>
              <w:autoSpaceDE w:val="0"/>
              <w:autoSpaceDN w:val="0"/>
              <w:bidi w:val="0"/>
              <w:adjustRightInd w:val="0"/>
              <w:snapToGrid w:val="0"/>
              <w:spacing w:line="240" w:lineRule="auto"/>
              <w:jc w:val="left"/>
              <w:textAlignment w:val="auto"/>
              <w:rPr>
                <w:rFonts w:hint="eastAsia" w:ascii="黑体" w:hAnsi="黑体" w:eastAsia="黑体" w:cs="黑体"/>
                <w:color w:val="auto"/>
                <w:sz w:val="21"/>
                <w:szCs w:val="21"/>
                <w:highlight w:val="none"/>
                <w:lang w:val="zh-CN"/>
              </w:rPr>
            </w:pPr>
          </w:p>
        </w:tc>
        <w:tc>
          <w:tcPr>
            <w:tcW w:w="1765" w:type="dxa"/>
            <w:vAlign w:val="center"/>
          </w:tcPr>
          <w:p w14:paraId="6066B28C">
            <w:pPr>
              <w:keepNext w:val="0"/>
              <w:keepLines w:val="0"/>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黑体" w:hAnsi="黑体" w:eastAsia="黑体" w:cs="黑体"/>
                <w:bCs/>
                <w:color w:val="auto"/>
                <w:kern w:val="2"/>
                <w:sz w:val="21"/>
                <w:szCs w:val="21"/>
                <w:highlight w:val="none"/>
                <w:lang w:val="en-US" w:eastAsia="zh-CN" w:bidi="ar-SA"/>
              </w:rPr>
            </w:pPr>
            <w:r>
              <w:rPr>
                <w:rFonts w:hint="eastAsia" w:ascii="黑体" w:hAnsi="黑体" w:eastAsia="黑体" w:cs="黑体"/>
                <w:bCs/>
                <w:color w:val="auto"/>
                <w:sz w:val="21"/>
                <w:szCs w:val="21"/>
                <w:highlight w:val="none"/>
                <w:lang w:val="zh-CN" w:eastAsia="zh-CN"/>
              </w:rPr>
              <w:t>落实政府采购政策需满足的资格要求</w:t>
            </w:r>
          </w:p>
        </w:tc>
        <w:tc>
          <w:tcPr>
            <w:tcW w:w="6602" w:type="dxa"/>
            <w:vAlign w:val="center"/>
          </w:tcPr>
          <w:p w14:paraId="17071FAE">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黑体" w:hAnsi="黑体" w:eastAsia="黑体" w:cs="黑体"/>
                <w:bCs/>
                <w:color w:val="auto"/>
                <w:sz w:val="21"/>
                <w:szCs w:val="21"/>
                <w:highlight w:val="none"/>
                <w:lang w:val="en-US"/>
              </w:rPr>
            </w:pPr>
            <w:r>
              <w:rPr>
                <w:rFonts w:hint="eastAsia" w:ascii="黑体" w:hAnsi="黑体" w:eastAsia="黑体" w:cs="黑体"/>
                <w:bCs/>
                <w:color w:val="auto"/>
                <w:sz w:val="21"/>
                <w:szCs w:val="21"/>
                <w:highlight w:val="none"/>
                <w:u w:val="none"/>
                <w:lang w:val="en-US" w:eastAsia="zh-CN"/>
              </w:rPr>
              <w:t>本项目专门面向中小企业采购</w:t>
            </w:r>
            <w:r>
              <w:rPr>
                <w:rFonts w:hint="eastAsia" w:ascii="黑体" w:hAnsi="黑体" w:eastAsia="黑体" w:cs="黑体"/>
                <w:bCs/>
                <w:color w:val="auto"/>
                <w:sz w:val="21"/>
                <w:szCs w:val="21"/>
                <w:highlight w:val="none"/>
                <w:lang w:val="en-US" w:eastAsia="zh-CN"/>
              </w:rPr>
              <w:t>，供应商须是中小微企业，残疾人福利性单位、监狱企业视同小型、微型企业。本项目中小企业划分标准所属行业为</w:t>
            </w:r>
            <w:r>
              <w:rPr>
                <w:rFonts w:hint="eastAsia" w:ascii="黑体" w:hAnsi="黑体" w:eastAsia="黑体" w:cs="黑体"/>
                <w:bCs/>
                <w:color w:val="auto"/>
                <w:sz w:val="21"/>
                <w:szCs w:val="21"/>
                <w:highlight w:val="none"/>
                <w:u w:val="none"/>
                <w:lang w:val="en-US" w:eastAsia="zh-CN"/>
              </w:rPr>
              <w:t>：</w:t>
            </w:r>
            <w:r>
              <w:rPr>
                <w:rFonts w:hint="eastAsia" w:ascii="黑体" w:hAnsi="黑体" w:eastAsia="黑体" w:cs="黑体"/>
                <w:b/>
                <w:bCs w:val="0"/>
                <w:color w:val="auto"/>
                <w:sz w:val="21"/>
                <w:szCs w:val="21"/>
                <w:highlight w:val="none"/>
                <w:u w:val="single"/>
                <w:lang w:val="en-US" w:eastAsia="zh-CN"/>
              </w:rPr>
              <w:t>其他未列明行业</w:t>
            </w:r>
            <w:r>
              <w:rPr>
                <w:rFonts w:hint="eastAsia" w:ascii="黑体" w:hAnsi="黑体" w:eastAsia="黑体" w:cs="黑体"/>
                <w:bCs/>
                <w:color w:val="auto"/>
                <w:sz w:val="21"/>
                <w:szCs w:val="21"/>
                <w:highlight w:val="none"/>
                <w:lang w:val="en-US" w:eastAsia="zh-CN"/>
              </w:rPr>
              <w:t>。</w:t>
            </w:r>
          </w:p>
          <w:p w14:paraId="05C8AE9F">
            <w:pPr>
              <w:keepNext w:val="0"/>
              <w:keepLines w:val="0"/>
              <w:pageBreakBefore w:val="0"/>
              <w:widowControl w:val="0"/>
              <w:kinsoku/>
              <w:wordWrap/>
              <w:overflowPunct/>
              <w:topLinePunct w:val="0"/>
              <w:autoSpaceDE w:val="0"/>
              <w:autoSpaceDN w:val="0"/>
              <w:bidi w:val="0"/>
              <w:adjustRightInd w:val="0"/>
              <w:snapToGrid w:val="0"/>
              <w:spacing w:line="240" w:lineRule="auto"/>
              <w:textAlignment w:val="auto"/>
              <w:rPr>
                <w:rFonts w:hint="eastAsia" w:ascii="黑体" w:hAnsi="黑体" w:eastAsia="黑体" w:cs="黑体"/>
                <w:bCs/>
                <w:color w:val="auto"/>
                <w:kern w:val="2"/>
                <w:sz w:val="21"/>
                <w:szCs w:val="21"/>
                <w:highlight w:val="none"/>
                <w:lang w:val="zh-CN" w:eastAsia="zh-CN" w:bidi="ar-SA"/>
              </w:rPr>
            </w:pPr>
            <w:r>
              <w:rPr>
                <w:rFonts w:hint="eastAsia" w:ascii="黑体" w:hAnsi="黑体" w:eastAsia="黑体" w:cs="黑体"/>
                <w:bCs/>
                <w:color w:val="auto"/>
                <w:sz w:val="21"/>
                <w:szCs w:val="21"/>
                <w:highlight w:val="none"/>
                <w:lang w:val="zh-CN" w:eastAsia="zh-CN"/>
              </w:rPr>
              <w:t>提供中小企业声明函或残疾人福利性单位、监狱企业证明原件于响应文件内。</w:t>
            </w:r>
          </w:p>
        </w:tc>
      </w:tr>
    </w:tbl>
    <w:p w14:paraId="324677EA">
      <w:pPr>
        <w:bidi w:val="0"/>
        <w:rPr>
          <w:rFonts w:hint="eastAsia"/>
          <w:lang w:val="zh-CN"/>
        </w:rPr>
      </w:pPr>
    </w:p>
    <w:p w14:paraId="61BCCBDC">
      <w:pPr>
        <w:bidi w:val="0"/>
        <w:rPr>
          <w:rFonts w:hint="eastAsia"/>
          <w:lang w:val="zh-CN"/>
        </w:rPr>
      </w:pPr>
    </w:p>
    <w:p w14:paraId="3F6E6A92">
      <w:pPr>
        <w:bidi w:val="0"/>
        <w:rPr>
          <w:rFonts w:hint="eastAsia"/>
          <w:lang w:val="zh-CN"/>
        </w:rPr>
      </w:pPr>
    </w:p>
    <w:p w14:paraId="5046B638">
      <w:pPr>
        <w:bidi w:val="0"/>
        <w:rPr>
          <w:rFonts w:hint="eastAsia"/>
          <w:lang w:val="zh-CN"/>
        </w:rPr>
      </w:pPr>
    </w:p>
    <w:tbl>
      <w:tblPr>
        <w:tblStyle w:val="18"/>
        <w:tblW w:w="0" w:type="auto"/>
        <w:tblInd w:w="4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745"/>
        <w:gridCol w:w="6682"/>
      </w:tblGrid>
      <w:tr w14:paraId="1D893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927" w:type="dxa"/>
            <w:vMerge w:val="restart"/>
            <w:vAlign w:val="center"/>
          </w:tcPr>
          <w:p w14:paraId="1C69FCAA">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default" w:ascii="黑体" w:hAnsi="黑体" w:eastAsia="黑体" w:cs="黑体"/>
                <w:color w:val="auto"/>
                <w:vertAlign w:val="baseline"/>
                <w:lang w:val="en-US" w:eastAsia="zh-CN"/>
              </w:rPr>
            </w:pPr>
            <w:r>
              <w:rPr>
                <w:rFonts w:hint="eastAsia" w:ascii="黑体" w:hAnsi="黑体" w:eastAsia="黑体" w:cs="黑体"/>
                <w:bCs/>
                <w:color w:val="auto"/>
                <w:sz w:val="21"/>
                <w:szCs w:val="21"/>
                <w:lang w:val="en-US" w:eastAsia="zh-CN"/>
              </w:rPr>
              <w:t>符合性审查</w:t>
            </w:r>
          </w:p>
        </w:tc>
        <w:tc>
          <w:tcPr>
            <w:tcW w:w="1745" w:type="dxa"/>
            <w:vAlign w:val="center"/>
          </w:tcPr>
          <w:p w14:paraId="3A1E71B6">
            <w:pPr>
              <w:keepNext w:val="0"/>
              <w:keepLines w:val="0"/>
              <w:pageBreakBefore w:val="0"/>
              <w:widowControl w:val="0"/>
              <w:kinsoku w:val="0"/>
              <w:wordWrap/>
              <w:overflowPunct/>
              <w:topLinePunct w:val="0"/>
              <w:autoSpaceDE w:val="0"/>
              <w:autoSpaceDN w:val="0"/>
              <w:bidi w:val="0"/>
              <w:adjustRightInd w:val="0"/>
              <w:snapToGrid w:val="0"/>
              <w:spacing w:line="300" w:lineRule="exact"/>
              <w:jc w:val="both"/>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投标人名称</w:t>
            </w:r>
          </w:p>
        </w:tc>
        <w:tc>
          <w:tcPr>
            <w:tcW w:w="6682" w:type="dxa"/>
            <w:vAlign w:val="center"/>
          </w:tcPr>
          <w:p w14:paraId="56E1091B">
            <w:pPr>
              <w:keepNext w:val="0"/>
              <w:keepLines w:val="0"/>
              <w:pageBreakBefore w:val="0"/>
              <w:widowControl w:val="0"/>
              <w:kinsoku w:val="0"/>
              <w:wordWrap/>
              <w:overflowPunct/>
              <w:topLinePunct w:val="0"/>
              <w:autoSpaceDE w:val="0"/>
              <w:autoSpaceDN w:val="0"/>
              <w:bidi w:val="0"/>
              <w:adjustRightInd w:val="0"/>
              <w:snapToGrid w:val="0"/>
              <w:spacing w:line="300" w:lineRule="exact"/>
              <w:jc w:val="center"/>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与营业执照一致</w:t>
            </w:r>
          </w:p>
        </w:tc>
      </w:tr>
      <w:tr w14:paraId="1FA42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927" w:type="dxa"/>
            <w:vMerge w:val="continue"/>
            <w:vAlign w:val="center"/>
          </w:tcPr>
          <w:p w14:paraId="64F479CA">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vAlign w:val="center"/>
          </w:tcPr>
          <w:p w14:paraId="15CD44FD">
            <w:pPr>
              <w:keepNext w:val="0"/>
              <w:keepLines w:val="0"/>
              <w:pageBreakBefore w:val="0"/>
              <w:widowControl w:val="0"/>
              <w:kinsoku w:val="0"/>
              <w:wordWrap/>
              <w:overflowPunct/>
              <w:topLinePunct w:val="0"/>
              <w:autoSpaceDE w:val="0"/>
              <w:autoSpaceDN w:val="0"/>
              <w:bidi w:val="0"/>
              <w:adjustRightInd w:val="0"/>
              <w:snapToGrid w:val="0"/>
              <w:spacing w:line="300" w:lineRule="exact"/>
              <w:jc w:val="both"/>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投标函签字盖章</w:t>
            </w:r>
          </w:p>
        </w:tc>
        <w:tc>
          <w:tcPr>
            <w:tcW w:w="6682" w:type="dxa"/>
            <w:vAlign w:val="center"/>
          </w:tcPr>
          <w:p w14:paraId="3F987D2B">
            <w:pPr>
              <w:keepNext w:val="0"/>
              <w:keepLines w:val="0"/>
              <w:pageBreakBefore w:val="0"/>
              <w:widowControl w:val="0"/>
              <w:kinsoku w:val="0"/>
              <w:wordWrap/>
              <w:overflowPunct/>
              <w:topLinePunct w:val="0"/>
              <w:autoSpaceDE w:val="0"/>
              <w:autoSpaceDN w:val="0"/>
              <w:bidi w:val="0"/>
              <w:adjustRightInd w:val="0"/>
              <w:snapToGrid w:val="0"/>
              <w:spacing w:line="300" w:lineRule="exact"/>
              <w:jc w:val="center"/>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有法定代表人或其委托代理人签字或盖章并加盖单位章</w:t>
            </w:r>
          </w:p>
        </w:tc>
      </w:tr>
      <w:tr w14:paraId="7AD9F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927" w:type="dxa"/>
            <w:vMerge w:val="continue"/>
            <w:vAlign w:val="center"/>
          </w:tcPr>
          <w:p w14:paraId="5D542D30">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vAlign w:val="center"/>
          </w:tcPr>
          <w:p w14:paraId="548CA067">
            <w:pPr>
              <w:keepNext w:val="0"/>
              <w:keepLines w:val="0"/>
              <w:pageBreakBefore w:val="0"/>
              <w:widowControl w:val="0"/>
              <w:kinsoku w:val="0"/>
              <w:wordWrap/>
              <w:overflowPunct/>
              <w:topLinePunct w:val="0"/>
              <w:autoSpaceDE w:val="0"/>
              <w:autoSpaceDN w:val="0"/>
              <w:bidi w:val="0"/>
              <w:adjustRightInd w:val="0"/>
              <w:snapToGrid w:val="0"/>
              <w:spacing w:line="300" w:lineRule="exact"/>
              <w:jc w:val="both"/>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投标文件格式</w:t>
            </w:r>
          </w:p>
        </w:tc>
        <w:tc>
          <w:tcPr>
            <w:tcW w:w="6682" w:type="dxa"/>
            <w:vAlign w:val="center"/>
          </w:tcPr>
          <w:p w14:paraId="127D06E7">
            <w:pPr>
              <w:keepNext w:val="0"/>
              <w:keepLines w:val="0"/>
              <w:pageBreakBefore w:val="0"/>
              <w:widowControl w:val="0"/>
              <w:kinsoku w:val="0"/>
              <w:wordWrap/>
              <w:overflowPunct/>
              <w:topLinePunct w:val="0"/>
              <w:autoSpaceDE w:val="0"/>
              <w:autoSpaceDN w:val="0"/>
              <w:bidi w:val="0"/>
              <w:adjustRightInd w:val="0"/>
              <w:snapToGrid w:val="0"/>
              <w:spacing w:line="300" w:lineRule="exact"/>
              <w:jc w:val="center"/>
              <w:textAlignment w:val="baseline"/>
              <w:rPr>
                <w:rFonts w:hint="eastAsia" w:ascii="黑体" w:hAnsi="黑体" w:eastAsia="黑体" w:cs="黑体"/>
                <w:bCs/>
                <w:color w:val="auto"/>
                <w:sz w:val="21"/>
                <w:szCs w:val="21"/>
                <w:lang w:val="zh-CN" w:eastAsia="zh-CN"/>
              </w:rPr>
            </w:pPr>
            <w:r>
              <w:rPr>
                <w:rFonts w:hint="eastAsia" w:ascii="黑体" w:hAnsi="黑体" w:eastAsia="黑体" w:cs="黑体"/>
                <w:bCs/>
                <w:color w:val="auto"/>
                <w:sz w:val="21"/>
                <w:szCs w:val="21"/>
                <w:lang w:val="zh-CN"/>
              </w:rPr>
              <w:t>符合第六章“磋商响应文件格式”的要求</w:t>
            </w:r>
          </w:p>
        </w:tc>
      </w:tr>
      <w:tr w14:paraId="1CF5E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927" w:type="dxa"/>
            <w:vMerge w:val="continue"/>
            <w:vAlign w:val="center"/>
          </w:tcPr>
          <w:p w14:paraId="477D08BD">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33D6F471">
            <w:pPr>
              <w:pStyle w:val="29"/>
              <w:keepNext w:val="0"/>
              <w:keepLines w:val="0"/>
              <w:pageBreakBefore w:val="0"/>
              <w:widowControl w:val="0"/>
              <w:kinsoku w:val="0"/>
              <w:wordWrap/>
              <w:overflowPunct/>
              <w:topLinePunct w:val="0"/>
              <w:autoSpaceDE w:val="0"/>
              <w:autoSpaceDN w:val="0"/>
              <w:bidi w:val="0"/>
              <w:adjustRightInd w:val="0"/>
              <w:snapToGrid w:val="0"/>
              <w:spacing w:before="149" w:line="220" w:lineRule="auto"/>
              <w:jc w:val="both"/>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pacing w:val="-2"/>
                <w:sz w:val="21"/>
                <w:szCs w:val="21"/>
              </w:rPr>
              <w:t>合同履约期限</w:t>
            </w:r>
          </w:p>
        </w:tc>
        <w:tc>
          <w:tcPr>
            <w:tcW w:w="6682" w:type="dxa"/>
            <w:shd w:val="clear" w:color="auto" w:fill="auto"/>
            <w:vAlign w:val="center"/>
          </w:tcPr>
          <w:p w14:paraId="74864FB8">
            <w:pPr>
              <w:pStyle w:val="29"/>
              <w:keepNext w:val="0"/>
              <w:keepLines w:val="0"/>
              <w:pageBreakBefore w:val="0"/>
              <w:widowControl w:val="0"/>
              <w:kinsoku w:val="0"/>
              <w:wordWrap/>
              <w:overflowPunct/>
              <w:topLinePunct w:val="0"/>
              <w:autoSpaceDE w:val="0"/>
              <w:autoSpaceDN w:val="0"/>
              <w:bidi w:val="0"/>
              <w:adjustRightInd w:val="0"/>
              <w:snapToGrid w:val="0"/>
              <w:spacing w:before="148" w:line="220" w:lineRule="auto"/>
              <w:ind w:left="50" w:leftChars="0"/>
              <w:jc w:val="center"/>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pacing w:val="-4"/>
                <w:sz w:val="21"/>
                <w:szCs w:val="21"/>
              </w:rPr>
              <w:t>自合同签订之日起至合同履行完毕</w:t>
            </w:r>
          </w:p>
        </w:tc>
      </w:tr>
      <w:tr w14:paraId="0F69E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927" w:type="dxa"/>
            <w:vMerge w:val="continue"/>
            <w:vAlign w:val="center"/>
          </w:tcPr>
          <w:p w14:paraId="63BCB561">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1005AEA5">
            <w:pPr>
              <w:pStyle w:val="29"/>
              <w:keepNext w:val="0"/>
              <w:keepLines w:val="0"/>
              <w:pageBreakBefore w:val="0"/>
              <w:widowControl w:val="0"/>
              <w:kinsoku w:val="0"/>
              <w:wordWrap/>
              <w:overflowPunct/>
              <w:topLinePunct w:val="0"/>
              <w:autoSpaceDE w:val="0"/>
              <w:autoSpaceDN w:val="0"/>
              <w:bidi w:val="0"/>
              <w:adjustRightInd w:val="0"/>
              <w:snapToGrid w:val="0"/>
              <w:spacing w:before="245" w:line="220" w:lineRule="auto"/>
              <w:jc w:val="both"/>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pacing w:val="-2"/>
                <w:sz w:val="21"/>
                <w:szCs w:val="21"/>
              </w:rPr>
              <w:t>质量要求</w:t>
            </w:r>
          </w:p>
        </w:tc>
        <w:tc>
          <w:tcPr>
            <w:tcW w:w="6682" w:type="dxa"/>
            <w:shd w:val="clear" w:color="auto" w:fill="auto"/>
            <w:vAlign w:val="center"/>
          </w:tcPr>
          <w:p w14:paraId="34650757">
            <w:pPr>
              <w:pStyle w:val="29"/>
              <w:keepNext w:val="0"/>
              <w:keepLines w:val="0"/>
              <w:pageBreakBefore w:val="0"/>
              <w:widowControl w:val="0"/>
              <w:kinsoku w:val="0"/>
              <w:wordWrap/>
              <w:overflowPunct/>
              <w:topLinePunct w:val="0"/>
              <w:autoSpaceDE w:val="0"/>
              <w:autoSpaceDN w:val="0"/>
              <w:bidi w:val="0"/>
              <w:adjustRightInd w:val="0"/>
              <w:snapToGrid w:val="0"/>
              <w:spacing w:before="244" w:line="219" w:lineRule="auto"/>
              <w:ind w:left="13" w:leftChars="0"/>
              <w:jc w:val="center"/>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pacing w:val="-1"/>
                <w:sz w:val="21"/>
                <w:szCs w:val="21"/>
              </w:rPr>
              <w:t>符合国家及行业相关规范及标准，且提供优质服务</w:t>
            </w:r>
          </w:p>
        </w:tc>
      </w:tr>
      <w:tr w14:paraId="7FEDC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927" w:type="dxa"/>
            <w:vMerge w:val="continue"/>
            <w:vAlign w:val="center"/>
          </w:tcPr>
          <w:p w14:paraId="78A8226D">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474296E3">
            <w:pPr>
              <w:pStyle w:val="29"/>
              <w:keepNext w:val="0"/>
              <w:keepLines w:val="0"/>
              <w:pageBreakBefore w:val="0"/>
              <w:widowControl w:val="0"/>
              <w:kinsoku w:val="0"/>
              <w:wordWrap/>
              <w:overflowPunct/>
              <w:topLinePunct w:val="0"/>
              <w:autoSpaceDE w:val="0"/>
              <w:autoSpaceDN w:val="0"/>
              <w:bidi w:val="0"/>
              <w:adjustRightInd w:val="0"/>
              <w:snapToGrid w:val="0"/>
              <w:spacing w:before="176" w:line="220" w:lineRule="auto"/>
              <w:jc w:val="both"/>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pacing w:val="-2"/>
                <w:sz w:val="21"/>
                <w:szCs w:val="21"/>
                <w:lang w:val="en-US" w:eastAsia="zh-CN"/>
              </w:rPr>
              <w:t>磋商</w:t>
            </w:r>
            <w:r>
              <w:rPr>
                <w:rFonts w:hint="eastAsia" w:ascii="黑体" w:hAnsi="黑体" w:eastAsia="黑体" w:cs="黑体"/>
                <w:spacing w:val="-2"/>
                <w:sz w:val="21"/>
                <w:szCs w:val="21"/>
              </w:rPr>
              <w:t>有效期</w:t>
            </w:r>
          </w:p>
        </w:tc>
        <w:tc>
          <w:tcPr>
            <w:tcW w:w="6682" w:type="dxa"/>
            <w:shd w:val="clear" w:color="auto" w:fill="auto"/>
            <w:vAlign w:val="center"/>
          </w:tcPr>
          <w:p w14:paraId="77A369F8">
            <w:pPr>
              <w:pStyle w:val="29"/>
              <w:keepNext w:val="0"/>
              <w:keepLines w:val="0"/>
              <w:pageBreakBefore w:val="0"/>
              <w:widowControl w:val="0"/>
              <w:kinsoku w:val="0"/>
              <w:wordWrap/>
              <w:overflowPunct/>
              <w:topLinePunct w:val="0"/>
              <w:autoSpaceDE w:val="0"/>
              <w:autoSpaceDN w:val="0"/>
              <w:bidi w:val="0"/>
              <w:adjustRightInd w:val="0"/>
              <w:snapToGrid w:val="0"/>
              <w:spacing w:before="176" w:line="220" w:lineRule="auto"/>
              <w:ind w:left="14" w:leftChars="0"/>
              <w:jc w:val="center"/>
              <w:textAlignment w:val="baseline"/>
              <w:rPr>
                <w:rFonts w:hint="eastAsia" w:ascii="黑体" w:hAnsi="黑体" w:eastAsia="黑体" w:cs="黑体"/>
                <w:snapToGrid w:val="0"/>
                <w:color w:val="000000"/>
                <w:kern w:val="0"/>
                <w:sz w:val="21"/>
                <w:szCs w:val="21"/>
                <w:lang w:val="zh-CN" w:eastAsia="zh-CN" w:bidi="ar-SA"/>
              </w:rPr>
            </w:pPr>
            <w:r>
              <w:rPr>
                <w:rFonts w:hint="eastAsia" w:ascii="黑体" w:hAnsi="黑体" w:eastAsia="黑体" w:cs="黑体"/>
                <w:snapToGrid w:val="0"/>
                <w:color w:val="000000"/>
                <w:kern w:val="0"/>
                <w:sz w:val="21"/>
                <w:szCs w:val="21"/>
                <w:lang w:val="en-US" w:eastAsia="zh-CN" w:bidi="ar-SA"/>
              </w:rPr>
              <w:t>投标截止之日后90天(日历天)</w:t>
            </w:r>
          </w:p>
        </w:tc>
      </w:tr>
      <w:tr w14:paraId="7F8AE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7" w:type="dxa"/>
            <w:vMerge w:val="continue"/>
            <w:vAlign w:val="center"/>
          </w:tcPr>
          <w:p w14:paraId="6758B8ED">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45DC6689">
            <w:pPr>
              <w:pStyle w:val="29"/>
              <w:keepNext w:val="0"/>
              <w:keepLines w:val="0"/>
              <w:pageBreakBefore w:val="0"/>
              <w:widowControl w:val="0"/>
              <w:kinsoku w:val="0"/>
              <w:wordWrap/>
              <w:overflowPunct/>
              <w:topLinePunct w:val="0"/>
              <w:autoSpaceDE w:val="0"/>
              <w:autoSpaceDN w:val="0"/>
              <w:bidi w:val="0"/>
              <w:adjustRightInd w:val="0"/>
              <w:snapToGrid w:val="0"/>
              <w:spacing w:before="157" w:line="220" w:lineRule="auto"/>
              <w:jc w:val="both"/>
              <w:textAlignment w:val="baseline"/>
              <w:rPr>
                <w:rFonts w:hint="eastAsia" w:ascii="黑体" w:hAnsi="黑体" w:eastAsia="黑体" w:cs="黑体"/>
                <w:bCs/>
                <w:snapToGrid w:val="0"/>
                <w:color w:val="auto"/>
                <w:kern w:val="2"/>
                <w:sz w:val="21"/>
                <w:szCs w:val="21"/>
                <w:lang w:val="zh-CN" w:eastAsia="zh-CN" w:bidi="ar-SA"/>
              </w:rPr>
            </w:pPr>
            <w:r>
              <w:rPr>
                <w:rFonts w:hint="eastAsia" w:ascii="黑体" w:hAnsi="黑体" w:eastAsia="黑体" w:cs="黑体"/>
                <w:spacing w:val="-3"/>
                <w:sz w:val="21"/>
                <w:szCs w:val="21"/>
                <w:lang w:val="en-US" w:eastAsia="zh-CN"/>
              </w:rPr>
              <w:t>磋商</w:t>
            </w:r>
            <w:r>
              <w:rPr>
                <w:rFonts w:hint="eastAsia" w:ascii="黑体" w:hAnsi="黑体" w:eastAsia="黑体" w:cs="黑体"/>
                <w:spacing w:val="-3"/>
                <w:sz w:val="21"/>
                <w:szCs w:val="21"/>
              </w:rPr>
              <w:t>保证金</w:t>
            </w:r>
          </w:p>
        </w:tc>
        <w:tc>
          <w:tcPr>
            <w:tcW w:w="6682" w:type="dxa"/>
            <w:shd w:val="clear" w:color="auto" w:fill="auto"/>
            <w:vAlign w:val="center"/>
          </w:tcPr>
          <w:p w14:paraId="3575E585">
            <w:pPr>
              <w:pStyle w:val="29"/>
              <w:keepNext w:val="0"/>
              <w:keepLines w:val="0"/>
              <w:pageBreakBefore w:val="0"/>
              <w:widowControl w:val="0"/>
              <w:kinsoku w:val="0"/>
              <w:wordWrap/>
              <w:overflowPunct/>
              <w:topLinePunct w:val="0"/>
              <w:autoSpaceDE w:val="0"/>
              <w:autoSpaceDN w:val="0"/>
              <w:bidi w:val="0"/>
              <w:adjustRightInd w:val="0"/>
              <w:snapToGrid w:val="0"/>
              <w:spacing w:before="157" w:line="219" w:lineRule="auto"/>
              <w:ind w:left="13" w:leftChars="0"/>
              <w:jc w:val="center"/>
              <w:textAlignment w:val="baseline"/>
              <w:rPr>
                <w:rFonts w:hint="eastAsia" w:ascii="黑体" w:hAnsi="黑体" w:eastAsia="黑体" w:cs="黑体"/>
                <w:bCs/>
                <w:snapToGrid w:val="0"/>
                <w:color w:val="auto"/>
                <w:kern w:val="2"/>
                <w:sz w:val="21"/>
                <w:szCs w:val="21"/>
                <w:lang w:val="zh-CN" w:eastAsia="zh-CN" w:bidi="ar-SA"/>
              </w:rPr>
            </w:pPr>
            <w:r>
              <w:rPr>
                <w:rFonts w:hint="eastAsia" w:ascii="黑体" w:hAnsi="黑体" w:eastAsia="黑体" w:cs="黑体"/>
                <w:color w:val="auto"/>
                <w:spacing w:val="-1"/>
                <w:sz w:val="21"/>
                <w:szCs w:val="21"/>
              </w:rPr>
              <w:t>符合</w:t>
            </w:r>
            <w:r>
              <w:rPr>
                <w:rFonts w:hint="eastAsia" w:ascii="黑体" w:hAnsi="黑体" w:eastAsia="黑体" w:cs="黑体"/>
                <w:color w:val="auto"/>
                <w:spacing w:val="-1"/>
                <w:sz w:val="21"/>
                <w:szCs w:val="21"/>
                <w:lang w:val="en-US" w:eastAsia="zh-CN"/>
              </w:rPr>
              <w:t>招标文件</w:t>
            </w:r>
            <w:r>
              <w:rPr>
                <w:rFonts w:hint="eastAsia" w:ascii="黑体" w:hAnsi="黑体" w:eastAsia="黑体" w:cs="黑体"/>
                <w:color w:val="auto"/>
                <w:spacing w:val="-1"/>
                <w:sz w:val="21"/>
                <w:szCs w:val="21"/>
              </w:rPr>
              <w:t>要求</w:t>
            </w:r>
          </w:p>
        </w:tc>
      </w:tr>
      <w:tr w14:paraId="31BAC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vMerge w:val="continue"/>
            <w:vAlign w:val="center"/>
          </w:tcPr>
          <w:p w14:paraId="7F2A28FB">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181A7798">
            <w:pPr>
              <w:pStyle w:val="29"/>
              <w:keepNext w:val="0"/>
              <w:keepLines w:val="0"/>
              <w:pageBreakBefore w:val="0"/>
              <w:widowControl w:val="0"/>
              <w:kinsoku w:val="0"/>
              <w:wordWrap/>
              <w:overflowPunct/>
              <w:topLinePunct w:val="0"/>
              <w:autoSpaceDE w:val="0"/>
              <w:autoSpaceDN w:val="0"/>
              <w:bidi w:val="0"/>
              <w:adjustRightInd w:val="0"/>
              <w:snapToGrid w:val="0"/>
              <w:spacing w:before="176" w:line="218" w:lineRule="auto"/>
              <w:jc w:val="both"/>
              <w:textAlignment w:val="baseline"/>
              <w:rPr>
                <w:rFonts w:hint="eastAsia" w:ascii="黑体" w:hAnsi="黑体" w:eastAsia="黑体" w:cs="黑体"/>
                <w:b w:val="0"/>
                <w:bCs/>
                <w:snapToGrid w:val="0"/>
                <w:color w:val="000000"/>
                <w:kern w:val="2"/>
                <w:sz w:val="21"/>
                <w:szCs w:val="21"/>
                <w:highlight w:val="none"/>
                <w:lang w:val="zh-CN" w:eastAsia="zh-CN" w:bidi="ar-SA"/>
              </w:rPr>
            </w:pPr>
            <w:r>
              <w:rPr>
                <w:rFonts w:hint="eastAsia" w:ascii="黑体" w:hAnsi="黑体" w:eastAsia="黑体" w:cs="黑体"/>
                <w:spacing w:val="-3"/>
                <w:sz w:val="21"/>
                <w:szCs w:val="21"/>
              </w:rPr>
              <w:t>投标报价</w:t>
            </w:r>
          </w:p>
        </w:tc>
        <w:tc>
          <w:tcPr>
            <w:tcW w:w="6682" w:type="dxa"/>
            <w:shd w:val="clear" w:color="auto" w:fill="auto"/>
            <w:vAlign w:val="center"/>
          </w:tcPr>
          <w:p w14:paraId="0101F9A7">
            <w:pPr>
              <w:pStyle w:val="29"/>
              <w:keepNext w:val="0"/>
              <w:keepLines w:val="0"/>
              <w:pageBreakBefore w:val="0"/>
              <w:widowControl w:val="0"/>
              <w:kinsoku w:val="0"/>
              <w:wordWrap/>
              <w:overflowPunct/>
              <w:topLinePunct w:val="0"/>
              <w:autoSpaceDE w:val="0"/>
              <w:autoSpaceDN w:val="0"/>
              <w:bidi w:val="0"/>
              <w:adjustRightInd w:val="0"/>
              <w:snapToGrid w:val="0"/>
              <w:spacing w:before="176" w:line="218" w:lineRule="auto"/>
              <w:ind w:left="15" w:leftChars="0"/>
              <w:jc w:val="center"/>
              <w:textAlignment w:val="baseline"/>
              <w:rPr>
                <w:rFonts w:hint="eastAsia" w:ascii="黑体" w:hAnsi="黑体" w:eastAsia="黑体" w:cs="黑体"/>
                <w:b w:val="0"/>
                <w:snapToGrid w:val="0"/>
                <w:color w:val="auto"/>
                <w:kern w:val="2"/>
                <w:sz w:val="21"/>
                <w:szCs w:val="21"/>
                <w:highlight w:val="none"/>
                <w:lang w:val="en-US" w:eastAsia="zh-CN" w:bidi="ar-SA"/>
              </w:rPr>
            </w:pPr>
            <w:r>
              <w:rPr>
                <w:rFonts w:hint="eastAsia" w:ascii="黑体" w:hAnsi="黑体" w:eastAsia="黑体" w:cs="黑体"/>
                <w:bCs/>
                <w:color w:val="auto"/>
                <w:sz w:val="21"/>
                <w:szCs w:val="21"/>
                <w:lang w:val="zh-CN"/>
              </w:rPr>
              <w:t>只能有一个有效报价，</w:t>
            </w:r>
            <w:r>
              <w:rPr>
                <w:rFonts w:hint="eastAsia" w:ascii="黑体" w:hAnsi="黑体" w:eastAsia="黑体" w:cs="黑体"/>
                <w:bCs/>
                <w:color w:val="auto"/>
                <w:sz w:val="21"/>
                <w:szCs w:val="21"/>
                <w:lang w:val="en-US" w:eastAsia="zh-CN"/>
              </w:rPr>
              <w:t>且</w:t>
            </w:r>
            <w:r>
              <w:rPr>
                <w:rFonts w:hint="eastAsia" w:ascii="黑体" w:hAnsi="黑体" w:eastAsia="黑体" w:cs="黑体"/>
                <w:spacing w:val="-1"/>
                <w:sz w:val="21"/>
                <w:szCs w:val="21"/>
              </w:rPr>
              <w:t>不得高于本项目的采购预算及最高投标限价</w:t>
            </w:r>
          </w:p>
        </w:tc>
      </w:tr>
      <w:tr w14:paraId="749A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27" w:type="dxa"/>
            <w:vMerge w:val="continue"/>
            <w:vAlign w:val="center"/>
          </w:tcPr>
          <w:p w14:paraId="7A26CEA3">
            <w:pPr>
              <w:keepNext w:val="0"/>
              <w:keepLines w:val="0"/>
              <w:pageBreakBefore w:val="0"/>
              <w:widowControl w:val="0"/>
              <w:kinsoku w:val="0"/>
              <w:wordWrap/>
              <w:overflowPunct/>
              <w:topLinePunct w:val="0"/>
              <w:autoSpaceDE w:val="0"/>
              <w:autoSpaceDN w:val="0"/>
              <w:bidi w:val="0"/>
              <w:adjustRightInd w:val="0"/>
              <w:snapToGrid w:val="0"/>
              <w:jc w:val="center"/>
              <w:textAlignment w:val="baseline"/>
              <w:rPr>
                <w:rFonts w:hint="eastAsia" w:ascii="黑体" w:hAnsi="黑体" w:eastAsia="黑体" w:cs="黑体"/>
                <w:color w:val="auto"/>
                <w:vertAlign w:val="baseline"/>
                <w:lang w:val="zh-CN"/>
              </w:rPr>
            </w:pPr>
          </w:p>
        </w:tc>
        <w:tc>
          <w:tcPr>
            <w:tcW w:w="1745" w:type="dxa"/>
            <w:shd w:val="clear" w:color="auto" w:fill="auto"/>
            <w:vAlign w:val="center"/>
          </w:tcPr>
          <w:p w14:paraId="77CF348A">
            <w:pPr>
              <w:pStyle w:val="29"/>
              <w:keepNext w:val="0"/>
              <w:keepLines w:val="0"/>
              <w:pageBreakBefore w:val="0"/>
              <w:widowControl w:val="0"/>
              <w:kinsoku w:val="0"/>
              <w:wordWrap/>
              <w:overflowPunct/>
              <w:topLinePunct w:val="0"/>
              <w:autoSpaceDE w:val="0"/>
              <w:autoSpaceDN w:val="0"/>
              <w:bidi w:val="0"/>
              <w:adjustRightInd w:val="0"/>
              <w:snapToGrid w:val="0"/>
              <w:spacing w:before="186" w:line="220" w:lineRule="auto"/>
              <w:jc w:val="both"/>
              <w:textAlignment w:val="baseline"/>
              <w:rPr>
                <w:rFonts w:hint="eastAsia" w:ascii="黑体" w:hAnsi="黑体" w:eastAsia="黑体" w:cs="黑体"/>
                <w:bCs/>
                <w:snapToGrid w:val="0"/>
                <w:color w:val="auto"/>
                <w:kern w:val="2"/>
                <w:sz w:val="21"/>
                <w:szCs w:val="21"/>
                <w:lang w:val="zh-CN" w:eastAsia="zh-CN" w:bidi="ar-SA"/>
              </w:rPr>
            </w:pPr>
            <w:r>
              <w:rPr>
                <w:rFonts w:hint="eastAsia" w:ascii="黑体" w:hAnsi="黑体" w:eastAsia="黑体" w:cs="黑体"/>
                <w:spacing w:val="-3"/>
                <w:sz w:val="21"/>
                <w:szCs w:val="21"/>
              </w:rPr>
              <w:t>其他</w:t>
            </w:r>
          </w:p>
        </w:tc>
        <w:tc>
          <w:tcPr>
            <w:tcW w:w="6682" w:type="dxa"/>
            <w:shd w:val="clear" w:color="auto" w:fill="auto"/>
            <w:vAlign w:val="center"/>
          </w:tcPr>
          <w:p w14:paraId="06CEF382">
            <w:pPr>
              <w:pStyle w:val="29"/>
              <w:keepNext w:val="0"/>
              <w:keepLines w:val="0"/>
              <w:pageBreakBefore w:val="0"/>
              <w:widowControl w:val="0"/>
              <w:kinsoku w:val="0"/>
              <w:wordWrap/>
              <w:overflowPunct/>
              <w:topLinePunct w:val="0"/>
              <w:autoSpaceDE w:val="0"/>
              <w:autoSpaceDN w:val="0"/>
              <w:bidi w:val="0"/>
              <w:adjustRightInd w:val="0"/>
              <w:snapToGrid w:val="0"/>
              <w:spacing w:before="185" w:line="220" w:lineRule="auto"/>
              <w:ind w:left="13" w:leftChars="0"/>
              <w:jc w:val="center"/>
              <w:textAlignment w:val="baseline"/>
              <w:rPr>
                <w:rFonts w:hint="eastAsia" w:ascii="黑体" w:hAnsi="黑体" w:eastAsia="黑体" w:cs="黑体"/>
                <w:b/>
                <w:bCs/>
                <w:snapToGrid w:val="0"/>
                <w:color w:val="auto"/>
                <w:kern w:val="2"/>
                <w:sz w:val="21"/>
                <w:szCs w:val="21"/>
                <w:lang w:val="zh-CN" w:eastAsia="zh-CN" w:bidi="ar-SA"/>
              </w:rPr>
            </w:pPr>
            <w:r>
              <w:rPr>
                <w:rFonts w:hint="eastAsia" w:ascii="黑体" w:hAnsi="黑体" w:eastAsia="黑体" w:cs="黑体"/>
                <w:spacing w:val="-1"/>
                <w:sz w:val="21"/>
                <w:szCs w:val="21"/>
              </w:rPr>
              <w:t>符合招标文件要求的其他内容</w:t>
            </w:r>
          </w:p>
        </w:tc>
      </w:tr>
    </w:tbl>
    <w:p w14:paraId="7EAB0CF8">
      <w:pPr>
        <w:spacing w:before="47" w:line="219" w:lineRule="auto"/>
        <w:ind w:left="422"/>
        <w:rPr>
          <w:rFonts w:ascii="宋体" w:hAnsi="宋体" w:eastAsia="宋体" w:cs="宋体"/>
          <w:sz w:val="24"/>
          <w:szCs w:val="24"/>
        </w:rPr>
      </w:pPr>
      <w:r>
        <w:rPr>
          <w:rFonts w:ascii="宋体" w:hAnsi="宋体" w:eastAsia="宋体" w:cs="宋体"/>
          <w:b/>
          <w:bCs/>
          <w:spacing w:val="-2"/>
          <w:sz w:val="24"/>
          <w:szCs w:val="24"/>
        </w:rPr>
        <w:t>评标委员会发现有下列情形之一的，视为投标人串通投标，其投标无效：</w:t>
      </w:r>
    </w:p>
    <w:p w14:paraId="72186BD5">
      <w:pPr>
        <w:spacing w:before="184" w:line="220" w:lineRule="auto"/>
        <w:ind w:left="424"/>
        <w:rPr>
          <w:rFonts w:hint="eastAsia" w:ascii="黑体" w:hAnsi="黑体" w:eastAsia="黑体" w:cs="黑体"/>
          <w:sz w:val="21"/>
          <w:szCs w:val="21"/>
        </w:rPr>
      </w:pPr>
      <w:r>
        <w:rPr>
          <w:rFonts w:hint="eastAsia" w:ascii="黑体" w:hAnsi="黑体" w:eastAsia="黑体" w:cs="黑体"/>
          <w:spacing w:val="-3"/>
          <w:sz w:val="21"/>
          <w:szCs w:val="21"/>
        </w:rPr>
        <w:t>一、有下列情形之一的，视为投标人相互串通投标：</w:t>
      </w:r>
    </w:p>
    <w:p w14:paraId="010A6738">
      <w:pPr>
        <w:spacing w:before="178" w:line="220" w:lineRule="auto"/>
        <w:ind w:left="427"/>
        <w:rPr>
          <w:rFonts w:hint="eastAsia" w:ascii="黑体" w:hAnsi="黑体" w:eastAsia="黑体" w:cs="黑体"/>
          <w:sz w:val="21"/>
          <w:szCs w:val="21"/>
        </w:rPr>
      </w:pPr>
      <w:r>
        <w:rPr>
          <w:rFonts w:hint="eastAsia" w:ascii="黑体" w:hAnsi="黑体" w:eastAsia="黑体" w:cs="黑体"/>
          <w:spacing w:val="-3"/>
          <w:sz w:val="21"/>
          <w:szCs w:val="21"/>
        </w:rPr>
        <w:t>（一）不同投标人的投标文件由同一单位或者个人编制；</w:t>
      </w:r>
    </w:p>
    <w:p w14:paraId="39846A54">
      <w:pPr>
        <w:spacing w:before="182" w:line="220" w:lineRule="auto"/>
        <w:ind w:left="427"/>
        <w:rPr>
          <w:rFonts w:hint="eastAsia" w:ascii="黑体" w:hAnsi="黑体" w:eastAsia="黑体" w:cs="黑体"/>
          <w:sz w:val="21"/>
          <w:szCs w:val="21"/>
        </w:rPr>
      </w:pPr>
      <w:r>
        <w:rPr>
          <w:rFonts w:hint="eastAsia" w:ascii="黑体" w:hAnsi="黑体" w:eastAsia="黑体" w:cs="黑体"/>
          <w:spacing w:val="-3"/>
          <w:sz w:val="21"/>
          <w:szCs w:val="21"/>
        </w:rPr>
        <w:t>（二）不同投标人委托同一单位或者个人办理投标事宜；</w:t>
      </w:r>
    </w:p>
    <w:p w14:paraId="7AB0280D">
      <w:pPr>
        <w:spacing w:before="179" w:line="220" w:lineRule="auto"/>
        <w:ind w:left="427"/>
        <w:rPr>
          <w:rFonts w:hint="eastAsia" w:ascii="黑体" w:hAnsi="黑体" w:eastAsia="黑体" w:cs="黑体"/>
          <w:sz w:val="21"/>
          <w:szCs w:val="21"/>
        </w:rPr>
      </w:pPr>
      <w:r>
        <w:rPr>
          <w:rFonts w:hint="eastAsia" w:ascii="黑体" w:hAnsi="黑体" w:eastAsia="黑体" w:cs="黑体"/>
          <w:spacing w:val="-2"/>
          <w:sz w:val="21"/>
          <w:szCs w:val="21"/>
        </w:rPr>
        <w:t>（三）不同投标人的投标文件载明的项目管理成员为同一人；</w:t>
      </w:r>
    </w:p>
    <w:p w14:paraId="3304348D">
      <w:pPr>
        <w:spacing w:before="183" w:line="218" w:lineRule="auto"/>
        <w:ind w:left="427"/>
        <w:rPr>
          <w:rFonts w:hint="eastAsia" w:ascii="黑体" w:hAnsi="黑体" w:eastAsia="黑体" w:cs="黑体"/>
          <w:sz w:val="21"/>
          <w:szCs w:val="21"/>
        </w:rPr>
      </w:pPr>
      <w:r>
        <w:rPr>
          <w:rFonts w:hint="eastAsia" w:ascii="黑体" w:hAnsi="黑体" w:eastAsia="黑体" w:cs="黑体"/>
          <w:spacing w:val="-2"/>
          <w:sz w:val="21"/>
          <w:szCs w:val="21"/>
        </w:rPr>
        <w:t>（四）不同投标人的投标文件异常一致或者投标</w:t>
      </w:r>
      <w:r>
        <w:rPr>
          <w:rFonts w:hint="eastAsia" w:ascii="黑体" w:hAnsi="黑体" w:eastAsia="黑体" w:cs="黑体"/>
          <w:spacing w:val="-3"/>
          <w:sz w:val="21"/>
          <w:szCs w:val="21"/>
        </w:rPr>
        <w:t>报价呈规律性差异；</w:t>
      </w:r>
    </w:p>
    <w:p w14:paraId="22AAC340">
      <w:pPr>
        <w:spacing w:before="181" w:line="220" w:lineRule="auto"/>
        <w:ind w:left="427"/>
        <w:rPr>
          <w:rFonts w:hint="eastAsia" w:ascii="黑体" w:hAnsi="黑体" w:eastAsia="黑体" w:cs="黑体"/>
          <w:sz w:val="21"/>
          <w:szCs w:val="21"/>
        </w:rPr>
      </w:pPr>
      <w:r>
        <w:rPr>
          <w:rFonts w:hint="eastAsia" w:ascii="黑体" w:hAnsi="黑体" w:eastAsia="黑体" w:cs="黑体"/>
          <w:spacing w:val="-4"/>
          <w:sz w:val="21"/>
          <w:szCs w:val="21"/>
        </w:rPr>
        <w:t>（五）不同投标人的投标文件相互混装；</w:t>
      </w:r>
    </w:p>
    <w:p w14:paraId="5253D6B9">
      <w:pPr>
        <w:spacing w:before="184" w:line="289" w:lineRule="auto"/>
        <w:ind w:left="424" w:right="2186" w:firstLine="2"/>
        <w:rPr>
          <w:rFonts w:hint="eastAsia" w:ascii="黑体" w:hAnsi="黑体" w:eastAsia="黑体" w:cs="黑体"/>
          <w:sz w:val="21"/>
          <w:szCs w:val="21"/>
        </w:rPr>
      </w:pPr>
      <w:r>
        <w:rPr>
          <w:rFonts w:hint="eastAsia" w:ascii="黑体" w:hAnsi="黑体" w:eastAsia="黑体" w:cs="黑体"/>
          <w:spacing w:val="-2"/>
          <w:sz w:val="21"/>
          <w:szCs w:val="21"/>
        </w:rPr>
        <w:t>（六）不同投标人的投标保证金从同一单位或者个人的账户转出。</w:t>
      </w:r>
      <w:r>
        <w:rPr>
          <w:rFonts w:hint="eastAsia" w:ascii="黑体" w:hAnsi="黑体" w:eastAsia="黑体" w:cs="黑体"/>
          <w:spacing w:val="-3"/>
          <w:sz w:val="21"/>
          <w:szCs w:val="21"/>
        </w:rPr>
        <w:t>二、有下列情形之一的，属于招标人与投标人串通投标：</w:t>
      </w:r>
    </w:p>
    <w:p w14:paraId="3C28CF34">
      <w:pPr>
        <w:spacing w:before="182" w:line="221" w:lineRule="auto"/>
        <w:ind w:left="427"/>
        <w:rPr>
          <w:rFonts w:hint="eastAsia" w:ascii="黑体" w:hAnsi="黑体" w:eastAsia="黑体" w:cs="黑体"/>
          <w:sz w:val="21"/>
          <w:szCs w:val="21"/>
        </w:rPr>
      </w:pPr>
      <w:r>
        <w:rPr>
          <w:rFonts w:hint="eastAsia" w:ascii="黑体" w:hAnsi="黑体" w:eastAsia="黑体" w:cs="黑体"/>
          <w:spacing w:val="-1"/>
          <w:sz w:val="21"/>
          <w:szCs w:val="21"/>
        </w:rPr>
        <w:t>（一）招标人在开标前开启投标文件并将有关信息泄露给其他投标人;</w:t>
      </w:r>
    </w:p>
    <w:p w14:paraId="3EFEC421">
      <w:pPr>
        <w:spacing w:before="177" w:line="219" w:lineRule="auto"/>
        <w:ind w:left="427"/>
        <w:rPr>
          <w:rFonts w:hint="eastAsia" w:ascii="黑体" w:hAnsi="黑体" w:eastAsia="黑体" w:cs="黑体"/>
          <w:sz w:val="21"/>
          <w:szCs w:val="21"/>
        </w:rPr>
      </w:pPr>
      <w:r>
        <w:rPr>
          <w:rFonts w:hint="eastAsia" w:ascii="黑体" w:hAnsi="黑体" w:eastAsia="黑体" w:cs="黑体"/>
          <w:spacing w:val="-2"/>
          <w:sz w:val="21"/>
          <w:szCs w:val="21"/>
        </w:rPr>
        <w:t>（二）招标人直接或者间接向投标人泄露标底、评标委员</w:t>
      </w:r>
      <w:r>
        <w:rPr>
          <w:rFonts w:hint="eastAsia" w:ascii="黑体" w:hAnsi="黑体" w:eastAsia="黑体" w:cs="黑体"/>
          <w:spacing w:val="-3"/>
          <w:sz w:val="21"/>
          <w:szCs w:val="21"/>
        </w:rPr>
        <w:t>会成员等信息；</w:t>
      </w:r>
    </w:p>
    <w:p w14:paraId="1CFA69F0">
      <w:pPr>
        <w:spacing w:before="184" w:line="218" w:lineRule="auto"/>
        <w:ind w:left="427"/>
        <w:rPr>
          <w:rFonts w:hint="eastAsia" w:ascii="黑体" w:hAnsi="黑体" w:eastAsia="黑体" w:cs="黑体"/>
          <w:sz w:val="21"/>
          <w:szCs w:val="21"/>
        </w:rPr>
      </w:pPr>
      <w:r>
        <w:rPr>
          <w:rFonts w:hint="eastAsia" w:ascii="黑体" w:hAnsi="黑体" w:eastAsia="黑体" w:cs="黑体"/>
          <w:spacing w:val="-3"/>
          <w:sz w:val="21"/>
          <w:szCs w:val="21"/>
        </w:rPr>
        <w:t>（三）招标人明示或者暗示投标人压低或者抬高投标报价；</w:t>
      </w:r>
    </w:p>
    <w:p w14:paraId="1234F428">
      <w:pPr>
        <w:spacing w:before="182" w:line="220" w:lineRule="auto"/>
        <w:ind w:left="427"/>
        <w:rPr>
          <w:rFonts w:hint="eastAsia" w:ascii="黑体" w:hAnsi="黑体" w:eastAsia="黑体" w:cs="黑体"/>
          <w:sz w:val="21"/>
          <w:szCs w:val="21"/>
        </w:rPr>
      </w:pPr>
      <w:r>
        <w:rPr>
          <w:rFonts w:hint="eastAsia" w:ascii="黑体" w:hAnsi="黑体" w:eastAsia="黑体" w:cs="黑体"/>
          <w:spacing w:val="-4"/>
          <w:sz w:val="21"/>
          <w:szCs w:val="21"/>
        </w:rPr>
        <w:t>（四）招标人授意投标人撤换、修改投标文件；</w:t>
      </w:r>
    </w:p>
    <w:p w14:paraId="61C8326D">
      <w:pPr>
        <w:spacing w:before="182" w:line="219" w:lineRule="auto"/>
        <w:ind w:left="427"/>
        <w:rPr>
          <w:rFonts w:hint="eastAsia" w:ascii="黑体" w:hAnsi="黑体" w:eastAsia="黑体" w:cs="黑体"/>
          <w:sz w:val="21"/>
          <w:szCs w:val="21"/>
        </w:rPr>
      </w:pPr>
      <w:r>
        <w:rPr>
          <w:rFonts w:hint="eastAsia" w:ascii="黑体" w:hAnsi="黑体" w:eastAsia="黑体" w:cs="黑体"/>
          <w:spacing w:val="-3"/>
          <w:sz w:val="21"/>
          <w:szCs w:val="21"/>
        </w:rPr>
        <w:t>（五）招标人明示或者暗示投标人为特定投标人中标提供方便；</w:t>
      </w:r>
    </w:p>
    <w:p w14:paraId="391808EF">
      <w:pPr>
        <w:spacing w:before="183" w:line="219" w:lineRule="auto"/>
        <w:ind w:left="427"/>
        <w:rPr>
          <w:rFonts w:hint="eastAsia" w:ascii="黑体" w:hAnsi="黑体" w:eastAsia="黑体" w:cs="黑体"/>
          <w:sz w:val="21"/>
          <w:szCs w:val="21"/>
        </w:rPr>
      </w:pPr>
      <w:r>
        <w:rPr>
          <w:rFonts w:hint="eastAsia" w:ascii="黑体" w:hAnsi="黑体" w:eastAsia="黑体" w:cs="黑体"/>
          <w:spacing w:val="-2"/>
          <w:sz w:val="21"/>
          <w:szCs w:val="21"/>
        </w:rPr>
        <w:t>（六）招标人与投标人为谋求特定投标人中标而采取的其他串通行为。</w:t>
      </w:r>
    </w:p>
    <w:p w14:paraId="0F73790B">
      <w:pPr>
        <w:spacing w:before="180" w:line="347" w:lineRule="auto"/>
        <w:ind w:right="70" w:firstLine="420"/>
        <w:rPr>
          <w:rFonts w:hint="eastAsia" w:ascii="黑体" w:hAnsi="黑体" w:eastAsia="黑体" w:cs="黑体"/>
          <w:sz w:val="21"/>
          <w:szCs w:val="21"/>
        </w:rPr>
      </w:pPr>
      <w:r>
        <w:rPr>
          <w:rFonts w:hint="eastAsia" w:ascii="黑体" w:hAnsi="黑体" w:eastAsia="黑体" w:cs="黑体"/>
          <w:spacing w:val="-2"/>
          <w:sz w:val="21"/>
          <w:szCs w:val="21"/>
        </w:rPr>
        <w:t>注：经评标委员会评审合格投标人的家数不足三家，该</w:t>
      </w:r>
      <w:r>
        <w:rPr>
          <w:rFonts w:hint="eastAsia" w:ascii="黑体" w:hAnsi="黑体" w:eastAsia="黑体" w:cs="黑体"/>
          <w:spacing w:val="-3"/>
          <w:sz w:val="21"/>
          <w:szCs w:val="21"/>
        </w:rPr>
        <w:t>项目废标，采购人有权委托采购</w:t>
      </w:r>
      <w:r>
        <w:rPr>
          <w:rFonts w:hint="eastAsia" w:ascii="黑体" w:hAnsi="黑体" w:eastAsia="黑体" w:cs="黑体"/>
          <w:spacing w:val="-4"/>
          <w:sz w:val="21"/>
          <w:szCs w:val="21"/>
        </w:rPr>
        <w:t>代理机构重新组织招标。</w:t>
      </w:r>
    </w:p>
    <w:p w14:paraId="2FBE666D">
      <w:pPr>
        <w:spacing w:before="34" w:line="220" w:lineRule="auto"/>
        <w:ind w:left="417"/>
        <w:rPr>
          <w:rFonts w:hint="eastAsia" w:ascii="黑体" w:hAnsi="黑体" w:eastAsia="黑体" w:cs="黑体"/>
          <w:sz w:val="21"/>
          <w:szCs w:val="21"/>
        </w:rPr>
      </w:pPr>
      <w:r>
        <w:rPr>
          <w:rFonts w:hint="eastAsia" w:ascii="黑体" w:hAnsi="黑体" w:eastAsia="黑体" w:cs="黑体"/>
          <w:b/>
          <w:bCs/>
          <w:spacing w:val="-2"/>
          <w:sz w:val="21"/>
          <w:szCs w:val="21"/>
        </w:rPr>
        <w:t>3.3澄清有关问题</w:t>
      </w:r>
    </w:p>
    <w:p w14:paraId="122FC288">
      <w:pPr>
        <w:spacing w:before="182" w:line="350" w:lineRule="auto"/>
        <w:ind w:left="1" w:right="66" w:firstLine="418"/>
        <w:rPr>
          <w:rFonts w:hint="eastAsia" w:ascii="黑体" w:hAnsi="黑体" w:eastAsia="黑体" w:cs="黑体"/>
          <w:sz w:val="21"/>
          <w:szCs w:val="21"/>
        </w:rPr>
      </w:pPr>
      <w:r>
        <w:rPr>
          <w:rFonts w:hint="eastAsia" w:ascii="黑体" w:hAnsi="黑体" w:eastAsia="黑体" w:cs="黑体"/>
          <w:spacing w:val="-2"/>
          <w:sz w:val="21"/>
          <w:szCs w:val="21"/>
        </w:rPr>
        <w:t>对投标文件中含义不明确、同类问题表述不一致或者有明显文字和</w:t>
      </w:r>
      <w:r>
        <w:rPr>
          <w:rFonts w:hint="eastAsia" w:ascii="黑体" w:hAnsi="黑体" w:eastAsia="黑体" w:cs="黑体"/>
          <w:spacing w:val="-3"/>
          <w:sz w:val="21"/>
          <w:szCs w:val="21"/>
        </w:rPr>
        <w:t>计算错误的内容，评</w:t>
      </w:r>
      <w:r>
        <w:rPr>
          <w:rFonts w:hint="eastAsia" w:ascii="黑体" w:hAnsi="黑体" w:eastAsia="黑体" w:cs="黑体"/>
          <w:spacing w:val="2"/>
          <w:sz w:val="21"/>
          <w:szCs w:val="21"/>
        </w:rPr>
        <w:t>标委员会可以书面形式要求投标人做出必要的澄清、说明或者纠正。投标人的澄清、说明</w:t>
      </w:r>
      <w:r>
        <w:rPr>
          <w:rFonts w:hint="eastAsia" w:ascii="黑体" w:hAnsi="黑体" w:eastAsia="黑体" w:cs="黑体"/>
          <w:spacing w:val="-2"/>
          <w:sz w:val="21"/>
          <w:szCs w:val="21"/>
        </w:rPr>
        <w:t>或者补正不得超出投标文件的范围或者改变投标文件的实质性内容。</w:t>
      </w:r>
    </w:p>
    <w:p w14:paraId="4B8830C8">
      <w:pPr>
        <w:spacing w:before="34" w:line="346" w:lineRule="auto"/>
        <w:ind w:right="74" w:firstLine="421"/>
        <w:rPr>
          <w:rFonts w:hint="eastAsia" w:ascii="黑体" w:hAnsi="黑体" w:eastAsia="黑体" w:cs="黑体"/>
          <w:sz w:val="21"/>
          <w:szCs w:val="21"/>
        </w:rPr>
      </w:pPr>
      <w:r>
        <w:rPr>
          <w:rFonts w:hint="eastAsia" w:ascii="黑体" w:hAnsi="黑体" w:eastAsia="黑体" w:cs="黑体"/>
          <w:spacing w:val="1"/>
          <w:sz w:val="21"/>
          <w:szCs w:val="21"/>
        </w:rPr>
        <w:t>3.3.1评标委员会将允许修正投标文件中不构成</w:t>
      </w:r>
      <w:r>
        <w:rPr>
          <w:rFonts w:hint="eastAsia" w:ascii="黑体" w:hAnsi="黑体" w:eastAsia="黑体" w:cs="黑体"/>
          <w:sz w:val="21"/>
          <w:szCs w:val="21"/>
        </w:rPr>
        <w:t>重大偏离的细微偏离，但这些修正应不</w:t>
      </w:r>
      <w:r>
        <w:rPr>
          <w:rFonts w:hint="eastAsia" w:ascii="黑体" w:hAnsi="黑体" w:eastAsia="黑体" w:cs="黑体"/>
          <w:spacing w:val="-1"/>
          <w:sz w:val="21"/>
          <w:szCs w:val="21"/>
        </w:rPr>
        <w:t>会对实质上响应招标文件要求的投标人的竞争地位（相互排序）产生</w:t>
      </w:r>
      <w:r>
        <w:rPr>
          <w:rFonts w:hint="eastAsia" w:ascii="黑体" w:hAnsi="黑体" w:eastAsia="黑体" w:cs="黑体"/>
          <w:spacing w:val="-2"/>
          <w:sz w:val="21"/>
          <w:szCs w:val="21"/>
        </w:rPr>
        <w:t>不公正的影响。</w:t>
      </w:r>
    </w:p>
    <w:p w14:paraId="21AA8E83">
      <w:pPr>
        <w:spacing w:before="37" w:line="355" w:lineRule="auto"/>
        <w:ind w:firstLine="420"/>
        <w:rPr>
          <w:rFonts w:hint="eastAsia" w:ascii="黑体" w:hAnsi="黑体" w:eastAsia="黑体" w:cs="黑体"/>
          <w:sz w:val="21"/>
          <w:szCs w:val="21"/>
        </w:rPr>
      </w:pPr>
      <w:r>
        <w:rPr>
          <w:rFonts w:hint="eastAsia" w:ascii="黑体" w:hAnsi="黑体" w:eastAsia="黑体" w:cs="黑体"/>
          <w:spacing w:val="1"/>
          <w:sz w:val="21"/>
          <w:szCs w:val="21"/>
        </w:rPr>
        <w:t>3.3.2投标文件报价出现前后不一致的，除</w:t>
      </w:r>
      <w:r>
        <w:rPr>
          <w:rFonts w:hint="eastAsia" w:ascii="黑体" w:hAnsi="黑体" w:eastAsia="黑体" w:cs="黑体"/>
          <w:sz w:val="21"/>
          <w:szCs w:val="21"/>
        </w:rPr>
        <w:t>招标文件另有规定外，按照下列规定修正：</w:t>
      </w:r>
      <w:r>
        <w:rPr>
          <w:rFonts w:hint="eastAsia" w:ascii="黑体" w:hAnsi="黑体" w:eastAsia="黑体" w:cs="黑体"/>
          <w:spacing w:val="2"/>
          <w:sz w:val="21"/>
          <w:szCs w:val="21"/>
        </w:rPr>
        <w:t>（一）投标文件中开标一览表（报价表）内容与投标文件中相应内容不一致的，以开标一览表（报价表）为准</w:t>
      </w:r>
      <w:r>
        <w:rPr>
          <w:rFonts w:hint="eastAsia" w:ascii="黑体" w:hAnsi="黑体" w:eastAsia="黑体" w:cs="黑体"/>
          <w:spacing w:val="1"/>
          <w:sz w:val="21"/>
          <w:szCs w:val="21"/>
        </w:rPr>
        <w:t>；（</w:t>
      </w:r>
      <w:r>
        <w:rPr>
          <w:rFonts w:hint="eastAsia" w:ascii="黑体" w:hAnsi="黑体" w:eastAsia="黑体" w:cs="黑体"/>
          <w:spacing w:val="2"/>
          <w:sz w:val="21"/>
          <w:szCs w:val="21"/>
        </w:rPr>
        <w:t>二）大写金额和小写金额不一致的，以大</w:t>
      </w:r>
      <w:r>
        <w:rPr>
          <w:rFonts w:hint="eastAsia" w:ascii="黑体" w:hAnsi="黑体" w:eastAsia="黑体" w:cs="黑体"/>
          <w:spacing w:val="1"/>
          <w:sz w:val="21"/>
          <w:szCs w:val="21"/>
        </w:rPr>
        <w:t>写金额为准；（三）单</w:t>
      </w:r>
      <w:r>
        <w:rPr>
          <w:rFonts w:hint="eastAsia" w:ascii="黑体" w:hAnsi="黑体" w:eastAsia="黑体" w:cs="黑体"/>
          <w:spacing w:val="2"/>
          <w:sz w:val="21"/>
          <w:szCs w:val="21"/>
        </w:rPr>
        <w:t>价金额小数点或者百分比有明显错位的，以开标一览表的总价为准，并修改单价</w:t>
      </w:r>
      <w:r>
        <w:rPr>
          <w:rFonts w:hint="eastAsia" w:ascii="黑体" w:hAnsi="黑体" w:eastAsia="黑体" w:cs="黑体"/>
          <w:spacing w:val="-2"/>
          <w:sz w:val="21"/>
          <w:szCs w:val="21"/>
        </w:rPr>
        <w:t>；（</w:t>
      </w:r>
      <w:r>
        <w:rPr>
          <w:rFonts w:hint="eastAsia" w:ascii="黑体" w:hAnsi="黑体" w:eastAsia="黑体" w:cs="黑体"/>
          <w:spacing w:val="2"/>
          <w:sz w:val="21"/>
          <w:szCs w:val="21"/>
        </w:rPr>
        <w:t>四）总价金额与按单价汇总金额不一致的，以单价金额计算结果为准。同时出现两种以上不一</w:t>
      </w:r>
      <w:r>
        <w:rPr>
          <w:rFonts w:hint="eastAsia" w:ascii="黑体" w:hAnsi="黑体" w:eastAsia="黑体" w:cs="黑体"/>
          <w:spacing w:val="-2"/>
          <w:sz w:val="21"/>
          <w:szCs w:val="21"/>
        </w:rPr>
        <w:t>致的，按照规定的顺序修正。修正后的报价经投标人确认后产生约束力，投标人不确认的，</w:t>
      </w:r>
      <w:r>
        <w:rPr>
          <w:rFonts w:hint="eastAsia" w:ascii="黑体" w:hAnsi="黑体" w:eastAsia="黑体" w:cs="黑体"/>
          <w:spacing w:val="-7"/>
          <w:sz w:val="21"/>
          <w:szCs w:val="21"/>
        </w:rPr>
        <w:t>其投标无效。</w:t>
      </w:r>
    </w:p>
    <w:p w14:paraId="62A5D44E">
      <w:pPr>
        <w:spacing w:before="48" w:line="353" w:lineRule="auto"/>
        <w:ind w:left="4" w:right="16" w:firstLine="416"/>
        <w:jc w:val="both"/>
        <w:rPr>
          <w:rFonts w:hint="eastAsia" w:ascii="黑体" w:hAnsi="黑体" w:eastAsia="黑体" w:cs="黑体"/>
          <w:sz w:val="21"/>
          <w:szCs w:val="21"/>
        </w:rPr>
      </w:pPr>
      <w:r>
        <w:rPr>
          <w:rFonts w:hint="eastAsia" w:ascii="黑体" w:hAnsi="黑体" w:eastAsia="黑体" w:cs="黑体"/>
          <w:spacing w:val="1"/>
          <w:sz w:val="21"/>
          <w:szCs w:val="21"/>
        </w:rPr>
        <w:t>3.3.3评标委员会认为投标人的报价明显低于其</w:t>
      </w:r>
      <w:r>
        <w:rPr>
          <w:rFonts w:hint="eastAsia" w:ascii="黑体" w:hAnsi="黑体" w:eastAsia="黑体" w:cs="黑体"/>
          <w:sz w:val="21"/>
          <w:szCs w:val="21"/>
        </w:rPr>
        <w:t>他通过符合性审查投标人的报价，有可</w:t>
      </w:r>
      <w:r>
        <w:rPr>
          <w:rFonts w:hint="eastAsia" w:ascii="黑体" w:hAnsi="黑体" w:eastAsia="黑体" w:cs="黑体"/>
          <w:spacing w:val="-2"/>
          <w:sz w:val="21"/>
          <w:szCs w:val="21"/>
        </w:rPr>
        <w:t>能影响产品质量或者不能诚信履约的，应当要求其在评标现场合理的时间内提供</w:t>
      </w:r>
      <w:r>
        <w:rPr>
          <w:rFonts w:hint="eastAsia" w:ascii="黑体" w:hAnsi="黑体" w:eastAsia="黑体" w:cs="黑体"/>
          <w:spacing w:val="-3"/>
          <w:sz w:val="21"/>
          <w:szCs w:val="21"/>
        </w:rPr>
        <w:t>书面说明，</w:t>
      </w:r>
      <w:r>
        <w:rPr>
          <w:rFonts w:hint="eastAsia" w:ascii="黑体" w:hAnsi="黑体" w:eastAsia="黑体" w:cs="黑体"/>
          <w:spacing w:val="2"/>
          <w:sz w:val="21"/>
          <w:szCs w:val="21"/>
        </w:rPr>
        <w:t>必要时提交相关证明材料；投标人不能证明其报价合理性的，评标委员会应当将其作为无</w:t>
      </w:r>
      <w:r>
        <w:rPr>
          <w:rFonts w:hint="eastAsia" w:ascii="黑体" w:hAnsi="黑体" w:eastAsia="黑体" w:cs="黑体"/>
          <w:spacing w:val="-7"/>
          <w:sz w:val="21"/>
          <w:szCs w:val="21"/>
        </w:rPr>
        <w:t>效投标处理。</w:t>
      </w:r>
    </w:p>
    <w:p w14:paraId="10E17C84">
      <w:pPr>
        <w:spacing w:before="32" w:line="220" w:lineRule="auto"/>
        <w:ind w:left="417"/>
        <w:rPr>
          <w:rFonts w:hint="eastAsia" w:ascii="黑体" w:hAnsi="黑体" w:eastAsia="黑体" w:cs="黑体"/>
          <w:sz w:val="21"/>
          <w:szCs w:val="21"/>
        </w:rPr>
      </w:pPr>
      <w:r>
        <w:rPr>
          <w:rFonts w:hint="eastAsia" w:ascii="黑体" w:hAnsi="黑体" w:eastAsia="黑体" w:cs="黑体"/>
          <w:b/>
          <w:bCs/>
          <w:spacing w:val="-4"/>
          <w:sz w:val="21"/>
          <w:szCs w:val="21"/>
        </w:rPr>
        <w:t>3.4详细评审</w:t>
      </w:r>
    </w:p>
    <w:p w14:paraId="798347F1">
      <w:pPr>
        <w:spacing w:before="181" w:line="288" w:lineRule="auto"/>
        <w:ind w:left="1" w:right="89" w:firstLine="419"/>
        <w:rPr>
          <w:rFonts w:hint="eastAsia" w:ascii="黑体" w:hAnsi="黑体" w:eastAsia="黑体" w:cs="黑体"/>
          <w:sz w:val="21"/>
          <w:szCs w:val="21"/>
        </w:rPr>
      </w:pPr>
      <w:r>
        <w:rPr>
          <w:rFonts w:hint="eastAsia" w:ascii="黑体" w:hAnsi="黑体" w:eastAsia="黑体" w:cs="黑体"/>
          <w:spacing w:val="1"/>
          <w:sz w:val="21"/>
          <w:szCs w:val="21"/>
        </w:rPr>
        <w:t>3.4.1评标委员会应当按照招标文件中规定的评</w:t>
      </w:r>
      <w:r>
        <w:rPr>
          <w:rFonts w:hint="eastAsia" w:ascii="黑体" w:hAnsi="黑体" w:eastAsia="黑体" w:cs="黑体"/>
          <w:sz w:val="21"/>
          <w:szCs w:val="21"/>
        </w:rPr>
        <w:t>标方法和标准，对符合性审查合格的投</w:t>
      </w:r>
      <w:r>
        <w:rPr>
          <w:rFonts w:hint="eastAsia" w:ascii="黑体" w:hAnsi="黑体" w:eastAsia="黑体" w:cs="黑体"/>
          <w:spacing w:val="-2"/>
          <w:sz w:val="21"/>
          <w:szCs w:val="21"/>
        </w:rPr>
        <w:t>标文件进行商务和技术评估，综合比较与评</w:t>
      </w:r>
      <w:r>
        <w:rPr>
          <w:rFonts w:hint="eastAsia" w:ascii="黑体" w:hAnsi="黑体" w:eastAsia="黑体" w:cs="黑体"/>
          <w:spacing w:val="-3"/>
          <w:sz w:val="21"/>
          <w:szCs w:val="21"/>
        </w:rPr>
        <w:t>价。</w:t>
      </w:r>
    </w:p>
    <w:p w14:paraId="73FD0168">
      <w:pPr>
        <w:spacing w:before="186" w:line="331" w:lineRule="auto"/>
        <w:ind w:left="1" w:firstLine="419"/>
        <w:rPr>
          <w:rFonts w:hint="eastAsia" w:ascii="黑体" w:hAnsi="黑体" w:eastAsia="黑体" w:cs="黑体"/>
          <w:sz w:val="21"/>
          <w:szCs w:val="21"/>
        </w:rPr>
      </w:pPr>
      <w:r>
        <w:rPr>
          <w:rFonts w:hint="eastAsia" w:ascii="黑体" w:hAnsi="黑体" w:eastAsia="黑体" w:cs="黑体"/>
          <w:spacing w:val="1"/>
          <w:sz w:val="21"/>
          <w:szCs w:val="21"/>
        </w:rPr>
        <w:t>3.4.2本项目采用综合评分法评标，评标委员会</w:t>
      </w:r>
      <w:r>
        <w:rPr>
          <w:rFonts w:hint="eastAsia" w:ascii="黑体" w:hAnsi="黑体" w:eastAsia="黑体" w:cs="黑体"/>
          <w:sz w:val="21"/>
          <w:szCs w:val="21"/>
        </w:rPr>
        <w:t>将按下述标准评定中标人：独立对每个</w:t>
      </w:r>
      <w:r>
        <w:rPr>
          <w:rFonts w:hint="eastAsia" w:ascii="黑体" w:hAnsi="黑体" w:eastAsia="黑体" w:cs="黑体"/>
          <w:spacing w:val="-2"/>
          <w:sz w:val="21"/>
          <w:szCs w:val="21"/>
        </w:rPr>
        <w:t>投标人的投标文件进行评价，并汇总每个投标人的得分。按评审后得分由高到低顺序排列。</w:t>
      </w:r>
      <w:r>
        <w:rPr>
          <w:rFonts w:hint="eastAsia" w:ascii="黑体" w:hAnsi="黑体" w:eastAsia="黑体" w:cs="黑体"/>
          <w:spacing w:val="2"/>
          <w:sz w:val="21"/>
          <w:szCs w:val="21"/>
        </w:rPr>
        <w:t>得分相同的，按投标报价由低到高顺序排列。得分且投标报价相同的并列。投标文件满足招标文件全部实质性要求，且按照评审因素的量化指标评审得分最高的投标人为排名第一</w:t>
      </w:r>
      <w:r>
        <w:rPr>
          <w:rFonts w:hint="eastAsia" w:ascii="黑体" w:hAnsi="黑体" w:eastAsia="黑体" w:cs="黑体"/>
          <w:spacing w:val="-6"/>
          <w:sz w:val="21"/>
          <w:szCs w:val="21"/>
        </w:rPr>
        <w:t>的中标候选人。</w:t>
      </w:r>
    </w:p>
    <w:p w14:paraId="4635B9B8">
      <w:pPr>
        <w:spacing w:before="186" w:line="331" w:lineRule="auto"/>
        <w:ind w:left="1" w:firstLine="419"/>
        <w:rPr>
          <w:rFonts w:hint="eastAsia" w:ascii="黑体" w:hAnsi="黑体" w:eastAsia="黑体" w:cs="黑体"/>
          <w:spacing w:val="-2"/>
          <w:sz w:val="21"/>
          <w:szCs w:val="21"/>
        </w:rPr>
      </w:pPr>
      <w:r>
        <w:rPr>
          <w:rFonts w:hint="eastAsia" w:ascii="黑体" w:hAnsi="黑体" w:eastAsia="黑体" w:cs="黑体"/>
          <w:spacing w:val="-2"/>
          <w:sz w:val="21"/>
          <w:szCs w:val="21"/>
        </w:rPr>
        <w:t>提供相同品牌产品且通过资格审查、符合性审查的不同投标人参加同一合同项下投标的，按一家投标人计算（重新计算投标人数量，该项目不足3家，该项目做废标处理），评审后得分最高的同品牌投标人获得中标人推荐资格；评审得分相同的，由评标委员会采取随机抽取方式确定，其他同品牌投标人不作为中标候选人。</w:t>
      </w:r>
    </w:p>
    <w:p w14:paraId="37325085">
      <w:pPr>
        <w:rPr>
          <w:rFonts w:ascii="宋体" w:hAnsi="宋体" w:eastAsia="宋体" w:cs="宋体"/>
          <w:spacing w:val="-2"/>
          <w:sz w:val="24"/>
          <w:szCs w:val="24"/>
        </w:rPr>
      </w:pPr>
      <w:r>
        <w:rPr>
          <w:rFonts w:ascii="宋体" w:hAnsi="宋体" w:eastAsia="宋体" w:cs="宋体"/>
          <w:spacing w:val="-2"/>
          <w:sz w:val="24"/>
          <w:szCs w:val="24"/>
        </w:rPr>
        <w:br w:type="page"/>
      </w:r>
    </w:p>
    <w:p w14:paraId="79A8E656">
      <w:pPr>
        <w:pStyle w:val="7"/>
        <w:rPr>
          <w:rFonts w:hint="eastAsia"/>
          <w:lang w:val="zh-CN"/>
        </w:rPr>
      </w:pPr>
    </w:p>
    <w:p w14:paraId="11F28403">
      <w:pPr>
        <w:autoSpaceDE w:val="0"/>
        <w:autoSpaceDN w:val="0"/>
        <w:adjustRightInd w:val="0"/>
        <w:spacing w:line="240" w:lineRule="auto"/>
        <w:jc w:val="center"/>
        <w:rPr>
          <w:rFonts w:hint="eastAsia" w:ascii="黑体" w:hAnsi="黑体" w:eastAsia="黑体" w:cs="黑体"/>
          <w:b/>
          <w:color w:val="auto"/>
          <w:sz w:val="24"/>
          <w:szCs w:val="24"/>
          <w:lang w:val="zh-CN"/>
        </w:rPr>
      </w:pPr>
      <w:r>
        <w:rPr>
          <w:rFonts w:hint="eastAsia" w:ascii="黑体" w:hAnsi="黑体" w:eastAsia="黑体" w:cs="黑体"/>
          <w:b/>
          <w:color w:val="auto"/>
          <w:sz w:val="24"/>
          <w:szCs w:val="24"/>
          <w:lang w:val="zh-CN"/>
        </w:rPr>
        <w:t>评标办法前附表（二）</w:t>
      </w:r>
    </w:p>
    <w:tbl>
      <w:tblPr>
        <w:tblStyle w:val="17"/>
        <w:tblW w:w="539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8"/>
        <w:gridCol w:w="1266"/>
        <w:gridCol w:w="739"/>
        <w:gridCol w:w="6783"/>
        <w:gridCol w:w="841"/>
      </w:tblGrid>
      <w:tr w14:paraId="3D47CF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jc w:val="center"/>
        </w:trPr>
        <w:tc>
          <w:tcPr>
            <w:tcW w:w="2344" w:type="dxa"/>
            <w:gridSpan w:val="2"/>
            <w:vAlign w:val="center"/>
          </w:tcPr>
          <w:p w14:paraId="6638B5D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评价名称</w:t>
            </w:r>
          </w:p>
        </w:tc>
        <w:tc>
          <w:tcPr>
            <w:tcW w:w="739" w:type="dxa"/>
            <w:vAlign w:val="center"/>
          </w:tcPr>
          <w:p w14:paraId="639E7479">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分值</w:t>
            </w:r>
          </w:p>
        </w:tc>
        <w:tc>
          <w:tcPr>
            <w:tcW w:w="6783" w:type="dxa"/>
            <w:vAlign w:val="center"/>
          </w:tcPr>
          <w:p w14:paraId="27B48CF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说</w:t>
            </w:r>
            <w:r>
              <w:rPr>
                <w:rFonts w:hint="eastAsia" w:ascii="黑体" w:hAnsi="黑体" w:eastAsia="黑体" w:cs="黑体"/>
                <w:color w:val="auto"/>
                <w:kern w:val="0"/>
                <w:sz w:val="21"/>
                <w:szCs w:val="21"/>
                <w:highlight w:val="none"/>
                <w:lang w:val="zh-CN" w:bidi="ar-SA"/>
              </w:rPr>
              <w:tab/>
            </w:r>
            <w:r>
              <w:rPr>
                <w:rFonts w:hint="eastAsia" w:ascii="黑体" w:hAnsi="黑体" w:eastAsia="黑体" w:cs="黑体"/>
                <w:color w:val="auto"/>
                <w:kern w:val="0"/>
                <w:sz w:val="21"/>
                <w:szCs w:val="21"/>
                <w:highlight w:val="none"/>
                <w:lang w:val="zh-CN" w:bidi="ar-SA"/>
              </w:rPr>
              <w:t>明</w:t>
            </w:r>
          </w:p>
        </w:tc>
        <w:tc>
          <w:tcPr>
            <w:tcW w:w="841" w:type="dxa"/>
            <w:vAlign w:val="center"/>
          </w:tcPr>
          <w:p w14:paraId="72EA416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sz w:val="21"/>
                <w:szCs w:val="21"/>
                <w:highlight w:val="none"/>
                <w:lang w:val="en-US" w:eastAsia="zh-CN"/>
              </w:rPr>
              <w:t>所在页码</w:t>
            </w:r>
          </w:p>
        </w:tc>
      </w:tr>
      <w:tr w14:paraId="0F5EA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jc w:val="center"/>
        </w:trPr>
        <w:tc>
          <w:tcPr>
            <w:tcW w:w="2344" w:type="dxa"/>
            <w:gridSpan w:val="2"/>
            <w:vAlign w:val="center"/>
          </w:tcPr>
          <w:p w14:paraId="05931763">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评审分值分布</w:t>
            </w:r>
          </w:p>
        </w:tc>
        <w:tc>
          <w:tcPr>
            <w:tcW w:w="7522" w:type="dxa"/>
            <w:gridSpan w:val="2"/>
            <w:vAlign w:val="center"/>
          </w:tcPr>
          <w:p w14:paraId="21262F7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投标报价：10分</w:t>
            </w:r>
          </w:p>
          <w:p w14:paraId="1A0CB2B5">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商务部分：30分</w:t>
            </w:r>
          </w:p>
          <w:p w14:paraId="1204313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技术部分：60分</w:t>
            </w:r>
          </w:p>
        </w:tc>
        <w:tc>
          <w:tcPr>
            <w:tcW w:w="841" w:type="dxa"/>
            <w:vAlign w:val="center"/>
          </w:tcPr>
          <w:p w14:paraId="6403043D">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2E3099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jc w:val="center"/>
        </w:trPr>
        <w:tc>
          <w:tcPr>
            <w:tcW w:w="1078" w:type="dxa"/>
            <w:vAlign w:val="center"/>
          </w:tcPr>
          <w:p w14:paraId="0B5E97D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投标报价10分</w:t>
            </w:r>
          </w:p>
        </w:tc>
        <w:tc>
          <w:tcPr>
            <w:tcW w:w="1266" w:type="dxa"/>
            <w:vAlign w:val="center"/>
          </w:tcPr>
          <w:p w14:paraId="76CBAEF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投标报价</w:t>
            </w:r>
          </w:p>
        </w:tc>
        <w:tc>
          <w:tcPr>
            <w:tcW w:w="739" w:type="dxa"/>
            <w:vAlign w:val="center"/>
          </w:tcPr>
          <w:p w14:paraId="6027F6DF">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en-US" w:bidi="ar-SA"/>
              </w:rPr>
            </w:pPr>
            <w:r>
              <w:rPr>
                <w:rFonts w:hint="eastAsia" w:ascii="黑体" w:hAnsi="黑体" w:eastAsia="黑体" w:cs="黑体"/>
                <w:color w:val="auto"/>
                <w:kern w:val="0"/>
                <w:sz w:val="21"/>
                <w:szCs w:val="21"/>
                <w:highlight w:val="none"/>
                <w:lang w:val="en-US" w:eastAsia="zh-CN" w:bidi="ar-SA"/>
              </w:rPr>
              <w:t>10</w:t>
            </w:r>
          </w:p>
        </w:tc>
        <w:tc>
          <w:tcPr>
            <w:tcW w:w="6783" w:type="dxa"/>
            <w:vAlign w:val="center"/>
          </w:tcPr>
          <w:p w14:paraId="5CC8568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所有有效报价中的最低报价作为评标基准价，有效报价最低报价=评标基准价得满分10分。其余投标人的有效评标报价得分按如下公式计算：</w:t>
            </w:r>
          </w:p>
          <w:p w14:paraId="235BB3EB">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投标报价得分=(评标基准价／投标报价)×100×价格权值10%</w:t>
            </w:r>
          </w:p>
          <w:p w14:paraId="493DC8C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注：如评标委员会认为投标人的投标报价明显低于其他通过符合性审查投标人的报价，有可能影响服务质量或者不能诚信履约的，将要求投标人在评标现场合理的时间内提供书面说明，必要时提交相关证明材料；投标人不能证明其报价合理性的，评标委员会将其作为无效投标处理。</w:t>
            </w:r>
          </w:p>
        </w:tc>
        <w:tc>
          <w:tcPr>
            <w:tcW w:w="841" w:type="dxa"/>
            <w:vAlign w:val="center"/>
          </w:tcPr>
          <w:p w14:paraId="7EE04B93">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647962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1078" w:type="dxa"/>
            <w:vMerge w:val="restart"/>
            <w:vAlign w:val="center"/>
          </w:tcPr>
          <w:p w14:paraId="25DD0D05">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商务部分30分</w:t>
            </w:r>
          </w:p>
        </w:tc>
        <w:tc>
          <w:tcPr>
            <w:tcW w:w="1266" w:type="dxa"/>
            <w:vAlign w:val="center"/>
          </w:tcPr>
          <w:p w14:paraId="0DC24778">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投标人的同类项目业绩</w:t>
            </w:r>
          </w:p>
        </w:tc>
        <w:tc>
          <w:tcPr>
            <w:tcW w:w="739" w:type="dxa"/>
            <w:vAlign w:val="center"/>
          </w:tcPr>
          <w:p w14:paraId="3D884F0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6</w:t>
            </w:r>
          </w:p>
        </w:tc>
        <w:tc>
          <w:tcPr>
            <w:tcW w:w="6783" w:type="dxa"/>
            <w:vAlign w:val="center"/>
          </w:tcPr>
          <w:p w14:paraId="2CF326C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投标人每提供一项2020年1月1日至今的类似项目业绩，得</w:t>
            </w:r>
            <w:r>
              <w:rPr>
                <w:rFonts w:hint="eastAsia" w:ascii="黑体" w:hAnsi="黑体" w:eastAsia="黑体" w:cs="黑体"/>
                <w:color w:val="auto"/>
                <w:kern w:val="0"/>
                <w:sz w:val="21"/>
                <w:szCs w:val="21"/>
                <w:highlight w:val="none"/>
                <w:lang w:val="en-US" w:eastAsia="zh-CN" w:bidi="ar-SA"/>
              </w:rPr>
              <w:t>2</w:t>
            </w:r>
            <w:r>
              <w:rPr>
                <w:rFonts w:hint="eastAsia" w:ascii="黑体" w:hAnsi="黑体" w:eastAsia="黑体" w:cs="黑体"/>
                <w:color w:val="auto"/>
                <w:kern w:val="0"/>
                <w:sz w:val="21"/>
                <w:szCs w:val="21"/>
                <w:highlight w:val="none"/>
                <w:lang w:val="zh-CN" w:eastAsia="zh-CN" w:bidi="ar-SA"/>
              </w:rPr>
              <w:t>分，最高得</w:t>
            </w:r>
            <w:r>
              <w:rPr>
                <w:rFonts w:hint="eastAsia" w:ascii="黑体" w:hAnsi="黑体" w:eastAsia="黑体" w:cs="黑体"/>
                <w:color w:val="auto"/>
                <w:kern w:val="0"/>
                <w:sz w:val="21"/>
                <w:szCs w:val="21"/>
                <w:highlight w:val="none"/>
                <w:lang w:val="en-US" w:eastAsia="zh-CN" w:bidi="ar-SA"/>
              </w:rPr>
              <w:t>6</w:t>
            </w:r>
            <w:r>
              <w:rPr>
                <w:rFonts w:hint="eastAsia" w:ascii="黑体" w:hAnsi="黑体" w:eastAsia="黑体" w:cs="黑体"/>
                <w:color w:val="auto"/>
                <w:kern w:val="0"/>
                <w:sz w:val="21"/>
                <w:szCs w:val="21"/>
                <w:highlight w:val="none"/>
                <w:lang w:val="zh-CN" w:eastAsia="zh-CN" w:bidi="ar-SA"/>
              </w:rPr>
              <w:t>分。注：提供中标通知书或合同，标书内附其加盖公章的复印件。(类似项目可以是：关于土壤普查项目相关业绩。)</w:t>
            </w:r>
          </w:p>
        </w:tc>
        <w:tc>
          <w:tcPr>
            <w:tcW w:w="841" w:type="dxa"/>
            <w:vAlign w:val="center"/>
          </w:tcPr>
          <w:p w14:paraId="461DFC8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p>
        </w:tc>
      </w:tr>
      <w:tr w14:paraId="7EBE2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2" w:hRule="atLeast"/>
          <w:jc w:val="center"/>
        </w:trPr>
        <w:tc>
          <w:tcPr>
            <w:tcW w:w="1078" w:type="dxa"/>
            <w:vMerge w:val="continue"/>
            <w:vAlign w:val="center"/>
          </w:tcPr>
          <w:p w14:paraId="73EF598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74713D0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人员要求</w:t>
            </w:r>
          </w:p>
        </w:tc>
        <w:tc>
          <w:tcPr>
            <w:tcW w:w="739" w:type="dxa"/>
            <w:vAlign w:val="center"/>
          </w:tcPr>
          <w:p w14:paraId="0893118F">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12</w:t>
            </w:r>
          </w:p>
        </w:tc>
        <w:tc>
          <w:tcPr>
            <w:tcW w:w="6783" w:type="dxa"/>
            <w:vAlign w:val="center"/>
          </w:tcPr>
          <w:p w14:paraId="612AE971">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项目管理成员要求具备土地资源管理的副高级以上的专家1名（提供人员证书、劳动合同或退休人员提供返聘合同），得3分；具备农业资源的副高级以上的专家1名（提供人员证书、劳动合同或退休人员提供返聘合同），得3分。</w:t>
            </w:r>
          </w:p>
          <w:p w14:paraId="25598C8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项目组成人员中具有土壤学或近似专业副高级及以上职称每有一个得3分，最高6分；</w:t>
            </w:r>
          </w:p>
          <w:p w14:paraId="08BB0EF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注：土壤学及相关专业是指土壤学、农业资源利用、农业资源与环境、生态学、地球化学、地质、水文地质、植物营养学、环境科学、环境工程、资源勘查、自然地理、化学工程与工艺、分析化学、应用化学。</w:t>
            </w:r>
          </w:p>
        </w:tc>
        <w:tc>
          <w:tcPr>
            <w:tcW w:w="841" w:type="dxa"/>
            <w:vAlign w:val="center"/>
          </w:tcPr>
          <w:p w14:paraId="2AB9B3D0">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p>
        </w:tc>
      </w:tr>
      <w:tr w14:paraId="3C65B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jc w:val="center"/>
        </w:trPr>
        <w:tc>
          <w:tcPr>
            <w:tcW w:w="1078" w:type="dxa"/>
            <w:vMerge w:val="continue"/>
            <w:vAlign w:val="center"/>
          </w:tcPr>
          <w:p w14:paraId="3BB35D3F">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2A505982">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spacing w:val="-4"/>
                <w:lang w:val="en-US"/>
              </w:rPr>
            </w:pPr>
            <w:r>
              <w:rPr>
                <w:rFonts w:hint="eastAsia" w:ascii="黑体" w:hAnsi="黑体" w:eastAsia="黑体" w:cs="黑体"/>
                <w:color w:val="auto"/>
                <w:kern w:val="0"/>
                <w:sz w:val="21"/>
                <w:szCs w:val="21"/>
                <w:highlight w:val="none"/>
                <w:lang w:val="en-US" w:eastAsia="zh-CN" w:bidi="ar-SA"/>
              </w:rPr>
              <w:t>优惠条件</w:t>
            </w:r>
          </w:p>
        </w:tc>
        <w:tc>
          <w:tcPr>
            <w:tcW w:w="739" w:type="dxa"/>
            <w:tcBorders>
              <w:bottom w:val="single" w:color="auto" w:sz="4" w:space="0"/>
            </w:tcBorders>
            <w:vAlign w:val="center"/>
          </w:tcPr>
          <w:p w14:paraId="6C953391">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6</w:t>
            </w:r>
          </w:p>
        </w:tc>
        <w:tc>
          <w:tcPr>
            <w:tcW w:w="6783" w:type="dxa"/>
            <w:tcBorders>
              <w:bottom w:val="single" w:color="auto" w:sz="4" w:space="0"/>
            </w:tcBorders>
            <w:vAlign w:val="top"/>
          </w:tcPr>
          <w:p w14:paraId="7779608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针对本项目提供</w:t>
            </w:r>
            <w:r>
              <w:rPr>
                <w:rFonts w:hint="eastAsia" w:ascii="黑体" w:hAnsi="黑体" w:eastAsia="黑体" w:cs="黑体"/>
                <w:color w:val="auto"/>
                <w:kern w:val="0"/>
                <w:sz w:val="21"/>
                <w:szCs w:val="21"/>
                <w:highlight w:val="none"/>
                <w:lang w:val="en-US" w:eastAsia="zh-CN" w:bidi="ar-SA"/>
              </w:rPr>
              <w:t>优惠条件</w:t>
            </w:r>
            <w:r>
              <w:rPr>
                <w:rFonts w:hint="eastAsia" w:ascii="黑体" w:hAnsi="黑体" w:eastAsia="黑体" w:cs="黑体"/>
                <w:color w:val="auto"/>
                <w:kern w:val="0"/>
                <w:sz w:val="21"/>
                <w:szCs w:val="21"/>
                <w:highlight w:val="none"/>
                <w:lang w:val="zh-CN" w:eastAsia="zh-CN" w:bidi="ar-SA"/>
              </w:rPr>
              <w:t>，有实质性服务承诺的每提供一项加</w:t>
            </w:r>
            <w:r>
              <w:rPr>
                <w:rFonts w:hint="eastAsia" w:ascii="黑体" w:hAnsi="黑体" w:eastAsia="黑体" w:cs="黑体"/>
                <w:color w:val="auto"/>
                <w:kern w:val="0"/>
                <w:sz w:val="21"/>
                <w:szCs w:val="21"/>
                <w:highlight w:val="none"/>
                <w:lang w:val="en-US" w:eastAsia="zh-CN" w:bidi="ar-SA"/>
              </w:rPr>
              <w:t>1.5</w:t>
            </w:r>
            <w:r>
              <w:rPr>
                <w:rFonts w:hint="eastAsia" w:ascii="黑体" w:hAnsi="黑体" w:eastAsia="黑体" w:cs="黑体"/>
                <w:color w:val="auto"/>
                <w:kern w:val="0"/>
                <w:sz w:val="21"/>
                <w:szCs w:val="21"/>
                <w:highlight w:val="none"/>
                <w:lang w:val="zh-CN" w:eastAsia="zh-CN" w:bidi="ar-SA"/>
              </w:rPr>
              <w:t>分，最高得</w:t>
            </w:r>
            <w:r>
              <w:rPr>
                <w:rFonts w:hint="eastAsia" w:ascii="黑体" w:hAnsi="黑体" w:eastAsia="黑体" w:cs="黑体"/>
                <w:color w:val="auto"/>
                <w:kern w:val="0"/>
                <w:sz w:val="21"/>
                <w:szCs w:val="21"/>
                <w:highlight w:val="none"/>
                <w:lang w:val="en-US" w:eastAsia="zh-CN" w:bidi="ar-SA"/>
              </w:rPr>
              <w:t>6</w:t>
            </w:r>
            <w:r>
              <w:rPr>
                <w:rFonts w:hint="eastAsia" w:ascii="黑体" w:hAnsi="黑体" w:eastAsia="黑体" w:cs="黑体"/>
                <w:color w:val="auto"/>
                <w:kern w:val="0"/>
                <w:sz w:val="21"/>
                <w:szCs w:val="21"/>
                <w:highlight w:val="none"/>
                <w:lang w:val="zh-CN" w:eastAsia="zh-CN" w:bidi="ar-SA"/>
              </w:rPr>
              <w:t>分。</w:t>
            </w:r>
          </w:p>
        </w:tc>
        <w:tc>
          <w:tcPr>
            <w:tcW w:w="841" w:type="dxa"/>
            <w:tcBorders>
              <w:bottom w:val="single" w:color="auto" w:sz="4" w:space="0"/>
            </w:tcBorders>
            <w:vAlign w:val="center"/>
          </w:tcPr>
          <w:p w14:paraId="08BB9A4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p>
        </w:tc>
      </w:tr>
      <w:tr w14:paraId="73A2B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jc w:val="center"/>
        </w:trPr>
        <w:tc>
          <w:tcPr>
            <w:tcW w:w="1078" w:type="dxa"/>
            <w:vMerge w:val="continue"/>
            <w:vAlign w:val="center"/>
          </w:tcPr>
          <w:p w14:paraId="1BF3C40B">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0ED4D71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服务承诺</w:t>
            </w:r>
          </w:p>
        </w:tc>
        <w:tc>
          <w:tcPr>
            <w:tcW w:w="739" w:type="dxa"/>
            <w:tcBorders>
              <w:bottom w:val="single" w:color="auto" w:sz="4" w:space="0"/>
            </w:tcBorders>
            <w:vAlign w:val="center"/>
          </w:tcPr>
          <w:p w14:paraId="2DC4F80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6</w:t>
            </w:r>
          </w:p>
        </w:tc>
        <w:tc>
          <w:tcPr>
            <w:tcW w:w="6783" w:type="dxa"/>
            <w:tcBorders>
              <w:bottom w:val="single" w:color="auto" w:sz="4" w:space="0"/>
            </w:tcBorders>
            <w:vAlign w:val="top"/>
          </w:tcPr>
          <w:p w14:paraId="6BC6B2C0">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针对本项目提供服务承诺，提供完善的具有可操作性的服务承诺，能够很好地满足采购人要求：</w:t>
            </w:r>
          </w:p>
          <w:p w14:paraId="0771E432">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 xml:space="preserve">内容完整、详细、表述清晰、切实可行，得 </w:t>
            </w:r>
            <w:r>
              <w:rPr>
                <w:rFonts w:hint="eastAsia" w:ascii="黑体" w:hAnsi="黑体" w:eastAsia="黑体" w:cs="黑体"/>
                <w:color w:val="auto"/>
                <w:kern w:val="0"/>
                <w:sz w:val="21"/>
                <w:szCs w:val="21"/>
                <w:highlight w:val="none"/>
                <w:lang w:val="en-US" w:eastAsia="zh-CN" w:bidi="ar-SA"/>
              </w:rPr>
              <w:t>6</w:t>
            </w:r>
            <w:r>
              <w:rPr>
                <w:rFonts w:hint="eastAsia" w:ascii="黑体" w:hAnsi="黑体" w:eastAsia="黑体" w:cs="黑体"/>
                <w:color w:val="auto"/>
                <w:kern w:val="0"/>
                <w:sz w:val="21"/>
                <w:szCs w:val="21"/>
                <w:highlight w:val="none"/>
                <w:lang w:val="zh-CN" w:eastAsia="zh-CN" w:bidi="ar-SA"/>
              </w:rPr>
              <w:t xml:space="preserve"> 分；</w:t>
            </w:r>
          </w:p>
          <w:p w14:paraId="24E2908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内容比较完整、详细、表述清晰、可行，得 3 分；</w:t>
            </w:r>
          </w:p>
          <w:p w14:paraId="1BEBE7EE">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内容基本完整、详细、表述基本清晰、可行性稍差，得 1 分；</w:t>
            </w:r>
          </w:p>
          <w:p w14:paraId="234305A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color w:val="auto"/>
                <w:kern w:val="0"/>
                <w:sz w:val="21"/>
                <w:szCs w:val="21"/>
                <w:highlight w:val="none"/>
                <w:lang w:val="zh-CN" w:bidi="ar-SA"/>
              </w:rPr>
              <w:t>提供不得分。</w:t>
            </w:r>
          </w:p>
        </w:tc>
        <w:tc>
          <w:tcPr>
            <w:tcW w:w="841" w:type="dxa"/>
            <w:tcBorders>
              <w:bottom w:val="single" w:color="auto" w:sz="4" w:space="0"/>
            </w:tcBorders>
            <w:vAlign w:val="center"/>
          </w:tcPr>
          <w:p w14:paraId="2759686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p>
        </w:tc>
      </w:tr>
      <w:tr w14:paraId="6990A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jc w:val="center"/>
        </w:trPr>
        <w:tc>
          <w:tcPr>
            <w:tcW w:w="1078" w:type="dxa"/>
            <w:vMerge w:val="restart"/>
            <w:vAlign w:val="center"/>
          </w:tcPr>
          <w:p w14:paraId="41FED619">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技术部分60分</w:t>
            </w:r>
          </w:p>
        </w:tc>
        <w:tc>
          <w:tcPr>
            <w:tcW w:w="1266" w:type="dxa"/>
            <w:vAlign w:val="center"/>
          </w:tcPr>
          <w:p w14:paraId="237A3BD0">
            <w:pPr>
              <w:spacing w:line="240" w:lineRule="auto"/>
              <w:jc w:val="center"/>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总体认知</w:t>
            </w:r>
          </w:p>
        </w:tc>
        <w:tc>
          <w:tcPr>
            <w:tcW w:w="739" w:type="dxa"/>
            <w:vAlign w:val="center"/>
          </w:tcPr>
          <w:p w14:paraId="378EA91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5</w:t>
            </w:r>
          </w:p>
        </w:tc>
        <w:tc>
          <w:tcPr>
            <w:tcW w:w="6783" w:type="dxa"/>
            <w:vAlign w:val="center"/>
          </w:tcPr>
          <w:p w14:paraId="76B2521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投标人对土壤普查成果汇总范围与目标明确，对影响土壤普查成果汇总的关键问题以及项目得重点和难点分析清楚，得</w:t>
            </w:r>
            <w:r>
              <w:rPr>
                <w:rFonts w:hint="eastAsia" w:ascii="黑体" w:hAnsi="黑体" w:eastAsia="黑体" w:cs="黑体"/>
                <w:color w:val="auto"/>
                <w:kern w:val="0"/>
                <w:sz w:val="21"/>
                <w:szCs w:val="21"/>
                <w:highlight w:val="none"/>
                <w:lang w:val="zh-CN" w:eastAsia="zh-CN" w:bidi="ar-SA"/>
              </w:rPr>
              <w:t>5</w:t>
            </w:r>
            <w:r>
              <w:rPr>
                <w:rFonts w:hint="eastAsia" w:ascii="黑体" w:hAnsi="黑体" w:eastAsia="黑体" w:cs="黑体"/>
                <w:color w:val="auto"/>
                <w:kern w:val="0"/>
                <w:sz w:val="21"/>
                <w:szCs w:val="21"/>
                <w:highlight w:val="none"/>
                <w:lang w:val="zh-CN" w:bidi="ar-SA"/>
              </w:rPr>
              <w:t>分；</w:t>
            </w:r>
          </w:p>
          <w:p w14:paraId="5759B7C3">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zh-CN" w:bidi="ar-SA"/>
              </w:rPr>
              <w:t>投标人对土壤普查成果汇总范围与目标明确，对影响土壤普查成果汇总以及项目得重点和难点分析较为清楚，得3分；</w:t>
            </w:r>
          </w:p>
          <w:p w14:paraId="4C60248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color w:val="auto"/>
                <w:kern w:val="0"/>
                <w:sz w:val="21"/>
                <w:szCs w:val="21"/>
                <w:highlight w:val="none"/>
                <w:lang w:val="zh-CN" w:bidi="ar-SA"/>
              </w:rPr>
              <w:t>提供不得分。</w:t>
            </w:r>
          </w:p>
        </w:tc>
        <w:tc>
          <w:tcPr>
            <w:tcW w:w="841" w:type="dxa"/>
            <w:vAlign w:val="center"/>
          </w:tcPr>
          <w:p w14:paraId="3C9F095C">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zh-CN" w:bidi="ar-SA"/>
              </w:rPr>
            </w:pPr>
          </w:p>
        </w:tc>
      </w:tr>
      <w:tr w14:paraId="032AA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jc w:val="center"/>
        </w:trPr>
        <w:tc>
          <w:tcPr>
            <w:tcW w:w="1078" w:type="dxa"/>
            <w:vMerge w:val="continue"/>
            <w:vAlign w:val="center"/>
          </w:tcPr>
          <w:p w14:paraId="427F2EA9">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7E237D73">
            <w:pPr>
              <w:spacing w:line="240" w:lineRule="auto"/>
              <w:jc w:val="center"/>
              <w:rPr>
                <w:rFonts w:hint="eastAsia" w:ascii="黑体" w:hAnsi="黑体" w:eastAsia="黑体" w:cs="黑体"/>
                <w:strike w:val="0"/>
                <w:dstrike w:val="0"/>
                <w:color w:val="auto"/>
                <w:kern w:val="0"/>
                <w:sz w:val="21"/>
                <w:szCs w:val="21"/>
                <w:highlight w:val="none"/>
                <w:lang w:val="zh-CN" w:eastAsia="zh-CN" w:bidi="ar-SA"/>
              </w:rPr>
            </w:pPr>
            <w:r>
              <w:rPr>
                <w:rFonts w:hint="eastAsia" w:ascii="黑体" w:hAnsi="黑体" w:eastAsia="黑体" w:cs="黑体"/>
                <w:strike w:val="0"/>
                <w:dstrike w:val="0"/>
                <w:color w:val="auto"/>
                <w:kern w:val="0"/>
                <w:sz w:val="21"/>
                <w:szCs w:val="21"/>
                <w:highlight w:val="none"/>
                <w:lang w:val="zh-CN" w:eastAsia="zh-CN" w:bidi="ar-SA"/>
              </w:rPr>
              <w:t>项目</w:t>
            </w:r>
          </w:p>
          <w:p w14:paraId="00094AFB">
            <w:pPr>
              <w:spacing w:line="240" w:lineRule="auto"/>
              <w:jc w:val="center"/>
              <w:rPr>
                <w:rFonts w:hint="eastAsia" w:ascii="黑体" w:hAnsi="黑体" w:eastAsia="黑体" w:cs="黑体"/>
                <w:strike w:val="0"/>
                <w:dstrike w:val="0"/>
                <w:color w:val="auto"/>
                <w:kern w:val="0"/>
                <w:sz w:val="21"/>
                <w:szCs w:val="21"/>
                <w:highlight w:val="none"/>
                <w:lang w:val="zh-CN" w:eastAsia="zh-CN" w:bidi="ar-SA"/>
              </w:rPr>
            </w:pPr>
            <w:r>
              <w:rPr>
                <w:rFonts w:hint="eastAsia" w:ascii="黑体" w:hAnsi="黑体" w:eastAsia="黑体" w:cs="黑体"/>
                <w:strike w:val="0"/>
                <w:dstrike w:val="0"/>
                <w:color w:val="auto"/>
                <w:kern w:val="0"/>
                <w:sz w:val="21"/>
                <w:szCs w:val="21"/>
                <w:highlight w:val="none"/>
                <w:lang w:val="zh-CN" w:eastAsia="zh-CN" w:bidi="ar-SA"/>
              </w:rPr>
              <w:t>实施方案</w:t>
            </w:r>
          </w:p>
        </w:tc>
        <w:tc>
          <w:tcPr>
            <w:tcW w:w="739" w:type="dxa"/>
            <w:vAlign w:val="center"/>
          </w:tcPr>
          <w:p w14:paraId="293FFF40">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strike w:val="0"/>
                <w:dstrike w:val="0"/>
                <w:color w:val="auto"/>
                <w:kern w:val="0"/>
                <w:sz w:val="21"/>
                <w:szCs w:val="21"/>
                <w:highlight w:val="none"/>
                <w:lang w:val="en-US" w:eastAsia="zh-CN" w:bidi="ar-SA"/>
              </w:rPr>
            </w:pPr>
            <w:r>
              <w:rPr>
                <w:rFonts w:hint="eastAsia" w:ascii="黑体" w:hAnsi="黑体" w:eastAsia="黑体" w:cs="黑体"/>
                <w:strike w:val="0"/>
                <w:dstrike w:val="0"/>
                <w:color w:val="auto"/>
                <w:kern w:val="0"/>
                <w:sz w:val="21"/>
                <w:szCs w:val="21"/>
                <w:highlight w:val="none"/>
                <w:lang w:val="en-US" w:eastAsia="zh-CN" w:bidi="ar-SA"/>
              </w:rPr>
              <w:t>15</w:t>
            </w:r>
          </w:p>
        </w:tc>
        <w:tc>
          <w:tcPr>
            <w:tcW w:w="6783" w:type="dxa"/>
            <w:vAlign w:val="center"/>
          </w:tcPr>
          <w:p w14:paraId="42479B4B">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strike w:val="0"/>
                <w:dstrike w:val="0"/>
                <w:color w:val="auto"/>
                <w:kern w:val="0"/>
                <w:sz w:val="21"/>
                <w:szCs w:val="21"/>
                <w:highlight w:val="none"/>
                <w:lang w:val="en-US" w:eastAsia="zh-CN" w:bidi="ar-SA"/>
              </w:rPr>
            </w:pPr>
            <w:r>
              <w:rPr>
                <w:rFonts w:hint="eastAsia" w:ascii="黑体" w:hAnsi="黑体" w:eastAsia="黑体" w:cs="黑体"/>
                <w:strike w:val="0"/>
                <w:dstrike w:val="0"/>
                <w:color w:val="auto"/>
                <w:kern w:val="0"/>
                <w:sz w:val="21"/>
                <w:szCs w:val="21"/>
                <w:highlight w:val="none"/>
                <w:lang w:val="en-US" w:eastAsia="zh-CN" w:bidi="ar-SA"/>
              </w:rPr>
              <w:t>1、项目实施方案完善、可行性强、科学明确对土壤成果汇总掌握详细，得5分，基本准确、合理得3分，明显不足或未提供不得分；</w:t>
            </w:r>
          </w:p>
          <w:p w14:paraId="19EFAF2F">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strike w:val="0"/>
                <w:dstrike w:val="0"/>
                <w:color w:val="auto"/>
                <w:kern w:val="0"/>
                <w:sz w:val="21"/>
                <w:szCs w:val="21"/>
                <w:highlight w:val="none"/>
                <w:lang w:val="en-US" w:eastAsia="zh-CN" w:bidi="ar-SA"/>
              </w:rPr>
            </w:pPr>
            <w:r>
              <w:rPr>
                <w:rFonts w:hint="eastAsia" w:ascii="黑体" w:hAnsi="黑体" w:eastAsia="黑体" w:cs="黑体"/>
                <w:strike w:val="0"/>
                <w:dstrike w:val="0"/>
                <w:color w:val="auto"/>
                <w:kern w:val="0"/>
                <w:sz w:val="21"/>
                <w:szCs w:val="21"/>
                <w:highlight w:val="none"/>
                <w:lang w:val="en-US" w:eastAsia="zh-CN" w:bidi="ar-SA"/>
              </w:rPr>
              <w:t>2、工作流程及技术路线清晰得5分，基本清晰、明确、科学得3分，明显不足或未提供不得分；</w:t>
            </w:r>
          </w:p>
          <w:p w14:paraId="520CA47D">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strike/>
                <w:dstrike w:val="0"/>
                <w:color w:val="auto"/>
                <w:kern w:val="0"/>
                <w:sz w:val="21"/>
                <w:szCs w:val="21"/>
                <w:highlight w:val="none"/>
                <w:lang w:val="en-US" w:eastAsia="zh-CN" w:bidi="ar-SA"/>
              </w:rPr>
            </w:pPr>
            <w:r>
              <w:rPr>
                <w:rFonts w:hint="eastAsia" w:ascii="黑体" w:hAnsi="黑体" w:eastAsia="黑体" w:cs="黑体"/>
                <w:strike w:val="0"/>
                <w:dstrike w:val="0"/>
                <w:color w:val="auto"/>
                <w:kern w:val="0"/>
                <w:sz w:val="21"/>
                <w:szCs w:val="21"/>
                <w:highlight w:val="none"/>
                <w:lang w:val="en-US" w:eastAsia="zh-CN" w:bidi="ar-SA"/>
              </w:rPr>
              <w:t>3、技术方案适合项目需求，先进且可行的得5分，基本合理、可行的得3分；明显不足或</w:t>
            </w: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strike w:val="0"/>
                <w:dstrike w:val="0"/>
                <w:color w:val="auto"/>
                <w:kern w:val="0"/>
                <w:sz w:val="21"/>
                <w:szCs w:val="21"/>
                <w:highlight w:val="none"/>
                <w:lang w:val="en-US" w:eastAsia="zh-CN" w:bidi="ar-SA"/>
              </w:rPr>
              <w:t>提供不得分。</w:t>
            </w:r>
          </w:p>
        </w:tc>
        <w:tc>
          <w:tcPr>
            <w:tcW w:w="841" w:type="dxa"/>
            <w:vAlign w:val="center"/>
          </w:tcPr>
          <w:p w14:paraId="33BF570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07B71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078" w:type="dxa"/>
            <w:vMerge w:val="continue"/>
            <w:vAlign w:val="center"/>
          </w:tcPr>
          <w:p w14:paraId="50C9DBAF">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426556AA">
            <w:pPr>
              <w:spacing w:line="240" w:lineRule="auto"/>
              <w:jc w:val="center"/>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项目</w:t>
            </w:r>
          </w:p>
          <w:p w14:paraId="4D9F0E70">
            <w:pPr>
              <w:spacing w:line="240" w:lineRule="auto"/>
              <w:jc w:val="center"/>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重难点分析</w:t>
            </w:r>
          </w:p>
        </w:tc>
        <w:tc>
          <w:tcPr>
            <w:tcW w:w="739" w:type="dxa"/>
            <w:vAlign w:val="center"/>
          </w:tcPr>
          <w:p w14:paraId="3F557FA2">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10</w:t>
            </w:r>
          </w:p>
        </w:tc>
        <w:tc>
          <w:tcPr>
            <w:tcW w:w="6783" w:type="dxa"/>
            <w:vAlign w:val="center"/>
          </w:tcPr>
          <w:p w14:paraId="5B0C7CDB">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根据投标人提供的针对本项目技术重难点分析透彻，具有预见性，针对本项目可预见及不可预见的重难点均有详细的解决方案，且解决方案科学合理、可实施程度高，得10分</w:t>
            </w:r>
          </w:p>
          <w:p w14:paraId="68DBD695">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重点、难点分析较科学、合理，针对性较强得6分</w:t>
            </w:r>
          </w:p>
          <w:p w14:paraId="499EA58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default"/>
                <w:lang w:val="en-US" w:eastAsia="zh-CN"/>
              </w:rPr>
            </w:pPr>
            <w:r>
              <w:rPr>
                <w:rFonts w:hint="eastAsia" w:ascii="黑体" w:hAnsi="黑体" w:eastAsia="黑体" w:cs="黑体"/>
                <w:color w:val="auto"/>
                <w:kern w:val="0"/>
                <w:sz w:val="21"/>
                <w:szCs w:val="21"/>
                <w:highlight w:val="none"/>
                <w:lang w:val="en-US" w:eastAsia="zh-CN" w:bidi="ar-SA"/>
              </w:rPr>
              <w:t>重点、难点分析一般，针对性一般得3分；未提供不得分。</w:t>
            </w:r>
          </w:p>
        </w:tc>
        <w:tc>
          <w:tcPr>
            <w:tcW w:w="841" w:type="dxa"/>
            <w:vAlign w:val="center"/>
          </w:tcPr>
          <w:p w14:paraId="1B6FBA30">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1227E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1078" w:type="dxa"/>
            <w:vMerge w:val="continue"/>
            <w:vAlign w:val="center"/>
          </w:tcPr>
          <w:p w14:paraId="1E8704E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6B88A83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项目</w:t>
            </w:r>
          </w:p>
          <w:p w14:paraId="3B6DED49">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eastAsia="zh-CN" w:bidi="ar-SA"/>
              </w:rPr>
            </w:pPr>
            <w:r>
              <w:rPr>
                <w:rFonts w:hint="eastAsia" w:ascii="黑体" w:hAnsi="黑体" w:eastAsia="黑体" w:cs="黑体"/>
                <w:color w:val="auto"/>
                <w:kern w:val="0"/>
                <w:sz w:val="21"/>
                <w:szCs w:val="21"/>
                <w:highlight w:val="none"/>
                <w:lang w:val="zh-CN" w:eastAsia="zh-CN" w:bidi="ar-SA"/>
              </w:rPr>
              <w:t>进度安排</w:t>
            </w:r>
          </w:p>
        </w:tc>
        <w:tc>
          <w:tcPr>
            <w:tcW w:w="739" w:type="dxa"/>
            <w:vAlign w:val="center"/>
          </w:tcPr>
          <w:p w14:paraId="65FAEBC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10</w:t>
            </w:r>
          </w:p>
        </w:tc>
        <w:tc>
          <w:tcPr>
            <w:tcW w:w="6783" w:type="dxa"/>
            <w:vAlign w:val="center"/>
          </w:tcPr>
          <w:p w14:paraId="385EC58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1、项目进度安排计划具体、部位明确的得5分，一般的得3分，不提供不得分。</w:t>
            </w:r>
          </w:p>
          <w:p w14:paraId="26ABCF21">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2、项目进度安排方法可行的得5分，一般的得3分；</w:t>
            </w:r>
          </w:p>
          <w:p w14:paraId="39BBBC6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未提供不得分。</w:t>
            </w:r>
          </w:p>
        </w:tc>
        <w:tc>
          <w:tcPr>
            <w:tcW w:w="841" w:type="dxa"/>
            <w:vAlign w:val="center"/>
          </w:tcPr>
          <w:p w14:paraId="066E7105">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2AB78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1078" w:type="dxa"/>
            <w:vMerge w:val="continue"/>
            <w:vAlign w:val="center"/>
          </w:tcPr>
          <w:p w14:paraId="2C491F5D">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27B5DD08">
            <w:pPr>
              <w:spacing w:line="240" w:lineRule="auto"/>
              <w:jc w:val="center"/>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kern w:val="2"/>
                <w:sz w:val="21"/>
                <w:szCs w:val="21"/>
                <w:highlight w:val="none"/>
                <w:lang w:val="en-US" w:eastAsia="zh-CN" w:bidi="ar-SA"/>
              </w:rPr>
              <w:t>质量</w:t>
            </w:r>
          </w:p>
          <w:p w14:paraId="6A001C24">
            <w:pPr>
              <w:spacing w:line="240" w:lineRule="auto"/>
              <w:jc w:val="center"/>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kern w:val="2"/>
                <w:sz w:val="21"/>
                <w:szCs w:val="21"/>
                <w:highlight w:val="none"/>
                <w:lang w:val="en-US" w:eastAsia="zh-CN" w:bidi="ar-SA"/>
              </w:rPr>
              <w:t>保证方案</w:t>
            </w:r>
          </w:p>
        </w:tc>
        <w:tc>
          <w:tcPr>
            <w:tcW w:w="739" w:type="dxa"/>
            <w:vAlign w:val="center"/>
          </w:tcPr>
          <w:p w14:paraId="4AFD4252">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10</w:t>
            </w:r>
          </w:p>
        </w:tc>
        <w:tc>
          <w:tcPr>
            <w:tcW w:w="6783" w:type="dxa"/>
            <w:vAlign w:val="center"/>
          </w:tcPr>
          <w:p w14:paraId="3B69E8AE">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质量保证方案健全，质量保证措施详细可靠，得10分；质量保证方案相对健全，质量保证措施详细，得6分；质量保证方案系一般健全，有质量保证措施，得3分；</w:t>
            </w:r>
          </w:p>
          <w:p w14:paraId="76D6569D">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color w:val="auto"/>
                <w:sz w:val="21"/>
                <w:szCs w:val="21"/>
                <w:highlight w:val="none"/>
              </w:rPr>
              <w:t>提供不得分。</w:t>
            </w:r>
          </w:p>
        </w:tc>
        <w:tc>
          <w:tcPr>
            <w:tcW w:w="841" w:type="dxa"/>
            <w:vAlign w:val="center"/>
          </w:tcPr>
          <w:p w14:paraId="5865BC98">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11A31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1078" w:type="dxa"/>
            <w:vMerge w:val="continue"/>
            <w:vAlign w:val="center"/>
          </w:tcPr>
          <w:p w14:paraId="4F5E5B62">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29323931">
            <w:pPr>
              <w:spacing w:line="240" w:lineRule="auto"/>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任何可能的紧急情况的处理措施、预案以及抵抗风险的措</w:t>
            </w:r>
          </w:p>
          <w:p w14:paraId="56FB31BA">
            <w:pPr>
              <w:spacing w:line="240" w:lineRule="auto"/>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施</w:t>
            </w:r>
          </w:p>
        </w:tc>
        <w:tc>
          <w:tcPr>
            <w:tcW w:w="739" w:type="dxa"/>
            <w:vAlign w:val="center"/>
          </w:tcPr>
          <w:p w14:paraId="615E1949">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5</w:t>
            </w:r>
          </w:p>
        </w:tc>
        <w:tc>
          <w:tcPr>
            <w:tcW w:w="6783" w:type="dxa"/>
            <w:vAlign w:val="center"/>
          </w:tcPr>
          <w:p w14:paraId="7ACC459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方案中应体现紧急预案，要求实用，经济，切实可行</w:t>
            </w:r>
          </w:p>
          <w:p w14:paraId="5A54BDC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1.方案中应体现紧急预案，处理紧急情况、抵抗风险能力，有备选方案实用，经济，可行性强的得5分</w:t>
            </w:r>
          </w:p>
          <w:p w14:paraId="1473F47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2.方案中应体现紧急预案，处理紧急情况、抵抗风险能力，有备选方案，实用，经济，可行性较强</w:t>
            </w:r>
            <w:r>
              <w:rPr>
                <w:rFonts w:hint="eastAsia" w:ascii="黑体" w:hAnsi="黑体" w:eastAsia="黑体" w:cs="黑体"/>
                <w:color w:val="auto"/>
                <w:sz w:val="21"/>
                <w:szCs w:val="21"/>
                <w:highlight w:val="none"/>
                <w:lang w:val="en-US" w:eastAsia="zh-CN"/>
              </w:rPr>
              <w:t>得</w:t>
            </w:r>
            <w:r>
              <w:rPr>
                <w:rFonts w:hint="eastAsia" w:ascii="黑体" w:hAnsi="黑体" w:eastAsia="黑体" w:cs="黑体"/>
                <w:color w:val="auto"/>
                <w:sz w:val="21"/>
                <w:szCs w:val="21"/>
                <w:highlight w:val="none"/>
              </w:rPr>
              <w:t>3分</w:t>
            </w:r>
          </w:p>
          <w:p w14:paraId="1C698C0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rPr>
              <w:t>3.方案中应体现紧急预案，处理紧急情况、抵抗风险能力，有备选方案，实用，经济，可行性一般</w:t>
            </w:r>
            <w:r>
              <w:rPr>
                <w:rFonts w:hint="eastAsia" w:ascii="黑体" w:hAnsi="黑体" w:eastAsia="黑体" w:cs="黑体"/>
                <w:color w:val="auto"/>
                <w:sz w:val="21"/>
                <w:szCs w:val="21"/>
                <w:highlight w:val="none"/>
                <w:lang w:val="en-US" w:eastAsia="zh-CN"/>
              </w:rPr>
              <w:t>得</w:t>
            </w:r>
            <w:r>
              <w:rPr>
                <w:rFonts w:hint="eastAsia" w:ascii="黑体" w:hAnsi="黑体" w:eastAsia="黑体" w:cs="黑体"/>
                <w:color w:val="auto"/>
                <w:sz w:val="21"/>
                <w:szCs w:val="21"/>
                <w:highlight w:val="none"/>
              </w:rPr>
              <w:t>1分</w:t>
            </w:r>
            <w:r>
              <w:rPr>
                <w:rFonts w:hint="eastAsia" w:ascii="黑体" w:hAnsi="黑体" w:eastAsia="黑体" w:cs="黑体"/>
                <w:color w:val="auto"/>
                <w:sz w:val="21"/>
                <w:szCs w:val="21"/>
                <w:highlight w:val="none"/>
                <w:lang w:eastAsia="zh-CN"/>
              </w:rPr>
              <w:t>；</w:t>
            </w:r>
          </w:p>
          <w:p w14:paraId="56766C2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lang w:eastAsia="zh-CN"/>
              </w:rPr>
            </w:pP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color w:val="auto"/>
                <w:sz w:val="21"/>
                <w:szCs w:val="21"/>
                <w:highlight w:val="none"/>
              </w:rPr>
              <w:t>提供不得分</w:t>
            </w:r>
            <w:r>
              <w:rPr>
                <w:rFonts w:hint="eastAsia" w:ascii="黑体" w:hAnsi="黑体" w:eastAsia="黑体" w:cs="黑体"/>
                <w:color w:val="auto"/>
                <w:sz w:val="21"/>
                <w:szCs w:val="21"/>
                <w:highlight w:val="none"/>
                <w:lang w:eastAsia="zh-CN"/>
              </w:rPr>
              <w:t>。</w:t>
            </w:r>
          </w:p>
        </w:tc>
        <w:tc>
          <w:tcPr>
            <w:tcW w:w="841" w:type="dxa"/>
            <w:vAlign w:val="center"/>
          </w:tcPr>
          <w:p w14:paraId="0FC7F016">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r w14:paraId="471BC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1078" w:type="dxa"/>
            <w:vMerge w:val="continue"/>
            <w:vAlign w:val="center"/>
          </w:tcPr>
          <w:p w14:paraId="18AA7E81">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eastAsia" w:ascii="黑体" w:hAnsi="黑体" w:eastAsia="黑体" w:cs="黑体"/>
                <w:color w:val="auto"/>
                <w:kern w:val="0"/>
                <w:sz w:val="21"/>
                <w:szCs w:val="21"/>
                <w:highlight w:val="none"/>
                <w:lang w:val="zh-CN" w:bidi="ar-SA"/>
              </w:rPr>
            </w:pPr>
          </w:p>
        </w:tc>
        <w:tc>
          <w:tcPr>
            <w:tcW w:w="1266" w:type="dxa"/>
            <w:vAlign w:val="center"/>
          </w:tcPr>
          <w:p w14:paraId="70522A46">
            <w:pPr>
              <w:spacing w:line="240" w:lineRule="auto"/>
              <w:jc w:val="center"/>
              <w:rPr>
                <w:rFonts w:hint="eastAsia" w:ascii="黑体" w:hAnsi="黑体" w:eastAsia="黑体" w:cs="黑体"/>
                <w:color w:val="auto"/>
                <w:kern w:val="2"/>
                <w:sz w:val="21"/>
                <w:szCs w:val="21"/>
                <w:highlight w:val="none"/>
                <w:lang w:val="en-US" w:eastAsia="zh-CN" w:bidi="ar-SA"/>
              </w:rPr>
            </w:pPr>
            <w:r>
              <w:rPr>
                <w:rFonts w:hint="eastAsia" w:ascii="黑体" w:hAnsi="黑体" w:eastAsia="黑体" w:cs="黑体"/>
                <w:color w:val="auto"/>
                <w:kern w:val="2"/>
                <w:sz w:val="21"/>
                <w:szCs w:val="21"/>
                <w:highlight w:val="none"/>
                <w:lang w:val="en-US" w:eastAsia="zh-CN" w:bidi="ar-SA"/>
              </w:rPr>
              <w:t>档案管理与数据保密措施</w:t>
            </w:r>
          </w:p>
        </w:tc>
        <w:tc>
          <w:tcPr>
            <w:tcW w:w="739" w:type="dxa"/>
            <w:vAlign w:val="center"/>
          </w:tcPr>
          <w:p w14:paraId="766C7C3B">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center"/>
              <w:textAlignment w:val="auto"/>
              <w:outlineLvl w:val="9"/>
              <w:rPr>
                <w:rFonts w:hint="default" w:ascii="黑体" w:hAnsi="黑体" w:eastAsia="黑体" w:cs="黑体"/>
                <w:color w:val="auto"/>
                <w:kern w:val="0"/>
                <w:sz w:val="21"/>
                <w:szCs w:val="21"/>
                <w:highlight w:val="none"/>
                <w:lang w:val="en-US" w:eastAsia="zh-CN" w:bidi="ar-SA"/>
              </w:rPr>
            </w:pPr>
            <w:r>
              <w:rPr>
                <w:rFonts w:hint="eastAsia" w:ascii="黑体" w:hAnsi="黑体" w:eastAsia="黑体" w:cs="黑体"/>
                <w:color w:val="auto"/>
                <w:kern w:val="0"/>
                <w:sz w:val="21"/>
                <w:szCs w:val="21"/>
                <w:highlight w:val="none"/>
                <w:lang w:val="en-US" w:eastAsia="zh-CN" w:bidi="ar-SA"/>
              </w:rPr>
              <w:t>5</w:t>
            </w:r>
          </w:p>
        </w:tc>
        <w:tc>
          <w:tcPr>
            <w:tcW w:w="6783" w:type="dxa"/>
            <w:vAlign w:val="center"/>
          </w:tcPr>
          <w:p w14:paraId="0C89C35A">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档案管理及数据保密措施是否明确、可行、针对性强措施详尽、准确、切实可行，得5分；</w:t>
            </w:r>
          </w:p>
          <w:p w14:paraId="03C0CD87">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内容有欠缺，基本合理可行的得3分；</w:t>
            </w:r>
          </w:p>
          <w:p w14:paraId="73736B44">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sz w:val="21"/>
                <w:szCs w:val="21"/>
                <w:highlight w:val="none"/>
                <w:lang w:eastAsia="zh-CN"/>
              </w:rPr>
            </w:pPr>
            <w:r>
              <w:rPr>
                <w:rFonts w:hint="eastAsia" w:ascii="黑体" w:hAnsi="黑体" w:eastAsia="黑体" w:cs="黑体"/>
                <w:color w:val="auto"/>
                <w:sz w:val="21"/>
                <w:szCs w:val="21"/>
                <w:highlight w:val="none"/>
              </w:rPr>
              <w:t>方案不全面、合理可行性欠缺的，得1分；</w:t>
            </w:r>
            <w:r>
              <w:rPr>
                <w:rFonts w:hint="eastAsia" w:ascii="黑体" w:hAnsi="黑体" w:eastAsia="黑体" w:cs="黑体"/>
                <w:color w:val="auto"/>
                <w:kern w:val="0"/>
                <w:sz w:val="21"/>
                <w:szCs w:val="21"/>
                <w:highlight w:val="none"/>
                <w:lang w:val="en-US" w:eastAsia="zh-CN" w:bidi="ar-SA"/>
              </w:rPr>
              <w:t>未</w:t>
            </w:r>
            <w:r>
              <w:rPr>
                <w:rFonts w:hint="eastAsia" w:ascii="黑体" w:hAnsi="黑体" w:eastAsia="黑体" w:cs="黑体"/>
                <w:color w:val="auto"/>
                <w:sz w:val="21"/>
                <w:szCs w:val="21"/>
                <w:highlight w:val="none"/>
              </w:rPr>
              <w:t>提供不得分</w:t>
            </w:r>
            <w:r>
              <w:rPr>
                <w:rFonts w:hint="eastAsia" w:ascii="黑体" w:hAnsi="黑体" w:eastAsia="黑体" w:cs="黑体"/>
                <w:color w:val="auto"/>
                <w:sz w:val="21"/>
                <w:szCs w:val="21"/>
                <w:highlight w:val="none"/>
                <w:lang w:eastAsia="zh-CN"/>
              </w:rPr>
              <w:t>。</w:t>
            </w:r>
          </w:p>
        </w:tc>
        <w:tc>
          <w:tcPr>
            <w:tcW w:w="841" w:type="dxa"/>
            <w:vAlign w:val="center"/>
          </w:tcPr>
          <w:p w14:paraId="4DF346D5">
            <w:pPr>
              <w:keepNext w:val="0"/>
              <w:keepLines w:val="0"/>
              <w:pageBreakBefore w:val="0"/>
              <w:widowControl w:val="0"/>
              <w:kinsoku/>
              <w:wordWrap/>
              <w:overflowPunct/>
              <w:topLinePunct w:val="0"/>
              <w:autoSpaceDE/>
              <w:autoSpaceDN/>
              <w:bidi w:val="0"/>
              <w:adjustRightInd w:val="0"/>
              <w:snapToGrid/>
              <w:spacing w:before="0" w:after="0" w:line="240" w:lineRule="auto"/>
              <w:ind w:left="105" w:leftChars="50" w:right="105" w:rightChars="50"/>
              <w:jc w:val="both"/>
              <w:textAlignment w:val="auto"/>
              <w:outlineLvl w:val="9"/>
              <w:rPr>
                <w:rFonts w:hint="eastAsia" w:ascii="黑体" w:hAnsi="黑体" w:eastAsia="黑体" w:cs="黑体"/>
                <w:color w:val="auto"/>
                <w:kern w:val="0"/>
                <w:sz w:val="21"/>
                <w:szCs w:val="21"/>
                <w:highlight w:val="none"/>
                <w:lang w:val="en-US" w:eastAsia="zh-CN" w:bidi="ar-SA"/>
              </w:rPr>
            </w:pPr>
          </w:p>
        </w:tc>
      </w:tr>
    </w:tbl>
    <w:p w14:paraId="6F8BB98B">
      <w:pPr>
        <w:pStyle w:val="16"/>
        <w:ind w:firstLine="530"/>
        <w:rPr>
          <w:rFonts w:hint="eastAsia" w:ascii="黑体" w:hAnsi="黑体" w:eastAsia="黑体" w:cs="黑体"/>
          <w:color w:val="auto"/>
          <w:lang w:val="zh-CN"/>
        </w:rPr>
      </w:pPr>
    </w:p>
    <w:p w14:paraId="6BB79E85">
      <w:pPr>
        <w:pStyle w:val="5"/>
        <w:ind w:firstLine="0" w:firstLineChars="0"/>
        <w:rPr>
          <w:rFonts w:hint="eastAsia" w:ascii="黑体" w:hAnsi="黑体" w:eastAsia="黑体" w:cs="黑体"/>
          <w:color w:val="auto"/>
          <w:lang w:val="zh-CN"/>
        </w:rPr>
        <w:sectPr>
          <w:footerReference r:id="rId19" w:type="default"/>
          <w:pgSz w:w="11906" w:h="16838"/>
          <w:pgMar w:top="1440" w:right="991" w:bottom="1440" w:left="993" w:header="851" w:footer="992" w:gutter="0"/>
          <w:pgNumType w:fmt="decimal"/>
          <w:cols w:space="720" w:num="1"/>
          <w:docGrid w:type="lines" w:linePitch="312" w:charSpace="0"/>
        </w:sectPr>
      </w:pPr>
    </w:p>
    <w:p w14:paraId="0941C71F">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b/>
          <w:bCs/>
          <w:color w:val="auto"/>
          <w:spacing w:val="7"/>
          <w:sz w:val="20"/>
          <w:szCs w:val="20"/>
          <w:highlight w:val="none"/>
        </w:rPr>
      </w:pPr>
      <w:r>
        <w:rPr>
          <w:rFonts w:hint="eastAsia" w:ascii="黑体" w:hAnsi="黑体" w:eastAsia="黑体" w:cs="黑体"/>
          <w:b/>
          <w:bCs/>
          <w:color w:val="auto"/>
          <w:spacing w:val="7"/>
          <w:sz w:val="20"/>
          <w:szCs w:val="20"/>
          <w:highlight w:val="none"/>
        </w:rPr>
        <w:t>注：评标总得分＝F1×A1＋F2×A2＋……＋Fn×An</w:t>
      </w:r>
    </w:p>
    <w:p w14:paraId="75778A71">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F1、F2……Fn分别为各项评审因素的得分；</w:t>
      </w:r>
    </w:p>
    <w:p w14:paraId="5BA3F571">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A1、A2、……An分别为各项评审因素所占的权重(A1＋A2＋……＋An＝1)。</w:t>
      </w:r>
    </w:p>
    <w:p w14:paraId="0C56E137">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3.4.3价格加分</w:t>
      </w:r>
    </w:p>
    <w:p w14:paraId="77FBB56B">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"3.4.3.1"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3.4.3.1</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监狱企业价格扣除：</w:t>
      </w:r>
    </w:p>
    <w:p w14:paraId="7699861C">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根据《关于政府采购支持监狱企业发展有关问题的通知》(财库[2014]68号)，在政府采购活动中，监狱企业视同小型、微型企业，监狱企业投标的提供由省级以上监狱管理局、戒毒管理局(含新疆生产建设兵团)出具的属于监狱企业的证明文件，不再提供《中小微企业声明函》</w:t>
      </w:r>
    </w:p>
    <w:p w14:paraId="043F1B5B">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"3.4.3.2"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3.4.3.2</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残疾人福利性单位价格扣除：</w:t>
      </w:r>
    </w:p>
    <w:p w14:paraId="2F03CDD8">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根据《关于促进残疾人就业政府采购政策的通知》(财库[2017]141号)，在政府采购活动中，残疾人福利性单位视同小型、微型企业，符合条件的残疾人福利性单位应当提供《残疾人福利性单位声明函》，并对声明的真实性负责。任何单位或者个人在政府采购活动中均不得要求残疾人福利性单位提供其他证明声明函内容的材料。残疾人福利性单位属于小型、微型企业的，不重复享受政策。</w:t>
      </w:r>
    </w:p>
    <w:p w14:paraId="6B880E2E">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以上</w:t>
      </w: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"3.4.3.1"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3.4.3.1</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w:t>
      </w: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"3.4.3.2"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3.4.3.2</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、条款不得同时适用。</w:t>
      </w:r>
    </w:p>
    <w:p w14:paraId="58E61987">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"3.4.3.3"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3.4.3.3</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节能产品价格扣除：</w:t>
      </w:r>
    </w:p>
    <w:p w14:paraId="7892AB92">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1）对于列入财政部、发展改革委发布的《节能产品政府采购品目清单》但不属于国家强制采购的产品，对其响应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w:t>
      </w:r>
    </w:p>
    <w:p w14:paraId="5F9FBDD9">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（2）价格扣除的依据：投标文件中需提供认证证明，认证机构须在市场监管总局公布的名录内（详见《市场监管总局关于发布参与实施政府采购节能产品、环境标志产品认证机构名录的公告》2019年第16号文件）</w:t>
      </w:r>
    </w:p>
    <w:p w14:paraId="0E0EB9BC">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fldChar w:fldCharType="begin"/>
      </w:r>
      <w:r>
        <w:rPr>
          <w:rFonts w:hint="eastAsia" w:ascii="黑体" w:hAnsi="黑体" w:eastAsia="黑体" w:cs="黑体"/>
          <w:color w:val="auto"/>
          <w:spacing w:val="7"/>
          <w:sz w:val="20"/>
          <w:szCs w:val="20"/>
          <w:highlight w:val="none"/>
        </w:rPr>
        <w:instrText xml:space="preserve"> HYPERLINK "3.4.3.4" </w:instrText>
      </w:r>
      <w:r>
        <w:rPr>
          <w:rFonts w:hint="eastAsia" w:ascii="黑体" w:hAnsi="黑体" w:eastAsia="黑体" w:cs="黑体"/>
          <w:color w:val="auto"/>
          <w:spacing w:val="7"/>
          <w:sz w:val="20"/>
          <w:szCs w:val="20"/>
          <w:highlight w:val="none"/>
        </w:rPr>
        <w:fldChar w:fldCharType="separate"/>
      </w:r>
      <w:r>
        <w:rPr>
          <w:rFonts w:hint="eastAsia" w:ascii="黑体" w:hAnsi="黑体" w:eastAsia="黑体" w:cs="黑体"/>
          <w:color w:val="auto"/>
          <w:spacing w:val="7"/>
          <w:sz w:val="20"/>
          <w:szCs w:val="20"/>
          <w:highlight w:val="none"/>
        </w:rPr>
        <w:t>3.4.3.4</w:t>
      </w:r>
      <w:r>
        <w:rPr>
          <w:rFonts w:hint="eastAsia" w:ascii="黑体" w:hAnsi="黑体" w:eastAsia="黑体" w:cs="黑体"/>
          <w:color w:val="auto"/>
          <w:spacing w:val="7"/>
          <w:sz w:val="20"/>
          <w:szCs w:val="20"/>
          <w:highlight w:val="none"/>
        </w:rPr>
        <w:fldChar w:fldCharType="end"/>
      </w:r>
      <w:r>
        <w:rPr>
          <w:rFonts w:hint="eastAsia" w:ascii="黑体" w:hAnsi="黑体" w:eastAsia="黑体" w:cs="黑体"/>
          <w:color w:val="auto"/>
          <w:spacing w:val="7"/>
          <w:sz w:val="20"/>
          <w:szCs w:val="20"/>
          <w:highlight w:val="none"/>
        </w:rPr>
        <w:t>环境标志产品价格扣除：</w:t>
      </w:r>
    </w:p>
    <w:p w14:paraId="41FDD6DA">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1）对于列入财政部、生态环境部发布的《环境标志产品政府采购品目清单》的产品，对其响应价格给予3%的价格扣除，并按照扣除后的价格参加排序。采购项目或者分包中既包含环境标志产品也包含非环境标志产品的，只对列入《环境标志产品政府采购品目清单》的产品按其在总报价中所占的比例给予价格扣除。</w:t>
      </w:r>
    </w:p>
    <w:p w14:paraId="3D23FAC0">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（2）价格扣除的依据：投标文件中需提供认证证明，认证机构须在市场监管总局公布的名录内（详见《市场监管总局关于发布参与实施政府采购节能产品、环境标志产品认证机</w:t>
      </w:r>
    </w:p>
    <w:p w14:paraId="54245400">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pPr>
      <w:r>
        <w:rPr>
          <w:rFonts w:hint="eastAsia" w:ascii="黑体" w:hAnsi="黑体" w:eastAsia="黑体" w:cs="黑体"/>
          <w:color w:val="auto"/>
          <w:spacing w:val="7"/>
          <w:sz w:val="20"/>
          <w:szCs w:val="20"/>
          <w:highlight w:val="none"/>
        </w:rPr>
        <w:t>构名录的公告》2019年第16号文件）</w:t>
      </w:r>
    </w:p>
    <w:p w14:paraId="7EC812F6">
      <w:pPr>
        <w:keepNext w:val="0"/>
        <w:keepLines w:val="0"/>
        <w:pageBreakBefore w:val="0"/>
        <w:kinsoku/>
        <w:overflowPunct/>
        <w:autoSpaceDE w:val="0"/>
        <w:autoSpaceDN w:val="0"/>
        <w:bidi w:val="0"/>
        <w:spacing w:before="63" w:line="268" w:lineRule="auto"/>
        <w:ind w:left="332" w:right="324" w:firstLine="10"/>
        <w:rPr>
          <w:rFonts w:hint="eastAsia" w:ascii="黑体" w:hAnsi="黑体" w:eastAsia="黑体" w:cs="黑体"/>
          <w:color w:val="auto"/>
          <w:spacing w:val="7"/>
          <w:sz w:val="20"/>
          <w:szCs w:val="20"/>
          <w:highlight w:val="none"/>
        </w:rPr>
        <w:sectPr>
          <w:footerReference r:id="rId20"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r>
        <w:rPr>
          <w:rFonts w:hint="eastAsia" w:ascii="黑体" w:hAnsi="黑体" w:eastAsia="黑体" w:cs="黑体"/>
          <w:color w:val="auto"/>
          <w:spacing w:val="7"/>
          <w:sz w:val="20"/>
          <w:szCs w:val="20"/>
          <w:highlight w:val="none"/>
        </w:rPr>
        <w:t>3.4.4推荐中标候选供应商名单：按照得分由高到低的顺序推荐3名中标候选人。</w:t>
      </w:r>
    </w:p>
    <w:p w14:paraId="5F59E863">
      <w:pPr>
        <w:autoSpaceDE w:val="0"/>
        <w:autoSpaceDN w:val="0"/>
        <w:adjustRightInd w:val="0"/>
        <w:spacing w:line="360" w:lineRule="auto"/>
        <w:jc w:val="center"/>
        <w:outlineLvl w:val="9"/>
        <w:rPr>
          <w:rFonts w:hint="eastAsia" w:ascii="黑体" w:hAnsi="黑体" w:eastAsia="黑体" w:cs="黑体"/>
          <w:b/>
          <w:bCs w:val="0"/>
          <w:color w:val="auto"/>
          <w:sz w:val="24"/>
          <w:szCs w:val="24"/>
          <w:highlight w:val="none"/>
        </w:rPr>
      </w:pPr>
      <w:r>
        <w:rPr>
          <w:rFonts w:hint="eastAsia" w:ascii="黑体" w:hAnsi="黑体" w:eastAsia="黑体" w:cs="黑体"/>
          <w:b/>
          <w:bCs w:val="0"/>
          <w:color w:val="auto"/>
          <w:sz w:val="24"/>
          <w:szCs w:val="24"/>
          <w:highlight w:val="none"/>
        </w:rPr>
        <w:t>本项目需要落实的政府采购政策包括：</w:t>
      </w:r>
    </w:p>
    <w:p w14:paraId="0DA1774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一、促进中小企业发展政策</w:t>
      </w:r>
    </w:p>
    <w:p w14:paraId="24DA0AFF">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（一）政策依据</w:t>
      </w:r>
    </w:p>
    <w:p w14:paraId="3220543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财政部工业和信息化部《政府采购促进中小企业发展管理办法》（财库﹝2020﹞46号）。</w:t>
      </w:r>
    </w:p>
    <w:p w14:paraId="0524CC4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（二）中小企业的认定</w:t>
      </w:r>
    </w:p>
    <w:p w14:paraId="53931AF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1、在中华人民共和国境内依法设立，依据国务院批准的中小企业划分标准确定的中型企业、小型企业和微型企业，但与大企业的负责人为同一人，或者与大企业存在直接控股、管理关系的除外。</w:t>
      </w:r>
    </w:p>
    <w:p w14:paraId="5B369DE9">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2、符合中小企业划分标准的个体工商户，在政府采购活动中视同中小企业。</w:t>
      </w:r>
    </w:p>
    <w:p w14:paraId="17162A0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3、以联合体形式参加政府采购活动，联合体各方均为中小企业的，联合体视同中小企业。其中，联合体各方均为小微企业的，联合体视同小微企业。</w:t>
      </w:r>
    </w:p>
    <w:p w14:paraId="31565798">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（三）中小企业需提供的证明材料</w:t>
      </w:r>
    </w:p>
    <w:p w14:paraId="1FEBFEE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中小企业参加政府采购活动，应当出具本采购文件规定的《中小企业声明函》，否则不得享受相关中小企业扶持政策。任何单位和个人不得要求供应商提供《中小企业声明函》之外的中小企业身份证明文件。</w:t>
      </w:r>
    </w:p>
    <w:p w14:paraId="7C3BC47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（四）中小企业扶持政策享受情形</w:t>
      </w:r>
    </w:p>
    <w:p w14:paraId="20D1F73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在政府采购活动中，供应商提供的货物、工程或者服务符合下列情形的，享受相关中小企业扶持政策：</w:t>
      </w:r>
    </w:p>
    <w:p w14:paraId="5C03761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在货物采购项目中，货物由中小企业制造，即货物由中小企业生产且使用该中小企业商号或者注册商标；</w:t>
      </w:r>
    </w:p>
    <w:p w14:paraId="36490C9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2、在工程采购项目中，工程由中小企业承建，即工程施工单位为中小企业；</w:t>
      </w:r>
    </w:p>
    <w:p w14:paraId="0FE572EF">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3、在服务采购项目中，服务由中小企业承接，即提供服务的人员为中小企业依照《中华人民共和国劳动合同法》订立劳动合同的从业人员。</w:t>
      </w:r>
    </w:p>
    <w:p w14:paraId="22B73D1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在货物采购项目中，供应商提供的货物既有中小企业制造货物，也有大型企业制造货物的，不享受中小企业扶持政策。</w:t>
      </w:r>
    </w:p>
    <w:p w14:paraId="37C65CF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（五）中小企业扶持政策</w:t>
      </w:r>
    </w:p>
    <w:p w14:paraId="638AB1D4">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1、对于非专门面向中小企业采购的采购包，应当对符合本章规定的小微企业报价给予</w:t>
      </w:r>
      <w:r>
        <w:rPr>
          <w:rFonts w:hint="eastAsia" w:ascii="黑体" w:hAnsi="黑体" w:eastAsia="黑体" w:cs="黑体"/>
          <w:b w:val="0"/>
          <w:bCs/>
          <w:color w:val="auto"/>
          <w:sz w:val="24"/>
          <w:szCs w:val="24"/>
          <w:highlight w:val="none"/>
          <w:lang w:val="en-US" w:eastAsia="zh-CN"/>
        </w:rPr>
        <w:t>10</w:t>
      </w:r>
      <w:r>
        <w:rPr>
          <w:rFonts w:hint="eastAsia" w:ascii="黑体" w:hAnsi="黑体" w:eastAsia="黑体" w:cs="黑体"/>
          <w:b w:val="0"/>
          <w:bCs/>
          <w:color w:val="auto"/>
          <w:sz w:val="24"/>
          <w:szCs w:val="24"/>
          <w:highlight w:val="none"/>
        </w:rPr>
        <w:t>%（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4C4950C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2、接受大中型企业与小微企业组成联合体或者允许大中型企业向一家或者多家小微企业分包的采购项目，对于联合协议或者分包意向协议约定小微企业的合同份额占到合同总金额30%以上的，应当对联合体或者大中型企业的报价给予2%（工程项目为1%）的扣除，用扣除后的价格参加评审。适用招标投标法的政府采购工程建设项目，采用综合评估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7DB1CFA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3、价格扣除比例或者价格分加分比例对小型企业和微型企业同等对待，不作区分。</w:t>
      </w:r>
    </w:p>
    <w:p w14:paraId="1338616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（六）合同分包要求</w:t>
      </w:r>
    </w:p>
    <w:p w14:paraId="1333693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1、享受扶持政策获得政府采购合同的，小微企业不得将合同分包给大中型企业，中型企业不得将合同分包给大型企业。</w:t>
      </w:r>
    </w:p>
    <w:p w14:paraId="539E5E7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55EEEA8">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（七）法律责任</w:t>
      </w:r>
    </w:p>
    <w:p w14:paraId="421FD11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供应商按照本采购文件规定提供声明函内容不实的，属于提供虚假材料谋取中标、成交，依照《中华人民共和国政府采购法》等国家有关规定追究相应责任。</w:t>
      </w:r>
    </w:p>
    <w:p w14:paraId="34E91078">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p>
    <w:p w14:paraId="74A4C76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二、支持监狱企业发展政策</w:t>
      </w:r>
    </w:p>
    <w:p w14:paraId="6EFB508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（一）政策依据</w:t>
      </w:r>
    </w:p>
    <w:p w14:paraId="5D4DF84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财政部司法部《关于政府采购支持监狱企业发展有关问题的通知》（财库〔2014〕68号）。</w:t>
      </w:r>
    </w:p>
    <w:p w14:paraId="0C82474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（二）监狱企业的认定</w:t>
      </w:r>
    </w:p>
    <w:p w14:paraId="3C926928">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EE0F0C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（三）监狱企业需提供的证明材料</w:t>
      </w:r>
    </w:p>
    <w:p w14:paraId="2472734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监狱企业参加政府采购活动时，应当提供由省级以上监狱管理局、戒毒管理局（含新疆生产建设兵团）出具的属于监狱企业的证明文件。</w:t>
      </w:r>
    </w:p>
    <w:p w14:paraId="07507539">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（四）监狱企业支持政策</w:t>
      </w:r>
    </w:p>
    <w:p w14:paraId="26940BFB">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2CEC7FC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p>
    <w:p w14:paraId="0507C48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三、支持残疾人福利性单位发展政策</w:t>
      </w:r>
    </w:p>
    <w:p w14:paraId="6566FB66">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（一）政策依据</w:t>
      </w:r>
    </w:p>
    <w:p w14:paraId="50FE8BA4">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财政部民政部中国残疾人联合会《关于促进残疾人就业政府采购政策的通知》（财库[2017]141号）。</w:t>
      </w:r>
    </w:p>
    <w:p w14:paraId="0F8FD9BC">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（二）残疾人福利性单位的认定</w:t>
      </w:r>
    </w:p>
    <w:p w14:paraId="59E932CD">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享受政府采购支持政策的残疾人福利性单位应当同时满足以下条件：</w:t>
      </w:r>
    </w:p>
    <w:p w14:paraId="2DF3BF01">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1、安置的残疾人占本单位在职职工人数的比例不低于25%(含25%)，并且安置的残疾人人数不少于10人(含10人)；</w:t>
      </w:r>
    </w:p>
    <w:p w14:paraId="0D09935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2、依法与安置的每位残疾人签订了一年以上(含一年)的劳动合同或服务协议；</w:t>
      </w:r>
    </w:p>
    <w:p w14:paraId="2BC5A970">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3、为安置的每位残疾人按月足额缴纳了基本养老保险、基本医疗保险、失业保险、工伤保险和生育保险等社会保险费；</w:t>
      </w:r>
    </w:p>
    <w:p w14:paraId="5BA5E73A">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4、通过银行等金融机构向安置的每位残疾人，按月支付了不低于单位所在区县适用的经省级人民政府批准的月最低工资标准的工资；</w:t>
      </w:r>
    </w:p>
    <w:p w14:paraId="4F6042E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5、提供本单位制造的货物、承担的工程或者服务(以下简称产品)，或者提供其他残疾人福利性单位制造的货物(不包括使用非残疾人福利性单位注册商标的货物)。</w:t>
      </w:r>
    </w:p>
    <w:p w14:paraId="73760726">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F8D6A70">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（三）残疾人福利性单位需提供的证明材料</w:t>
      </w:r>
    </w:p>
    <w:p w14:paraId="65BC6DC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符合条件的残疾人福利性单位在参加政府采购活动时，应当出具本采购文件规定的《残疾人福利性单位声明函》，并对声明的真实性负责。</w:t>
      </w:r>
    </w:p>
    <w:p w14:paraId="0C0EF6F4">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（四）残疾人福利性单位支持政策</w:t>
      </w:r>
    </w:p>
    <w:p w14:paraId="7DA0BD65">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AC79073">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（五）法律责任</w:t>
      </w:r>
    </w:p>
    <w:p w14:paraId="0C4A6FC7">
      <w:pPr>
        <w:keepNext w:val="0"/>
        <w:keepLines w:val="0"/>
        <w:pageBreakBefore w:val="0"/>
        <w:widowControl/>
        <w:kinsoku/>
        <w:wordWrap/>
        <w:overflowPunct/>
        <w:topLinePunct w:val="0"/>
        <w:autoSpaceDE w:val="0"/>
        <w:autoSpaceDN w:val="0"/>
        <w:bidi w:val="0"/>
        <w:adjustRightInd w:val="0"/>
        <w:snapToGrid/>
        <w:spacing w:line="400" w:lineRule="exact"/>
        <w:ind w:firstLine="480" w:firstLineChars="200"/>
        <w:jc w:val="left"/>
        <w:textAlignment w:val="auto"/>
        <w:outlineLvl w:val="9"/>
        <w:rPr>
          <w:rFonts w:hint="eastAsia" w:ascii="黑体" w:hAnsi="黑体" w:eastAsia="黑体" w:cs="黑体"/>
          <w:b w:val="0"/>
          <w:bCs/>
          <w:color w:val="auto"/>
          <w:sz w:val="24"/>
          <w:szCs w:val="24"/>
          <w:highlight w:val="none"/>
        </w:rPr>
      </w:pPr>
      <w:r>
        <w:rPr>
          <w:rFonts w:hint="eastAsia" w:ascii="黑体" w:hAnsi="黑体" w:eastAsia="黑体" w:cs="黑体"/>
          <w:b w:val="0"/>
          <w:bCs/>
          <w:color w:val="auto"/>
          <w:sz w:val="24"/>
          <w:szCs w:val="24"/>
          <w:highlight w:val="none"/>
        </w:rPr>
        <w:t>供应商按照本采购文件规定提供声明函内容不实的，属于提供虚假材料谋取中标、成交，依照《中华人民共和国政府采购法》等国家有关规定追究相应责任。</w:t>
      </w:r>
    </w:p>
    <w:p w14:paraId="4A2C1286">
      <w:pPr>
        <w:rPr>
          <w:rFonts w:hint="eastAsia" w:ascii="黑体" w:hAnsi="黑体" w:eastAsia="黑体" w:cs="黑体"/>
          <w:color w:val="auto"/>
          <w:highlight w:val="none"/>
        </w:rPr>
        <w:sectPr>
          <w:pgSz w:w="11905" w:h="16838"/>
          <w:pgMar w:top="1417" w:right="1417" w:bottom="1417" w:left="1417" w:header="850" w:footer="850" w:gutter="283"/>
          <w:pgNumType w:fmt="decimal"/>
          <w:cols w:space="0" w:num="1"/>
          <w:rtlGutter w:val="0"/>
          <w:docGrid w:type="lines" w:linePitch="312" w:charSpace="0"/>
        </w:sectPr>
      </w:pPr>
    </w:p>
    <w:p w14:paraId="7E8DE499">
      <w:pPr>
        <w:keepLines w:val="0"/>
        <w:pageBreakBefore/>
        <w:spacing w:line="415" w:lineRule="auto"/>
        <w:jc w:val="left"/>
        <w:textAlignment w:val="baseline"/>
        <w:outlineLvl w:val="9"/>
        <w:rPr>
          <w:rStyle w:val="20"/>
          <w:rFonts w:hint="eastAsia" w:ascii="黑体" w:hAnsi="黑体" w:eastAsia="黑体" w:cs="黑体"/>
          <w:b/>
          <w:bCs w:val="0"/>
          <w:color w:val="auto"/>
          <w:spacing w:val="12"/>
          <w:sz w:val="24"/>
          <w:szCs w:val="24"/>
          <w:highlight w:val="none"/>
        </w:rPr>
      </w:pPr>
      <w:bookmarkStart w:id="63" w:name="_Toc11517"/>
      <w:r>
        <w:rPr>
          <w:rStyle w:val="20"/>
          <w:rFonts w:hint="eastAsia" w:ascii="黑体" w:hAnsi="黑体" w:eastAsia="黑体" w:cs="黑体"/>
          <w:b/>
          <w:bCs w:val="0"/>
          <w:color w:val="auto"/>
          <w:spacing w:val="12"/>
          <w:sz w:val="24"/>
          <w:szCs w:val="24"/>
          <w:highlight w:val="none"/>
        </w:rPr>
        <w:t>附件</w:t>
      </w:r>
      <w:r>
        <w:rPr>
          <w:rStyle w:val="20"/>
          <w:rFonts w:hint="eastAsia" w:ascii="黑体" w:hAnsi="黑体" w:eastAsia="黑体" w:cs="黑体"/>
          <w:b/>
          <w:bCs w:val="0"/>
          <w:color w:val="auto"/>
          <w:spacing w:val="12"/>
          <w:sz w:val="24"/>
          <w:szCs w:val="24"/>
          <w:highlight w:val="none"/>
          <w:lang w:val="en-US" w:eastAsia="zh-CN"/>
        </w:rPr>
        <w:t>1</w:t>
      </w:r>
      <w:r>
        <w:rPr>
          <w:rStyle w:val="20"/>
          <w:rFonts w:hint="eastAsia" w:ascii="黑体" w:hAnsi="黑体" w:eastAsia="黑体" w:cs="黑体"/>
          <w:b/>
          <w:bCs w:val="0"/>
          <w:color w:val="auto"/>
          <w:spacing w:val="12"/>
          <w:sz w:val="24"/>
          <w:szCs w:val="24"/>
          <w:highlight w:val="none"/>
        </w:rPr>
        <w:t>中小企业划型标准规定</w:t>
      </w:r>
      <w:bookmarkEnd w:id="63"/>
    </w:p>
    <w:p w14:paraId="78C284BC">
      <w:pPr>
        <w:pStyle w:val="15"/>
        <w:shd w:val="clear" w:color="auto" w:fill="FFFFFF"/>
        <w:jc w:val="center"/>
        <w:rPr>
          <w:rStyle w:val="20"/>
          <w:rFonts w:hint="eastAsia" w:ascii="黑体" w:hAnsi="黑体" w:eastAsia="黑体" w:cs="黑体"/>
          <w:color w:val="auto"/>
          <w:sz w:val="21"/>
          <w:szCs w:val="21"/>
          <w:highlight w:val="none"/>
          <w:shd w:val="clear" w:color="auto" w:fill="FFFFFF"/>
          <w:lang w:eastAsia="zh-CN"/>
        </w:rPr>
      </w:pPr>
      <w:r>
        <w:rPr>
          <w:rStyle w:val="20"/>
          <w:rFonts w:hint="eastAsia" w:ascii="黑体" w:hAnsi="黑体" w:eastAsia="黑体" w:cs="黑体"/>
          <w:color w:val="auto"/>
          <w:sz w:val="21"/>
          <w:szCs w:val="21"/>
          <w:highlight w:val="none"/>
          <w:shd w:val="clear" w:color="auto" w:fill="FFFFFF"/>
        </w:rPr>
        <w:t>关于印发中小企业划型标准规定的通知</w:t>
      </w:r>
    </w:p>
    <w:p w14:paraId="4C41DEA3">
      <w:pPr>
        <w:pStyle w:val="15"/>
        <w:shd w:val="clear" w:color="auto" w:fill="FFFFFF"/>
        <w:jc w:val="center"/>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shd w:val="clear" w:color="auto" w:fill="FFFFFF"/>
        </w:rPr>
        <w:t>工信部联企业〔2011〕300号</w:t>
      </w:r>
    </w:p>
    <w:p w14:paraId="5E337488">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各省、自治区、直辖市人民政府，国务院各部委、各直属机构及有关单位：</w:t>
      </w:r>
    </w:p>
    <w:p w14:paraId="2103DF1C">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1261EEC0">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工业和信息化部　国家统计局</w:t>
      </w:r>
    </w:p>
    <w:p w14:paraId="531F0F13">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国家发展和改革委员会　财政部</w:t>
      </w:r>
    </w:p>
    <w:p w14:paraId="7A401E0D">
      <w:pPr>
        <w:pStyle w:val="15"/>
        <w:shd w:val="clear" w:color="auto" w:fill="FFFFFF"/>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shd w:val="clear" w:color="auto" w:fill="FFFFFF"/>
        </w:rPr>
        <w:t>　　　　　　　　　　　　　　　　　　　　　　　　二○一一年六月十八日</w:t>
      </w:r>
    </w:p>
    <w:p w14:paraId="084047BC">
      <w:pPr>
        <w:pStyle w:val="15"/>
        <w:shd w:val="clear" w:color="auto" w:fill="FFFFFF"/>
        <w:jc w:val="center"/>
        <w:rPr>
          <w:rFonts w:hint="eastAsia" w:ascii="黑体" w:hAnsi="黑体" w:eastAsia="黑体" w:cs="黑体"/>
          <w:color w:val="auto"/>
          <w:sz w:val="21"/>
          <w:szCs w:val="21"/>
          <w:highlight w:val="none"/>
        </w:rPr>
      </w:pPr>
      <w:r>
        <w:rPr>
          <w:rStyle w:val="20"/>
          <w:rFonts w:hint="eastAsia" w:ascii="黑体" w:hAnsi="黑体" w:eastAsia="黑体" w:cs="黑体"/>
          <w:color w:val="auto"/>
          <w:sz w:val="21"/>
          <w:szCs w:val="21"/>
          <w:highlight w:val="none"/>
          <w:shd w:val="clear" w:color="auto" w:fill="FFFFFF"/>
        </w:rPr>
        <w:t>中小企业划型标准规定</w:t>
      </w:r>
    </w:p>
    <w:p w14:paraId="1D933843">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一、根据《中华人民共和国中小企业促进法》和《国务院关于进一步促进中小企业发展的若干意见》(国发〔2009〕36号)，制定本规定。</w:t>
      </w:r>
    </w:p>
    <w:p w14:paraId="1003BFA3">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二、中小企业划分为中型、小型、微型三种类型，具体标准根据企业从业人员、营业收入、资产总额等指标，结合行业特点制定。</w:t>
      </w:r>
    </w:p>
    <w:p w14:paraId="427CB074">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8F780B2">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四、各行业划型标准为：</w:t>
      </w:r>
    </w:p>
    <w:p w14:paraId="5CA67826">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0551193F">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053B1C1">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CB8D583">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96A8277">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2D51E31">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9B066E0">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279EADB">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10371E0">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8A957BD">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8457681">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EDD6D9A">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A611C0C">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6899D1C">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5E7963B">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03F2A51">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（十六）其他未列明行业。从业人员300人以下的为中小微型企业。其中，从业人员100人及以上的为中型企业；从业人员10人及以上的为小型企业；从业人员10人以下的为微型企业。</w:t>
      </w:r>
    </w:p>
    <w:p w14:paraId="3876F92B">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五、企业类型的划分以统计部门的统计数据为依据。</w:t>
      </w:r>
    </w:p>
    <w:p w14:paraId="50E5631B">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六、本规定适用于在中华人民共和国境内依法设立的各类所有制和各种组织形式的企业。个体工商户和本规定以外的行业，参照本规定进行划型。</w:t>
      </w:r>
    </w:p>
    <w:p w14:paraId="74C2E891">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0B06BE65">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八、本规定由工业和信息化部、国家统计局会同有关部门根据《国民经济行业分类》修订情况和企业发展变化情况适时修订。</w:t>
      </w:r>
    </w:p>
    <w:p w14:paraId="1844E0E6">
      <w:pPr>
        <w:pStyle w:val="15"/>
        <w:shd w:val="clear" w:color="auto" w:fill="FFFFFF"/>
        <w:rPr>
          <w:rFonts w:hint="eastAsia" w:ascii="黑体" w:hAnsi="黑体" w:eastAsia="黑体" w:cs="黑体"/>
          <w:color w:val="auto"/>
          <w:sz w:val="21"/>
          <w:szCs w:val="21"/>
          <w:highlight w:val="none"/>
          <w:shd w:val="clear" w:color="auto" w:fill="FFFFFF"/>
          <w:lang w:eastAsia="zh-CN"/>
        </w:rPr>
      </w:pPr>
      <w:r>
        <w:rPr>
          <w:rFonts w:hint="eastAsia" w:ascii="黑体" w:hAnsi="黑体" w:eastAsia="黑体" w:cs="黑体"/>
          <w:color w:val="auto"/>
          <w:sz w:val="21"/>
          <w:szCs w:val="21"/>
          <w:highlight w:val="none"/>
          <w:shd w:val="clear" w:color="auto" w:fill="FFFFFF"/>
        </w:rPr>
        <w:t>　　九、本规定由工业和信息化部、国家统计局会同有关部门负责解释。</w:t>
      </w:r>
    </w:p>
    <w:p w14:paraId="5E740B7C">
      <w:pPr>
        <w:pStyle w:val="15"/>
        <w:shd w:val="clear" w:color="auto" w:fill="FFFFFF"/>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shd w:val="clear" w:color="auto" w:fill="FFFFFF"/>
        </w:rPr>
        <w:t>　　十、本规定自发布之日起执行，原国家经贸委、原国家计委、财政部和国家统计局2003年颁布的《中小企业标准暂行规定》同时废止。</w:t>
      </w:r>
    </w:p>
    <w:p w14:paraId="301A7F2E">
      <w:pPr>
        <w:rPr>
          <w:rFonts w:hint="eastAsia" w:ascii="黑体" w:hAnsi="黑体" w:eastAsia="黑体" w:cs="黑体"/>
          <w:color w:val="auto"/>
          <w:highlight w:val="none"/>
        </w:rPr>
        <w:sectPr>
          <w:pgSz w:w="11905" w:h="16838"/>
          <w:pgMar w:top="1417" w:right="1417" w:bottom="1417" w:left="1417" w:header="850" w:footer="850" w:gutter="283"/>
          <w:pgNumType w:fmt="decimal"/>
          <w:cols w:space="0" w:num="1"/>
          <w:rtlGutter w:val="0"/>
          <w:docGrid w:type="lines" w:linePitch="312" w:charSpace="0"/>
        </w:sectPr>
      </w:pPr>
    </w:p>
    <w:p w14:paraId="14E97A8E">
      <w:pPr>
        <w:pStyle w:val="15"/>
        <w:spacing w:line="340" w:lineRule="exact"/>
        <w:jc w:val="center"/>
        <w:textAlignment w:val="baseline"/>
        <w:rPr>
          <w:rFonts w:hint="eastAsia" w:ascii="黑体" w:hAnsi="黑体" w:eastAsia="黑体" w:cs="黑体"/>
          <w:b/>
          <w:color w:val="auto"/>
          <w:sz w:val="21"/>
          <w:szCs w:val="21"/>
          <w:highlight w:val="none"/>
        </w:rPr>
      </w:pPr>
      <w:r>
        <w:rPr>
          <w:rFonts w:hint="eastAsia" w:ascii="黑体" w:hAnsi="黑体" w:eastAsia="黑体" w:cs="黑体"/>
          <w:b/>
          <w:color w:val="auto"/>
          <w:sz w:val="28"/>
          <w:szCs w:val="28"/>
          <w:highlight w:val="none"/>
        </w:rPr>
        <w:t>《统计上大中小微型企业划分办法（2017）》修订说明</w:t>
      </w:r>
    </w:p>
    <w:p w14:paraId="32AA4F75">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一、修订背景</w:t>
      </w:r>
    </w:p>
    <w:p w14:paraId="3BB4C5A4">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E8706D8">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41A110A">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二、修订主要内容</w:t>
      </w:r>
    </w:p>
    <w:p w14:paraId="11D3CACD">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913FD03">
      <w:pPr>
        <w:spacing w:line="400" w:lineRule="exact"/>
        <w:ind w:firstLine="420" w:firstLineChars="200"/>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将交通运输业中包括的“装卸搬运和运输代理业”修改为“多式联运和运输代理业、装卸搬运”。</w:t>
      </w:r>
    </w:p>
    <w:p w14:paraId="710E4C0A">
      <w:pPr>
        <w:spacing w:line="400" w:lineRule="exact"/>
        <w:ind w:firstLine="452" w:firstLineChars="200"/>
        <w:rPr>
          <w:rFonts w:hint="eastAsia" w:ascii="黑体" w:hAnsi="黑体" w:eastAsia="黑体" w:cs="黑体"/>
          <w:color w:val="auto"/>
          <w:spacing w:val="8"/>
          <w:sz w:val="21"/>
          <w:szCs w:val="21"/>
          <w:highlight w:val="none"/>
        </w:rPr>
      </w:pPr>
      <w:r>
        <w:rPr>
          <w:rFonts w:hint="eastAsia" w:ascii="黑体" w:hAnsi="黑体" w:eastAsia="黑体" w:cs="黑体"/>
          <w:color w:val="auto"/>
          <w:spacing w:val="8"/>
          <w:sz w:val="21"/>
          <w:szCs w:val="21"/>
          <w:highlight w:val="none"/>
        </w:rPr>
        <w:t>仓储业所包括的行业中类，根据《国民经济行业分类》</w:t>
      </w:r>
      <w:r>
        <w:rPr>
          <w:rFonts w:hint="eastAsia" w:ascii="黑体" w:hAnsi="黑体" w:eastAsia="黑体" w:cs="黑体"/>
          <w:color w:val="auto"/>
          <w:sz w:val="21"/>
          <w:szCs w:val="21"/>
          <w:highlight w:val="none"/>
        </w:rPr>
        <w:t>（GB/T4754—2017）</w:t>
      </w:r>
      <w:r>
        <w:rPr>
          <w:rFonts w:hint="eastAsia" w:ascii="黑体" w:hAnsi="黑体" w:eastAsia="黑体" w:cs="黑体"/>
          <w:color w:val="auto"/>
          <w:spacing w:val="8"/>
          <w:sz w:val="21"/>
          <w:szCs w:val="21"/>
          <w:highlight w:val="none"/>
        </w:rPr>
        <w:t>调整为“通用仓储，低温仓储，危险品仓储，谷物、棉花等农产品仓储，中药材仓储和其他仓储业”。</w:t>
      </w:r>
    </w:p>
    <w:p w14:paraId="0A8D2578">
      <w:pPr>
        <w:spacing w:line="400" w:lineRule="exact"/>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附表</w:t>
      </w:r>
    </w:p>
    <w:p w14:paraId="40D3F8A5">
      <w:pPr>
        <w:spacing w:line="400" w:lineRule="exact"/>
        <w:rPr>
          <w:rFonts w:hint="eastAsia" w:ascii="黑体" w:hAnsi="黑体" w:eastAsia="黑体" w:cs="黑体"/>
          <w:color w:val="auto"/>
          <w:sz w:val="21"/>
          <w:szCs w:val="21"/>
          <w:highlight w:val="none"/>
        </w:rPr>
      </w:pPr>
      <w:r>
        <w:rPr>
          <w:rFonts w:hint="eastAsia" w:ascii="黑体" w:hAnsi="黑体" w:eastAsia="黑体" w:cs="黑体"/>
          <w:color w:val="auto"/>
          <w:sz w:val="21"/>
          <w:szCs w:val="21"/>
          <w:highlight w:val="none"/>
        </w:rPr>
        <w:t>统计上大中小微型企业划分标准</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2640F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08899C89">
            <w:pPr>
              <w:spacing w:line="240" w:lineRule="exact"/>
              <w:jc w:val="center"/>
              <w:rPr>
                <w:rFonts w:hint="eastAsia" w:ascii="黑体" w:hAnsi="黑体" w:eastAsia="黑体" w:cs="黑体"/>
                <w:b/>
                <w:bCs/>
                <w:color w:val="auto"/>
                <w:sz w:val="18"/>
                <w:szCs w:val="21"/>
                <w:highlight w:val="none"/>
              </w:rPr>
            </w:pPr>
            <w:r>
              <w:rPr>
                <w:rFonts w:hint="eastAsia" w:ascii="黑体" w:hAnsi="黑体" w:eastAsia="黑体" w:cs="黑体"/>
                <w:b/>
                <w:bCs/>
                <w:color w:val="auto"/>
                <w:sz w:val="18"/>
                <w:szCs w:val="21"/>
                <w:highlight w:val="none"/>
              </w:rPr>
              <w:t>行业名称</w:t>
            </w:r>
          </w:p>
        </w:tc>
        <w:tc>
          <w:tcPr>
            <w:tcW w:w="1369" w:type="dxa"/>
            <w:vAlign w:val="center"/>
          </w:tcPr>
          <w:p w14:paraId="5CF6BFE7">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指标名称</w:t>
            </w:r>
          </w:p>
        </w:tc>
        <w:tc>
          <w:tcPr>
            <w:tcW w:w="709" w:type="dxa"/>
            <w:vAlign w:val="center"/>
          </w:tcPr>
          <w:p w14:paraId="1090F8CB">
            <w:pPr>
              <w:rPr>
                <w:rFonts w:hint="eastAsia" w:ascii="黑体" w:hAnsi="黑体" w:eastAsia="黑体" w:cs="黑体"/>
                <w:b/>
                <w:bCs/>
                <w:color w:val="auto"/>
                <w:sz w:val="18"/>
                <w:szCs w:val="18"/>
                <w:highlight w:val="none"/>
                <w:lang w:eastAsia="zh-CN"/>
              </w:rPr>
            </w:pPr>
            <w:r>
              <w:rPr>
                <w:rFonts w:hint="eastAsia" w:ascii="黑体" w:hAnsi="黑体" w:eastAsia="黑体" w:cs="黑体"/>
                <w:b/>
                <w:bCs/>
                <w:color w:val="auto"/>
                <w:sz w:val="18"/>
                <w:szCs w:val="18"/>
                <w:highlight w:val="none"/>
              </w:rPr>
              <w:t>计量</w:t>
            </w:r>
          </w:p>
          <w:p w14:paraId="7438F8D2">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单位</w:t>
            </w:r>
          </w:p>
        </w:tc>
        <w:tc>
          <w:tcPr>
            <w:tcW w:w="1125" w:type="dxa"/>
            <w:vAlign w:val="center"/>
          </w:tcPr>
          <w:p w14:paraId="45BD46A7">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大型</w:t>
            </w:r>
          </w:p>
        </w:tc>
        <w:tc>
          <w:tcPr>
            <w:tcW w:w="1701" w:type="dxa"/>
            <w:vAlign w:val="center"/>
          </w:tcPr>
          <w:p w14:paraId="3DAC83F3">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中型</w:t>
            </w:r>
          </w:p>
        </w:tc>
        <w:tc>
          <w:tcPr>
            <w:tcW w:w="1426" w:type="dxa"/>
            <w:vAlign w:val="center"/>
          </w:tcPr>
          <w:p w14:paraId="744D3526">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小型</w:t>
            </w:r>
          </w:p>
        </w:tc>
        <w:tc>
          <w:tcPr>
            <w:tcW w:w="992" w:type="dxa"/>
            <w:vAlign w:val="center"/>
          </w:tcPr>
          <w:p w14:paraId="57B71E20">
            <w:pPr>
              <w:rPr>
                <w:rFonts w:hint="eastAsia" w:ascii="黑体" w:hAnsi="黑体" w:eastAsia="黑体" w:cs="黑体"/>
                <w:b/>
                <w:bCs/>
                <w:color w:val="auto"/>
                <w:sz w:val="18"/>
                <w:szCs w:val="18"/>
                <w:highlight w:val="none"/>
              </w:rPr>
            </w:pPr>
            <w:r>
              <w:rPr>
                <w:rFonts w:hint="eastAsia" w:ascii="黑体" w:hAnsi="黑体" w:eastAsia="黑体" w:cs="黑体"/>
                <w:b/>
                <w:bCs/>
                <w:color w:val="auto"/>
                <w:sz w:val="18"/>
                <w:szCs w:val="18"/>
                <w:highlight w:val="none"/>
              </w:rPr>
              <w:t>微型</w:t>
            </w:r>
          </w:p>
        </w:tc>
      </w:tr>
      <w:tr w14:paraId="50532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7827BAFC">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农、林、牧、渔业</w:t>
            </w:r>
          </w:p>
        </w:tc>
        <w:tc>
          <w:tcPr>
            <w:tcW w:w="1369" w:type="dxa"/>
            <w:vAlign w:val="center"/>
          </w:tcPr>
          <w:p w14:paraId="060B395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605980D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7F7292B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Y≥20000</w:t>
            </w:r>
          </w:p>
        </w:tc>
        <w:tc>
          <w:tcPr>
            <w:tcW w:w="1701" w:type="dxa"/>
            <w:vAlign w:val="center"/>
          </w:tcPr>
          <w:p w14:paraId="653484B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500≤Y＜20000</w:t>
            </w:r>
          </w:p>
        </w:tc>
        <w:tc>
          <w:tcPr>
            <w:tcW w:w="1426" w:type="dxa"/>
            <w:vAlign w:val="center"/>
          </w:tcPr>
          <w:p w14:paraId="3717E81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50≤Y＜500</w:t>
            </w:r>
          </w:p>
        </w:tc>
        <w:tc>
          <w:tcPr>
            <w:tcW w:w="992" w:type="dxa"/>
            <w:vAlign w:val="center"/>
          </w:tcPr>
          <w:p w14:paraId="2F2BF4A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Y＜50</w:t>
            </w:r>
          </w:p>
        </w:tc>
      </w:tr>
      <w:tr w14:paraId="684FE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E629ECA">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工业*</w:t>
            </w:r>
          </w:p>
        </w:tc>
        <w:tc>
          <w:tcPr>
            <w:tcW w:w="1369" w:type="dxa"/>
            <w:vAlign w:val="center"/>
          </w:tcPr>
          <w:p w14:paraId="254C7D2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115F543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5BD9845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X≥1000</w:t>
            </w:r>
          </w:p>
        </w:tc>
        <w:tc>
          <w:tcPr>
            <w:tcW w:w="1701" w:type="dxa"/>
            <w:vAlign w:val="center"/>
          </w:tcPr>
          <w:p w14:paraId="6AE7959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300≤X＜1000</w:t>
            </w:r>
          </w:p>
        </w:tc>
        <w:tc>
          <w:tcPr>
            <w:tcW w:w="1426" w:type="dxa"/>
            <w:vAlign w:val="center"/>
          </w:tcPr>
          <w:p w14:paraId="34234AB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20≤X＜300</w:t>
            </w:r>
          </w:p>
        </w:tc>
        <w:tc>
          <w:tcPr>
            <w:tcW w:w="992" w:type="dxa"/>
            <w:vAlign w:val="center"/>
          </w:tcPr>
          <w:p w14:paraId="7EDF3BA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w:t>
            </w:r>
          </w:p>
        </w:tc>
      </w:tr>
      <w:tr w14:paraId="49D48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CEAE230">
            <w:pPr>
              <w:jc w:val="center"/>
              <w:rPr>
                <w:rFonts w:hint="eastAsia" w:ascii="黑体" w:hAnsi="黑体" w:eastAsia="黑体" w:cs="黑体"/>
                <w:b/>
                <w:color w:val="auto"/>
                <w:sz w:val="18"/>
                <w:szCs w:val="18"/>
                <w:highlight w:val="none"/>
              </w:rPr>
            </w:pPr>
          </w:p>
        </w:tc>
        <w:tc>
          <w:tcPr>
            <w:tcW w:w="1369" w:type="dxa"/>
            <w:vAlign w:val="center"/>
          </w:tcPr>
          <w:p w14:paraId="5C680B96">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4F28D99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3903A56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Y≥40000</w:t>
            </w:r>
          </w:p>
        </w:tc>
        <w:tc>
          <w:tcPr>
            <w:tcW w:w="1701" w:type="dxa"/>
            <w:vAlign w:val="center"/>
          </w:tcPr>
          <w:p w14:paraId="5956355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2000≤Y＜40000</w:t>
            </w:r>
          </w:p>
        </w:tc>
        <w:tc>
          <w:tcPr>
            <w:tcW w:w="1426" w:type="dxa"/>
            <w:vAlign w:val="center"/>
          </w:tcPr>
          <w:p w14:paraId="2417FC8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300≤Y＜2000</w:t>
            </w:r>
          </w:p>
        </w:tc>
        <w:tc>
          <w:tcPr>
            <w:tcW w:w="992" w:type="dxa"/>
            <w:vAlign w:val="center"/>
          </w:tcPr>
          <w:p w14:paraId="1DDADF7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Y＜300</w:t>
            </w:r>
          </w:p>
        </w:tc>
      </w:tr>
      <w:tr w14:paraId="50102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EEE955C">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建筑业</w:t>
            </w:r>
          </w:p>
        </w:tc>
        <w:tc>
          <w:tcPr>
            <w:tcW w:w="1369" w:type="dxa"/>
            <w:vAlign w:val="center"/>
          </w:tcPr>
          <w:p w14:paraId="4297EF6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327F7EB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46FAA0A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Y≥80000</w:t>
            </w:r>
          </w:p>
        </w:tc>
        <w:tc>
          <w:tcPr>
            <w:tcW w:w="1701" w:type="dxa"/>
            <w:vAlign w:val="center"/>
          </w:tcPr>
          <w:p w14:paraId="27A0628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6000≤Y＜80000</w:t>
            </w:r>
          </w:p>
        </w:tc>
        <w:tc>
          <w:tcPr>
            <w:tcW w:w="1426" w:type="dxa"/>
            <w:vAlign w:val="center"/>
          </w:tcPr>
          <w:p w14:paraId="2EB8476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300≤Y＜6000</w:t>
            </w:r>
          </w:p>
        </w:tc>
        <w:tc>
          <w:tcPr>
            <w:tcW w:w="992" w:type="dxa"/>
            <w:vAlign w:val="center"/>
          </w:tcPr>
          <w:p w14:paraId="2F64AEB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Y＜300</w:t>
            </w:r>
          </w:p>
        </w:tc>
      </w:tr>
      <w:tr w14:paraId="247E4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2356091">
            <w:pPr>
              <w:jc w:val="center"/>
              <w:rPr>
                <w:rFonts w:hint="eastAsia" w:ascii="黑体" w:hAnsi="黑体" w:eastAsia="黑体" w:cs="黑体"/>
                <w:b/>
                <w:color w:val="auto"/>
                <w:sz w:val="18"/>
                <w:szCs w:val="18"/>
                <w:highlight w:val="none"/>
              </w:rPr>
            </w:pPr>
          </w:p>
        </w:tc>
        <w:tc>
          <w:tcPr>
            <w:tcW w:w="1369" w:type="dxa"/>
            <w:vAlign w:val="center"/>
          </w:tcPr>
          <w:p w14:paraId="51BA0FB6">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资产总额(Z)</w:t>
            </w:r>
          </w:p>
        </w:tc>
        <w:tc>
          <w:tcPr>
            <w:tcW w:w="709" w:type="dxa"/>
            <w:vAlign w:val="center"/>
          </w:tcPr>
          <w:p w14:paraId="0057BEC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238B1D1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Z≥80000</w:t>
            </w:r>
          </w:p>
        </w:tc>
        <w:tc>
          <w:tcPr>
            <w:tcW w:w="1701" w:type="dxa"/>
            <w:vAlign w:val="center"/>
          </w:tcPr>
          <w:p w14:paraId="1731149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5000≤Z＜80000</w:t>
            </w:r>
          </w:p>
        </w:tc>
        <w:tc>
          <w:tcPr>
            <w:tcW w:w="1426" w:type="dxa"/>
            <w:vAlign w:val="center"/>
          </w:tcPr>
          <w:p w14:paraId="630B7D7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300≤Z＜5000</w:t>
            </w:r>
          </w:p>
        </w:tc>
        <w:tc>
          <w:tcPr>
            <w:tcW w:w="992" w:type="dxa"/>
            <w:vAlign w:val="center"/>
          </w:tcPr>
          <w:p w14:paraId="7A23828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Z＜300</w:t>
            </w:r>
          </w:p>
        </w:tc>
      </w:tr>
      <w:tr w14:paraId="0722B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88C0334">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批发业</w:t>
            </w:r>
          </w:p>
        </w:tc>
        <w:tc>
          <w:tcPr>
            <w:tcW w:w="1369" w:type="dxa"/>
            <w:vAlign w:val="center"/>
          </w:tcPr>
          <w:p w14:paraId="31A2A76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7045CC4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07D817D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X≥200</w:t>
            </w:r>
          </w:p>
        </w:tc>
        <w:tc>
          <w:tcPr>
            <w:tcW w:w="1701" w:type="dxa"/>
            <w:vAlign w:val="center"/>
          </w:tcPr>
          <w:p w14:paraId="2A5A826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20≤X＜200</w:t>
            </w:r>
          </w:p>
        </w:tc>
        <w:tc>
          <w:tcPr>
            <w:tcW w:w="1426" w:type="dxa"/>
            <w:vAlign w:val="center"/>
          </w:tcPr>
          <w:p w14:paraId="3735F0C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5≤X＜20</w:t>
            </w:r>
          </w:p>
        </w:tc>
        <w:tc>
          <w:tcPr>
            <w:tcW w:w="992" w:type="dxa"/>
            <w:vAlign w:val="center"/>
          </w:tcPr>
          <w:p w14:paraId="1D9F035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X＜5</w:t>
            </w:r>
          </w:p>
        </w:tc>
      </w:tr>
      <w:tr w14:paraId="20B48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B0E0EA1">
            <w:pPr>
              <w:jc w:val="center"/>
              <w:rPr>
                <w:rFonts w:hint="eastAsia" w:ascii="黑体" w:hAnsi="黑体" w:eastAsia="黑体" w:cs="黑体"/>
                <w:b/>
                <w:color w:val="auto"/>
                <w:sz w:val="18"/>
                <w:szCs w:val="18"/>
                <w:highlight w:val="none"/>
              </w:rPr>
            </w:pPr>
          </w:p>
        </w:tc>
        <w:tc>
          <w:tcPr>
            <w:tcW w:w="1369" w:type="dxa"/>
            <w:vAlign w:val="center"/>
          </w:tcPr>
          <w:p w14:paraId="7A0449D8">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7BD9D8D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3AB375E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Y≥40000</w:t>
            </w:r>
          </w:p>
        </w:tc>
        <w:tc>
          <w:tcPr>
            <w:tcW w:w="1701" w:type="dxa"/>
            <w:vAlign w:val="center"/>
          </w:tcPr>
          <w:p w14:paraId="0683B89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5000≤Y＜40000</w:t>
            </w:r>
          </w:p>
        </w:tc>
        <w:tc>
          <w:tcPr>
            <w:tcW w:w="1426" w:type="dxa"/>
            <w:vAlign w:val="center"/>
          </w:tcPr>
          <w:p w14:paraId="5B4A2CFF">
            <w:pPr>
              <w:ind w:left="-1" w:leftChars="-1" w:hanging="1"/>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1000≤Y＜5000</w:t>
            </w:r>
          </w:p>
        </w:tc>
        <w:tc>
          <w:tcPr>
            <w:tcW w:w="992" w:type="dxa"/>
            <w:vAlign w:val="center"/>
          </w:tcPr>
          <w:p w14:paraId="33627E8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Y＜1000</w:t>
            </w:r>
          </w:p>
        </w:tc>
      </w:tr>
      <w:tr w14:paraId="4A274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AAED875">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零售业</w:t>
            </w:r>
          </w:p>
        </w:tc>
        <w:tc>
          <w:tcPr>
            <w:tcW w:w="1369" w:type="dxa"/>
            <w:vAlign w:val="center"/>
          </w:tcPr>
          <w:p w14:paraId="4937289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799C264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77195EA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2511394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50≤X＜300</w:t>
            </w:r>
          </w:p>
        </w:tc>
        <w:tc>
          <w:tcPr>
            <w:tcW w:w="1426" w:type="dxa"/>
            <w:vAlign w:val="center"/>
          </w:tcPr>
          <w:p w14:paraId="36416ADB">
            <w:pPr>
              <w:ind w:left="-1" w:leftChars="-1" w:hanging="1"/>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10≤X＜50</w:t>
            </w:r>
          </w:p>
        </w:tc>
        <w:tc>
          <w:tcPr>
            <w:tcW w:w="992" w:type="dxa"/>
            <w:vAlign w:val="center"/>
          </w:tcPr>
          <w:p w14:paraId="6FF079D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1F88C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F57C093">
            <w:pPr>
              <w:jc w:val="center"/>
              <w:rPr>
                <w:rFonts w:hint="eastAsia" w:ascii="黑体" w:hAnsi="黑体" w:eastAsia="黑体" w:cs="黑体"/>
                <w:b/>
                <w:color w:val="auto"/>
                <w:sz w:val="18"/>
                <w:szCs w:val="18"/>
                <w:highlight w:val="none"/>
              </w:rPr>
            </w:pPr>
          </w:p>
        </w:tc>
        <w:tc>
          <w:tcPr>
            <w:tcW w:w="1369" w:type="dxa"/>
            <w:vAlign w:val="center"/>
          </w:tcPr>
          <w:p w14:paraId="1B652ECC">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7BF7547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44B2D83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Y≥20000</w:t>
            </w:r>
          </w:p>
        </w:tc>
        <w:tc>
          <w:tcPr>
            <w:tcW w:w="1701" w:type="dxa"/>
            <w:vAlign w:val="center"/>
          </w:tcPr>
          <w:p w14:paraId="612A46A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500≤Y＜20000</w:t>
            </w:r>
          </w:p>
        </w:tc>
        <w:tc>
          <w:tcPr>
            <w:tcW w:w="1426" w:type="dxa"/>
            <w:vAlign w:val="center"/>
          </w:tcPr>
          <w:p w14:paraId="3DBB813E">
            <w:pPr>
              <w:ind w:left="-1" w:leftChars="-1" w:hanging="1"/>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100≤Y＜500</w:t>
            </w:r>
          </w:p>
        </w:tc>
        <w:tc>
          <w:tcPr>
            <w:tcW w:w="992" w:type="dxa"/>
            <w:vAlign w:val="center"/>
          </w:tcPr>
          <w:p w14:paraId="68D8E40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58771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D1FF831">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交通运输业*</w:t>
            </w:r>
          </w:p>
        </w:tc>
        <w:tc>
          <w:tcPr>
            <w:tcW w:w="1369" w:type="dxa"/>
            <w:vAlign w:val="center"/>
          </w:tcPr>
          <w:p w14:paraId="792D4B4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525AFCF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74012C0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X≥1000</w:t>
            </w:r>
          </w:p>
        </w:tc>
        <w:tc>
          <w:tcPr>
            <w:tcW w:w="1701" w:type="dxa"/>
            <w:vAlign w:val="center"/>
          </w:tcPr>
          <w:p w14:paraId="6D14BEC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300≤X＜1000</w:t>
            </w:r>
          </w:p>
        </w:tc>
        <w:tc>
          <w:tcPr>
            <w:tcW w:w="1426" w:type="dxa"/>
            <w:vAlign w:val="center"/>
          </w:tcPr>
          <w:p w14:paraId="1C0A565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20≤X＜300</w:t>
            </w:r>
          </w:p>
        </w:tc>
        <w:tc>
          <w:tcPr>
            <w:tcW w:w="992" w:type="dxa"/>
            <w:vAlign w:val="center"/>
          </w:tcPr>
          <w:p w14:paraId="74E1ED6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w:t>
            </w:r>
          </w:p>
        </w:tc>
      </w:tr>
      <w:tr w14:paraId="30B0E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864C9BE">
            <w:pPr>
              <w:jc w:val="center"/>
              <w:rPr>
                <w:rFonts w:hint="eastAsia" w:ascii="黑体" w:hAnsi="黑体" w:eastAsia="黑体" w:cs="黑体"/>
                <w:b/>
                <w:color w:val="auto"/>
                <w:sz w:val="18"/>
                <w:szCs w:val="18"/>
                <w:highlight w:val="none"/>
              </w:rPr>
            </w:pPr>
          </w:p>
        </w:tc>
        <w:tc>
          <w:tcPr>
            <w:tcW w:w="1369" w:type="dxa"/>
            <w:vAlign w:val="center"/>
          </w:tcPr>
          <w:p w14:paraId="4C767409">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4A88D87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564AB22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Y≥30000</w:t>
            </w:r>
          </w:p>
        </w:tc>
        <w:tc>
          <w:tcPr>
            <w:tcW w:w="1701" w:type="dxa"/>
            <w:vAlign w:val="center"/>
          </w:tcPr>
          <w:p w14:paraId="265970E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3000≤Y＜30000</w:t>
            </w:r>
          </w:p>
        </w:tc>
        <w:tc>
          <w:tcPr>
            <w:tcW w:w="1426" w:type="dxa"/>
            <w:vAlign w:val="center"/>
          </w:tcPr>
          <w:p w14:paraId="6464EE9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200≤Y＜3000</w:t>
            </w:r>
          </w:p>
        </w:tc>
        <w:tc>
          <w:tcPr>
            <w:tcW w:w="992" w:type="dxa"/>
            <w:vAlign w:val="center"/>
          </w:tcPr>
          <w:p w14:paraId="1DAC9B0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Y＜200</w:t>
            </w:r>
          </w:p>
        </w:tc>
      </w:tr>
      <w:tr w14:paraId="67AF4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535F933">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仓储业*</w:t>
            </w:r>
          </w:p>
        </w:tc>
        <w:tc>
          <w:tcPr>
            <w:tcW w:w="1369" w:type="dxa"/>
            <w:vAlign w:val="center"/>
          </w:tcPr>
          <w:p w14:paraId="65FD423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1C224FB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0C5AD0E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X≥200</w:t>
            </w:r>
          </w:p>
        </w:tc>
        <w:tc>
          <w:tcPr>
            <w:tcW w:w="1701" w:type="dxa"/>
            <w:vAlign w:val="center"/>
          </w:tcPr>
          <w:p w14:paraId="4E5F8A97">
            <w:pPr>
              <w:ind w:left="1" w:leftChars="-51" w:hanging="108" w:hangingChars="60"/>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100≤X＜200</w:t>
            </w:r>
          </w:p>
        </w:tc>
        <w:tc>
          <w:tcPr>
            <w:tcW w:w="1426" w:type="dxa"/>
            <w:vAlign w:val="center"/>
          </w:tcPr>
          <w:p w14:paraId="3F69E00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20≤X＜100</w:t>
            </w:r>
          </w:p>
        </w:tc>
        <w:tc>
          <w:tcPr>
            <w:tcW w:w="992" w:type="dxa"/>
            <w:vAlign w:val="center"/>
          </w:tcPr>
          <w:p w14:paraId="6BA9AA5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w:t>
            </w:r>
          </w:p>
        </w:tc>
      </w:tr>
      <w:tr w14:paraId="64159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0BF86D9">
            <w:pPr>
              <w:jc w:val="center"/>
              <w:rPr>
                <w:rFonts w:hint="eastAsia" w:ascii="黑体" w:hAnsi="黑体" w:eastAsia="黑体" w:cs="黑体"/>
                <w:b/>
                <w:color w:val="auto"/>
                <w:sz w:val="18"/>
                <w:szCs w:val="18"/>
                <w:highlight w:val="none"/>
              </w:rPr>
            </w:pPr>
          </w:p>
        </w:tc>
        <w:tc>
          <w:tcPr>
            <w:tcW w:w="1369" w:type="dxa"/>
            <w:vAlign w:val="center"/>
          </w:tcPr>
          <w:p w14:paraId="53B36E8E">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211FD93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2BB8656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Y≥30000</w:t>
            </w:r>
          </w:p>
        </w:tc>
        <w:tc>
          <w:tcPr>
            <w:tcW w:w="1701" w:type="dxa"/>
            <w:vAlign w:val="center"/>
          </w:tcPr>
          <w:p w14:paraId="13ED2FC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1000≤Y＜30000</w:t>
            </w:r>
          </w:p>
        </w:tc>
        <w:tc>
          <w:tcPr>
            <w:tcW w:w="1426" w:type="dxa"/>
            <w:vAlign w:val="center"/>
          </w:tcPr>
          <w:p w14:paraId="2BCBCB1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100≤Y＜1000</w:t>
            </w:r>
          </w:p>
        </w:tc>
        <w:tc>
          <w:tcPr>
            <w:tcW w:w="992" w:type="dxa"/>
            <w:vAlign w:val="center"/>
          </w:tcPr>
          <w:p w14:paraId="4675F68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0EEEC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F9BB751">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邮政业</w:t>
            </w:r>
          </w:p>
        </w:tc>
        <w:tc>
          <w:tcPr>
            <w:tcW w:w="1369" w:type="dxa"/>
            <w:vAlign w:val="center"/>
          </w:tcPr>
          <w:p w14:paraId="5C215BB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3F95FC7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3510BC5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X≥1000</w:t>
            </w:r>
          </w:p>
        </w:tc>
        <w:tc>
          <w:tcPr>
            <w:tcW w:w="1701" w:type="dxa"/>
            <w:vAlign w:val="center"/>
          </w:tcPr>
          <w:p w14:paraId="5CE9B74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300≤X＜1000</w:t>
            </w:r>
          </w:p>
        </w:tc>
        <w:tc>
          <w:tcPr>
            <w:tcW w:w="1426" w:type="dxa"/>
            <w:vAlign w:val="center"/>
          </w:tcPr>
          <w:p w14:paraId="55BBBC8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20≤X＜300</w:t>
            </w:r>
          </w:p>
        </w:tc>
        <w:tc>
          <w:tcPr>
            <w:tcW w:w="992" w:type="dxa"/>
            <w:vAlign w:val="center"/>
          </w:tcPr>
          <w:p w14:paraId="0ADCA42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w:t>
            </w:r>
          </w:p>
        </w:tc>
      </w:tr>
      <w:tr w14:paraId="5EA19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164DB57">
            <w:pPr>
              <w:jc w:val="center"/>
              <w:rPr>
                <w:rFonts w:hint="eastAsia" w:ascii="黑体" w:hAnsi="黑体" w:eastAsia="黑体" w:cs="黑体"/>
                <w:b/>
                <w:color w:val="auto"/>
                <w:sz w:val="18"/>
                <w:szCs w:val="18"/>
                <w:highlight w:val="none"/>
              </w:rPr>
            </w:pPr>
          </w:p>
        </w:tc>
        <w:tc>
          <w:tcPr>
            <w:tcW w:w="1369" w:type="dxa"/>
            <w:vAlign w:val="center"/>
          </w:tcPr>
          <w:p w14:paraId="23D6FF4B">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7F71033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72CECE4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Y≥30000</w:t>
            </w:r>
          </w:p>
        </w:tc>
        <w:tc>
          <w:tcPr>
            <w:tcW w:w="1701" w:type="dxa"/>
            <w:vAlign w:val="center"/>
          </w:tcPr>
          <w:p w14:paraId="297FBB9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2000≤Y＜30000</w:t>
            </w:r>
          </w:p>
        </w:tc>
        <w:tc>
          <w:tcPr>
            <w:tcW w:w="1426" w:type="dxa"/>
            <w:vAlign w:val="center"/>
          </w:tcPr>
          <w:p w14:paraId="2ACD7CA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100≤Y＜2000</w:t>
            </w:r>
          </w:p>
        </w:tc>
        <w:tc>
          <w:tcPr>
            <w:tcW w:w="992" w:type="dxa"/>
            <w:vAlign w:val="center"/>
          </w:tcPr>
          <w:p w14:paraId="674F4C7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53D13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A87BE40">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住宿业</w:t>
            </w:r>
          </w:p>
        </w:tc>
        <w:tc>
          <w:tcPr>
            <w:tcW w:w="1369" w:type="dxa"/>
            <w:vAlign w:val="center"/>
          </w:tcPr>
          <w:p w14:paraId="0FA9E49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3D98F28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3F9FD2B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49D05D1C">
            <w:pPr>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1426" w:type="dxa"/>
            <w:vAlign w:val="center"/>
          </w:tcPr>
          <w:p w14:paraId="6B2DE7A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380D36F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04723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C7009F4">
            <w:pPr>
              <w:jc w:val="center"/>
              <w:rPr>
                <w:rFonts w:hint="eastAsia" w:ascii="黑体" w:hAnsi="黑体" w:eastAsia="黑体" w:cs="黑体"/>
                <w:b/>
                <w:color w:val="auto"/>
                <w:sz w:val="18"/>
                <w:szCs w:val="18"/>
                <w:highlight w:val="none"/>
              </w:rPr>
            </w:pPr>
          </w:p>
        </w:tc>
        <w:tc>
          <w:tcPr>
            <w:tcW w:w="1369" w:type="dxa"/>
            <w:vAlign w:val="center"/>
          </w:tcPr>
          <w:p w14:paraId="0DE88006">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6B53A9A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07070AB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Y≥10000</w:t>
            </w:r>
          </w:p>
        </w:tc>
        <w:tc>
          <w:tcPr>
            <w:tcW w:w="1701" w:type="dxa"/>
            <w:vAlign w:val="center"/>
          </w:tcPr>
          <w:p w14:paraId="6E5913A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2000≤Y＜10000</w:t>
            </w:r>
          </w:p>
        </w:tc>
        <w:tc>
          <w:tcPr>
            <w:tcW w:w="1426" w:type="dxa"/>
            <w:vAlign w:val="center"/>
          </w:tcPr>
          <w:p w14:paraId="7A62070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100≤Y＜2000</w:t>
            </w:r>
          </w:p>
        </w:tc>
        <w:tc>
          <w:tcPr>
            <w:tcW w:w="992" w:type="dxa"/>
            <w:vAlign w:val="center"/>
          </w:tcPr>
          <w:p w14:paraId="2DEF239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4EA9B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861251E">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餐饮业</w:t>
            </w:r>
          </w:p>
        </w:tc>
        <w:tc>
          <w:tcPr>
            <w:tcW w:w="1369" w:type="dxa"/>
            <w:vAlign w:val="center"/>
          </w:tcPr>
          <w:p w14:paraId="3A01316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7DC330E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23A9C8E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17F403BF">
            <w:pPr>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1426" w:type="dxa"/>
            <w:vAlign w:val="center"/>
          </w:tcPr>
          <w:p w14:paraId="6A7D1A9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5135C4B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725F3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E2058EC">
            <w:pPr>
              <w:jc w:val="center"/>
              <w:rPr>
                <w:rFonts w:hint="eastAsia" w:ascii="黑体" w:hAnsi="黑体" w:eastAsia="黑体" w:cs="黑体"/>
                <w:b/>
                <w:color w:val="auto"/>
                <w:sz w:val="18"/>
                <w:szCs w:val="18"/>
                <w:highlight w:val="none"/>
              </w:rPr>
            </w:pPr>
          </w:p>
        </w:tc>
        <w:tc>
          <w:tcPr>
            <w:tcW w:w="1369" w:type="dxa"/>
            <w:vAlign w:val="center"/>
          </w:tcPr>
          <w:p w14:paraId="1D981033">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418BA28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6540116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Y≥10000</w:t>
            </w:r>
          </w:p>
        </w:tc>
        <w:tc>
          <w:tcPr>
            <w:tcW w:w="1701" w:type="dxa"/>
            <w:vAlign w:val="center"/>
          </w:tcPr>
          <w:p w14:paraId="04A5A28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2000≤Y＜10000</w:t>
            </w:r>
          </w:p>
        </w:tc>
        <w:tc>
          <w:tcPr>
            <w:tcW w:w="1426" w:type="dxa"/>
            <w:vAlign w:val="center"/>
          </w:tcPr>
          <w:p w14:paraId="1589459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100≤Y＜2000</w:t>
            </w:r>
          </w:p>
        </w:tc>
        <w:tc>
          <w:tcPr>
            <w:tcW w:w="992" w:type="dxa"/>
            <w:vAlign w:val="center"/>
          </w:tcPr>
          <w:p w14:paraId="474679C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789BF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D3895D6">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信息传输业*</w:t>
            </w:r>
          </w:p>
        </w:tc>
        <w:tc>
          <w:tcPr>
            <w:tcW w:w="1369" w:type="dxa"/>
            <w:vAlign w:val="center"/>
          </w:tcPr>
          <w:p w14:paraId="389D6F3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1CA31A3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74CA1AB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X≥2000</w:t>
            </w:r>
          </w:p>
        </w:tc>
        <w:tc>
          <w:tcPr>
            <w:tcW w:w="1701" w:type="dxa"/>
            <w:vAlign w:val="center"/>
          </w:tcPr>
          <w:p w14:paraId="78D6BB0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100≤X＜2000</w:t>
            </w:r>
          </w:p>
        </w:tc>
        <w:tc>
          <w:tcPr>
            <w:tcW w:w="1426" w:type="dxa"/>
            <w:vAlign w:val="center"/>
          </w:tcPr>
          <w:p w14:paraId="02EC3C4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055090A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3BB4B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DC4DFC2">
            <w:pPr>
              <w:jc w:val="center"/>
              <w:rPr>
                <w:rFonts w:hint="eastAsia" w:ascii="黑体" w:hAnsi="黑体" w:eastAsia="黑体" w:cs="黑体"/>
                <w:b/>
                <w:color w:val="auto"/>
                <w:sz w:val="18"/>
                <w:szCs w:val="18"/>
                <w:highlight w:val="none"/>
              </w:rPr>
            </w:pPr>
          </w:p>
        </w:tc>
        <w:tc>
          <w:tcPr>
            <w:tcW w:w="1369" w:type="dxa"/>
            <w:vAlign w:val="center"/>
          </w:tcPr>
          <w:p w14:paraId="3648F9F6">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7BE6A37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0F7135B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Y≥100000</w:t>
            </w:r>
          </w:p>
        </w:tc>
        <w:tc>
          <w:tcPr>
            <w:tcW w:w="1701" w:type="dxa"/>
            <w:vAlign w:val="center"/>
          </w:tcPr>
          <w:p w14:paraId="67C69A0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1000≤Y＜100000</w:t>
            </w:r>
          </w:p>
        </w:tc>
        <w:tc>
          <w:tcPr>
            <w:tcW w:w="1426" w:type="dxa"/>
            <w:vAlign w:val="center"/>
          </w:tcPr>
          <w:p w14:paraId="5ABD092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100≤Y＜1000</w:t>
            </w:r>
          </w:p>
        </w:tc>
        <w:tc>
          <w:tcPr>
            <w:tcW w:w="992" w:type="dxa"/>
            <w:vAlign w:val="center"/>
          </w:tcPr>
          <w:p w14:paraId="708C00F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519A7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83D57B8">
            <w:pPr>
              <w:spacing w:line="240" w:lineRule="exact"/>
              <w:jc w:val="center"/>
              <w:rPr>
                <w:rFonts w:hint="eastAsia" w:ascii="黑体" w:hAnsi="黑体" w:eastAsia="黑体" w:cs="黑体"/>
                <w:b/>
                <w:color w:val="auto"/>
                <w:spacing w:val="-12"/>
                <w:sz w:val="18"/>
                <w:szCs w:val="18"/>
                <w:highlight w:val="none"/>
              </w:rPr>
            </w:pPr>
            <w:r>
              <w:rPr>
                <w:rFonts w:hint="eastAsia" w:ascii="黑体" w:hAnsi="黑体" w:eastAsia="黑体" w:cs="黑体"/>
                <w:b/>
                <w:color w:val="auto"/>
                <w:spacing w:val="-12"/>
                <w:sz w:val="18"/>
                <w:szCs w:val="18"/>
                <w:highlight w:val="none"/>
              </w:rPr>
              <w:t>软件和信息技术服</w:t>
            </w:r>
            <w:r>
              <w:rPr>
                <w:rFonts w:hint="eastAsia" w:ascii="黑体" w:hAnsi="黑体" w:eastAsia="黑体" w:cs="黑体"/>
                <w:b/>
                <w:color w:val="auto"/>
                <w:sz w:val="18"/>
                <w:szCs w:val="18"/>
                <w:highlight w:val="none"/>
              </w:rPr>
              <w:t>务业</w:t>
            </w:r>
          </w:p>
        </w:tc>
        <w:tc>
          <w:tcPr>
            <w:tcW w:w="1369" w:type="dxa"/>
            <w:vAlign w:val="center"/>
          </w:tcPr>
          <w:p w14:paraId="5792B3E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536D5B8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5E7F9F37">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1E87E226">
            <w:pPr>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1426" w:type="dxa"/>
            <w:vAlign w:val="center"/>
          </w:tcPr>
          <w:p w14:paraId="562221B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4FD673D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2A812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61979E49">
            <w:pPr>
              <w:jc w:val="center"/>
              <w:rPr>
                <w:rFonts w:hint="eastAsia" w:ascii="黑体" w:hAnsi="黑体" w:eastAsia="黑体" w:cs="黑体"/>
                <w:b/>
                <w:color w:val="auto"/>
                <w:spacing w:val="-12"/>
                <w:sz w:val="18"/>
                <w:szCs w:val="18"/>
                <w:highlight w:val="none"/>
              </w:rPr>
            </w:pPr>
          </w:p>
        </w:tc>
        <w:tc>
          <w:tcPr>
            <w:tcW w:w="1369" w:type="dxa"/>
            <w:vAlign w:val="center"/>
          </w:tcPr>
          <w:p w14:paraId="3EA1DA7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2B01E0F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7E5DF47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Y≥10000</w:t>
            </w:r>
          </w:p>
        </w:tc>
        <w:tc>
          <w:tcPr>
            <w:tcW w:w="1701" w:type="dxa"/>
            <w:vAlign w:val="center"/>
          </w:tcPr>
          <w:p w14:paraId="1E5CDA6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1000≤Y＜10000</w:t>
            </w:r>
          </w:p>
        </w:tc>
        <w:tc>
          <w:tcPr>
            <w:tcW w:w="1426" w:type="dxa"/>
            <w:vAlign w:val="center"/>
          </w:tcPr>
          <w:p w14:paraId="7C63B4A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50≤Y＜1000</w:t>
            </w:r>
          </w:p>
        </w:tc>
        <w:tc>
          <w:tcPr>
            <w:tcW w:w="992" w:type="dxa"/>
            <w:vAlign w:val="center"/>
          </w:tcPr>
          <w:p w14:paraId="6670A4B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Y＜50</w:t>
            </w:r>
          </w:p>
        </w:tc>
      </w:tr>
      <w:tr w14:paraId="62AD4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1FE030C1">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房地产开发经营</w:t>
            </w:r>
          </w:p>
        </w:tc>
        <w:tc>
          <w:tcPr>
            <w:tcW w:w="1369" w:type="dxa"/>
            <w:vAlign w:val="center"/>
          </w:tcPr>
          <w:p w14:paraId="43FB12FC">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6101222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71E6837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Y≥200000</w:t>
            </w:r>
          </w:p>
        </w:tc>
        <w:tc>
          <w:tcPr>
            <w:tcW w:w="1701" w:type="dxa"/>
            <w:vAlign w:val="center"/>
          </w:tcPr>
          <w:p w14:paraId="73CF1FA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1000≤Y＜200000</w:t>
            </w:r>
          </w:p>
        </w:tc>
        <w:tc>
          <w:tcPr>
            <w:tcW w:w="1426" w:type="dxa"/>
            <w:vAlign w:val="center"/>
          </w:tcPr>
          <w:p w14:paraId="7463C010">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100≤Y＜1000</w:t>
            </w:r>
          </w:p>
        </w:tc>
        <w:tc>
          <w:tcPr>
            <w:tcW w:w="992" w:type="dxa"/>
            <w:vAlign w:val="center"/>
          </w:tcPr>
          <w:p w14:paraId="1387A37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Y＜100</w:t>
            </w:r>
          </w:p>
        </w:tc>
      </w:tr>
      <w:tr w14:paraId="7D538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20E25708">
            <w:pPr>
              <w:jc w:val="center"/>
              <w:rPr>
                <w:rFonts w:hint="eastAsia" w:ascii="黑体" w:hAnsi="黑体" w:eastAsia="黑体" w:cs="黑体"/>
                <w:b/>
                <w:color w:val="auto"/>
                <w:sz w:val="18"/>
                <w:szCs w:val="18"/>
                <w:highlight w:val="none"/>
              </w:rPr>
            </w:pPr>
          </w:p>
        </w:tc>
        <w:tc>
          <w:tcPr>
            <w:tcW w:w="1369" w:type="dxa"/>
            <w:vAlign w:val="center"/>
          </w:tcPr>
          <w:p w14:paraId="4F7A4A1D">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资产总额(Z)</w:t>
            </w:r>
          </w:p>
        </w:tc>
        <w:tc>
          <w:tcPr>
            <w:tcW w:w="709" w:type="dxa"/>
            <w:vAlign w:val="center"/>
          </w:tcPr>
          <w:p w14:paraId="211A4695">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0BE670A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Z≥10000</w:t>
            </w:r>
          </w:p>
        </w:tc>
        <w:tc>
          <w:tcPr>
            <w:tcW w:w="1701" w:type="dxa"/>
            <w:vAlign w:val="center"/>
          </w:tcPr>
          <w:p w14:paraId="5BB62E44">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5000≤Z＜10000</w:t>
            </w:r>
          </w:p>
        </w:tc>
        <w:tc>
          <w:tcPr>
            <w:tcW w:w="1426" w:type="dxa"/>
            <w:vAlign w:val="center"/>
          </w:tcPr>
          <w:p w14:paraId="498D58BF">
            <w:pPr>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2000≤Z＜5000</w:t>
            </w:r>
          </w:p>
        </w:tc>
        <w:tc>
          <w:tcPr>
            <w:tcW w:w="992" w:type="dxa"/>
            <w:vAlign w:val="center"/>
          </w:tcPr>
          <w:p w14:paraId="32F32F2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Z＜2000</w:t>
            </w:r>
          </w:p>
        </w:tc>
      </w:tr>
      <w:tr w14:paraId="5D962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66C03AF0">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物业管理</w:t>
            </w:r>
          </w:p>
        </w:tc>
        <w:tc>
          <w:tcPr>
            <w:tcW w:w="1369" w:type="dxa"/>
            <w:vAlign w:val="center"/>
          </w:tcPr>
          <w:p w14:paraId="0F0EF96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229C733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7F7F3DA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X≥1000</w:t>
            </w:r>
          </w:p>
        </w:tc>
        <w:tc>
          <w:tcPr>
            <w:tcW w:w="1701" w:type="dxa"/>
            <w:vAlign w:val="center"/>
          </w:tcPr>
          <w:p w14:paraId="6F7633A6">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300≤X＜1000</w:t>
            </w:r>
          </w:p>
        </w:tc>
        <w:tc>
          <w:tcPr>
            <w:tcW w:w="1426" w:type="dxa"/>
            <w:vAlign w:val="center"/>
          </w:tcPr>
          <w:p w14:paraId="35F6245D">
            <w:pPr>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992" w:type="dxa"/>
            <w:vAlign w:val="center"/>
          </w:tcPr>
          <w:p w14:paraId="2948E4C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X＜100</w:t>
            </w:r>
          </w:p>
        </w:tc>
      </w:tr>
      <w:tr w14:paraId="0BEE9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7301AEB0">
            <w:pPr>
              <w:jc w:val="center"/>
              <w:rPr>
                <w:rFonts w:hint="eastAsia" w:ascii="黑体" w:hAnsi="黑体" w:eastAsia="黑体" w:cs="黑体"/>
                <w:b/>
                <w:color w:val="auto"/>
                <w:sz w:val="18"/>
                <w:szCs w:val="18"/>
                <w:highlight w:val="none"/>
              </w:rPr>
            </w:pPr>
          </w:p>
        </w:tc>
        <w:tc>
          <w:tcPr>
            <w:tcW w:w="1369" w:type="dxa"/>
            <w:vAlign w:val="center"/>
          </w:tcPr>
          <w:p w14:paraId="3A6A7AB7">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营业收入(Y)</w:t>
            </w:r>
          </w:p>
        </w:tc>
        <w:tc>
          <w:tcPr>
            <w:tcW w:w="709" w:type="dxa"/>
            <w:vAlign w:val="center"/>
          </w:tcPr>
          <w:p w14:paraId="6E1D3DD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02D2D96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Y≥5000</w:t>
            </w:r>
          </w:p>
        </w:tc>
        <w:tc>
          <w:tcPr>
            <w:tcW w:w="1701" w:type="dxa"/>
            <w:vAlign w:val="center"/>
          </w:tcPr>
          <w:p w14:paraId="323F8782">
            <w:pPr>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1000≤Y＜5000</w:t>
            </w:r>
          </w:p>
        </w:tc>
        <w:tc>
          <w:tcPr>
            <w:tcW w:w="1426" w:type="dxa"/>
            <w:vAlign w:val="center"/>
          </w:tcPr>
          <w:p w14:paraId="3701D4FB">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500≤Y＜1000</w:t>
            </w:r>
          </w:p>
        </w:tc>
        <w:tc>
          <w:tcPr>
            <w:tcW w:w="992" w:type="dxa"/>
            <w:vAlign w:val="center"/>
          </w:tcPr>
          <w:p w14:paraId="46B3EEBA">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Y＜500</w:t>
            </w:r>
          </w:p>
        </w:tc>
      </w:tr>
      <w:tr w14:paraId="084E8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186D775">
            <w:pPr>
              <w:spacing w:line="240" w:lineRule="exact"/>
              <w:jc w:val="cente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租赁和商务服务业</w:t>
            </w:r>
          </w:p>
        </w:tc>
        <w:tc>
          <w:tcPr>
            <w:tcW w:w="1369" w:type="dxa"/>
            <w:vAlign w:val="center"/>
          </w:tcPr>
          <w:p w14:paraId="5AF07429">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1B4EA5B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1118C201">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048208FB">
            <w:pPr>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1426" w:type="dxa"/>
            <w:vAlign w:val="center"/>
          </w:tcPr>
          <w:p w14:paraId="7EBD6C9E">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5B6577D2">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r w14:paraId="4D9B6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6D76338">
            <w:pPr>
              <w:jc w:val="center"/>
              <w:rPr>
                <w:rFonts w:hint="eastAsia" w:ascii="黑体" w:hAnsi="黑体" w:eastAsia="黑体" w:cs="黑体"/>
                <w:b/>
                <w:color w:val="auto"/>
                <w:sz w:val="18"/>
                <w:szCs w:val="18"/>
                <w:highlight w:val="none"/>
              </w:rPr>
            </w:pPr>
          </w:p>
        </w:tc>
        <w:tc>
          <w:tcPr>
            <w:tcW w:w="1369" w:type="dxa"/>
            <w:vAlign w:val="center"/>
          </w:tcPr>
          <w:p w14:paraId="2D30581B">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资产总额(Z)</w:t>
            </w:r>
          </w:p>
        </w:tc>
        <w:tc>
          <w:tcPr>
            <w:tcW w:w="709" w:type="dxa"/>
            <w:vAlign w:val="center"/>
          </w:tcPr>
          <w:p w14:paraId="4E260783">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万元</w:t>
            </w:r>
          </w:p>
        </w:tc>
        <w:tc>
          <w:tcPr>
            <w:tcW w:w="1125" w:type="dxa"/>
            <w:vAlign w:val="center"/>
          </w:tcPr>
          <w:p w14:paraId="754B370D">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Z≥120000</w:t>
            </w:r>
          </w:p>
        </w:tc>
        <w:tc>
          <w:tcPr>
            <w:tcW w:w="1701" w:type="dxa"/>
            <w:vAlign w:val="center"/>
          </w:tcPr>
          <w:p w14:paraId="7E74796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8000≤Z＜120000</w:t>
            </w:r>
          </w:p>
        </w:tc>
        <w:tc>
          <w:tcPr>
            <w:tcW w:w="1426" w:type="dxa"/>
            <w:vAlign w:val="center"/>
          </w:tcPr>
          <w:p w14:paraId="754E0F5F">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100≤Z＜8000</w:t>
            </w:r>
          </w:p>
        </w:tc>
        <w:tc>
          <w:tcPr>
            <w:tcW w:w="992" w:type="dxa"/>
            <w:vAlign w:val="center"/>
          </w:tcPr>
          <w:p w14:paraId="45E40C88">
            <w:pPr>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Z＜100</w:t>
            </w:r>
          </w:p>
        </w:tc>
      </w:tr>
      <w:tr w14:paraId="45924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0F0FDA44">
            <w:pPr>
              <w:spacing w:line="240" w:lineRule="exact"/>
              <w:jc w:val="center"/>
              <w:rPr>
                <w:rFonts w:hint="eastAsia" w:ascii="黑体" w:hAnsi="黑体" w:eastAsia="黑体" w:cs="黑体"/>
                <w:b/>
                <w:color w:val="auto"/>
                <w:szCs w:val="21"/>
                <w:highlight w:val="none"/>
              </w:rPr>
            </w:pPr>
            <w:r>
              <w:rPr>
                <w:rFonts w:hint="eastAsia" w:ascii="黑体" w:hAnsi="黑体" w:eastAsia="黑体" w:cs="黑体"/>
                <w:b/>
                <w:color w:val="auto"/>
                <w:sz w:val="18"/>
                <w:szCs w:val="18"/>
                <w:highlight w:val="none"/>
              </w:rPr>
              <w:t>其他未列明行业*</w:t>
            </w:r>
          </w:p>
        </w:tc>
        <w:tc>
          <w:tcPr>
            <w:tcW w:w="1369" w:type="dxa"/>
            <w:vAlign w:val="center"/>
          </w:tcPr>
          <w:p w14:paraId="2E335AAF">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从业人员(X)</w:t>
            </w:r>
          </w:p>
        </w:tc>
        <w:tc>
          <w:tcPr>
            <w:tcW w:w="709" w:type="dxa"/>
            <w:vAlign w:val="center"/>
          </w:tcPr>
          <w:p w14:paraId="47681AFE">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人</w:t>
            </w:r>
          </w:p>
        </w:tc>
        <w:tc>
          <w:tcPr>
            <w:tcW w:w="1125" w:type="dxa"/>
            <w:vAlign w:val="center"/>
          </w:tcPr>
          <w:p w14:paraId="5E99D151">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X≥300</w:t>
            </w:r>
          </w:p>
        </w:tc>
        <w:tc>
          <w:tcPr>
            <w:tcW w:w="1701" w:type="dxa"/>
            <w:vAlign w:val="center"/>
          </w:tcPr>
          <w:p w14:paraId="1BC25628">
            <w:pPr>
              <w:spacing w:line="240" w:lineRule="exact"/>
              <w:ind w:left="1" w:leftChars="-51" w:hanging="108" w:hangingChars="60"/>
              <w:rPr>
                <w:rFonts w:hint="eastAsia" w:ascii="黑体" w:hAnsi="黑体" w:eastAsia="黑体" w:cs="黑体"/>
                <w:b/>
                <w:color w:val="auto"/>
                <w:sz w:val="18"/>
                <w:szCs w:val="18"/>
                <w:highlight w:val="none"/>
                <w:lang w:eastAsia="zh-CN"/>
              </w:rPr>
            </w:pPr>
            <w:r>
              <w:rPr>
                <w:rFonts w:hint="eastAsia" w:ascii="黑体" w:hAnsi="黑体" w:eastAsia="黑体" w:cs="黑体"/>
                <w:b/>
                <w:color w:val="auto"/>
                <w:sz w:val="18"/>
                <w:szCs w:val="18"/>
                <w:highlight w:val="none"/>
              </w:rPr>
              <w:t>100≤X＜300</w:t>
            </w:r>
          </w:p>
        </w:tc>
        <w:tc>
          <w:tcPr>
            <w:tcW w:w="1426" w:type="dxa"/>
            <w:vAlign w:val="center"/>
          </w:tcPr>
          <w:p w14:paraId="30072FC4">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10≤X＜100</w:t>
            </w:r>
          </w:p>
        </w:tc>
        <w:tc>
          <w:tcPr>
            <w:tcW w:w="992" w:type="dxa"/>
            <w:vAlign w:val="center"/>
          </w:tcPr>
          <w:p w14:paraId="64769135">
            <w:pPr>
              <w:spacing w:line="240" w:lineRule="exact"/>
              <w:rPr>
                <w:rFonts w:hint="eastAsia" w:ascii="黑体" w:hAnsi="黑体" w:eastAsia="黑体" w:cs="黑体"/>
                <w:b/>
                <w:color w:val="auto"/>
                <w:sz w:val="18"/>
                <w:szCs w:val="18"/>
                <w:highlight w:val="none"/>
              </w:rPr>
            </w:pPr>
            <w:r>
              <w:rPr>
                <w:rFonts w:hint="eastAsia" w:ascii="黑体" w:hAnsi="黑体" w:eastAsia="黑体" w:cs="黑体"/>
                <w:b/>
                <w:color w:val="auto"/>
                <w:sz w:val="18"/>
                <w:szCs w:val="18"/>
                <w:highlight w:val="none"/>
              </w:rPr>
              <w:t>X＜10</w:t>
            </w:r>
          </w:p>
        </w:tc>
      </w:tr>
    </w:tbl>
    <w:p w14:paraId="6A65B0E6">
      <w:pPr>
        <w:spacing w:line="400" w:lineRule="exact"/>
        <w:rPr>
          <w:rFonts w:hint="eastAsia" w:ascii="黑体" w:hAnsi="黑体" w:eastAsia="黑体" w:cs="黑体"/>
          <w:color w:val="auto"/>
          <w:spacing w:val="8"/>
          <w:sz w:val="21"/>
          <w:szCs w:val="21"/>
          <w:highlight w:val="none"/>
        </w:rPr>
      </w:pPr>
      <w:r>
        <w:rPr>
          <w:rFonts w:hint="eastAsia" w:ascii="黑体" w:hAnsi="黑体" w:eastAsia="黑体" w:cs="黑体"/>
          <w:color w:val="auto"/>
          <w:spacing w:val="8"/>
          <w:sz w:val="21"/>
          <w:szCs w:val="21"/>
          <w:highlight w:val="none"/>
        </w:rPr>
        <w:t>说明：</w:t>
      </w:r>
    </w:p>
    <w:p w14:paraId="5897FC23">
      <w:pPr>
        <w:spacing w:line="400" w:lineRule="exact"/>
        <w:rPr>
          <w:rFonts w:hint="eastAsia" w:ascii="黑体" w:hAnsi="黑体" w:eastAsia="黑体" w:cs="黑体"/>
          <w:color w:val="auto"/>
          <w:spacing w:val="8"/>
          <w:sz w:val="21"/>
          <w:szCs w:val="21"/>
          <w:highlight w:val="none"/>
        </w:rPr>
      </w:pPr>
      <w:r>
        <w:rPr>
          <w:rFonts w:hint="eastAsia" w:ascii="黑体" w:hAnsi="黑体" w:eastAsia="黑体" w:cs="黑体"/>
          <w:color w:val="auto"/>
          <w:spacing w:val="8"/>
          <w:sz w:val="21"/>
          <w:szCs w:val="21"/>
          <w:highlight w:val="none"/>
        </w:rPr>
        <w:t>　　1.大型、中型和小型企业须同时满足所列指标的下限，否则下划一档；微型企业只须满足所列指标中的一项即可。</w:t>
      </w:r>
    </w:p>
    <w:p w14:paraId="4AF6B804">
      <w:pPr>
        <w:spacing w:line="400" w:lineRule="exact"/>
        <w:ind w:firstLine="452"/>
        <w:rPr>
          <w:rFonts w:hint="eastAsia" w:ascii="黑体" w:hAnsi="黑体" w:eastAsia="黑体" w:cs="黑体"/>
          <w:color w:val="auto"/>
          <w:spacing w:val="8"/>
          <w:sz w:val="21"/>
          <w:szCs w:val="21"/>
          <w:highlight w:val="none"/>
        </w:rPr>
      </w:pPr>
      <w:r>
        <w:rPr>
          <w:rFonts w:hint="eastAsia" w:ascii="黑体" w:hAnsi="黑体" w:eastAsia="黑体" w:cs="黑体"/>
          <w:color w:val="auto"/>
          <w:spacing w:val="8"/>
          <w:sz w:val="21"/>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46AD263">
      <w:pPr>
        <w:spacing w:line="400" w:lineRule="exact"/>
        <w:ind w:firstLine="452"/>
        <w:rPr>
          <w:rFonts w:hint="eastAsia" w:ascii="黑体" w:hAnsi="黑体" w:eastAsia="黑体" w:cs="黑体"/>
          <w:color w:val="auto"/>
          <w:spacing w:val="8"/>
          <w:sz w:val="21"/>
          <w:szCs w:val="21"/>
          <w:highlight w:val="none"/>
        </w:rPr>
      </w:pPr>
      <w:r>
        <w:rPr>
          <w:rFonts w:hint="eastAsia" w:ascii="黑体" w:hAnsi="黑体" w:eastAsia="黑体" w:cs="黑体"/>
          <w:color w:val="auto"/>
          <w:spacing w:val="8"/>
          <w:sz w:val="21"/>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75AFDF1">
      <w:pPr>
        <w:pStyle w:val="3"/>
        <w:outlineLvl w:val="9"/>
        <w:rPr>
          <w:rFonts w:hint="eastAsia" w:ascii="黑体" w:hAnsi="黑体" w:eastAsia="黑体" w:cs="黑体"/>
          <w:color w:val="auto"/>
          <w:highlight w:val="none"/>
        </w:rPr>
        <w:sectPr>
          <w:pgSz w:w="11905" w:h="16838"/>
          <w:pgMar w:top="1417" w:right="1417" w:bottom="1417" w:left="1417" w:header="850" w:footer="850" w:gutter="283"/>
          <w:pgNumType w:fmt="decimal"/>
          <w:cols w:space="0" w:num="1"/>
          <w:rtlGutter w:val="0"/>
          <w:docGrid w:type="lines" w:linePitch="312" w:charSpace="0"/>
        </w:sectPr>
      </w:pPr>
    </w:p>
    <w:p w14:paraId="1BA494F2">
      <w:pPr>
        <w:spacing w:before="120" w:beforeLines="50" w:after="120" w:afterLines="50"/>
        <w:jc w:val="center"/>
        <w:textAlignment w:val="baseline"/>
        <w:rPr>
          <w:rFonts w:hint="eastAsia" w:ascii="黑体" w:hAnsi="黑体" w:eastAsia="黑体" w:cs="黑体"/>
          <w:bCs/>
          <w:color w:val="auto"/>
          <w:sz w:val="24"/>
          <w:szCs w:val="24"/>
          <w:highlight w:val="none"/>
          <w:shd w:val="clear" w:color="auto" w:fill="FFFFFF"/>
        </w:rPr>
      </w:pPr>
      <w:r>
        <w:rPr>
          <w:rFonts w:hint="eastAsia" w:ascii="黑体" w:hAnsi="黑体" w:eastAsia="黑体" w:cs="黑体"/>
          <w:bCs/>
          <w:color w:val="auto"/>
          <w:sz w:val="24"/>
          <w:szCs w:val="24"/>
          <w:highlight w:val="none"/>
          <w:shd w:val="clear" w:color="auto" w:fill="FFFFFF"/>
        </w:rPr>
        <w:t>政府采购促进中小企业发展管理办法</w:t>
      </w:r>
    </w:p>
    <w:p w14:paraId="6D194018">
      <w:pPr>
        <w:spacing w:before="0" w:after="0" w:line="360" w:lineRule="auto"/>
        <w:jc w:val="center"/>
        <w:outlineLvl w:val="9"/>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财库〔2020〕46号</w:t>
      </w:r>
    </w:p>
    <w:p w14:paraId="2A30A094">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第一条为了发挥政府采购的政策功能，促进中小企业健康发展，根据《中华人民共和国政府采购法》、《中华人民共和国中小企业促进法》等有关法律法规，制定本办法。</w:t>
      </w:r>
    </w:p>
    <w:p w14:paraId="7D7B572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条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0D34FEE">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第三条采购人在政府采购活动中应当通过加强采购需求管理，落实预留采购份额、价格评审优惠、优先采购等措施，提高中小企业在政府采购中的份额，支持中小企业发展。</w:t>
      </w:r>
    </w:p>
    <w:p w14:paraId="1F3AA55F">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第四条在政府采购活动中，供应商提供的货物、工程或者服务符合下列情形的，享受本办法规定的中小企业扶持政策：</w:t>
      </w:r>
    </w:p>
    <w:p w14:paraId="3A58161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（一）在货物采购项目中，货物由中小企业制造，即货物由中小企业生产且使用该中小企业商号或者注册商标；</w:t>
      </w:r>
    </w:p>
    <w:p w14:paraId="16BFD0F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（二）在工程采购项目中，工程由中小企业承建，即工程施工单位为中小企业；</w:t>
      </w:r>
    </w:p>
    <w:p w14:paraId="0A808147">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（三）在服务采购项目中，服务由中小企业承接，即提供服务的人员为中小企业依照《中华人民共和国劳动合同法》订立劳动合同的从业人员。</w:t>
      </w:r>
    </w:p>
    <w:p w14:paraId="3D6F6DF0">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在货物采购项目中，供应商提供的货物既有中小企业制造货物，也有大型企业制造货物的，不享受本办法规定的中小企业扶持政策。</w:t>
      </w:r>
    </w:p>
    <w:p w14:paraId="6FA87A7A">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以联合体形式参加政府采购活动，联合体各方均为中小企业的，联合体视同中小企业。其中，联合体各方均为小微企业的，联合体视同小微企业。</w:t>
      </w:r>
    </w:p>
    <w:p w14:paraId="4C5086E8">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五条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3F3AC8BD">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六条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F09EB1B">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符合下列情形之一的，可不专门面向中小企业预留采购份额：</w:t>
      </w:r>
    </w:p>
    <w:p w14:paraId="3381242C">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（一）法律法规和国家有关政策明确规定优先或者应当面向事业单位、社会组织等非企业主体采购的；</w:t>
      </w:r>
    </w:p>
    <w:p w14:paraId="00C8AEF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（二）因确需使用不可替代的专利、专有技术，基础设施限制，或者提供特定公共服务等原因，只能从中小企业之外的供应商处采购的；</w:t>
      </w:r>
    </w:p>
    <w:p w14:paraId="3354663B">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（三）按照本办法规定预留采购份额无法确保充分供应、充分竞争，或者存在可能影响政府采购目标实现的情形；</w:t>
      </w:r>
    </w:p>
    <w:p w14:paraId="4D92652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（四）框架协议采购项目；</w:t>
      </w:r>
    </w:p>
    <w:p w14:paraId="5BCFC0E6">
      <w:pPr>
        <w:pStyle w:val="7"/>
        <w:tabs>
          <w:tab w:val="left" w:pos="2207"/>
        </w:tabs>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（五）省级以上人民政府财政部门规定的其他情形。除上述情形外，其他均为适宜由中小企业提供的情形。</w:t>
      </w:r>
    </w:p>
    <w:p w14:paraId="0D77CF2C">
      <w:pPr>
        <w:pStyle w:val="7"/>
        <w:tabs>
          <w:tab w:val="left" w:pos="2207"/>
        </w:tabs>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第七条采购限额标准以上，200万元以下的货物和服务采购项目、400万元以下的工程采购项目，适宜由中小企业提供的，采购人应当专门面向中小企业采购。</w:t>
      </w:r>
    </w:p>
    <w:p w14:paraId="6A0BC18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八条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38B80040">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（一）将采购项目整体或者设置采购包专门面向中小企业采购；</w:t>
      </w:r>
    </w:p>
    <w:p w14:paraId="34BD3F3A">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（二）要求供应商以联合体形式参加采购活动，且联合体中中小企业承担的部分达到一定比例；</w:t>
      </w:r>
    </w:p>
    <w:p w14:paraId="5346600E">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（三）要求获得采购合同的供应商将采购项目中的一定比例分包给一家或者多家中小企业。</w:t>
      </w:r>
    </w:p>
    <w:p w14:paraId="4F9645EE">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组成联合体或者接受分包合同的中小企业与联合体内其他企业、分包企业之间不得存在直接控股、管理关系。</w:t>
      </w:r>
    </w:p>
    <w:p w14:paraId="643AE78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九条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9A30813">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4F43953B">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30471B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条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FA806B8">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一条中小企业参加政府采购活动，应当出具本办法规定的《中小企业声明函》（附1），否则不得享受相关中小企业扶持政策。任何单位和个人不得要求供应商提供《中小企业声明函》之外的中小企业身份证明文件。</w:t>
      </w:r>
    </w:p>
    <w:p w14:paraId="2106F0E9">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第十二条采购项目涉及中小企业采购的，采购文件应当明确以下内容：</w:t>
      </w:r>
    </w:p>
    <w:p w14:paraId="24D063D8">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（一）预留份额的采购项目或者采购包，明确该项目或相关采购包专门面向中小企业采购，以及相关标的及预算金额；</w:t>
      </w:r>
    </w:p>
    <w:p w14:paraId="1BA73464">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（二）要求以联合体形式参加或者合同分包的，明确联</w:t>
      </w:r>
    </w:p>
    <w:p w14:paraId="07618D68">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合协议或者分包意向协议中中小企业合同金额应当达到的比例，并作为供应商资格条件；</w:t>
      </w:r>
    </w:p>
    <w:p w14:paraId="4077D1C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（三）非预留份额的采购项目或者采购包，明确有关价格扣除比例或者价格分加分比例；</w:t>
      </w:r>
    </w:p>
    <w:p w14:paraId="33FA459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（四）规定依据本办法规定享受扶持政策获得政府采购合同的，小微企业不得将合同分包给大中型企业，中型企业不得将合同分包给大型企业；</w:t>
      </w:r>
    </w:p>
    <w:p w14:paraId="576B216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（五）采购人认为具备相关条件的，明确对中小企业在资金支付期限、预付款比例等方面的优惠措施；</w:t>
      </w:r>
    </w:p>
    <w:p w14:paraId="7875062B">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（六）明确采购标的对应的中小企业划分标准所属行业；</w:t>
      </w:r>
    </w:p>
    <w:p w14:paraId="4EE326DA">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（七）法律法规和省级以上人民政府财政部门规定的其他事项。</w:t>
      </w:r>
    </w:p>
    <w:p w14:paraId="60BB0350">
      <w:pPr>
        <w:pStyle w:val="7"/>
        <w:tabs>
          <w:tab w:val="left" w:pos="2526"/>
        </w:tabs>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第十三条中标、成交供应商享受本办法规定的中小企业扶持政策的，采购人、采购代理机构应当随中标、成交结果公开中标、成交供应商的《中小企业声明函》。</w:t>
      </w:r>
    </w:p>
    <w:p w14:paraId="018221BC">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适用招标投标法的政府采购工程建设项目，应当在公示中标候选人时公开中标候选人的《中小企业声明函》。</w:t>
      </w:r>
    </w:p>
    <w:p w14:paraId="0F58ADA5">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四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10FB3F9">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第十五条鼓励各地区、各部门在采购活动中允许中小企业引入信用担保手段，为中小企业在投标（响应）保证、履约保证等方面提供专业化服务。鼓励中小企业依法合规通过政府采购合同融资。</w:t>
      </w:r>
    </w:p>
    <w:p w14:paraId="222D60B8">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第十六条政府采购监督检查、投诉处理及政府采购行政处罚中对中小企业的认定，由货物制造商或者工程、服务供应商注册登记所在地的县级以上人民政府中小企业主管部门负责。</w:t>
      </w:r>
    </w:p>
    <w:p w14:paraId="70174FD0">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中小企业主管部门应当在收到财政部门或者有关招标投标行政监督部门关于协助开展中小企业认定函后10个工作日内做出书面答复。</w:t>
      </w:r>
    </w:p>
    <w:p w14:paraId="5375ADC8">
      <w:pPr>
        <w:pStyle w:val="7"/>
        <w:tabs>
          <w:tab w:val="left" w:pos="2459"/>
        </w:tabs>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第十七条各地区、各部门应当对涉及中小企业采购的预算项目实施全过程绩效管理，合理设置绩效目标和指标，落实扶持中小企业有关政策要求，定期开展绩效监控和评价，强化绩效评价结果应用。</w:t>
      </w:r>
    </w:p>
    <w:p w14:paraId="116A03AB">
      <w:pPr>
        <w:pStyle w:val="7"/>
        <w:tabs>
          <w:tab w:val="left" w:pos="1880"/>
          <w:tab w:val="left" w:pos="2547"/>
        </w:tabs>
        <w:spacing w:after="0" w:line="340" w:lineRule="exact"/>
        <w:ind w:firstLine="480" w:firstLineChars="200"/>
        <w:rPr>
          <w:rFonts w:hint="eastAsia" w:ascii="黑体" w:hAnsi="黑体" w:eastAsia="黑体" w:cs="黑体"/>
          <w:b w:val="0"/>
          <w:bCs w:val="0"/>
          <w:color w:val="auto"/>
          <w:sz w:val="24"/>
          <w:szCs w:val="24"/>
          <w:highlight w:val="none"/>
          <w:lang w:eastAsia="zh-CN"/>
        </w:rPr>
      </w:pPr>
      <w:r>
        <w:rPr>
          <w:rFonts w:hint="eastAsia" w:ascii="黑体" w:hAnsi="黑体" w:eastAsia="黑体" w:cs="黑体"/>
          <w:b w:val="0"/>
          <w:bCs w:val="0"/>
          <w:color w:val="auto"/>
          <w:sz w:val="24"/>
          <w:szCs w:val="24"/>
          <w:highlight w:val="none"/>
        </w:rPr>
        <w:t>第十八条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8C836A8">
      <w:pPr>
        <w:pStyle w:val="7"/>
        <w:tabs>
          <w:tab w:val="left" w:pos="1880"/>
          <w:tab w:val="left" w:pos="2547"/>
        </w:tabs>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十九条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19FD04B">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第二十条供应商按照本办法规定提供声明函内容不实的，属于提供虚假材料谋取中标、成交，依照《中华人民共和国政府采购法》等国家有关规定追究相应责任。</w:t>
      </w:r>
    </w:p>
    <w:p w14:paraId="5CBF1C6A">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适用招标投标法的政府采购工程建设项目，投标人按照本办法规定提供声明函内容不实的，属于弄虚作假骗取中标，依照《中华人民共和国招标投标法》等国家有关规定追究相应责任。</w:t>
      </w:r>
    </w:p>
    <w:p w14:paraId="53F68D6D">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一条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8F08571">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第二十二条对外援助项目、国家相关资格或者资质管理制度另有规定的项目，不适用本办法。</w:t>
      </w:r>
    </w:p>
    <w:p w14:paraId="71147BC0">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第二十三条关于视同中小企业的其他主体的政府采购扶持政策，由财政部会同有关部门另行规定。</w:t>
      </w:r>
    </w:p>
    <w:p w14:paraId="328663D3">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第二十四条省级财政部门可以会同中小企业主管部门根据本办法的规定制定具体实施办法。</w:t>
      </w:r>
    </w:p>
    <w:p w14:paraId="62747D36">
      <w:pPr>
        <w:pStyle w:val="7"/>
        <w:spacing w:after="0" w:line="340" w:lineRule="exact"/>
        <w:ind w:firstLine="480" w:firstLineChars="200"/>
        <w:rPr>
          <w:rFonts w:hint="eastAsia" w:ascii="黑体" w:hAnsi="黑体" w:eastAsia="黑体" w:cs="黑体"/>
          <w:b w:val="0"/>
          <w:bCs w:val="0"/>
          <w:color w:val="auto"/>
          <w:sz w:val="24"/>
          <w:szCs w:val="24"/>
          <w:highlight w:val="none"/>
        </w:rPr>
      </w:pPr>
      <w:r>
        <w:rPr>
          <w:rFonts w:hint="eastAsia" w:ascii="黑体" w:hAnsi="黑体" w:eastAsia="黑体" w:cs="黑体"/>
          <w:b w:val="0"/>
          <w:bCs w:val="0"/>
          <w:color w:val="auto"/>
          <w:sz w:val="24"/>
          <w:szCs w:val="24"/>
          <w:highlight w:val="none"/>
        </w:rPr>
        <w:t>第二十五条本办法自2021年1月1日起施行。《财政部工业和信息化部关于印发〈政府采购促进中小企业发展暂行办法〉的通知》（财库﹝2011﹞181号）同时废止。</w:t>
      </w:r>
    </w:p>
    <w:p w14:paraId="03047677">
      <w:pPr>
        <w:spacing w:before="120" w:beforeLines="50" w:after="120" w:afterLines="50"/>
        <w:jc w:val="center"/>
        <w:textAlignment w:val="baseline"/>
        <w:rPr>
          <w:rFonts w:hint="eastAsia" w:ascii="黑体" w:hAnsi="黑体" w:eastAsia="黑体" w:cs="黑体"/>
          <w:color w:val="auto"/>
          <w:sz w:val="24"/>
          <w:szCs w:val="24"/>
          <w:highlight w:val="none"/>
          <w:shd w:val="clear" w:color="auto" w:fill="FFFFFF"/>
        </w:rPr>
      </w:pPr>
      <w:r>
        <w:rPr>
          <w:rFonts w:hint="eastAsia" w:ascii="黑体" w:hAnsi="黑体" w:eastAsia="黑体" w:cs="黑体"/>
          <w:b/>
          <w:bCs/>
          <w:color w:val="auto"/>
          <w:sz w:val="24"/>
          <w:szCs w:val="24"/>
          <w:highlight w:val="none"/>
        </w:rPr>
        <w:br w:type="page"/>
      </w:r>
      <w:r>
        <w:rPr>
          <w:rFonts w:hint="eastAsia" w:ascii="黑体" w:hAnsi="黑体" w:eastAsia="黑体" w:cs="黑体"/>
          <w:bCs/>
          <w:color w:val="auto"/>
          <w:sz w:val="24"/>
          <w:szCs w:val="24"/>
          <w:highlight w:val="none"/>
          <w:shd w:val="clear" w:color="auto" w:fill="FFFFFF"/>
        </w:rPr>
        <w:t>财政部司法部关于政府采购支持监狱企业发展有关问题的通知</w:t>
      </w:r>
    </w:p>
    <w:p w14:paraId="7B26841D">
      <w:pPr>
        <w:keepNext w:val="0"/>
        <w:keepLines w:val="0"/>
        <w:spacing w:before="120" w:beforeLines="50" w:after="120" w:afterLines="50" w:line="240" w:lineRule="auto"/>
        <w:jc w:val="center"/>
        <w:textAlignment w:val="baseline"/>
        <w:outlineLvl w:val="9"/>
        <w:rPr>
          <w:rFonts w:hint="eastAsia" w:ascii="黑体" w:hAnsi="黑体" w:eastAsia="黑体" w:cs="黑体"/>
          <w:b w:val="0"/>
          <w:bCs/>
          <w:color w:val="auto"/>
          <w:sz w:val="24"/>
          <w:szCs w:val="24"/>
          <w:highlight w:val="none"/>
        </w:rPr>
      </w:pPr>
      <w:bookmarkStart w:id="64" w:name="_Toc21391"/>
      <w:r>
        <w:rPr>
          <w:rFonts w:hint="eastAsia" w:ascii="黑体" w:hAnsi="黑体" w:eastAsia="黑体" w:cs="黑体"/>
          <w:b w:val="0"/>
          <w:bCs/>
          <w:color w:val="auto"/>
          <w:sz w:val="24"/>
          <w:szCs w:val="24"/>
          <w:highlight w:val="none"/>
          <w:shd w:val="clear" w:color="auto" w:fill="FFFFFF"/>
        </w:rPr>
        <w:t>财库〔2014〕68号</w:t>
      </w:r>
      <w:bookmarkEnd w:id="64"/>
    </w:p>
    <w:p w14:paraId="0B7DC818">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66E279E9">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596D5E0">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C4F38A0">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0D46A6B5">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2D2E2BCE">
      <w:pPr>
        <w:pStyle w:val="15"/>
        <w:spacing w:line="400" w:lineRule="exac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5C025E8D">
      <w:pPr>
        <w:pStyle w:val="15"/>
        <w:spacing w:line="400" w:lineRule="exact"/>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4065F96">
      <w:pPr>
        <w:pStyle w:val="15"/>
        <w:spacing w:line="400" w:lineRule="exact"/>
        <w:jc w:val="righ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中华人民共和国财政部</w:t>
      </w:r>
    </w:p>
    <w:p w14:paraId="090DD20C">
      <w:pPr>
        <w:pStyle w:val="15"/>
        <w:spacing w:line="400" w:lineRule="exact"/>
        <w:jc w:val="right"/>
        <w:textAlignment w:val="baseline"/>
        <w:rPr>
          <w:rFonts w:hint="eastAsia" w:ascii="黑体" w:hAnsi="黑体" w:eastAsia="黑体" w:cs="黑体"/>
          <w:color w:val="auto"/>
          <w:sz w:val="24"/>
          <w:szCs w:val="24"/>
          <w:highlight w:val="none"/>
          <w:shd w:val="clear" w:color="auto" w:fill="FFFFFF"/>
          <w:lang w:eastAsia="zh-CN"/>
        </w:rPr>
      </w:pPr>
      <w:r>
        <w:rPr>
          <w:rFonts w:hint="eastAsia" w:ascii="黑体" w:hAnsi="黑体" w:eastAsia="黑体" w:cs="黑体"/>
          <w:color w:val="auto"/>
          <w:sz w:val="24"/>
          <w:szCs w:val="24"/>
          <w:highlight w:val="none"/>
          <w:shd w:val="clear" w:color="auto" w:fill="FFFFFF"/>
        </w:rPr>
        <w:t>中华人民共和国司法部</w:t>
      </w:r>
    </w:p>
    <w:p w14:paraId="1F17F087">
      <w:pPr>
        <w:pStyle w:val="15"/>
        <w:spacing w:line="400" w:lineRule="exact"/>
        <w:jc w:val="right"/>
        <w:textAlignment w:val="baseline"/>
        <w:rPr>
          <w:rFonts w:hint="eastAsia" w:ascii="黑体" w:hAnsi="黑体" w:eastAsia="黑体" w:cs="黑体"/>
          <w:color w:val="auto"/>
          <w:sz w:val="24"/>
          <w:szCs w:val="24"/>
          <w:highlight w:val="none"/>
          <w:shd w:val="clear" w:color="auto" w:fill="FFFFFF"/>
        </w:rPr>
      </w:pPr>
      <w:r>
        <w:rPr>
          <w:rFonts w:hint="eastAsia" w:ascii="黑体" w:hAnsi="黑体" w:eastAsia="黑体" w:cs="黑体"/>
          <w:color w:val="auto"/>
          <w:sz w:val="24"/>
          <w:szCs w:val="24"/>
          <w:highlight w:val="none"/>
          <w:shd w:val="clear" w:color="auto" w:fill="FFFFFF"/>
        </w:rPr>
        <w:t>2014年6月10日</w:t>
      </w:r>
    </w:p>
    <w:p w14:paraId="1A681587">
      <w:pPr>
        <w:spacing w:before="120" w:beforeLines="50" w:after="120" w:afterLines="50"/>
        <w:jc w:val="center"/>
        <w:textAlignment w:val="baseline"/>
        <w:rPr>
          <w:rFonts w:hint="eastAsia" w:ascii="黑体" w:hAnsi="黑体" w:eastAsia="黑体" w:cs="黑体"/>
          <w:bCs/>
          <w:color w:val="auto"/>
          <w:sz w:val="24"/>
          <w:szCs w:val="24"/>
          <w:highlight w:val="none"/>
          <w:shd w:val="clear" w:color="auto" w:fill="FFFFFF"/>
        </w:rPr>
      </w:pPr>
      <w:r>
        <w:rPr>
          <w:rFonts w:hint="eastAsia" w:ascii="黑体" w:hAnsi="黑体" w:eastAsia="黑体" w:cs="黑体"/>
          <w:color w:val="auto"/>
          <w:sz w:val="24"/>
          <w:szCs w:val="24"/>
          <w:highlight w:val="none"/>
          <w:shd w:val="clear" w:color="auto" w:fill="FFFFFF"/>
        </w:rPr>
        <w:br w:type="page"/>
      </w:r>
      <w:r>
        <w:rPr>
          <w:rFonts w:hint="eastAsia" w:ascii="黑体" w:hAnsi="黑体" w:eastAsia="黑体" w:cs="黑体"/>
          <w:bCs/>
          <w:color w:val="auto"/>
          <w:sz w:val="24"/>
          <w:szCs w:val="24"/>
          <w:highlight w:val="none"/>
          <w:shd w:val="clear" w:color="auto" w:fill="FFFFFF"/>
        </w:rPr>
        <w:t>关于促进残疾人就业政府采购政策的通知</w:t>
      </w:r>
    </w:p>
    <w:p w14:paraId="3AA7730C">
      <w:pPr>
        <w:pStyle w:val="15"/>
        <w:spacing w:before="48" w:beforeLines="20" w:after="48" w:afterLines="20"/>
        <w:jc w:val="center"/>
        <w:textAlignment w:val="baseline"/>
        <w:rPr>
          <w:rFonts w:hint="eastAsia" w:ascii="黑体" w:hAnsi="黑体" w:eastAsia="黑体" w:cs="黑体"/>
          <w:bCs/>
          <w:color w:val="auto"/>
          <w:sz w:val="24"/>
          <w:szCs w:val="24"/>
          <w:highlight w:val="none"/>
        </w:rPr>
      </w:pPr>
      <w:r>
        <w:rPr>
          <w:rStyle w:val="20"/>
          <w:rFonts w:hint="eastAsia" w:ascii="黑体" w:hAnsi="黑体" w:eastAsia="黑体" w:cs="黑体"/>
          <w:bCs w:val="0"/>
          <w:color w:val="auto"/>
          <w:sz w:val="24"/>
          <w:szCs w:val="24"/>
          <w:highlight w:val="none"/>
          <w:shd w:val="clear" w:color="auto" w:fill="FFFFFF"/>
        </w:rPr>
        <w:t>财库〔2017〕141号</w:t>
      </w:r>
    </w:p>
    <w:p w14:paraId="1AD5990A">
      <w:pPr>
        <w:pStyle w:val="15"/>
        <w:spacing w:line="330" w:lineRule="exact"/>
        <w:jc w:val="both"/>
        <w:textAlignment w:val="baseline"/>
        <w:rPr>
          <w:rFonts w:hint="eastAsia" w:ascii="黑体" w:hAnsi="黑体" w:eastAsia="黑体" w:cs="黑体"/>
          <w:color w:val="auto"/>
          <w:sz w:val="24"/>
          <w:szCs w:val="24"/>
          <w:highlight w:val="none"/>
        </w:rPr>
      </w:pPr>
      <w:bookmarkStart w:id="65" w:name="toDeptId"/>
      <w:r>
        <w:rPr>
          <w:rFonts w:hint="eastAsia" w:ascii="黑体" w:hAnsi="黑体" w:eastAsia="黑体" w:cs="黑体"/>
          <w:color w:val="auto"/>
          <w:sz w:val="24"/>
          <w:szCs w:val="24"/>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5"/>
      <w:r>
        <w:rPr>
          <w:rFonts w:hint="eastAsia" w:ascii="黑体" w:hAnsi="黑体" w:eastAsia="黑体" w:cs="黑体"/>
          <w:color w:val="auto"/>
          <w:sz w:val="24"/>
          <w:szCs w:val="24"/>
          <w:highlight w:val="none"/>
          <w:shd w:val="clear" w:color="auto" w:fill="FFFFFF"/>
        </w:rPr>
        <w:t>：</w:t>
      </w:r>
    </w:p>
    <w:p w14:paraId="1B1BB52D">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119A4737">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一、享受政府采购支持政策的残疾人福利性单位应当同时满足以下条件：</w:t>
      </w:r>
    </w:p>
    <w:p w14:paraId="235FFF02">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（一）安置的残疾人占本单位在职职工人数的比例不低于25%（含25%），并且安置的残疾人人数不少于10人（含10人）；</w:t>
      </w:r>
    </w:p>
    <w:p w14:paraId="0170CE79">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（二）依法与安置的每位残疾人签订了一年以上（含一年）的劳动合同或服务协议；</w:t>
      </w:r>
    </w:p>
    <w:p w14:paraId="02D9BE5E">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（三）为安置的每位残疾人按月足额缴纳了基本养老保险、基本医疗保险、失业保险、工伤保险和生育保险等社会保险费；</w:t>
      </w:r>
    </w:p>
    <w:p w14:paraId="509E907E">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（四）通过银行等金融机构向安置的每位残疾人，按月支付了不低于单位所在区县适用的经省级人民政府批准的月最低工资标准的工资；</w:t>
      </w:r>
    </w:p>
    <w:p w14:paraId="20265886">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497DCC41">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83F16B7">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6D2414E">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中标、成交供应商为残疾人福利性单位的，采购人或者其委托的采购代理机构应当随中标、成交结果同时公告其《残疾人福利性单位声明函》，接受社会监督。</w:t>
      </w:r>
    </w:p>
    <w:p w14:paraId="2DB229F9">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供应商提供的《残疾人福利性单位声明函》与事实不符的，依照《政府采购法》第七十七条第一款的规定追究法律责任。</w:t>
      </w:r>
    </w:p>
    <w:p w14:paraId="61E2FF37">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7B1FEA6A">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四、采购人采购公开招标数额标准以上的货物或者服务，因落实促进残疾人就业政策的需要，依法履行有关报批程序后，可采用公开招标以外的采购方式。</w:t>
      </w:r>
    </w:p>
    <w:p w14:paraId="23B4175D">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8BE6606">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EC28A94">
      <w:pPr>
        <w:pStyle w:val="15"/>
        <w:spacing w:line="330" w:lineRule="exact"/>
        <w:jc w:val="both"/>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七、本通知自2017年10月1日起执行。</w:t>
      </w:r>
    </w:p>
    <w:p w14:paraId="1A062ED4">
      <w:pPr>
        <w:pStyle w:val="15"/>
        <w:spacing w:line="330" w:lineRule="exact"/>
        <w:jc w:val="right"/>
        <w:textAlignment w:val="baseline"/>
        <w:rPr>
          <w:rFonts w:hint="eastAsia" w:ascii="黑体" w:hAnsi="黑体" w:eastAsia="黑体" w:cs="黑体"/>
          <w:color w:val="auto"/>
          <w:sz w:val="24"/>
          <w:szCs w:val="24"/>
          <w:highlight w:val="none"/>
        </w:rPr>
      </w:pPr>
      <w:r>
        <w:rPr>
          <w:rFonts w:hint="eastAsia" w:ascii="黑体" w:hAnsi="黑体" w:eastAsia="黑体" w:cs="黑体"/>
          <w:color w:val="auto"/>
          <w:sz w:val="24"/>
          <w:szCs w:val="24"/>
          <w:highlight w:val="none"/>
          <w:shd w:val="clear" w:color="auto" w:fill="FFFFFF"/>
        </w:rPr>
        <w:t>　　财政部民政部中国残疾人联合会</w:t>
      </w:r>
    </w:p>
    <w:p w14:paraId="5169B3D8">
      <w:pPr>
        <w:pStyle w:val="15"/>
        <w:spacing w:line="330" w:lineRule="exact"/>
        <w:jc w:val="right"/>
        <w:textAlignment w:val="baseline"/>
        <w:rPr>
          <w:rFonts w:hint="eastAsia" w:ascii="黑体" w:hAnsi="黑体" w:eastAsia="黑体" w:cs="黑体"/>
          <w:color w:val="auto"/>
          <w:highlight w:val="none"/>
        </w:rPr>
      </w:pPr>
      <w:r>
        <w:rPr>
          <w:rFonts w:hint="eastAsia" w:ascii="黑体" w:hAnsi="黑体" w:eastAsia="黑体" w:cs="黑体"/>
          <w:color w:val="auto"/>
          <w:sz w:val="24"/>
          <w:szCs w:val="24"/>
          <w:highlight w:val="none"/>
          <w:shd w:val="clear" w:color="auto" w:fill="FFFFFF"/>
        </w:rPr>
        <w:t>　　2017年8月22日</w:t>
      </w:r>
    </w:p>
    <w:p w14:paraId="6F13F50B">
      <w:pPr>
        <w:keepNext w:val="0"/>
        <w:keepLines w:val="0"/>
        <w:pageBreakBefore w:val="0"/>
        <w:kinsoku/>
        <w:overflowPunct/>
        <w:autoSpaceDE w:val="0"/>
        <w:autoSpaceDN w:val="0"/>
        <w:bidi w:val="0"/>
        <w:spacing w:before="71" w:line="224" w:lineRule="auto"/>
        <w:jc w:val="center"/>
        <w:outlineLvl w:val="9"/>
        <w:rPr>
          <w:rFonts w:hint="eastAsia" w:ascii="黑体" w:hAnsi="黑体" w:eastAsia="黑体" w:cs="黑体"/>
          <w:color w:val="auto"/>
          <w:spacing w:val="8"/>
          <w:sz w:val="20"/>
          <w:szCs w:val="20"/>
          <w:highlight w:val="none"/>
        </w:rPr>
        <w:sectPr>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0923B2A6">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pPr>
      <w:bookmarkStart w:id="66" w:name="_Toc15487"/>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第四章合同条款及格式</w:t>
      </w:r>
      <w:bookmarkEnd w:id="66"/>
    </w:p>
    <w:p w14:paraId="089E4B7D">
      <w:pPr>
        <w:keepNext w:val="0"/>
        <w:keepLines w:val="0"/>
        <w:pageBreakBefore w:val="0"/>
        <w:kinsoku/>
        <w:overflowPunct/>
        <w:autoSpaceDE w:val="0"/>
        <w:autoSpaceDN w:val="0"/>
        <w:bidi w:val="0"/>
        <w:spacing w:line="456" w:lineRule="auto"/>
        <w:rPr>
          <w:rFonts w:hint="eastAsia" w:ascii="黑体" w:hAnsi="黑体" w:eastAsia="黑体" w:cs="黑体"/>
          <w:color w:val="auto"/>
          <w:sz w:val="21"/>
          <w:highlight w:val="none"/>
        </w:rPr>
      </w:pPr>
    </w:p>
    <w:p w14:paraId="52E0D97E">
      <w:pPr>
        <w:keepNext/>
        <w:keepLines/>
        <w:widowControl w:val="0"/>
        <w:adjustRightInd w:val="0"/>
        <w:snapToGrid w:val="0"/>
        <w:spacing w:before="140" w:after="140" w:line="240" w:lineRule="auto"/>
        <w:jc w:val="left"/>
        <w:outlineLvl w:val="1"/>
        <w:rPr>
          <w:rFonts w:hint="eastAsia" w:ascii="黑体" w:hAnsi="黑体" w:eastAsia="黑体" w:cs="黑体"/>
          <w:b/>
          <w:color w:val="auto"/>
          <w:kern w:val="2"/>
          <w:sz w:val="28"/>
          <w:szCs w:val="28"/>
          <w:highlight w:val="none"/>
          <w:lang w:val="en-US" w:eastAsia="zh-CN" w:bidi="ar-SA"/>
        </w:rPr>
      </w:pPr>
      <w:bookmarkStart w:id="67" w:name="_Toc28119"/>
      <w:bookmarkStart w:id="68" w:name="_Toc17809"/>
      <w:bookmarkStart w:id="69" w:name="_Toc23704_WPSOffice_Level1"/>
      <w:bookmarkStart w:id="70" w:name="_Toc12191"/>
      <w:r>
        <w:rPr>
          <w:rFonts w:hint="eastAsia" w:ascii="黑体" w:hAnsi="黑体" w:eastAsia="黑体" w:cs="黑体"/>
          <w:b/>
          <w:color w:val="auto"/>
          <w:kern w:val="2"/>
          <w:sz w:val="28"/>
          <w:szCs w:val="28"/>
          <w:highlight w:val="none"/>
          <w:lang w:val="en-US" w:eastAsia="zh-CN" w:bidi="ar-SA"/>
        </w:rPr>
        <w:t>合同条款</w:t>
      </w:r>
      <w:bookmarkEnd w:id="67"/>
      <w:bookmarkEnd w:id="68"/>
      <w:bookmarkEnd w:id="69"/>
      <w:bookmarkEnd w:id="70"/>
    </w:p>
    <w:p w14:paraId="3E3C7836">
      <w:pPr>
        <w:widowControl w:val="0"/>
        <w:spacing w:before="319" w:beforeLines="100" w:after="319" w:afterLines="100" w:line="360" w:lineRule="auto"/>
        <w:jc w:val="center"/>
        <w:rPr>
          <w:rFonts w:hint="eastAsia" w:ascii="黑体" w:hAnsi="黑体" w:eastAsia="黑体" w:cs="黑体"/>
          <w:b/>
          <w:color w:val="auto"/>
          <w:kern w:val="2"/>
          <w:sz w:val="36"/>
          <w:szCs w:val="36"/>
          <w:highlight w:val="none"/>
        </w:rPr>
      </w:pPr>
      <w:r>
        <w:rPr>
          <w:rFonts w:hint="eastAsia" w:ascii="黑体" w:hAnsi="黑体" w:eastAsia="黑体" w:cs="黑体"/>
          <w:b/>
          <w:color w:val="auto"/>
          <w:kern w:val="2"/>
          <w:sz w:val="36"/>
          <w:szCs w:val="36"/>
          <w:highlight w:val="none"/>
        </w:rPr>
        <w:t>政府采购合同条款</w:t>
      </w:r>
    </w:p>
    <w:p w14:paraId="2353AC73">
      <w:pPr>
        <w:widowControl w:val="0"/>
        <w:numPr>
          <w:ilvl w:val="0"/>
          <w:numId w:val="2"/>
        </w:numPr>
        <w:spacing w:line="360" w:lineRule="auto"/>
        <w:ind w:left="830" w:hanging="360"/>
        <w:jc w:val="both"/>
        <w:outlineLvl w:val="1"/>
        <w:rPr>
          <w:rFonts w:hint="eastAsia" w:ascii="黑体" w:hAnsi="黑体" w:eastAsia="黑体" w:cs="黑体"/>
          <w:b/>
          <w:color w:val="auto"/>
          <w:kern w:val="2"/>
          <w:sz w:val="21"/>
          <w:szCs w:val="21"/>
          <w:highlight w:val="none"/>
        </w:rPr>
      </w:pPr>
      <w:bookmarkStart w:id="71" w:name="_Toc9783"/>
      <w:r>
        <w:rPr>
          <w:rFonts w:hint="eastAsia" w:ascii="黑体" w:hAnsi="黑体" w:eastAsia="黑体" w:cs="黑体"/>
          <w:b/>
          <w:color w:val="auto"/>
          <w:kern w:val="2"/>
          <w:sz w:val="21"/>
          <w:szCs w:val="21"/>
          <w:highlight w:val="none"/>
        </w:rPr>
        <w:t>术语定义</w:t>
      </w:r>
      <w:bookmarkEnd w:id="71"/>
    </w:p>
    <w:p w14:paraId="0B53D60C">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本政府采购合同下列术语应解释为：</w:t>
      </w:r>
    </w:p>
    <w:p w14:paraId="33ACE28E">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1“政府采购合同”指供需双方依照政府采购程序、按照招标文件、投标文件确定的事项所达成的协议，包括附件、附录和上述文件所提到的构成政府采购合同的所有文件。</w:t>
      </w:r>
    </w:p>
    <w:p w14:paraId="3FAD9D2A">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2“政府采购合同价”指根据合同约定供方在正确地完全履行政府采购合同义务后需方应支付给供方的价格。</w:t>
      </w:r>
    </w:p>
    <w:p w14:paraId="24E6E204">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3“服务”指政府采购合同服务清单（同投标文件中开标一览表及其附表，下同）所约定的服务内容。</w:t>
      </w:r>
    </w:p>
    <w:p w14:paraId="7BA69276">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5“需方”指项目基本内容及要求中所述取得产品和服务的采购单位。</w:t>
      </w:r>
    </w:p>
    <w:p w14:paraId="62CF3A23">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6“供方”指项目基本内容及要求中所述提供产品和服务的中标供应商。</w:t>
      </w:r>
    </w:p>
    <w:p w14:paraId="6CB9E41A">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7“检验”指需方按照政府采购合同约定的标准对供方所提供服务进行的检测和查验。</w:t>
      </w:r>
    </w:p>
    <w:p w14:paraId="41BB71DD">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8“验收书”指采购单位或采购代理机构根据合同履约验收意见书形成反映采购单位和组织验收机构意见的文件。</w:t>
      </w:r>
    </w:p>
    <w:p w14:paraId="43BA98F1">
      <w:pPr>
        <w:widowControl w:val="0"/>
        <w:spacing w:line="360" w:lineRule="auto"/>
        <w:ind w:firstLine="420" w:firstLineChars="200"/>
        <w:jc w:val="both"/>
        <w:outlineLvl w:val="2"/>
        <w:rPr>
          <w:rFonts w:hint="eastAsia" w:ascii="黑体" w:hAnsi="黑体" w:eastAsia="黑体" w:cs="黑体"/>
          <w:b w:val="0"/>
          <w:color w:val="auto"/>
          <w:kern w:val="2"/>
          <w:sz w:val="21"/>
          <w:szCs w:val="21"/>
          <w:highlight w:val="none"/>
        </w:rPr>
      </w:pPr>
      <w:bookmarkStart w:id="72" w:name="_Toc22348"/>
      <w:r>
        <w:rPr>
          <w:rFonts w:hint="eastAsia" w:ascii="黑体" w:hAnsi="黑体" w:eastAsia="黑体" w:cs="黑体"/>
          <w:b w:val="0"/>
          <w:color w:val="auto"/>
          <w:kern w:val="2"/>
          <w:sz w:val="21"/>
          <w:szCs w:val="21"/>
          <w:highlight w:val="none"/>
        </w:rPr>
        <w:t>1.9“天”指日历天数（如无特别说明）。</w:t>
      </w:r>
      <w:bookmarkEnd w:id="72"/>
    </w:p>
    <w:p w14:paraId="1B14EC9E">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10“第三人”是指本政府采购合同双方以外的任何中国境内外的自然人、法人或其它经济组织。</w:t>
      </w:r>
    </w:p>
    <w:p w14:paraId="6F9FBF9B">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11“法律、法规”是指由中国各级政府及有关部门制定的法律、行政法规、地方性法规、规章及其它规范性文件的有关规定。</w:t>
      </w:r>
    </w:p>
    <w:p w14:paraId="79F6B2B4">
      <w:pPr>
        <w:widowControl w:val="0"/>
        <w:spacing w:line="360" w:lineRule="auto"/>
        <w:ind w:firstLine="420" w:firstLineChars="200"/>
        <w:jc w:val="both"/>
        <w:outlineLvl w:val="2"/>
        <w:rPr>
          <w:rFonts w:hint="eastAsia" w:ascii="黑体" w:hAnsi="黑体" w:eastAsia="黑体" w:cs="黑体"/>
          <w:b w:val="0"/>
          <w:color w:val="auto"/>
          <w:kern w:val="2"/>
          <w:sz w:val="21"/>
          <w:szCs w:val="21"/>
          <w:highlight w:val="none"/>
        </w:rPr>
      </w:pPr>
      <w:bookmarkStart w:id="73" w:name="_Toc14110"/>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12“招标文件”指采购人或采购代理机构发布的招标文件。</w:t>
      </w:r>
      <w:bookmarkEnd w:id="73"/>
    </w:p>
    <w:p w14:paraId="5D7BCF45">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w:t>
      </w:r>
      <w:r>
        <w:rPr>
          <w:rFonts w:hint="eastAsia" w:ascii="黑体" w:hAnsi="黑体" w:eastAsia="黑体" w:cs="黑体"/>
          <w:b/>
          <w:color w:val="auto"/>
          <w:kern w:val="2"/>
          <w:sz w:val="21"/>
          <w:szCs w:val="21"/>
          <w:highlight w:val="none"/>
        </w:rPr>
        <w:t>.</w:t>
      </w:r>
      <w:r>
        <w:rPr>
          <w:rFonts w:hint="eastAsia" w:ascii="黑体" w:hAnsi="黑体" w:eastAsia="黑体" w:cs="黑体"/>
          <w:b w:val="0"/>
          <w:color w:val="auto"/>
          <w:kern w:val="2"/>
          <w:sz w:val="21"/>
          <w:szCs w:val="21"/>
          <w:highlight w:val="none"/>
        </w:rPr>
        <w:t>13“投标文件”指供方按照采购代理机构招标文件的要求编制和递交，并最终被评标委员会接受的投标文件。</w:t>
      </w:r>
    </w:p>
    <w:p w14:paraId="7D40AE04">
      <w:pPr>
        <w:widowControl w:val="0"/>
        <w:spacing w:line="360" w:lineRule="auto"/>
        <w:ind w:firstLine="420" w:firstLineChars="199"/>
        <w:jc w:val="both"/>
        <w:outlineLvl w:val="1"/>
        <w:rPr>
          <w:rFonts w:hint="eastAsia" w:ascii="黑体" w:hAnsi="黑体" w:eastAsia="黑体" w:cs="黑体"/>
          <w:b/>
          <w:color w:val="auto"/>
          <w:kern w:val="2"/>
          <w:sz w:val="21"/>
          <w:szCs w:val="21"/>
          <w:highlight w:val="none"/>
        </w:rPr>
      </w:pPr>
      <w:bookmarkStart w:id="74" w:name="_Toc31074"/>
      <w:r>
        <w:rPr>
          <w:rFonts w:hint="eastAsia" w:ascii="黑体" w:hAnsi="黑体" w:eastAsia="黑体" w:cs="黑体"/>
          <w:b/>
          <w:color w:val="auto"/>
          <w:kern w:val="2"/>
          <w:sz w:val="21"/>
          <w:szCs w:val="21"/>
          <w:highlight w:val="none"/>
        </w:rPr>
        <w:t>2.技术规范与服务内容</w:t>
      </w:r>
      <w:bookmarkEnd w:id="74"/>
    </w:p>
    <w:p w14:paraId="797B8456">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2.1投标服务的技术规范应与招标文件规定的技术规范（如果有的话）相一致。若无相应说明，则以国家有关部门最新颁布的相应标准及规范为准。</w:t>
      </w:r>
    </w:p>
    <w:p w14:paraId="3FD88817">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2.2投标服务的服务内容应与招标文件规定服务内容及投标文件中的项目要求及投标响应表一致。</w:t>
      </w:r>
    </w:p>
    <w:p w14:paraId="216014D9">
      <w:pPr>
        <w:widowControl w:val="0"/>
        <w:spacing w:line="360" w:lineRule="auto"/>
        <w:ind w:firstLine="420" w:firstLineChars="199"/>
        <w:jc w:val="both"/>
        <w:outlineLvl w:val="1"/>
        <w:rPr>
          <w:rFonts w:hint="eastAsia" w:ascii="黑体" w:hAnsi="黑体" w:eastAsia="黑体" w:cs="黑体"/>
          <w:b/>
          <w:color w:val="auto"/>
          <w:kern w:val="2"/>
          <w:sz w:val="21"/>
          <w:szCs w:val="21"/>
          <w:highlight w:val="none"/>
        </w:rPr>
      </w:pPr>
      <w:bookmarkStart w:id="75" w:name="_Toc7321"/>
      <w:r>
        <w:rPr>
          <w:rFonts w:hint="eastAsia" w:ascii="黑体" w:hAnsi="黑体" w:eastAsia="黑体" w:cs="黑体"/>
          <w:b/>
          <w:color w:val="auto"/>
          <w:kern w:val="2"/>
          <w:sz w:val="21"/>
          <w:szCs w:val="21"/>
          <w:highlight w:val="none"/>
        </w:rPr>
        <w:t>3.知识产权</w:t>
      </w:r>
      <w:bookmarkEnd w:id="75"/>
    </w:p>
    <w:p w14:paraId="0D64D6CC">
      <w:pPr>
        <w:widowControl w:val="0"/>
        <w:spacing w:line="360" w:lineRule="auto"/>
        <w:ind w:firstLine="411" w:firstLineChars="196"/>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3.1供方应保证需方在使用本政府采购合同项下的服务或其任何一部分时免受第三方提出侵犯其知识产权、商标权或工业设计权的起诉。如果发生此类问题，供方负责交涉、处理并承担由此引起的全部法律及经济责任。</w:t>
      </w:r>
    </w:p>
    <w:p w14:paraId="7D844D28">
      <w:pPr>
        <w:widowControl w:val="0"/>
        <w:spacing w:line="360" w:lineRule="auto"/>
        <w:ind w:firstLine="411" w:firstLineChars="196"/>
        <w:jc w:val="left"/>
        <w:outlineLvl w:val="2"/>
        <w:rPr>
          <w:rFonts w:hint="eastAsia" w:ascii="黑体" w:hAnsi="黑体" w:eastAsia="黑体" w:cs="黑体"/>
          <w:b w:val="0"/>
          <w:color w:val="auto"/>
          <w:kern w:val="2"/>
          <w:sz w:val="21"/>
          <w:szCs w:val="21"/>
          <w:highlight w:val="none"/>
        </w:rPr>
      </w:pPr>
      <w:bookmarkStart w:id="76" w:name="_Toc1886"/>
      <w:r>
        <w:rPr>
          <w:rFonts w:hint="eastAsia" w:ascii="黑体" w:hAnsi="黑体" w:eastAsia="黑体" w:cs="黑体"/>
          <w:b w:val="0"/>
          <w:color w:val="auto"/>
          <w:kern w:val="2"/>
          <w:sz w:val="21"/>
          <w:szCs w:val="21"/>
          <w:highlight w:val="none"/>
        </w:rPr>
        <w:t>3.2供方应保证所供服务符合国家的有关规定。</w:t>
      </w:r>
      <w:bookmarkEnd w:id="76"/>
    </w:p>
    <w:p w14:paraId="01CF58CF">
      <w:pPr>
        <w:widowControl w:val="0"/>
        <w:tabs>
          <w:tab w:val="left" w:pos="360"/>
        </w:tabs>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3.3供方保证，供方依据本政府采购合同提供的服务及相关的软件和技术资料，供方均已得到有关知识产权的权利人的合法授权，如发生涉及到专利权、著作权、商标权等争议，供方负责交涉、处理，并承担由此引起的全部法律及经济责任。</w:t>
      </w:r>
    </w:p>
    <w:p w14:paraId="345B61F8">
      <w:pPr>
        <w:widowControl w:val="0"/>
        <w:spacing w:line="360" w:lineRule="auto"/>
        <w:ind w:firstLine="420" w:firstLineChars="199"/>
        <w:jc w:val="both"/>
        <w:outlineLvl w:val="1"/>
        <w:rPr>
          <w:rFonts w:hint="eastAsia" w:ascii="黑体" w:hAnsi="黑体" w:eastAsia="黑体" w:cs="黑体"/>
          <w:b/>
          <w:color w:val="auto"/>
          <w:kern w:val="2"/>
          <w:sz w:val="21"/>
          <w:szCs w:val="21"/>
          <w:highlight w:val="none"/>
        </w:rPr>
      </w:pPr>
      <w:bookmarkStart w:id="77" w:name="_Toc21121"/>
      <w:r>
        <w:rPr>
          <w:rFonts w:hint="eastAsia" w:ascii="黑体" w:hAnsi="黑体" w:eastAsia="黑体" w:cs="黑体"/>
          <w:b/>
          <w:color w:val="auto"/>
          <w:kern w:val="2"/>
          <w:sz w:val="21"/>
          <w:szCs w:val="21"/>
          <w:highlight w:val="none"/>
        </w:rPr>
        <w:t>4.完成方式</w:t>
      </w:r>
      <w:bookmarkEnd w:id="77"/>
    </w:p>
    <w:p w14:paraId="2C3AE5FC">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供方按照合同约定的时间、地点完成服务。</w:t>
      </w:r>
    </w:p>
    <w:p w14:paraId="1AA9274C">
      <w:pPr>
        <w:widowControl w:val="0"/>
        <w:spacing w:line="360" w:lineRule="auto"/>
        <w:ind w:firstLine="420" w:firstLineChars="199"/>
        <w:jc w:val="both"/>
        <w:outlineLvl w:val="1"/>
        <w:rPr>
          <w:rFonts w:hint="eastAsia" w:ascii="黑体" w:hAnsi="黑体" w:eastAsia="黑体" w:cs="黑体"/>
          <w:b/>
          <w:color w:val="auto"/>
          <w:kern w:val="2"/>
          <w:sz w:val="21"/>
          <w:szCs w:val="21"/>
          <w:highlight w:val="none"/>
        </w:rPr>
      </w:pPr>
      <w:bookmarkStart w:id="78" w:name="_Toc29876"/>
      <w:r>
        <w:rPr>
          <w:rFonts w:hint="eastAsia" w:ascii="黑体" w:hAnsi="黑体" w:eastAsia="黑体" w:cs="黑体"/>
          <w:b/>
          <w:color w:val="auto"/>
          <w:kern w:val="2"/>
          <w:sz w:val="21"/>
          <w:szCs w:val="21"/>
          <w:highlight w:val="none"/>
        </w:rPr>
        <w:t>5.付款</w:t>
      </w:r>
      <w:bookmarkEnd w:id="78"/>
    </w:p>
    <w:p w14:paraId="07DC70F8">
      <w:pPr>
        <w:widowControl w:val="0"/>
        <w:spacing w:line="360" w:lineRule="auto"/>
        <w:ind w:firstLine="417" w:firstLineChars="199"/>
        <w:jc w:val="both"/>
        <w:outlineLvl w:val="2"/>
        <w:rPr>
          <w:rFonts w:hint="eastAsia" w:ascii="黑体" w:hAnsi="黑体" w:eastAsia="黑体" w:cs="黑体"/>
          <w:b w:val="0"/>
          <w:color w:val="auto"/>
          <w:kern w:val="2"/>
          <w:sz w:val="21"/>
          <w:szCs w:val="21"/>
          <w:highlight w:val="none"/>
        </w:rPr>
      </w:pPr>
      <w:bookmarkStart w:id="79" w:name="_Toc20851"/>
      <w:r>
        <w:rPr>
          <w:rFonts w:hint="eastAsia" w:ascii="黑体" w:hAnsi="黑体" w:eastAsia="黑体" w:cs="黑体"/>
          <w:b w:val="0"/>
          <w:color w:val="auto"/>
          <w:kern w:val="2"/>
          <w:sz w:val="21"/>
          <w:szCs w:val="21"/>
          <w:highlight w:val="none"/>
        </w:rPr>
        <w:t>5.1政府采购合同以人民币付款。</w:t>
      </w:r>
      <w:bookmarkEnd w:id="79"/>
    </w:p>
    <w:p w14:paraId="74A30179">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5.2在供方按照政府采购合同的规定履行服务后，需方按照合同约定的方式和条件付款。</w:t>
      </w:r>
    </w:p>
    <w:p w14:paraId="016FF454">
      <w:pPr>
        <w:widowControl w:val="0"/>
        <w:spacing w:line="360" w:lineRule="auto"/>
        <w:ind w:firstLine="422" w:firstLineChars="200"/>
        <w:jc w:val="both"/>
        <w:outlineLvl w:val="1"/>
        <w:rPr>
          <w:rFonts w:hint="eastAsia" w:ascii="黑体" w:hAnsi="黑体" w:eastAsia="黑体" w:cs="黑体"/>
          <w:b/>
          <w:color w:val="auto"/>
          <w:kern w:val="2"/>
          <w:sz w:val="21"/>
          <w:szCs w:val="21"/>
          <w:highlight w:val="none"/>
        </w:rPr>
      </w:pPr>
      <w:bookmarkStart w:id="80" w:name="_Toc18081"/>
      <w:r>
        <w:rPr>
          <w:rFonts w:hint="eastAsia" w:ascii="黑体" w:hAnsi="黑体" w:eastAsia="黑体" w:cs="黑体"/>
          <w:b/>
          <w:color w:val="auto"/>
          <w:kern w:val="2"/>
          <w:sz w:val="21"/>
          <w:szCs w:val="21"/>
          <w:highlight w:val="none"/>
        </w:rPr>
        <w:t>6.服务质量</w:t>
      </w:r>
      <w:bookmarkEnd w:id="80"/>
    </w:p>
    <w:p w14:paraId="7B9E8CF3">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6.1供方应保证政府采购合同项下所供服务是由供方提供的，并完全符合强制性的国家技术质量规范和政府采购合同规定的质量、性能和技术规范等要求。</w:t>
      </w:r>
    </w:p>
    <w:p w14:paraId="5CC07003">
      <w:pPr>
        <w:widowControl w:val="0"/>
        <w:spacing w:line="360" w:lineRule="auto"/>
        <w:ind w:firstLine="420" w:firstLineChars="200"/>
        <w:jc w:val="both"/>
        <w:outlineLvl w:val="2"/>
        <w:rPr>
          <w:rFonts w:hint="eastAsia" w:ascii="黑体" w:hAnsi="黑体" w:eastAsia="黑体" w:cs="黑体"/>
          <w:b w:val="0"/>
          <w:color w:val="auto"/>
          <w:kern w:val="2"/>
          <w:sz w:val="21"/>
          <w:szCs w:val="21"/>
          <w:highlight w:val="none"/>
        </w:rPr>
      </w:pPr>
      <w:bookmarkStart w:id="81" w:name="_Toc1157"/>
      <w:r>
        <w:rPr>
          <w:rFonts w:hint="eastAsia" w:ascii="黑体" w:hAnsi="黑体" w:eastAsia="黑体" w:cs="黑体"/>
          <w:b w:val="0"/>
          <w:color w:val="auto"/>
          <w:kern w:val="2"/>
          <w:sz w:val="21"/>
          <w:szCs w:val="21"/>
          <w:highlight w:val="none"/>
        </w:rPr>
        <w:t>6.2供方提供的服务质量应满足行业一般标准，符合合同约定。</w:t>
      </w:r>
      <w:bookmarkEnd w:id="81"/>
    </w:p>
    <w:p w14:paraId="16D2FDEC">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6.3需方有权对供方的服务质量进行监督，发现服务存在不符合合同标准的情形的，可以要求供方改正服务方式、替换服务人员等补救方式，供方应按需方要求改正，并赔偿需方实际损失。</w:t>
      </w:r>
    </w:p>
    <w:p w14:paraId="16B8CF90">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6.4对于委托开发等最终以产品形式交付需方使用的服务，供方需按照招标文件要求对产品提供售后服务及质量保证，供方投标文件承诺的售后服务及质量保证优于招标文件要求的，以投标文件承诺的售后服务及质量保证为准。</w:t>
      </w:r>
    </w:p>
    <w:p w14:paraId="44A54575">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82" w:name="_Toc29573"/>
      <w:r>
        <w:rPr>
          <w:rFonts w:hint="eastAsia" w:ascii="黑体" w:hAnsi="黑体" w:eastAsia="黑体" w:cs="黑体"/>
          <w:b/>
          <w:color w:val="auto"/>
          <w:kern w:val="2"/>
          <w:sz w:val="21"/>
          <w:szCs w:val="21"/>
          <w:highlight w:val="none"/>
        </w:rPr>
        <w:t>7.技术服务和保修责任</w:t>
      </w:r>
      <w:bookmarkEnd w:id="82"/>
    </w:p>
    <w:p w14:paraId="628BD253">
      <w:pPr>
        <w:widowControl w:val="0"/>
        <w:spacing w:line="360" w:lineRule="auto"/>
        <w:ind w:firstLine="411" w:firstLineChars="196"/>
        <w:jc w:val="both"/>
        <w:outlineLvl w:val="2"/>
        <w:rPr>
          <w:rFonts w:hint="eastAsia" w:ascii="黑体" w:hAnsi="黑体" w:eastAsia="黑体" w:cs="黑体"/>
          <w:b w:val="0"/>
          <w:color w:val="auto"/>
          <w:kern w:val="2"/>
          <w:sz w:val="21"/>
          <w:szCs w:val="21"/>
          <w:highlight w:val="none"/>
        </w:rPr>
      </w:pPr>
      <w:bookmarkStart w:id="83" w:name="_Toc27051"/>
      <w:r>
        <w:rPr>
          <w:rFonts w:hint="eastAsia" w:ascii="黑体" w:hAnsi="黑体" w:eastAsia="黑体" w:cs="黑体"/>
          <w:b w:val="0"/>
          <w:color w:val="auto"/>
          <w:kern w:val="2"/>
          <w:sz w:val="21"/>
          <w:szCs w:val="21"/>
          <w:highlight w:val="none"/>
        </w:rPr>
        <w:t>7.1本条适用于委托开发等最终以产品形式交付需方使用的服务。</w:t>
      </w:r>
      <w:bookmarkEnd w:id="83"/>
    </w:p>
    <w:p w14:paraId="0037300E">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7.2供方对交付的产品的保修期，以招标文件中的规定为准，如果投标文件中的承诺优于招标文件规定，则以投标文件为准。</w:t>
      </w:r>
    </w:p>
    <w:p w14:paraId="24B8CD04">
      <w:pPr>
        <w:widowControl w:val="0"/>
        <w:spacing w:line="360" w:lineRule="auto"/>
        <w:ind w:firstLine="411" w:firstLineChars="196"/>
        <w:jc w:val="both"/>
        <w:outlineLvl w:val="2"/>
        <w:rPr>
          <w:rFonts w:hint="eastAsia" w:ascii="黑体" w:hAnsi="黑体" w:eastAsia="黑体" w:cs="黑体"/>
          <w:b w:val="0"/>
          <w:color w:val="auto"/>
          <w:kern w:val="2"/>
          <w:sz w:val="21"/>
          <w:szCs w:val="21"/>
          <w:highlight w:val="none"/>
        </w:rPr>
      </w:pPr>
      <w:bookmarkStart w:id="84" w:name="_Toc17972"/>
      <w:r>
        <w:rPr>
          <w:rFonts w:hint="eastAsia" w:ascii="黑体" w:hAnsi="黑体" w:eastAsia="黑体" w:cs="黑体"/>
          <w:b w:val="0"/>
          <w:color w:val="auto"/>
          <w:kern w:val="2"/>
          <w:sz w:val="21"/>
          <w:szCs w:val="21"/>
          <w:highlight w:val="none"/>
        </w:rPr>
        <w:t>7.3供方应按如下内容提供售后服务：</w:t>
      </w:r>
      <w:bookmarkEnd w:id="84"/>
    </w:p>
    <w:p w14:paraId="5AE747E8">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7.3.1产品经过试运行期，所有性能指标达到技术规范书的要求时，可按招标文件、投标文件内容进行初验。在试运行期间，由于产品质量等造成某些指标达不到要求，供方须更换或进行修复，试运行期重新计算。</w:t>
      </w:r>
    </w:p>
    <w:p w14:paraId="5504820A">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7.3.2初验后，设备再次经过试运行期，所有性能指标达到技术规范书的要求时，可按合同招标文件、投标文件内容进行下一步验收工作，进行终验。全部达到要求时，有关方按财政部和省财政厅关于履约验收规定签署最终验收文件。</w:t>
      </w:r>
    </w:p>
    <w:p w14:paraId="322230D4">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7.3.3保修期间供方要保修除消耗品以外的所有产品。如果系统、设备等发生故障，供方要调查故障原因并修复直至满足最终验收指标和性能的要求，或者修理、更换整个或部分有缺陷的材料。</w:t>
      </w:r>
    </w:p>
    <w:p w14:paraId="4937B5FA">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7.3.4保修期内，供方提供电话、电子邮件、Web、现场服务等方式的技术支持，对用户的现场服务要求，供方必须按投标文件做出的承诺进行响应。</w:t>
      </w:r>
    </w:p>
    <w:p w14:paraId="554A98D2">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7.3.5保修期内，供方应对出现故障无法修复的产品或无法正常运行的系统，提供替代产品以保证系统的正常工作。</w:t>
      </w:r>
    </w:p>
    <w:p w14:paraId="3EE28F5C">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7.3.6保修期内，供方应投标时的承诺提供相关服务。</w:t>
      </w:r>
    </w:p>
    <w:p w14:paraId="4D6D72CA">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7.3.7供方必须为维修和技术支持所未能解决的问题和故障提供正式的免费升级方案和升级服务。在质保期内，供方有责任解决所提供的投标货物和软件系统的任何问题；在质保期满后，当需要时，供方仍须对因投标货物本身的固有缺陷和瑕疵承担责任。</w:t>
      </w:r>
    </w:p>
    <w:p w14:paraId="1D3A7A00">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7.3.8在保修期结束后，产品寿命期内供方必须继续提供对产品备件、故障处理、软件升级等的服务，不得以任何借口拖延或中断对产品的售后服务，响应时间、取费标准按招标文件、投标文件规定或本合同约定的保修期内的相关标准执行。</w:t>
      </w:r>
    </w:p>
    <w:p w14:paraId="45DC4E8F">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7.3.9如果供方提供货物出现质量问题，经需方通知，供方未按时回应、借故推脱、无理由拒绝需方提出的维修、更换服务请求，或者未按照约定期限履行维修、更换义务，需方有权另行委托第三方进行维修，由此产生的维修和备件费用，由供方承担。需方有权对维修或更换服务以实际发生的费用或按市场价从尚未支付的政府采购合同价款中扣除。如果这些金额不足以补偿，需方有权向供方提出不足部分的赔偿要求。货物经维修或更换后仍无法达到约定质量要求和技术标准，需方有权退货并向供方索赔。</w:t>
      </w:r>
    </w:p>
    <w:p w14:paraId="171E2453">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7.3.10如果供方所提供货物发生质量责任事故，从而导致需方或者第三方发生损失或者需方被第三方索赔或者需方遭受处罚，经质量技术监督部门或其他机构认定事故为货物存在质量问题导致，则应由供方承担由此造成的一切责任，包括但不限于：赔偿需方或第三方直接或者间接的损失，赔偿需方因事故支付给第三方的赔偿金额，赔偿需方因处理事故所花费的合理费用，赔付需方因事故责任产生的罚款或其他费用。本条款在质保期及合同期届满后持续有效。</w:t>
      </w:r>
    </w:p>
    <w:p w14:paraId="73C6CDB8">
      <w:pPr>
        <w:widowControl w:val="0"/>
        <w:spacing w:line="360" w:lineRule="auto"/>
        <w:ind w:firstLine="420" w:firstLineChars="199"/>
        <w:jc w:val="both"/>
        <w:outlineLvl w:val="1"/>
        <w:rPr>
          <w:rFonts w:hint="eastAsia" w:ascii="黑体" w:hAnsi="黑体" w:eastAsia="黑体" w:cs="黑体"/>
          <w:b/>
          <w:color w:val="auto"/>
          <w:kern w:val="2"/>
          <w:sz w:val="21"/>
          <w:szCs w:val="21"/>
          <w:highlight w:val="none"/>
        </w:rPr>
      </w:pPr>
      <w:bookmarkStart w:id="85" w:name="_Toc6748"/>
      <w:r>
        <w:rPr>
          <w:rFonts w:hint="eastAsia" w:ascii="黑体" w:hAnsi="黑体" w:eastAsia="黑体" w:cs="黑体"/>
          <w:b/>
          <w:color w:val="auto"/>
          <w:kern w:val="2"/>
          <w:sz w:val="21"/>
          <w:szCs w:val="21"/>
          <w:highlight w:val="none"/>
        </w:rPr>
        <w:t>8.检验和验收</w:t>
      </w:r>
      <w:bookmarkEnd w:id="85"/>
    </w:p>
    <w:p w14:paraId="24234F68">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8.1完成服务后，需方或采购代理机构（由具体项目决定）应在政府采购合同规定的时间内组织验收，并在“验收书”上签字。“验收书”将作为申请付款文件的一部分。</w:t>
      </w:r>
    </w:p>
    <w:p w14:paraId="6689E362">
      <w:pPr>
        <w:widowControl w:val="0"/>
        <w:spacing w:line="360" w:lineRule="auto"/>
        <w:ind w:firstLine="417" w:firstLineChars="199"/>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8.2对于委托开发等最终以产品形式交付需方使用的服务，保修期自验收书签署之日起计算。</w:t>
      </w:r>
    </w:p>
    <w:p w14:paraId="2E42D7A7">
      <w:pPr>
        <w:widowControl w:val="0"/>
        <w:tabs>
          <w:tab w:val="left" w:pos="360"/>
        </w:tabs>
        <w:spacing w:line="360" w:lineRule="auto"/>
        <w:ind w:firstLine="460" w:firstLineChars="218"/>
        <w:jc w:val="both"/>
        <w:outlineLvl w:val="1"/>
        <w:rPr>
          <w:rFonts w:hint="eastAsia" w:ascii="黑体" w:hAnsi="黑体" w:eastAsia="黑体" w:cs="黑体"/>
          <w:b/>
          <w:color w:val="auto"/>
          <w:kern w:val="2"/>
          <w:sz w:val="21"/>
          <w:szCs w:val="21"/>
          <w:highlight w:val="none"/>
        </w:rPr>
      </w:pPr>
      <w:bookmarkStart w:id="86" w:name="_Toc11405"/>
      <w:r>
        <w:rPr>
          <w:rFonts w:hint="eastAsia" w:ascii="黑体" w:hAnsi="黑体" w:eastAsia="黑体" w:cs="黑体"/>
          <w:b/>
          <w:color w:val="auto"/>
          <w:kern w:val="2"/>
          <w:sz w:val="21"/>
          <w:szCs w:val="21"/>
          <w:highlight w:val="none"/>
        </w:rPr>
        <w:t>9.违约责任</w:t>
      </w:r>
      <w:bookmarkEnd w:id="86"/>
    </w:p>
    <w:p w14:paraId="182641DA">
      <w:pPr>
        <w:widowControl w:val="0"/>
        <w:spacing w:line="360" w:lineRule="auto"/>
        <w:ind w:firstLine="457" w:firstLineChars="218"/>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9.1如果供方未按照政府采购合同规定的要求提供服务；或供方未能履行政府采购合同规定的任何其它义务时，需方有权向供方发出违约通知书，供方应按照需方选择的下列一种或多种方式承担赔偿责任：</w:t>
      </w:r>
    </w:p>
    <w:p w14:paraId="07A6F083">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9.1.1在需方同意延长的期限内提供服务并承担由此给需方造成的一切损失；</w:t>
      </w:r>
    </w:p>
    <w:p w14:paraId="14EDA372">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9.1.2在需方规定的时间内，用符合政府采购合同规定的服务以达到政府采购合同规定的要求，供方应承担由此发生的一切费用和风险。此时，相关服务的期限也应相应延长；</w:t>
      </w:r>
    </w:p>
    <w:p w14:paraId="078D24DB">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9.1.3需方有权部分或全部解除政府采购合同并要求供方赔偿由此造成的损失。此时需方可采取必要的补救措施，相关费用由供方承担。</w:t>
      </w:r>
    </w:p>
    <w:p w14:paraId="4FCA0CC9">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9.2如果供方在收到需方的违约通知书后10日内未作答复也没有按照需方选择的方式承担违约责任，则需方有权从履约保证金（如有）、尚未支付的政府采购合同价款中扣回索赔金额。如果这些金额不足以补偿，需方有权向供方提出不足部分的赔偿要求。</w:t>
      </w:r>
    </w:p>
    <w:p w14:paraId="4D13A472">
      <w:pPr>
        <w:widowControl w:val="0"/>
        <w:spacing w:line="360" w:lineRule="auto"/>
        <w:ind w:firstLine="420" w:firstLineChars="200"/>
        <w:jc w:val="both"/>
        <w:outlineLvl w:val="2"/>
        <w:rPr>
          <w:rFonts w:hint="eastAsia" w:ascii="黑体" w:hAnsi="黑体" w:eastAsia="黑体" w:cs="黑体"/>
          <w:b w:val="0"/>
          <w:color w:val="auto"/>
          <w:kern w:val="2"/>
          <w:sz w:val="21"/>
          <w:szCs w:val="21"/>
          <w:highlight w:val="none"/>
        </w:rPr>
      </w:pPr>
      <w:bookmarkStart w:id="87" w:name="_Toc9774"/>
      <w:r>
        <w:rPr>
          <w:rFonts w:hint="eastAsia" w:ascii="黑体" w:hAnsi="黑体" w:eastAsia="黑体" w:cs="黑体"/>
          <w:b w:val="0"/>
          <w:color w:val="auto"/>
          <w:kern w:val="2"/>
          <w:sz w:val="21"/>
          <w:szCs w:val="21"/>
          <w:highlight w:val="none"/>
        </w:rPr>
        <w:t>9.3延期服务的违约责任</w:t>
      </w:r>
      <w:bookmarkEnd w:id="87"/>
    </w:p>
    <w:p w14:paraId="5A59B07D">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9.3.1除本合同条款第9条规定外，如果供方没有按照政府采购合同规定的时间提供服务，需方可要求供方支付违约金。违约金按照每周未提供服务费用的0.5%计收，但违约金的最高限额为未提供服务的合同价格的5%。一周按7天计算，不足7天按一周计算。如果达到最高限额，需方有权解除政府采购合同。</w:t>
      </w:r>
    </w:p>
    <w:p w14:paraId="3DD4CC08">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8.4以上各项交付的违约金并不影响违约方履行政府采购合同的各项义务。</w:t>
      </w:r>
    </w:p>
    <w:p w14:paraId="6BB08F64">
      <w:pPr>
        <w:widowControl w:val="0"/>
        <w:spacing w:line="360" w:lineRule="auto"/>
        <w:ind w:left="420"/>
        <w:jc w:val="both"/>
        <w:outlineLvl w:val="1"/>
        <w:rPr>
          <w:rFonts w:hint="eastAsia" w:ascii="黑体" w:hAnsi="黑体" w:eastAsia="黑体" w:cs="黑体"/>
          <w:b/>
          <w:color w:val="auto"/>
          <w:kern w:val="2"/>
          <w:sz w:val="21"/>
          <w:szCs w:val="21"/>
          <w:highlight w:val="none"/>
        </w:rPr>
      </w:pPr>
      <w:bookmarkStart w:id="88" w:name="_Toc21534"/>
      <w:r>
        <w:rPr>
          <w:rFonts w:hint="eastAsia" w:ascii="黑体" w:hAnsi="黑体" w:eastAsia="黑体" w:cs="黑体"/>
          <w:b/>
          <w:color w:val="auto"/>
          <w:kern w:val="2"/>
          <w:sz w:val="21"/>
          <w:szCs w:val="21"/>
          <w:highlight w:val="none"/>
        </w:rPr>
        <w:t>10.不可抗力</w:t>
      </w:r>
      <w:bookmarkEnd w:id="88"/>
    </w:p>
    <w:p w14:paraId="29FBD647">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10.1如果供方和需方因不可抗力而导致政府采购合同迟延履行或不能履行政府采购合同义务，不应该承担误期赔偿或不能履行政府采购合同义务的责任。因供方或需方先延误或不能履行政府采购合同而后遇不可抗力的情形除外。</w:t>
      </w:r>
    </w:p>
    <w:p w14:paraId="77A193EC">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10.2本条所述的“不可抗力”系指那些双方无法控制，不可预见的事件，但不包括双方的违约或疏忽。这些事件包括但不限于：战争、严重火灾、洪水、台风、地震。</w:t>
      </w:r>
    </w:p>
    <w:p w14:paraId="3DF75726">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10.3在不可抗力事件发生后，当事方应尽快以书面形式将不可抗力的情况和原因通知对方。双方应尽实际可能继续履行政府采购合同义务，并积极寻求采取合理的方案履行不受不可抗力影响的其它事项。双方应通过友好协商在合理的时间内达成进一步履行合同的协议。</w:t>
      </w:r>
    </w:p>
    <w:p w14:paraId="38CFAD3B">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89" w:name="_Toc14212"/>
      <w:r>
        <w:rPr>
          <w:rFonts w:hint="eastAsia" w:ascii="黑体" w:hAnsi="黑体" w:eastAsia="黑体" w:cs="黑体"/>
          <w:b/>
          <w:color w:val="auto"/>
          <w:kern w:val="2"/>
          <w:sz w:val="21"/>
          <w:szCs w:val="21"/>
          <w:highlight w:val="none"/>
        </w:rPr>
        <w:t>11.争端的解决</w:t>
      </w:r>
      <w:bookmarkEnd w:id="89"/>
    </w:p>
    <w:p w14:paraId="23C20AE0">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11.1需方和供方应通过友好协商，解决在执行本政府采购合同过程中所发生的或与本政府采购合同有关的一切争端。</w:t>
      </w:r>
    </w:p>
    <w:p w14:paraId="605B091E">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11.2如果协商不成，双方中的任何一方可向需方所在地的人民法院提起诉讼。</w:t>
      </w:r>
    </w:p>
    <w:p w14:paraId="24787D63">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11.3因政府采购合同部分履行引发诉讼的，在诉讼期间，除正在进行诉讼的部分外，本政府采购合同的其它部分应继续执行。</w:t>
      </w:r>
    </w:p>
    <w:p w14:paraId="0444937F">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90" w:name="_Toc19617"/>
      <w:r>
        <w:rPr>
          <w:rFonts w:hint="eastAsia" w:ascii="黑体" w:hAnsi="黑体" w:eastAsia="黑体" w:cs="黑体"/>
          <w:b/>
          <w:color w:val="auto"/>
          <w:kern w:val="2"/>
          <w:sz w:val="21"/>
          <w:szCs w:val="21"/>
          <w:highlight w:val="none"/>
        </w:rPr>
        <w:t>12.违约终止政府采购合同</w:t>
      </w:r>
      <w:bookmarkEnd w:id="90"/>
    </w:p>
    <w:p w14:paraId="199B2980">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12.1在需方因供方违约而按政府采购合同约定采取的任何补救措施不起作用的情况下，需方可在下列情况下向供方发出书面通知，提出终止部分或全部政府采购合同。</w:t>
      </w:r>
    </w:p>
    <w:p w14:paraId="2CC6D400">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12.1.1如果供方未能在政府采购合同规定的限期或需方同意延长的限期内提供部分或全部服务；</w:t>
      </w:r>
    </w:p>
    <w:p w14:paraId="3E156E00">
      <w:pPr>
        <w:widowControl w:val="0"/>
        <w:spacing w:line="360" w:lineRule="auto"/>
        <w:ind w:firstLine="411" w:firstLineChars="196"/>
        <w:jc w:val="both"/>
        <w:outlineLvl w:val="2"/>
        <w:rPr>
          <w:rFonts w:hint="eastAsia" w:ascii="黑体" w:hAnsi="黑体" w:eastAsia="黑体" w:cs="黑体"/>
          <w:b w:val="0"/>
          <w:color w:val="auto"/>
          <w:kern w:val="2"/>
          <w:sz w:val="21"/>
          <w:szCs w:val="21"/>
          <w:highlight w:val="none"/>
        </w:rPr>
      </w:pPr>
      <w:bookmarkStart w:id="91" w:name="_Toc31367"/>
      <w:r>
        <w:rPr>
          <w:rFonts w:hint="eastAsia" w:ascii="黑体" w:hAnsi="黑体" w:eastAsia="黑体" w:cs="黑体"/>
          <w:b w:val="0"/>
          <w:color w:val="auto"/>
          <w:kern w:val="2"/>
          <w:sz w:val="21"/>
          <w:szCs w:val="21"/>
          <w:highlight w:val="none"/>
        </w:rPr>
        <w:t>12.1.2如果供方未能履行政府采购合同规定的其它任何义务。</w:t>
      </w:r>
      <w:bookmarkEnd w:id="91"/>
    </w:p>
    <w:p w14:paraId="20C1CF16">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12.1.3未经需方事先书面同意，供方部分转让和分包或全部转让和分包其应履行的政府采购合同义务。</w:t>
      </w:r>
    </w:p>
    <w:p w14:paraId="1CEF99C5">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12.2如果需方根据上述规定，终止了全部或部分政府采购合同，需方可以依其认为适当的条件和方法购买与未履行服务类似的服务，供方应对购买类似服务所超出的那部分费用负责。供方应继续履行政府采购合同中未终止的部分。</w:t>
      </w:r>
    </w:p>
    <w:p w14:paraId="2EDBDC36">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92" w:name="_Toc26512"/>
      <w:r>
        <w:rPr>
          <w:rFonts w:hint="eastAsia" w:ascii="黑体" w:hAnsi="黑体" w:eastAsia="黑体" w:cs="黑体"/>
          <w:b/>
          <w:color w:val="auto"/>
          <w:kern w:val="2"/>
          <w:sz w:val="21"/>
          <w:szCs w:val="21"/>
          <w:highlight w:val="none"/>
        </w:rPr>
        <w:t>13.政府采购法对政府采购合同变更终止的规定</w:t>
      </w:r>
      <w:bookmarkEnd w:id="92"/>
    </w:p>
    <w:p w14:paraId="75F814EC">
      <w:pPr>
        <w:widowControl w:val="0"/>
        <w:spacing w:line="360" w:lineRule="auto"/>
        <w:ind w:firstLine="411" w:firstLineChars="196"/>
        <w:jc w:val="both"/>
        <w:outlineLvl w:val="9"/>
        <w:rPr>
          <w:rFonts w:hint="eastAsia" w:ascii="黑体" w:hAnsi="黑体" w:eastAsia="黑体" w:cs="黑体"/>
          <w:b/>
          <w:color w:val="auto"/>
          <w:kern w:val="2"/>
          <w:sz w:val="21"/>
          <w:szCs w:val="21"/>
          <w:highlight w:val="none"/>
        </w:rPr>
      </w:pPr>
      <w:r>
        <w:rPr>
          <w:rFonts w:hint="eastAsia" w:ascii="黑体" w:hAnsi="黑体" w:eastAsia="黑体" w:cs="黑体"/>
          <w:b w:val="0"/>
          <w:color w:val="auto"/>
          <w:kern w:val="2"/>
          <w:sz w:val="21"/>
          <w:szCs w:val="21"/>
          <w:highlight w:val="none"/>
        </w:rPr>
        <w:t>政府采购合同的双方当事人(指供需双方)不得擅自变更、中止或者终止政府采购合同。政府采购合同继续履行将损害国家利益和社会公共利益的，双方当事人应当变更、中止或者终止政府采购合同。有过错的一方应当承担赔偿责任，双方都有过错的，各自承担相应的责任。</w:t>
      </w:r>
    </w:p>
    <w:p w14:paraId="7E8086D9">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93" w:name="_Toc16634"/>
      <w:r>
        <w:rPr>
          <w:rFonts w:hint="eastAsia" w:ascii="黑体" w:hAnsi="黑体" w:eastAsia="黑体" w:cs="黑体"/>
          <w:b/>
          <w:color w:val="auto"/>
          <w:kern w:val="2"/>
          <w:sz w:val="21"/>
          <w:szCs w:val="21"/>
          <w:highlight w:val="none"/>
        </w:rPr>
        <w:t>14.政府采购合同转让和分包</w:t>
      </w:r>
      <w:bookmarkEnd w:id="93"/>
    </w:p>
    <w:p w14:paraId="50400267">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除招标文件规定,并经需方事先书面同意外，供方不得部分转让和分包或全部转让和分包其应履行的政府采购合同义务。</w:t>
      </w:r>
    </w:p>
    <w:p w14:paraId="37EE566C">
      <w:pPr>
        <w:widowControl w:val="0"/>
        <w:spacing w:line="360" w:lineRule="auto"/>
        <w:ind w:firstLine="413"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color w:val="auto"/>
          <w:kern w:val="2"/>
          <w:sz w:val="21"/>
          <w:szCs w:val="21"/>
          <w:highlight w:val="none"/>
        </w:rPr>
        <w:t>15.适用法律：</w:t>
      </w:r>
      <w:r>
        <w:rPr>
          <w:rFonts w:hint="eastAsia" w:ascii="黑体" w:hAnsi="黑体" w:eastAsia="黑体" w:cs="黑体"/>
          <w:b w:val="0"/>
          <w:color w:val="auto"/>
          <w:kern w:val="2"/>
          <w:sz w:val="21"/>
          <w:szCs w:val="21"/>
          <w:highlight w:val="none"/>
        </w:rPr>
        <w:t>本政府采购合同按照中华人民共和国的现行法律进行解释。</w:t>
      </w:r>
    </w:p>
    <w:p w14:paraId="3A5ADB8C">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94" w:name="_Toc1312"/>
      <w:r>
        <w:rPr>
          <w:rFonts w:hint="eastAsia" w:ascii="黑体" w:hAnsi="黑体" w:eastAsia="黑体" w:cs="黑体"/>
          <w:b/>
          <w:color w:val="auto"/>
          <w:kern w:val="2"/>
          <w:sz w:val="21"/>
          <w:szCs w:val="21"/>
          <w:highlight w:val="none"/>
        </w:rPr>
        <w:t>16.政府采购合同生效</w:t>
      </w:r>
      <w:bookmarkEnd w:id="94"/>
    </w:p>
    <w:p w14:paraId="48D64FC1">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16.1本政府采购合同在供需双方法定代表人或其授权代理人签字和加盖公章后生效。</w:t>
      </w:r>
    </w:p>
    <w:p w14:paraId="0DFE6E95">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lang w:eastAsia="zh-CN"/>
        </w:rPr>
      </w:pPr>
      <w:r>
        <w:rPr>
          <w:rFonts w:hint="eastAsia" w:ascii="黑体" w:hAnsi="黑体" w:eastAsia="黑体" w:cs="黑体"/>
          <w:b w:val="0"/>
          <w:color w:val="auto"/>
          <w:kern w:val="2"/>
          <w:sz w:val="21"/>
          <w:szCs w:val="21"/>
          <w:highlight w:val="none"/>
        </w:rPr>
        <w:t>16.2本政府采购合同一式五份，需方执二份，供方、采购代理机构、财政部门各执一份。</w:t>
      </w:r>
    </w:p>
    <w:p w14:paraId="5D32F544">
      <w:pPr>
        <w:widowControl w:val="0"/>
        <w:spacing w:line="360" w:lineRule="auto"/>
        <w:ind w:firstLine="413" w:firstLineChars="196"/>
        <w:jc w:val="both"/>
        <w:outlineLvl w:val="1"/>
        <w:rPr>
          <w:rFonts w:hint="eastAsia" w:ascii="黑体" w:hAnsi="黑体" w:eastAsia="黑体" w:cs="黑体"/>
          <w:b/>
          <w:color w:val="auto"/>
          <w:kern w:val="2"/>
          <w:sz w:val="21"/>
          <w:szCs w:val="21"/>
          <w:highlight w:val="none"/>
        </w:rPr>
      </w:pPr>
      <w:bookmarkStart w:id="95" w:name="_Toc29104"/>
      <w:r>
        <w:rPr>
          <w:rFonts w:hint="eastAsia" w:ascii="黑体" w:hAnsi="黑体" w:eastAsia="黑体" w:cs="黑体"/>
          <w:b/>
          <w:color w:val="auto"/>
          <w:kern w:val="2"/>
          <w:sz w:val="21"/>
          <w:szCs w:val="21"/>
          <w:highlight w:val="none"/>
        </w:rPr>
        <w:t>17.政府采购合同附件</w:t>
      </w:r>
      <w:bookmarkEnd w:id="95"/>
    </w:p>
    <w:p w14:paraId="59F78E2F">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下列文件构成本政府采购合同不可分割的组成部分，与本政府采购合同具有同等法律效力：</w:t>
      </w:r>
    </w:p>
    <w:p w14:paraId="26F1390F">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17.1招标文件；</w:t>
      </w:r>
    </w:p>
    <w:p w14:paraId="579957BA">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17.2招标文件的更正公告、变更公告；</w:t>
      </w:r>
    </w:p>
    <w:p w14:paraId="1E2A338C">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lang w:eastAsia="zh-CN"/>
        </w:rPr>
      </w:pPr>
      <w:r>
        <w:rPr>
          <w:rFonts w:hint="eastAsia" w:ascii="黑体" w:hAnsi="黑体" w:eastAsia="黑体" w:cs="黑体"/>
          <w:b w:val="0"/>
          <w:color w:val="auto"/>
          <w:kern w:val="2"/>
          <w:sz w:val="21"/>
          <w:szCs w:val="21"/>
          <w:highlight w:val="none"/>
        </w:rPr>
        <w:t>17.3中标供应商提交的投标文件；</w:t>
      </w:r>
    </w:p>
    <w:p w14:paraId="4F0B5C85">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17.4政府采购合同条款；</w:t>
      </w:r>
    </w:p>
    <w:p w14:paraId="2037896A">
      <w:pPr>
        <w:widowControl w:val="0"/>
        <w:spacing w:line="360" w:lineRule="auto"/>
        <w:ind w:firstLine="411" w:firstLineChars="196"/>
        <w:jc w:val="both"/>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17.5中标通知书；</w:t>
      </w:r>
    </w:p>
    <w:p w14:paraId="6C0A0FC7">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17.6政府采购合同的其它附件。</w:t>
      </w:r>
    </w:p>
    <w:p w14:paraId="482837FC">
      <w:pPr>
        <w:widowControl w:val="0"/>
        <w:ind w:firstLine="470" w:firstLineChars="196"/>
        <w:jc w:val="both"/>
        <w:outlineLvl w:val="9"/>
        <w:rPr>
          <w:rFonts w:hint="eastAsia" w:ascii="黑体" w:hAnsi="黑体" w:eastAsia="黑体" w:cs="黑体"/>
          <w:b w:val="0"/>
          <w:color w:val="auto"/>
          <w:kern w:val="2"/>
          <w:sz w:val="24"/>
          <w:szCs w:val="24"/>
          <w:highlight w:val="none"/>
        </w:rPr>
      </w:pPr>
    </w:p>
    <w:p w14:paraId="2486BBDD">
      <w:pPr>
        <w:widowControl w:val="0"/>
        <w:ind w:firstLine="470" w:firstLineChars="196"/>
        <w:jc w:val="both"/>
        <w:rPr>
          <w:rFonts w:hint="eastAsia" w:ascii="黑体" w:hAnsi="黑体" w:eastAsia="黑体" w:cs="黑体"/>
          <w:b w:val="0"/>
          <w:color w:val="auto"/>
          <w:kern w:val="2"/>
          <w:sz w:val="24"/>
          <w:szCs w:val="24"/>
          <w:highlight w:val="none"/>
        </w:rPr>
      </w:pPr>
    </w:p>
    <w:p w14:paraId="14E817B9">
      <w:pPr>
        <w:widowControl w:val="0"/>
        <w:jc w:val="both"/>
        <w:rPr>
          <w:rFonts w:hint="eastAsia" w:ascii="黑体" w:hAnsi="黑体" w:eastAsia="黑体" w:cs="黑体"/>
          <w:b w:val="0"/>
          <w:color w:val="auto"/>
          <w:kern w:val="2"/>
          <w:sz w:val="24"/>
          <w:szCs w:val="24"/>
          <w:highlight w:val="none"/>
        </w:rPr>
      </w:pPr>
      <w:r>
        <w:rPr>
          <w:rFonts w:hint="eastAsia" w:ascii="黑体" w:hAnsi="黑体" w:eastAsia="黑体" w:cs="黑体"/>
          <w:b w:val="0"/>
          <w:color w:val="auto"/>
          <w:kern w:val="2"/>
          <w:sz w:val="24"/>
          <w:szCs w:val="24"/>
          <w:highlight w:val="none"/>
        </w:rPr>
        <w:br w:type="page"/>
      </w:r>
    </w:p>
    <w:p w14:paraId="394D2AE6">
      <w:pPr>
        <w:keepNext/>
        <w:keepLines/>
        <w:widowControl w:val="0"/>
        <w:adjustRightInd w:val="0"/>
        <w:snapToGrid w:val="0"/>
        <w:spacing w:before="140" w:after="140" w:line="240" w:lineRule="auto"/>
        <w:jc w:val="left"/>
        <w:outlineLvl w:val="2"/>
        <w:rPr>
          <w:rFonts w:hint="eastAsia" w:ascii="黑体" w:hAnsi="黑体" w:eastAsia="黑体" w:cs="黑体"/>
          <w:b/>
          <w:color w:val="auto"/>
          <w:kern w:val="2"/>
          <w:sz w:val="28"/>
          <w:szCs w:val="28"/>
          <w:highlight w:val="none"/>
          <w:lang w:val="en-US" w:eastAsia="zh-CN" w:bidi="ar-SA"/>
        </w:rPr>
      </w:pPr>
      <w:bookmarkStart w:id="96" w:name="_Toc31324"/>
      <w:bookmarkStart w:id="97" w:name="_Toc372_WPSOffice_Level1"/>
      <w:bookmarkStart w:id="98" w:name="_Toc3044_WPSOffice_Level1"/>
      <w:bookmarkStart w:id="99" w:name="_Toc7342_WPSOffice_Level1"/>
      <w:bookmarkStart w:id="100" w:name="_Toc17002"/>
      <w:bookmarkStart w:id="101" w:name="_Toc24672"/>
      <w:r>
        <w:rPr>
          <w:rFonts w:hint="eastAsia" w:ascii="黑体" w:hAnsi="黑体" w:eastAsia="黑体" w:cs="黑体"/>
          <w:b/>
          <w:color w:val="auto"/>
          <w:kern w:val="2"/>
          <w:sz w:val="28"/>
          <w:szCs w:val="28"/>
          <w:highlight w:val="none"/>
          <w:lang w:val="en-US" w:eastAsia="zh-CN" w:bidi="ar-SA"/>
        </w:rPr>
        <w:t>合同格式</w:t>
      </w:r>
      <w:bookmarkEnd w:id="96"/>
      <w:bookmarkEnd w:id="97"/>
      <w:bookmarkEnd w:id="98"/>
      <w:bookmarkEnd w:id="99"/>
      <w:bookmarkEnd w:id="100"/>
      <w:bookmarkEnd w:id="101"/>
    </w:p>
    <w:p w14:paraId="438CDAC1">
      <w:pPr>
        <w:widowControl w:val="0"/>
        <w:spacing w:before="319" w:beforeLines="100" w:after="319" w:afterLines="100" w:line="360" w:lineRule="auto"/>
        <w:jc w:val="center"/>
        <w:rPr>
          <w:rFonts w:hint="eastAsia" w:ascii="黑体" w:hAnsi="黑体" w:eastAsia="黑体" w:cs="黑体"/>
          <w:b/>
          <w:color w:val="auto"/>
          <w:kern w:val="2"/>
          <w:sz w:val="36"/>
          <w:szCs w:val="36"/>
          <w:highlight w:val="none"/>
        </w:rPr>
      </w:pPr>
      <w:r>
        <w:rPr>
          <w:rFonts w:hint="eastAsia" w:ascii="黑体" w:hAnsi="黑体" w:eastAsia="黑体" w:cs="黑体"/>
          <w:b/>
          <w:color w:val="auto"/>
          <w:kern w:val="2"/>
          <w:sz w:val="36"/>
          <w:szCs w:val="36"/>
          <w:highlight w:val="none"/>
        </w:rPr>
        <w:t>政府采购合同格式</w:t>
      </w:r>
    </w:p>
    <w:p w14:paraId="7899A2CD">
      <w:pPr>
        <w:widowControl w:val="0"/>
        <w:spacing w:line="360" w:lineRule="auto"/>
        <w:ind w:firstLine="420" w:firstLineChars="200"/>
        <w:jc w:val="left"/>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政府采购合同编号：</w:t>
      </w:r>
    </w:p>
    <w:p w14:paraId="3C8CCE79">
      <w:pPr>
        <w:widowControl w:val="0"/>
        <w:spacing w:line="360" w:lineRule="auto"/>
        <w:ind w:firstLine="420" w:firstLineChars="200"/>
        <w:jc w:val="left"/>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签订地点：</w:t>
      </w:r>
    </w:p>
    <w:p w14:paraId="0959C8AF">
      <w:pPr>
        <w:widowControl w:val="0"/>
        <w:spacing w:line="360" w:lineRule="auto"/>
        <w:ind w:firstLine="640"/>
        <w:jc w:val="left"/>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u w:val="single"/>
        </w:rPr>
        <w:t>(需方名称</w:t>
      </w:r>
      <w:r>
        <w:rPr>
          <w:rFonts w:hint="eastAsia" w:ascii="黑体" w:hAnsi="黑体" w:eastAsia="黑体" w:cs="黑体"/>
          <w:b w:val="0"/>
          <w:color w:val="auto"/>
          <w:kern w:val="2"/>
          <w:sz w:val="21"/>
          <w:szCs w:val="21"/>
          <w:highlight w:val="none"/>
        </w:rPr>
        <w:t>)（以下简称需方）和</w:t>
      </w:r>
      <w:r>
        <w:rPr>
          <w:rFonts w:hint="eastAsia" w:ascii="黑体" w:hAnsi="黑体" w:eastAsia="黑体" w:cs="黑体"/>
          <w:b w:val="0"/>
          <w:color w:val="auto"/>
          <w:kern w:val="2"/>
          <w:sz w:val="21"/>
          <w:szCs w:val="21"/>
          <w:highlight w:val="none"/>
          <w:u w:val="single"/>
        </w:rPr>
        <w:t>(供方名称)</w:t>
      </w:r>
      <w:r>
        <w:rPr>
          <w:rFonts w:hint="eastAsia" w:ascii="黑体" w:hAnsi="黑体" w:eastAsia="黑体" w:cs="黑体"/>
          <w:b w:val="0"/>
          <w:color w:val="auto"/>
          <w:kern w:val="2"/>
          <w:sz w:val="21"/>
          <w:szCs w:val="21"/>
          <w:highlight w:val="none"/>
        </w:rPr>
        <w:t>（以下简称供方）根据《中华人民共和国民法典》和有关法律法规，遵循平等、自愿、公平和诚实信用原则，同意按照下面的条款和条件订立本政府采购合同，共同信守。</w:t>
      </w:r>
    </w:p>
    <w:p w14:paraId="09E17277">
      <w:pPr>
        <w:widowControl w:val="0"/>
        <w:spacing w:line="360" w:lineRule="auto"/>
        <w:jc w:val="left"/>
        <w:outlineLvl w:val="2"/>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w:t>
      </w:r>
      <w:bookmarkStart w:id="102" w:name="_Toc2219"/>
      <w:r>
        <w:rPr>
          <w:rFonts w:hint="eastAsia" w:ascii="黑体" w:hAnsi="黑体" w:eastAsia="黑体" w:cs="黑体"/>
          <w:b/>
          <w:color w:val="auto"/>
          <w:kern w:val="2"/>
          <w:sz w:val="21"/>
          <w:szCs w:val="21"/>
          <w:highlight w:val="none"/>
        </w:rPr>
        <w:t>一、政府采购合同文件</w:t>
      </w:r>
      <w:bookmarkEnd w:id="102"/>
    </w:p>
    <w:p w14:paraId="39FF2CB2">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本政府采购合同所附下列文件是构成本政府采购合同不可分割的部分：</w:t>
      </w:r>
    </w:p>
    <w:p w14:paraId="5F52C658">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1.招标文件（招标文件编号）；</w:t>
      </w:r>
    </w:p>
    <w:p w14:paraId="41177A3C">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2.招标文件的更正公告、变更公告；</w:t>
      </w:r>
    </w:p>
    <w:p w14:paraId="50264748">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3.中标供应商提交的投标文件；</w:t>
      </w:r>
    </w:p>
    <w:p w14:paraId="7420A72B">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4.政府采购合同条款；</w:t>
      </w:r>
    </w:p>
    <w:p w14:paraId="199B0FEC">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5.中标通知书；</w:t>
      </w:r>
    </w:p>
    <w:p w14:paraId="5165A6BF">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6.政府采购合同的其它附件。</w:t>
      </w:r>
    </w:p>
    <w:p w14:paraId="5599D9E1">
      <w:pPr>
        <w:widowControl w:val="0"/>
        <w:spacing w:line="360" w:lineRule="auto"/>
        <w:jc w:val="left"/>
        <w:outlineLvl w:val="2"/>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w:t>
      </w:r>
      <w:bookmarkStart w:id="103" w:name="_Toc22925"/>
      <w:r>
        <w:rPr>
          <w:rFonts w:hint="eastAsia" w:ascii="黑体" w:hAnsi="黑体" w:eastAsia="黑体" w:cs="黑体"/>
          <w:b/>
          <w:color w:val="auto"/>
          <w:kern w:val="2"/>
          <w:sz w:val="21"/>
          <w:szCs w:val="21"/>
          <w:highlight w:val="none"/>
        </w:rPr>
        <w:t>二、政府采购合同范围和条件</w:t>
      </w:r>
      <w:bookmarkEnd w:id="103"/>
    </w:p>
    <w:p w14:paraId="2337AC38">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本政府采购合同的范围和条件与上述政府采购合同文件的规定相一致。</w:t>
      </w:r>
    </w:p>
    <w:p w14:paraId="7B6130D5">
      <w:pPr>
        <w:widowControl w:val="0"/>
        <w:spacing w:line="360" w:lineRule="auto"/>
        <w:jc w:val="left"/>
        <w:outlineLvl w:val="2"/>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w:t>
      </w:r>
      <w:bookmarkStart w:id="104" w:name="_Toc21800"/>
      <w:r>
        <w:rPr>
          <w:rFonts w:hint="eastAsia" w:ascii="黑体" w:hAnsi="黑体" w:eastAsia="黑体" w:cs="黑体"/>
          <w:b/>
          <w:color w:val="auto"/>
          <w:kern w:val="2"/>
          <w:sz w:val="21"/>
          <w:szCs w:val="21"/>
          <w:highlight w:val="none"/>
        </w:rPr>
        <w:t>三、政府采购合同标的</w:t>
      </w:r>
      <w:bookmarkEnd w:id="104"/>
    </w:p>
    <w:p w14:paraId="7F314778">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本政府采购合同的标的为招标文件中所列相关服务。。</w:t>
      </w:r>
    </w:p>
    <w:p w14:paraId="4A1462E5">
      <w:pPr>
        <w:widowControl w:val="0"/>
        <w:spacing w:line="360" w:lineRule="auto"/>
        <w:jc w:val="left"/>
        <w:outlineLvl w:val="2"/>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w:t>
      </w:r>
      <w:bookmarkStart w:id="105" w:name="_Toc19457"/>
      <w:r>
        <w:rPr>
          <w:rFonts w:hint="eastAsia" w:ascii="黑体" w:hAnsi="黑体" w:eastAsia="黑体" w:cs="黑体"/>
          <w:b/>
          <w:color w:val="auto"/>
          <w:kern w:val="2"/>
          <w:sz w:val="21"/>
          <w:szCs w:val="21"/>
          <w:highlight w:val="none"/>
        </w:rPr>
        <w:t>四、政府采购合同金额</w:t>
      </w:r>
      <w:bookmarkEnd w:id="105"/>
    </w:p>
    <w:p w14:paraId="4E7CE23B">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根据上述政府采购合同文件要求，政府采购合同的总金额为人民币</w:t>
      </w:r>
      <w:r>
        <w:rPr>
          <w:rFonts w:hint="eastAsia" w:ascii="黑体" w:hAnsi="黑体" w:eastAsia="黑体" w:cs="黑体"/>
          <w:b w:val="0"/>
          <w:color w:val="auto"/>
          <w:kern w:val="2"/>
          <w:sz w:val="21"/>
          <w:szCs w:val="21"/>
          <w:highlight w:val="none"/>
          <w:u w:val="single"/>
        </w:rPr>
        <w:t>（大写）</w:t>
      </w:r>
      <w:r>
        <w:rPr>
          <w:rFonts w:hint="eastAsia" w:ascii="黑体" w:hAnsi="黑体" w:eastAsia="黑体" w:cs="黑体"/>
          <w:b w:val="0"/>
          <w:color w:val="auto"/>
          <w:kern w:val="2"/>
          <w:sz w:val="21"/>
          <w:szCs w:val="21"/>
          <w:highlight w:val="none"/>
        </w:rPr>
        <w:t>元。</w:t>
      </w:r>
    </w:p>
    <w:p w14:paraId="22D12138">
      <w:pPr>
        <w:widowControl w:val="0"/>
        <w:spacing w:line="360" w:lineRule="auto"/>
        <w:jc w:val="left"/>
        <w:outlineLvl w:val="9"/>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五、付款方式及条件</w:t>
      </w:r>
    </w:p>
    <w:p w14:paraId="3E4B2349">
      <w:pPr>
        <w:widowControl w:val="0"/>
        <w:spacing w:line="360" w:lineRule="auto"/>
        <w:jc w:val="left"/>
        <w:outlineLvl w:val="9"/>
        <w:rPr>
          <w:rFonts w:hint="eastAsia" w:ascii="黑体" w:hAnsi="黑体" w:eastAsia="黑体" w:cs="黑体"/>
          <w:b/>
          <w:color w:val="auto"/>
          <w:kern w:val="2"/>
          <w:sz w:val="21"/>
          <w:szCs w:val="21"/>
          <w:highlight w:val="none"/>
        </w:rPr>
      </w:pPr>
    </w:p>
    <w:p w14:paraId="7676A079">
      <w:pPr>
        <w:widowControl w:val="0"/>
        <w:spacing w:line="360" w:lineRule="auto"/>
        <w:jc w:val="left"/>
        <w:outlineLvl w:val="9"/>
        <w:rPr>
          <w:rFonts w:hint="eastAsia" w:ascii="黑体" w:hAnsi="黑体" w:eastAsia="黑体" w:cs="黑体"/>
          <w:b w:val="0"/>
          <w:color w:val="auto"/>
          <w:kern w:val="2"/>
          <w:sz w:val="21"/>
          <w:szCs w:val="21"/>
          <w:highlight w:val="none"/>
          <w:lang w:eastAsia="zh-CN"/>
        </w:rPr>
      </w:pPr>
      <w:r>
        <w:rPr>
          <w:rFonts w:hint="eastAsia" w:ascii="黑体" w:hAnsi="黑体" w:eastAsia="黑体" w:cs="黑体"/>
          <w:b/>
          <w:color w:val="auto"/>
          <w:kern w:val="2"/>
          <w:sz w:val="21"/>
          <w:szCs w:val="21"/>
          <w:highlight w:val="none"/>
        </w:rPr>
        <w:t>　　六、服务时间和服务地点</w:t>
      </w:r>
    </w:p>
    <w:p w14:paraId="671D3A4C">
      <w:pPr>
        <w:widowControl w:val="0"/>
        <w:spacing w:line="360" w:lineRule="auto"/>
        <w:jc w:val="left"/>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1.服务时间：</w:t>
      </w:r>
    </w:p>
    <w:p w14:paraId="15FBED53">
      <w:pPr>
        <w:widowControl w:val="0"/>
        <w:spacing w:line="360" w:lineRule="auto"/>
        <w:jc w:val="left"/>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2.服务地点：</w:t>
      </w:r>
    </w:p>
    <w:p w14:paraId="05B36FB7">
      <w:pPr>
        <w:widowControl w:val="0"/>
        <w:spacing w:line="360" w:lineRule="auto"/>
        <w:jc w:val="left"/>
        <w:outlineLvl w:val="2"/>
        <w:rPr>
          <w:rFonts w:hint="eastAsia" w:ascii="黑体" w:hAnsi="黑体" w:eastAsia="黑体" w:cs="黑体"/>
          <w:b/>
          <w:color w:val="auto"/>
          <w:kern w:val="2"/>
          <w:sz w:val="21"/>
          <w:szCs w:val="21"/>
          <w:highlight w:val="none"/>
        </w:rPr>
      </w:pPr>
      <w:r>
        <w:rPr>
          <w:rFonts w:hint="eastAsia" w:ascii="黑体" w:hAnsi="黑体" w:eastAsia="黑体" w:cs="黑体"/>
          <w:b/>
          <w:color w:val="auto"/>
          <w:kern w:val="2"/>
          <w:sz w:val="21"/>
          <w:szCs w:val="21"/>
          <w:highlight w:val="none"/>
        </w:rPr>
        <w:t>　　</w:t>
      </w:r>
      <w:bookmarkStart w:id="106" w:name="_Toc28797"/>
      <w:r>
        <w:rPr>
          <w:rFonts w:hint="eastAsia" w:ascii="黑体" w:hAnsi="黑体" w:eastAsia="黑体" w:cs="黑体"/>
          <w:b/>
          <w:color w:val="auto"/>
          <w:kern w:val="2"/>
          <w:sz w:val="21"/>
          <w:szCs w:val="21"/>
          <w:highlight w:val="none"/>
        </w:rPr>
        <w:t>七、验收要求</w:t>
      </w:r>
      <w:bookmarkEnd w:id="106"/>
    </w:p>
    <w:p w14:paraId="1FA944CF">
      <w:pPr>
        <w:widowControl w:val="0"/>
        <w:spacing w:line="360" w:lineRule="auto"/>
        <w:jc w:val="left"/>
        <w:outlineLvl w:val="9"/>
        <w:rPr>
          <w:rFonts w:hint="eastAsia" w:ascii="黑体" w:hAnsi="黑体" w:eastAsia="黑体" w:cs="黑体"/>
          <w:b w:val="0"/>
          <w:color w:val="auto"/>
          <w:kern w:val="2"/>
          <w:sz w:val="21"/>
          <w:szCs w:val="21"/>
          <w:highlight w:val="none"/>
          <w:u w:val="single"/>
        </w:rPr>
      </w:pPr>
      <w:r>
        <w:rPr>
          <w:rFonts w:hint="eastAsia" w:ascii="黑体" w:hAnsi="黑体" w:eastAsia="黑体" w:cs="黑体"/>
          <w:b w:val="0"/>
          <w:color w:val="auto"/>
          <w:kern w:val="2"/>
          <w:sz w:val="21"/>
          <w:szCs w:val="21"/>
          <w:highlight w:val="none"/>
        </w:rPr>
        <w:t>供方完全履行合同义务后，需方或需方的最终用户按照上述政府采购合同文件列明的标准进行验收，验收不合格的，供方需按照第八条的约定承担相应违约责任。</w:t>
      </w:r>
    </w:p>
    <w:p w14:paraId="35419715">
      <w:pPr>
        <w:widowControl w:val="0"/>
        <w:spacing w:line="360" w:lineRule="auto"/>
        <w:jc w:val="left"/>
        <w:outlineLvl w:val="2"/>
        <w:rPr>
          <w:rFonts w:hint="eastAsia" w:ascii="黑体" w:hAnsi="黑体" w:eastAsia="黑体" w:cs="黑体"/>
          <w:b/>
          <w:color w:val="auto"/>
          <w:kern w:val="2"/>
          <w:sz w:val="21"/>
          <w:szCs w:val="21"/>
          <w:highlight w:val="none"/>
        </w:rPr>
      </w:pPr>
      <w:bookmarkStart w:id="107" w:name="_Toc19013"/>
      <w:r>
        <w:rPr>
          <w:rFonts w:hint="eastAsia" w:ascii="黑体" w:hAnsi="黑体" w:eastAsia="黑体" w:cs="黑体"/>
          <w:b/>
          <w:color w:val="auto"/>
          <w:kern w:val="2"/>
          <w:sz w:val="21"/>
          <w:szCs w:val="21"/>
          <w:highlight w:val="none"/>
        </w:rPr>
        <w:t>八、违约责任</w:t>
      </w:r>
      <w:bookmarkEnd w:id="107"/>
    </w:p>
    <w:p w14:paraId="0B83E2CD">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1.供方逾期提供服务的，每逾期一天向需方支付合同金额%的违约金，逾期日的，需方有权单方面解除本协议。</w:t>
      </w:r>
    </w:p>
    <w:p w14:paraId="06658747">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2.供方提供的服务不符合约定的，需方有权向供方书面提出整改意见，供方需无条件整改至符合约定，自需方向供方提出书面意见之日起日内，供方仍未整改或整改后服务仍不符合约定的，需方有权单方面解除本协议。</w:t>
      </w:r>
    </w:p>
    <w:p w14:paraId="58C5A50A">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3.需方逾期付款的，每逾期一天向供方支付逾期金额%的违约金，逾期日的，供方有权单方面解除本协议。</w:t>
      </w:r>
    </w:p>
    <w:p w14:paraId="0F07E88D">
      <w:pPr>
        <w:widowControl w:val="0"/>
        <w:spacing w:line="360" w:lineRule="auto"/>
        <w:jc w:val="left"/>
        <w:outlineLvl w:val="2"/>
        <w:rPr>
          <w:rFonts w:hint="eastAsia" w:ascii="黑体" w:hAnsi="黑体" w:eastAsia="黑体" w:cs="黑体"/>
          <w:b/>
          <w:color w:val="auto"/>
          <w:kern w:val="2"/>
          <w:sz w:val="21"/>
          <w:szCs w:val="21"/>
          <w:highlight w:val="none"/>
        </w:rPr>
      </w:pPr>
      <w:bookmarkStart w:id="108" w:name="_Toc2335"/>
      <w:r>
        <w:rPr>
          <w:rFonts w:hint="eastAsia" w:ascii="黑体" w:hAnsi="黑体" w:eastAsia="黑体" w:cs="黑体"/>
          <w:b/>
          <w:color w:val="auto"/>
          <w:kern w:val="2"/>
          <w:sz w:val="21"/>
          <w:szCs w:val="21"/>
          <w:highlight w:val="none"/>
        </w:rPr>
        <w:t>九、争议解决</w:t>
      </w:r>
      <w:bookmarkEnd w:id="108"/>
    </w:p>
    <w:p w14:paraId="7E5C00F2">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双方因履行本协议而产生的争议，应友好协商解决，协商不成的，任何一方可向需方所在地的人民法院提起诉讼。</w:t>
      </w:r>
    </w:p>
    <w:p w14:paraId="305DC69C">
      <w:pPr>
        <w:widowControl w:val="0"/>
        <w:spacing w:line="360" w:lineRule="auto"/>
        <w:jc w:val="left"/>
        <w:outlineLvl w:val="2"/>
        <w:rPr>
          <w:rFonts w:hint="eastAsia" w:ascii="黑体" w:hAnsi="黑体" w:eastAsia="黑体" w:cs="黑体"/>
          <w:b/>
          <w:color w:val="auto"/>
          <w:kern w:val="2"/>
          <w:sz w:val="21"/>
          <w:szCs w:val="21"/>
          <w:highlight w:val="none"/>
        </w:rPr>
      </w:pPr>
      <w:bookmarkStart w:id="109" w:name="_Toc25001"/>
      <w:r>
        <w:rPr>
          <w:rFonts w:hint="eastAsia" w:ascii="黑体" w:hAnsi="黑体" w:eastAsia="黑体" w:cs="黑体"/>
          <w:b/>
          <w:color w:val="auto"/>
          <w:kern w:val="2"/>
          <w:sz w:val="21"/>
          <w:szCs w:val="21"/>
          <w:highlight w:val="none"/>
        </w:rPr>
        <w:t>十、合同生效</w:t>
      </w:r>
      <w:bookmarkEnd w:id="109"/>
    </w:p>
    <w:p w14:paraId="4DFE7591">
      <w:pPr>
        <w:widowControl w:val="0"/>
        <w:spacing w:line="360" w:lineRule="auto"/>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本政府采购合同经双方授权代表签字盖章后生效。</w:t>
      </w:r>
    </w:p>
    <w:p w14:paraId="55CBD5FE">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需方（公章）:供方(公章):</w:t>
      </w:r>
    </w:p>
    <w:p w14:paraId="225EBC66">
      <w:pPr>
        <w:widowControl w:val="0"/>
        <w:spacing w:line="360" w:lineRule="auto"/>
        <w:ind w:firstLine="420" w:firstLineChars="200"/>
        <w:jc w:val="left"/>
        <w:outlineLvl w:val="9"/>
        <w:rPr>
          <w:rFonts w:hint="eastAsia" w:ascii="黑体" w:hAnsi="黑体" w:eastAsia="黑体" w:cs="黑体"/>
          <w:b w:val="0"/>
          <w:color w:val="auto"/>
          <w:kern w:val="2"/>
          <w:sz w:val="21"/>
          <w:szCs w:val="21"/>
          <w:highlight w:val="none"/>
        </w:rPr>
      </w:pPr>
      <w:r>
        <w:rPr>
          <w:rFonts w:hint="eastAsia" w:ascii="黑体" w:hAnsi="黑体" w:eastAsia="黑体" w:cs="黑体"/>
          <w:b w:val="0"/>
          <w:color w:val="auto"/>
          <w:kern w:val="2"/>
          <w:sz w:val="21"/>
          <w:szCs w:val="21"/>
          <w:highlight w:val="none"/>
        </w:rPr>
        <w:t>法定代表人或授权代表人(签字):法定代表人或授权代表人(签字):</w:t>
      </w:r>
    </w:p>
    <w:p w14:paraId="2781B66F">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地址：地址：</w:t>
      </w:r>
    </w:p>
    <w:p w14:paraId="417AF615">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lang w:eastAsia="zh-CN"/>
        </w:rPr>
      </w:pPr>
      <w:r>
        <w:rPr>
          <w:rFonts w:hint="eastAsia" w:ascii="黑体" w:hAnsi="黑体" w:eastAsia="黑体" w:cs="黑体"/>
          <w:b w:val="0"/>
          <w:color w:val="auto"/>
          <w:kern w:val="2"/>
          <w:sz w:val="21"/>
          <w:szCs w:val="21"/>
          <w:highlight w:val="none"/>
        </w:rPr>
        <w:t>联系人：联系人：</w:t>
      </w:r>
    </w:p>
    <w:p w14:paraId="7C5DD31A">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电话：电话：</w:t>
      </w:r>
    </w:p>
    <w:p w14:paraId="44A3E545">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传真：传真：</w:t>
      </w:r>
    </w:p>
    <w:p w14:paraId="2A3343C6">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u w:val="single"/>
          <w:lang w:eastAsia="zh-CN"/>
        </w:rPr>
      </w:pPr>
      <w:r>
        <w:rPr>
          <w:rFonts w:hint="eastAsia" w:ascii="黑体" w:hAnsi="黑体" w:eastAsia="黑体" w:cs="黑体"/>
          <w:b w:val="0"/>
          <w:color w:val="auto"/>
          <w:kern w:val="2"/>
          <w:sz w:val="21"/>
          <w:szCs w:val="21"/>
          <w:highlight w:val="none"/>
        </w:rPr>
        <w:t>邮编：邮编：</w:t>
      </w:r>
    </w:p>
    <w:p w14:paraId="6BB9BC3C">
      <w:pPr>
        <w:widowControl w:val="0"/>
        <w:spacing w:line="360" w:lineRule="auto"/>
        <w:ind w:firstLine="420" w:firstLineChars="200"/>
        <w:jc w:val="both"/>
        <w:outlineLvl w:val="9"/>
        <w:rPr>
          <w:rFonts w:hint="eastAsia" w:ascii="黑体" w:hAnsi="黑体" w:eastAsia="黑体" w:cs="黑体"/>
          <w:b w:val="0"/>
          <w:color w:val="auto"/>
          <w:kern w:val="2"/>
          <w:sz w:val="21"/>
          <w:szCs w:val="21"/>
          <w:highlight w:val="none"/>
          <w:u w:val="single"/>
        </w:rPr>
      </w:pPr>
      <w:r>
        <w:rPr>
          <w:rFonts w:hint="eastAsia" w:ascii="黑体" w:hAnsi="黑体" w:eastAsia="黑体" w:cs="黑体"/>
          <w:b w:val="0"/>
          <w:color w:val="auto"/>
          <w:kern w:val="2"/>
          <w:sz w:val="21"/>
          <w:szCs w:val="21"/>
          <w:highlight w:val="none"/>
        </w:rPr>
        <w:t>日期：</w:t>
      </w:r>
      <w:r>
        <w:rPr>
          <w:rFonts w:hint="eastAsia" w:ascii="黑体" w:hAnsi="黑体" w:eastAsia="黑体" w:cs="黑体"/>
          <w:b w:val="0"/>
          <w:color w:val="auto"/>
          <w:kern w:val="2"/>
          <w:sz w:val="21"/>
          <w:szCs w:val="21"/>
          <w:highlight w:val="none"/>
          <w:u w:val="single"/>
        </w:rPr>
        <w:t>年月日</w:t>
      </w:r>
      <w:r>
        <w:rPr>
          <w:rFonts w:hint="eastAsia" w:ascii="黑体" w:hAnsi="黑体" w:eastAsia="黑体" w:cs="黑体"/>
          <w:b w:val="0"/>
          <w:color w:val="auto"/>
          <w:kern w:val="2"/>
          <w:sz w:val="21"/>
          <w:szCs w:val="21"/>
          <w:highlight w:val="none"/>
        </w:rPr>
        <w:t>日期：</w:t>
      </w:r>
      <w:r>
        <w:rPr>
          <w:rFonts w:hint="eastAsia" w:ascii="黑体" w:hAnsi="黑体" w:eastAsia="黑体" w:cs="黑体"/>
          <w:b w:val="0"/>
          <w:color w:val="auto"/>
          <w:kern w:val="2"/>
          <w:sz w:val="21"/>
          <w:szCs w:val="21"/>
          <w:highlight w:val="none"/>
          <w:u w:val="single"/>
        </w:rPr>
        <w:t>年月日</w:t>
      </w:r>
    </w:p>
    <w:p w14:paraId="1EFBF3D9">
      <w:pPr>
        <w:widowControl w:val="0"/>
        <w:jc w:val="both"/>
        <w:rPr>
          <w:rFonts w:hint="eastAsia" w:ascii="黑体" w:hAnsi="黑体" w:eastAsia="黑体" w:cs="黑体"/>
          <w:b w:val="0"/>
          <w:color w:val="auto"/>
          <w:kern w:val="2"/>
          <w:sz w:val="21"/>
          <w:szCs w:val="24"/>
          <w:highlight w:val="none"/>
        </w:rPr>
      </w:pPr>
    </w:p>
    <w:p w14:paraId="1E045FD3">
      <w:pPr>
        <w:keepNext w:val="0"/>
        <w:keepLines w:val="0"/>
        <w:pageBreakBefore w:val="0"/>
        <w:kinsoku/>
        <w:overflowPunct/>
        <w:autoSpaceDE w:val="0"/>
        <w:autoSpaceDN w:val="0"/>
        <w:bidi w:val="0"/>
        <w:spacing w:before="101" w:line="225" w:lineRule="auto"/>
        <w:jc w:val="left"/>
        <w:rPr>
          <w:rFonts w:hint="eastAsia" w:ascii="黑体" w:hAnsi="黑体" w:eastAsia="黑体" w:cs="黑体"/>
          <w:color w:val="auto"/>
          <w:sz w:val="31"/>
          <w:szCs w:val="31"/>
          <w:highlight w:val="none"/>
        </w:rPr>
      </w:pPr>
      <w:r>
        <w:rPr>
          <w:rFonts w:hint="eastAsia" w:ascii="黑体" w:hAnsi="黑体" w:eastAsia="黑体" w:cs="黑体"/>
          <w:b w:val="0"/>
          <w:bCs/>
          <w:spacing w:val="12"/>
          <w:kern w:val="0"/>
          <w:sz w:val="21"/>
          <w:szCs w:val="21"/>
          <w:highlight w:val="none"/>
          <w:lang w:val="en-US" w:eastAsia="zh-CN"/>
        </w:rPr>
        <w:t>注：</w:t>
      </w:r>
      <w:r>
        <w:rPr>
          <w:rFonts w:hint="eastAsia" w:ascii="黑体" w:hAnsi="黑体" w:eastAsia="黑体" w:cs="黑体"/>
          <w:b w:val="0"/>
          <w:bCs/>
          <w:spacing w:val="12"/>
          <w:kern w:val="0"/>
          <w:sz w:val="21"/>
          <w:szCs w:val="21"/>
          <w:highlight w:val="none"/>
          <w:lang w:val="zh-CN"/>
        </w:rPr>
        <w:t>合同协议条款由采购人（甲方）与中标人（乙方）结合招标文件、投标文件和本项目具体情况共同协商后签订，</w:t>
      </w:r>
      <w:r>
        <w:rPr>
          <w:rFonts w:hint="eastAsia" w:ascii="黑体" w:hAnsi="黑体" w:eastAsia="黑体" w:cs="黑体"/>
          <w:b w:val="0"/>
          <w:bCs/>
          <w:spacing w:val="12"/>
          <w:kern w:val="0"/>
          <w:sz w:val="21"/>
          <w:szCs w:val="21"/>
          <w:highlight w:val="none"/>
          <w:lang w:val="en-US" w:eastAsia="zh-CN"/>
        </w:rPr>
        <w:t>投标人应响应采购人合理要求并在响应文件内提供针对此条款的承诺书</w:t>
      </w:r>
      <w:r>
        <w:rPr>
          <w:rFonts w:hint="eastAsia" w:ascii="黑体" w:hAnsi="黑体" w:eastAsia="黑体" w:cs="黑体"/>
          <w:b w:val="0"/>
          <w:bCs/>
          <w:spacing w:val="12"/>
          <w:kern w:val="0"/>
          <w:sz w:val="21"/>
          <w:szCs w:val="21"/>
          <w:highlight w:val="none"/>
          <w:lang w:val="zh-CN"/>
        </w:rPr>
        <w:t>。</w:t>
      </w:r>
    </w:p>
    <w:p w14:paraId="168B591F">
      <w:pPr>
        <w:keepNext w:val="0"/>
        <w:keepLines w:val="0"/>
        <w:pageBreakBefore w:val="0"/>
        <w:kinsoku/>
        <w:overflowPunct/>
        <w:autoSpaceDE w:val="0"/>
        <w:autoSpaceDN w:val="0"/>
        <w:bidi w:val="0"/>
        <w:rPr>
          <w:rFonts w:hint="eastAsia" w:ascii="黑体" w:hAnsi="黑体" w:eastAsia="黑体" w:cs="黑体"/>
          <w:color w:val="auto"/>
          <w:highlight w:val="none"/>
        </w:rPr>
        <w:sectPr>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246DA5F6">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pPr>
      <w:bookmarkStart w:id="110" w:name="_Toc27572"/>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第五章</w:t>
      </w:r>
      <w:r>
        <w:rPr>
          <w:rFonts w:hint="eastAsia" w:ascii="黑体" w:hAnsi="黑体" w:eastAsia="黑体" w:cs="黑体"/>
          <w:color w:val="auto"/>
          <w:spacing w:val="8"/>
          <w:sz w:val="31"/>
          <w:szCs w:val="31"/>
          <w:highlight w:val="none"/>
          <w:lang w:val="en-US" w:eastAsia="zh-CN"/>
          <w14:textOutline w14:w="5793" w14:cap="sq" w14:cmpd="sng">
            <w14:solidFill>
              <w14:srgbClr w14:val="000000"/>
            </w14:solidFill>
            <w14:prstDash w14:val="solid"/>
            <w14:bevel/>
          </w14:textOutline>
        </w:rPr>
        <w:t xml:space="preserve"> </w:t>
      </w:r>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采购需求</w:t>
      </w:r>
      <w:bookmarkEnd w:id="110"/>
      <w:bookmarkStart w:id="187" w:name="_GoBack"/>
      <w:bookmarkEnd w:id="187"/>
    </w:p>
    <w:p w14:paraId="783286AC">
      <w:pPr>
        <w:keepNext w:val="0"/>
        <w:keepLines w:val="0"/>
        <w:pageBreakBefore w:val="0"/>
        <w:kinsoku/>
        <w:overflowPunct/>
        <w:autoSpaceDE w:val="0"/>
        <w:autoSpaceDN w:val="0"/>
        <w:bidi w:val="0"/>
        <w:spacing w:line="248" w:lineRule="auto"/>
        <w:rPr>
          <w:rFonts w:hint="eastAsia" w:ascii="黑体" w:hAnsi="黑体" w:eastAsia="黑体" w:cs="黑体"/>
          <w:color w:val="auto"/>
          <w:sz w:val="24"/>
          <w:szCs w:val="24"/>
          <w:highlight w:val="none"/>
        </w:rPr>
      </w:pPr>
    </w:p>
    <w:p w14:paraId="66D6C374">
      <w:pPr>
        <w:keepNext w:val="0"/>
        <w:keepLines w:val="0"/>
        <w:pageBreakBefore w:val="0"/>
        <w:kinsoku/>
        <w:overflowPunct/>
        <w:autoSpaceDE w:val="0"/>
        <w:autoSpaceDN w:val="0"/>
        <w:bidi w:val="0"/>
        <w:spacing w:line="249" w:lineRule="auto"/>
        <w:rPr>
          <w:rFonts w:hint="eastAsia" w:ascii="黑体" w:hAnsi="黑体" w:eastAsia="黑体" w:cs="黑体"/>
          <w:color w:val="auto"/>
          <w:sz w:val="24"/>
          <w:szCs w:val="24"/>
          <w:highlight w:val="none"/>
        </w:rPr>
      </w:pPr>
    </w:p>
    <w:p w14:paraId="5E0DCFCF">
      <w:pPr>
        <w:pStyle w:val="2"/>
        <w:bidi w:val="0"/>
        <w:spacing w:line="240" w:lineRule="auto"/>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（一）采购内容</w:t>
      </w:r>
    </w:p>
    <w:tbl>
      <w:tblPr>
        <w:tblStyle w:val="17"/>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8"/>
        <w:gridCol w:w="5187"/>
        <w:gridCol w:w="1283"/>
        <w:gridCol w:w="1546"/>
      </w:tblGrid>
      <w:tr w14:paraId="1C637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37D85C">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序号</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456B3">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项目</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B9D1F">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数量</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C18BE">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单位</w:t>
            </w:r>
          </w:p>
        </w:tc>
      </w:tr>
      <w:tr w14:paraId="54207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D78CFD">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一</w:t>
            </w:r>
          </w:p>
        </w:tc>
        <w:tc>
          <w:tcPr>
            <w:tcW w:w="431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E980284">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数据和数据成果类</w:t>
            </w:r>
          </w:p>
        </w:tc>
      </w:tr>
      <w:tr w14:paraId="39B0E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auto" w:sz="4" w:space="0"/>
              <w:right w:val="single" w:color="000000" w:sz="4" w:space="0"/>
            </w:tcBorders>
            <w:shd w:val="clear" w:color="auto" w:fill="auto"/>
            <w:vAlign w:val="center"/>
          </w:tcPr>
          <w:p w14:paraId="2F8B591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1</w:t>
            </w:r>
          </w:p>
        </w:tc>
        <w:tc>
          <w:tcPr>
            <w:tcW w:w="2793" w:type="pct"/>
            <w:tcBorders>
              <w:top w:val="single" w:color="000000" w:sz="4" w:space="0"/>
              <w:left w:val="single" w:color="000000" w:sz="4" w:space="0"/>
              <w:bottom w:val="single" w:color="auto" w:sz="4" w:space="0"/>
              <w:right w:val="single" w:color="000000" w:sz="4" w:space="0"/>
            </w:tcBorders>
            <w:shd w:val="clear" w:color="auto" w:fill="auto"/>
            <w:vAlign w:val="center"/>
          </w:tcPr>
          <w:p w14:paraId="40B81DC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基础数据库</w:t>
            </w:r>
          </w:p>
        </w:tc>
        <w:tc>
          <w:tcPr>
            <w:tcW w:w="691" w:type="pct"/>
            <w:tcBorders>
              <w:top w:val="single" w:color="000000" w:sz="4" w:space="0"/>
              <w:left w:val="single" w:color="000000" w:sz="4" w:space="0"/>
              <w:bottom w:val="single" w:color="auto" w:sz="4" w:space="0"/>
              <w:right w:val="single" w:color="000000" w:sz="4" w:space="0"/>
            </w:tcBorders>
            <w:shd w:val="clear" w:color="auto" w:fill="auto"/>
            <w:vAlign w:val="center"/>
          </w:tcPr>
          <w:p w14:paraId="230D979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auto" w:sz="4" w:space="0"/>
              <w:right w:val="single" w:color="000000" w:sz="4" w:space="0"/>
            </w:tcBorders>
            <w:shd w:val="clear" w:color="auto" w:fill="auto"/>
            <w:vAlign w:val="center"/>
          </w:tcPr>
          <w:p w14:paraId="6D6B07B0">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套</w:t>
            </w:r>
          </w:p>
        </w:tc>
      </w:tr>
      <w:tr w14:paraId="30D76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auto" w:sz="4" w:space="0"/>
              <w:right w:val="single" w:color="000000" w:sz="4" w:space="0"/>
            </w:tcBorders>
            <w:shd w:val="clear" w:color="auto" w:fill="auto"/>
            <w:vAlign w:val="center"/>
          </w:tcPr>
          <w:p w14:paraId="091CEDE9">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二</w:t>
            </w:r>
          </w:p>
        </w:tc>
        <w:tc>
          <w:tcPr>
            <w:tcW w:w="4316" w:type="pct"/>
            <w:gridSpan w:val="3"/>
            <w:tcBorders>
              <w:top w:val="single" w:color="000000" w:sz="4" w:space="0"/>
              <w:left w:val="single" w:color="000000" w:sz="4" w:space="0"/>
              <w:bottom w:val="single" w:color="auto" w:sz="4" w:space="0"/>
              <w:right w:val="single" w:color="000000" w:sz="4" w:space="0"/>
            </w:tcBorders>
            <w:shd w:val="clear" w:color="auto" w:fill="auto"/>
            <w:vAlign w:val="center"/>
          </w:tcPr>
          <w:p w14:paraId="5392F496">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土壤类型图系列图件</w:t>
            </w:r>
          </w:p>
        </w:tc>
      </w:tr>
      <w:tr w14:paraId="76B25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3D83FA4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w:t>
            </w:r>
          </w:p>
        </w:tc>
        <w:tc>
          <w:tcPr>
            <w:tcW w:w="2793" w:type="pct"/>
            <w:tcBorders>
              <w:top w:val="single" w:color="auto" w:sz="4" w:space="0"/>
              <w:left w:val="single" w:color="auto" w:sz="4" w:space="0"/>
              <w:bottom w:val="single" w:color="auto" w:sz="4" w:space="0"/>
              <w:right w:val="single" w:color="auto" w:sz="4" w:space="0"/>
            </w:tcBorders>
            <w:shd w:val="clear" w:color="auto" w:fill="auto"/>
            <w:vAlign w:val="center"/>
          </w:tcPr>
          <w:p w14:paraId="6A11CF50">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三普工作底图</w:t>
            </w:r>
          </w:p>
        </w:tc>
        <w:tc>
          <w:tcPr>
            <w:tcW w:w="691" w:type="pct"/>
            <w:tcBorders>
              <w:top w:val="single" w:color="auto" w:sz="4" w:space="0"/>
              <w:left w:val="single" w:color="auto" w:sz="4" w:space="0"/>
              <w:bottom w:val="single" w:color="auto" w:sz="4" w:space="0"/>
              <w:right w:val="single" w:color="auto" w:sz="4" w:space="0"/>
            </w:tcBorders>
            <w:shd w:val="clear" w:color="auto" w:fill="auto"/>
            <w:vAlign w:val="center"/>
          </w:tcPr>
          <w:p w14:paraId="45F7842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auto" w:sz="4" w:space="0"/>
              <w:left w:val="single" w:color="auto" w:sz="4" w:space="0"/>
              <w:bottom w:val="single" w:color="auto" w:sz="4" w:space="0"/>
              <w:right w:val="single" w:color="auto" w:sz="4" w:space="0"/>
            </w:tcBorders>
            <w:shd w:val="clear" w:color="auto" w:fill="auto"/>
            <w:vAlign w:val="center"/>
          </w:tcPr>
          <w:p w14:paraId="0D9B2FE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159C8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2B7447E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2</w:t>
            </w:r>
          </w:p>
        </w:tc>
        <w:tc>
          <w:tcPr>
            <w:tcW w:w="2793" w:type="pct"/>
            <w:tcBorders>
              <w:top w:val="single" w:color="auto" w:sz="4" w:space="0"/>
              <w:left w:val="single" w:color="auto" w:sz="4" w:space="0"/>
              <w:bottom w:val="single" w:color="auto" w:sz="4" w:space="0"/>
              <w:right w:val="single" w:color="auto" w:sz="4" w:space="0"/>
            </w:tcBorders>
            <w:shd w:val="clear" w:color="auto" w:fill="auto"/>
            <w:vAlign w:val="center"/>
          </w:tcPr>
          <w:p w14:paraId="52F8846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点位图</w:t>
            </w:r>
          </w:p>
        </w:tc>
        <w:tc>
          <w:tcPr>
            <w:tcW w:w="691" w:type="pct"/>
            <w:tcBorders>
              <w:top w:val="single" w:color="auto" w:sz="4" w:space="0"/>
              <w:left w:val="single" w:color="auto" w:sz="4" w:space="0"/>
              <w:bottom w:val="single" w:color="auto" w:sz="4" w:space="0"/>
              <w:right w:val="single" w:color="auto" w:sz="4" w:space="0"/>
            </w:tcBorders>
            <w:shd w:val="clear" w:color="auto" w:fill="auto"/>
            <w:vAlign w:val="center"/>
          </w:tcPr>
          <w:p w14:paraId="2323784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auto" w:sz="4" w:space="0"/>
              <w:left w:val="single" w:color="auto" w:sz="4" w:space="0"/>
              <w:bottom w:val="single" w:color="auto" w:sz="4" w:space="0"/>
              <w:right w:val="single" w:color="auto" w:sz="4" w:space="0"/>
            </w:tcBorders>
            <w:shd w:val="clear" w:color="auto" w:fill="auto"/>
            <w:vAlign w:val="center"/>
          </w:tcPr>
          <w:p w14:paraId="333AF51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2FDF0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2092E77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3</w:t>
            </w:r>
          </w:p>
        </w:tc>
        <w:tc>
          <w:tcPr>
            <w:tcW w:w="2793" w:type="pct"/>
            <w:tcBorders>
              <w:top w:val="single" w:color="auto" w:sz="4" w:space="0"/>
              <w:left w:val="single" w:color="auto" w:sz="4" w:space="0"/>
              <w:bottom w:val="single" w:color="auto" w:sz="4" w:space="0"/>
              <w:right w:val="single" w:color="auto" w:sz="4" w:space="0"/>
            </w:tcBorders>
            <w:shd w:val="clear" w:color="auto" w:fill="auto"/>
            <w:vAlign w:val="center"/>
          </w:tcPr>
          <w:p w14:paraId="5342C5A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土壤类型汇总</w:t>
            </w:r>
          </w:p>
        </w:tc>
        <w:tc>
          <w:tcPr>
            <w:tcW w:w="691" w:type="pct"/>
            <w:tcBorders>
              <w:top w:val="single" w:color="auto" w:sz="4" w:space="0"/>
              <w:left w:val="single" w:color="auto" w:sz="4" w:space="0"/>
              <w:bottom w:val="single" w:color="auto" w:sz="4" w:space="0"/>
              <w:right w:val="single" w:color="auto" w:sz="4" w:space="0"/>
            </w:tcBorders>
            <w:shd w:val="clear" w:color="auto" w:fill="auto"/>
            <w:vAlign w:val="center"/>
          </w:tcPr>
          <w:p w14:paraId="2D172569">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auto" w:sz="4" w:space="0"/>
              <w:left w:val="single" w:color="auto" w:sz="4" w:space="0"/>
              <w:bottom w:val="single" w:color="auto" w:sz="4" w:space="0"/>
              <w:right w:val="single" w:color="auto" w:sz="4" w:space="0"/>
            </w:tcBorders>
            <w:shd w:val="clear" w:color="auto" w:fill="auto"/>
            <w:vAlign w:val="center"/>
          </w:tcPr>
          <w:p w14:paraId="400DA3A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7316C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3F469E1E">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三</w:t>
            </w:r>
          </w:p>
        </w:tc>
        <w:tc>
          <w:tcPr>
            <w:tcW w:w="43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14:paraId="7023C3CF">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数字化图件成果类</w:t>
            </w:r>
          </w:p>
        </w:tc>
      </w:tr>
      <w:tr w14:paraId="2E176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auto" w:sz="4" w:space="0"/>
              <w:left w:val="single" w:color="auto" w:sz="4" w:space="0"/>
              <w:bottom w:val="single" w:color="auto" w:sz="4" w:space="0"/>
              <w:right w:val="single" w:color="auto" w:sz="4" w:space="0"/>
            </w:tcBorders>
            <w:shd w:val="clear" w:color="auto" w:fill="auto"/>
            <w:vAlign w:val="center"/>
          </w:tcPr>
          <w:p w14:paraId="5311C95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w:t>
            </w:r>
          </w:p>
        </w:tc>
        <w:tc>
          <w:tcPr>
            <w:tcW w:w="2793" w:type="pct"/>
            <w:tcBorders>
              <w:top w:val="single" w:color="auto" w:sz="4" w:space="0"/>
              <w:left w:val="single" w:color="auto" w:sz="4" w:space="0"/>
              <w:bottom w:val="single" w:color="auto" w:sz="4" w:space="0"/>
              <w:right w:val="single" w:color="auto" w:sz="4" w:space="0"/>
            </w:tcBorders>
            <w:shd w:val="clear" w:color="auto" w:fill="auto"/>
            <w:vAlign w:val="center"/>
          </w:tcPr>
          <w:p w14:paraId="1C3A953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土壤有机质含量图</w:t>
            </w:r>
          </w:p>
        </w:tc>
        <w:tc>
          <w:tcPr>
            <w:tcW w:w="691" w:type="pct"/>
            <w:tcBorders>
              <w:top w:val="single" w:color="auto" w:sz="4" w:space="0"/>
              <w:left w:val="single" w:color="auto" w:sz="4" w:space="0"/>
              <w:bottom w:val="single" w:color="auto" w:sz="4" w:space="0"/>
              <w:right w:val="single" w:color="auto" w:sz="4" w:space="0"/>
            </w:tcBorders>
            <w:shd w:val="clear" w:color="auto" w:fill="auto"/>
            <w:vAlign w:val="center"/>
          </w:tcPr>
          <w:p w14:paraId="29796AA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auto" w:sz="4" w:space="0"/>
              <w:left w:val="single" w:color="auto" w:sz="4" w:space="0"/>
              <w:bottom w:val="single" w:color="auto" w:sz="4" w:space="0"/>
              <w:right w:val="single" w:color="auto" w:sz="4" w:space="0"/>
            </w:tcBorders>
            <w:shd w:val="clear" w:color="auto" w:fill="auto"/>
            <w:vAlign w:val="center"/>
          </w:tcPr>
          <w:p w14:paraId="0C00962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3811D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auto" w:sz="4" w:space="0"/>
              <w:left w:val="single" w:color="000000" w:sz="4" w:space="0"/>
              <w:bottom w:val="single" w:color="000000" w:sz="4" w:space="0"/>
              <w:right w:val="single" w:color="000000" w:sz="4" w:space="0"/>
            </w:tcBorders>
            <w:shd w:val="clear" w:color="auto" w:fill="auto"/>
            <w:vAlign w:val="center"/>
          </w:tcPr>
          <w:p w14:paraId="1BDB1CC9">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2</w:t>
            </w:r>
          </w:p>
        </w:tc>
        <w:tc>
          <w:tcPr>
            <w:tcW w:w="2793" w:type="pct"/>
            <w:tcBorders>
              <w:top w:val="single" w:color="auto" w:sz="4" w:space="0"/>
              <w:left w:val="single" w:color="000000" w:sz="4" w:space="0"/>
              <w:bottom w:val="single" w:color="000000" w:sz="4" w:space="0"/>
              <w:right w:val="single" w:color="000000" w:sz="4" w:space="0"/>
            </w:tcBorders>
            <w:shd w:val="clear" w:color="auto" w:fill="auto"/>
            <w:vAlign w:val="center"/>
          </w:tcPr>
          <w:p w14:paraId="327CEC5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土壤酸碱度（PH）图</w:t>
            </w:r>
          </w:p>
        </w:tc>
        <w:tc>
          <w:tcPr>
            <w:tcW w:w="691" w:type="pct"/>
            <w:tcBorders>
              <w:top w:val="single" w:color="auto" w:sz="4" w:space="0"/>
              <w:left w:val="single" w:color="000000" w:sz="4" w:space="0"/>
              <w:bottom w:val="single" w:color="000000" w:sz="4" w:space="0"/>
              <w:right w:val="single" w:color="000000" w:sz="4" w:space="0"/>
            </w:tcBorders>
            <w:shd w:val="clear" w:color="auto" w:fill="auto"/>
            <w:vAlign w:val="center"/>
          </w:tcPr>
          <w:p w14:paraId="0923B4C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auto" w:sz="4" w:space="0"/>
              <w:left w:val="single" w:color="000000" w:sz="4" w:space="0"/>
              <w:bottom w:val="single" w:color="000000" w:sz="4" w:space="0"/>
              <w:right w:val="single" w:color="000000" w:sz="4" w:space="0"/>
            </w:tcBorders>
            <w:shd w:val="clear" w:color="auto" w:fill="auto"/>
            <w:vAlign w:val="center"/>
          </w:tcPr>
          <w:p w14:paraId="212ECB1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0912C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E6E6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3</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8C14A">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土壤质地图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8887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47E88">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0C408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3E60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4</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4D9F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土壤全氮含量图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6704B2">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9E192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55E5C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0607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5</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E9AD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土壤全磷含量图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9E54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33A2F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49C0A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54A02">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6</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4BA7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土壤全钾含量图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9FF9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85A1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3C93E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DB37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7</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BD7C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土壤有效磷含量图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DE62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CD6C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3157C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9626F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8</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80B1C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土壤速效钾含量图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E7C97A">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D057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3D6F3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93FE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9</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12B4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耕地质量厚度图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29DB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3ED8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4BC2B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9521C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10</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A90A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土壤沙粒含量图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A817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8678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0A384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5062A9">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11</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67A3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土壤农业利用适宜性评价图件</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EEF79">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E9FD2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15C83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D371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12</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65A9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耕地质量等级评价系列图件</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F0E95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1</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F362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37FE8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2CBF1">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四</w:t>
            </w:r>
          </w:p>
        </w:tc>
        <w:tc>
          <w:tcPr>
            <w:tcW w:w="4316"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95C8DEE">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文字成果</w:t>
            </w:r>
          </w:p>
        </w:tc>
      </w:tr>
      <w:tr w14:paraId="7DBB1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DD7F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CC50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土壤普查工作报告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A0F7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2C80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47BC89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0D34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2</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4428B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土壤普查技术报告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D8C1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87680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71402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93188">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3</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C955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数据分析报告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6561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EB26B8">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2BD1E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CB3F9A">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4</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020B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土壤类型图技术报告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9D4D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B02B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77EC6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83D1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5</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394C2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土壤属性图技术报告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7493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AB88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4E1EA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B69FF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6</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A3CD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土壤农业利用适宜性评价技术报告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924B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5F427">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1205E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892BC8">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7</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C3D6D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耕地质量等级评价技术报告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06C4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E7061">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6514B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BEF88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8</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0ED1F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土壤退化与障碍分析</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517B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007340">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44E18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8E2EB4">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9</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D2C0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土特产品布局评价技术报告</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B5C94A">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3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C3256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03E51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F5D75">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10</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795406">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土特产品土壤优势区与适宜区布局图</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0B0AF">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8BC24A">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0A62F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1F4FD">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11</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65122B">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土壤志+土种志</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A07EC">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 xml:space="preserve">1 </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00DA29">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个</w:t>
            </w:r>
          </w:p>
        </w:tc>
      </w:tr>
      <w:tr w14:paraId="717AC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792E1F">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五</w:t>
            </w:r>
          </w:p>
        </w:tc>
        <w:tc>
          <w:tcPr>
            <w:tcW w:w="4316" w:type="pct"/>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397208E7">
            <w:pPr>
              <w:keepNext w:val="0"/>
              <w:keepLines w:val="0"/>
              <w:widowControl/>
              <w:suppressLineNumbers w:val="0"/>
              <w:spacing w:line="360" w:lineRule="auto"/>
              <w:jc w:val="center"/>
              <w:textAlignment w:val="center"/>
              <w:rPr>
                <w:rFonts w:hint="eastAsia" w:ascii="黑体" w:hAnsi="黑体" w:eastAsia="黑体" w:cs="黑体"/>
                <w:b/>
                <w:bCs/>
                <w:i w:val="0"/>
                <w:iCs w:val="0"/>
                <w:color w:val="000000"/>
                <w:sz w:val="24"/>
                <w:szCs w:val="24"/>
                <w:u w:val="none"/>
                <w:lang w:val="en-US" w:eastAsia="zh-CN"/>
              </w:rPr>
            </w:pPr>
            <w:r>
              <w:rPr>
                <w:rFonts w:hint="eastAsia" w:ascii="黑体" w:hAnsi="黑体" w:eastAsia="黑体" w:cs="黑体"/>
                <w:b/>
                <w:bCs/>
                <w:i w:val="0"/>
                <w:iCs w:val="0"/>
                <w:color w:val="000000"/>
                <w:sz w:val="24"/>
                <w:szCs w:val="24"/>
                <w:u w:val="none"/>
                <w:lang w:val="en-US" w:eastAsia="zh-CN"/>
              </w:rPr>
              <w:t>相关费用</w:t>
            </w:r>
          </w:p>
        </w:tc>
      </w:tr>
      <w:tr w14:paraId="224A0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68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1990E">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sz w:val="24"/>
                <w:szCs w:val="24"/>
                <w:u w:val="none"/>
                <w:lang w:val="en-US" w:eastAsia="zh-CN"/>
              </w:rPr>
            </w:pPr>
            <w:r>
              <w:rPr>
                <w:rFonts w:hint="eastAsia" w:ascii="黑体" w:hAnsi="黑体" w:eastAsia="黑体" w:cs="黑体"/>
                <w:b w:val="0"/>
                <w:bCs w:val="0"/>
                <w:i w:val="0"/>
                <w:iCs w:val="0"/>
                <w:color w:val="000000"/>
                <w:sz w:val="24"/>
                <w:szCs w:val="24"/>
                <w:u w:val="none"/>
                <w:lang w:val="en-US" w:eastAsia="zh-CN"/>
              </w:rPr>
              <w:t>1</w:t>
            </w:r>
          </w:p>
        </w:tc>
        <w:tc>
          <w:tcPr>
            <w:tcW w:w="2793" w:type="pct"/>
            <w:tcBorders>
              <w:top w:val="single" w:color="000000" w:sz="4" w:space="0"/>
              <w:left w:val="single" w:color="000000" w:sz="4" w:space="0"/>
              <w:bottom w:val="single" w:color="000000" w:sz="4" w:space="0"/>
              <w:right w:val="single" w:color="000000" w:sz="4" w:space="0"/>
            </w:tcBorders>
            <w:shd w:val="clear" w:color="auto" w:fill="auto"/>
            <w:vAlign w:val="top"/>
          </w:tcPr>
          <w:p w14:paraId="0A2DCE0B">
            <w:pPr>
              <w:spacing w:line="360" w:lineRule="auto"/>
              <w:jc w:val="center"/>
              <w:rPr>
                <w:rFonts w:hint="eastAsia" w:ascii="黑体" w:hAnsi="黑体" w:eastAsia="黑体" w:cs="黑体"/>
                <w:b w:val="0"/>
                <w:bCs w:val="0"/>
                <w:sz w:val="24"/>
                <w:szCs w:val="24"/>
              </w:rPr>
            </w:pPr>
            <w:r>
              <w:rPr>
                <w:rFonts w:hint="eastAsia" w:ascii="黑体" w:hAnsi="黑体" w:eastAsia="黑体" w:cs="黑体"/>
                <w:b w:val="0"/>
                <w:bCs w:val="0"/>
                <w:sz w:val="24"/>
                <w:szCs w:val="24"/>
                <w:lang w:val="en-US" w:eastAsia="zh-CN"/>
              </w:rPr>
              <w:t>验收</w:t>
            </w:r>
            <w:r>
              <w:rPr>
                <w:rFonts w:hint="eastAsia" w:ascii="黑体" w:hAnsi="黑体" w:eastAsia="黑体" w:cs="黑体"/>
                <w:b w:val="0"/>
                <w:bCs w:val="0"/>
                <w:sz w:val="24"/>
                <w:szCs w:val="24"/>
              </w:rPr>
              <w:t>服务</w:t>
            </w:r>
          </w:p>
        </w:tc>
        <w:tc>
          <w:tcPr>
            <w:tcW w:w="6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94C1E8">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3</w:t>
            </w:r>
          </w:p>
        </w:tc>
        <w:tc>
          <w:tcPr>
            <w:tcW w:w="83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7D293">
            <w:pPr>
              <w:keepNext w:val="0"/>
              <w:keepLines w:val="0"/>
              <w:widowControl/>
              <w:suppressLineNumbers w:val="0"/>
              <w:spacing w:line="360" w:lineRule="auto"/>
              <w:jc w:val="center"/>
              <w:textAlignment w:val="center"/>
              <w:rPr>
                <w:rFonts w:hint="eastAsia" w:ascii="黑体" w:hAnsi="黑体" w:eastAsia="黑体" w:cs="黑体"/>
                <w:b w:val="0"/>
                <w:bCs w:val="0"/>
                <w:i w:val="0"/>
                <w:iCs w:val="0"/>
                <w:color w:val="000000"/>
                <w:kern w:val="0"/>
                <w:sz w:val="24"/>
                <w:szCs w:val="24"/>
                <w:u w:val="none"/>
                <w:lang w:val="en-US" w:eastAsia="zh-CN" w:bidi="ar"/>
              </w:rPr>
            </w:pPr>
            <w:r>
              <w:rPr>
                <w:rFonts w:hint="eastAsia" w:ascii="黑体" w:hAnsi="黑体" w:eastAsia="黑体" w:cs="黑体"/>
                <w:b w:val="0"/>
                <w:bCs w:val="0"/>
                <w:i w:val="0"/>
                <w:iCs w:val="0"/>
                <w:color w:val="000000"/>
                <w:kern w:val="0"/>
                <w:sz w:val="24"/>
                <w:szCs w:val="24"/>
                <w:u w:val="none"/>
                <w:lang w:val="en-US" w:eastAsia="zh-CN" w:bidi="ar"/>
              </w:rPr>
              <w:t>项</w:t>
            </w:r>
          </w:p>
        </w:tc>
      </w:tr>
    </w:tbl>
    <w:p w14:paraId="023913B1">
      <w:pPr>
        <w:rPr>
          <w:rFonts w:hint="eastAsia" w:ascii="黑体" w:hAnsi="黑体" w:eastAsia="黑体" w:cs="黑体"/>
          <w:sz w:val="24"/>
          <w:szCs w:val="24"/>
        </w:rPr>
      </w:pPr>
    </w:p>
    <w:p w14:paraId="52C00A71">
      <w:pPr>
        <w:rPr>
          <w:rFonts w:hint="eastAsia" w:ascii="黑体" w:hAnsi="黑体" w:eastAsia="黑体" w:cs="黑体"/>
          <w:sz w:val="24"/>
          <w:szCs w:val="24"/>
        </w:rPr>
      </w:pPr>
    </w:p>
    <w:p w14:paraId="514D3E73">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eastAsia" w:ascii="黑体" w:hAnsi="黑体" w:eastAsia="黑体" w:cs="黑体"/>
          <w:snapToGrid w:val="0"/>
          <w:color w:val="000000"/>
          <w:kern w:val="0"/>
          <w:sz w:val="24"/>
          <w:szCs w:val="24"/>
          <w:lang w:val="en-US" w:eastAsia="zh-CN" w:bidi="ar"/>
        </w:rPr>
      </w:pPr>
    </w:p>
    <w:p w14:paraId="6D58EB26">
      <w:pPr>
        <w:keepNext w:val="0"/>
        <w:keepLines w:val="0"/>
        <w:widowControl/>
        <w:suppressLineNumbers w:val="0"/>
        <w:jc w:val="left"/>
      </w:pPr>
    </w:p>
    <w:p w14:paraId="1F3EB552">
      <w:pPr>
        <w:keepNext w:val="0"/>
        <w:keepLines w:val="0"/>
        <w:pageBreakBefore w:val="0"/>
        <w:kinsoku/>
        <w:overflowPunct/>
        <w:autoSpaceDE w:val="0"/>
        <w:autoSpaceDN w:val="0"/>
        <w:bidi w:val="0"/>
        <w:rPr>
          <w:rFonts w:hint="eastAsia" w:ascii="黑体" w:hAnsi="黑体" w:eastAsia="黑体" w:cs="黑体"/>
          <w:color w:val="auto"/>
          <w:highlight w:val="none"/>
        </w:rPr>
      </w:pPr>
    </w:p>
    <w:p w14:paraId="768A4848">
      <w:pPr>
        <w:keepNext w:val="0"/>
        <w:keepLines w:val="0"/>
        <w:pageBreakBefore w:val="0"/>
        <w:kinsoku/>
        <w:overflowPunct/>
        <w:autoSpaceDE w:val="0"/>
        <w:autoSpaceDN w:val="0"/>
        <w:bidi w:val="0"/>
        <w:rPr>
          <w:rFonts w:hint="eastAsia" w:ascii="黑体" w:hAnsi="黑体" w:eastAsia="黑体" w:cs="黑体"/>
          <w:color w:val="auto"/>
          <w:sz w:val="24"/>
          <w:szCs w:val="24"/>
          <w:highlight w:val="none"/>
        </w:rPr>
        <w:sectPr>
          <w:footerReference r:id="rId21"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5550B448">
      <w:pPr>
        <w:keepNext w:val="0"/>
        <w:keepLines w:val="0"/>
        <w:pageBreakBefore w:val="0"/>
        <w:kinsoku/>
        <w:overflowPunct/>
        <w:autoSpaceDE w:val="0"/>
        <w:autoSpaceDN w:val="0"/>
        <w:bidi w:val="0"/>
        <w:spacing w:before="71" w:line="224" w:lineRule="auto"/>
        <w:jc w:val="center"/>
        <w:outlineLvl w:val="0"/>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pPr>
      <w:bookmarkStart w:id="111" w:name="_bookmark8"/>
      <w:bookmarkEnd w:id="111"/>
      <w:bookmarkStart w:id="112" w:name="_Toc22988"/>
      <w:r>
        <w:rPr>
          <w:rFonts w:hint="eastAsia" w:ascii="黑体" w:hAnsi="黑体" w:eastAsia="黑体" w:cs="黑体"/>
          <w:color w:val="auto"/>
          <w:spacing w:val="8"/>
          <w:sz w:val="31"/>
          <w:szCs w:val="31"/>
          <w:highlight w:val="none"/>
          <w14:textOutline w14:w="5793" w14:cap="sq" w14:cmpd="sng">
            <w14:solidFill>
              <w14:srgbClr w14:val="000000"/>
            </w14:solidFill>
            <w14:prstDash w14:val="solid"/>
            <w14:bevel/>
          </w14:textOutline>
        </w:rPr>
        <w:t>第六章磋商响应文件格式</w:t>
      </w:r>
      <w:bookmarkEnd w:id="112"/>
    </w:p>
    <w:p w14:paraId="50B91DF5">
      <w:pPr>
        <w:keepNext w:val="0"/>
        <w:keepLines w:val="0"/>
        <w:pageBreakBefore w:val="0"/>
        <w:kinsoku/>
        <w:overflowPunct/>
        <w:autoSpaceDE w:val="0"/>
        <w:autoSpaceDN w:val="0"/>
        <w:bidi w:val="0"/>
        <w:rPr>
          <w:rFonts w:hint="eastAsia" w:ascii="黑体" w:hAnsi="黑体" w:eastAsia="黑体" w:cs="黑体"/>
          <w:color w:val="auto"/>
          <w:highlight w:val="none"/>
        </w:rPr>
        <w:sectPr>
          <w:footerReference r:id="rId22"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pPr>
    </w:p>
    <w:p w14:paraId="5827B7F4">
      <w:pPr>
        <w:keepNext w:val="0"/>
        <w:keepLines w:val="0"/>
        <w:pageBreakBefore w:val="0"/>
        <w:kinsoku/>
        <w:overflowPunct/>
        <w:autoSpaceDE w:val="0"/>
        <w:autoSpaceDN w:val="0"/>
        <w:bidi w:val="0"/>
        <w:rPr>
          <w:rFonts w:hint="eastAsia" w:ascii="黑体" w:hAnsi="黑体" w:eastAsia="黑体" w:cs="黑体"/>
          <w:color w:val="auto"/>
          <w:sz w:val="21"/>
          <w:highlight w:val="none"/>
        </w:rPr>
      </w:pPr>
    </w:p>
    <w:p w14:paraId="685E1754">
      <w:pPr>
        <w:keepNext w:val="0"/>
        <w:keepLines w:val="0"/>
        <w:pageBreakBefore w:val="0"/>
        <w:kinsoku/>
        <w:overflowPunct/>
        <w:autoSpaceDE w:val="0"/>
        <w:autoSpaceDN w:val="0"/>
        <w:bidi w:val="0"/>
        <w:rPr>
          <w:rFonts w:hint="eastAsia" w:ascii="黑体" w:hAnsi="黑体" w:eastAsia="黑体" w:cs="黑体"/>
          <w:color w:val="auto"/>
          <w:sz w:val="21"/>
          <w:highlight w:val="none"/>
        </w:rPr>
      </w:pPr>
    </w:p>
    <w:p w14:paraId="48644758">
      <w:pPr>
        <w:keepNext w:val="0"/>
        <w:keepLines w:val="0"/>
        <w:pageBreakBefore w:val="0"/>
        <w:kinsoku/>
        <w:overflowPunct/>
        <w:autoSpaceDE w:val="0"/>
        <w:autoSpaceDN w:val="0"/>
        <w:bidi w:val="0"/>
        <w:spacing w:line="241" w:lineRule="auto"/>
        <w:rPr>
          <w:rFonts w:hint="eastAsia" w:ascii="黑体" w:hAnsi="黑体" w:eastAsia="黑体" w:cs="黑体"/>
          <w:color w:val="auto"/>
          <w:sz w:val="21"/>
          <w:highlight w:val="none"/>
        </w:rPr>
      </w:pPr>
    </w:p>
    <w:p w14:paraId="7236D98E">
      <w:pPr>
        <w:keepNext w:val="0"/>
        <w:keepLines w:val="0"/>
        <w:pageBreakBefore w:val="0"/>
        <w:kinsoku/>
        <w:overflowPunct/>
        <w:autoSpaceDE w:val="0"/>
        <w:autoSpaceDN w:val="0"/>
        <w:bidi w:val="0"/>
        <w:spacing w:line="241" w:lineRule="auto"/>
        <w:rPr>
          <w:rFonts w:hint="eastAsia" w:ascii="黑体" w:hAnsi="黑体" w:eastAsia="黑体" w:cs="黑体"/>
          <w:color w:val="auto"/>
          <w:sz w:val="21"/>
          <w:highlight w:val="none"/>
        </w:rPr>
      </w:pPr>
    </w:p>
    <w:p w14:paraId="08F7CA6E">
      <w:pPr>
        <w:spacing w:line="360" w:lineRule="auto"/>
        <w:jc w:val="center"/>
        <w:rPr>
          <w:rFonts w:hint="eastAsia" w:ascii="黑体" w:hAnsi="黑体" w:eastAsia="黑体" w:cs="黑体"/>
          <w:color w:val="auto"/>
          <w:sz w:val="32"/>
          <w:szCs w:val="32"/>
          <w:u w:val="single"/>
        </w:rPr>
      </w:pPr>
      <w:r>
        <w:rPr>
          <w:rFonts w:hint="eastAsia" w:ascii="黑体" w:hAnsi="黑体" w:eastAsia="黑体" w:cs="黑体"/>
          <w:color w:val="auto"/>
          <w:sz w:val="32"/>
          <w:szCs w:val="32"/>
          <w:u w:val="single"/>
        </w:rPr>
        <w:t>（项目名称）</w:t>
      </w:r>
    </w:p>
    <w:p w14:paraId="58BA8554">
      <w:pPr>
        <w:spacing w:line="360" w:lineRule="auto"/>
        <w:jc w:val="center"/>
        <w:rPr>
          <w:rFonts w:hint="eastAsia" w:ascii="黑体" w:hAnsi="黑体" w:eastAsia="黑体" w:cs="黑体"/>
          <w:color w:val="auto"/>
          <w:szCs w:val="21"/>
        </w:rPr>
      </w:pPr>
    </w:p>
    <w:p w14:paraId="70D48DFD">
      <w:pPr>
        <w:spacing w:line="360" w:lineRule="auto"/>
        <w:jc w:val="center"/>
        <w:rPr>
          <w:rFonts w:hint="eastAsia" w:ascii="黑体" w:hAnsi="黑体" w:eastAsia="黑体" w:cs="黑体"/>
          <w:color w:val="auto"/>
          <w:sz w:val="72"/>
          <w:szCs w:val="72"/>
        </w:rPr>
      </w:pPr>
    </w:p>
    <w:p w14:paraId="4E8960CC">
      <w:pPr>
        <w:spacing w:line="360" w:lineRule="auto"/>
        <w:jc w:val="center"/>
        <w:rPr>
          <w:rFonts w:hint="eastAsia" w:ascii="黑体" w:hAnsi="黑体" w:eastAsia="黑体" w:cs="黑体"/>
          <w:color w:val="auto"/>
          <w:sz w:val="72"/>
          <w:szCs w:val="72"/>
        </w:rPr>
      </w:pPr>
    </w:p>
    <w:p w14:paraId="23651A56">
      <w:pPr>
        <w:spacing w:line="360" w:lineRule="auto"/>
        <w:jc w:val="center"/>
        <w:outlineLvl w:val="1"/>
        <w:rPr>
          <w:rFonts w:hint="eastAsia" w:ascii="黑体" w:hAnsi="黑体" w:eastAsia="黑体" w:cs="黑体"/>
          <w:color w:val="auto"/>
          <w:sz w:val="72"/>
          <w:szCs w:val="72"/>
        </w:rPr>
      </w:pPr>
      <w:bookmarkStart w:id="113" w:name="_Toc21836"/>
      <w:r>
        <w:rPr>
          <w:rFonts w:hint="eastAsia" w:ascii="黑体" w:hAnsi="黑体" w:eastAsia="黑体" w:cs="黑体"/>
          <w:color w:val="auto"/>
          <w:sz w:val="72"/>
          <w:szCs w:val="72"/>
        </w:rPr>
        <w:t>竞争性磋商响应文件</w:t>
      </w:r>
      <w:bookmarkEnd w:id="113"/>
    </w:p>
    <w:p w14:paraId="62F610EF">
      <w:pPr>
        <w:spacing w:line="360" w:lineRule="auto"/>
        <w:jc w:val="center"/>
        <w:rPr>
          <w:rFonts w:hint="eastAsia" w:ascii="黑体" w:hAnsi="黑体" w:eastAsia="黑体" w:cs="黑体"/>
          <w:color w:val="auto"/>
          <w:sz w:val="24"/>
          <w:szCs w:val="24"/>
          <w:u w:val="single"/>
        </w:rPr>
      </w:pPr>
      <w:r>
        <w:rPr>
          <w:rFonts w:hint="eastAsia" w:ascii="黑体" w:hAnsi="黑体" w:eastAsia="黑体" w:cs="黑体"/>
          <w:color w:val="auto"/>
          <w:sz w:val="24"/>
          <w:szCs w:val="24"/>
        </w:rPr>
        <w:t>项目编号：</w:t>
      </w:r>
    </w:p>
    <w:p w14:paraId="045526A7">
      <w:pPr>
        <w:spacing w:line="360" w:lineRule="auto"/>
        <w:jc w:val="center"/>
        <w:rPr>
          <w:rFonts w:hint="eastAsia" w:ascii="黑体" w:hAnsi="黑体" w:eastAsia="黑体" w:cs="黑体"/>
          <w:color w:val="auto"/>
          <w:szCs w:val="21"/>
        </w:rPr>
      </w:pPr>
    </w:p>
    <w:p w14:paraId="43599340">
      <w:pPr>
        <w:spacing w:line="360" w:lineRule="auto"/>
        <w:jc w:val="center"/>
        <w:rPr>
          <w:rFonts w:hint="eastAsia" w:ascii="黑体" w:hAnsi="黑体" w:eastAsia="黑体" w:cs="黑体"/>
          <w:color w:val="auto"/>
          <w:szCs w:val="21"/>
        </w:rPr>
      </w:pPr>
    </w:p>
    <w:p w14:paraId="7CA2FE56">
      <w:pPr>
        <w:spacing w:line="360" w:lineRule="auto"/>
        <w:jc w:val="center"/>
        <w:rPr>
          <w:rFonts w:hint="eastAsia" w:ascii="黑体" w:hAnsi="黑体" w:eastAsia="黑体" w:cs="黑体"/>
          <w:color w:val="auto"/>
          <w:szCs w:val="21"/>
        </w:rPr>
      </w:pPr>
    </w:p>
    <w:p w14:paraId="763353FE">
      <w:pPr>
        <w:spacing w:line="360" w:lineRule="auto"/>
        <w:rPr>
          <w:rFonts w:hint="eastAsia" w:ascii="黑体" w:hAnsi="黑体" w:eastAsia="黑体" w:cs="黑体"/>
          <w:color w:val="auto"/>
          <w:szCs w:val="21"/>
        </w:rPr>
      </w:pPr>
    </w:p>
    <w:p w14:paraId="102B1343">
      <w:pPr>
        <w:spacing w:line="360" w:lineRule="auto"/>
        <w:jc w:val="center"/>
        <w:rPr>
          <w:rFonts w:hint="eastAsia" w:ascii="黑体" w:hAnsi="黑体" w:eastAsia="黑体" w:cs="黑体"/>
          <w:color w:val="auto"/>
          <w:sz w:val="28"/>
          <w:szCs w:val="28"/>
        </w:rPr>
      </w:pPr>
      <w:r>
        <w:rPr>
          <w:rFonts w:hint="eastAsia" w:ascii="黑体" w:hAnsi="黑体" w:eastAsia="黑体" w:cs="黑体"/>
          <w:color w:val="auto"/>
          <w:sz w:val="28"/>
          <w:szCs w:val="28"/>
        </w:rPr>
        <w:t>投标人：（盖单位章）</w:t>
      </w:r>
    </w:p>
    <w:p w14:paraId="4C98F4EF">
      <w:pPr>
        <w:spacing w:line="360" w:lineRule="auto"/>
        <w:jc w:val="center"/>
        <w:rPr>
          <w:rFonts w:hint="eastAsia" w:ascii="黑体" w:hAnsi="黑体" w:eastAsia="黑体" w:cs="黑体"/>
          <w:color w:val="auto"/>
          <w:sz w:val="28"/>
          <w:szCs w:val="28"/>
        </w:rPr>
      </w:pPr>
    </w:p>
    <w:p w14:paraId="3A1E1DB5">
      <w:pPr>
        <w:spacing w:line="360" w:lineRule="auto"/>
        <w:jc w:val="center"/>
        <w:rPr>
          <w:rFonts w:hint="eastAsia" w:ascii="黑体" w:hAnsi="黑体" w:eastAsia="黑体" w:cs="黑体"/>
          <w:color w:val="auto"/>
          <w:sz w:val="28"/>
          <w:szCs w:val="28"/>
        </w:rPr>
      </w:pPr>
      <w:r>
        <w:rPr>
          <w:rFonts w:hint="eastAsia" w:ascii="黑体" w:hAnsi="黑体" w:eastAsia="黑体" w:cs="黑体"/>
          <w:color w:val="auto"/>
          <w:sz w:val="28"/>
          <w:szCs w:val="28"/>
        </w:rPr>
        <w:t>法定代表人或其委托代理人：（签字或盖章）</w:t>
      </w:r>
    </w:p>
    <w:p w14:paraId="20DABF50">
      <w:pPr>
        <w:spacing w:line="360" w:lineRule="auto"/>
        <w:jc w:val="center"/>
        <w:rPr>
          <w:rFonts w:hint="eastAsia" w:ascii="黑体" w:hAnsi="黑体" w:eastAsia="黑体" w:cs="黑体"/>
          <w:color w:val="auto"/>
          <w:szCs w:val="21"/>
          <w:u w:val="single"/>
        </w:rPr>
      </w:pPr>
    </w:p>
    <w:p w14:paraId="308C34EE">
      <w:pPr>
        <w:spacing w:line="360" w:lineRule="auto"/>
        <w:jc w:val="center"/>
        <w:rPr>
          <w:rFonts w:hint="eastAsia" w:ascii="黑体" w:hAnsi="黑体" w:eastAsia="黑体" w:cs="黑体"/>
          <w:color w:val="auto"/>
          <w:sz w:val="28"/>
          <w:szCs w:val="28"/>
        </w:rPr>
        <w:sectPr>
          <w:pgSz w:w="11906" w:h="16838"/>
          <w:pgMar w:top="1418" w:right="1134" w:bottom="1418" w:left="1134" w:header="851" w:footer="992" w:gutter="0"/>
          <w:pgNumType w:fmt="decimal"/>
          <w:cols w:space="720" w:num="1"/>
          <w:docGrid w:type="lines" w:linePitch="312" w:charSpace="0"/>
        </w:sectPr>
      </w:pPr>
      <w:r>
        <w:rPr>
          <w:rFonts w:hint="eastAsia" w:ascii="黑体" w:hAnsi="黑体" w:eastAsia="黑体" w:cs="黑体"/>
          <w:color w:val="auto"/>
          <w:sz w:val="28"/>
          <w:szCs w:val="28"/>
        </w:rPr>
        <w:t>日期：年月日</w:t>
      </w:r>
    </w:p>
    <w:p w14:paraId="6AAFA48B">
      <w:pPr>
        <w:pStyle w:val="4"/>
        <w:ind w:left="0" w:firstLine="0"/>
        <w:rPr>
          <w:rFonts w:hint="eastAsia" w:ascii="黑体" w:hAnsi="黑体" w:eastAsia="黑体" w:cs="黑体"/>
          <w:color w:val="auto"/>
          <w:sz w:val="44"/>
          <w:szCs w:val="44"/>
        </w:rPr>
      </w:pPr>
      <w:bookmarkStart w:id="114" w:name="_Toc19132"/>
      <w:bookmarkStart w:id="115" w:name="_Toc4643"/>
      <w:bookmarkStart w:id="116" w:name="_Toc382396569"/>
      <w:bookmarkStart w:id="117" w:name="_Toc184635137"/>
      <w:r>
        <w:rPr>
          <w:rFonts w:hint="eastAsia" w:ascii="黑体" w:hAnsi="黑体" w:eastAsia="黑体" w:cs="黑体"/>
          <w:color w:val="auto"/>
          <w:sz w:val="44"/>
          <w:szCs w:val="44"/>
        </w:rPr>
        <w:t>目录</w:t>
      </w:r>
      <w:bookmarkEnd w:id="114"/>
      <w:bookmarkEnd w:id="115"/>
      <w:bookmarkEnd w:id="116"/>
      <w:bookmarkEnd w:id="117"/>
    </w:p>
    <w:p w14:paraId="7F5A059A">
      <w:pPr>
        <w:spacing w:line="360" w:lineRule="auto"/>
        <w:ind w:firstLine="480" w:firstLineChars="200"/>
        <w:jc w:val="center"/>
        <w:rPr>
          <w:rFonts w:hint="eastAsia" w:ascii="黑体" w:hAnsi="黑体" w:eastAsia="黑体" w:cs="黑体"/>
          <w:color w:val="auto"/>
          <w:sz w:val="24"/>
          <w:szCs w:val="24"/>
        </w:rPr>
      </w:pPr>
    </w:p>
    <w:p w14:paraId="6BCB4AD4">
      <w:pPr>
        <w:spacing w:line="360" w:lineRule="auto"/>
        <w:ind w:firstLine="480" w:firstLineChars="200"/>
        <w:jc w:val="center"/>
        <w:rPr>
          <w:rFonts w:hint="eastAsia" w:ascii="黑体" w:hAnsi="黑体" w:eastAsia="黑体" w:cs="黑体"/>
          <w:color w:val="auto"/>
          <w:sz w:val="24"/>
          <w:szCs w:val="24"/>
        </w:rPr>
      </w:pPr>
    </w:p>
    <w:p w14:paraId="7AD5F3EE">
      <w:pPr>
        <w:spacing w:line="360" w:lineRule="auto"/>
        <w:ind w:firstLine="480" w:firstLineChars="200"/>
        <w:jc w:val="center"/>
        <w:rPr>
          <w:rFonts w:hint="eastAsia" w:ascii="黑体" w:hAnsi="黑体" w:eastAsia="黑体" w:cs="黑体"/>
          <w:color w:val="auto"/>
          <w:sz w:val="24"/>
          <w:szCs w:val="24"/>
        </w:rPr>
      </w:pPr>
      <w:r>
        <w:rPr>
          <w:rFonts w:hint="eastAsia" w:ascii="黑体" w:hAnsi="黑体" w:eastAsia="黑体" w:cs="黑体"/>
          <w:color w:val="auto"/>
          <w:sz w:val="24"/>
          <w:szCs w:val="24"/>
        </w:rPr>
        <w:t>格式自拟</w:t>
      </w:r>
    </w:p>
    <w:p w14:paraId="0921660F">
      <w:pPr>
        <w:pStyle w:val="11"/>
        <w:ind w:left="900" w:hanging="480"/>
        <w:rPr>
          <w:rFonts w:hint="eastAsia" w:ascii="黑体" w:hAnsi="黑体" w:eastAsia="黑体" w:cs="黑体"/>
          <w:color w:val="auto"/>
          <w:sz w:val="24"/>
          <w:szCs w:val="24"/>
        </w:rPr>
      </w:pPr>
    </w:p>
    <w:p w14:paraId="2FF79FAF">
      <w:pPr>
        <w:spacing w:line="360" w:lineRule="auto"/>
        <w:ind w:firstLine="420" w:firstLineChars="200"/>
        <w:jc w:val="center"/>
        <w:rPr>
          <w:rFonts w:hint="eastAsia" w:ascii="黑体" w:hAnsi="黑体" w:eastAsia="黑体" w:cs="黑体"/>
          <w:color w:val="auto"/>
          <w:szCs w:val="21"/>
        </w:rPr>
        <w:sectPr>
          <w:pgSz w:w="11906" w:h="16838"/>
          <w:pgMar w:top="1418" w:right="1134" w:bottom="1418" w:left="1134" w:header="851" w:footer="992" w:gutter="0"/>
          <w:pgNumType w:fmt="decimal"/>
          <w:cols w:space="720" w:num="1"/>
          <w:docGrid w:type="lines" w:linePitch="312" w:charSpace="0"/>
        </w:sectPr>
      </w:pPr>
    </w:p>
    <w:p w14:paraId="6DD539B1">
      <w:pPr>
        <w:spacing w:line="360" w:lineRule="auto"/>
        <w:jc w:val="center"/>
        <w:outlineLvl w:val="1"/>
        <w:rPr>
          <w:rFonts w:hint="eastAsia" w:ascii="黑体" w:hAnsi="黑体" w:eastAsia="黑体" w:cs="黑体"/>
          <w:b/>
          <w:color w:val="auto"/>
          <w:sz w:val="28"/>
          <w:szCs w:val="28"/>
          <w:highlight w:val="none"/>
        </w:rPr>
      </w:pPr>
      <w:bookmarkStart w:id="118" w:name="_Toc2955"/>
      <w:bookmarkStart w:id="119" w:name="_Toc5842"/>
      <w:r>
        <w:rPr>
          <w:rFonts w:hint="eastAsia" w:ascii="黑体" w:hAnsi="黑体" w:eastAsia="黑体" w:cs="黑体"/>
          <w:b/>
          <w:color w:val="auto"/>
          <w:sz w:val="28"/>
          <w:szCs w:val="28"/>
          <w:highlight w:val="none"/>
        </w:rPr>
        <w:t>一、磋商响应函</w:t>
      </w:r>
      <w:bookmarkEnd w:id="118"/>
      <w:bookmarkEnd w:id="119"/>
    </w:p>
    <w:p w14:paraId="085105AF">
      <w:pPr>
        <w:spacing w:line="360" w:lineRule="auto"/>
        <w:ind w:firstLine="420" w:firstLineChars="200"/>
        <w:rPr>
          <w:rFonts w:hint="eastAsia" w:ascii="黑体" w:hAnsi="黑体" w:eastAsia="黑体" w:cs="黑体"/>
          <w:color w:val="auto"/>
          <w:szCs w:val="21"/>
          <w:highlight w:val="none"/>
        </w:rPr>
      </w:pPr>
    </w:p>
    <w:p w14:paraId="5D31CF59">
      <w:pPr>
        <w:spacing w:line="360" w:lineRule="auto"/>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（采购人名称）:</w:t>
      </w:r>
    </w:p>
    <w:p w14:paraId="3395992D">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1．我方已仔细研究了</w:t>
      </w:r>
      <w:r>
        <w:rPr>
          <w:rFonts w:hint="eastAsia" w:ascii="黑体" w:hAnsi="黑体" w:eastAsia="黑体" w:cs="黑体"/>
          <w:color w:val="auto"/>
          <w:szCs w:val="21"/>
          <w:highlight w:val="none"/>
          <w:u w:val="single"/>
        </w:rPr>
        <w:t>（项目名称）</w:t>
      </w:r>
      <w:r>
        <w:rPr>
          <w:rFonts w:hint="eastAsia" w:ascii="黑体" w:hAnsi="黑体" w:eastAsia="黑体" w:cs="黑体"/>
          <w:color w:val="auto"/>
          <w:szCs w:val="21"/>
          <w:highlight w:val="none"/>
        </w:rPr>
        <w:t>竞争性磋商文件的全部内容，愿意以</w:t>
      </w:r>
      <w:r>
        <w:rPr>
          <w:rFonts w:hint="eastAsia" w:ascii="黑体" w:hAnsi="黑体" w:eastAsia="黑体" w:cs="黑体"/>
          <w:color w:val="auto"/>
          <w:highlight w:val="none"/>
        </w:rPr>
        <w:t>第二轮的最终报价做为本项目的</w:t>
      </w:r>
      <w:r>
        <w:rPr>
          <w:rFonts w:hint="eastAsia" w:ascii="黑体" w:hAnsi="黑体" w:eastAsia="黑体" w:cs="黑体"/>
          <w:color w:val="auto"/>
          <w:szCs w:val="21"/>
          <w:highlight w:val="none"/>
        </w:rPr>
        <w:t>磋商总报价，合同履行期限，按合同约定实施和完成承包服务项目，服务质量达到要求。</w:t>
      </w:r>
    </w:p>
    <w:p w14:paraId="0F6CB52E">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2．我方承诺磋商有效期为</w:t>
      </w:r>
      <w:r>
        <w:rPr>
          <w:rFonts w:hint="eastAsia" w:ascii="黑体" w:hAnsi="黑体" w:eastAsia="黑体" w:cs="黑体"/>
          <w:color w:val="auto"/>
          <w:szCs w:val="21"/>
          <w:highlight w:val="none"/>
          <w:lang w:val="en-US" w:eastAsia="zh-CN"/>
        </w:rPr>
        <w:t>90</w:t>
      </w:r>
      <w:r>
        <w:rPr>
          <w:rFonts w:hint="eastAsia" w:ascii="黑体" w:hAnsi="黑体" w:eastAsia="黑体" w:cs="黑体"/>
          <w:color w:val="auto"/>
          <w:szCs w:val="21"/>
          <w:highlight w:val="none"/>
        </w:rPr>
        <w:t>日历天，在磋商有效期内不修改、撤销响应文件。</w:t>
      </w:r>
    </w:p>
    <w:p w14:paraId="6625CB0E">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3．随同本磋商响应函递交磋商响应保证金一份，金额为人民币（大写</w:t>
      </w:r>
      <w:r>
        <w:rPr>
          <w:rFonts w:hint="eastAsia" w:ascii="黑体" w:hAnsi="黑体" w:eastAsia="黑体" w:cs="黑体"/>
          <w:color w:val="auto"/>
          <w:szCs w:val="21"/>
          <w:highlight w:val="none"/>
          <w:lang w:val="en-US" w:eastAsia="zh-CN"/>
        </w:rPr>
        <w:t xml:space="preserve">    </w:t>
      </w:r>
      <w:r>
        <w:rPr>
          <w:rFonts w:hint="eastAsia" w:ascii="黑体" w:hAnsi="黑体" w:eastAsia="黑体" w:cs="黑体"/>
          <w:color w:val="auto"/>
          <w:szCs w:val="21"/>
          <w:highlight w:val="none"/>
        </w:rPr>
        <w:t>）元（￥</w:t>
      </w:r>
      <w:r>
        <w:rPr>
          <w:rFonts w:hint="eastAsia" w:ascii="黑体" w:hAnsi="黑体" w:eastAsia="黑体" w:cs="黑体"/>
          <w:color w:val="auto"/>
          <w:szCs w:val="21"/>
          <w:highlight w:val="none"/>
          <w:lang w:val="en-US" w:eastAsia="zh-CN"/>
        </w:rPr>
        <w:t xml:space="preserve">   </w:t>
      </w:r>
      <w:r>
        <w:rPr>
          <w:rFonts w:hint="eastAsia" w:ascii="黑体" w:hAnsi="黑体" w:eastAsia="黑体" w:cs="黑体"/>
          <w:color w:val="auto"/>
          <w:szCs w:val="21"/>
          <w:highlight w:val="none"/>
        </w:rPr>
        <w:t>）。</w:t>
      </w:r>
    </w:p>
    <w:p w14:paraId="0F6970B3">
      <w:pPr>
        <w:spacing w:line="360" w:lineRule="auto"/>
        <w:ind w:firstLine="420" w:firstLineChars="200"/>
        <w:outlineLvl w:val="2"/>
        <w:rPr>
          <w:rFonts w:hint="eastAsia" w:ascii="黑体" w:hAnsi="黑体" w:eastAsia="黑体" w:cs="黑体"/>
          <w:color w:val="auto"/>
          <w:szCs w:val="21"/>
          <w:highlight w:val="none"/>
        </w:rPr>
      </w:pPr>
      <w:bookmarkStart w:id="120" w:name="_Toc5567"/>
      <w:r>
        <w:rPr>
          <w:rFonts w:hint="eastAsia" w:ascii="黑体" w:hAnsi="黑体" w:eastAsia="黑体" w:cs="黑体"/>
          <w:color w:val="auto"/>
          <w:szCs w:val="21"/>
          <w:highlight w:val="none"/>
        </w:rPr>
        <w:t>4．如我方成交：</w:t>
      </w:r>
      <w:bookmarkEnd w:id="120"/>
    </w:p>
    <w:p w14:paraId="65F2C459">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(l）我方承诺在收到成交通知书后，在成交通知书规定的期限内与你方签订合同。</w:t>
      </w:r>
    </w:p>
    <w:p w14:paraId="41353F93">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(2）随同本磋商响应函递交的磋商响应函附录属于合同文件的组成部分。</w:t>
      </w:r>
    </w:p>
    <w:p w14:paraId="42072CE7">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(3）我方承诺按照竞争性磋商文件规定向你方递交履约担保。</w:t>
      </w:r>
    </w:p>
    <w:p w14:paraId="03AECF24">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(4）我方承诺在合同约定的期限内完成并移交全部合同工程。</w:t>
      </w:r>
    </w:p>
    <w:p w14:paraId="3453027B">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5．我方在此声明，所递交的响应文件及有关资料内容完整、真实和准确，且不存在第二章“供应商须知”第1.4.3项规定的任何一种情形。</w:t>
      </w:r>
    </w:p>
    <w:p w14:paraId="34534B82">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6.（其他补充说明）。</w:t>
      </w:r>
    </w:p>
    <w:p w14:paraId="2302A06D">
      <w:pPr>
        <w:spacing w:line="360" w:lineRule="auto"/>
        <w:ind w:firstLine="420" w:firstLineChars="200"/>
        <w:rPr>
          <w:rFonts w:hint="eastAsia" w:ascii="黑体" w:hAnsi="黑体" w:eastAsia="黑体" w:cs="黑体"/>
          <w:color w:val="auto"/>
          <w:szCs w:val="21"/>
          <w:highlight w:val="none"/>
        </w:rPr>
      </w:pPr>
    </w:p>
    <w:p w14:paraId="4761129E">
      <w:pPr>
        <w:spacing w:line="360" w:lineRule="auto"/>
        <w:ind w:firstLine="420" w:firstLineChars="200"/>
        <w:rPr>
          <w:rFonts w:hint="eastAsia" w:ascii="黑体" w:hAnsi="黑体" w:eastAsia="黑体" w:cs="黑体"/>
          <w:color w:val="auto"/>
          <w:szCs w:val="21"/>
          <w:highlight w:val="none"/>
        </w:rPr>
      </w:pPr>
    </w:p>
    <w:p w14:paraId="2C870013">
      <w:pPr>
        <w:spacing w:line="360" w:lineRule="auto"/>
        <w:ind w:firstLine="4305" w:firstLineChars="2050"/>
        <w:rPr>
          <w:rFonts w:hint="eastAsia" w:ascii="黑体" w:hAnsi="黑体" w:eastAsia="黑体" w:cs="黑体"/>
          <w:color w:val="auto"/>
          <w:szCs w:val="21"/>
          <w:highlight w:val="none"/>
        </w:rPr>
      </w:pPr>
      <w:r>
        <w:rPr>
          <w:rFonts w:hint="eastAsia" w:ascii="黑体" w:hAnsi="黑体" w:eastAsia="黑体" w:cs="黑体"/>
          <w:color w:val="auto"/>
          <w:szCs w:val="21"/>
          <w:highlight w:val="none"/>
        </w:rPr>
        <w:t>供应商：（盖单位章）</w:t>
      </w:r>
    </w:p>
    <w:p w14:paraId="145C3B24">
      <w:pPr>
        <w:spacing w:line="360" w:lineRule="auto"/>
        <w:ind w:firstLine="4305" w:firstLineChars="2050"/>
        <w:rPr>
          <w:rFonts w:hint="eastAsia" w:ascii="黑体" w:hAnsi="黑体" w:eastAsia="黑体" w:cs="黑体"/>
          <w:color w:val="auto"/>
          <w:szCs w:val="21"/>
          <w:highlight w:val="none"/>
        </w:rPr>
      </w:pPr>
      <w:r>
        <w:rPr>
          <w:rFonts w:hint="eastAsia" w:ascii="黑体" w:hAnsi="黑体" w:eastAsia="黑体" w:cs="黑体"/>
          <w:color w:val="auto"/>
          <w:szCs w:val="21"/>
          <w:highlight w:val="none"/>
        </w:rPr>
        <w:t>法定代表人或其委托代理人：（签字）</w:t>
      </w:r>
    </w:p>
    <w:p w14:paraId="03C32DC2">
      <w:pPr>
        <w:spacing w:line="360" w:lineRule="auto"/>
        <w:ind w:firstLine="4305" w:firstLineChars="205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地址：</w:t>
      </w:r>
    </w:p>
    <w:p w14:paraId="7C35A02A">
      <w:pPr>
        <w:spacing w:line="360" w:lineRule="auto"/>
        <w:ind w:firstLine="4305" w:firstLineChars="205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电话：</w:t>
      </w:r>
    </w:p>
    <w:p w14:paraId="6DE7B100">
      <w:pPr>
        <w:spacing w:line="360" w:lineRule="auto"/>
        <w:ind w:firstLine="4305" w:firstLineChars="205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邮政编码：</w:t>
      </w:r>
    </w:p>
    <w:p w14:paraId="6BCFDE38">
      <w:pPr>
        <w:spacing w:line="360" w:lineRule="auto"/>
        <w:ind w:firstLine="4305" w:firstLineChars="2050"/>
        <w:rPr>
          <w:rFonts w:hint="eastAsia" w:ascii="黑体" w:hAnsi="黑体" w:eastAsia="黑体" w:cs="黑体"/>
          <w:color w:val="auto"/>
          <w:szCs w:val="21"/>
          <w:highlight w:val="none"/>
        </w:rPr>
      </w:pPr>
      <w:r>
        <w:rPr>
          <w:rFonts w:hint="eastAsia" w:ascii="黑体" w:hAnsi="黑体" w:eastAsia="黑体" w:cs="黑体"/>
          <w:color w:val="auto"/>
          <w:szCs w:val="21"/>
          <w:highlight w:val="none"/>
        </w:rPr>
        <w:t>年月日</w:t>
      </w:r>
    </w:p>
    <w:p w14:paraId="5FC3F6B3">
      <w:pPr>
        <w:spacing w:line="360" w:lineRule="auto"/>
        <w:ind w:firstLine="420" w:firstLineChars="200"/>
        <w:rPr>
          <w:rFonts w:hint="eastAsia" w:ascii="黑体" w:hAnsi="黑体" w:eastAsia="黑体" w:cs="黑体"/>
          <w:color w:val="auto"/>
          <w:szCs w:val="21"/>
          <w:highlight w:val="none"/>
        </w:rPr>
        <w:sectPr>
          <w:pgSz w:w="11906" w:h="16838"/>
          <w:pgMar w:top="1418" w:right="1418" w:bottom="1418" w:left="1418" w:header="851" w:footer="992" w:gutter="0"/>
          <w:pgNumType w:fmt="decimal"/>
          <w:cols w:space="720" w:num="1"/>
          <w:docGrid w:linePitch="312" w:charSpace="0"/>
        </w:sectPr>
      </w:pPr>
    </w:p>
    <w:p w14:paraId="50150CFD">
      <w:pPr>
        <w:spacing w:line="360" w:lineRule="auto"/>
        <w:jc w:val="center"/>
        <w:outlineLvl w:val="1"/>
        <w:rPr>
          <w:rFonts w:hint="eastAsia" w:ascii="黑体" w:hAnsi="黑体" w:eastAsia="黑体" w:cs="黑体"/>
          <w:b/>
          <w:color w:val="auto"/>
          <w:sz w:val="28"/>
          <w:szCs w:val="28"/>
          <w:highlight w:val="none"/>
        </w:rPr>
      </w:pPr>
      <w:bookmarkStart w:id="121" w:name="_Toc16716"/>
      <w:bookmarkStart w:id="122" w:name="_Toc17421"/>
      <w:r>
        <w:rPr>
          <w:rFonts w:hint="eastAsia" w:ascii="黑体" w:hAnsi="黑体" w:eastAsia="黑体" w:cs="黑体"/>
          <w:b/>
          <w:color w:val="auto"/>
          <w:sz w:val="28"/>
          <w:szCs w:val="28"/>
          <w:highlight w:val="none"/>
        </w:rPr>
        <w:t>二、法定代表人身份证明</w:t>
      </w:r>
      <w:bookmarkEnd w:id="121"/>
      <w:bookmarkEnd w:id="122"/>
    </w:p>
    <w:p w14:paraId="5F123810">
      <w:pPr>
        <w:spacing w:line="360" w:lineRule="auto"/>
        <w:jc w:val="center"/>
        <w:outlineLvl w:val="2"/>
        <w:rPr>
          <w:rFonts w:hint="eastAsia" w:ascii="黑体" w:hAnsi="黑体" w:eastAsia="黑体" w:cs="黑体"/>
          <w:b/>
          <w:color w:val="auto"/>
          <w:sz w:val="28"/>
          <w:szCs w:val="28"/>
          <w:highlight w:val="none"/>
        </w:rPr>
      </w:pPr>
      <w:bookmarkStart w:id="123" w:name="_Toc30681"/>
      <w:bookmarkStart w:id="124" w:name="_Toc6102"/>
      <w:r>
        <w:rPr>
          <w:rFonts w:hint="eastAsia" w:ascii="黑体" w:hAnsi="黑体" w:eastAsia="黑体" w:cs="黑体"/>
          <w:b/>
          <w:color w:val="auto"/>
          <w:sz w:val="28"/>
          <w:szCs w:val="28"/>
          <w:highlight w:val="none"/>
        </w:rPr>
        <w:t>（一）法定代表人身份证明</w:t>
      </w:r>
      <w:bookmarkEnd w:id="123"/>
      <w:bookmarkEnd w:id="124"/>
    </w:p>
    <w:p w14:paraId="6D568214">
      <w:pPr>
        <w:spacing w:line="360" w:lineRule="auto"/>
        <w:ind w:firstLine="420" w:firstLineChars="200"/>
        <w:rPr>
          <w:rFonts w:hint="eastAsia" w:ascii="黑体" w:hAnsi="黑体" w:eastAsia="黑体" w:cs="黑体"/>
          <w:color w:val="auto"/>
          <w:szCs w:val="21"/>
          <w:highlight w:val="none"/>
        </w:rPr>
      </w:pPr>
    </w:p>
    <w:p w14:paraId="0D3B22FD">
      <w:pPr>
        <w:spacing w:line="360" w:lineRule="auto"/>
        <w:ind w:firstLine="420" w:firstLineChars="20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供应商名称：</w:t>
      </w:r>
    </w:p>
    <w:p w14:paraId="7ADC45C7">
      <w:pPr>
        <w:spacing w:line="360" w:lineRule="auto"/>
        <w:ind w:firstLine="420" w:firstLineChars="20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单位性质：</w:t>
      </w:r>
    </w:p>
    <w:p w14:paraId="2A13DD4A">
      <w:pPr>
        <w:spacing w:line="360" w:lineRule="auto"/>
        <w:ind w:firstLine="420" w:firstLineChars="20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地址：</w:t>
      </w:r>
    </w:p>
    <w:p w14:paraId="0919B9BE">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成立时间：年月日</w:t>
      </w:r>
    </w:p>
    <w:p w14:paraId="072E94D5">
      <w:pPr>
        <w:spacing w:line="360" w:lineRule="auto"/>
        <w:ind w:firstLine="420" w:firstLineChars="20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经营期限：</w:t>
      </w:r>
    </w:p>
    <w:p w14:paraId="0AAE9F42">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姓名：性别：年龄：职务：_</w:t>
      </w:r>
    </w:p>
    <w:p w14:paraId="016E24FE">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系（供应商名称）的法定代表人。</w:t>
      </w:r>
    </w:p>
    <w:p w14:paraId="71A8B6D3">
      <w:pPr>
        <w:spacing w:line="360" w:lineRule="auto"/>
        <w:ind w:firstLine="840" w:firstLineChars="400"/>
        <w:rPr>
          <w:rFonts w:hint="eastAsia" w:ascii="黑体" w:hAnsi="黑体" w:eastAsia="黑体" w:cs="黑体"/>
          <w:color w:val="auto"/>
          <w:szCs w:val="21"/>
          <w:highlight w:val="none"/>
        </w:rPr>
      </w:pPr>
      <w:r>
        <w:rPr>
          <w:rFonts w:hint="eastAsia" w:ascii="黑体" w:hAnsi="黑体" w:eastAsia="黑体" w:cs="黑体"/>
          <w:color w:val="auto"/>
          <w:szCs w:val="21"/>
          <w:highlight w:val="none"/>
        </w:rPr>
        <w:t>特此证明。</w:t>
      </w:r>
    </w:p>
    <w:p w14:paraId="0AF4FEC3">
      <w:pPr>
        <w:spacing w:line="360" w:lineRule="auto"/>
        <w:ind w:firstLine="420" w:firstLineChars="200"/>
        <w:rPr>
          <w:rFonts w:hint="eastAsia" w:ascii="黑体" w:hAnsi="黑体" w:eastAsia="黑体" w:cs="黑体"/>
          <w:color w:val="auto"/>
          <w:szCs w:val="21"/>
          <w:highlight w:val="none"/>
        </w:rPr>
      </w:pPr>
    </w:p>
    <w:p w14:paraId="4D712AB9">
      <w:pPr>
        <w:spacing w:line="360" w:lineRule="auto"/>
        <w:ind w:firstLine="420" w:firstLineChars="200"/>
        <w:rPr>
          <w:rFonts w:hint="eastAsia" w:ascii="黑体" w:hAnsi="黑体" w:eastAsia="黑体" w:cs="黑体"/>
          <w:color w:val="auto"/>
          <w:szCs w:val="21"/>
          <w:highlight w:val="none"/>
        </w:rPr>
      </w:pPr>
    </w:p>
    <w:p w14:paraId="14AEB829">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mc:AlternateContent>
          <mc:Choice Requires="wps">
            <w:drawing>
              <wp:anchor distT="0" distB="0" distL="114300" distR="114300" simplePos="0" relativeHeight="251660288" behindDoc="0" locked="0" layoutInCell="1" allowOverlap="1">
                <wp:simplePos x="0" y="0"/>
                <wp:positionH relativeFrom="column">
                  <wp:posOffset>1257300</wp:posOffset>
                </wp:positionH>
                <wp:positionV relativeFrom="paragraph">
                  <wp:posOffset>0</wp:posOffset>
                </wp:positionV>
                <wp:extent cx="3086100" cy="1485900"/>
                <wp:effectExtent l="4445" t="4445" r="14605" b="14605"/>
                <wp:wrapNone/>
                <wp:docPr id="13" name="文本框 13"/>
                <wp:cNvGraphicFramePr/>
                <a:graphic xmlns:a="http://schemas.openxmlformats.org/drawingml/2006/main">
                  <a:graphicData uri="http://schemas.microsoft.com/office/word/2010/wordprocessingShape">
                    <wps:wsp>
                      <wps:cNvSpPr txBox="1"/>
                      <wps:spPr>
                        <a:xfrm>
                          <a:off x="0" y="0"/>
                          <a:ext cx="3086100" cy="148590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1C242BE">
                            <w:pPr>
                              <w:jc w:val="center"/>
                              <w:rPr>
                                <w:rFonts w:hint="eastAsia" w:ascii="黑体" w:eastAsia="黑体"/>
                                <w:sz w:val="32"/>
                                <w:szCs w:val="32"/>
                              </w:rPr>
                            </w:pPr>
                          </w:p>
                          <w:p w14:paraId="24171597">
                            <w:pPr>
                              <w:jc w:val="center"/>
                              <w:rPr>
                                <w:rFonts w:hint="eastAsia" w:ascii="黑体" w:eastAsia="黑体"/>
                                <w:sz w:val="24"/>
                              </w:rPr>
                            </w:pPr>
                            <w:r>
                              <w:rPr>
                                <w:rFonts w:hint="eastAsia" w:ascii="黑体" w:eastAsia="黑体"/>
                                <w:sz w:val="24"/>
                              </w:rPr>
                              <w:t>法定代表人身份证复印件</w:t>
                            </w:r>
                          </w:p>
                        </w:txbxContent>
                      </wps:txbx>
                      <wps:bodyPr upright="1"/>
                    </wps:wsp>
                  </a:graphicData>
                </a:graphic>
              </wp:anchor>
            </w:drawing>
          </mc:Choice>
          <mc:Fallback>
            <w:pict>
              <v:shape id="_x0000_s1026" o:spid="_x0000_s1026" o:spt="202" type="#_x0000_t202" style="position:absolute;left:0pt;margin-left:99pt;margin-top:0pt;height:117pt;width:243pt;z-index:251660288;mso-width-relative:page;mso-height-relative:page;" fillcolor="#FFFFFF" filled="t" stroked="t" coordsize="21600,21600" o:gfxdata="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A/3Wt1gAAAAgBAAAPAAAAAAAAAAEAIAAAACIA&#10;AABkcnMvZG93bnJldi54bWxQSwECFAAUAAAACACHTuJARZ0dYgsCAAA5BAAADgAAAAAAAAABACAA&#10;AAAlAQAAZHJzL2Uyb0RvYy54bWxQSwUGAAAAAAYABgBZAQAAogUAAAAA&#10;">
                <v:fill on="t" focussize="0,0"/>
                <v:stroke color="#000000" joinstyle="miter"/>
                <v:imagedata o:title=""/>
                <o:lock v:ext="edit" aspectratio="f"/>
                <v:textbox>
                  <w:txbxContent>
                    <w:p w14:paraId="31C242BE">
                      <w:pPr>
                        <w:jc w:val="center"/>
                        <w:rPr>
                          <w:rFonts w:hint="eastAsia" w:ascii="黑体" w:eastAsia="黑体"/>
                          <w:sz w:val="32"/>
                          <w:szCs w:val="32"/>
                        </w:rPr>
                      </w:pPr>
                    </w:p>
                    <w:p w14:paraId="24171597">
                      <w:pPr>
                        <w:jc w:val="center"/>
                        <w:rPr>
                          <w:rFonts w:hint="eastAsia" w:ascii="黑体" w:eastAsia="黑体"/>
                          <w:sz w:val="24"/>
                        </w:rPr>
                      </w:pPr>
                      <w:r>
                        <w:rPr>
                          <w:rFonts w:hint="eastAsia" w:ascii="黑体" w:eastAsia="黑体"/>
                          <w:sz w:val="24"/>
                        </w:rPr>
                        <w:t>法定代表人身份证复印件</w:t>
                      </w:r>
                    </w:p>
                  </w:txbxContent>
                </v:textbox>
              </v:shape>
            </w:pict>
          </mc:Fallback>
        </mc:AlternateContent>
      </w:r>
    </w:p>
    <w:p w14:paraId="2DC3C0E2">
      <w:pPr>
        <w:spacing w:line="360" w:lineRule="auto"/>
        <w:ind w:firstLine="420" w:firstLineChars="200"/>
        <w:rPr>
          <w:rFonts w:hint="eastAsia" w:ascii="黑体" w:hAnsi="黑体" w:eastAsia="黑体" w:cs="黑体"/>
          <w:color w:val="auto"/>
          <w:szCs w:val="21"/>
          <w:highlight w:val="none"/>
        </w:rPr>
      </w:pPr>
    </w:p>
    <w:p w14:paraId="4499D954">
      <w:pPr>
        <w:spacing w:line="360" w:lineRule="auto"/>
        <w:ind w:firstLine="420" w:firstLineChars="200"/>
        <w:rPr>
          <w:rFonts w:hint="eastAsia" w:ascii="黑体" w:hAnsi="黑体" w:eastAsia="黑体" w:cs="黑体"/>
          <w:color w:val="auto"/>
          <w:szCs w:val="21"/>
          <w:highlight w:val="none"/>
        </w:rPr>
      </w:pPr>
    </w:p>
    <w:p w14:paraId="27F7131D">
      <w:pPr>
        <w:spacing w:line="360" w:lineRule="auto"/>
        <w:ind w:firstLine="420" w:firstLineChars="200"/>
        <w:rPr>
          <w:rFonts w:hint="eastAsia" w:ascii="黑体" w:hAnsi="黑体" w:eastAsia="黑体" w:cs="黑体"/>
          <w:color w:val="auto"/>
          <w:szCs w:val="21"/>
          <w:highlight w:val="none"/>
        </w:rPr>
      </w:pPr>
    </w:p>
    <w:p w14:paraId="308873C4">
      <w:pPr>
        <w:spacing w:line="360" w:lineRule="auto"/>
        <w:ind w:firstLine="420" w:firstLineChars="200"/>
        <w:rPr>
          <w:rFonts w:hint="eastAsia" w:ascii="黑体" w:hAnsi="黑体" w:eastAsia="黑体" w:cs="黑体"/>
          <w:color w:val="auto"/>
          <w:szCs w:val="21"/>
          <w:highlight w:val="none"/>
        </w:rPr>
      </w:pPr>
    </w:p>
    <w:p w14:paraId="375AB5D1">
      <w:pPr>
        <w:spacing w:line="360" w:lineRule="auto"/>
        <w:ind w:firstLine="420" w:firstLineChars="200"/>
        <w:rPr>
          <w:rFonts w:hint="eastAsia" w:ascii="黑体" w:hAnsi="黑体" w:eastAsia="黑体" w:cs="黑体"/>
          <w:color w:val="auto"/>
          <w:szCs w:val="21"/>
          <w:highlight w:val="none"/>
        </w:rPr>
      </w:pPr>
    </w:p>
    <w:p w14:paraId="624A8E9D">
      <w:pPr>
        <w:spacing w:line="360" w:lineRule="auto"/>
        <w:ind w:firstLine="420" w:firstLineChars="200"/>
        <w:rPr>
          <w:rFonts w:hint="eastAsia" w:ascii="黑体" w:hAnsi="黑体" w:eastAsia="黑体" w:cs="黑体"/>
          <w:color w:val="auto"/>
          <w:szCs w:val="21"/>
          <w:highlight w:val="none"/>
        </w:rPr>
      </w:pPr>
    </w:p>
    <w:p w14:paraId="2914A1FB">
      <w:pPr>
        <w:spacing w:line="360" w:lineRule="auto"/>
        <w:ind w:firstLine="420" w:firstLineChars="200"/>
        <w:rPr>
          <w:rFonts w:hint="eastAsia" w:ascii="黑体" w:hAnsi="黑体" w:eastAsia="黑体" w:cs="黑体"/>
          <w:color w:val="auto"/>
          <w:szCs w:val="21"/>
          <w:highlight w:val="none"/>
        </w:rPr>
      </w:pPr>
    </w:p>
    <w:p w14:paraId="101084FB">
      <w:pPr>
        <w:spacing w:line="360" w:lineRule="auto"/>
        <w:ind w:firstLine="420" w:firstLineChars="200"/>
        <w:rPr>
          <w:rFonts w:hint="eastAsia" w:ascii="黑体" w:hAnsi="黑体" w:eastAsia="黑体" w:cs="黑体"/>
          <w:color w:val="auto"/>
          <w:szCs w:val="21"/>
          <w:highlight w:val="none"/>
        </w:rPr>
      </w:pPr>
    </w:p>
    <w:p w14:paraId="7D7414E0">
      <w:pPr>
        <w:spacing w:line="360" w:lineRule="auto"/>
        <w:ind w:firstLine="420" w:firstLineChars="200"/>
        <w:rPr>
          <w:rFonts w:hint="eastAsia" w:ascii="黑体" w:hAnsi="黑体" w:eastAsia="黑体" w:cs="黑体"/>
          <w:color w:val="auto"/>
          <w:szCs w:val="21"/>
          <w:highlight w:val="none"/>
        </w:rPr>
      </w:pPr>
    </w:p>
    <w:p w14:paraId="13910C5A">
      <w:pPr>
        <w:spacing w:line="360" w:lineRule="auto"/>
        <w:ind w:firstLine="4200" w:firstLineChars="2000"/>
        <w:rPr>
          <w:rFonts w:hint="eastAsia" w:ascii="黑体" w:hAnsi="黑体" w:eastAsia="黑体" w:cs="黑体"/>
          <w:color w:val="auto"/>
          <w:szCs w:val="21"/>
          <w:highlight w:val="none"/>
        </w:rPr>
      </w:pPr>
      <w:r>
        <w:rPr>
          <w:rFonts w:hint="eastAsia" w:ascii="黑体" w:hAnsi="黑体" w:eastAsia="黑体" w:cs="黑体"/>
          <w:color w:val="auto"/>
          <w:szCs w:val="21"/>
          <w:highlight w:val="none"/>
        </w:rPr>
        <w:t>供应商：（盖单位章）</w:t>
      </w:r>
    </w:p>
    <w:p w14:paraId="7AD97C84">
      <w:pPr>
        <w:spacing w:line="360" w:lineRule="auto"/>
        <w:ind w:firstLine="4515" w:firstLineChars="2150"/>
        <w:rPr>
          <w:rFonts w:hint="eastAsia" w:ascii="黑体" w:hAnsi="黑体" w:eastAsia="黑体" w:cs="黑体"/>
          <w:color w:val="auto"/>
          <w:szCs w:val="21"/>
          <w:highlight w:val="none"/>
          <w:u w:val="single"/>
        </w:rPr>
      </w:pPr>
    </w:p>
    <w:p w14:paraId="563EAA41">
      <w:pPr>
        <w:spacing w:line="360" w:lineRule="auto"/>
        <w:ind w:firstLine="4515" w:firstLineChars="2150"/>
        <w:rPr>
          <w:rFonts w:hint="eastAsia" w:ascii="黑体" w:hAnsi="黑体" w:eastAsia="黑体" w:cs="黑体"/>
          <w:color w:val="auto"/>
          <w:szCs w:val="21"/>
          <w:highlight w:val="none"/>
        </w:rPr>
      </w:pPr>
      <w:r>
        <w:rPr>
          <w:rFonts w:hint="eastAsia" w:ascii="黑体" w:hAnsi="黑体" w:eastAsia="黑体" w:cs="黑体"/>
          <w:color w:val="auto"/>
          <w:szCs w:val="21"/>
          <w:highlight w:val="none"/>
        </w:rPr>
        <w:t>年月日</w:t>
      </w:r>
    </w:p>
    <w:p w14:paraId="56162349">
      <w:pPr>
        <w:spacing w:line="360" w:lineRule="auto"/>
        <w:ind w:firstLine="420" w:firstLineChars="200"/>
        <w:rPr>
          <w:rFonts w:hint="eastAsia" w:ascii="黑体" w:hAnsi="黑体" w:eastAsia="黑体" w:cs="黑体"/>
          <w:color w:val="auto"/>
          <w:szCs w:val="21"/>
          <w:highlight w:val="none"/>
        </w:rPr>
        <w:sectPr>
          <w:pgSz w:w="11906" w:h="16838"/>
          <w:pgMar w:top="1418" w:right="1418" w:bottom="1418" w:left="1418" w:header="851" w:footer="992" w:gutter="0"/>
          <w:pgNumType w:fmt="decimal"/>
          <w:cols w:space="720" w:num="1"/>
          <w:docGrid w:linePitch="312" w:charSpace="0"/>
        </w:sectPr>
      </w:pPr>
    </w:p>
    <w:p w14:paraId="2C835F8A">
      <w:pPr>
        <w:spacing w:line="360" w:lineRule="auto"/>
        <w:jc w:val="center"/>
        <w:outlineLvl w:val="2"/>
        <w:rPr>
          <w:rFonts w:hint="eastAsia" w:ascii="黑体" w:hAnsi="黑体" w:eastAsia="黑体" w:cs="黑体"/>
          <w:b/>
          <w:color w:val="auto"/>
          <w:sz w:val="28"/>
          <w:szCs w:val="28"/>
          <w:highlight w:val="none"/>
        </w:rPr>
      </w:pPr>
      <w:bookmarkStart w:id="125" w:name="_Toc8597"/>
      <w:bookmarkStart w:id="126" w:name="_Toc6698"/>
      <w:r>
        <w:rPr>
          <w:rFonts w:hint="eastAsia" w:ascii="黑体" w:hAnsi="黑体" w:eastAsia="黑体" w:cs="黑体"/>
          <w:b/>
          <w:color w:val="auto"/>
          <w:sz w:val="28"/>
          <w:szCs w:val="28"/>
          <w:highlight w:val="none"/>
        </w:rPr>
        <w:t>（二）授权委托书</w:t>
      </w:r>
      <w:bookmarkEnd w:id="125"/>
      <w:bookmarkEnd w:id="126"/>
    </w:p>
    <w:p w14:paraId="58B4AFD2">
      <w:pPr>
        <w:spacing w:line="360" w:lineRule="auto"/>
        <w:ind w:firstLine="420" w:firstLineChars="200"/>
        <w:rPr>
          <w:rFonts w:hint="eastAsia" w:ascii="黑体" w:hAnsi="黑体" w:eastAsia="黑体" w:cs="黑体"/>
          <w:color w:val="auto"/>
          <w:szCs w:val="21"/>
          <w:highlight w:val="none"/>
        </w:rPr>
      </w:pPr>
    </w:p>
    <w:p w14:paraId="09FC20C9">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本人（姓名）系（供应商名称）的法定代表人，现委托（姓名）为我方代理人。代理人根据授权，以我方名义签署、澄清、说明、补正、递交、撤回、修改（项目名称）响应文件、签订合同和处理有关事宜，其法律后果由我方承担。</w:t>
      </w:r>
    </w:p>
    <w:p w14:paraId="5C8C0762">
      <w:pPr>
        <w:spacing w:line="360" w:lineRule="auto"/>
        <w:ind w:firstLine="420" w:firstLineChars="200"/>
        <w:rPr>
          <w:rFonts w:hint="eastAsia" w:ascii="黑体" w:hAnsi="黑体" w:eastAsia="黑体" w:cs="黑体"/>
          <w:color w:val="auto"/>
          <w:szCs w:val="21"/>
          <w:highlight w:val="none"/>
          <w:lang w:eastAsia="zh-CN"/>
        </w:rPr>
      </w:pPr>
      <w:r>
        <w:rPr>
          <w:rFonts w:hint="eastAsia" w:ascii="黑体" w:hAnsi="黑体" w:eastAsia="黑体" w:cs="黑体"/>
          <w:color w:val="auto"/>
          <w:szCs w:val="21"/>
          <w:highlight w:val="none"/>
        </w:rPr>
        <w:t>委托期限：</w:t>
      </w:r>
    </w:p>
    <w:p w14:paraId="1867C311">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w:t>代理人无转委托权。</w:t>
      </w:r>
    </w:p>
    <w:p w14:paraId="0EB879F3">
      <w:pPr>
        <w:spacing w:line="360" w:lineRule="auto"/>
        <w:ind w:firstLine="420" w:firstLineChars="200"/>
        <w:rPr>
          <w:rFonts w:hint="eastAsia" w:ascii="黑体" w:hAnsi="黑体" w:eastAsia="黑体" w:cs="黑体"/>
          <w:color w:val="auto"/>
          <w:szCs w:val="21"/>
          <w:highlight w:val="none"/>
        </w:rPr>
      </w:pPr>
    </w:p>
    <w:p w14:paraId="31AB04A8">
      <w:pPr>
        <w:spacing w:line="360" w:lineRule="auto"/>
        <w:rPr>
          <w:rFonts w:hint="eastAsia" w:ascii="黑体" w:hAnsi="黑体" w:eastAsia="黑体" w:cs="黑体"/>
          <w:color w:val="auto"/>
          <w:szCs w:val="21"/>
          <w:highlight w:val="none"/>
        </w:rPr>
      </w:pPr>
      <w:r>
        <w:rPr>
          <w:rFonts w:hint="eastAsia" w:ascii="黑体" w:hAnsi="黑体" w:eastAsia="黑体" w:cs="黑体"/>
          <w:color w:val="auto"/>
          <w:szCs w:val="21"/>
          <w:highlight w:val="none"/>
        </w:rPr>
        <mc:AlternateContent>
          <mc:Choice Requires="wps">
            <w:drawing>
              <wp:anchor distT="0" distB="0" distL="114300" distR="114300" simplePos="0" relativeHeight="251661312"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6" name="文本框 6"/>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458B6A0">
                            <w:pPr>
                              <w:rPr>
                                <w:rFonts w:hint="eastAsia" w:ascii="黑体" w:eastAsia="黑体"/>
                                <w:sz w:val="32"/>
                                <w:szCs w:val="32"/>
                              </w:rPr>
                            </w:pPr>
                          </w:p>
                          <w:p w14:paraId="1F831649">
                            <w:pPr>
                              <w:jc w:val="center"/>
                              <w:rPr>
                                <w:rFonts w:hint="eastAsia" w:ascii="黑体" w:eastAsia="黑体"/>
                                <w:sz w:val="24"/>
                              </w:rPr>
                            </w:pPr>
                            <w:r>
                              <w:rPr>
                                <w:rFonts w:hint="eastAsia" w:ascii="黑体" w:eastAsia="黑体"/>
                                <w:sz w:val="24"/>
                              </w:rPr>
                              <w:t>法定代表人身份证复印件</w:t>
                            </w:r>
                          </w:p>
                        </w:txbxContent>
                      </wps:txbx>
                      <wps:bodyPr upright="1"/>
                    </wps:wsp>
                  </a:graphicData>
                </a:graphic>
              </wp:anchor>
            </w:drawing>
          </mc:Choice>
          <mc:Fallback>
            <w:pict>
              <v:shape id="_x0000_s1026" o:spid="_x0000_s1026" o:spt="202" type="#_x0000_t202" style="position:absolute;left:0pt;margin-left:115.5pt;margin-top:-0.05pt;height:124.8pt;width:225.75pt;z-index:251661312;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Ma6l72QAAAAkBAAAPAAAAAAAAAAEA&#10;IAAAACIAAABkcnMvZG93bnJldi54bWxQSwECFAAUAAAACACHTuJACM9sOA4CAAA3BAAADgAAAAAA&#10;AAABACAAAAAoAQAAZHJzL2Uyb0RvYy54bWxQSwUGAAAAAAYABgBZAQAAqAUAAAAA&#10;">
                <v:fill on="t" focussize="0,0"/>
                <v:stroke color="#000000" joinstyle="miter"/>
                <v:imagedata o:title=""/>
                <o:lock v:ext="edit" aspectratio="f"/>
                <v:textbox>
                  <w:txbxContent>
                    <w:p w14:paraId="3458B6A0">
                      <w:pPr>
                        <w:rPr>
                          <w:rFonts w:hint="eastAsia" w:ascii="黑体" w:eastAsia="黑体"/>
                          <w:sz w:val="32"/>
                          <w:szCs w:val="32"/>
                        </w:rPr>
                      </w:pPr>
                    </w:p>
                    <w:p w14:paraId="1F831649">
                      <w:pPr>
                        <w:jc w:val="center"/>
                        <w:rPr>
                          <w:rFonts w:hint="eastAsia" w:ascii="黑体" w:eastAsia="黑体"/>
                          <w:sz w:val="24"/>
                        </w:rPr>
                      </w:pPr>
                      <w:r>
                        <w:rPr>
                          <w:rFonts w:hint="eastAsia" w:ascii="黑体" w:eastAsia="黑体"/>
                          <w:sz w:val="24"/>
                        </w:rPr>
                        <w:t>法定代表人身份证复印件</w:t>
                      </w:r>
                    </w:p>
                  </w:txbxContent>
                </v:textbox>
              </v:shape>
            </w:pict>
          </mc:Fallback>
        </mc:AlternateContent>
      </w:r>
    </w:p>
    <w:p w14:paraId="38EAA594">
      <w:pPr>
        <w:spacing w:line="360" w:lineRule="auto"/>
        <w:ind w:firstLine="420" w:firstLineChars="200"/>
        <w:rPr>
          <w:rFonts w:hint="eastAsia" w:ascii="黑体" w:hAnsi="黑体" w:eastAsia="黑体" w:cs="黑体"/>
          <w:color w:val="auto"/>
          <w:szCs w:val="21"/>
          <w:highlight w:val="none"/>
        </w:rPr>
      </w:pPr>
    </w:p>
    <w:p w14:paraId="619B8FC7">
      <w:pPr>
        <w:spacing w:line="360" w:lineRule="auto"/>
        <w:ind w:firstLine="420" w:firstLineChars="200"/>
        <w:rPr>
          <w:rFonts w:hint="eastAsia" w:ascii="黑体" w:hAnsi="黑体" w:eastAsia="黑体" w:cs="黑体"/>
          <w:color w:val="auto"/>
          <w:szCs w:val="21"/>
          <w:highlight w:val="none"/>
        </w:rPr>
      </w:pPr>
    </w:p>
    <w:p w14:paraId="3560073A">
      <w:pPr>
        <w:spacing w:line="360" w:lineRule="auto"/>
        <w:ind w:firstLine="420" w:firstLineChars="200"/>
        <w:rPr>
          <w:rFonts w:hint="eastAsia" w:ascii="黑体" w:hAnsi="黑体" w:eastAsia="黑体" w:cs="黑体"/>
          <w:color w:val="auto"/>
          <w:szCs w:val="21"/>
          <w:highlight w:val="none"/>
        </w:rPr>
      </w:pPr>
    </w:p>
    <w:p w14:paraId="620EF9CF">
      <w:pPr>
        <w:spacing w:line="360" w:lineRule="auto"/>
        <w:ind w:firstLine="420" w:firstLineChars="200"/>
        <w:rPr>
          <w:rFonts w:hint="eastAsia" w:ascii="黑体" w:hAnsi="黑体" w:eastAsia="黑体" w:cs="黑体"/>
          <w:color w:val="auto"/>
          <w:szCs w:val="21"/>
          <w:highlight w:val="none"/>
        </w:rPr>
      </w:pPr>
    </w:p>
    <w:p w14:paraId="50F85BB3">
      <w:pPr>
        <w:spacing w:line="360" w:lineRule="auto"/>
        <w:ind w:firstLine="420" w:firstLineChars="200"/>
        <w:rPr>
          <w:rFonts w:hint="eastAsia" w:ascii="黑体" w:hAnsi="黑体" w:eastAsia="黑体" w:cs="黑体"/>
          <w:color w:val="auto"/>
          <w:szCs w:val="21"/>
          <w:highlight w:val="none"/>
        </w:rPr>
      </w:pPr>
    </w:p>
    <w:p w14:paraId="5E904EEF">
      <w:pPr>
        <w:spacing w:line="360" w:lineRule="auto"/>
        <w:ind w:firstLine="420" w:firstLineChars="200"/>
        <w:rPr>
          <w:rFonts w:hint="eastAsia" w:ascii="黑体" w:hAnsi="黑体" w:eastAsia="黑体" w:cs="黑体"/>
          <w:color w:val="auto"/>
          <w:szCs w:val="21"/>
          <w:highlight w:val="none"/>
        </w:rPr>
      </w:pPr>
    </w:p>
    <w:p w14:paraId="20B26C77">
      <w:pPr>
        <w:spacing w:line="360" w:lineRule="auto"/>
        <w:ind w:firstLine="420" w:firstLineChars="200"/>
        <w:rPr>
          <w:rFonts w:hint="eastAsia" w:ascii="黑体" w:hAnsi="黑体" w:eastAsia="黑体" w:cs="黑体"/>
          <w:color w:val="auto"/>
          <w:szCs w:val="21"/>
          <w:highlight w:val="none"/>
        </w:rPr>
      </w:pPr>
    </w:p>
    <w:p w14:paraId="12B998AF">
      <w:pPr>
        <w:spacing w:line="360" w:lineRule="auto"/>
        <w:ind w:right="-290" w:rightChars="-138" w:firstLine="3780" w:firstLineChars="1800"/>
        <w:rPr>
          <w:rFonts w:hint="eastAsia" w:ascii="黑体" w:hAnsi="黑体" w:eastAsia="黑体" w:cs="黑体"/>
          <w:color w:val="auto"/>
          <w:szCs w:val="21"/>
          <w:highlight w:val="none"/>
        </w:rPr>
      </w:pPr>
      <w:r>
        <w:rPr>
          <w:rFonts w:hint="eastAsia" w:ascii="黑体" w:hAnsi="黑体" w:eastAsia="黑体" w:cs="黑体"/>
          <w:color w:val="auto"/>
          <w:szCs w:val="21"/>
          <w:highlight w:val="none"/>
        </w:rPr>
        <w:t>供应商：（盖单位章）</w:t>
      </w:r>
    </w:p>
    <w:p w14:paraId="274A599F">
      <w:pPr>
        <w:spacing w:line="360" w:lineRule="auto"/>
        <w:ind w:firstLine="4139" w:firstLineChars="1971"/>
        <w:rPr>
          <w:rFonts w:hint="eastAsia" w:ascii="黑体" w:hAnsi="黑体" w:eastAsia="黑体" w:cs="黑体"/>
          <w:color w:val="auto"/>
          <w:szCs w:val="21"/>
          <w:highlight w:val="none"/>
        </w:rPr>
      </w:pPr>
    </w:p>
    <w:p w14:paraId="504AF59D">
      <w:pPr>
        <w:spacing w:line="360" w:lineRule="auto"/>
        <w:ind w:right="-290" w:rightChars="-138" w:firstLine="3780" w:firstLineChars="1800"/>
        <w:rPr>
          <w:rFonts w:hint="eastAsia" w:ascii="黑体" w:hAnsi="黑体" w:eastAsia="黑体" w:cs="黑体"/>
          <w:color w:val="auto"/>
          <w:szCs w:val="21"/>
          <w:highlight w:val="none"/>
        </w:rPr>
      </w:pPr>
      <w:r>
        <w:rPr>
          <w:rFonts w:hint="eastAsia" w:ascii="黑体" w:hAnsi="黑体" w:eastAsia="黑体" w:cs="黑体"/>
          <w:color w:val="auto"/>
          <w:szCs w:val="21"/>
          <w:highlight w:val="none"/>
        </w:rPr>
        <w:t>法定代表人：（签字）</w:t>
      </w:r>
    </w:p>
    <w:p w14:paraId="170D21AE">
      <w:pPr>
        <w:spacing w:line="360" w:lineRule="auto"/>
        <w:ind w:firstLine="4139" w:firstLineChars="1971"/>
        <w:rPr>
          <w:rFonts w:hint="eastAsia" w:ascii="黑体" w:hAnsi="黑体" w:eastAsia="黑体" w:cs="黑体"/>
          <w:color w:val="auto"/>
          <w:szCs w:val="21"/>
          <w:highlight w:val="none"/>
        </w:rPr>
      </w:pPr>
    </w:p>
    <w:p w14:paraId="78D12B2B">
      <w:pPr>
        <w:spacing w:line="360" w:lineRule="auto"/>
        <w:rPr>
          <w:rFonts w:hint="eastAsia" w:ascii="黑体" w:hAnsi="黑体" w:eastAsia="黑体" w:cs="黑体"/>
          <w:color w:val="auto"/>
          <w:szCs w:val="21"/>
          <w:highlight w:val="none"/>
        </w:rPr>
      </w:pPr>
    </w:p>
    <w:p w14:paraId="0390A7B7">
      <w:pPr>
        <w:spacing w:line="360" w:lineRule="auto"/>
        <w:ind w:firstLine="420" w:firstLineChars="200"/>
        <w:rPr>
          <w:rFonts w:hint="eastAsia" w:ascii="黑体" w:hAnsi="黑体" w:eastAsia="黑体" w:cs="黑体"/>
          <w:color w:val="auto"/>
          <w:szCs w:val="21"/>
          <w:highlight w:val="none"/>
        </w:rPr>
      </w:pPr>
      <w:r>
        <w:rPr>
          <w:rFonts w:hint="eastAsia" w:ascii="黑体" w:hAnsi="黑体" w:eastAsia="黑体" w:cs="黑体"/>
          <w:color w:val="auto"/>
          <w:szCs w:val="21"/>
          <w:highlight w:val="none"/>
        </w:rPr>
        <mc:AlternateContent>
          <mc:Choice Requires="wps">
            <w:drawing>
              <wp:anchor distT="0" distB="0" distL="114300" distR="114300" simplePos="0" relativeHeight="251662336" behindDoc="0" locked="0" layoutInCell="1" allowOverlap="1">
                <wp:simplePos x="0" y="0"/>
                <wp:positionH relativeFrom="column">
                  <wp:posOffset>1466850</wp:posOffset>
                </wp:positionH>
                <wp:positionV relativeFrom="paragraph">
                  <wp:posOffset>-635</wp:posOffset>
                </wp:positionV>
                <wp:extent cx="2867025" cy="1584960"/>
                <wp:effectExtent l="4445" t="4445" r="5080" b="10795"/>
                <wp:wrapNone/>
                <wp:docPr id="10" name="文本框 10"/>
                <wp:cNvGraphicFramePr/>
                <a:graphic xmlns:a="http://schemas.openxmlformats.org/drawingml/2006/main">
                  <a:graphicData uri="http://schemas.microsoft.com/office/word/2010/wordprocessingShape">
                    <wps:wsp>
                      <wps:cNvSpPr txBox="1"/>
                      <wps:spPr>
                        <a:xfrm>
                          <a:off x="0" y="0"/>
                          <a:ext cx="2867025" cy="158496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41D863BA">
                            <w:pPr>
                              <w:rPr>
                                <w:rFonts w:hint="eastAsia" w:ascii="黑体" w:eastAsia="黑体"/>
                                <w:sz w:val="32"/>
                                <w:szCs w:val="32"/>
                              </w:rPr>
                            </w:pPr>
                          </w:p>
                          <w:p w14:paraId="274CB860">
                            <w:pPr>
                              <w:jc w:val="center"/>
                              <w:rPr>
                                <w:rFonts w:hint="eastAsia" w:ascii="黑体" w:eastAsia="黑体"/>
                                <w:sz w:val="24"/>
                              </w:rPr>
                            </w:pPr>
                            <w:r>
                              <w:rPr>
                                <w:rFonts w:hint="eastAsia" w:ascii="黑体" w:eastAsia="黑体"/>
                                <w:sz w:val="24"/>
                              </w:rPr>
                              <w:t>委托代理人身份证复印件</w:t>
                            </w:r>
                          </w:p>
                        </w:txbxContent>
                      </wps:txbx>
                      <wps:bodyPr upright="1"/>
                    </wps:wsp>
                  </a:graphicData>
                </a:graphic>
              </wp:anchor>
            </w:drawing>
          </mc:Choice>
          <mc:Fallback>
            <w:pict>
              <v:shape id="_x0000_s1026" o:spid="_x0000_s1026" o:spt="202" type="#_x0000_t202" style="position:absolute;left:0pt;margin-left:115.5pt;margin-top:-0.05pt;height:124.8pt;width:225.75pt;z-index:251662336;mso-width-relative:page;mso-height-relative:page;" fillcolor="#FFFFFF" filled="t" stroked="t" coordsize="21600,21600" o:gfxdata="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ExrqXvZAAAACQEAAA8AAAAAAAAAAQAg&#10;AAAAIgAAAGRycy9kb3ducmV2LnhtbFBLAQIUABQAAAAIAIdO4kDuVqXUDQIAADkEAAAOAAAAAAAA&#10;AAEAIAAAACgBAABkcnMvZTJvRG9jLnhtbFBLBQYAAAAABgAGAFkBAACnBQAAAAA=&#10;">
                <v:fill on="t" focussize="0,0"/>
                <v:stroke color="#000000" joinstyle="miter"/>
                <v:imagedata o:title=""/>
                <o:lock v:ext="edit" aspectratio="f"/>
                <v:textbox>
                  <w:txbxContent>
                    <w:p w14:paraId="41D863BA">
                      <w:pPr>
                        <w:rPr>
                          <w:rFonts w:hint="eastAsia" w:ascii="黑体" w:eastAsia="黑体"/>
                          <w:sz w:val="32"/>
                          <w:szCs w:val="32"/>
                        </w:rPr>
                      </w:pPr>
                    </w:p>
                    <w:p w14:paraId="274CB860">
                      <w:pPr>
                        <w:jc w:val="center"/>
                        <w:rPr>
                          <w:rFonts w:hint="eastAsia" w:ascii="黑体" w:eastAsia="黑体"/>
                          <w:sz w:val="24"/>
                        </w:rPr>
                      </w:pPr>
                      <w:r>
                        <w:rPr>
                          <w:rFonts w:hint="eastAsia" w:ascii="黑体" w:eastAsia="黑体"/>
                          <w:sz w:val="24"/>
                        </w:rPr>
                        <w:t>委托代理人身份证复印件</w:t>
                      </w:r>
                    </w:p>
                  </w:txbxContent>
                </v:textbox>
              </v:shape>
            </w:pict>
          </mc:Fallback>
        </mc:AlternateContent>
      </w:r>
    </w:p>
    <w:p w14:paraId="00BC05B5">
      <w:pPr>
        <w:spacing w:line="360" w:lineRule="auto"/>
        <w:ind w:firstLine="420" w:firstLineChars="200"/>
        <w:rPr>
          <w:rFonts w:hint="eastAsia" w:ascii="黑体" w:hAnsi="黑体" w:eastAsia="黑体" w:cs="黑体"/>
          <w:color w:val="auto"/>
          <w:szCs w:val="21"/>
          <w:highlight w:val="none"/>
        </w:rPr>
      </w:pPr>
    </w:p>
    <w:p w14:paraId="0FEB0F04">
      <w:pPr>
        <w:spacing w:line="360" w:lineRule="auto"/>
        <w:ind w:firstLine="420" w:firstLineChars="200"/>
        <w:rPr>
          <w:rFonts w:hint="eastAsia" w:ascii="黑体" w:hAnsi="黑体" w:eastAsia="黑体" w:cs="黑体"/>
          <w:color w:val="auto"/>
          <w:szCs w:val="21"/>
          <w:highlight w:val="none"/>
        </w:rPr>
      </w:pPr>
    </w:p>
    <w:p w14:paraId="54C6FD8B">
      <w:pPr>
        <w:spacing w:line="360" w:lineRule="auto"/>
        <w:ind w:firstLine="420" w:firstLineChars="200"/>
        <w:rPr>
          <w:rFonts w:hint="eastAsia" w:ascii="黑体" w:hAnsi="黑体" w:eastAsia="黑体" w:cs="黑体"/>
          <w:color w:val="auto"/>
          <w:szCs w:val="21"/>
          <w:highlight w:val="none"/>
        </w:rPr>
      </w:pPr>
    </w:p>
    <w:p w14:paraId="39D86A45">
      <w:pPr>
        <w:spacing w:line="360" w:lineRule="auto"/>
        <w:ind w:firstLine="420" w:firstLineChars="200"/>
        <w:rPr>
          <w:rFonts w:hint="eastAsia" w:ascii="黑体" w:hAnsi="黑体" w:eastAsia="黑体" w:cs="黑体"/>
          <w:color w:val="auto"/>
          <w:szCs w:val="21"/>
          <w:highlight w:val="none"/>
        </w:rPr>
      </w:pPr>
    </w:p>
    <w:p w14:paraId="4A65C6C3">
      <w:pPr>
        <w:spacing w:line="360" w:lineRule="auto"/>
        <w:ind w:firstLine="420" w:firstLineChars="200"/>
        <w:rPr>
          <w:rFonts w:hint="eastAsia" w:ascii="黑体" w:hAnsi="黑体" w:eastAsia="黑体" w:cs="黑体"/>
          <w:color w:val="auto"/>
          <w:szCs w:val="21"/>
          <w:highlight w:val="none"/>
        </w:rPr>
      </w:pPr>
    </w:p>
    <w:p w14:paraId="314B9783">
      <w:pPr>
        <w:spacing w:line="360" w:lineRule="auto"/>
        <w:ind w:firstLine="420" w:firstLineChars="200"/>
        <w:rPr>
          <w:rFonts w:hint="eastAsia" w:ascii="黑体" w:hAnsi="黑体" w:eastAsia="黑体" w:cs="黑体"/>
          <w:color w:val="auto"/>
          <w:szCs w:val="21"/>
          <w:highlight w:val="none"/>
        </w:rPr>
      </w:pPr>
    </w:p>
    <w:p w14:paraId="1D362D04">
      <w:pPr>
        <w:spacing w:line="360" w:lineRule="auto"/>
        <w:ind w:firstLine="3780" w:firstLineChars="1800"/>
        <w:rPr>
          <w:rFonts w:hint="eastAsia" w:ascii="黑体" w:hAnsi="黑体" w:eastAsia="黑体" w:cs="黑体"/>
          <w:color w:val="auto"/>
          <w:szCs w:val="21"/>
          <w:highlight w:val="none"/>
          <w:u w:val="single"/>
          <w:lang w:eastAsia="zh-CN"/>
        </w:rPr>
      </w:pPr>
      <w:r>
        <w:rPr>
          <w:rFonts w:hint="eastAsia" w:ascii="黑体" w:hAnsi="黑体" w:eastAsia="黑体" w:cs="黑体"/>
          <w:color w:val="auto"/>
          <w:szCs w:val="21"/>
          <w:highlight w:val="none"/>
        </w:rPr>
        <w:t>委托代理人：（签字）性别：</w:t>
      </w:r>
    </w:p>
    <w:p w14:paraId="37FEB41D">
      <w:pPr>
        <w:spacing w:line="360" w:lineRule="auto"/>
        <w:ind w:firstLine="3780" w:firstLineChars="1800"/>
        <w:rPr>
          <w:rFonts w:hint="eastAsia" w:ascii="黑体" w:hAnsi="黑体" w:eastAsia="黑体" w:cs="黑体"/>
          <w:color w:val="auto"/>
          <w:szCs w:val="21"/>
          <w:highlight w:val="none"/>
          <w:u w:val="single"/>
          <w:lang w:eastAsia="zh-CN"/>
        </w:rPr>
      </w:pPr>
      <w:r>
        <w:rPr>
          <w:rFonts w:hint="eastAsia" w:ascii="黑体" w:hAnsi="黑体" w:eastAsia="黑体" w:cs="黑体"/>
          <w:color w:val="auto"/>
          <w:szCs w:val="21"/>
          <w:highlight w:val="none"/>
        </w:rPr>
        <w:t>年龄：职务</w:t>
      </w:r>
    </w:p>
    <w:p w14:paraId="786802F6">
      <w:pPr>
        <w:spacing w:line="360" w:lineRule="auto"/>
        <w:ind w:firstLine="5355" w:firstLineChars="2550"/>
        <w:rPr>
          <w:rFonts w:hint="eastAsia" w:ascii="黑体" w:hAnsi="黑体" w:eastAsia="黑体" w:cs="黑体"/>
          <w:color w:val="auto"/>
          <w:szCs w:val="21"/>
          <w:highlight w:val="none"/>
        </w:rPr>
      </w:pPr>
    </w:p>
    <w:p w14:paraId="20BCF28B">
      <w:pPr>
        <w:spacing w:line="360" w:lineRule="auto"/>
        <w:ind w:firstLine="3780" w:firstLineChars="1800"/>
        <w:rPr>
          <w:rFonts w:hint="eastAsia" w:ascii="黑体" w:hAnsi="黑体" w:eastAsia="黑体" w:cs="黑体"/>
          <w:color w:val="auto"/>
          <w:szCs w:val="21"/>
          <w:highlight w:val="none"/>
        </w:rPr>
        <w:sectPr>
          <w:pgSz w:w="11906" w:h="16838"/>
          <w:pgMar w:top="1418" w:right="1418" w:bottom="1418" w:left="1418" w:header="851" w:footer="992" w:gutter="0"/>
          <w:pgNumType w:fmt="decimal"/>
          <w:cols w:space="720" w:num="1"/>
          <w:docGrid w:linePitch="312" w:charSpace="0"/>
        </w:sectPr>
      </w:pPr>
      <w:r>
        <w:rPr>
          <w:rFonts w:hint="eastAsia" w:ascii="黑体" w:hAnsi="黑体" w:eastAsia="黑体" w:cs="黑体"/>
          <w:color w:val="auto"/>
          <w:szCs w:val="21"/>
          <w:highlight w:val="none"/>
        </w:rPr>
        <w:t>年月</w:t>
      </w:r>
      <w:r>
        <w:rPr>
          <w:rFonts w:hint="eastAsia" w:ascii="黑体" w:hAnsi="黑体" w:eastAsia="黑体" w:cs="黑体"/>
          <w:color w:val="auto"/>
          <w:szCs w:val="21"/>
          <w:highlight w:val="none"/>
          <w:u w:val="single"/>
        </w:rPr>
        <w:t>日</w:t>
      </w:r>
    </w:p>
    <w:p w14:paraId="08A1AFF1">
      <w:pPr>
        <w:spacing w:line="360" w:lineRule="auto"/>
        <w:jc w:val="center"/>
        <w:outlineLvl w:val="1"/>
        <w:rPr>
          <w:rFonts w:hint="eastAsia" w:ascii="黑体" w:hAnsi="黑体" w:eastAsia="黑体" w:cs="黑体"/>
          <w:b/>
          <w:color w:val="auto"/>
          <w:sz w:val="28"/>
          <w:szCs w:val="28"/>
          <w:highlight w:val="none"/>
        </w:rPr>
      </w:pPr>
      <w:bookmarkStart w:id="127" w:name="_Toc20854"/>
      <w:bookmarkStart w:id="128" w:name="_Toc27018"/>
      <w:bookmarkStart w:id="129" w:name="_Toc208975018"/>
      <w:bookmarkStart w:id="130" w:name="_Toc208999279"/>
      <w:bookmarkStart w:id="131" w:name="_Toc262045240"/>
      <w:bookmarkStart w:id="132" w:name="_Toc228871319"/>
      <w:bookmarkStart w:id="133" w:name="_Toc199384398"/>
      <w:bookmarkStart w:id="134" w:name="_Toc259191079"/>
      <w:r>
        <w:rPr>
          <w:rFonts w:hint="eastAsia" w:ascii="黑体" w:hAnsi="黑体" w:eastAsia="黑体" w:cs="黑体"/>
          <w:b/>
          <w:color w:val="auto"/>
          <w:sz w:val="28"/>
          <w:szCs w:val="28"/>
          <w:highlight w:val="none"/>
        </w:rPr>
        <w:t>三、磋商响应保证金</w:t>
      </w:r>
      <w:bookmarkEnd w:id="127"/>
      <w:bookmarkEnd w:id="128"/>
    </w:p>
    <w:p w14:paraId="7CB9B4BF">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致：（采购</w:t>
      </w:r>
      <w:r>
        <w:rPr>
          <w:rFonts w:hint="eastAsia" w:ascii="黑体" w:hAnsi="黑体" w:eastAsia="黑体" w:cs="黑体"/>
          <w:b w:val="0"/>
          <w:bCs/>
          <w:color w:val="000000"/>
          <w:sz w:val="21"/>
          <w:szCs w:val="21"/>
          <w:lang w:val="en-US" w:eastAsia="zh-CN"/>
        </w:rPr>
        <w:t>人</w:t>
      </w:r>
      <w:r>
        <w:rPr>
          <w:rFonts w:hint="eastAsia" w:ascii="黑体" w:hAnsi="黑体" w:eastAsia="黑体" w:cs="黑体"/>
          <w:b w:val="0"/>
          <w:bCs/>
          <w:color w:val="000000"/>
          <w:sz w:val="21"/>
          <w:szCs w:val="21"/>
          <w:lang w:val="zh-CN"/>
        </w:rPr>
        <w:t>名称）：</w:t>
      </w:r>
    </w:p>
    <w:p w14:paraId="5E5C9FBA">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我方同意竞争性</w:t>
      </w:r>
      <w:r>
        <w:rPr>
          <w:rFonts w:hint="eastAsia" w:ascii="黑体" w:hAnsi="黑体" w:eastAsia="黑体" w:cs="黑体"/>
          <w:b w:val="0"/>
          <w:bCs/>
          <w:color w:val="000000"/>
          <w:sz w:val="21"/>
          <w:szCs w:val="21"/>
          <w:lang w:val="en-US" w:eastAsia="zh-CN"/>
        </w:rPr>
        <w:t>招标</w:t>
      </w:r>
      <w:r>
        <w:rPr>
          <w:rFonts w:hint="eastAsia" w:ascii="黑体" w:hAnsi="黑体" w:eastAsia="黑体" w:cs="黑体"/>
          <w:b w:val="0"/>
          <w:bCs/>
          <w:color w:val="000000"/>
          <w:sz w:val="21"/>
          <w:szCs w:val="21"/>
          <w:lang w:val="zh-CN"/>
        </w:rPr>
        <w:t>文件关投标（</w:t>
      </w:r>
      <w:r>
        <w:rPr>
          <w:rFonts w:hint="eastAsia" w:ascii="黑体" w:hAnsi="黑体" w:eastAsia="黑体" w:cs="黑体"/>
          <w:b w:val="0"/>
          <w:bCs/>
          <w:color w:val="000000"/>
          <w:sz w:val="21"/>
          <w:szCs w:val="21"/>
          <w:lang w:val="en-US" w:eastAsia="zh-CN"/>
        </w:rPr>
        <w:t>磋商</w:t>
      </w:r>
      <w:r>
        <w:rPr>
          <w:rFonts w:hint="eastAsia" w:ascii="黑体" w:hAnsi="黑体" w:eastAsia="黑体" w:cs="黑体"/>
          <w:b w:val="0"/>
          <w:bCs/>
          <w:color w:val="000000"/>
          <w:sz w:val="21"/>
          <w:szCs w:val="21"/>
          <w:lang w:val="zh-CN"/>
        </w:rPr>
        <w:t>）保证金的规定，并对我方有约束力。</w:t>
      </w:r>
    </w:p>
    <w:p w14:paraId="2525B26F">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p>
    <w:tbl>
      <w:tblPr>
        <w:tblStyle w:val="1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3AC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9" w:hRule="atLeast"/>
          <w:jc w:val="center"/>
        </w:trPr>
        <w:tc>
          <w:tcPr>
            <w:tcW w:w="8522" w:type="dxa"/>
            <w:vAlign w:val="center"/>
          </w:tcPr>
          <w:p w14:paraId="55B99B21">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附：投标人基本账户转出的银行转账或电汇凭证</w:t>
            </w:r>
            <w:r>
              <w:rPr>
                <w:rFonts w:hint="eastAsia" w:ascii="黑体" w:hAnsi="黑体" w:eastAsia="黑体" w:cs="黑体"/>
                <w:b w:val="0"/>
                <w:bCs/>
                <w:color w:val="000000"/>
                <w:sz w:val="21"/>
                <w:szCs w:val="21"/>
                <w:lang w:val="en-US" w:eastAsia="zh-CN"/>
              </w:rPr>
              <w:t>或</w:t>
            </w:r>
            <w:r>
              <w:rPr>
                <w:rFonts w:hint="eastAsia" w:ascii="黑体" w:hAnsi="黑体" w:eastAsia="黑体" w:cs="黑体"/>
                <w:b w:val="0"/>
                <w:bCs/>
                <w:color w:val="000000"/>
                <w:sz w:val="21"/>
                <w:szCs w:val="21"/>
                <w:lang w:val="zh-CN" w:eastAsia="zh-CN"/>
              </w:rPr>
              <w:t>诚信良好无需递交保证金的相关证明材料（经“信用中国”网站查询）。</w:t>
            </w:r>
          </w:p>
        </w:tc>
      </w:tr>
    </w:tbl>
    <w:p w14:paraId="1A7740E0">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p>
    <w:tbl>
      <w:tblPr>
        <w:tblStyle w:val="1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599E7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1" w:hRule="atLeast"/>
          <w:jc w:val="center"/>
        </w:trPr>
        <w:tc>
          <w:tcPr>
            <w:tcW w:w="8522" w:type="dxa"/>
            <w:vAlign w:val="center"/>
          </w:tcPr>
          <w:p w14:paraId="6ABE3919">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附：基本账户开户许可证或银行开户证明复印件</w:t>
            </w:r>
          </w:p>
        </w:tc>
      </w:tr>
    </w:tbl>
    <w:p w14:paraId="150F0626">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p>
    <w:p w14:paraId="61E212F2">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投标人：（公章）</w:t>
      </w:r>
    </w:p>
    <w:p w14:paraId="0C0C1A0A">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p>
    <w:p w14:paraId="75397984">
      <w:pPr>
        <w:autoSpaceDE w:val="0"/>
        <w:autoSpaceDN w:val="0"/>
        <w:adjustRightInd w:val="0"/>
        <w:spacing w:before="156" w:beforeLines="50" w:after="156" w:afterLines="50" w:line="360" w:lineRule="auto"/>
        <w:jc w:val="both"/>
        <w:rPr>
          <w:rFonts w:hint="eastAsia" w:ascii="黑体" w:hAnsi="黑体" w:eastAsia="黑体" w:cs="黑体"/>
          <w:b w:val="0"/>
          <w:bCs/>
          <w:color w:val="000000"/>
          <w:sz w:val="21"/>
          <w:szCs w:val="21"/>
          <w:lang w:val="zh-CN"/>
        </w:rPr>
      </w:pPr>
      <w:r>
        <w:rPr>
          <w:rFonts w:hint="eastAsia" w:ascii="黑体" w:hAnsi="黑体" w:eastAsia="黑体" w:cs="黑体"/>
          <w:b w:val="0"/>
          <w:bCs/>
          <w:color w:val="000000"/>
          <w:sz w:val="21"/>
          <w:szCs w:val="21"/>
          <w:lang w:val="zh-CN"/>
        </w:rPr>
        <w:t>法定代表人或被授权代表：（签字或盖章）</w:t>
      </w:r>
    </w:p>
    <w:p w14:paraId="255A0C83">
      <w:pPr>
        <w:autoSpaceDE w:val="0"/>
        <w:autoSpaceDN w:val="0"/>
        <w:adjustRightInd w:val="0"/>
        <w:spacing w:before="156" w:beforeLines="50" w:after="156" w:afterLines="50" w:line="360" w:lineRule="auto"/>
        <w:jc w:val="both"/>
        <w:rPr>
          <w:rFonts w:hint="eastAsia" w:ascii="黑体" w:hAnsi="黑体" w:eastAsia="黑体" w:cs="黑体"/>
          <w:color w:val="auto"/>
          <w:highlight w:val="none"/>
        </w:rPr>
      </w:pPr>
      <w:r>
        <w:rPr>
          <w:rFonts w:hint="eastAsia" w:ascii="黑体" w:hAnsi="黑体" w:eastAsia="黑体" w:cs="黑体"/>
          <w:b w:val="0"/>
          <w:bCs/>
          <w:color w:val="000000"/>
          <w:sz w:val="21"/>
          <w:szCs w:val="21"/>
          <w:lang w:val="zh-CN"/>
        </w:rPr>
        <w:t>日期：年月日</w:t>
      </w:r>
    </w:p>
    <w:p w14:paraId="23A0F39B">
      <w:pPr>
        <w:spacing w:line="360" w:lineRule="auto"/>
        <w:jc w:val="center"/>
        <w:outlineLvl w:val="1"/>
        <w:rPr>
          <w:rFonts w:hint="eastAsia" w:ascii="黑体" w:hAnsi="黑体" w:eastAsia="黑体" w:cs="黑体"/>
          <w:b/>
          <w:color w:val="auto"/>
          <w:sz w:val="28"/>
          <w:szCs w:val="28"/>
          <w:highlight w:val="none"/>
        </w:rPr>
      </w:pPr>
      <w:r>
        <w:rPr>
          <w:rFonts w:hint="eastAsia" w:ascii="黑体" w:hAnsi="黑体" w:eastAsia="黑体" w:cs="黑体"/>
          <w:color w:val="auto"/>
          <w:highlight w:val="none"/>
        </w:rPr>
        <w:br w:type="page"/>
      </w:r>
      <w:bookmarkStart w:id="135" w:name="_Toc15081"/>
      <w:bookmarkStart w:id="136" w:name="_Toc18983"/>
      <w:r>
        <w:rPr>
          <w:rFonts w:hint="eastAsia" w:ascii="黑体" w:hAnsi="黑体" w:eastAsia="黑体" w:cs="黑体"/>
          <w:b/>
          <w:color w:val="auto"/>
          <w:sz w:val="28"/>
          <w:szCs w:val="28"/>
          <w:highlight w:val="none"/>
          <w:lang w:val="en-US" w:eastAsia="zh-CN"/>
        </w:rPr>
        <w:t>四、</w:t>
      </w:r>
      <w:r>
        <w:rPr>
          <w:rFonts w:hint="eastAsia" w:ascii="黑体" w:hAnsi="黑体" w:eastAsia="黑体" w:cs="黑体"/>
          <w:b/>
          <w:color w:val="auto"/>
          <w:sz w:val="28"/>
          <w:szCs w:val="28"/>
          <w:highlight w:val="none"/>
        </w:rPr>
        <w:t>磋商报价表</w:t>
      </w:r>
      <w:bookmarkEnd w:id="135"/>
      <w:bookmarkEnd w:id="136"/>
    </w:p>
    <w:p w14:paraId="4E080989">
      <w:pPr>
        <w:spacing w:before="312" w:beforeLines="100" w:after="312" w:afterLines="100" w:line="500" w:lineRule="exact"/>
        <w:jc w:val="center"/>
        <w:rPr>
          <w:rFonts w:hint="eastAsia" w:ascii="黑体" w:hAnsi="黑体" w:eastAsia="黑体" w:cs="黑体"/>
          <w:b/>
          <w:bCs/>
          <w:color w:val="auto"/>
          <w:sz w:val="24"/>
          <w:szCs w:val="20"/>
          <w:highlight w:val="none"/>
          <w:lang w:val="en-US" w:eastAsia="zh-CN"/>
        </w:rPr>
      </w:pPr>
      <w:r>
        <w:rPr>
          <w:rFonts w:hint="eastAsia" w:ascii="黑体" w:hAnsi="黑体" w:eastAsia="黑体" w:cs="黑体"/>
          <w:b/>
          <w:bCs/>
          <w:color w:val="auto"/>
          <w:sz w:val="24"/>
          <w:szCs w:val="20"/>
          <w:highlight w:val="none"/>
          <w:lang w:val="en-US" w:eastAsia="zh-CN"/>
        </w:rPr>
        <w:t>磋商报价一览表</w:t>
      </w:r>
    </w:p>
    <w:p w14:paraId="32A2E0FD">
      <w:pPr>
        <w:spacing w:before="312" w:beforeLines="100" w:after="312" w:afterLines="100" w:line="500" w:lineRule="exact"/>
        <w:rPr>
          <w:rFonts w:hint="eastAsia" w:ascii="黑体" w:hAnsi="黑体" w:eastAsia="黑体" w:cs="黑体"/>
          <w:b/>
          <w:color w:val="auto"/>
          <w:sz w:val="24"/>
          <w:szCs w:val="20"/>
          <w:highlight w:val="none"/>
          <w:lang w:eastAsia="zh-CN"/>
        </w:rPr>
      </w:pPr>
      <w:r>
        <w:rPr>
          <w:rFonts w:hint="eastAsia" w:ascii="黑体" w:hAnsi="黑体" w:eastAsia="黑体" w:cs="黑体"/>
          <w:color w:val="auto"/>
          <w:sz w:val="24"/>
          <w:szCs w:val="20"/>
          <w:highlight w:val="none"/>
        </w:rPr>
        <w:t>采购项目名称</w:t>
      </w:r>
      <w:r>
        <w:rPr>
          <w:rFonts w:hint="eastAsia" w:ascii="黑体" w:hAnsi="黑体" w:eastAsia="黑体" w:cs="黑体"/>
          <w:b/>
          <w:color w:val="auto"/>
          <w:sz w:val="24"/>
          <w:szCs w:val="20"/>
          <w:highlight w:val="none"/>
        </w:rPr>
        <w:t>：</w:t>
      </w:r>
    </w:p>
    <w:p w14:paraId="19E1BD99">
      <w:pPr>
        <w:spacing w:line="400" w:lineRule="exact"/>
        <w:rPr>
          <w:rFonts w:hint="eastAsia" w:ascii="黑体" w:hAnsi="黑体" w:eastAsia="黑体" w:cs="黑体"/>
          <w:color w:val="auto"/>
          <w:sz w:val="28"/>
          <w:szCs w:val="20"/>
          <w:highlight w:val="none"/>
          <w:lang w:eastAsia="zh-CN"/>
        </w:rPr>
      </w:pPr>
      <w:r>
        <w:rPr>
          <w:rFonts w:hint="eastAsia" w:ascii="黑体" w:hAnsi="黑体" w:eastAsia="黑体" w:cs="黑体"/>
          <w:color w:val="auto"/>
          <w:sz w:val="24"/>
          <w:szCs w:val="20"/>
          <w:highlight w:val="none"/>
        </w:rPr>
        <w:t>采购项目编号：</w:t>
      </w:r>
    </w:p>
    <w:p w14:paraId="13DD5999">
      <w:pPr>
        <w:spacing w:line="400" w:lineRule="exact"/>
        <w:rPr>
          <w:rFonts w:hint="eastAsia" w:ascii="黑体" w:hAnsi="黑体" w:eastAsia="黑体" w:cs="黑体"/>
          <w:color w:val="auto"/>
          <w:sz w:val="28"/>
          <w:szCs w:val="20"/>
          <w:highlight w:val="none"/>
          <w:lang w:eastAsia="zh-CN"/>
        </w:rPr>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1"/>
        <w:gridCol w:w="3677"/>
        <w:gridCol w:w="1827"/>
        <w:gridCol w:w="1673"/>
      </w:tblGrid>
      <w:tr w14:paraId="3871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441" w:type="dxa"/>
            <w:vAlign w:val="center"/>
          </w:tcPr>
          <w:p w14:paraId="523CDFD5">
            <w:pPr>
              <w:spacing w:line="0" w:lineRule="atLeast"/>
              <w:jc w:val="center"/>
              <w:rPr>
                <w:rFonts w:hint="eastAsia" w:ascii="黑体" w:hAnsi="黑体" w:eastAsia="黑体" w:cs="黑体"/>
                <w:color w:val="auto"/>
                <w:szCs w:val="28"/>
                <w:highlight w:val="none"/>
              </w:rPr>
            </w:pPr>
            <w:r>
              <w:rPr>
                <w:rFonts w:hint="eastAsia" w:ascii="黑体" w:hAnsi="黑体" w:eastAsia="黑体" w:cs="黑体"/>
                <w:color w:val="auto"/>
                <w:szCs w:val="28"/>
                <w:highlight w:val="none"/>
              </w:rPr>
              <w:t>供应商名称</w:t>
            </w:r>
          </w:p>
        </w:tc>
        <w:tc>
          <w:tcPr>
            <w:tcW w:w="3677" w:type="dxa"/>
            <w:vAlign w:val="center"/>
          </w:tcPr>
          <w:p w14:paraId="0ED6D0FF">
            <w:pPr>
              <w:spacing w:line="0" w:lineRule="atLeast"/>
              <w:jc w:val="center"/>
              <w:rPr>
                <w:rFonts w:hint="eastAsia" w:ascii="黑体" w:hAnsi="黑体" w:eastAsia="黑体" w:cs="黑体"/>
                <w:color w:val="auto"/>
                <w:szCs w:val="28"/>
                <w:highlight w:val="none"/>
              </w:rPr>
            </w:pPr>
            <w:r>
              <w:rPr>
                <w:rFonts w:hint="eastAsia" w:ascii="黑体" w:hAnsi="黑体" w:eastAsia="黑体" w:cs="黑体"/>
                <w:color w:val="auto"/>
                <w:szCs w:val="28"/>
                <w:highlight w:val="none"/>
              </w:rPr>
              <w:t>磋商报价（元）</w:t>
            </w:r>
          </w:p>
        </w:tc>
        <w:tc>
          <w:tcPr>
            <w:tcW w:w="1827" w:type="dxa"/>
            <w:vAlign w:val="center"/>
          </w:tcPr>
          <w:p w14:paraId="5A29DE13">
            <w:pPr>
              <w:spacing w:line="0" w:lineRule="atLeast"/>
              <w:jc w:val="center"/>
              <w:rPr>
                <w:rFonts w:hint="eastAsia" w:ascii="黑体" w:hAnsi="黑体" w:eastAsia="黑体" w:cs="黑体"/>
                <w:color w:val="auto"/>
                <w:szCs w:val="28"/>
                <w:highlight w:val="none"/>
              </w:rPr>
            </w:pPr>
            <w:r>
              <w:rPr>
                <w:rFonts w:hint="eastAsia" w:ascii="黑体" w:hAnsi="黑体" w:eastAsia="黑体" w:cs="黑体"/>
                <w:color w:val="auto"/>
                <w:szCs w:val="28"/>
                <w:highlight w:val="none"/>
              </w:rPr>
              <w:t>合同履行期限</w:t>
            </w:r>
          </w:p>
        </w:tc>
        <w:tc>
          <w:tcPr>
            <w:tcW w:w="1673" w:type="dxa"/>
            <w:vAlign w:val="center"/>
          </w:tcPr>
          <w:p w14:paraId="37B160D6">
            <w:pPr>
              <w:spacing w:line="0" w:lineRule="atLeast"/>
              <w:jc w:val="center"/>
              <w:rPr>
                <w:rFonts w:hint="eastAsia" w:ascii="黑体" w:hAnsi="黑体" w:eastAsia="黑体" w:cs="黑体"/>
                <w:color w:val="auto"/>
                <w:szCs w:val="28"/>
                <w:highlight w:val="none"/>
              </w:rPr>
            </w:pPr>
            <w:r>
              <w:rPr>
                <w:rFonts w:hint="eastAsia" w:ascii="黑体" w:hAnsi="黑体" w:eastAsia="黑体" w:cs="黑体"/>
                <w:color w:val="auto"/>
                <w:szCs w:val="28"/>
                <w:highlight w:val="none"/>
              </w:rPr>
              <w:t>服务目标</w:t>
            </w:r>
          </w:p>
        </w:tc>
      </w:tr>
      <w:tr w14:paraId="46558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41" w:type="dxa"/>
            <w:vMerge w:val="restart"/>
            <w:vAlign w:val="center"/>
          </w:tcPr>
          <w:p w14:paraId="117F7109">
            <w:pPr>
              <w:spacing w:line="460" w:lineRule="exact"/>
              <w:ind w:left="57" w:right="57" w:firstLine="57"/>
              <w:jc w:val="center"/>
              <w:outlineLvl w:val="9"/>
              <w:rPr>
                <w:rFonts w:hint="eastAsia" w:ascii="黑体" w:hAnsi="黑体" w:eastAsia="黑体" w:cs="黑体"/>
                <w:color w:val="auto"/>
                <w:highlight w:val="none"/>
              </w:rPr>
            </w:pPr>
          </w:p>
        </w:tc>
        <w:tc>
          <w:tcPr>
            <w:tcW w:w="3677" w:type="dxa"/>
            <w:vAlign w:val="center"/>
          </w:tcPr>
          <w:p w14:paraId="03C56161">
            <w:pPr>
              <w:spacing w:line="0" w:lineRule="atLeast"/>
              <w:jc w:val="left"/>
              <w:rPr>
                <w:rFonts w:hint="eastAsia" w:ascii="黑体" w:hAnsi="黑体" w:eastAsia="黑体" w:cs="黑体"/>
                <w:color w:val="auto"/>
                <w:szCs w:val="28"/>
                <w:highlight w:val="none"/>
              </w:rPr>
            </w:pPr>
            <w:r>
              <w:rPr>
                <w:rFonts w:hint="eastAsia" w:ascii="黑体" w:hAnsi="黑体" w:eastAsia="黑体" w:cs="黑体"/>
                <w:color w:val="auto"/>
                <w:szCs w:val="28"/>
                <w:highlight w:val="none"/>
              </w:rPr>
              <w:t>大写：</w:t>
            </w:r>
          </w:p>
        </w:tc>
        <w:tc>
          <w:tcPr>
            <w:tcW w:w="1827" w:type="dxa"/>
            <w:vMerge w:val="restart"/>
            <w:vAlign w:val="center"/>
          </w:tcPr>
          <w:p w14:paraId="7FCF6F77">
            <w:pPr>
              <w:spacing w:line="460" w:lineRule="exact"/>
              <w:ind w:left="57" w:right="57" w:firstLine="57"/>
              <w:jc w:val="center"/>
              <w:outlineLvl w:val="9"/>
              <w:rPr>
                <w:rFonts w:hint="eastAsia" w:ascii="黑体" w:hAnsi="黑体" w:eastAsia="黑体" w:cs="黑体"/>
                <w:color w:val="auto"/>
                <w:highlight w:val="none"/>
              </w:rPr>
            </w:pPr>
          </w:p>
        </w:tc>
        <w:tc>
          <w:tcPr>
            <w:tcW w:w="1673" w:type="dxa"/>
            <w:vMerge w:val="restart"/>
            <w:vAlign w:val="center"/>
          </w:tcPr>
          <w:p w14:paraId="1D7E2B8B">
            <w:pPr>
              <w:spacing w:line="460" w:lineRule="exact"/>
              <w:ind w:left="57" w:right="57" w:firstLine="57"/>
              <w:jc w:val="center"/>
              <w:outlineLvl w:val="9"/>
              <w:rPr>
                <w:rFonts w:hint="eastAsia" w:ascii="黑体" w:hAnsi="黑体" w:eastAsia="黑体" w:cs="黑体"/>
                <w:color w:val="auto"/>
                <w:highlight w:val="none"/>
              </w:rPr>
            </w:pPr>
          </w:p>
        </w:tc>
      </w:tr>
      <w:tr w14:paraId="7403A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1441" w:type="dxa"/>
            <w:vMerge w:val="continue"/>
            <w:vAlign w:val="center"/>
          </w:tcPr>
          <w:p w14:paraId="3A1A1947">
            <w:pPr>
              <w:spacing w:line="460" w:lineRule="exact"/>
              <w:ind w:left="57" w:right="57" w:firstLine="57"/>
              <w:jc w:val="center"/>
              <w:outlineLvl w:val="9"/>
              <w:rPr>
                <w:rFonts w:hint="eastAsia" w:ascii="黑体" w:hAnsi="黑体" w:eastAsia="黑体" w:cs="黑体"/>
                <w:color w:val="auto"/>
                <w:highlight w:val="none"/>
              </w:rPr>
            </w:pPr>
          </w:p>
        </w:tc>
        <w:tc>
          <w:tcPr>
            <w:tcW w:w="3677" w:type="dxa"/>
            <w:vAlign w:val="center"/>
          </w:tcPr>
          <w:p w14:paraId="294B6734">
            <w:pPr>
              <w:spacing w:line="0" w:lineRule="atLeast"/>
              <w:jc w:val="left"/>
              <w:rPr>
                <w:rFonts w:hint="eastAsia" w:ascii="黑体" w:hAnsi="黑体" w:eastAsia="黑体" w:cs="黑体"/>
                <w:color w:val="auto"/>
                <w:szCs w:val="28"/>
                <w:highlight w:val="none"/>
              </w:rPr>
            </w:pPr>
            <w:r>
              <w:rPr>
                <w:rFonts w:hint="eastAsia" w:ascii="黑体" w:hAnsi="黑体" w:eastAsia="黑体" w:cs="黑体"/>
                <w:color w:val="auto"/>
                <w:szCs w:val="28"/>
                <w:highlight w:val="none"/>
              </w:rPr>
              <w:t>小写：</w:t>
            </w:r>
          </w:p>
        </w:tc>
        <w:tc>
          <w:tcPr>
            <w:tcW w:w="1827" w:type="dxa"/>
            <w:vMerge w:val="continue"/>
            <w:vAlign w:val="center"/>
          </w:tcPr>
          <w:p w14:paraId="65046561">
            <w:pPr>
              <w:spacing w:line="460" w:lineRule="exact"/>
              <w:ind w:left="57" w:right="57" w:firstLine="57"/>
              <w:jc w:val="center"/>
              <w:outlineLvl w:val="9"/>
              <w:rPr>
                <w:rFonts w:hint="eastAsia" w:ascii="黑体" w:hAnsi="黑体" w:eastAsia="黑体" w:cs="黑体"/>
                <w:color w:val="auto"/>
                <w:highlight w:val="none"/>
              </w:rPr>
            </w:pPr>
          </w:p>
        </w:tc>
        <w:tc>
          <w:tcPr>
            <w:tcW w:w="1673" w:type="dxa"/>
            <w:vMerge w:val="continue"/>
            <w:vAlign w:val="center"/>
          </w:tcPr>
          <w:p w14:paraId="04DBF0C6">
            <w:pPr>
              <w:spacing w:line="460" w:lineRule="exact"/>
              <w:ind w:left="57" w:right="57" w:firstLine="57"/>
              <w:jc w:val="center"/>
              <w:outlineLvl w:val="9"/>
              <w:rPr>
                <w:rFonts w:hint="eastAsia" w:ascii="黑体" w:hAnsi="黑体" w:eastAsia="黑体" w:cs="黑体"/>
                <w:color w:val="auto"/>
                <w:highlight w:val="none"/>
              </w:rPr>
            </w:pPr>
          </w:p>
        </w:tc>
      </w:tr>
      <w:tr w14:paraId="5E0C8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1441" w:type="dxa"/>
            <w:vAlign w:val="center"/>
          </w:tcPr>
          <w:p w14:paraId="4D28248E">
            <w:pPr>
              <w:spacing w:line="0" w:lineRule="atLeast"/>
              <w:jc w:val="center"/>
              <w:rPr>
                <w:rFonts w:hint="eastAsia" w:ascii="黑体" w:hAnsi="黑体" w:eastAsia="黑体" w:cs="黑体"/>
                <w:color w:val="auto"/>
                <w:szCs w:val="28"/>
                <w:highlight w:val="none"/>
              </w:rPr>
            </w:pPr>
            <w:r>
              <w:rPr>
                <w:rFonts w:hint="eastAsia" w:ascii="黑体" w:hAnsi="黑体" w:eastAsia="黑体" w:cs="黑体"/>
                <w:color w:val="auto"/>
                <w:szCs w:val="28"/>
                <w:highlight w:val="none"/>
              </w:rPr>
              <w:t>备注</w:t>
            </w:r>
          </w:p>
        </w:tc>
        <w:tc>
          <w:tcPr>
            <w:tcW w:w="7177" w:type="dxa"/>
            <w:gridSpan w:val="3"/>
            <w:vAlign w:val="top"/>
          </w:tcPr>
          <w:p w14:paraId="45ECF463">
            <w:pPr>
              <w:spacing w:line="360" w:lineRule="auto"/>
              <w:rPr>
                <w:rFonts w:hint="eastAsia" w:ascii="黑体" w:hAnsi="黑体" w:eastAsia="黑体" w:cs="黑体"/>
                <w:color w:val="auto"/>
                <w:highlight w:val="none"/>
              </w:rPr>
            </w:pPr>
          </w:p>
        </w:tc>
      </w:tr>
    </w:tbl>
    <w:p w14:paraId="7D2C07A6">
      <w:pPr>
        <w:spacing w:line="400" w:lineRule="exact"/>
        <w:ind w:left="840" w:hanging="840" w:hangingChars="350"/>
        <w:rPr>
          <w:rFonts w:hint="eastAsia" w:ascii="黑体" w:hAnsi="黑体" w:eastAsia="黑体" w:cs="黑体"/>
          <w:color w:val="auto"/>
          <w:sz w:val="24"/>
          <w:szCs w:val="20"/>
          <w:highlight w:val="none"/>
        </w:rPr>
      </w:pPr>
    </w:p>
    <w:p w14:paraId="16AA416C">
      <w:pPr>
        <w:spacing w:line="400" w:lineRule="exact"/>
        <w:rPr>
          <w:rFonts w:hint="eastAsia" w:ascii="黑体" w:hAnsi="黑体" w:eastAsia="黑体" w:cs="黑体"/>
          <w:color w:val="auto"/>
          <w:sz w:val="24"/>
          <w:szCs w:val="20"/>
          <w:highlight w:val="none"/>
        </w:rPr>
      </w:pPr>
      <w:r>
        <w:rPr>
          <w:rFonts w:hint="eastAsia" w:ascii="黑体" w:hAnsi="黑体" w:eastAsia="黑体" w:cs="黑体"/>
          <w:color w:val="auto"/>
          <w:sz w:val="24"/>
          <w:szCs w:val="20"/>
          <w:highlight w:val="none"/>
        </w:rPr>
        <w:t>报价说明：</w:t>
      </w:r>
    </w:p>
    <w:p w14:paraId="23CB30A3">
      <w:pPr>
        <w:spacing w:line="400" w:lineRule="exact"/>
        <w:ind w:firstLine="480" w:firstLineChars="200"/>
        <w:rPr>
          <w:rFonts w:hint="eastAsia" w:ascii="黑体" w:hAnsi="黑体" w:eastAsia="黑体" w:cs="黑体"/>
          <w:color w:val="auto"/>
          <w:sz w:val="24"/>
          <w:szCs w:val="20"/>
          <w:highlight w:val="none"/>
        </w:rPr>
      </w:pPr>
      <w:r>
        <w:rPr>
          <w:rFonts w:hint="eastAsia" w:ascii="黑体" w:hAnsi="黑体" w:eastAsia="黑体" w:cs="黑体"/>
          <w:color w:val="auto"/>
          <w:sz w:val="24"/>
          <w:szCs w:val="20"/>
          <w:highlight w:val="none"/>
        </w:rPr>
        <w:t>1、报价中应包含对项目服务的全部内容进行报价，其中磋商报价中已包括</w:t>
      </w:r>
      <w:r>
        <w:rPr>
          <w:rFonts w:hint="eastAsia" w:ascii="黑体" w:hAnsi="黑体" w:eastAsia="黑体" w:cs="黑体"/>
          <w:bCs/>
          <w:color w:val="auto"/>
          <w:sz w:val="24"/>
          <w:highlight w:val="none"/>
        </w:rPr>
        <w:t>利润、管理费、税金及合同包含的所有风险、责任等各项应有费用。</w:t>
      </w:r>
    </w:p>
    <w:p w14:paraId="5D22E984">
      <w:pPr>
        <w:spacing w:line="400" w:lineRule="exact"/>
        <w:ind w:firstLine="566" w:firstLineChars="236"/>
        <w:rPr>
          <w:rFonts w:hint="eastAsia" w:ascii="黑体" w:hAnsi="黑体" w:eastAsia="黑体" w:cs="黑体"/>
          <w:color w:val="auto"/>
          <w:sz w:val="24"/>
          <w:szCs w:val="20"/>
          <w:highlight w:val="none"/>
        </w:rPr>
      </w:pPr>
      <w:r>
        <w:rPr>
          <w:rFonts w:hint="eastAsia" w:ascii="黑体" w:hAnsi="黑体" w:eastAsia="黑体" w:cs="黑体"/>
          <w:color w:val="auto"/>
          <w:sz w:val="24"/>
          <w:szCs w:val="20"/>
          <w:highlight w:val="none"/>
        </w:rPr>
        <w:t>2、供应商在计算报价时应考虑自身的管理水平和其他风险，在项目实施期间不因政策性费率、物价和市场因素的变化而调整。</w:t>
      </w:r>
    </w:p>
    <w:p w14:paraId="549C4757">
      <w:pPr>
        <w:spacing w:line="500" w:lineRule="exact"/>
        <w:ind w:firstLine="616" w:firstLineChars="257"/>
        <w:rPr>
          <w:rFonts w:hint="eastAsia" w:ascii="黑体" w:hAnsi="黑体" w:eastAsia="黑体" w:cs="黑体"/>
          <w:color w:val="auto"/>
          <w:sz w:val="24"/>
          <w:highlight w:val="none"/>
        </w:rPr>
      </w:pPr>
    </w:p>
    <w:p w14:paraId="628D21B8">
      <w:pPr>
        <w:spacing w:line="500" w:lineRule="exact"/>
        <w:ind w:firstLine="616" w:firstLineChars="257"/>
        <w:rPr>
          <w:rFonts w:hint="eastAsia" w:ascii="黑体" w:hAnsi="黑体" w:eastAsia="黑体" w:cs="黑体"/>
          <w:color w:val="auto"/>
          <w:sz w:val="24"/>
          <w:highlight w:val="none"/>
        </w:rPr>
      </w:pPr>
    </w:p>
    <w:p w14:paraId="5F926177">
      <w:pPr>
        <w:spacing w:line="500" w:lineRule="exact"/>
        <w:rPr>
          <w:rFonts w:hint="eastAsia" w:ascii="黑体" w:hAnsi="黑体" w:eastAsia="黑体" w:cs="黑体"/>
          <w:color w:val="auto"/>
          <w:sz w:val="24"/>
          <w:highlight w:val="none"/>
        </w:rPr>
      </w:pPr>
      <w:r>
        <w:rPr>
          <w:rFonts w:hint="eastAsia" w:ascii="黑体" w:hAnsi="黑体" w:eastAsia="黑体" w:cs="黑体"/>
          <w:color w:val="auto"/>
          <w:sz w:val="24"/>
          <w:highlight w:val="none"/>
        </w:rPr>
        <w:t>供应商：（盖单位章）</w:t>
      </w:r>
    </w:p>
    <w:p w14:paraId="023B6BFA">
      <w:pPr>
        <w:spacing w:line="500" w:lineRule="exact"/>
        <w:ind w:firstLine="3420" w:firstLineChars="1425"/>
        <w:rPr>
          <w:rFonts w:hint="eastAsia" w:ascii="黑体" w:hAnsi="黑体" w:eastAsia="黑体" w:cs="黑体"/>
          <w:color w:val="auto"/>
          <w:sz w:val="24"/>
          <w:highlight w:val="none"/>
        </w:rPr>
      </w:pPr>
    </w:p>
    <w:p w14:paraId="73505232">
      <w:pPr>
        <w:spacing w:line="500" w:lineRule="exact"/>
        <w:rPr>
          <w:rFonts w:hint="eastAsia" w:ascii="黑体" w:hAnsi="黑体" w:eastAsia="黑体" w:cs="黑体"/>
          <w:color w:val="auto"/>
          <w:sz w:val="24"/>
          <w:highlight w:val="none"/>
        </w:rPr>
      </w:pPr>
      <w:r>
        <w:rPr>
          <w:rFonts w:hint="eastAsia" w:ascii="黑体" w:hAnsi="黑体" w:eastAsia="黑体" w:cs="黑体"/>
          <w:color w:val="auto"/>
          <w:sz w:val="24"/>
          <w:highlight w:val="none"/>
        </w:rPr>
        <w:t>法定代表人或其委托代理人：（签字或盖章）</w:t>
      </w:r>
    </w:p>
    <w:p w14:paraId="303A725F">
      <w:pPr>
        <w:spacing w:line="500" w:lineRule="exact"/>
        <w:ind w:firstLine="3420" w:firstLineChars="1425"/>
        <w:rPr>
          <w:rFonts w:hint="eastAsia" w:ascii="黑体" w:hAnsi="黑体" w:eastAsia="黑体" w:cs="黑体"/>
          <w:color w:val="auto"/>
          <w:sz w:val="24"/>
          <w:highlight w:val="none"/>
        </w:rPr>
      </w:pPr>
    </w:p>
    <w:p w14:paraId="50BA0443">
      <w:pPr>
        <w:pStyle w:val="12"/>
        <w:spacing w:line="480" w:lineRule="auto"/>
        <w:rPr>
          <w:rFonts w:hint="eastAsia" w:ascii="黑体" w:hAnsi="黑体" w:eastAsia="黑体" w:cs="黑体"/>
          <w:color w:val="auto"/>
          <w:sz w:val="24"/>
          <w:highlight w:val="none"/>
        </w:rPr>
        <w:sectPr>
          <w:footerReference r:id="rId23" w:type="default"/>
          <w:pgSz w:w="12240" w:h="15840"/>
          <w:pgMar w:top="1500" w:right="1680" w:bottom="1120" w:left="1700" w:header="862" w:footer="862" w:gutter="0"/>
          <w:pgBorders>
            <w:top w:val="none" w:sz="0" w:space="0"/>
            <w:left w:val="none" w:sz="0" w:space="0"/>
            <w:bottom w:val="none" w:sz="0" w:space="0"/>
            <w:right w:val="none" w:sz="0" w:space="0"/>
          </w:pgBorders>
          <w:pgNumType w:fmt="decimal"/>
          <w:cols w:space="720" w:num="1"/>
        </w:sectPr>
      </w:pPr>
      <w:r>
        <w:rPr>
          <w:rFonts w:hint="eastAsia" w:ascii="黑体" w:hAnsi="黑体" w:eastAsia="黑体" w:cs="黑体"/>
          <w:color w:val="auto"/>
          <w:sz w:val="24"/>
          <w:highlight w:val="none"/>
        </w:rPr>
        <w:t>日期：年月日</w:t>
      </w:r>
    </w:p>
    <w:p w14:paraId="1A6FF827">
      <w:pPr>
        <w:tabs>
          <w:tab w:val="left" w:pos="900"/>
          <w:tab w:val="left" w:pos="1080"/>
        </w:tabs>
        <w:adjustRightInd w:val="0"/>
        <w:snapToGrid w:val="0"/>
        <w:spacing w:line="360" w:lineRule="auto"/>
        <w:jc w:val="center"/>
        <w:outlineLvl w:val="1"/>
        <w:rPr>
          <w:rFonts w:hint="eastAsia" w:ascii="黑体" w:hAnsi="黑体" w:eastAsia="黑体" w:cs="黑体"/>
          <w:bCs/>
          <w:color w:val="auto"/>
          <w:highlight w:val="none"/>
        </w:rPr>
      </w:pPr>
      <w:bookmarkStart w:id="137" w:name="_Toc9989"/>
      <w:bookmarkStart w:id="138" w:name="_Toc12793"/>
      <w:r>
        <w:rPr>
          <w:rFonts w:hint="eastAsia" w:ascii="黑体" w:hAnsi="黑体" w:eastAsia="黑体" w:cs="黑体"/>
          <w:b/>
          <w:color w:val="auto"/>
          <w:kern w:val="0"/>
          <w:sz w:val="32"/>
          <w:szCs w:val="18"/>
          <w:highlight w:val="none"/>
          <w:lang w:val="zh-CN"/>
        </w:rPr>
        <w:t>五、</w:t>
      </w:r>
      <w:r>
        <w:rPr>
          <w:rFonts w:hint="eastAsia" w:ascii="黑体" w:hAnsi="黑体" w:eastAsia="黑体" w:cs="黑体"/>
          <w:b/>
          <w:color w:val="auto"/>
          <w:sz w:val="30"/>
          <w:szCs w:val="30"/>
          <w:highlight w:val="none"/>
        </w:rPr>
        <w:t>项目技术方案</w:t>
      </w:r>
      <w:bookmarkEnd w:id="137"/>
      <w:bookmarkEnd w:id="138"/>
    </w:p>
    <w:p w14:paraId="75815323">
      <w:pPr>
        <w:pStyle w:val="6"/>
        <w:spacing w:line="360" w:lineRule="auto"/>
        <w:ind w:firstLine="480" w:firstLineChars="200"/>
        <w:rPr>
          <w:rFonts w:hint="eastAsia" w:ascii="黑体" w:hAnsi="黑体" w:eastAsia="黑体" w:cs="黑体"/>
          <w:color w:val="auto"/>
          <w:sz w:val="24"/>
          <w:highlight w:val="none"/>
        </w:rPr>
      </w:pPr>
      <w:r>
        <w:rPr>
          <w:rFonts w:hint="eastAsia" w:ascii="黑体" w:hAnsi="黑体" w:eastAsia="黑体" w:cs="黑体"/>
          <w:color w:val="auto"/>
          <w:sz w:val="24"/>
          <w:highlight w:val="none"/>
        </w:rPr>
        <w:t>磋商供应商应根据本项目要求及评审办法自行编制技术服务方案，格式自拟。</w:t>
      </w:r>
    </w:p>
    <w:p w14:paraId="03262843">
      <w:pPr>
        <w:spacing w:line="360" w:lineRule="auto"/>
        <w:ind w:firstLine="480" w:firstLineChars="200"/>
        <w:jc w:val="left"/>
        <w:rPr>
          <w:rFonts w:hint="eastAsia" w:ascii="黑体" w:hAnsi="黑体" w:eastAsia="黑体" w:cs="黑体"/>
          <w:bCs/>
          <w:color w:val="auto"/>
          <w:kern w:val="0"/>
          <w:sz w:val="24"/>
          <w:highlight w:val="none"/>
        </w:rPr>
      </w:pPr>
    </w:p>
    <w:p w14:paraId="0D782E7D">
      <w:pPr>
        <w:tabs>
          <w:tab w:val="left" w:pos="900"/>
          <w:tab w:val="left" w:pos="1080"/>
        </w:tabs>
        <w:adjustRightInd w:val="0"/>
        <w:snapToGrid w:val="0"/>
        <w:spacing w:line="360" w:lineRule="auto"/>
        <w:jc w:val="center"/>
        <w:outlineLvl w:val="1"/>
        <w:rPr>
          <w:rFonts w:hint="eastAsia" w:ascii="黑体" w:hAnsi="黑体" w:eastAsia="黑体" w:cs="黑体"/>
          <w:b/>
          <w:color w:val="auto"/>
          <w:sz w:val="30"/>
          <w:szCs w:val="30"/>
          <w:highlight w:val="none"/>
        </w:rPr>
      </w:pPr>
      <w:r>
        <w:rPr>
          <w:rFonts w:hint="eastAsia" w:ascii="黑体" w:hAnsi="黑体" w:eastAsia="黑体" w:cs="黑体"/>
          <w:color w:val="auto"/>
          <w:highlight w:val="none"/>
        </w:rPr>
        <w:br w:type="page"/>
      </w:r>
      <w:bookmarkStart w:id="139" w:name="_Toc4984"/>
      <w:bookmarkStart w:id="140" w:name="_Toc5761"/>
      <w:bookmarkStart w:id="141" w:name="_Toc14064_WPSOffice_Level1"/>
      <w:bookmarkStart w:id="142" w:name="_Toc20757_WPSOffice_Level1"/>
      <w:r>
        <w:rPr>
          <w:rFonts w:hint="eastAsia" w:ascii="黑体" w:hAnsi="黑体" w:eastAsia="黑体" w:cs="黑体"/>
          <w:b/>
          <w:color w:val="auto"/>
          <w:kern w:val="0"/>
          <w:sz w:val="32"/>
          <w:szCs w:val="18"/>
          <w:highlight w:val="none"/>
          <w:lang w:val="zh-CN"/>
        </w:rPr>
        <w:t>六、</w:t>
      </w:r>
      <w:r>
        <w:rPr>
          <w:rFonts w:hint="eastAsia" w:ascii="黑体" w:hAnsi="黑体" w:eastAsia="黑体" w:cs="黑体"/>
          <w:b/>
          <w:color w:val="auto"/>
          <w:sz w:val="30"/>
          <w:szCs w:val="30"/>
          <w:highlight w:val="none"/>
        </w:rPr>
        <w:t>资格审查资料</w:t>
      </w:r>
      <w:bookmarkEnd w:id="139"/>
      <w:bookmarkEnd w:id="140"/>
    </w:p>
    <w:bookmarkEnd w:id="141"/>
    <w:bookmarkEnd w:id="142"/>
    <w:p w14:paraId="11B3ADCC">
      <w:pPr>
        <w:autoSpaceDE w:val="0"/>
        <w:autoSpaceDN w:val="0"/>
        <w:adjustRightInd w:val="0"/>
        <w:spacing w:beforeLines="50" w:afterLines="50" w:line="400" w:lineRule="exact"/>
        <w:jc w:val="both"/>
        <w:outlineLvl w:val="2"/>
        <w:rPr>
          <w:rFonts w:hint="eastAsia" w:ascii="黑体" w:hAnsi="黑体" w:eastAsia="黑体" w:cs="黑体"/>
          <w:b/>
          <w:color w:val="auto"/>
          <w:sz w:val="32"/>
          <w:szCs w:val="32"/>
          <w:lang w:val="en-US" w:eastAsia="zh-CN"/>
        </w:rPr>
      </w:pPr>
      <w:bookmarkStart w:id="143" w:name="_Toc22360"/>
      <w:bookmarkStart w:id="144" w:name="_Toc1894"/>
      <w:bookmarkStart w:id="145" w:name="_Toc8177"/>
      <w:r>
        <w:rPr>
          <w:rFonts w:hint="eastAsia" w:ascii="黑体" w:hAnsi="黑体" w:eastAsia="黑体" w:cs="黑体"/>
          <w:b/>
          <w:color w:val="auto"/>
          <w:sz w:val="32"/>
          <w:szCs w:val="32"/>
          <w:lang w:val="en-US" w:eastAsia="zh-CN"/>
        </w:rPr>
        <w:t>（一）基本情况表</w:t>
      </w:r>
      <w:bookmarkEnd w:id="143"/>
      <w:bookmarkEnd w:id="144"/>
      <w:bookmarkEnd w:id="145"/>
    </w:p>
    <w:tbl>
      <w:tblPr>
        <w:tblStyle w:val="22"/>
        <w:tblW w:w="8932" w:type="dxa"/>
        <w:tblInd w:w="1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74"/>
        <w:gridCol w:w="944"/>
        <w:gridCol w:w="2410"/>
        <w:gridCol w:w="1135"/>
        <w:gridCol w:w="2269"/>
      </w:tblGrid>
      <w:tr w14:paraId="4A0A0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Align w:val="top"/>
          </w:tcPr>
          <w:p w14:paraId="15CB2FBB">
            <w:pPr>
              <w:pStyle w:val="23"/>
              <w:widowControl/>
              <w:kinsoku/>
              <w:wordWrap/>
              <w:overflowPunct/>
              <w:topLinePunct/>
              <w:autoSpaceDE/>
              <w:autoSpaceDN/>
              <w:bidi w:val="0"/>
              <w:spacing w:before="107"/>
              <w:ind w:left="118" w:right="116"/>
              <w:jc w:val="both"/>
              <w:textAlignment w:val="auto"/>
              <w:rPr>
                <w:rFonts w:hint="eastAsia" w:ascii="黑体" w:hAnsi="黑体" w:eastAsia="黑体" w:cs="黑体"/>
                <w:color w:val="auto"/>
                <w:sz w:val="21"/>
              </w:rPr>
            </w:pPr>
            <w:r>
              <w:rPr>
                <w:rFonts w:hint="eastAsia" w:ascii="黑体" w:hAnsi="黑体" w:eastAsia="黑体" w:cs="黑体"/>
                <w:color w:val="auto"/>
                <w:sz w:val="21"/>
                <w:lang w:eastAsia="zh-CN"/>
              </w:rPr>
              <w:t>供应商</w:t>
            </w:r>
            <w:r>
              <w:rPr>
                <w:rFonts w:hint="eastAsia" w:ascii="黑体" w:hAnsi="黑体" w:eastAsia="黑体" w:cs="黑体"/>
                <w:color w:val="auto"/>
                <w:sz w:val="21"/>
              </w:rPr>
              <w:t>名称</w:t>
            </w:r>
          </w:p>
        </w:tc>
        <w:tc>
          <w:tcPr>
            <w:tcW w:w="6758" w:type="dxa"/>
            <w:gridSpan w:val="4"/>
            <w:vAlign w:val="top"/>
          </w:tcPr>
          <w:p w14:paraId="57D212FA">
            <w:pPr>
              <w:widowControl/>
              <w:kinsoku/>
              <w:wordWrap/>
              <w:overflowPunct/>
              <w:topLinePunct/>
              <w:autoSpaceDE/>
              <w:autoSpaceDN/>
              <w:bidi w:val="0"/>
              <w:jc w:val="both"/>
              <w:textAlignment w:val="auto"/>
              <w:rPr>
                <w:rFonts w:hint="eastAsia" w:ascii="黑体" w:hAnsi="黑体" w:eastAsia="黑体" w:cs="黑体"/>
                <w:color w:val="auto"/>
              </w:rPr>
            </w:pPr>
          </w:p>
        </w:tc>
      </w:tr>
      <w:tr w14:paraId="2CF0C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Align w:val="top"/>
          </w:tcPr>
          <w:p w14:paraId="7F6C3B59">
            <w:pPr>
              <w:pStyle w:val="23"/>
              <w:widowControl/>
              <w:kinsoku/>
              <w:wordWrap/>
              <w:overflowPunct/>
              <w:topLinePunct/>
              <w:autoSpaceDE/>
              <w:autoSpaceDN/>
              <w:bidi w:val="0"/>
              <w:spacing w:before="107"/>
              <w:ind w:left="116"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注册资金</w:t>
            </w:r>
          </w:p>
        </w:tc>
        <w:tc>
          <w:tcPr>
            <w:tcW w:w="3354" w:type="dxa"/>
            <w:gridSpan w:val="2"/>
            <w:vAlign w:val="top"/>
          </w:tcPr>
          <w:p w14:paraId="45F94DE4">
            <w:pPr>
              <w:widowControl/>
              <w:kinsoku/>
              <w:wordWrap/>
              <w:overflowPunct/>
              <w:topLinePunct/>
              <w:autoSpaceDE/>
              <w:autoSpaceDN/>
              <w:bidi w:val="0"/>
              <w:jc w:val="both"/>
              <w:textAlignment w:val="auto"/>
              <w:rPr>
                <w:rFonts w:hint="eastAsia" w:ascii="黑体" w:hAnsi="黑体" w:eastAsia="黑体" w:cs="黑体"/>
                <w:color w:val="auto"/>
              </w:rPr>
            </w:pPr>
          </w:p>
        </w:tc>
        <w:tc>
          <w:tcPr>
            <w:tcW w:w="1135" w:type="dxa"/>
            <w:vAlign w:val="top"/>
          </w:tcPr>
          <w:p w14:paraId="6AB6814D">
            <w:pPr>
              <w:pStyle w:val="23"/>
              <w:widowControl/>
              <w:kinsoku/>
              <w:wordWrap/>
              <w:overflowPunct/>
              <w:topLinePunct/>
              <w:autoSpaceDE/>
              <w:autoSpaceDN/>
              <w:bidi w:val="0"/>
              <w:spacing w:before="107"/>
              <w:ind w:left="122" w:right="122"/>
              <w:jc w:val="both"/>
              <w:textAlignment w:val="auto"/>
              <w:rPr>
                <w:rFonts w:hint="eastAsia" w:ascii="黑体" w:hAnsi="黑体" w:eastAsia="黑体" w:cs="黑体"/>
                <w:color w:val="auto"/>
                <w:sz w:val="21"/>
              </w:rPr>
            </w:pPr>
            <w:r>
              <w:rPr>
                <w:rFonts w:hint="eastAsia" w:ascii="黑体" w:hAnsi="黑体" w:eastAsia="黑体" w:cs="黑体"/>
                <w:color w:val="auto"/>
                <w:sz w:val="21"/>
              </w:rPr>
              <w:t>成立时间</w:t>
            </w:r>
          </w:p>
        </w:tc>
        <w:tc>
          <w:tcPr>
            <w:tcW w:w="2269" w:type="dxa"/>
            <w:vAlign w:val="top"/>
          </w:tcPr>
          <w:p w14:paraId="7E5B0559">
            <w:pPr>
              <w:widowControl/>
              <w:kinsoku/>
              <w:wordWrap/>
              <w:overflowPunct/>
              <w:topLinePunct/>
              <w:autoSpaceDE/>
              <w:autoSpaceDN/>
              <w:bidi w:val="0"/>
              <w:jc w:val="both"/>
              <w:textAlignment w:val="auto"/>
              <w:rPr>
                <w:rFonts w:hint="eastAsia" w:ascii="黑体" w:hAnsi="黑体" w:eastAsia="黑体" w:cs="黑体"/>
                <w:color w:val="auto"/>
              </w:rPr>
            </w:pPr>
          </w:p>
        </w:tc>
      </w:tr>
      <w:tr w14:paraId="5B2FCC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Align w:val="top"/>
          </w:tcPr>
          <w:p w14:paraId="2D361498">
            <w:pPr>
              <w:pStyle w:val="23"/>
              <w:widowControl/>
              <w:kinsoku/>
              <w:wordWrap/>
              <w:overflowPunct/>
              <w:topLinePunct/>
              <w:autoSpaceDE/>
              <w:autoSpaceDN/>
              <w:bidi w:val="0"/>
              <w:spacing w:before="107"/>
              <w:ind w:left="118"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注册地址</w:t>
            </w:r>
          </w:p>
        </w:tc>
        <w:tc>
          <w:tcPr>
            <w:tcW w:w="6758" w:type="dxa"/>
            <w:gridSpan w:val="4"/>
            <w:vAlign w:val="top"/>
          </w:tcPr>
          <w:p w14:paraId="4656D300">
            <w:pPr>
              <w:widowControl/>
              <w:kinsoku/>
              <w:wordWrap/>
              <w:overflowPunct/>
              <w:topLinePunct/>
              <w:autoSpaceDE/>
              <w:autoSpaceDN/>
              <w:bidi w:val="0"/>
              <w:jc w:val="both"/>
              <w:textAlignment w:val="auto"/>
              <w:rPr>
                <w:rFonts w:hint="eastAsia" w:ascii="黑体" w:hAnsi="黑体" w:eastAsia="黑体" w:cs="黑体"/>
                <w:color w:val="auto"/>
              </w:rPr>
            </w:pPr>
          </w:p>
        </w:tc>
      </w:tr>
      <w:tr w14:paraId="6A91A3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Align w:val="top"/>
          </w:tcPr>
          <w:p w14:paraId="7F285AD6">
            <w:pPr>
              <w:pStyle w:val="23"/>
              <w:widowControl/>
              <w:kinsoku/>
              <w:wordWrap/>
              <w:overflowPunct/>
              <w:topLinePunct/>
              <w:autoSpaceDE/>
              <w:autoSpaceDN/>
              <w:bidi w:val="0"/>
              <w:spacing w:before="108"/>
              <w:ind w:left="118"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邮政编码</w:t>
            </w:r>
          </w:p>
        </w:tc>
        <w:tc>
          <w:tcPr>
            <w:tcW w:w="3354" w:type="dxa"/>
            <w:gridSpan w:val="2"/>
            <w:vAlign w:val="top"/>
          </w:tcPr>
          <w:p w14:paraId="065DA130">
            <w:pPr>
              <w:widowControl/>
              <w:kinsoku/>
              <w:wordWrap/>
              <w:overflowPunct/>
              <w:topLinePunct/>
              <w:autoSpaceDE/>
              <w:autoSpaceDN/>
              <w:bidi w:val="0"/>
              <w:jc w:val="both"/>
              <w:textAlignment w:val="auto"/>
              <w:rPr>
                <w:rFonts w:hint="eastAsia" w:ascii="黑体" w:hAnsi="黑体" w:eastAsia="黑体" w:cs="黑体"/>
                <w:color w:val="auto"/>
              </w:rPr>
            </w:pPr>
          </w:p>
        </w:tc>
        <w:tc>
          <w:tcPr>
            <w:tcW w:w="1135" w:type="dxa"/>
            <w:vAlign w:val="top"/>
          </w:tcPr>
          <w:p w14:paraId="13E4187A">
            <w:pPr>
              <w:pStyle w:val="23"/>
              <w:widowControl/>
              <w:kinsoku/>
              <w:wordWrap/>
              <w:overflowPunct/>
              <w:topLinePunct/>
              <w:autoSpaceDE/>
              <w:autoSpaceDN/>
              <w:bidi w:val="0"/>
              <w:spacing w:before="108"/>
              <w:ind w:left="122" w:right="122"/>
              <w:jc w:val="both"/>
              <w:textAlignment w:val="auto"/>
              <w:rPr>
                <w:rFonts w:hint="eastAsia" w:ascii="黑体" w:hAnsi="黑体" w:eastAsia="黑体" w:cs="黑体"/>
                <w:color w:val="auto"/>
                <w:sz w:val="21"/>
              </w:rPr>
            </w:pPr>
            <w:r>
              <w:rPr>
                <w:rFonts w:hint="eastAsia" w:ascii="黑体" w:hAnsi="黑体" w:eastAsia="黑体" w:cs="黑体"/>
                <w:color w:val="auto"/>
                <w:sz w:val="21"/>
              </w:rPr>
              <w:t>员工总数</w:t>
            </w:r>
          </w:p>
        </w:tc>
        <w:tc>
          <w:tcPr>
            <w:tcW w:w="2269" w:type="dxa"/>
            <w:vAlign w:val="top"/>
          </w:tcPr>
          <w:p w14:paraId="2A839DC2">
            <w:pPr>
              <w:widowControl/>
              <w:kinsoku/>
              <w:wordWrap/>
              <w:overflowPunct/>
              <w:topLinePunct/>
              <w:autoSpaceDE/>
              <w:autoSpaceDN/>
              <w:bidi w:val="0"/>
              <w:jc w:val="both"/>
              <w:textAlignment w:val="auto"/>
              <w:rPr>
                <w:rFonts w:hint="eastAsia" w:ascii="黑体" w:hAnsi="黑体" w:eastAsia="黑体" w:cs="黑体"/>
                <w:color w:val="auto"/>
              </w:rPr>
            </w:pPr>
          </w:p>
        </w:tc>
      </w:tr>
      <w:tr w14:paraId="2ACDC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Merge w:val="restart"/>
            <w:vAlign w:val="top"/>
          </w:tcPr>
          <w:p w14:paraId="008A5BFD">
            <w:pPr>
              <w:pStyle w:val="23"/>
              <w:widowControl/>
              <w:kinsoku/>
              <w:wordWrap/>
              <w:overflowPunct/>
              <w:topLinePunct/>
              <w:autoSpaceDE/>
              <w:autoSpaceDN/>
              <w:bidi w:val="0"/>
              <w:spacing w:before="5"/>
              <w:jc w:val="both"/>
              <w:textAlignment w:val="auto"/>
              <w:rPr>
                <w:rFonts w:hint="eastAsia" w:ascii="黑体" w:hAnsi="黑体" w:eastAsia="黑体" w:cs="黑体"/>
                <w:color w:val="auto"/>
                <w:sz w:val="25"/>
              </w:rPr>
            </w:pPr>
          </w:p>
          <w:p w14:paraId="45262D7D">
            <w:pPr>
              <w:pStyle w:val="23"/>
              <w:widowControl/>
              <w:kinsoku/>
              <w:wordWrap/>
              <w:overflowPunct/>
              <w:topLinePunct/>
              <w:autoSpaceDE/>
              <w:autoSpaceDN/>
              <w:bidi w:val="0"/>
              <w:spacing w:before="1"/>
              <w:ind w:left="662"/>
              <w:jc w:val="both"/>
              <w:textAlignment w:val="auto"/>
              <w:rPr>
                <w:rFonts w:hint="eastAsia" w:ascii="黑体" w:hAnsi="黑体" w:eastAsia="黑体" w:cs="黑体"/>
                <w:color w:val="auto"/>
                <w:sz w:val="21"/>
              </w:rPr>
            </w:pPr>
            <w:r>
              <w:rPr>
                <w:rFonts w:hint="eastAsia" w:ascii="黑体" w:hAnsi="黑体" w:eastAsia="黑体" w:cs="黑体"/>
                <w:color w:val="auto"/>
                <w:sz w:val="21"/>
              </w:rPr>
              <w:t>联系方式</w:t>
            </w:r>
          </w:p>
        </w:tc>
        <w:tc>
          <w:tcPr>
            <w:tcW w:w="944" w:type="dxa"/>
            <w:vAlign w:val="top"/>
          </w:tcPr>
          <w:p w14:paraId="62B67CD2">
            <w:pPr>
              <w:pStyle w:val="23"/>
              <w:widowControl/>
              <w:kinsoku/>
              <w:wordWrap/>
              <w:overflowPunct/>
              <w:topLinePunct/>
              <w:autoSpaceDE/>
              <w:autoSpaceDN/>
              <w:bidi w:val="0"/>
              <w:spacing w:before="107"/>
              <w:ind w:left="131" w:right="132"/>
              <w:jc w:val="both"/>
              <w:textAlignment w:val="auto"/>
              <w:rPr>
                <w:rFonts w:hint="eastAsia" w:ascii="黑体" w:hAnsi="黑体" w:eastAsia="黑体" w:cs="黑体"/>
                <w:color w:val="auto"/>
                <w:sz w:val="21"/>
              </w:rPr>
            </w:pPr>
            <w:r>
              <w:rPr>
                <w:rFonts w:hint="eastAsia" w:ascii="黑体" w:hAnsi="黑体" w:eastAsia="黑体" w:cs="黑体"/>
                <w:color w:val="auto"/>
                <w:sz w:val="21"/>
              </w:rPr>
              <w:t>联系人</w:t>
            </w:r>
          </w:p>
        </w:tc>
        <w:tc>
          <w:tcPr>
            <w:tcW w:w="2410" w:type="dxa"/>
            <w:vAlign w:val="top"/>
          </w:tcPr>
          <w:p w14:paraId="4F994E95">
            <w:pPr>
              <w:widowControl/>
              <w:kinsoku/>
              <w:wordWrap/>
              <w:overflowPunct/>
              <w:topLinePunct/>
              <w:autoSpaceDE/>
              <w:autoSpaceDN/>
              <w:bidi w:val="0"/>
              <w:jc w:val="both"/>
              <w:textAlignment w:val="auto"/>
              <w:rPr>
                <w:rFonts w:hint="eastAsia" w:ascii="黑体" w:hAnsi="黑体" w:eastAsia="黑体" w:cs="黑体"/>
                <w:color w:val="auto"/>
              </w:rPr>
            </w:pPr>
          </w:p>
        </w:tc>
        <w:tc>
          <w:tcPr>
            <w:tcW w:w="1135" w:type="dxa"/>
            <w:vAlign w:val="top"/>
          </w:tcPr>
          <w:p w14:paraId="0D807017">
            <w:pPr>
              <w:pStyle w:val="23"/>
              <w:widowControl/>
              <w:kinsoku/>
              <w:wordWrap/>
              <w:overflowPunct/>
              <w:topLinePunct/>
              <w:autoSpaceDE/>
              <w:autoSpaceDN/>
              <w:bidi w:val="0"/>
              <w:spacing w:before="107"/>
              <w:ind w:left="122" w:right="120"/>
              <w:jc w:val="both"/>
              <w:textAlignment w:val="auto"/>
              <w:rPr>
                <w:rFonts w:hint="eastAsia" w:ascii="黑体" w:hAnsi="黑体" w:eastAsia="黑体" w:cs="黑体"/>
                <w:color w:val="auto"/>
                <w:sz w:val="21"/>
              </w:rPr>
            </w:pPr>
            <w:r>
              <w:rPr>
                <w:rFonts w:hint="eastAsia" w:ascii="黑体" w:hAnsi="黑体" w:eastAsia="黑体" w:cs="黑体"/>
                <w:color w:val="auto"/>
                <w:sz w:val="21"/>
              </w:rPr>
              <w:t>电话</w:t>
            </w:r>
          </w:p>
        </w:tc>
        <w:tc>
          <w:tcPr>
            <w:tcW w:w="2269" w:type="dxa"/>
            <w:vAlign w:val="top"/>
          </w:tcPr>
          <w:p w14:paraId="363A08C6">
            <w:pPr>
              <w:widowControl/>
              <w:kinsoku/>
              <w:wordWrap/>
              <w:overflowPunct/>
              <w:topLinePunct/>
              <w:autoSpaceDE/>
              <w:autoSpaceDN/>
              <w:bidi w:val="0"/>
              <w:jc w:val="both"/>
              <w:textAlignment w:val="auto"/>
              <w:rPr>
                <w:rFonts w:hint="eastAsia" w:ascii="黑体" w:hAnsi="黑体" w:eastAsia="黑体" w:cs="黑体"/>
                <w:color w:val="auto"/>
              </w:rPr>
            </w:pPr>
          </w:p>
        </w:tc>
      </w:tr>
      <w:tr w14:paraId="2819C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Merge w:val="continue"/>
            <w:vAlign w:val="top"/>
          </w:tcPr>
          <w:p w14:paraId="5A0B1828">
            <w:pPr>
              <w:widowControl/>
              <w:kinsoku/>
              <w:wordWrap/>
              <w:overflowPunct/>
              <w:topLinePunct/>
              <w:autoSpaceDE/>
              <w:autoSpaceDN/>
              <w:bidi w:val="0"/>
              <w:jc w:val="both"/>
              <w:textAlignment w:val="auto"/>
              <w:rPr>
                <w:rFonts w:hint="eastAsia" w:ascii="黑体" w:hAnsi="黑体" w:eastAsia="黑体" w:cs="黑体"/>
                <w:color w:val="auto"/>
              </w:rPr>
            </w:pPr>
          </w:p>
        </w:tc>
        <w:tc>
          <w:tcPr>
            <w:tcW w:w="944" w:type="dxa"/>
            <w:vAlign w:val="top"/>
          </w:tcPr>
          <w:p w14:paraId="342796E9">
            <w:pPr>
              <w:pStyle w:val="23"/>
              <w:widowControl/>
              <w:kinsoku/>
              <w:wordWrap/>
              <w:overflowPunct/>
              <w:topLinePunct/>
              <w:autoSpaceDE/>
              <w:autoSpaceDN/>
              <w:bidi w:val="0"/>
              <w:spacing w:before="107"/>
              <w:ind w:left="131" w:right="132"/>
              <w:jc w:val="both"/>
              <w:textAlignment w:val="auto"/>
              <w:rPr>
                <w:rFonts w:hint="eastAsia" w:ascii="黑体" w:hAnsi="黑体" w:eastAsia="黑体" w:cs="黑体"/>
                <w:color w:val="auto"/>
                <w:sz w:val="21"/>
                <w:lang w:eastAsia="zh-CN"/>
              </w:rPr>
            </w:pPr>
            <w:r>
              <w:rPr>
                <w:rFonts w:hint="eastAsia" w:ascii="黑体" w:hAnsi="黑体" w:eastAsia="黑体" w:cs="黑体"/>
                <w:color w:val="auto"/>
                <w:sz w:val="21"/>
                <w:lang w:eastAsia="zh-CN"/>
              </w:rPr>
              <w:t>邮箱</w:t>
            </w:r>
          </w:p>
        </w:tc>
        <w:tc>
          <w:tcPr>
            <w:tcW w:w="2410" w:type="dxa"/>
            <w:vAlign w:val="top"/>
          </w:tcPr>
          <w:p w14:paraId="37170E55">
            <w:pPr>
              <w:widowControl/>
              <w:kinsoku/>
              <w:wordWrap/>
              <w:overflowPunct/>
              <w:topLinePunct/>
              <w:autoSpaceDE/>
              <w:autoSpaceDN/>
              <w:bidi w:val="0"/>
              <w:jc w:val="both"/>
              <w:textAlignment w:val="auto"/>
              <w:rPr>
                <w:rFonts w:hint="eastAsia" w:ascii="黑体" w:hAnsi="黑体" w:eastAsia="黑体" w:cs="黑体"/>
                <w:color w:val="auto"/>
              </w:rPr>
            </w:pPr>
          </w:p>
        </w:tc>
        <w:tc>
          <w:tcPr>
            <w:tcW w:w="1135" w:type="dxa"/>
            <w:vAlign w:val="top"/>
          </w:tcPr>
          <w:p w14:paraId="37DB4C31">
            <w:pPr>
              <w:pStyle w:val="23"/>
              <w:widowControl/>
              <w:kinsoku/>
              <w:wordWrap/>
              <w:overflowPunct/>
              <w:topLinePunct/>
              <w:autoSpaceDE/>
              <w:autoSpaceDN/>
              <w:bidi w:val="0"/>
              <w:spacing w:before="107"/>
              <w:ind w:left="122" w:right="120"/>
              <w:jc w:val="both"/>
              <w:textAlignment w:val="auto"/>
              <w:rPr>
                <w:rFonts w:hint="eastAsia" w:ascii="黑体" w:hAnsi="黑体" w:eastAsia="黑体" w:cs="黑体"/>
                <w:color w:val="auto"/>
                <w:sz w:val="21"/>
              </w:rPr>
            </w:pPr>
            <w:r>
              <w:rPr>
                <w:rFonts w:hint="eastAsia" w:ascii="黑体" w:hAnsi="黑体" w:eastAsia="黑体" w:cs="黑体"/>
                <w:color w:val="auto"/>
                <w:sz w:val="21"/>
              </w:rPr>
              <w:t>传真</w:t>
            </w:r>
          </w:p>
        </w:tc>
        <w:tc>
          <w:tcPr>
            <w:tcW w:w="2269" w:type="dxa"/>
            <w:vAlign w:val="top"/>
          </w:tcPr>
          <w:p w14:paraId="331D1F2C">
            <w:pPr>
              <w:widowControl/>
              <w:kinsoku/>
              <w:wordWrap/>
              <w:overflowPunct/>
              <w:topLinePunct/>
              <w:autoSpaceDE/>
              <w:autoSpaceDN/>
              <w:bidi w:val="0"/>
              <w:jc w:val="both"/>
              <w:textAlignment w:val="auto"/>
              <w:rPr>
                <w:rFonts w:hint="eastAsia" w:ascii="黑体" w:hAnsi="黑体" w:eastAsia="黑体" w:cs="黑体"/>
                <w:color w:val="auto"/>
              </w:rPr>
            </w:pPr>
          </w:p>
        </w:tc>
      </w:tr>
      <w:tr w14:paraId="79A0E3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2174" w:type="dxa"/>
            <w:vAlign w:val="top"/>
          </w:tcPr>
          <w:p w14:paraId="0850DDD4">
            <w:pPr>
              <w:pStyle w:val="23"/>
              <w:widowControl/>
              <w:kinsoku/>
              <w:wordWrap/>
              <w:overflowPunct/>
              <w:topLinePunct/>
              <w:autoSpaceDE/>
              <w:autoSpaceDN/>
              <w:bidi w:val="0"/>
              <w:spacing w:before="107"/>
              <w:ind w:left="118" w:right="116"/>
              <w:jc w:val="both"/>
              <w:textAlignment w:val="auto"/>
              <w:rPr>
                <w:rFonts w:hint="eastAsia" w:ascii="黑体" w:hAnsi="黑体" w:eastAsia="黑体" w:cs="黑体"/>
                <w:color w:val="auto"/>
                <w:sz w:val="21"/>
                <w:lang w:eastAsia="zh-CN"/>
              </w:rPr>
            </w:pPr>
            <w:r>
              <w:rPr>
                <w:rFonts w:hint="eastAsia" w:ascii="黑体" w:hAnsi="黑体" w:eastAsia="黑体" w:cs="黑体"/>
                <w:color w:val="auto"/>
                <w:sz w:val="21"/>
                <w:lang w:eastAsia="zh-CN"/>
              </w:rPr>
              <w:t>法定代表人</w:t>
            </w:r>
          </w:p>
          <w:p w14:paraId="2CB1825B">
            <w:pPr>
              <w:pStyle w:val="23"/>
              <w:widowControl/>
              <w:kinsoku/>
              <w:wordWrap/>
              <w:overflowPunct/>
              <w:topLinePunct/>
              <w:autoSpaceDE/>
              <w:autoSpaceDN/>
              <w:bidi w:val="0"/>
              <w:spacing w:before="166"/>
              <w:ind w:left="13" w:right="116"/>
              <w:jc w:val="both"/>
              <w:textAlignment w:val="auto"/>
              <w:rPr>
                <w:rFonts w:hint="eastAsia" w:ascii="黑体" w:hAnsi="黑体" w:eastAsia="黑体" w:cs="黑体"/>
                <w:color w:val="auto"/>
                <w:sz w:val="21"/>
                <w:lang w:eastAsia="zh-CN"/>
              </w:rPr>
            </w:pPr>
            <w:r>
              <w:rPr>
                <w:rFonts w:hint="eastAsia" w:ascii="黑体" w:hAnsi="黑体" w:eastAsia="黑体" w:cs="黑体"/>
                <w:color w:val="auto"/>
                <w:sz w:val="21"/>
                <w:lang w:eastAsia="zh-CN"/>
              </w:rPr>
              <w:t>（单位负责人）</w:t>
            </w:r>
          </w:p>
        </w:tc>
        <w:tc>
          <w:tcPr>
            <w:tcW w:w="944" w:type="dxa"/>
            <w:vAlign w:val="top"/>
          </w:tcPr>
          <w:p w14:paraId="436072B3">
            <w:pPr>
              <w:pStyle w:val="23"/>
              <w:widowControl/>
              <w:kinsoku/>
              <w:wordWrap/>
              <w:overflowPunct/>
              <w:topLinePunct/>
              <w:autoSpaceDE/>
              <w:autoSpaceDN/>
              <w:bidi w:val="0"/>
              <w:spacing w:before="1"/>
              <w:jc w:val="both"/>
              <w:textAlignment w:val="auto"/>
              <w:rPr>
                <w:rFonts w:hint="eastAsia" w:ascii="黑体" w:hAnsi="黑体" w:eastAsia="黑体" w:cs="黑体"/>
                <w:color w:val="auto"/>
                <w:sz w:val="25"/>
                <w:lang w:eastAsia="zh-CN"/>
              </w:rPr>
            </w:pPr>
          </w:p>
          <w:p w14:paraId="2CA9DA70">
            <w:pPr>
              <w:pStyle w:val="23"/>
              <w:widowControl/>
              <w:kinsoku/>
              <w:wordWrap/>
              <w:overflowPunct/>
              <w:topLinePunct/>
              <w:autoSpaceDE/>
              <w:autoSpaceDN/>
              <w:bidi w:val="0"/>
              <w:ind w:left="131" w:right="132"/>
              <w:jc w:val="both"/>
              <w:textAlignment w:val="auto"/>
              <w:rPr>
                <w:rFonts w:hint="eastAsia" w:ascii="黑体" w:hAnsi="黑体" w:eastAsia="黑体" w:cs="黑体"/>
                <w:color w:val="auto"/>
                <w:sz w:val="21"/>
              </w:rPr>
            </w:pPr>
            <w:r>
              <w:rPr>
                <w:rFonts w:hint="eastAsia" w:ascii="黑体" w:hAnsi="黑体" w:eastAsia="黑体" w:cs="黑体"/>
                <w:color w:val="auto"/>
                <w:sz w:val="21"/>
              </w:rPr>
              <w:t>姓名</w:t>
            </w:r>
          </w:p>
        </w:tc>
        <w:tc>
          <w:tcPr>
            <w:tcW w:w="2410" w:type="dxa"/>
            <w:vAlign w:val="top"/>
          </w:tcPr>
          <w:p w14:paraId="2A162072">
            <w:pPr>
              <w:widowControl/>
              <w:kinsoku/>
              <w:wordWrap/>
              <w:overflowPunct/>
              <w:topLinePunct/>
              <w:autoSpaceDE/>
              <w:autoSpaceDN/>
              <w:bidi w:val="0"/>
              <w:jc w:val="both"/>
              <w:textAlignment w:val="auto"/>
              <w:rPr>
                <w:rFonts w:hint="eastAsia" w:ascii="黑体" w:hAnsi="黑体" w:eastAsia="黑体" w:cs="黑体"/>
                <w:color w:val="auto"/>
              </w:rPr>
            </w:pPr>
          </w:p>
        </w:tc>
        <w:tc>
          <w:tcPr>
            <w:tcW w:w="1135" w:type="dxa"/>
            <w:vAlign w:val="top"/>
          </w:tcPr>
          <w:p w14:paraId="67161F73">
            <w:pPr>
              <w:pStyle w:val="23"/>
              <w:widowControl/>
              <w:kinsoku/>
              <w:wordWrap/>
              <w:overflowPunct/>
              <w:topLinePunct/>
              <w:autoSpaceDE/>
              <w:autoSpaceDN/>
              <w:bidi w:val="0"/>
              <w:spacing w:before="1"/>
              <w:jc w:val="both"/>
              <w:textAlignment w:val="auto"/>
              <w:rPr>
                <w:rFonts w:hint="eastAsia" w:ascii="黑体" w:hAnsi="黑体" w:eastAsia="黑体" w:cs="黑体"/>
                <w:color w:val="auto"/>
                <w:sz w:val="25"/>
              </w:rPr>
            </w:pPr>
          </w:p>
          <w:p w14:paraId="38BD46E0">
            <w:pPr>
              <w:pStyle w:val="23"/>
              <w:widowControl/>
              <w:kinsoku/>
              <w:wordWrap/>
              <w:overflowPunct/>
              <w:topLinePunct/>
              <w:autoSpaceDE/>
              <w:autoSpaceDN/>
              <w:bidi w:val="0"/>
              <w:ind w:left="122" w:right="120"/>
              <w:jc w:val="both"/>
              <w:textAlignment w:val="auto"/>
              <w:rPr>
                <w:rFonts w:hint="eastAsia" w:ascii="黑体" w:hAnsi="黑体" w:eastAsia="黑体" w:cs="黑体"/>
                <w:color w:val="auto"/>
                <w:sz w:val="21"/>
              </w:rPr>
            </w:pPr>
            <w:r>
              <w:rPr>
                <w:rFonts w:hint="eastAsia" w:ascii="黑体" w:hAnsi="黑体" w:eastAsia="黑体" w:cs="黑体"/>
                <w:color w:val="auto"/>
                <w:sz w:val="21"/>
              </w:rPr>
              <w:t>电话</w:t>
            </w:r>
          </w:p>
        </w:tc>
        <w:tc>
          <w:tcPr>
            <w:tcW w:w="2269" w:type="dxa"/>
            <w:vAlign w:val="top"/>
          </w:tcPr>
          <w:p w14:paraId="083E9305">
            <w:pPr>
              <w:widowControl/>
              <w:kinsoku/>
              <w:wordWrap/>
              <w:overflowPunct/>
              <w:topLinePunct/>
              <w:autoSpaceDE/>
              <w:autoSpaceDN/>
              <w:bidi w:val="0"/>
              <w:jc w:val="both"/>
              <w:textAlignment w:val="auto"/>
              <w:rPr>
                <w:rFonts w:hint="eastAsia" w:ascii="黑体" w:hAnsi="黑体" w:eastAsia="黑体" w:cs="黑体"/>
                <w:color w:val="auto"/>
              </w:rPr>
            </w:pPr>
          </w:p>
        </w:tc>
      </w:tr>
      <w:tr w14:paraId="77DC4D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2174" w:type="dxa"/>
            <w:vAlign w:val="top"/>
          </w:tcPr>
          <w:p w14:paraId="38D5DC88">
            <w:pPr>
              <w:pStyle w:val="23"/>
              <w:widowControl/>
              <w:kinsoku/>
              <w:wordWrap/>
              <w:overflowPunct/>
              <w:topLinePunct/>
              <w:autoSpaceDE/>
              <w:autoSpaceDN/>
              <w:bidi w:val="0"/>
              <w:spacing w:before="107"/>
              <w:ind w:left="118"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基本账户开户银行</w:t>
            </w:r>
          </w:p>
        </w:tc>
        <w:tc>
          <w:tcPr>
            <w:tcW w:w="6758" w:type="dxa"/>
            <w:gridSpan w:val="4"/>
            <w:vAlign w:val="top"/>
          </w:tcPr>
          <w:p w14:paraId="4D574DC8">
            <w:pPr>
              <w:widowControl/>
              <w:kinsoku/>
              <w:wordWrap/>
              <w:overflowPunct/>
              <w:topLinePunct/>
              <w:autoSpaceDE/>
              <w:autoSpaceDN/>
              <w:bidi w:val="0"/>
              <w:jc w:val="both"/>
              <w:textAlignment w:val="auto"/>
              <w:rPr>
                <w:rFonts w:hint="eastAsia" w:ascii="黑体" w:hAnsi="黑体" w:eastAsia="黑体" w:cs="黑体"/>
                <w:color w:val="auto"/>
              </w:rPr>
            </w:pPr>
          </w:p>
        </w:tc>
      </w:tr>
      <w:tr w14:paraId="195E6C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2174" w:type="dxa"/>
            <w:vAlign w:val="top"/>
          </w:tcPr>
          <w:p w14:paraId="1AB4B6FA">
            <w:pPr>
              <w:pStyle w:val="23"/>
              <w:widowControl/>
              <w:kinsoku/>
              <w:wordWrap/>
              <w:overflowPunct/>
              <w:topLinePunct/>
              <w:autoSpaceDE/>
              <w:autoSpaceDN/>
              <w:bidi w:val="0"/>
              <w:spacing w:before="107"/>
              <w:ind w:left="118"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基本账户银行账号</w:t>
            </w:r>
          </w:p>
        </w:tc>
        <w:tc>
          <w:tcPr>
            <w:tcW w:w="6758" w:type="dxa"/>
            <w:gridSpan w:val="4"/>
            <w:vAlign w:val="top"/>
          </w:tcPr>
          <w:p w14:paraId="590E5906">
            <w:pPr>
              <w:widowControl/>
              <w:kinsoku/>
              <w:wordWrap/>
              <w:overflowPunct/>
              <w:topLinePunct/>
              <w:autoSpaceDE/>
              <w:autoSpaceDN/>
              <w:bidi w:val="0"/>
              <w:jc w:val="both"/>
              <w:textAlignment w:val="auto"/>
              <w:rPr>
                <w:rFonts w:hint="eastAsia" w:ascii="黑体" w:hAnsi="黑体" w:eastAsia="黑体" w:cs="黑体"/>
                <w:color w:val="auto"/>
              </w:rPr>
            </w:pPr>
          </w:p>
        </w:tc>
      </w:tr>
      <w:tr w14:paraId="55DDEE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09" w:hRule="exact"/>
        </w:trPr>
        <w:tc>
          <w:tcPr>
            <w:tcW w:w="2174" w:type="dxa"/>
            <w:vAlign w:val="center"/>
          </w:tcPr>
          <w:p w14:paraId="1F9DCBB7">
            <w:pPr>
              <w:pStyle w:val="23"/>
              <w:widowControl/>
              <w:kinsoku/>
              <w:wordWrap/>
              <w:overflowPunct/>
              <w:topLinePunct/>
              <w:autoSpaceDE/>
              <w:autoSpaceDN/>
              <w:bidi w:val="0"/>
              <w:spacing w:before="38"/>
              <w:ind w:left="116" w:right="116"/>
              <w:jc w:val="both"/>
              <w:textAlignment w:val="auto"/>
              <w:rPr>
                <w:rFonts w:hint="eastAsia" w:ascii="黑体" w:hAnsi="黑体" w:eastAsia="黑体" w:cs="黑体"/>
                <w:color w:val="auto"/>
                <w:sz w:val="21"/>
              </w:rPr>
            </w:pPr>
            <w:r>
              <w:rPr>
                <w:rFonts w:hint="eastAsia" w:ascii="黑体" w:hAnsi="黑体" w:eastAsia="黑体" w:cs="黑体"/>
                <w:color w:val="auto"/>
                <w:sz w:val="21"/>
                <w:lang w:eastAsia="zh-CN"/>
              </w:rPr>
              <w:t>经营范围</w:t>
            </w:r>
          </w:p>
        </w:tc>
        <w:tc>
          <w:tcPr>
            <w:tcW w:w="6758" w:type="dxa"/>
            <w:gridSpan w:val="4"/>
            <w:vAlign w:val="top"/>
          </w:tcPr>
          <w:p w14:paraId="0F07AD0D">
            <w:pPr>
              <w:widowControl/>
              <w:kinsoku/>
              <w:wordWrap/>
              <w:overflowPunct/>
              <w:topLinePunct/>
              <w:autoSpaceDE/>
              <w:autoSpaceDN/>
              <w:bidi w:val="0"/>
              <w:jc w:val="both"/>
              <w:textAlignment w:val="auto"/>
              <w:rPr>
                <w:rFonts w:hint="eastAsia" w:ascii="黑体" w:hAnsi="黑体" w:eastAsia="黑体" w:cs="黑体"/>
                <w:color w:val="auto"/>
              </w:rPr>
            </w:pPr>
          </w:p>
        </w:tc>
      </w:tr>
      <w:tr w14:paraId="51AADB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89" w:hRule="exact"/>
        </w:trPr>
        <w:tc>
          <w:tcPr>
            <w:tcW w:w="2174" w:type="dxa"/>
            <w:vAlign w:val="center"/>
          </w:tcPr>
          <w:p w14:paraId="65F9D1A6">
            <w:pPr>
              <w:pStyle w:val="23"/>
              <w:widowControl/>
              <w:kinsoku/>
              <w:wordWrap/>
              <w:overflowPunct/>
              <w:topLinePunct/>
              <w:autoSpaceDE/>
              <w:autoSpaceDN/>
              <w:bidi w:val="0"/>
              <w:spacing w:before="107"/>
              <w:ind w:left="116" w:right="116"/>
              <w:jc w:val="both"/>
              <w:textAlignment w:val="auto"/>
              <w:rPr>
                <w:rFonts w:hint="eastAsia" w:ascii="黑体" w:hAnsi="黑体" w:eastAsia="黑体" w:cs="黑体"/>
                <w:color w:val="auto"/>
                <w:sz w:val="21"/>
              </w:rPr>
            </w:pPr>
            <w:r>
              <w:rPr>
                <w:rFonts w:hint="eastAsia" w:ascii="黑体" w:hAnsi="黑体" w:eastAsia="黑体" w:cs="黑体"/>
                <w:color w:val="auto"/>
                <w:sz w:val="21"/>
              </w:rPr>
              <w:t>备注</w:t>
            </w:r>
          </w:p>
        </w:tc>
        <w:tc>
          <w:tcPr>
            <w:tcW w:w="6758" w:type="dxa"/>
            <w:gridSpan w:val="4"/>
            <w:vAlign w:val="top"/>
          </w:tcPr>
          <w:p w14:paraId="6C2C2FBD">
            <w:pPr>
              <w:widowControl/>
              <w:kinsoku/>
              <w:wordWrap/>
              <w:overflowPunct/>
              <w:topLinePunct/>
              <w:autoSpaceDE/>
              <w:autoSpaceDN/>
              <w:bidi w:val="0"/>
              <w:jc w:val="both"/>
              <w:textAlignment w:val="auto"/>
              <w:rPr>
                <w:rFonts w:hint="eastAsia" w:ascii="黑体" w:hAnsi="黑体" w:eastAsia="黑体" w:cs="黑体"/>
                <w:color w:val="auto"/>
              </w:rPr>
            </w:pPr>
          </w:p>
        </w:tc>
      </w:tr>
    </w:tbl>
    <w:p w14:paraId="1DA9AB04">
      <w:pPr>
        <w:widowControl/>
        <w:kinsoku/>
        <w:wordWrap/>
        <w:overflowPunct/>
        <w:topLinePunct/>
        <w:autoSpaceDE/>
        <w:autoSpaceDN/>
        <w:bidi w:val="0"/>
        <w:spacing w:line="360" w:lineRule="auto"/>
        <w:ind w:firstLine="480" w:firstLineChars="200"/>
        <w:jc w:val="both"/>
        <w:textAlignment w:val="auto"/>
        <w:rPr>
          <w:rFonts w:hint="eastAsia" w:ascii="黑体" w:hAnsi="黑体" w:eastAsia="黑体" w:cs="黑体"/>
          <w:color w:val="auto"/>
          <w:sz w:val="24"/>
        </w:rPr>
      </w:pPr>
      <w:r>
        <w:rPr>
          <w:rFonts w:hint="eastAsia" w:ascii="黑体" w:hAnsi="黑体" w:eastAsia="黑体" w:cs="黑体"/>
          <w:color w:val="auto"/>
          <w:sz w:val="24"/>
        </w:rPr>
        <w:t>兹声明上述信息是真实、正确的，并提供了全部能提供的资料和数据；如我方提供的证明材料有虚假情况，愿承担相应后果。</w:t>
      </w:r>
    </w:p>
    <w:p w14:paraId="0B093980">
      <w:pPr>
        <w:widowControl/>
        <w:kinsoku/>
        <w:wordWrap/>
        <w:overflowPunct/>
        <w:topLinePunct/>
        <w:autoSpaceDE/>
        <w:autoSpaceDN/>
        <w:bidi w:val="0"/>
        <w:jc w:val="both"/>
        <w:textAlignment w:val="auto"/>
        <w:rPr>
          <w:rFonts w:hint="eastAsia" w:ascii="黑体" w:hAnsi="黑体" w:eastAsia="黑体" w:cs="黑体"/>
          <w:color w:val="auto"/>
          <w:lang w:eastAsia="zh-CN"/>
        </w:rPr>
        <w:sectPr>
          <w:pgSz w:w="12240" w:h="15840"/>
          <w:pgMar w:top="1500" w:right="1680" w:bottom="1120" w:left="1700" w:header="862" w:footer="862" w:gutter="0"/>
          <w:pgBorders>
            <w:top w:val="none" w:sz="0" w:space="0"/>
            <w:left w:val="none" w:sz="0" w:space="0"/>
            <w:bottom w:val="none" w:sz="0" w:space="0"/>
            <w:right w:val="none" w:sz="0" w:space="0"/>
          </w:pgBorders>
          <w:pgNumType w:fmt="decimal"/>
          <w:cols w:space="720" w:num="1"/>
        </w:sectPr>
      </w:pPr>
    </w:p>
    <w:p w14:paraId="722F9E2E">
      <w:pPr>
        <w:autoSpaceDE w:val="0"/>
        <w:autoSpaceDN w:val="0"/>
        <w:adjustRightInd w:val="0"/>
        <w:spacing w:beforeLines="50" w:afterLines="50" w:line="400" w:lineRule="exact"/>
        <w:jc w:val="both"/>
        <w:outlineLvl w:val="2"/>
        <w:rPr>
          <w:rFonts w:hint="eastAsia" w:ascii="黑体" w:hAnsi="黑体" w:eastAsia="黑体" w:cs="黑体"/>
          <w:b/>
          <w:color w:val="auto"/>
          <w:sz w:val="32"/>
          <w:szCs w:val="32"/>
          <w:lang w:val="en-US" w:eastAsia="zh-CN"/>
        </w:rPr>
      </w:pPr>
      <w:bookmarkStart w:id="146" w:name="_Toc25075"/>
      <w:bookmarkStart w:id="147" w:name="_Toc30842"/>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二</w:t>
      </w:r>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供应商性质</w:t>
      </w:r>
      <w:bookmarkEnd w:id="146"/>
      <w:bookmarkEnd w:id="147"/>
    </w:p>
    <w:p w14:paraId="69CA661A">
      <w:pPr>
        <w:pStyle w:val="8"/>
        <w:rPr>
          <w:rFonts w:hint="eastAsia" w:ascii="黑体" w:hAnsi="黑体" w:eastAsia="黑体" w:cs="黑体"/>
          <w:color w:val="auto"/>
          <w:highlight w:val="none"/>
          <w:lang w:val="en-US" w:eastAsia="zh-CN"/>
        </w:rPr>
      </w:pPr>
    </w:p>
    <w:p w14:paraId="2B30204A">
      <w:pPr>
        <w:keepNext w:val="0"/>
        <w:keepLines w:val="0"/>
        <w:widowControl/>
        <w:suppressLineNumbers w:val="0"/>
        <w:spacing w:line="240" w:lineRule="auto"/>
        <w:jc w:val="left"/>
        <w:rPr>
          <w:rFonts w:hint="eastAsia" w:ascii="黑体" w:hAnsi="黑体" w:eastAsia="黑体" w:cs="黑体"/>
          <w:color w:val="auto"/>
          <w:sz w:val="21"/>
          <w:szCs w:val="21"/>
          <w:highlight w:val="none"/>
        </w:rPr>
      </w:pPr>
      <w:r>
        <w:rPr>
          <w:rFonts w:hint="eastAsia" w:ascii="黑体" w:hAnsi="黑体" w:eastAsia="黑体" w:cs="黑体"/>
          <w:b/>
          <w:bCs/>
          <w:color w:val="auto"/>
          <w:kern w:val="0"/>
          <w:sz w:val="21"/>
          <w:szCs w:val="21"/>
          <w:highlight w:val="none"/>
          <w:lang w:val="en-US" w:eastAsia="zh-CN" w:bidi="ar"/>
        </w:rPr>
        <w:t>供应商是企业（包括合伙企业）的，</w:t>
      </w:r>
      <w:r>
        <w:rPr>
          <w:rFonts w:hint="eastAsia" w:ascii="黑体" w:hAnsi="黑体" w:eastAsia="黑体" w:cs="黑体"/>
          <w:color w:val="auto"/>
          <w:kern w:val="0"/>
          <w:sz w:val="21"/>
          <w:szCs w:val="21"/>
          <w:highlight w:val="none"/>
          <w:lang w:val="en-US" w:eastAsia="zh-CN" w:bidi="ar"/>
        </w:rPr>
        <w:t>应提供其在市场监督管理部门注册的有效“企业法人营业执照”或“营业执照”的复印件；</w:t>
      </w:r>
    </w:p>
    <w:p w14:paraId="4CDB080D">
      <w:pPr>
        <w:keepNext w:val="0"/>
        <w:keepLines w:val="0"/>
        <w:widowControl/>
        <w:suppressLineNumbers w:val="0"/>
        <w:spacing w:line="240" w:lineRule="auto"/>
        <w:jc w:val="left"/>
        <w:rPr>
          <w:rFonts w:hint="eastAsia" w:ascii="黑体" w:hAnsi="黑体" w:eastAsia="黑体" w:cs="黑体"/>
          <w:color w:val="auto"/>
          <w:sz w:val="21"/>
          <w:szCs w:val="21"/>
          <w:highlight w:val="none"/>
        </w:rPr>
      </w:pPr>
      <w:r>
        <w:rPr>
          <w:rFonts w:hint="eastAsia" w:ascii="黑体" w:hAnsi="黑体" w:eastAsia="黑体" w:cs="黑体"/>
          <w:b/>
          <w:bCs/>
          <w:color w:val="auto"/>
          <w:kern w:val="0"/>
          <w:sz w:val="21"/>
          <w:szCs w:val="21"/>
          <w:highlight w:val="none"/>
          <w:lang w:val="en-US" w:eastAsia="zh-CN" w:bidi="ar"/>
        </w:rPr>
        <w:t>供应商是事业单位的，</w:t>
      </w:r>
      <w:r>
        <w:rPr>
          <w:rFonts w:hint="eastAsia" w:ascii="黑体" w:hAnsi="黑体" w:eastAsia="黑体" w:cs="黑体"/>
          <w:color w:val="auto"/>
          <w:kern w:val="0"/>
          <w:sz w:val="21"/>
          <w:szCs w:val="21"/>
          <w:highlight w:val="none"/>
          <w:lang w:val="en-US" w:eastAsia="zh-CN" w:bidi="ar"/>
        </w:rPr>
        <w:t>应提供其有效的“事业单位法人证书”复印件；</w:t>
      </w:r>
    </w:p>
    <w:p w14:paraId="66C703FC">
      <w:pPr>
        <w:keepNext w:val="0"/>
        <w:keepLines w:val="0"/>
        <w:widowControl/>
        <w:suppressLineNumbers w:val="0"/>
        <w:spacing w:line="240" w:lineRule="auto"/>
        <w:jc w:val="left"/>
        <w:rPr>
          <w:rFonts w:hint="eastAsia" w:ascii="黑体" w:hAnsi="黑体" w:eastAsia="黑体" w:cs="黑体"/>
          <w:color w:val="auto"/>
          <w:sz w:val="21"/>
          <w:szCs w:val="21"/>
          <w:highlight w:val="none"/>
        </w:rPr>
      </w:pPr>
      <w:r>
        <w:rPr>
          <w:rFonts w:hint="eastAsia" w:ascii="黑体" w:hAnsi="黑体" w:eastAsia="黑体" w:cs="黑体"/>
          <w:b/>
          <w:bCs/>
          <w:color w:val="auto"/>
          <w:kern w:val="0"/>
          <w:sz w:val="21"/>
          <w:szCs w:val="21"/>
          <w:highlight w:val="none"/>
          <w:lang w:val="en-US" w:eastAsia="zh-CN" w:bidi="ar"/>
        </w:rPr>
        <w:t>供应商是非企业专业服务机构的，</w:t>
      </w:r>
      <w:r>
        <w:rPr>
          <w:rFonts w:hint="eastAsia" w:ascii="黑体" w:hAnsi="黑体" w:eastAsia="黑体" w:cs="黑体"/>
          <w:color w:val="auto"/>
          <w:kern w:val="0"/>
          <w:sz w:val="21"/>
          <w:szCs w:val="21"/>
          <w:highlight w:val="none"/>
          <w:lang w:val="en-US" w:eastAsia="zh-CN" w:bidi="ar"/>
        </w:rPr>
        <w:t>应提供其有效的执业许可证复印件；</w:t>
      </w:r>
    </w:p>
    <w:p w14:paraId="522D8707">
      <w:pPr>
        <w:spacing w:line="240" w:lineRule="auto"/>
        <w:jc w:val="both"/>
        <w:rPr>
          <w:rFonts w:hint="eastAsia" w:ascii="黑体" w:hAnsi="黑体" w:eastAsia="黑体" w:cs="黑体"/>
          <w:color w:val="auto"/>
          <w:highlight w:val="none"/>
          <w:lang w:val="en-US" w:eastAsia="zh-CN"/>
        </w:rPr>
      </w:pPr>
      <w:r>
        <w:rPr>
          <w:rFonts w:hint="eastAsia" w:ascii="黑体" w:hAnsi="黑体" w:eastAsia="黑体" w:cs="黑体"/>
          <w:b/>
          <w:bCs/>
          <w:color w:val="auto"/>
          <w:kern w:val="0"/>
          <w:sz w:val="21"/>
          <w:szCs w:val="21"/>
          <w:highlight w:val="none"/>
          <w:lang w:val="en-US" w:eastAsia="zh-CN" w:bidi="ar"/>
        </w:rPr>
        <w:t>供应商是个体工商户的，</w:t>
      </w:r>
      <w:r>
        <w:rPr>
          <w:rFonts w:hint="eastAsia" w:ascii="黑体" w:hAnsi="黑体" w:eastAsia="黑体" w:cs="黑体"/>
          <w:color w:val="auto"/>
          <w:kern w:val="0"/>
          <w:sz w:val="21"/>
          <w:szCs w:val="21"/>
          <w:highlight w:val="none"/>
          <w:lang w:val="en-US" w:eastAsia="zh-CN" w:bidi="ar"/>
        </w:rPr>
        <w:t>应提供其有效的“个体工商户营业执照”复印件。</w:t>
      </w:r>
      <w:r>
        <w:rPr>
          <w:rFonts w:hint="eastAsia" w:ascii="黑体" w:hAnsi="黑体" w:eastAsia="黑体" w:cs="黑体"/>
          <w:color w:val="auto"/>
          <w:highlight w:val="none"/>
          <w:lang w:val="en-US" w:eastAsia="zh-CN"/>
        </w:rPr>
        <w:br w:type="page"/>
      </w:r>
    </w:p>
    <w:p w14:paraId="261FDA1F">
      <w:pPr>
        <w:autoSpaceDE w:val="0"/>
        <w:autoSpaceDN w:val="0"/>
        <w:adjustRightInd w:val="0"/>
        <w:spacing w:beforeLines="50" w:afterLines="50" w:line="400" w:lineRule="exact"/>
        <w:jc w:val="both"/>
        <w:outlineLvl w:val="2"/>
        <w:rPr>
          <w:rFonts w:hint="eastAsia" w:ascii="黑体" w:hAnsi="黑体" w:eastAsia="黑体" w:cs="黑体"/>
          <w:b/>
          <w:color w:val="auto"/>
          <w:sz w:val="32"/>
          <w:szCs w:val="32"/>
          <w:lang w:val="en-US" w:eastAsia="zh-CN"/>
        </w:rPr>
        <w:sectPr>
          <w:pgSz w:w="11906" w:h="16838"/>
          <w:pgMar w:top="1418" w:right="1133" w:bottom="993" w:left="1134" w:header="851" w:footer="992" w:gutter="0"/>
          <w:pgBorders w:offsetFrom="page">
            <w:top w:val="none" w:sz="0" w:space="0"/>
            <w:left w:val="none" w:sz="0" w:space="0"/>
            <w:bottom w:val="none" w:sz="0" w:space="0"/>
            <w:right w:val="none" w:sz="0" w:space="0"/>
          </w:pgBorders>
          <w:pgNumType w:fmt="decimal"/>
          <w:cols w:space="720" w:num="1"/>
          <w:docGrid w:linePitch="312" w:charSpace="0"/>
        </w:sectPr>
      </w:pPr>
      <w:bookmarkStart w:id="148" w:name="_Toc13994"/>
      <w:bookmarkStart w:id="149" w:name="_Toc5273"/>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三</w:t>
      </w:r>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具有良好的商业信誉和健全的财务会计制度</w:t>
      </w:r>
      <w:bookmarkEnd w:id="148"/>
      <w:bookmarkEnd w:id="149"/>
    </w:p>
    <w:p w14:paraId="00C5B18E">
      <w:pPr>
        <w:autoSpaceDE w:val="0"/>
        <w:autoSpaceDN w:val="0"/>
        <w:adjustRightInd w:val="0"/>
        <w:spacing w:beforeLines="50" w:afterLines="50" w:line="400" w:lineRule="exact"/>
        <w:jc w:val="both"/>
        <w:outlineLvl w:val="2"/>
        <w:rPr>
          <w:rFonts w:hint="eastAsia" w:ascii="黑体" w:hAnsi="黑体" w:eastAsia="黑体" w:cs="黑体"/>
          <w:b/>
          <w:color w:val="auto"/>
          <w:sz w:val="32"/>
          <w:szCs w:val="32"/>
          <w:lang w:val="en-US" w:eastAsia="zh-CN"/>
        </w:rPr>
        <w:sectPr>
          <w:pgSz w:w="11906" w:h="16838"/>
          <w:pgMar w:top="1418" w:right="1133" w:bottom="993" w:left="1134" w:header="851" w:footer="992" w:gutter="0"/>
          <w:pgBorders w:offsetFrom="page">
            <w:top w:val="none" w:sz="0" w:space="0"/>
            <w:left w:val="none" w:sz="0" w:space="0"/>
            <w:bottom w:val="none" w:sz="0" w:space="0"/>
            <w:right w:val="none" w:sz="0" w:space="0"/>
          </w:pgBorders>
          <w:pgNumType w:fmt="decimal"/>
          <w:cols w:space="720" w:num="1"/>
          <w:docGrid w:linePitch="312" w:charSpace="0"/>
        </w:sectPr>
      </w:pPr>
      <w:bookmarkStart w:id="150" w:name="_Toc12382"/>
      <w:bookmarkStart w:id="151" w:name="_Toc1858"/>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四</w:t>
      </w:r>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具有依法缴纳税收和社会保障资金的良好记录</w:t>
      </w:r>
      <w:bookmarkEnd w:id="150"/>
      <w:bookmarkEnd w:id="151"/>
    </w:p>
    <w:p w14:paraId="4015889A">
      <w:pPr>
        <w:autoSpaceDE w:val="0"/>
        <w:autoSpaceDN w:val="0"/>
        <w:adjustRightInd w:val="0"/>
        <w:spacing w:beforeLines="50" w:afterLines="50" w:line="400" w:lineRule="exact"/>
        <w:jc w:val="center"/>
        <w:outlineLvl w:val="2"/>
        <w:rPr>
          <w:rFonts w:hint="eastAsia" w:ascii="黑体" w:hAnsi="黑体" w:eastAsia="黑体" w:cs="黑体"/>
          <w:b/>
          <w:color w:val="auto"/>
          <w:sz w:val="32"/>
          <w:szCs w:val="32"/>
          <w:lang w:val="en-US" w:eastAsia="zh-CN"/>
        </w:rPr>
      </w:pPr>
      <w:bookmarkStart w:id="152" w:name="_Toc3181"/>
      <w:bookmarkStart w:id="153" w:name="_Toc4630"/>
      <w:r>
        <w:rPr>
          <w:rFonts w:hint="eastAsia" w:ascii="黑体" w:hAnsi="黑体" w:eastAsia="黑体" w:cs="黑体"/>
          <w:b/>
          <w:color w:val="auto"/>
          <w:sz w:val="32"/>
          <w:szCs w:val="32"/>
          <w:lang w:val="en-US" w:eastAsia="zh-CN"/>
        </w:rPr>
        <w:t>承诺函①</w:t>
      </w:r>
      <w:bookmarkEnd w:id="152"/>
      <w:bookmarkEnd w:id="153"/>
    </w:p>
    <w:p w14:paraId="2071A0EF">
      <w:pPr>
        <w:keepNext w:val="0"/>
        <w:keepLines w:val="0"/>
        <w:pageBreakBefore w:val="0"/>
        <w:widowControl w:val="0"/>
        <w:kinsoku/>
        <w:wordWrap/>
        <w:overflowPunct/>
        <w:topLinePunct w:val="0"/>
        <w:autoSpaceDE/>
        <w:autoSpaceDN/>
        <w:bidi w:val="0"/>
        <w:adjustRightInd w:val="0"/>
        <w:snapToGrid w:val="0"/>
        <w:spacing w:line="240" w:lineRule="auto"/>
        <w:ind w:left="2656" w:firstLine="498" w:firstLineChars="200"/>
        <w:textAlignment w:val="auto"/>
        <w:rPr>
          <w:rFonts w:hint="eastAsia" w:ascii="黑体" w:hAnsi="黑体" w:eastAsia="黑体" w:cs="黑体"/>
          <w:color w:val="auto"/>
          <w:sz w:val="24"/>
          <w:szCs w:val="24"/>
        </w:rPr>
      </w:pPr>
      <w:r>
        <w:rPr>
          <w:rFonts w:hint="eastAsia" w:ascii="黑体" w:hAnsi="黑体" w:eastAsia="黑体" w:cs="黑体"/>
          <w:b/>
          <w:bCs/>
          <w:color w:val="auto"/>
          <w:spacing w:val="4"/>
          <w:sz w:val="24"/>
          <w:szCs w:val="24"/>
        </w:rPr>
        <w:t>资格条件承诺函</w:t>
      </w:r>
    </w:p>
    <w:p w14:paraId="4D2C8B16">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textAlignment w:val="auto"/>
        <w:rPr>
          <w:rFonts w:hint="eastAsia" w:ascii="黑体" w:hAnsi="黑体" w:eastAsia="黑体" w:cs="黑体"/>
          <w:color w:val="auto"/>
          <w:sz w:val="24"/>
          <w:szCs w:val="24"/>
        </w:rPr>
      </w:pPr>
    </w:p>
    <w:p w14:paraId="57D54796">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textAlignment w:val="auto"/>
        <w:rPr>
          <w:rFonts w:hint="eastAsia" w:ascii="黑体" w:hAnsi="黑体" w:eastAsia="黑体" w:cs="黑体"/>
          <w:color w:val="auto"/>
          <w:sz w:val="24"/>
          <w:szCs w:val="24"/>
        </w:rPr>
      </w:pPr>
    </w:p>
    <w:p w14:paraId="05319587">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致：</w:t>
      </w:r>
      <w:r>
        <w:rPr>
          <w:rFonts w:hint="eastAsia" w:ascii="黑体" w:hAnsi="黑体" w:eastAsia="黑体" w:cs="黑体"/>
          <w:color w:val="auto"/>
          <w:sz w:val="21"/>
          <w:szCs w:val="21"/>
          <w:u w:val="single"/>
        </w:rPr>
        <w:t>(采购人、采购代理机构)</w:t>
      </w:r>
      <w:r>
        <w:rPr>
          <w:rFonts w:hint="eastAsia" w:ascii="黑体" w:hAnsi="黑体" w:eastAsia="黑体" w:cs="黑体"/>
          <w:color w:val="auto"/>
          <w:sz w:val="21"/>
          <w:szCs w:val="21"/>
        </w:rPr>
        <w:t>:</w:t>
      </w:r>
    </w:p>
    <w:p w14:paraId="146C8DA4">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我单位(公司)参与</w:t>
      </w:r>
      <w:r>
        <w:rPr>
          <w:rFonts w:hint="eastAsia" w:ascii="黑体" w:hAnsi="黑体" w:eastAsia="黑体" w:cs="黑体"/>
          <w:color w:val="auto"/>
          <w:sz w:val="21"/>
          <w:szCs w:val="21"/>
          <w:u w:val="single"/>
        </w:rPr>
        <w:t>(采购项目名称</w:t>
      </w:r>
      <w:r>
        <w:rPr>
          <w:rFonts w:hint="eastAsia" w:ascii="黑体" w:hAnsi="黑体" w:eastAsia="黑体" w:cs="黑体"/>
          <w:color w:val="auto"/>
          <w:sz w:val="21"/>
          <w:szCs w:val="21"/>
          <w:u w:val="single"/>
          <w:lang w:eastAsia="zh-CN"/>
        </w:rPr>
        <w:t>、</w:t>
      </w:r>
      <w:r>
        <w:rPr>
          <w:rFonts w:hint="eastAsia" w:ascii="黑体" w:hAnsi="黑体" w:eastAsia="黑体" w:cs="黑体"/>
          <w:color w:val="auto"/>
          <w:sz w:val="21"/>
          <w:szCs w:val="21"/>
          <w:u w:val="single"/>
        </w:rPr>
        <w:t>项目编号)</w:t>
      </w:r>
      <w:r>
        <w:rPr>
          <w:rFonts w:hint="eastAsia" w:ascii="黑体" w:hAnsi="黑体" w:eastAsia="黑体" w:cs="黑体"/>
          <w:color w:val="auto"/>
          <w:sz w:val="21"/>
          <w:szCs w:val="21"/>
        </w:rPr>
        <w:t>采购项目的政府采购活动，现承诺如下：</w:t>
      </w:r>
    </w:p>
    <w:p w14:paraId="68D6BD6E">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1.具有良好的商业信誉和健全的财务会计制度；</w:t>
      </w:r>
    </w:p>
    <w:p w14:paraId="70F3DD1C">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2.具有依法缴纳税收的良好记录；</w:t>
      </w:r>
    </w:p>
    <w:p w14:paraId="318297DA">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3.具有依法缴纳社会保障金的良好记录。</w:t>
      </w:r>
    </w:p>
    <w:p w14:paraId="37E89949">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我方在采购项目评审(评标)环节结束后，随时接受采购人、采购代理机构的检查验证，配合提供相关证明材料，证明符合《中华人民共和国政府采购法》规定的供应商基本资格条件。</w:t>
      </w:r>
    </w:p>
    <w:p w14:paraId="70917438">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我单位(公司)对上述承诺的真实性负责。如有虚假，将依法承担相应责任。</w:t>
      </w:r>
    </w:p>
    <w:p w14:paraId="18A96357">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特此承诺。</w:t>
      </w:r>
    </w:p>
    <w:p w14:paraId="0F40E9C2">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p>
    <w:p w14:paraId="1DDDC810">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lang w:val="en-US" w:eastAsia="zh-CN"/>
        </w:rPr>
        <w:t>供应商（</w:t>
      </w:r>
      <w:r>
        <w:rPr>
          <w:rFonts w:hint="eastAsia" w:ascii="黑体" w:hAnsi="黑体" w:eastAsia="黑体" w:cs="黑体"/>
          <w:color w:val="auto"/>
          <w:sz w:val="21"/>
          <w:szCs w:val="21"/>
        </w:rPr>
        <w:t>盖章</w:t>
      </w:r>
      <w:r>
        <w:rPr>
          <w:rFonts w:hint="eastAsia" w:ascii="黑体" w:hAnsi="黑体" w:eastAsia="黑体" w:cs="黑体"/>
          <w:color w:val="auto"/>
          <w:sz w:val="21"/>
          <w:szCs w:val="21"/>
          <w:lang w:eastAsia="zh-CN"/>
        </w:rPr>
        <w:t>）</w:t>
      </w:r>
      <w:r>
        <w:rPr>
          <w:rFonts w:hint="eastAsia" w:ascii="黑体" w:hAnsi="黑体" w:eastAsia="黑体" w:cs="黑体"/>
          <w:color w:val="auto"/>
          <w:sz w:val="21"/>
          <w:szCs w:val="21"/>
        </w:rPr>
        <w:t>：</w:t>
      </w:r>
    </w:p>
    <w:p w14:paraId="7EEBA53B">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b w:val="0"/>
          <w:bCs w:val="0"/>
          <w:color w:val="auto"/>
          <w:kern w:val="0"/>
          <w:sz w:val="21"/>
          <w:szCs w:val="21"/>
          <w:highlight w:val="none"/>
          <w:lang w:val="en-US" w:eastAsia="zh-CN" w:bidi="ar"/>
        </w:rPr>
        <w:t>法定代表人或授权代表</w:t>
      </w:r>
      <w:r>
        <w:rPr>
          <w:rFonts w:hint="eastAsia" w:ascii="黑体" w:hAnsi="黑体" w:eastAsia="黑体" w:cs="黑体"/>
          <w:color w:val="auto"/>
          <w:sz w:val="21"/>
          <w:szCs w:val="21"/>
        </w:rPr>
        <w:t>签字：</w:t>
      </w:r>
    </w:p>
    <w:p w14:paraId="5E02A26A">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日期：</w:t>
      </w:r>
    </w:p>
    <w:p w14:paraId="61B008F1">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lang w:eastAsia="zh-CN"/>
        </w:rPr>
      </w:pPr>
      <w:r>
        <w:rPr>
          <w:rFonts w:hint="eastAsia" w:ascii="黑体" w:hAnsi="黑体" w:eastAsia="黑体" w:cs="黑体"/>
          <w:color w:val="auto"/>
          <w:sz w:val="21"/>
          <w:szCs w:val="21"/>
          <w:lang w:val="en-US" w:eastAsia="zh-CN"/>
        </w:rPr>
        <w:t>注：</w:t>
      </w:r>
      <w:r>
        <w:rPr>
          <w:rFonts w:hint="eastAsia" w:ascii="黑体" w:hAnsi="黑体" w:eastAsia="黑体" w:cs="黑体"/>
          <w:color w:val="auto"/>
          <w:sz w:val="21"/>
          <w:szCs w:val="21"/>
        </w:rPr>
        <w:t>不适用信用承诺的情形</w:t>
      </w:r>
      <w:r>
        <w:rPr>
          <w:rFonts w:hint="eastAsia" w:ascii="黑体" w:hAnsi="黑体" w:eastAsia="黑体" w:cs="黑体"/>
          <w:color w:val="auto"/>
          <w:sz w:val="21"/>
          <w:szCs w:val="21"/>
          <w:lang w:eastAsia="zh-CN"/>
        </w:rPr>
        <w:t>：</w:t>
      </w:r>
    </w:p>
    <w:p w14:paraId="3BEA5F54">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1.被列入政府采购不良行为记录名单的，被禁止参加政府采购活动且尚在处罚有效期内的；</w:t>
      </w:r>
    </w:p>
    <w:p w14:paraId="58D4C0E1">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rPr>
      </w:pPr>
      <w:r>
        <w:rPr>
          <w:rFonts w:hint="eastAsia" w:ascii="黑体" w:hAnsi="黑体" w:eastAsia="黑体" w:cs="黑体"/>
          <w:color w:val="auto"/>
          <w:sz w:val="21"/>
          <w:szCs w:val="21"/>
        </w:rPr>
        <w:t>2.被有关部门列入失信被执行人、联合惩戒对象、严重违法失信行为记录等情形的；</w:t>
      </w:r>
    </w:p>
    <w:p w14:paraId="28FD59E8">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lang w:eastAsia="zh-CN"/>
        </w:rPr>
      </w:pPr>
      <w:r>
        <w:rPr>
          <w:rFonts w:hint="eastAsia" w:ascii="黑体" w:hAnsi="黑体" w:eastAsia="黑体" w:cs="黑体"/>
          <w:color w:val="auto"/>
          <w:sz w:val="21"/>
          <w:szCs w:val="21"/>
        </w:rPr>
        <w:t>3.其他法律法规规定的不适用于资格条件信用承诺的情形</w:t>
      </w:r>
      <w:r>
        <w:rPr>
          <w:rFonts w:hint="eastAsia" w:ascii="黑体" w:hAnsi="黑体" w:eastAsia="黑体" w:cs="黑体"/>
          <w:color w:val="auto"/>
          <w:sz w:val="21"/>
          <w:szCs w:val="21"/>
          <w:lang w:eastAsia="zh-CN"/>
        </w:rPr>
        <w:t>。</w:t>
      </w:r>
    </w:p>
    <w:p w14:paraId="4BDFC935">
      <w:pPr>
        <w:widowControl/>
        <w:kinsoku/>
        <w:wordWrap/>
        <w:overflowPunct/>
        <w:topLinePunct/>
        <w:autoSpaceDE/>
        <w:autoSpaceDN/>
        <w:bidi w:val="0"/>
        <w:spacing w:line="360" w:lineRule="auto"/>
        <w:ind w:firstLine="480"/>
        <w:jc w:val="both"/>
        <w:textAlignment w:val="auto"/>
        <w:rPr>
          <w:rFonts w:hint="eastAsia" w:ascii="黑体" w:hAnsi="黑体" w:eastAsia="黑体" w:cs="黑体"/>
          <w:color w:val="auto"/>
          <w:sz w:val="21"/>
          <w:szCs w:val="21"/>
          <w:lang w:val="en-US" w:eastAsia="zh-CN"/>
        </w:rPr>
        <w:sectPr>
          <w:footerReference r:id="rId24" w:type="default"/>
          <w:pgSz w:w="11910" w:h="16840"/>
          <w:pgMar w:top="1431" w:right="1786" w:bottom="400" w:left="1750" w:header="0" w:footer="0" w:gutter="0"/>
          <w:pgNumType w:fmt="decimal"/>
          <w:cols w:space="720" w:num="1"/>
        </w:sectPr>
      </w:pPr>
      <w:r>
        <w:rPr>
          <w:rFonts w:hint="eastAsia" w:ascii="黑体" w:hAnsi="黑体" w:eastAsia="黑体" w:cs="黑体"/>
          <w:color w:val="auto"/>
          <w:sz w:val="21"/>
          <w:szCs w:val="21"/>
          <w:lang w:val="en-US" w:eastAsia="zh-CN"/>
        </w:rPr>
        <w:t>4.不适用于信用承诺的企业应按要求提供其他证明文件，以证明其资格符合招标文件规定。</w:t>
      </w:r>
    </w:p>
    <w:p w14:paraId="309E2DB1">
      <w:pPr>
        <w:autoSpaceDE w:val="0"/>
        <w:autoSpaceDN w:val="0"/>
        <w:adjustRightInd w:val="0"/>
        <w:spacing w:beforeLines="50" w:afterLines="50" w:line="400" w:lineRule="exact"/>
        <w:jc w:val="center"/>
        <w:outlineLvl w:val="2"/>
        <w:rPr>
          <w:rFonts w:hint="eastAsia" w:ascii="黑体" w:hAnsi="黑体" w:eastAsia="黑体" w:cs="黑体"/>
          <w:b/>
          <w:color w:val="auto"/>
          <w:sz w:val="32"/>
          <w:szCs w:val="32"/>
          <w:lang w:val="en-US" w:eastAsia="zh-CN"/>
        </w:rPr>
      </w:pPr>
      <w:bookmarkStart w:id="154" w:name="_Toc11908"/>
      <w:bookmarkStart w:id="155" w:name="_Toc32134"/>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五</w:t>
      </w:r>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声明②</w:t>
      </w:r>
      <w:bookmarkEnd w:id="154"/>
      <w:bookmarkEnd w:id="155"/>
    </w:p>
    <w:p w14:paraId="1D128A25">
      <w:pPr>
        <w:keepNext w:val="0"/>
        <w:keepLines w:val="0"/>
        <w:widowControl/>
        <w:suppressLineNumbers w:val="0"/>
        <w:jc w:val="center"/>
        <w:rPr>
          <w:rFonts w:hint="eastAsia" w:ascii="黑体" w:hAnsi="黑体" w:eastAsia="黑体" w:cs="黑体"/>
          <w:b/>
          <w:bCs/>
          <w:color w:val="auto"/>
          <w:kern w:val="0"/>
          <w:sz w:val="24"/>
          <w:szCs w:val="24"/>
          <w:highlight w:val="none"/>
          <w:lang w:val="en-US" w:eastAsia="zh-CN" w:bidi="ar"/>
        </w:rPr>
      </w:pPr>
    </w:p>
    <w:p w14:paraId="38B24975">
      <w:pPr>
        <w:keepNext w:val="0"/>
        <w:keepLines w:val="0"/>
        <w:widowControl/>
        <w:suppressLineNumbers w:val="0"/>
        <w:jc w:val="center"/>
        <w:rPr>
          <w:rFonts w:hint="eastAsia" w:ascii="黑体" w:hAnsi="黑体" w:eastAsia="黑体" w:cs="黑体"/>
          <w:b/>
          <w:bCs/>
          <w:color w:val="auto"/>
          <w:kern w:val="0"/>
          <w:sz w:val="24"/>
          <w:szCs w:val="24"/>
          <w:highlight w:val="none"/>
          <w:lang w:val="en-US" w:eastAsia="zh-CN" w:bidi="ar"/>
        </w:rPr>
      </w:pPr>
      <w:r>
        <w:rPr>
          <w:rFonts w:hint="eastAsia" w:ascii="黑体" w:hAnsi="黑体" w:eastAsia="黑体" w:cs="黑体"/>
          <w:b/>
          <w:bCs/>
          <w:color w:val="auto"/>
          <w:kern w:val="0"/>
          <w:sz w:val="24"/>
          <w:szCs w:val="24"/>
          <w:highlight w:val="none"/>
          <w:lang w:val="en-US" w:eastAsia="zh-CN" w:bidi="ar"/>
        </w:rPr>
        <w:t>具有履行合同所必需的设备和专业技术能力</w:t>
      </w:r>
    </w:p>
    <w:p w14:paraId="6158ABBA">
      <w:pPr>
        <w:pStyle w:val="8"/>
        <w:rPr>
          <w:rFonts w:hint="eastAsia" w:ascii="黑体" w:hAnsi="黑体" w:eastAsia="黑体" w:cs="黑体"/>
          <w:color w:val="auto"/>
          <w:highlight w:val="none"/>
          <w:lang w:val="en-US" w:eastAsia="zh-CN"/>
        </w:rPr>
      </w:pPr>
    </w:p>
    <w:p w14:paraId="3D03A7B2">
      <w:pPr>
        <w:keepNext w:val="0"/>
        <w:keepLines w:val="0"/>
        <w:widowControl/>
        <w:suppressLineNumbers w:val="0"/>
        <w:jc w:val="left"/>
        <w:rPr>
          <w:rFonts w:hint="eastAsia" w:ascii="黑体" w:hAnsi="黑体" w:eastAsia="黑体" w:cs="黑体"/>
          <w:color w:val="auto"/>
          <w:sz w:val="21"/>
          <w:szCs w:val="21"/>
          <w:highlight w:val="none"/>
          <w:lang w:val="en-US" w:eastAsia="zh-CN"/>
        </w:rPr>
      </w:pPr>
      <w:r>
        <w:rPr>
          <w:rFonts w:hint="eastAsia" w:ascii="黑体" w:hAnsi="黑体" w:eastAsia="黑体" w:cs="黑体"/>
          <w:b/>
          <w:bCs/>
          <w:color w:val="auto"/>
          <w:kern w:val="0"/>
          <w:sz w:val="21"/>
          <w:szCs w:val="21"/>
          <w:highlight w:val="none"/>
          <w:lang w:val="en-US" w:eastAsia="zh-CN" w:bidi="ar"/>
        </w:rPr>
        <w:t>供应商须</w:t>
      </w:r>
      <w:r>
        <w:rPr>
          <w:rFonts w:hint="eastAsia" w:ascii="黑体" w:hAnsi="黑体" w:eastAsia="黑体" w:cs="黑体"/>
          <w:b/>
          <w:bCs/>
          <w:color w:val="auto"/>
          <w:sz w:val="21"/>
          <w:szCs w:val="21"/>
          <w:highlight w:val="none"/>
        </w:rPr>
        <w:t>具有履行合同所必需的设备和专业技术能力</w:t>
      </w:r>
      <w:r>
        <w:rPr>
          <w:rFonts w:hint="eastAsia" w:ascii="黑体" w:hAnsi="黑体" w:eastAsia="黑体" w:cs="黑体"/>
          <w:b/>
          <w:bCs/>
          <w:color w:val="auto"/>
          <w:kern w:val="0"/>
          <w:sz w:val="21"/>
          <w:szCs w:val="21"/>
          <w:highlight w:val="none"/>
          <w:lang w:val="en-US" w:eastAsia="zh-CN" w:bidi="ar"/>
        </w:rPr>
        <w:t>，须附相关证明材料或书面声明（书面声明格式自拟）。</w:t>
      </w:r>
    </w:p>
    <w:p w14:paraId="101F21FA">
      <w:pPr>
        <w:jc w:val="both"/>
        <w:rPr>
          <w:rFonts w:hint="eastAsia" w:ascii="黑体" w:hAnsi="黑体" w:eastAsia="黑体" w:cs="黑体"/>
          <w:b/>
          <w:bCs/>
          <w:color w:val="auto"/>
          <w:kern w:val="0"/>
          <w:sz w:val="24"/>
          <w:szCs w:val="24"/>
          <w:highlight w:val="none"/>
          <w:lang w:val="en-US" w:eastAsia="zh-CN" w:bidi="ar"/>
        </w:rPr>
      </w:pPr>
      <w:r>
        <w:rPr>
          <w:rFonts w:hint="eastAsia" w:ascii="黑体" w:hAnsi="黑体" w:eastAsia="黑体" w:cs="黑体"/>
          <w:color w:val="auto"/>
          <w:highlight w:val="none"/>
          <w:lang w:val="en-US" w:eastAsia="zh-CN"/>
        </w:rPr>
        <w:br w:type="page"/>
      </w:r>
    </w:p>
    <w:p w14:paraId="2333951F">
      <w:pPr>
        <w:autoSpaceDE w:val="0"/>
        <w:autoSpaceDN w:val="0"/>
        <w:adjustRightInd w:val="0"/>
        <w:spacing w:beforeLines="50" w:afterLines="50" w:line="400" w:lineRule="exact"/>
        <w:jc w:val="center"/>
        <w:outlineLvl w:val="2"/>
        <w:rPr>
          <w:rFonts w:hint="eastAsia" w:ascii="黑体" w:hAnsi="黑体" w:eastAsia="黑体" w:cs="黑体"/>
          <w:b/>
          <w:color w:val="auto"/>
          <w:sz w:val="32"/>
          <w:szCs w:val="32"/>
          <w:lang w:val="en-US" w:eastAsia="zh-CN"/>
        </w:rPr>
      </w:pPr>
      <w:bookmarkStart w:id="156" w:name="_Toc14944"/>
      <w:bookmarkStart w:id="157" w:name="_Toc12329"/>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六</w:t>
      </w:r>
      <w:r>
        <w:rPr>
          <w:rFonts w:hint="eastAsia" w:ascii="黑体" w:hAnsi="黑体" w:eastAsia="黑体" w:cs="黑体"/>
          <w:b/>
          <w:color w:val="auto"/>
          <w:sz w:val="32"/>
          <w:szCs w:val="32"/>
        </w:rPr>
        <w:t>）</w:t>
      </w:r>
      <w:r>
        <w:rPr>
          <w:rFonts w:hint="eastAsia" w:ascii="黑体" w:hAnsi="黑体" w:eastAsia="黑体" w:cs="黑体"/>
          <w:b/>
          <w:color w:val="auto"/>
          <w:sz w:val="32"/>
          <w:szCs w:val="32"/>
          <w:lang w:val="en-US" w:eastAsia="zh-CN"/>
        </w:rPr>
        <w:t>声明③</w:t>
      </w:r>
      <w:bookmarkEnd w:id="156"/>
      <w:bookmarkEnd w:id="157"/>
    </w:p>
    <w:p w14:paraId="5B36B9C2">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r>
        <w:rPr>
          <w:rFonts w:hint="eastAsia" w:ascii="黑体" w:hAnsi="黑体" w:eastAsia="黑体" w:cs="黑体"/>
          <w:b/>
          <w:bCs/>
          <w:color w:val="auto"/>
          <w:kern w:val="0"/>
          <w:sz w:val="24"/>
          <w:szCs w:val="24"/>
          <w:highlight w:val="none"/>
          <w:lang w:val="en-US" w:eastAsia="zh-CN" w:bidi="ar"/>
        </w:rPr>
        <w:t>近三年内，供应商在经营活动中没有重大违法记录</w:t>
      </w:r>
    </w:p>
    <w:p w14:paraId="5C366AA2">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p>
    <w:p w14:paraId="1AC04D34">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r>
        <w:rPr>
          <w:rFonts w:hint="eastAsia" w:ascii="黑体" w:hAnsi="黑体" w:eastAsia="黑体" w:cs="黑体"/>
          <w:b/>
          <w:bCs/>
          <w:color w:val="auto"/>
          <w:kern w:val="0"/>
          <w:sz w:val="24"/>
          <w:szCs w:val="24"/>
          <w:highlight w:val="none"/>
          <w:lang w:val="en-US" w:eastAsia="zh-CN" w:bidi="ar"/>
        </w:rPr>
        <w:t>参加本政府采购项目前3年内在经营活动中没有重大违法记录的书面声明函（格式）</w:t>
      </w:r>
    </w:p>
    <w:p w14:paraId="3B5259E8">
      <w:pPr>
        <w:keepNext w:val="0"/>
        <w:keepLines w:val="0"/>
        <w:widowControl/>
        <w:suppressLineNumbers w:val="0"/>
        <w:spacing w:line="480" w:lineRule="auto"/>
        <w:jc w:val="left"/>
        <w:rPr>
          <w:rFonts w:hint="eastAsia" w:ascii="黑体" w:hAnsi="黑体" w:eastAsia="黑体" w:cs="黑体"/>
          <w:b/>
          <w:bCs/>
          <w:color w:val="auto"/>
          <w:kern w:val="0"/>
          <w:sz w:val="21"/>
          <w:szCs w:val="21"/>
          <w:highlight w:val="none"/>
          <w:lang w:val="en-US" w:eastAsia="zh-CN" w:bidi="ar"/>
        </w:rPr>
      </w:pPr>
      <w:r>
        <w:rPr>
          <w:rFonts w:hint="eastAsia" w:ascii="黑体" w:hAnsi="黑体" w:eastAsia="黑体" w:cs="黑体"/>
          <w:b/>
          <w:bCs/>
          <w:color w:val="auto"/>
          <w:kern w:val="0"/>
          <w:sz w:val="21"/>
          <w:szCs w:val="21"/>
          <w:highlight w:val="none"/>
          <w:lang w:val="en-US" w:eastAsia="zh-CN" w:bidi="ar"/>
        </w:rPr>
        <w:t>致：</w:t>
      </w:r>
      <w:r>
        <w:rPr>
          <w:rFonts w:hint="eastAsia" w:ascii="黑体" w:hAnsi="黑体" w:eastAsia="黑体" w:cs="黑体"/>
          <w:b/>
          <w:bCs/>
          <w:color w:val="auto"/>
          <w:sz w:val="21"/>
          <w:szCs w:val="21"/>
          <w:highlight w:val="none"/>
          <w:u w:val="single"/>
          <w:lang w:val="en-US" w:eastAsia="zh-CN"/>
        </w:rPr>
        <w:t>（采购人名称）</w:t>
      </w:r>
    </w:p>
    <w:p w14:paraId="45FC7D58">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r>
        <w:rPr>
          <w:rFonts w:hint="eastAsia" w:ascii="黑体" w:hAnsi="黑体" w:eastAsia="黑体" w:cs="黑体"/>
          <w:b w:val="0"/>
          <w:bCs w:val="0"/>
          <w:color w:val="auto"/>
          <w:kern w:val="0"/>
          <w:sz w:val="21"/>
          <w:szCs w:val="21"/>
          <w:highlight w:val="none"/>
          <w:lang w:val="en-US" w:eastAsia="zh-CN" w:bidi="ar"/>
        </w:rPr>
        <w:t>我单位郑重声明：在本项目投标截止期前3年内，我单位在经营活动中没有重大违法记录（重大违法记录是指供应商因违法经营受到刑事处罚或责令停产停业、吊销许可证或者执照、较大数额罚款等行政处罚）。</w:t>
      </w:r>
    </w:p>
    <w:p w14:paraId="308F2D9F">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r>
        <w:rPr>
          <w:rFonts w:hint="eastAsia" w:ascii="黑体" w:hAnsi="黑体" w:eastAsia="黑体" w:cs="黑体"/>
          <w:b w:val="0"/>
          <w:bCs w:val="0"/>
          <w:color w:val="auto"/>
          <w:kern w:val="0"/>
          <w:sz w:val="21"/>
          <w:szCs w:val="21"/>
          <w:highlight w:val="none"/>
          <w:lang w:val="en-US" w:eastAsia="zh-CN" w:bidi="ar"/>
        </w:rPr>
        <w:t>我单位对上述声明的真实性负责。如有虚假，将依法承担相应责任。</w:t>
      </w:r>
    </w:p>
    <w:p w14:paraId="7D9F2B1A">
      <w:pPr>
        <w:keepNext w:val="0"/>
        <w:keepLines w:val="0"/>
        <w:widowControl/>
        <w:suppressLineNumbers w:val="0"/>
        <w:spacing w:line="480" w:lineRule="auto"/>
        <w:jc w:val="left"/>
        <w:rPr>
          <w:rFonts w:hint="eastAsia" w:ascii="黑体" w:hAnsi="黑体" w:eastAsia="黑体" w:cs="黑体"/>
          <w:b w:val="0"/>
          <w:bCs w:val="0"/>
          <w:color w:val="auto"/>
          <w:kern w:val="0"/>
          <w:sz w:val="21"/>
          <w:szCs w:val="21"/>
          <w:highlight w:val="none"/>
          <w:lang w:val="en-US" w:eastAsia="zh-CN" w:bidi="ar"/>
        </w:rPr>
      </w:pPr>
    </w:p>
    <w:p w14:paraId="009A748F">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r>
        <w:rPr>
          <w:rFonts w:hint="eastAsia" w:ascii="黑体" w:hAnsi="黑体" w:eastAsia="黑体" w:cs="黑体"/>
          <w:b w:val="0"/>
          <w:bCs w:val="0"/>
          <w:color w:val="auto"/>
          <w:kern w:val="0"/>
          <w:sz w:val="21"/>
          <w:szCs w:val="21"/>
          <w:highlight w:val="none"/>
          <w:lang w:val="en-US" w:eastAsia="zh-CN" w:bidi="ar"/>
        </w:rPr>
        <w:t>供应商名称：（公章）</w:t>
      </w:r>
    </w:p>
    <w:p w14:paraId="2BD50F30">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p>
    <w:p w14:paraId="27BF55B3">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r>
        <w:rPr>
          <w:rFonts w:hint="eastAsia" w:ascii="黑体" w:hAnsi="黑体" w:eastAsia="黑体" w:cs="黑体"/>
          <w:b w:val="0"/>
          <w:bCs w:val="0"/>
          <w:color w:val="auto"/>
          <w:kern w:val="0"/>
          <w:sz w:val="21"/>
          <w:szCs w:val="21"/>
          <w:highlight w:val="none"/>
          <w:lang w:val="en-US" w:eastAsia="zh-CN" w:bidi="ar"/>
        </w:rPr>
        <w:t>法定代表人或授权代表：（签字）</w:t>
      </w:r>
    </w:p>
    <w:p w14:paraId="5AD76289">
      <w:pPr>
        <w:pStyle w:val="7"/>
        <w:rPr>
          <w:rFonts w:hint="eastAsia" w:ascii="黑体" w:hAnsi="黑体" w:eastAsia="黑体" w:cs="黑体"/>
          <w:b w:val="0"/>
          <w:bCs w:val="0"/>
          <w:color w:val="auto"/>
          <w:kern w:val="0"/>
          <w:sz w:val="21"/>
          <w:szCs w:val="21"/>
          <w:highlight w:val="none"/>
          <w:lang w:val="en-US" w:eastAsia="zh-CN" w:bidi="ar"/>
        </w:rPr>
      </w:pPr>
    </w:p>
    <w:p w14:paraId="3A46BF18">
      <w:pPr>
        <w:keepNext w:val="0"/>
        <w:keepLines w:val="0"/>
        <w:widowControl/>
        <w:suppressLineNumbers w:val="0"/>
        <w:spacing w:line="480" w:lineRule="auto"/>
        <w:ind w:firstLine="420" w:firstLineChars="200"/>
        <w:jc w:val="left"/>
        <w:rPr>
          <w:rFonts w:hint="eastAsia" w:ascii="黑体" w:hAnsi="黑体" w:eastAsia="黑体" w:cs="黑体"/>
          <w:b w:val="0"/>
          <w:bCs w:val="0"/>
          <w:color w:val="auto"/>
          <w:kern w:val="0"/>
          <w:sz w:val="21"/>
          <w:szCs w:val="21"/>
          <w:highlight w:val="none"/>
          <w:lang w:val="en-US" w:eastAsia="zh-CN" w:bidi="ar"/>
        </w:rPr>
      </w:pPr>
      <w:r>
        <w:rPr>
          <w:rFonts w:hint="eastAsia" w:ascii="黑体" w:hAnsi="黑体" w:eastAsia="黑体" w:cs="黑体"/>
          <w:b w:val="0"/>
          <w:bCs w:val="0"/>
          <w:color w:val="auto"/>
          <w:kern w:val="0"/>
          <w:sz w:val="21"/>
          <w:szCs w:val="21"/>
          <w:highlight w:val="none"/>
          <w:lang w:val="en-US" w:eastAsia="zh-CN" w:bidi="ar"/>
        </w:rPr>
        <w:t>日期：</w:t>
      </w:r>
    </w:p>
    <w:p w14:paraId="1DF79FB4">
      <w:pPr>
        <w:keepNext w:val="0"/>
        <w:keepLines w:val="0"/>
        <w:widowControl/>
        <w:suppressLineNumbers w:val="0"/>
        <w:spacing w:line="360" w:lineRule="auto"/>
        <w:jc w:val="center"/>
        <w:outlineLvl w:val="2"/>
        <w:rPr>
          <w:rFonts w:hint="eastAsia" w:ascii="黑体" w:hAnsi="黑体" w:eastAsia="黑体" w:cs="黑体"/>
          <w:b/>
          <w:bCs/>
          <w:color w:val="auto"/>
          <w:kern w:val="0"/>
          <w:sz w:val="24"/>
          <w:szCs w:val="24"/>
          <w:highlight w:val="yellow"/>
          <w:lang w:val="en-US" w:eastAsia="zh-CN" w:bidi="ar"/>
        </w:rPr>
      </w:pPr>
      <w:r>
        <w:rPr>
          <w:rFonts w:hint="eastAsia" w:ascii="黑体" w:hAnsi="黑体" w:eastAsia="黑体" w:cs="黑体"/>
          <w:color w:val="auto"/>
          <w:sz w:val="21"/>
          <w:szCs w:val="21"/>
          <w:highlight w:val="yellow"/>
          <w:lang w:val="en-US" w:eastAsia="zh-CN"/>
        </w:rPr>
        <w:br w:type="page"/>
      </w:r>
      <w:bookmarkStart w:id="158" w:name="_Toc13189"/>
      <w:bookmarkStart w:id="159" w:name="_Toc15726"/>
      <w:r>
        <w:rPr>
          <w:rFonts w:hint="eastAsia" w:ascii="黑体" w:hAnsi="黑体" w:eastAsia="黑体" w:cs="黑体"/>
          <w:b/>
          <w:color w:val="auto"/>
          <w:sz w:val="32"/>
          <w:szCs w:val="32"/>
          <w:lang w:val="en-US" w:eastAsia="zh-CN"/>
        </w:rPr>
        <w:t>（七）声明④</w:t>
      </w:r>
      <w:bookmarkEnd w:id="158"/>
      <w:bookmarkEnd w:id="159"/>
    </w:p>
    <w:p w14:paraId="11F38A46">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p>
    <w:p w14:paraId="2102019B">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r>
        <w:rPr>
          <w:rFonts w:hint="eastAsia" w:ascii="黑体" w:hAnsi="黑体" w:eastAsia="黑体" w:cs="黑体"/>
          <w:b/>
          <w:bCs/>
          <w:color w:val="auto"/>
          <w:kern w:val="0"/>
          <w:sz w:val="24"/>
          <w:szCs w:val="24"/>
          <w:highlight w:val="none"/>
          <w:lang w:val="en-US" w:eastAsia="zh-CN" w:bidi="ar"/>
        </w:rPr>
        <w:t>声明函（格式）</w:t>
      </w:r>
    </w:p>
    <w:p w14:paraId="088FF241">
      <w:pPr>
        <w:widowControl w:val="0"/>
        <w:spacing w:line="480" w:lineRule="auto"/>
        <w:jc w:val="both"/>
        <w:rPr>
          <w:rFonts w:hint="eastAsia" w:ascii="黑体" w:hAnsi="黑体" w:eastAsia="黑体" w:cs="黑体"/>
          <w:b/>
          <w:bCs/>
          <w:color w:val="auto"/>
          <w:kern w:val="2"/>
          <w:sz w:val="21"/>
          <w:szCs w:val="21"/>
          <w:highlight w:val="none"/>
          <w:u w:val="none"/>
          <w:lang w:val="en-US" w:eastAsia="zh-CN"/>
        </w:rPr>
      </w:pPr>
      <w:r>
        <w:rPr>
          <w:rFonts w:hint="eastAsia" w:ascii="黑体" w:hAnsi="黑体" w:eastAsia="黑体" w:cs="黑体"/>
          <w:b/>
          <w:bCs/>
          <w:color w:val="auto"/>
          <w:kern w:val="2"/>
          <w:sz w:val="21"/>
          <w:szCs w:val="21"/>
          <w:highlight w:val="none"/>
          <w:u w:val="none"/>
          <w:lang w:val="en-US" w:eastAsia="zh-CN"/>
        </w:rPr>
        <w:t>致：</w:t>
      </w:r>
      <w:r>
        <w:rPr>
          <w:rFonts w:hint="eastAsia" w:ascii="黑体" w:hAnsi="黑体" w:eastAsia="黑体" w:cs="黑体"/>
          <w:b/>
          <w:bCs/>
          <w:color w:val="auto"/>
          <w:kern w:val="2"/>
          <w:sz w:val="21"/>
          <w:szCs w:val="21"/>
          <w:highlight w:val="none"/>
          <w:u w:val="single"/>
          <w:lang w:val="en-US" w:eastAsia="zh-CN"/>
        </w:rPr>
        <w:t>（采购人名称）</w:t>
      </w:r>
    </w:p>
    <w:p w14:paraId="7B84855E">
      <w:pPr>
        <w:widowControl w:val="0"/>
        <w:spacing w:line="480" w:lineRule="auto"/>
        <w:ind w:firstLine="420" w:firstLineChars="200"/>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我单位郑重声明：与本单位负责人为同一人或者与本单位存在直接控股关系、管理关系的供应商未参与</w:t>
      </w:r>
      <w:r>
        <w:rPr>
          <w:rFonts w:hint="eastAsia" w:ascii="黑体" w:hAnsi="黑体" w:eastAsia="黑体" w:cs="黑体"/>
          <w:b/>
          <w:bCs/>
          <w:color w:val="auto"/>
          <w:kern w:val="2"/>
          <w:sz w:val="21"/>
          <w:szCs w:val="21"/>
          <w:highlight w:val="none"/>
          <w:u w:val="none"/>
          <w:lang w:val="en-US" w:eastAsia="zh-CN"/>
        </w:rPr>
        <w:t>(项目名称)</w:t>
      </w:r>
      <w:r>
        <w:rPr>
          <w:rFonts w:hint="eastAsia" w:ascii="黑体" w:hAnsi="黑体" w:eastAsia="黑体" w:cs="黑体"/>
          <w:b w:val="0"/>
          <w:color w:val="auto"/>
          <w:kern w:val="2"/>
          <w:sz w:val="21"/>
          <w:szCs w:val="21"/>
          <w:highlight w:val="none"/>
          <w:u w:val="none"/>
          <w:lang w:val="en-US" w:eastAsia="zh-CN"/>
        </w:rPr>
        <w:t>同一合同项下的投标。</w:t>
      </w:r>
    </w:p>
    <w:p w14:paraId="7AB8EAB3">
      <w:pPr>
        <w:widowControl w:val="0"/>
        <w:spacing w:line="480" w:lineRule="auto"/>
        <w:ind w:firstLine="210" w:firstLineChars="100"/>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我单位保证上述声明真实、有效、可查。</w:t>
      </w:r>
    </w:p>
    <w:p w14:paraId="47E3E75A">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特此声明。</w:t>
      </w:r>
    </w:p>
    <w:p w14:paraId="699D10C4">
      <w:pPr>
        <w:widowControl w:val="0"/>
        <w:spacing w:line="480" w:lineRule="auto"/>
        <w:jc w:val="both"/>
        <w:rPr>
          <w:rFonts w:hint="eastAsia" w:ascii="黑体" w:hAnsi="黑体" w:eastAsia="黑体" w:cs="黑体"/>
          <w:b w:val="0"/>
          <w:color w:val="auto"/>
          <w:kern w:val="2"/>
          <w:sz w:val="21"/>
          <w:szCs w:val="21"/>
          <w:highlight w:val="none"/>
          <w:u w:val="single"/>
          <w:lang w:val="en-US" w:eastAsia="zh-CN"/>
        </w:rPr>
      </w:pPr>
    </w:p>
    <w:p w14:paraId="177946E8">
      <w:pPr>
        <w:widowControl w:val="0"/>
        <w:spacing w:line="480" w:lineRule="auto"/>
        <w:jc w:val="both"/>
        <w:rPr>
          <w:rFonts w:hint="eastAsia" w:ascii="黑体" w:hAnsi="黑体" w:eastAsia="黑体" w:cs="黑体"/>
          <w:b w:val="0"/>
          <w:color w:val="auto"/>
          <w:kern w:val="2"/>
          <w:sz w:val="21"/>
          <w:szCs w:val="21"/>
          <w:highlight w:val="none"/>
          <w:u w:val="single"/>
          <w:lang w:val="en-US" w:eastAsia="zh-CN"/>
        </w:rPr>
      </w:pPr>
      <w:r>
        <w:rPr>
          <w:rFonts w:hint="eastAsia" w:ascii="黑体" w:hAnsi="黑体" w:eastAsia="黑体" w:cs="黑体"/>
          <w:b w:val="0"/>
          <w:color w:val="auto"/>
          <w:kern w:val="2"/>
          <w:sz w:val="21"/>
          <w:szCs w:val="21"/>
          <w:highlight w:val="none"/>
          <w:u w:val="none"/>
          <w:lang w:val="en-US" w:eastAsia="zh-CN"/>
        </w:rPr>
        <w:t>供应商名称：</w:t>
      </w:r>
      <w:r>
        <w:rPr>
          <w:rFonts w:hint="eastAsia" w:ascii="黑体" w:hAnsi="黑体" w:eastAsia="黑体" w:cs="黑体"/>
          <w:b w:val="0"/>
          <w:color w:val="auto"/>
          <w:kern w:val="2"/>
          <w:sz w:val="21"/>
          <w:szCs w:val="21"/>
          <w:highlight w:val="none"/>
          <w:u w:val="single"/>
          <w:lang w:val="en-US" w:eastAsia="zh-CN"/>
        </w:rPr>
        <w:t>（公章）</w:t>
      </w:r>
    </w:p>
    <w:p w14:paraId="2574A635">
      <w:pPr>
        <w:widowControl w:val="0"/>
        <w:spacing w:line="480" w:lineRule="auto"/>
        <w:jc w:val="both"/>
        <w:rPr>
          <w:rFonts w:hint="eastAsia" w:ascii="黑体" w:hAnsi="黑体" w:eastAsia="黑体" w:cs="黑体"/>
          <w:b w:val="0"/>
          <w:color w:val="auto"/>
          <w:kern w:val="2"/>
          <w:sz w:val="21"/>
          <w:szCs w:val="21"/>
          <w:highlight w:val="none"/>
          <w:u w:val="single"/>
          <w:lang w:val="en-US" w:eastAsia="zh-CN"/>
        </w:rPr>
      </w:pPr>
      <w:r>
        <w:rPr>
          <w:rFonts w:hint="eastAsia" w:ascii="黑体" w:hAnsi="黑体" w:eastAsia="黑体" w:cs="黑体"/>
          <w:b w:val="0"/>
          <w:color w:val="auto"/>
          <w:kern w:val="2"/>
          <w:sz w:val="21"/>
          <w:szCs w:val="21"/>
          <w:highlight w:val="none"/>
          <w:u w:val="none"/>
          <w:lang w:val="en-US" w:eastAsia="zh-CN"/>
        </w:rPr>
        <w:t>法定代表人或授权代表</w:t>
      </w:r>
      <w:r>
        <w:rPr>
          <w:rFonts w:hint="eastAsia" w:ascii="黑体" w:hAnsi="黑体" w:eastAsia="黑体" w:cs="黑体"/>
          <w:b w:val="0"/>
          <w:color w:val="auto"/>
          <w:kern w:val="2"/>
          <w:sz w:val="21"/>
          <w:szCs w:val="21"/>
          <w:highlight w:val="none"/>
          <w:u w:val="single"/>
          <w:lang w:val="en-US" w:eastAsia="zh-CN"/>
        </w:rPr>
        <w:t>：（签字）</w:t>
      </w:r>
    </w:p>
    <w:p w14:paraId="6ADD4B78">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黑体" w:hAnsi="黑体" w:eastAsia="黑体" w:cs="黑体"/>
          <w:b/>
          <w:color w:val="auto"/>
          <w:sz w:val="21"/>
          <w:szCs w:val="21"/>
          <w:highlight w:val="none"/>
        </w:rPr>
        <w:sectPr>
          <w:pgSz w:w="11906" w:h="16838"/>
          <w:pgMar w:top="1418" w:right="1133" w:bottom="993" w:left="1134" w:header="851" w:footer="992" w:gutter="0"/>
          <w:pgBorders w:offsetFrom="page">
            <w:top w:val="none" w:sz="0" w:space="0"/>
            <w:left w:val="none" w:sz="0" w:space="0"/>
            <w:bottom w:val="none" w:sz="0" w:space="0"/>
            <w:right w:val="none" w:sz="0" w:space="0"/>
          </w:pgBorders>
          <w:pgNumType w:fmt="decimal"/>
          <w:cols w:space="720" w:num="1"/>
          <w:docGrid w:linePitch="312" w:charSpace="0"/>
        </w:sectPr>
      </w:pPr>
      <w:r>
        <w:rPr>
          <w:rFonts w:hint="eastAsia" w:ascii="黑体" w:hAnsi="黑体" w:eastAsia="黑体" w:cs="黑体"/>
          <w:b w:val="0"/>
          <w:color w:val="auto"/>
          <w:kern w:val="2"/>
          <w:sz w:val="21"/>
          <w:szCs w:val="21"/>
          <w:highlight w:val="none"/>
          <w:u w:val="none"/>
          <w:lang w:val="en-US" w:eastAsia="zh-CN"/>
        </w:rPr>
        <w:t>日期：</w:t>
      </w:r>
    </w:p>
    <w:p w14:paraId="4EC85837">
      <w:pPr>
        <w:keepNext w:val="0"/>
        <w:keepLines w:val="0"/>
        <w:widowControl/>
        <w:suppressLineNumbers w:val="0"/>
        <w:spacing w:line="360" w:lineRule="auto"/>
        <w:jc w:val="center"/>
        <w:outlineLvl w:val="2"/>
        <w:rPr>
          <w:rFonts w:hint="eastAsia" w:ascii="黑体" w:hAnsi="黑体" w:eastAsia="黑体" w:cs="黑体"/>
          <w:b/>
          <w:color w:val="auto"/>
          <w:sz w:val="32"/>
          <w:szCs w:val="32"/>
          <w:lang w:val="en-US" w:eastAsia="zh-CN"/>
        </w:rPr>
      </w:pPr>
      <w:bookmarkStart w:id="160" w:name="_Toc29037"/>
      <w:bookmarkStart w:id="161" w:name="_Toc16693"/>
      <w:r>
        <w:rPr>
          <w:rFonts w:hint="eastAsia" w:ascii="黑体" w:hAnsi="黑体" w:eastAsia="黑体" w:cs="黑体"/>
          <w:b/>
          <w:color w:val="auto"/>
          <w:sz w:val="32"/>
          <w:szCs w:val="32"/>
          <w:lang w:val="en-US" w:eastAsia="zh-CN"/>
        </w:rPr>
        <w:t>（八）声明⑤</w:t>
      </w:r>
      <w:bookmarkEnd w:id="160"/>
      <w:bookmarkEnd w:id="161"/>
    </w:p>
    <w:p w14:paraId="19AC9F5B">
      <w:pPr>
        <w:keepNext w:val="0"/>
        <w:keepLines w:val="0"/>
        <w:widowControl/>
        <w:suppressLineNumbers w:val="0"/>
        <w:spacing w:line="360" w:lineRule="auto"/>
        <w:jc w:val="center"/>
        <w:rPr>
          <w:rFonts w:hint="eastAsia" w:ascii="黑体" w:hAnsi="黑体" w:eastAsia="黑体" w:cs="黑体"/>
          <w:b/>
          <w:bCs/>
          <w:color w:val="auto"/>
          <w:kern w:val="0"/>
          <w:sz w:val="24"/>
          <w:szCs w:val="24"/>
          <w:highlight w:val="none"/>
          <w:lang w:val="en-US" w:eastAsia="zh-CN" w:bidi="ar"/>
        </w:rPr>
      </w:pPr>
    </w:p>
    <w:p w14:paraId="574BAC1D">
      <w:pPr>
        <w:keepNext w:val="0"/>
        <w:keepLines w:val="0"/>
        <w:widowControl/>
        <w:suppressLineNumbers w:val="0"/>
        <w:spacing w:line="360" w:lineRule="auto"/>
        <w:jc w:val="center"/>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bCs/>
          <w:color w:val="auto"/>
          <w:kern w:val="0"/>
          <w:sz w:val="24"/>
          <w:szCs w:val="24"/>
          <w:highlight w:val="none"/>
          <w:lang w:val="en-US" w:eastAsia="zh-CN" w:bidi="ar"/>
        </w:rPr>
        <w:t>供应商为本采购项目的前期工作未提供过服务的书面声明函（格式）</w:t>
      </w:r>
    </w:p>
    <w:p w14:paraId="124AAD2F">
      <w:pPr>
        <w:widowControl w:val="0"/>
        <w:spacing w:line="480" w:lineRule="auto"/>
        <w:jc w:val="both"/>
        <w:rPr>
          <w:rFonts w:hint="eastAsia" w:ascii="黑体" w:hAnsi="黑体" w:eastAsia="黑体" w:cs="黑体"/>
          <w:b/>
          <w:bCs/>
          <w:color w:val="auto"/>
          <w:kern w:val="2"/>
          <w:sz w:val="21"/>
          <w:szCs w:val="21"/>
          <w:highlight w:val="none"/>
          <w:u w:val="none"/>
          <w:lang w:val="en-US" w:eastAsia="zh-CN"/>
        </w:rPr>
      </w:pPr>
      <w:r>
        <w:rPr>
          <w:rFonts w:hint="eastAsia" w:ascii="黑体" w:hAnsi="黑体" w:eastAsia="黑体" w:cs="黑体"/>
          <w:b/>
          <w:bCs/>
          <w:color w:val="auto"/>
          <w:kern w:val="2"/>
          <w:sz w:val="21"/>
          <w:szCs w:val="21"/>
          <w:highlight w:val="none"/>
          <w:u w:val="none"/>
          <w:lang w:val="en-US" w:eastAsia="zh-CN"/>
        </w:rPr>
        <w:t>致：</w:t>
      </w:r>
      <w:r>
        <w:rPr>
          <w:rFonts w:hint="eastAsia" w:ascii="黑体" w:hAnsi="黑体" w:eastAsia="黑体" w:cs="黑体"/>
          <w:b/>
          <w:bCs/>
          <w:color w:val="auto"/>
          <w:kern w:val="2"/>
          <w:sz w:val="21"/>
          <w:szCs w:val="21"/>
          <w:highlight w:val="none"/>
          <w:u w:val="single"/>
          <w:lang w:val="en-US" w:eastAsia="zh-CN"/>
        </w:rPr>
        <w:t>（采购人名称）</w:t>
      </w:r>
    </w:p>
    <w:p w14:paraId="1CD903F1">
      <w:pPr>
        <w:widowControl w:val="0"/>
        <w:spacing w:line="480" w:lineRule="auto"/>
        <w:ind w:firstLine="420" w:firstLineChars="200"/>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我单位郑重声明：关于（项目名称）项目，本单位不属于为本项目提供过整体设计、规范编制或者项目管理、监理、检测等服务的单位或其附属机构。</w:t>
      </w:r>
    </w:p>
    <w:p w14:paraId="5B8EAABF">
      <w:pPr>
        <w:widowControl w:val="0"/>
        <w:spacing w:line="480" w:lineRule="auto"/>
        <w:ind w:firstLine="420" w:firstLineChars="200"/>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我单位保证上述声明真实、有效、可查。</w:t>
      </w:r>
    </w:p>
    <w:p w14:paraId="3E0F0DBF">
      <w:pPr>
        <w:widowControl w:val="0"/>
        <w:spacing w:line="480" w:lineRule="auto"/>
        <w:ind w:firstLine="420" w:firstLineChars="200"/>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特此声明。</w:t>
      </w:r>
    </w:p>
    <w:p w14:paraId="4DE838C7">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p>
    <w:p w14:paraId="53C9FA93">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p>
    <w:p w14:paraId="689B377C">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p>
    <w:p w14:paraId="25DFEC46">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供应商名称：（公章）</w:t>
      </w:r>
    </w:p>
    <w:p w14:paraId="75F87738">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p>
    <w:p w14:paraId="7B271600">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r>
        <w:rPr>
          <w:rFonts w:hint="eastAsia" w:ascii="黑体" w:hAnsi="黑体" w:eastAsia="黑体" w:cs="黑体"/>
          <w:b w:val="0"/>
          <w:color w:val="auto"/>
          <w:kern w:val="2"/>
          <w:sz w:val="21"/>
          <w:szCs w:val="21"/>
          <w:highlight w:val="none"/>
          <w:u w:val="none"/>
          <w:lang w:val="en-US" w:eastAsia="zh-CN"/>
        </w:rPr>
        <w:t>法定代表人或授权代表：（签字）</w:t>
      </w:r>
    </w:p>
    <w:p w14:paraId="02C1B943">
      <w:pPr>
        <w:widowControl w:val="0"/>
        <w:spacing w:line="480" w:lineRule="auto"/>
        <w:jc w:val="both"/>
        <w:rPr>
          <w:rFonts w:hint="eastAsia" w:ascii="黑体" w:hAnsi="黑体" w:eastAsia="黑体" w:cs="黑体"/>
          <w:b w:val="0"/>
          <w:color w:val="auto"/>
          <w:kern w:val="2"/>
          <w:sz w:val="21"/>
          <w:szCs w:val="21"/>
          <w:highlight w:val="none"/>
          <w:u w:val="none"/>
          <w:lang w:val="en-US" w:eastAsia="zh-CN"/>
        </w:rPr>
      </w:pPr>
    </w:p>
    <w:p w14:paraId="05541470">
      <w:pPr>
        <w:keepNext w:val="0"/>
        <w:keepLines w:val="0"/>
        <w:pageBreakBefore w:val="0"/>
        <w:widowControl w:val="0"/>
        <w:kinsoku/>
        <w:wordWrap/>
        <w:overflowPunct/>
        <w:topLinePunct w:val="0"/>
        <w:autoSpaceDE/>
        <w:autoSpaceDN/>
        <w:bidi w:val="0"/>
        <w:adjustRightInd/>
        <w:snapToGrid/>
        <w:spacing w:line="480" w:lineRule="auto"/>
        <w:jc w:val="both"/>
        <w:textAlignment w:val="auto"/>
        <w:rPr>
          <w:rFonts w:hint="eastAsia" w:ascii="黑体" w:hAnsi="黑体" w:eastAsia="黑体" w:cs="黑体"/>
          <w:b/>
          <w:color w:val="auto"/>
          <w:sz w:val="21"/>
          <w:szCs w:val="21"/>
          <w:highlight w:val="none"/>
        </w:rPr>
        <w:sectPr>
          <w:pgSz w:w="11906" w:h="16838"/>
          <w:pgMar w:top="1418" w:right="1133" w:bottom="993" w:left="1134" w:header="851" w:footer="992" w:gutter="0"/>
          <w:pgBorders w:offsetFrom="page">
            <w:top w:val="none" w:sz="0" w:space="0"/>
            <w:left w:val="none" w:sz="0" w:space="0"/>
            <w:bottom w:val="none" w:sz="0" w:space="0"/>
            <w:right w:val="none" w:sz="0" w:space="0"/>
          </w:pgBorders>
          <w:pgNumType w:fmt="decimal"/>
          <w:cols w:space="720" w:num="1"/>
          <w:docGrid w:linePitch="312" w:charSpace="0"/>
        </w:sectPr>
      </w:pPr>
      <w:r>
        <w:rPr>
          <w:rFonts w:hint="eastAsia" w:ascii="黑体" w:hAnsi="黑体" w:eastAsia="黑体" w:cs="黑体"/>
          <w:b w:val="0"/>
          <w:color w:val="auto"/>
          <w:kern w:val="2"/>
          <w:sz w:val="21"/>
          <w:szCs w:val="21"/>
          <w:highlight w:val="none"/>
          <w:u w:val="none"/>
          <w:lang w:val="en-US" w:eastAsia="zh-CN"/>
        </w:rPr>
        <w:t>日期：</w:t>
      </w:r>
    </w:p>
    <w:p w14:paraId="5BF8E8DD">
      <w:pPr>
        <w:keepNext w:val="0"/>
        <w:keepLines w:val="0"/>
        <w:widowControl/>
        <w:numPr>
          <w:ilvl w:val="0"/>
          <w:numId w:val="3"/>
        </w:numPr>
        <w:suppressLineNumbers w:val="0"/>
        <w:spacing w:line="360" w:lineRule="auto"/>
        <w:jc w:val="center"/>
        <w:outlineLvl w:val="2"/>
        <w:rPr>
          <w:rFonts w:hint="eastAsia" w:ascii="黑体" w:hAnsi="黑体" w:eastAsia="黑体" w:cs="黑体"/>
          <w:b/>
          <w:color w:val="auto"/>
          <w:sz w:val="32"/>
          <w:szCs w:val="32"/>
          <w:lang w:val="en-US" w:eastAsia="zh-CN"/>
        </w:rPr>
      </w:pPr>
      <w:bookmarkStart w:id="162" w:name="_Toc19592"/>
      <w:bookmarkStart w:id="163" w:name="_Toc21091"/>
      <w:r>
        <w:rPr>
          <w:rFonts w:hint="eastAsia" w:ascii="黑体" w:hAnsi="黑体" w:eastAsia="黑体" w:cs="黑体"/>
          <w:b/>
          <w:color w:val="auto"/>
          <w:sz w:val="32"/>
          <w:szCs w:val="32"/>
          <w:lang w:val="en-US" w:eastAsia="zh-CN"/>
        </w:rPr>
        <w:t>采购项目有特殊要求的，供应商应当提供其符合特殊要求的其他资格证明文件</w:t>
      </w:r>
      <w:bookmarkEnd w:id="162"/>
      <w:bookmarkEnd w:id="163"/>
    </w:p>
    <w:p w14:paraId="34E80C04">
      <w:pPr>
        <w:rPr>
          <w:rFonts w:hint="eastAsia" w:ascii="黑体" w:hAnsi="黑体" w:eastAsia="黑体" w:cs="黑体"/>
          <w:b/>
          <w:color w:val="auto"/>
          <w:sz w:val="32"/>
          <w:szCs w:val="32"/>
        </w:rPr>
      </w:pPr>
      <w:r>
        <w:rPr>
          <w:rFonts w:hint="eastAsia" w:ascii="黑体" w:hAnsi="黑体" w:eastAsia="黑体" w:cs="黑体"/>
          <w:b/>
          <w:color w:val="auto"/>
          <w:sz w:val="32"/>
          <w:szCs w:val="32"/>
        </w:rPr>
        <w:br w:type="page"/>
      </w:r>
    </w:p>
    <w:p w14:paraId="5FB7B8DB">
      <w:pPr>
        <w:keepNext w:val="0"/>
        <w:keepLines w:val="0"/>
        <w:widowControl/>
        <w:suppressLineNumbers w:val="0"/>
        <w:spacing w:line="360" w:lineRule="auto"/>
        <w:jc w:val="both"/>
        <w:outlineLvl w:val="2"/>
        <w:rPr>
          <w:rFonts w:hint="eastAsia" w:ascii="黑体" w:hAnsi="黑体" w:eastAsia="黑体" w:cs="黑体"/>
          <w:b/>
          <w:color w:val="auto"/>
          <w:sz w:val="32"/>
          <w:szCs w:val="32"/>
          <w:lang w:val="en-US" w:eastAsia="zh-CN"/>
        </w:rPr>
      </w:pPr>
      <w:bookmarkStart w:id="164" w:name="_Toc23397"/>
      <w:bookmarkStart w:id="165" w:name="_Toc23108"/>
      <w:r>
        <w:rPr>
          <w:rFonts w:hint="eastAsia" w:ascii="黑体" w:hAnsi="黑体" w:eastAsia="黑体" w:cs="黑体"/>
          <w:b/>
          <w:color w:val="auto"/>
          <w:sz w:val="32"/>
          <w:szCs w:val="32"/>
          <w:lang w:val="en-US" w:eastAsia="zh-CN"/>
        </w:rPr>
        <w:t>（十）符合性承诺书</w:t>
      </w:r>
      <w:bookmarkEnd w:id="164"/>
      <w:bookmarkEnd w:id="165"/>
    </w:p>
    <w:p w14:paraId="6B3C9B5E">
      <w:pPr>
        <w:spacing w:line="300" w:lineRule="auto"/>
        <w:jc w:val="right"/>
        <w:rPr>
          <w:rFonts w:hint="eastAsia" w:ascii="黑体" w:hAnsi="黑体" w:eastAsia="黑体" w:cs="黑体"/>
          <w:color w:val="auto"/>
          <w:sz w:val="24"/>
          <w:szCs w:val="24"/>
        </w:rPr>
      </w:pPr>
    </w:p>
    <w:p w14:paraId="39813F50">
      <w:pPr>
        <w:spacing w:line="300" w:lineRule="auto"/>
        <w:jc w:val="center"/>
        <w:rPr>
          <w:rFonts w:hint="eastAsia" w:ascii="黑体" w:hAnsi="黑体" w:eastAsia="黑体" w:cs="黑体"/>
          <w:color w:val="auto"/>
          <w:sz w:val="24"/>
          <w:szCs w:val="24"/>
        </w:rPr>
      </w:pPr>
      <w:r>
        <w:rPr>
          <w:rFonts w:hint="eastAsia" w:ascii="黑体" w:hAnsi="黑体" w:eastAsia="黑体" w:cs="黑体"/>
          <w:color w:val="auto"/>
          <w:sz w:val="24"/>
          <w:szCs w:val="24"/>
        </w:rPr>
        <w:t>格式自拟</w:t>
      </w:r>
    </w:p>
    <w:p w14:paraId="2655A548">
      <w:pPr>
        <w:spacing w:line="300" w:lineRule="auto"/>
        <w:rPr>
          <w:rFonts w:hint="eastAsia" w:ascii="黑体" w:hAnsi="黑体" w:eastAsia="黑体" w:cs="黑体"/>
          <w:color w:val="auto"/>
          <w:sz w:val="24"/>
          <w:szCs w:val="24"/>
        </w:rPr>
      </w:pPr>
    </w:p>
    <w:p w14:paraId="08D2ABC4">
      <w:pPr>
        <w:spacing w:line="300" w:lineRule="auto"/>
        <w:rPr>
          <w:rFonts w:hint="eastAsia" w:ascii="黑体" w:hAnsi="黑体" w:eastAsia="黑体" w:cs="黑体"/>
          <w:color w:val="auto"/>
          <w:sz w:val="24"/>
          <w:szCs w:val="24"/>
        </w:rPr>
      </w:pPr>
    </w:p>
    <w:p w14:paraId="7F94BDF7">
      <w:pPr>
        <w:spacing w:line="300" w:lineRule="auto"/>
        <w:rPr>
          <w:rFonts w:hint="eastAsia" w:ascii="黑体" w:hAnsi="黑体" w:eastAsia="黑体" w:cs="黑体"/>
          <w:color w:val="auto"/>
          <w:sz w:val="24"/>
          <w:szCs w:val="24"/>
        </w:rPr>
      </w:pPr>
    </w:p>
    <w:p w14:paraId="114C6F76">
      <w:pPr>
        <w:spacing w:line="300" w:lineRule="auto"/>
        <w:rPr>
          <w:rFonts w:hint="eastAsia" w:ascii="黑体" w:hAnsi="黑体" w:eastAsia="黑体" w:cs="黑体"/>
          <w:color w:val="auto"/>
          <w:sz w:val="24"/>
          <w:szCs w:val="24"/>
        </w:rPr>
      </w:pPr>
    </w:p>
    <w:p w14:paraId="6104CF89">
      <w:pPr>
        <w:spacing w:line="300" w:lineRule="auto"/>
        <w:rPr>
          <w:rFonts w:hint="eastAsia" w:ascii="黑体" w:hAnsi="黑体" w:eastAsia="黑体" w:cs="黑体"/>
          <w:color w:val="auto"/>
          <w:sz w:val="24"/>
          <w:szCs w:val="24"/>
        </w:rPr>
      </w:pPr>
    </w:p>
    <w:p w14:paraId="52395167">
      <w:pPr>
        <w:spacing w:line="300" w:lineRule="auto"/>
        <w:rPr>
          <w:rFonts w:hint="eastAsia" w:ascii="黑体" w:hAnsi="黑体" w:eastAsia="黑体" w:cs="黑体"/>
          <w:color w:val="auto"/>
          <w:sz w:val="24"/>
          <w:szCs w:val="24"/>
        </w:rPr>
      </w:pPr>
    </w:p>
    <w:p w14:paraId="01D01E3D">
      <w:pPr>
        <w:spacing w:line="300" w:lineRule="auto"/>
        <w:rPr>
          <w:rFonts w:hint="eastAsia" w:ascii="黑体" w:hAnsi="黑体" w:eastAsia="黑体" w:cs="黑体"/>
          <w:color w:val="auto"/>
          <w:sz w:val="24"/>
          <w:szCs w:val="24"/>
        </w:rPr>
      </w:pPr>
    </w:p>
    <w:p w14:paraId="5FD96C46">
      <w:pPr>
        <w:spacing w:line="300" w:lineRule="auto"/>
        <w:rPr>
          <w:rFonts w:hint="eastAsia" w:ascii="黑体" w:hAnsi="黑体" w:eastAsia="黑体" w:cs="黑体"/>
          <w:color w:val="auto"/>
          <w:sz w:val="24"/>
          <w:szCs w:val="24"/>
        </w:rPr>
      </w:pPr>
    </w:p>
    <w:p w14:paraId="75F67420">
      <w:pPr>
        <w:spacing w:line="300" w:lineRule="auto"/>
        <w:rPr>
          <w:rFonts w:hint="eastAsia" w:ascii="黑体" w:hAnsi="黑体" w:eastAsia="黑体" w:cs="黑体"/>
          <w:color w:val="auto"/>
          <w:sz w:val="24"/>
          <w:szCs w:val="24"/>
        </w:rPr>
      </w:pPr>
    </w:p>
    <w:p w14:paraId="425E1997">
      <w:pPr>
        <w:spacing w:line="300" w:lineRule="auto"/>
        <w:rPr>
          <w:rFonts w:hint="eastAsia" w:ascii="黑体" w:hAnsi="黑体" w:eastAsia="黑体" w:cs="黑体"/>
          <w:color w:val="auto"/>
          <w:sz w:val="24"/>
          <w:szCs w:val="24"/>
        </w:rPr>
      </w:pPr>
    </w:p>
    <w:p w14:paraId="5B3B71FC">
      <w:pPr>
        <w:spacing w:line="300" w:lineRule="auto"/>
        <w:rPr>
          <w:rFonts w:hint="eastAsia" w:ascii="黑体" w:hAnsi="黑体" w:eastAsia="黑体" w:cs="黑体"/>
          <w:color w:val="auto"/>
          <w:sz w:val="24"/>
          <w:szCs w:val="24"/>
        </w:rPr>
      </w:pPr>
    </w:p>
    <w:p w14:paraId="4A2508F4">
      <w:pPr>
        <w:spacing w:line="300" w:lineRule="auto"/>
        <w:rPr>
          <w:rFonts w:hint="eastAsia" w:ascii="黑体" w:hAnsi="黑体" w:eastAsia="黑体" w:cs="黑体"/>
          <w:color w:val="auto"/>
          <w:sz w:val="24"/>
          <w:szCs w:val="24"/>
        </w:rPr>
      </w:pPr>
    </w:p>
    <w:p w14:paraId="24222C62">
      <w:pPr>
        <w:spacing w:line="300" w:lineRule="auto"/>
        <w:rPr>
          <w:rFonts w:hint="eastAsia" w:ascii="黑体" w:hAnsi="黑体" w:eastAsia="黑体" w:cs="黑体"/>
          <w:color w:val="auto"/>
          <w:sz w:val="24"/>
          <w:szCs w:val="24"/>
        </w:rPr>
      </w:pPr>
    </w:p>
    <w:p w14:paraId="5420F399">
      <w:pPr>
        <w:spacing w:line="300" w:lineRule="auto"/>
        <w:rPr>
          <w:rFonts w:hint="eastAsia" w:ascii="黑体" w:hAnsi="黑体" w:eastAsia="黑体" w:cs="黑体"/>
          <w:color w:val="auto"/>
          <w:sz w:val="24"/>
          <w:szCs w:val="24"/>
        </w:rPr>
      </w:pPr>
    </w:p>
    <w:p w14:paraId="0719C25D">
      <w:pPr>
        <w:spacing w:line="300" w:lineRule="auto"/>
        <w:rPr>
          <w:rFonts w:hint="eastAsia" w:ascii="黑体" w:hAnsi="黑体" w:eastAsia="黑体" w:cs="黑体"/>
          <w:color w:val="auto"/>
          <w:sz w:val="24"/>
          <w:szCs w:val="24"/>
        </w:rPr>
      </w:pPr>
    </w:p>
    <w:p w14:paraId="26485281">
      <w:pPr>
        <w:spacing w:line="300" w:lineRule="auto"/>
        <w:rPr>
          <w:rFonts w:hint="eastAsia" w:ascii="黑体" w:hAnsi="黑体" w:eastAsia="黑体" w:cs="黑体"/>
          <w:color w:val="auto"/>
          <w:sz w:val="24"/>
          <w:szCs w:val="24"/>
        </w:rPr>
      </w:pPr>
    </w:p>
    <w:p w14:paraId="674A3169">
      <w:pPr>
        <w:spacing w:line="300" w:lineRule="auto"/>
        <w:jc w:val="right"/>
        <w:rPr>
          <w:rFonts w:hint="eastAsia" w:ascii="黑体" w:hAnsi="黑体" w:eastAsia="黑体" w:cs="黑体"/>
          <w:color w:val="auto"/>
          <w:sz w:val="24"/>
          <w:szCs w:val="24"/>
        </w:rPr>
      </w:pPr>
    </w:p>
    <w:p w14:paraId="660E3EA0">
      <w:pPr>
        <w:spacing w:line="300" w:lineRule="auto"/>
        <w:jc w:val="right"/>
        <w:rPr>
          <w:rFonts w:hint="eastAsia" w:ascii="黑体" w:hAnsi="黑体" w:eastAsia="黑体" w:cs="黑体"/>
          <w:color w:val="auto"/>
          <w:sz w:val="24"/>
          <w:szCs w:val="24"/>
        </w:rPr>
      </w:pPr>
    </w:p>
    <w:p w14:paraId="13F05B8B">
      <w:pPr>
        <w:spacing w:line="300" w:lineRule="auto"/>
        <w:jc w:val="right"/>
        <w:rPr>
          <w:rFonts w:hint="eastAsia" w:ascii="黑体" w:hAnsi="黑体" w:eastAsia="黑体" w:cs="黑体"/>
          <w:color w:val="auto"/>
          <w:sz w:val="24"/>
          <w:szCs w:val="24"/>
        </w:rPr>
      </w:pPr>
      <w:r>
        <w:rPr>
          <w:rFonts w:hint="eastAsia" w:ascii="黑体" w:hAnsi="黑体" w:eastAsia="黑体" w:cs="黑体"/>
          <w:color w:val="auto"/>
          <w:sz w:val="24"/>
          <w:szCs w:val="24"/>
          <w:lang w:eastAsia="zh-CN"/>
        </w:rPr>
        <w:t>供应商</w:t>
      </w:r>
      <w:r>
        <w:rPr>
          <w:rFonts w:hint="eastAsia" w:ascii="黑体" w:hAnsi="黑体" w:eastAsia="黑体" w:cs="黑体"/>
          <w:color w:val="auto"/>
          <w:sz w:val="24"/>
          <w:szCs w:val="24"/>
        </w:rPr>
        <w:t>名称：（公章）</w:t>
      </w:r>
    </w:p>
    <w:p w14:paraId="202CB713">
      <w:pPr>
        <w:spacing w:line="300" w:lineRule="auto"/>
        <w:ind w:firstLine="480" w:firstLineChars="200"/>
        <w:jc w:val="right"/>
        <w:rPr>
          <w:rFonts w:hint="eastAsia" w:ascii="黑体" w:hAnsi="黑体" w:eastAsia="黑体" w:cs="黑体"/>
          <w:color w:val="auto"/>
          <w:sz w:val="24"/>
          <w:szCs w:val="24"/>
        </w:rPr>
      </w:pPr>
    </w:p>
    <w:p w14:paraId="242EB63E">
      <w:pPr>
        <w:spacing w:line="300" w:lineRule="auto"/>
        <w:jc w:val="right"/>
        <w:rPr>
          <w:rFonts w:hint="eastAsia" w:ascii="黑体" w:hAnsi="黑体" w:eastAsia="黑体" w:cs="黑体"/>
          <w:color w:val="auto"/>
          <w:sz w:val="24"/>
          <w:szCs w:val="24"/>
        </w:rPr>
      </w:pPr>
      <w:r>
        <w:rPr>
          <w:rFonts w:hint="eastAsia" w:ascii="黑体" w:hAnsi="黑体" w:eastAsia="黑体" w:cs="黑体"/>
          <w:color w:val="auto"/>
          <w:sz w:val="24"/>
          <w:szCs w:val="24"/>
        </w:rPr>
        <w:t>法定代表人或被授权人：（签字或盖章）</w:t>
      </w:r>
    </w:p>
    <w:p w14:paraId="46940DE8">
      <w:pPr>
        <w:spacing w:line="300" w:lineRule="auto"/>
        <w:ind w:firstLine="480" w:firstLineChars="200"/>
        <w:jc w:val="right"/>
        <w:rPr>
          <w:rFonts w:hint="eastAsia" w:ascii="黑体" w:hAnsi="黑体" w:eastAsia="黑体" w:cs="黑体"/>
          <w:color w:val="auto"/>
          <w:sz w:val="24"/>
          <w:szCs w:val="24"/>
        </w:rPr>
      </w:pPr>
    </w:p>
    <w:p w14:paraId="21514160">
      <w:pPr>
        <w:spacing w:line="240" w:lineRule="atLeast"/>
        <w:jc w:val="right"/>
        <w:rPr>
          <w:rFonts w:hint="eastAsia" w:ascii="黑体" w:hAnsi="黑体" w:eastAsia="黑体" w:cs="黑体"/>
          <w:b/>
          <w:color w:val="auto"/>
          <w:spacing w:val="20"/>
          <w:sz w:val="28"/>
          <w:szCs w:val="28"/>
        </w:rPr>
      </w:pPr>
      <w:r>
        <w:rPr>
          <w:rFonts w:hint="eastAsia" w:ascii="黑体" w:hAnsi="黑体" w:eastAsia="黑体" w:cs="黑体"/>
          <w:color w:val="auto"/>
          <w:sz w:val="24"/>
          <w:szCs w:val="24"/>
        </w:rPr>
        <w:t>日期：年月日</w:t>
      </w:r>
    </w:p>
    <w:p w14:paraId="5B2C7177">
      <w:pPr>
        <w:jc w:val="center"/>
        <w:rPr>
          <w:rFonts w:hint="eastAsia" w:ascii="黑体" w:hAnsi="黑体" w:eastAsia="黑体" w:cs="黑体"/>
          <w:b/>
          <w:color w:val="auto"/>
          <w:sz w:val="32"/>
          <w:szCs w:val="32"/>
        </w:rPr>
      </w:pPr>
      <w:r>
        <w:rPr>
          <w:rFonts w:hint="eastAsia" w:ascii="黑体" w:hAnsi="黑体" w:eastAsia="黑体" w:cs="黑体"/>
          <w:b/>
          <w:color w:val="auto"/>
          <w:sz w:val="32"/>
          <w:szCs w:val="32"/>
        </w:rPr>
        <w:br w:type="page"/>
      </w:r>
    </w:p>
    <w:p w14:paraId="464B7645">
      <w:pPr>
        <w:keepNext w:val="0"/>
        <w:keepLines w:val="0"/>
        <w:widowControl/>
        <w:suppressLineNumbers w:val="0"/>
        <w:spacing w:line="360" w:lineRule="auto"/>
        <w:jc w:val="both"/>
        <w:outlineLvl w:val="2"/>
        <w:rPr>
          <w:rFonts w:hint="eastAsia" w:ascii="黑体" w:hAnsi="黑体" w:eastAsia="黑体" w:cs="黑体"/>
          <w:b/>
          <w:color w:val="auto"/>
          <w:sz w:val="32"/>
          <w:szCs w:val="32"/>
          <w:lang w:val="en-US" w:eastAsia="zh-CN"/>
        </w:rPr>
      </w:pPr>
      <w:bookmarkStart w:id="166" w:name="_Toc1764"/>
      <w:bookmarkStart w:id="167" w:name="_Toc2270"/>
      <w:bookmarkStart w:id="168" w:name="_Toc12179"/>
      <w:r>
        <w:rPr>
          <w:rFonts w:hint="eastAsia" w:ascii="黑体" w:hAnsi="黑体" w:eastAsia="黑体" w:cs="黑体"/>
          <w:b/>
          <w:color w:val="auto"/>
          <w:sz w:val="32"/>
          <w:szCs w:val="32"/>
          <w:lang w:val="en-US" w:eastAsia="zh-CN"/>
        </w:rPr>
        <w:t>(十一)主要投入技术设备表</w:t>
      </w:r>
      <w:bookmarkEnd w:id="166"/>
      <w:bookmarkEnd w:id="167"/>
      <w:bookmarkEnd w:id="168"/>
    </w:p>
    <w:p w14:paraId="3333B0B0">
      <w:pPr>
        <w:spacing w:line="360" w:lineRule="auto"/>
        <w:ind w:left="960" w:hanging="960" w:hangingChars="400"/>
        <w:rPr>
          <w:rFonts w:hint="eastAsia" w:ascii="黑体" w:hAnsi="黑体" w:eastAsia="黑体" w:cs="黑体"/>
          <w:b w:val="0"/>
          <w:color w:val="000000"/>
          <w:sz w:val="24"/>
          <w:szCs w:val="24"/>
        </w:rPr>
      </w:pP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3"/>
        <w:gridCol w:w="1845"/>
        <w:gridCol w:w="2079"/>
        <w:gridCol w:w="1408"/>
        <w:gridCol w:w="1235"/>
        <w:gridCol w:w="1276"/>
      </w:tblGrid>
      <w:tr w14:paraId="21BAD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03" w:type="dxa"/>
            <w:vAlign w:val="center"/>
          </w:tcPr>
          <w:p w14:paraId="42CC3D20">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序号</w:t>
            </w:r>
          </w:p>
        </w:tc>
        <w:tc>
          <w:tcPr>
            <w:tcW w:w="1845" w:type="dxa"/>
            <w:vAlign w:val="center"/>
          </w:tcPr>
          <w:p w14:paraId="51EBDBC1">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设备名称</w:t>
            </w:r>
          </w:p>
        </w:tc>
        <w:tc>
          <w:tcPr>
            <w:tcW w:w="2079" w:type="dxa"/>
            <w:vAlign w:val="center"/>
          </w:tcPr>
          <w:p w14:paraId="3BEAB0AF">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设备型号</w:t>
            </w:r>
          </w:p>
        </w:tc>
        <w:tc>
          <w:tcPr>
            <w:tcW w:w="1408" w:type="dxa"/>
            <w:vAlign w:val="center"/>
          </w:tcPr>
          <w:p w14:paraId="3973C381">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数量</w:t>
            </w:r>
          </w:p>
        </w:tc>
        <w:tc>
          <w:tcPr>
            <w:tcW w:w="1235" w:type="dxa"/>
            <w:vAlign w:val="center"/>
          </w:tcPr>
          <w:p w14:paraId="5A42000A">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生产日期</w:t>
            </w:r>
          </w:p>
        </w:tc>
        <w:tc>
          <w:tcPr>
            <w:tcW w:w="1276" w:type="dxa"/>
            <w:vAlign w:val="center"/>
          </w:tcPr>
          <w:p w14:paraId="3886E278">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备注</w:t>
            </w:r>
          </w:p>
        </w:tc>
      </w:tr>
      <w:tr w14:paraId="17B6D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03" w:type="dxa"/>
            <w:vAlign w:val="center"/>
          </w:tcPr>
          <w:p w14:paraId="529713EF">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1</w:t>
            </w:r>
          </w:p>
        </w:tc>
        <w:tc>
          <w:tcPr>
            <w:tcW w:w="1845" w:type="dxa"/>
            <w:vAlign w:val="center"/>
          </w:tcPr>
          <w:p w14:paraId="3A483058">
            <w:pPr>
              <w:spacing w:line="360" w:lineRule="auto"/>
              <w:jc w:val="both"/>
              <w:rPr>
                <w:rFonts w:hint="eastAsia" w:ascii="黑体" w:hAnsi="黑体" w:eastAsia="黑体" w:cs="黑体"/>
                <w:b w:val="0"/>
                <w:color w:val="000000"/>
                <w:sz w:val="21"/>
                <w:szCs w:val="21"/>
              </w:rPr>
            </w:pPr>
          </w:p>
        </w:tc>
        <w:tc>
          <w:tcPr>
            <w:tcW w:w="2079" w:type="dxa"/>
            <w:vAlign w:val="center"/>
          </w:tcPr>
          <w:p w14:paraId="0BECD7CD">
            <w:pPr>
              <w:spacing w:line="360" w:lineRule="auto"/>
              <w:jc w:val="both"/>
              <w:rPr>
                <w:rFonts w:hint="eastAsia" w:ascii="黑体" w:hAnsi="黑体" w:eastAsia="黑体" w:cs="黑体"/>
                <w:b w:val="0"/>
                <w:color w:val="000000"/>
                <w:sz w:val="21"/>
                <w:szCs w:val="21"/>
              </w:rPr>
            </w:pPr>
          </w:p>
        </w:tc>
        <w:tc>
          <w:tcPr>
            <w:tcW w:w="1408" w:type="dxa"/>
            <w:vAlign w:val="center"/>
          </w:tcPr>
          <w:p w14:paraId="112F2F19">
            <w:pPr>
              <w:spacing w:line="360" w:lineRule="auto"/>
              <w:jc w:val="both"/>
              <w:rPr>
                <w:rFonts w:hint="eastAsia" w:ascii="黑体" w:hAnsi="黑体" w:eastAsia="黑体" w:cs="黑体"/>
                <w:b w:val="0"/>
                <w:color w:val="000000"/>
                <w:sz w:val="21"/>
                <w:szCs w:val="21"/>
              </w:rPr>
            </w:pPr>
          </w:p>
        </w:tc>
        <w:tc>
          <w:tcPr>
            <w:tcW w:w="1235" w:type="dxa"/>
            <w:vAlign w:val="center"/>
          </w:tcPr>
          <w:p w14:paraId="26D98A19">
            <w:pPr>
              <w:spacing w:line="360" w:lineRule="auto"/>
              <w:jc w:val="both"/>
              <w:rPr>
                <w:rFonts w:hint="eastAsia" w:ascii="黑体" w:hAnsi="黑体" w:eastAsia="黑体" w:cs="黑体"/>
                <w:b w:val="0"/>
                <w:color w:val="000000"/>
                <w:sz w:val="21"/>
                <w:szCs w:val="21"/>
              </w:rPr>
            </w:pPr>
          </w:p>
        </w:tc>
        <w:tc>
          <w:tcPr>
            <w:tcW w:w="1276" w:type="dxa"/>
            <w:vAlign w:val="center"/>
          </w:tcPr>
          <w:p w14:paraId="0C47976B">
            <w:pPr>
              <w:spacing w:line="360" w:lineRule="auto"/>
              <w:jc w:val="both"/>
              <w:rPr>
                <w:rFonts w:hint="eastAsia" w:ascii="黑体" w:hAnsi="黑体" w:eastAsia="黑体" w:cs="黑体"/>
                <w:b w:val="0"/>
                <w:color w:val="000000"/>
                <w:sz w:val="21"/>
                <w:szCs w:val="21"/>
              </w:rPr>
            </w:pPr>
          </w:p>
        </w:tc>
      </w:tr>
      <w:tr w14:paraId="34BD8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03" w:type="dxa"/>
            <w:vAlign w:val="center"/>
          </w:tcPr>
          <w:p w14:paraId="4E80E132">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2</w:t>
            </w:r>
          </w:p>
        </w:tc>
        <w:tc>
          <w:tcPr>
            <w:tcW w:w="1845" w:type="dxa"/>
            <w:vAlign w:val="center"/>
          </w:tcPr>
          <w:p w14:paraId="74BC064B">
            <w:pPr>
              <w:spacing w:line="360" w:lineRule="auto"/>
              <w:jc w:val="both"/>
              <w:rPr>
                <w:rFonts w:hint="eastAsia" w:ascii="黑体" w:hAnsi="黑体" w:eastAsia="黑体" w:cs="黑体"/>
                <w:b w:val="0"/>
                <w:color w:val="000000"/>
                <w:sz w:val="21"/>
                <w:szCs w:val="21"/>
              </w:rPr>
            </w:pPr>
          </w:p>
        </w:tc>
        <w:tc>
          <w:tcPr>
            <w:tcW w:w="2079" w:type="dxa"/>
            <w:vAlign w:val="center"/>
          </w:tcPr>
          <w:p w14:paraId="683D019A">
            <w:pPr>
              <w:spacing w:line="360" w:lineRule="auto"/>
              <w:jc w:val="both"/>
              <w:rPr>
                <w:rFonts w:hint="eastAsia" w:ascii="黑体" w:hAnsi="黑体" w:eastAsia="黑体" w:cs="黑体"/>
                <w:b w:val="0"/>
                <w:color w:val="000000"/>
                <w:sz w:val="21"/>
                <w:szCs w:val="21"/>
              </w:rPr>
            </w:pPr>
          </w:p>
        </w:tc>
        <w:tc>
          <w:tcPr>
            <w:tcW w:w="1408" w:type="dxa"/>
            <w:vAlign w:val="center"/>
          </w:tcPr>
          <w:p w14:paraId="3868F8AF">
            <w:pPr>
              <w:spacing w:line="360" w:lineRule="auto"/>
              <w:jc w:val="both"/>
              <w:rPr>
                <w:rFonts w:hint="eastAsia" w:ascii="黑体" w:hAnsi="黑体" w:eastAsia="黑体" w:cs="黑体"/>
                <w:b w:val="0"/>
                <w:color w:val="000000"/>
                <w:sz w:val="21"/>
                <w:szCs w:val="21"/>
              </w:rPr>
            </w:pPr>
          </w:p>
        </w:tc>
        <w:tc>
          <w:tcPr>
            <w:tcW w:w="1235" w:type="dxa"/>
            <w:vAlign w:val="center"/>
          </w:tcPr>
          <w:p w14:paraId="6CCA7BC3">
            <w:pPr>
              <w:spacing w:line="360" w:lineRule="auto"/>
              <w:jc w:val="both"/>
              <w:rPr>
                <w:rFonts w:hint="eastAsia" w:ascii="黑体" w:hAnsi="黑体" w:eastAsia="黑体" w:cs="黑体"/>
                <w:b w:val="0"/>
                <w:color w:val="000000"/>
                <w:sz w:val="21"/>
                <w:szCs w:val="21"/>
              </w:rPr>
            </w:pPr>
          </w:p>
        </w:tc>
        <w:tc>
          <w:tcPr>
            <w:tcW w:w="1276" w:type="dxa"/>
            <w:vAlign w:val="center"/>
          </w:tcPr>
          <w:p w14:paraId="6DBF692B">
            <w:pPr>
              <w:spacing w:line="360" w:lineRule="auto"/>
              <w:jc w:val="both"/>
              <w:rPr>
                <w:rFonts w:hint="eastAsia" w:ascii="黑体" w:hAnsi="黑体" w:eastAsia="黑体" w:cs="黑体"/>
                <w:b w:val="0"/>
                <w:color w:val="000000"/>
                <w:sz w:val="21"/>
                <w:szCs w:val="21"/>
              </w:rPr>
            </w:pPr>
          </w:p>
        </w:tc>
      </w:tr>
      <w:tr w14:paraId="50854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03" w:type="dxa"/>
            <w:vAlign w:val="center"/>
          </w:tcPr>
          <w:p w14:paraId="03785C72">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3</w:t>
            </w:r>
          </w:p>
        </w:tc>
        <w:tc>
          <w:tcPr>
            <w:tcW w:w="1845" w:type="dxa"/>
            <w:vAlign w:val="center"/>
          </w:tcPr>
          <w:p w14:paraId="003D901B">
            <w:pPr>
              <w:spacing w:line="360" w:lineRule="auto"/>
              <w:jc w:val="both"/>
              <w:rPr>
                <w:rFonts w:hint="eastAsia" w:ascii="黑体" w:hAnsi="黑体" w:eastAsia="黑体" w:cs="黑体"/>
                <w:b w:val="0"/>
                <w:color w:val="000000"/>
                <w:sz w:val="21"/>
                <w:szCs w:val="21"/>
              </w:rPr>
            </w:pPr>
          </w:p>
        </w:tc>
        <w:tc>
          <w:tcPr>
            <w:tcW w:w="2079" w:type="dxa"/>
            <w:vAlign w:val="center"/>
          </w:tcPr>
          <w:p w14:paraId="16C408D6">
            <w:pPr>
              <w:spacing w:line="360" w:lineRule="auto"/>
              <w:jc w:val="both"/>
              <w:rPr>
                <w:rFonts w:hint="eastAsia" w:ascii="黑体" w:hAnsi="黑体" w:eastAsia="黑体" w:cs="黑体"/>
                <w:b w:val="0"/>
                <w:color w:val="000000"/>
                <w:sz w:val="21"/>
                <w:szCs w:val="21"/>
              </w:rPr>
            </w:pPr>
          </w:p>
        </w:tc>
        <w:tc>
          <w:tcPr>
            <w:tcW w:w="1408" w:type="dxa"/>
            <w:vAlign w:val="center"/>
          </w:tcPr>
          <w:p w14:paraId="2692E8F2">
            <w:pPr>
              <w:spacing w:line="360" w:lineRule="auto"/>
              <w:jc w:val="both"/>
              <w:rPr>
                <w:rFonts w:hint="eastAsia" w:ascii="黑体" w:hAnsi="黑体" w:eastAsia="黑体" w:cs="黑体"/>
                <w:b w:val="0"/>
                <w:color w:val="000000"/>
                <w:sz w:val="21"/>
                <w:szCs w:val="21"/>
              </w:rPr>
            </w:pPr>
          </w:p>
        </w:tc>
        <w:tc>
          <w:tcPr>
            <w:tcW w:w="1235" w:type="dxa"/>
            <w:vAlign w:val="center"/>
          </w:tcPr>
          <w:p w14:paraId="71BC10E5">
            <w:pPr>
              <w:spacing w:line="360" w:lineRule="auto"/>
              <w:jc w:val="both"/>
              <w:rPr>
                <w:rFonts w:hint="eastAsia" w:ascii="黑体" w:hAnsi="黑体" w:eastAsia="黑体" w:cs="黑体"/>
                <w:b w:val="0"/>
                <w:color w:val="000000"/>
                <w:sz w:val="21"/>
                <w:szCs w:val="21"/>
              </w:rPr>
            </w:pPr>
          </w:p>
        </w:tc>
        <w:tc>
          <w:tcPr>
            <w:tcW w:w="1276" w:type="dxa"/>
            <w:vAlign w:val="center"/>
          </w:tcPr>
          <w:p w14:paraId="2E1D57B3">
            <w:pPr>
              <w:spacing w:line="360" w:lineRule="auto"/>
              <w:jc w:val="both"/>
              <w:rPr>
                <w:rFonts w:hint="eastAsia" w:ascii="黑体" w:hAnsi="黑体" w:eastAsia="黑体" w:cs="黑体"/>
                <w:b w:val="0"/>
                <w:color w:val="000000"/>
                <w:sz w:val="21"/>
                <w:szCs w:val="21"/>
              </w:rPr>
            </w:pPr>
          </w:p>
        </w:tc>
      </w:tr>
      <w:tr w14:paraId="32D54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1103" w:type="dxa"/>
            <w:vAlign w:val="center"/>
          </w:tcPr>
          <w:p w14:paraId="4FA4BFF4">
            <w:pPr>
              <w:spacing w:line="360" w:lineRule="auto"/>
              <w:rPr>
                <w:rFonts w:hint="eastAsia" w:ascii="黑体" w:hAnsi="黑体" w:eastAsia="黑体" w:cs="黑体"/>
                <w:b w:val="0"/>
                <w:color w:val="000000"/>
                <w:sz w:val="21"/>
                <w:szCs w:val="21"/>
              </w:rPr>
            </w:pPr>
            <w:r>
              <w:rPr>
                <w:rFonts w:hint="eastAsia" w:ascii="黑体" w:hAnsi="黑体" w:eastAsia="黑体" w:cs="黑体"/>
                <w:b w:val="0"/>
                <w:color w:val="000000"/>
                <w:sz w:val="21"/>
                <w:szCs w:val="21"/>
              </w:rPr>
              <w:t>…</w:t>
            </w:r>
          </w:p>
        </w:tc>
        <w:tc>
          <w:tcPr>
            <w:tcW w:w="1845" w:type="dxa"/>
            <w:vAlign w:val="center"/>
          </w:tcPr>
          <w:p w14:paraId="6921402A">
            <w:pPr>
              <w:spacing w:line="360" w:lineRule="auto"/>
              <w:jc w:val="both"/>
              <w:rPr>
                <w:rFonts w:hint="eastAsia" w:ascii="黑体" w:hAnsi="黑体" w:eastAsia="黑体" w:cs="黑体"/>
                <w:b w:val="0"/>
                <w:color w:val="000000"/>
                <w:sz w:val="21"/>
                <w:szCs w:val="21"/>
              </w:rPr>
            </w:pPr>
          </w:p>
        </w:tc>
        <w:tc>
          <w:tcPr>
            <w:tcW w:w="2079" w:type="dxa"/>
            <w:vAlign w:val="center"/>
          </w:tcPr>
          <w:p w14:paraId="522776A9">
            <w:pPr>
              <w:spacing w:line="360" w:lineRule="auto"/>
              <w:jc w:val="both"/>
              <w:rPr>
                <w:rFonts w:hint="eastAsia" w:ascii="黑体" w:hAnsi="黑体" w:eastAsia="黑体" w:cs="黑体"/>
                <w:b w:val="0"/>
                <w:color w:val="000000"/>
                <w:sz w:val="21"/>
                <w:szCs w:val="21"/>
              </w:rPr>
            </w:pPr>
          </w:p>
        </w:tc>
        <w:tc>
          <w:tcPr>
            <w:tcW w:w="1408" w:type="dxa"/>
            <w:vAlign w:val="center"/>
          </w:tcPr>
          <w:p w14:paraId="402B35A4">
            <w:pPr>
              <w:spacing w:line="360" w:lineRule="auto"/>
              <w:jc w:val="both"/>
              <w:rPr>
                <w:rFonts w:hint="eastAsia" w:ascii="黑体" w:hAnsi="黑体" w:eastAsia="黑体" w:cs="黑体"/>
                <w:b w:val="0"/>
                <w:color w:val="000000"/>
                <w:sz w:val="21"/>
                <w:szCs w:val="21"/>
              </w:rPr>
            </w:pPr>
          </w:p>
        </w:tc>
        <w:tc>
          <w:tcPr>
            <w:tcW w:w="1235" w:type="dxa"/>
            <w:vAlign w:val="center"/>
          </w:tcPr>
          <w:p w14:paraId="3F303AD4">
            <w:pPr>
              <w:spacing w:line="360" w:lineRule="auto"/>
              <w:jc w:val="both"/>
              <w:rPr>
                <w:rFonts w:hint="eastAsia" w:ascii="黑体" w:hAnsi="黑体" w:eastAsia="黑体" w:cs="黑体"/>
                <w:b w:val="0"/>
                <w:color w:val="000000"/>
                <w:sz w:val="21"/>
                <w:szCs w:val="21"/>
              </w:rPr>
            </w:pPr>
          </w:p>
        </w:tc>
        <w:tc>
          <w:tcPr>
            <w:tcW w:w="1276" w:type="dxa"/>
            <w:vAlign w:val="center"/>
          </w:tcPr>
          <w:p w14:paraId="51A57A25">
            <w:pPr>
              <w:spacing w:line="360" w:lineRule="auto"/>
              <w:jc w:val="both"/>
              <w:rPr>
                <w:rFonts w:hint="eastAsia" w:ascii="黑体" w:hAnsi="黑体" w:eastAsia="黑体" w:cs="黑体"/>
                <w:b w:val="0"/>
                <w:color w:val="000000"/>
                <w:sz w:val="21"/>
                <w:szCs w:val="21"/>
              </w:rPr>
            </w:pPr>
          </w:p>
        </w:tc>
      </w:tr>
      <w:tr w14:paraId="75E7D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03" w:type="dxa"/>
            <w:vAlign w:val="center"/>
          </w:tcPr>
          <w:p w14:paraId="50A69895">
            <w:pPr>
              <w:spacing w:line="360" w:lineRule="auto"/>
              <w:jc w:val="both"/>
              <w:rPr>
                <w:rFonts w:hint="eastAsia" w:ascii="黑体" w:hAnsi="黑体" w:eastAsia="黑体" w:cs="黑体"/>
                <w:b w:val="0"/>
                <w:color w:val="000000"/>
                <w:sz w:val="21"/>
                <w:szCs w:val="21"/>
              </w:rPr>
            </w:pPr>
          </w:p>
        </w:tc>
        <w:tc>
          <w:tcPr>
            <w:tcW w:w="1845" w:type="dxa"/>
            <w:vAlign w:val="center"/>
          </w:tcPr>
          <w:p w14:paraId="14030260">
            <w:pPr>
              <w:spacing w:line="360" w:lineRule="auto"/>
              <w:jc w:val="both"/>
              <w:rPr>
                <w:rFonts w:hint="eastAsia" w:ascii="黑体" w:hAnsi="黑体" w:eastAsia="黑体" w:cs="黑体"/>
                <w:b w:val="0"/>
                <w:color w:val="000000"/>
                <w:sz w:val="21"/>
                <w:szCs w:val="21"/>
              </w:rPr>
            </w:pPr>
          </w:p>
        </w:tc>
        <w:tc>
          <w:tcPr>
            <w:tcW w:w="2079" w:type="dxa"/>
            <w:vAlign w:val="center"/>
          </w:tcPr>
          <w:p w14:paraId="6D9F7B6F">
            <w:pPr>
              <w:spacing w:line="360" w:lineRule="auto"/>
              <w:jc w:val="both"/>
              <w:rPr>
                <w:rFonts w:hint="eastAsia" w:ascii="黑体" w:hAnsi="黑体" w:eastAsia="黑体" w:cs="黑体"/>
                <w:b w:val="0"/>
                <w:color w:val="000000"/>
                <w:sz w:val="21"/>
                <w:szCs w:val="21"/>
              </w:rPr>
            </w:pPr>
          </w:p>
        </w:tc>
        <w:tc>
          <w:tcPr>
            <w:tcW w:w="1408" w:type="dxa"/>
            <w:vAlign w:val="center"/>
          </w:tcPr>
          <w:p w14:paraId="79CB0936">
            <w:pPr>
              <w:spacing w:line="360" w:lineRule="auto"/>
              <w:jc w:val="both"/>
              <w:rPr>
                <w:rFonts w:hint="eastAsia" w:ascii="黑体" w:hAnsi="黑体" w:eastAsia="黑体" w:cs="黑体"/>
                <w:b w:val="0"/>
                <w:color w:val="000000"/>
                <w:sz w:val="21"/>
                <w:szCs w:val="21"/>
              </w:rPr>
            </w:pPr>
          </w:p>
        </w:tc>
        <w:tc>
          <w:tcPr>
            <w:tcW w:w="1235" w:type="dxa"/>
            <w:vAlign w:val="center"/>
          </w:tcPr>
          <w:p w14:paraId="0D0E3C11">
            <w:pPr>
              <w:spacing w:line="360" w:lineRule="auto"/>
              <w:jc w:val="both"/>
              <w:rPr>
                <w:rFonts w:hint="eastAsia" w:ascii="黑体" w:hAnsi="黑体" w:eastAsia="黑体" w:cs="黑体"/>
                <w:b w:val="0"/>
                <w:color w:val="000000"/>
                <w:sz w:val="21"/>
                <w:szCs w:val="21"/>
              </w:rPr>
            </w:pPr>
          </w:p>
        </w:tc>
        <w:tc>
          <w:tcPr>
            <w:tcW w:w="1276" w:type="dxa"/>
            <w:vAlign w:val="center"/>
          </w:tcPr>
          <w:p w14:paraId="0B892DA3">
            <w:pPr>
              <w:spacing w:line="360" w:lineRule="auto"/>
              <w:jc w:val="both"/>
              <w:rPr>
                <w:rFonts w:hint="eastAsia" w:ascii="黑体" w:hAnsi="黑体" w:eastAsia="黑体" w:cs="黑体"/>
                <w:b w:val="0"/>
                <w:color w:val="000000"/>
                <w:sz w:val="21"/>
                <w:szCs w:val="21"/>
              </w:rPr>
            </w:pPr>
          </w:p>
        </w:tc>
      </w:tr>
      <w:tr w14:paraId="65314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1103" w:type="dxa"/>
            <w:vAlign w:val="center"/>
          </w:tcPr>
          <w:p w14:paraId="57C21B2C">
            <w:pPr>
              <w:spacing w:line="360" w:lineRule="auto"/>
              <w:jc w:val="both"/>
              <w:rPr>
                <w:rFonts w:hint="eastAsia" w:ascii="黑体" w:hAnsi="黑体" w:eastAsia="黑体" w:cs="黑体"/>
                <w:b w:val="0"/>
                <w:color w:val="000000"/>
                <w:sz w:val="21"/>
                <w:szCs w:val="21"/>
              </w:rPr>
            </w:pPr>
          </w:p>
        </w:tc>
        <w:tc>
          <w:tcPr>
            <w:tcW w:w="1845" w:type="dxa"/>
            <w:vAlign w:val="center"/>
          </w:tcPr>
          <w:p w14:paraId="5A9CB427">
            <w:pPr>
              <w:spacing w:line="360" w:lineRule="auto"/>
              <w:jc w:val="both"/>
              <w:rPr>
                <w:rFonts w:hint="eastAsia" w:ascii="黑体" w:hAnsi="黑体" w:eastAsia="黑体" w:cs="黑体"/>
                <w:b w:val="0"/>
                <w:color w:val="000000"/>
                <w:sz w:val="21"/>
                <w:szCs w:val="21"/>
              </w:rPr>
            </w:pPr>
          </w:p>
        </w:tc>
        <w:tc>
          <w:tcPr>
            <w:tcW w:w="2079" w:type="dxa"/>
            <w:vAlign w:val="center"/>
          </w:tcPr>
          <w:p w14:paraId="035C55D6">
            <w:pPr>
              <w:spacing w:line="360" w:lineRule="auto"/>
              <w:jc w:val="both"/>
              <w:rPr>
                <w:rFonts w:hint="eastAsia" w:ascii="黑体" w:hAnsi="黑体" w:eastAsia="黑体" w:cs="黑体"/>
                <w:b w:val="0"/>
                <w:color w:val="000000"/>
                <w:sz w:val="21"/>
                <w:szCs w:val="21"/>
              </w:rPr>
            </w:pPr>
          </w:p>
        </w:tc>
        <w:tc>
          <w:tcPr>
            <w:tcW w:w="1408" w:type="dxa"/>
            <w:vAlign w:val="center"/>
          </w:tcPr>
          <w:p w14:paraId="7DCADCB0">
            <w:pPr>
              <w:spacing w:line="360" w:lineRule="auto"/>
              <w:jc w:val="both"/>
              <w:rPr>
                <w:rFonts w:hint="eastAsia" w:ascii="黑体" w:hAnsi="黑体" w:eastAsia="黑体" w:cs="黑体"/>
                <w:b w:val="0"/>
                <w:color w:val="000000"/>
                <w:sz w:val="21"/>
                <w:szCs w:val="21"/>
              </w:rPr>
            </w:pPr>
          </w:p>
        </w:tc>
        <w:tc>
          <w:tcPr>
            <w:tcW w:w="1235" w:type="dxa"/>
            <w:vAlign w:val="center"/>
          </w:tcPr>
          <w:p w14:paraId="0B5DC811">
            <w:pPr>
              <w:spacing w:line="360" w:lineRule="auto"/>
              <w:jc w:val="both"/>
              <w:rPr>
                <w:rFonts w:hint="eastAsia" w:ascii="黑体" w:hAnsi="黑体" w:eastAsia="黑体" w:cs="黑体"/>
                <w:b w:val="0"/>
                <w:color w:val="000000"/>
                <w:sz w:val="21"/>
                <w:szCs w:val="21"/>
              </w:rPr>
            </w:pPr>
          </w:p>
        </w:tc>
        <w:tc>
          <w:tcPr>
            <w:tcW w:w="1276" w:type="dxa"/>
            <w:vAlign w:val="center"/>
          </w:tcPr>
          <w:p w14:paraId="7A4F5A24">
            <w:pPr>
              <w:spacing w:line="360" w:lineRule="auto"/>
              <w:jc w:val="both"/>
              <w:rPr>
                <w:rFonts w:hint="eastAsia" w:ascii="黑体" w:hAnsi="黑体" w:eastAsia="黑体" w:cs="黑体"/>
                <w:b w:val="0"/>
                <w:color w:val="000000"/>
                <w:sz w:val="21"/>
                <w:szCs w:val="21"/>
              </w:rPr>
            </w:pPr>
          </w:p>
        </w:tc>
      </w:tr>
    </w:tbl>
    <w:p w14:paraId="0D4E702F">
      <w:pPr>
        <w:keepNext w:val="0"/>
        <w:keepLines w:val="0"/>
        <w:widowControl/>
        <w:suppressLineNumbers w:val="0"/>
        <w:spacing w:line="360" w:lineRule="auto"/>
        <w:jc w:val="both"/>
        <w:outlineLvl w:val="9"/>
        <w:rPr>
          <w:rFonts w:hint="eastAsia" w:ascii="黑体" w:hAnsi="黑体" w:eastAsia="黑体" w:cs="黑体"/>
          <w:b/>
          <w:color w:val="auto"/>
          <w:sz w:val="32"/>
          <w:szCs w:val="32"/>
          <w:lang w:val="en-US" w:eastAsia="zh-CN"/>
        </w:rPr>
        <w:sectPr>
          <w:footerReference r:id="rId25" w:type="default"/>
          <w:pgSz w:w="11906" w:h="16838"/>
          <w:pgMar w:top="1247" w:right="1247" w:bottom="1247" w:left="1701" w:header="851" w:footer="992" w:gutter="0"/>
          <w:pgBorders>
            <w:top w:val="none" w:sz="0" w:space="0"/>
            <w:left w:val="none" w:sz="0" w:space="0"/>
            <w:bottom w:val="none" w:sz="0" w:space="0"/>
            <w:right w:val="none" w:sz="0" w:space="0"/>
          </w:pgBorders>
          <w:pgNumType w:fmt="decimal"/>
          <w:cols w:space="720" w:num="1"/>
          <w:docGrid w:linePitch="312" w:charSpace="0"/>
        </w:sectPr>
      </w:pPr>
    </w:p>
    <w:p w14:paraId="7CE57029">
      <w:pPr>
        <w:keepNext w:val="0"/>
        <w:keepLines w:val="0"/>
        <w:widowControl/>
        <w:suppressLineNumbers w:val="0"/>
        <w:spacing w:line="360" w:lineRule="auto"/>
        <w:jc w:val="both"/>
        <w:outlineLvl w:val="2"/>
        <w:rPr>
          <w:rFonts w:hint="eastAsia" w:ascii="黑体" w:hAnsi="黑体" w:eastAsia="黑体" w:cs="黑体"/>
          <w:b/>
          <w:color w:val="auto"/>
          <w:sz w:val="32"/>
          <w:szCs w:val="32"/>
          <w:lang w:val="en-US" w:eastAsia="zh-CN"/>
        </w:rPr>
      </w:pPr>
      <w:bookmarkStart w:id="169" w:name="_Toc612"/>
      <w:bookmarkStart w:id="170" w:name="_Toc4283"/>
      <w:r>
        <w:rPr>
          <w:rFonts w:hint="eastAsia" w:ascii="黑体" w:hAnsi="黑体" w:eastAsia="黑体" w:cs="黑体"/>
          <w:b/>
          <w:color w:val="auto"/>
          <w:sz w:val="32"/>
          <w:szCs w:val="32"/>
          <w:lang w:val="en-US" w:eastAsia="zh-CN"/>
        </w:rPr>
        <w:t>（十二）近年发生的诉讼及仲裁情况</w:t>
      </w:r>
      <w:bookmarkEnd w:id="169"/>
      <w:bookmarkEnd w:id="170"/>
    </w:p>
    <w:p w14:paraId="524224D4">
      <w:pPr>
        <w:spacing w:line="300" w:lineRule="auto"/>
        <w:jc w:val="right"/>
        <w:rPr>
          <w:rFonts w:hint="eastAsia" w:ascii="黑体" w:hAnsi="黑体" w:eastAsia="黑体" w:cs="黑体"/>
          <w:color w:val="auto"/>
          <w:sz w:val="24"/>
          <w:szCs w:val="24"/>
        </w:rPr>
      </w:pPr>
    </w:p>
    <w:p w14:paraId="4EA32FEB">
      <w:pPr>
        <w:spacing w:line="300" w:lineRule="auto"/>
        <w:jc w:val="center"/>
        <w:rPr>
          <w:rFonts w:hint="eastAsia" w:ascii="黑体" w:hAnsi="黑体" w:eastAsia="黑体" w:cs="黑体"/>
          <w:color w:val="auto"/>
          <w:sz w:val="24"/>
          <w:szCs w:val="24"/>
        </w:rPr>
      </w:pPr>
      <w:r>
        <w:rPr>
          <w:rFonts w:hint="eastAsia" w:ascii="黑体" w:hAnsi="黑体" w:eastAsia="黑体" w:cs="黑体"/>
          <w:color w:val="auto"/>
          <w:sz w:val="24"/>
          <w:szCs w:val="24"/>
        </w:rPr>
        <w:t>格式自拟</w:t>
      </w:r>
    </w:p>
    <w:p w14:paraId="7AE47C5F">
      <w:pPr>
        <w:spacing w:line="300" w:lineRule="auto"/>
        <w:rPr>
          <w:rFonts w:hint="eastAsia" w:ascii="黑体" w:hAnsi="黑体" w:eastAsia="黑体" w:cs="黑体"/>
          <w:color w:val="auto"/>
          <w:sz w:val="24"/>
          <w:szCs w:val="24"/>
        </w:rPr>
      </w:pPr>
    </w:p>
    <w:p w14:paraId="283DB9C6">
      <w:pPr>
        <w:spacing w:line="300" w:lineRule="auto"/>
        <w:rPr>
          <w:rFonts w:hint="eastAsia" w:ascii="黑体" w:hAnsi="黑体" w:eastAsia="黑体" w:cs="黑体"/>
          <w:color w:val="auto"/>
          <w:sz w:val="24"/>
          <w:szCs w:val="24"/>
        </w:rPr>
      </w:pPr>
    </w:p>
    <w:p w14:paraId="4EC30CB9">
      <w:pPr>
        <w:spacing w:line="300" w:lineRule="auto"/>
        <w:rPr>
          <w:rFonts w:hint="eastAsia" w:ascii="黑体" w:hAnsi="黑体" w:eastAsia="黑体" w:cs="黑体"/>
          <w:color w:val="auto"/>
          <w:sz w:val="24"/>
          <w:szCs w:val="24"/>
        </w:rPr>
      </w:pPr>
    </w:p>
    <w:p w14:paraId="1EF1E200">
      <w:pPr>
        <w:spacing w:line="300" w:lineRule="auto"/>
        <w:rPr>
          <w:rFonts w:hint="eastAsia" w:ascii="黑体" w:hAnsi="黑体" w:eastAsia="黑体" w:cs="黑体"/>
          <w:color w:val="auto"/>
          <w:sz w:val="24"/>
          <w:szCs w:val="24"/>
        </w:rPr>
      </w:pPr>
    </w:p>
    <w:p w14:paraId="21569B75">
      <w:pPr>
        <w:spacing w:line="300" w:lineRule="auto"/>
        <w:rPr>
          <w:rFonts w:hint="eastAsia" w:ascii="黑体" w:hAnsi="黑体" w:eastAsia="黑体" w:cs="黑体"/>
          <w:color w:val="auto"/>
          <w:sz w:val="24"/>
          <w:szCs w:val="24"/>
        </w:rPr>
      </w:pPr>
    </w:p>
    <w:p w14:paraId="300FD051">
      <w:pPr>
        <w:spacing w:line="300" w:lineRule="auto"/>
        <w:rPr>
          <w:rFonts w:hint="eastAsia" w:ascii="黑体" w:hAnsi="黑体" w:eastAsia="黑体" w:cs="黑体"/>
          <w:color w:val="auto"/>
          <w:sz w:val="24"/>
          <w:szCs w:val="24"/>
        </w:rPr>
      </w:pPr>
    </w:p>
    <w:p w14:paraId="35458199">
      <w:pPr>
        <w:spacing w:line="300" w:lineRule="auto"/>
        <w:rPr>
          <w:rFonts w:hint="eastAsia" w:ascii="黑体" w:hAnsi="黑体" w:eastAsia="黑体" w:cs="黑体"/>
          <w:color w:val="auto"/>
          <w:sz w:val="24"/>
          <w:szCs w:val="24"/>
        </w:rPr>
      </w:pPr>
    </w:p>
    <w:p w14:paraId="03856D83">
      <w:pPr>
        <w:spacing w:line="300" w:lineRule="auto"/>
        <w:rPr>
          <w:rFonts w:hint="eastAsia" w:ascii="黑体" w:hAnsi="黑体" w:eastAsia="黑体" w:cs="黑体"/>
          <w:color w:val="auto"/>
          <w:sz w:val="24"/>
          <w:szCs w:val="24"/>
        </w:rPr>
      </w:pPr>
    </w:p>
    <w:p w14:paraId="40C02077">
      <w:pPr>
        <w:spacing w:line="300" w:lineRule="auto"/>
        <w:rPr>
          <w:rFonts w:hint="eastAsia" w:ascii="黑体" w:hAnsi="黑体" w:eastAsia="黑体" w:cs="黑体"/>
          <w:color w:val="auto"/>
          <w:sz w:val="24"/>
          <w:szCs w:val="24"/>
        </w:rPr>
      </w:pPr>
    </w:p>
    <w:p w14:paraId="5098D778">
      <w:pPr>
        <w:spacing w:line="300" w:lineRule="auto"/>
        <w:rPr>
          <w:rFonts w:hint="eastAsia" w:ascii="黑体" w:hAnsi="黑体" w:eastAsia="黑体" w:cs="黑体"/>
          <w:color w:val="auto"/>
          <w:sz w:val="24"/>
          <w:szCs w:val="24"/>
        </w:rPr>
      </w:pPr>
    </w:p>
    <w:p w14:paraId="3A370397">
      <w:pPr>
        <w:spacing w:line="300" w:lineRule="auto"/>
        <w:rPr>
          <w:rFonts w:hint="eastAsia" w:ascii="黑体" w:hAnsi="黑体" w:eastAsia="黑体" w:cs="黑体"/>
          <w:color w:val="auto"/>
          <w:sz w:val="24"/>
          <w:szCs w:val="24"/>
        </w:rPr>
      </w:pPr>
    </w:p>
    <w:p w14:paraId="54B11E3F">
      <w:pPr>
        <w:spacing w:line="300" w:lineRule="auto"/>
        <w:rPr>
          <w:rFonts w:hint="eastAsia" w:ascii="黑体" w:hAnsi="黑体" w:eastAsia="黑体" w:cs="黑体"/>
          <w:color w:val="auto"/>
          <w:sz w:val="24"/>
          <w:szCs w:val="24"/>
        </w:rPr>
      </w:pPr>
    </w:p>
    <w:p w14:paraId="2B6A70C1">
      <w:pPr>
        <w:spacing w:line="300" w:lineRule="auto"/>
        <w:rPr>
          <w:rFonts w:hint="eastAsia" w:ascii="黑体" w:hAnsi="黑体" w:eastAsia="黑体" w:cs="黑体"/>
          <w:color w:val="auto"/>
          <w:sz w:val="24"/>
          <w:szCs w:val="24"/>
        </w:rPr>
      </w:pPr>
    </w:p>
    <w:p w14:paraId="17BCD6BA">
      <w:pPr>
        <w:spacing w:line="300" w:lineRule="auto"/>
        <w:rPr>
          <w:rFonts w:hint="eastAsia" w:ascii="黑体" w:hAnsi="黑体" w:eastAsia="黑体" w:cs="黑体"/>
          <w:color w:val="auto"/>
          <w:sz w:val="24"/>
          <w:szCs w:val="24"/>
        </w:rPr>
      </w:pPr>
    </w:p>
    <w:p w14:paraId="4115C759">
      <w:pPr>
        <w:spacing w:line="300" w:lineRule="auto"/>
        <w:rPr>
          <w:rFonts w:hint="eastAsia" w:ascii="黑体" w:hAnsi="黑体" w:eastAsia="黑体" w:cs="黑体"/>
          <w:color w:val="auto"/>
          <w:sz w:val="24"/>
          <w:szCs w:val="24"/>
        </w:rPr>
      </w:pPr>
    </w:p>
    <w:p w14:paraId="121A4754">
      <w:pPr>
        <w:spacing w:line="300" w:lineRule="auto"/>
        <w:rPr>
          <w:rFonts w:hint="eastAsia" w:ascii="黑体" w:hAnsi="黑体" w:eastAsia="黑体" w:cs="黑体"/>
          <w:color w:val="auto"/>
          <w:sz w:val="24"/>
          <w:szCs w:val="24"/>
        </w:rPr>
      </w:pPr>
    </w:p>
    <w:p w14:paraId="3F9A53E5">
      <w:pPr>
        <w:spacing w:line="300" w:lineRule="auto"/>
        <w:jc w:val="right"/>
        <w:rPr>
          <w:rFonts w:hint="eastAsia" w:ascii="黑体" w:hAnsi="黑体" w:eastAsia="黑体" w:cs="黑体"/>
          <w:color w:val="auto"/>
          <w:sz w:val="24"/>
          <w:szCs w:val="24"/>
        </w:rPr>
      </w:pPr>
    </w:p>
    <w:p w14:paraId="75DBEEC6">
      <w:pPr>
        <w:spacing w:line="300" w:lineRule="auto"/>
        <w:jc w:val="right"/>
        <w:rPr>
          <w:rFonts w:hint="eastAsia" w:ascii="黑体" w:hAnsi="黑体" w:eastAsia="黑体" w:cs="黑体"/>
          <w:color w:val="auto"/>
          <w:sz w:val="24"/>
          <w:szCs w:val="24"/>
        </w:rPr>
      </w:pPr>
    </w:p>
    <w:p w14:paraId="74B5BB1F">
      <w:pPr>
        <w:spacing w:line="300" w:lineRule="auto"/>
        <w:jc w:val="right"/>
        <w:rPr>
          <w:rFonts w:hint="eastAsia" w:ascii="黑体" w:hAnsi="黑体" w:eastAsia="黑体" w:cs="黑体"/>
          <w:color w:val="auto"/>
          <w:sz w:val="24"/>
          <w:szCs w:val="24"/>
        </w:rPr>
      </w:pPr>
      <w:r>
        <w:rPr>
          <w:rFonts w:hint="eastAsia" w:ascii="黑体" w:hAnsi="黑体" w:eastAsia="黑体" w:cs="黑体"/>
          <w:color w:val="auto"/>
          <w:sz w:val="24"/>
          <w:szCs w:val="24"/>
          <w:lang w:eastAsia="zh-CN"/>
        </w:rPr>
        <w:t>供应商</w:t>
      </w:r>
      <w:r>
        <w:rPr>
          <w:rFonts w:hint="eastAsia" w:ascii="黑体" w:hAnsi="黑体" w:eastAsia="黑体" w:cs="黑体"/>
          <w:color w:val="auto"/>
          <w:sz w:val="24"/>
          <w:szCs w:val="24"/>
        </w:rPr>
        <w:t>名称：（公章）</w:t>
      </w:r>
    </w:p>
    <w:p w14:paraId="0E8393AA">
      <w:pPr>
        <w:spacing w:line="300" w:lineRule="auto"/>
        <w:ind w:firstLine="480" w:firstLineChars="200"/>
        <w:jc w:val="right"/>
        <w:rPr>
          <w:rFonts w:hint="eastAsia" w:ascii="黑体" w:hAnsi="黑体" w:eastAsia="黑体" w:cs="黑体"/>
          <w:color w:val="auto"/>
          <w:sz w:val="24"/>
          <w:szCs w:val="24"/>
        </w:rPr>
      </w:pPr>
    </w:p>
    <w:p w14:paraId="3D97CEB6">
      <w:pPr>
        <w:spacing w:line="300" w:lineRule="auto"/>
        <w:jc w:val="right"/>
        <w:outlineLvl w:val="1"/>
        <w:rPr>
          <w:rFonts w:hint="eastAsia" w:ascii="黑体" w:hAnsi="黑体" w:eastAsia="黑体" w:cs="黑体"/>
          <w:color w:val="auto"/>
          <w:sz w:val="24"/>
          <w:szCs w:val="24"/>
        </w:rPr>
      </w:pPr>
      <w:bookmarkStart w:id="171" w:name="_Toc20605"/>
      <w:r>
        <w:rPr>
          <w:rFonts w:hint="eastAsia" w:ascii="黑体" w:hAnsi="黑体" w:eastAsia="黑体" w:cs="黑体"/>
          <w:color w:val="auto"/>
          <w:sz w:val="24"/>
          <w:szCs w:val="24"/>
        </w:rPr>
        <w:t>法定代表人或被授权人：（签字或盖章）</w:t>
      </w:r>
      <w:bookmarkEnd w:id="171"/>
    </w:p>
    <w:p w14:paraId="3679B5A5">
      <w:pPr>
        <w:spacing w:line="300" w:lineRule="auto"/>
        <w:ind w:firstLine="480" w:firstLineChars="200"/>
        <w:jc w:val="right"/>
        <w:rPr>
          <w:rFonts w:hint="eastAsia" w:ascii="黑体" w:hAnsi="黑体" w:eastAsia="黑体" w:cs="黑体"/>
          <w:color w:val="auto"/>
          <w:sz w:val="24"/>
          <w:szCs w:val="24"/>
        </w:rPr>
      </w:pPr>
    </w:p>
    <w:p w14:paraId="5892F28C">
      <w:pPr>
        <w:spacing w:line="240" w:lineRule="atLeast"/>
        <w:jc w:val="right"/>
        <w:rPr>
          <w:rFonts w:hint="eastAsia" w:ascii="黑体" w:hAnsi="黑体" w:eastAsia="黑体" w:cs="黑体"/>
          <w:b/>
          <w:color w:val="auto"/>
          <w:spacing w:val="20"/>
          <w:sz w:val="28"/>
          <w:szCs w:val="28"/>
        </w:rPr>
      </w:pPr>
      <w:r>
        <w:rPr>
          <w:rFonts w:hint="eastAsia" w:ascii="黑体" w:hAnsi="黑体" w:eastAsia="黑体" w:cs="黑体"/>
          <w:color w:val="auto"/>
          <w:sz w:val="24"/>
          <w:szCs w:val="24"/>
        </w:rPr>
        <w:t>日期：年月日</w:t>
      </w:r>
    </w:p>
    <w:p w14:paraId="7DE7CEC3">
      <w:pPr>
        <w:widowControl/>
        <w:kinsoku/>
        <w:wordWrap/>
        <w:overflowPunct/>
        <w:topLinePunct/>
        <w:autoSpaceDE/>
        <w:autoSpaceDN/>
        <w:bidi w:val="0"/>
        <w:adjustRightInd w:val="0"/>
        <w:spacing w:line="360" w:lineRule="auto"/>
        <w:jc w:val="both"/>
        <w:textAlignment w:val="auto"/>
        <w:rPr>
          <w:rFonts w:hint="eastAsia" w:ascii="黑体" w:hAnsi="黑体" w:eastAsia="黑体" w:cs="黑体"/>
          <w:color w:val="auto"/>
          <w:kern w:val="0"/>
          <w:sz w:val="24"/>
        </w:rPr>
      </w:pPr>
    </w:p>
    <w:p w14:paraId="1C27BFF6">
      <w:pPr>
        <w:widowControl/>
        <w:kinsoku/>
        <w:wordWrap/>
        <w:overflowPunct/>
        <w:topLinePunct/>
        <w:autoSpaceDE/>
        <w:autoSpaceDN/>
        <w:bidi w:val="0"/>
        <w:spacing w:line="360" w:lineRule="auto"/>
        <w:jc w:val="both"/>
        <w:textAlignment w:val="auto"/>
        <w:rPr>
          <w:rFonts w:hint="eastAsia" w:ascii="黑体" w:hAnsi="黑体" w:eastAsia="黑体" w:cs="黑体"/>
          <w:color w:val="auto"/>
        </w:rPr>
        <w:sectPr>
          <w:pgSz w:w="11906" w:h="16838"/>
          <w:pgMar w:top="1247" w:right="1247" w:bottom="1247" w:left="1701" w:header="851" w:footer="992" w:gutter="0"/>
          <w:pgBorders>
            <w:top w:val="none" w:sz="0" w:space="0"/>
            <w:left w:val="none" w:sz="0" w:space="0"/>
            <w:bottom w:val="none" w:sz="0" w:space="0"/>
            <w:right w:val="none" w:sz="0" w:space="0"/>
          </w:pgBorders>
          <w:pgNumType w:fmt="decimal"/>
          <w:cols w:space="720" w:num="1"/>
          <w:docGrid w:linePitch="312" w:charSpace="0"/>
        </w:sectPr>
      </w:pPr>
    </w:p>
    <w:p w14:paraId="7544F0A2">
      <w:pPr>
        <w:numPr>
          <w:ilvl w:val="0"/>
          <w:numId w:val="0"/>
        </w:numPr>
        <w:autoSpaceDE w:val="0"/>
        <w:autoSpaceDN w:val="0"/>
        <w:adjustRightInd w:val="0"/>
        <w:spacing w:line="400" w:lineRule="exact"/>
        <w:ind w:left="3199" w:leftChars="0"/>
        <w:jc w:val="both"/>
        <w:outlineLvl w:val="1"/>
        <w:rPr>
          <w:rFonts w:hint="eastAsia" w:ascii="黑体" w:hAnsi="黑体" w:eastAsia="黑体" w:cs="黑体"/>
          <w:b/>
          <w:bCs w:val="0"/>
          <w:color w:val="auto"/>
          <w:sz w:val="24"/>
          <w:szCs w:val="24"/>
          <w:lang w:val="zh-CN"/>
        </w:rPr>
      </w:pPr>
      <w:bookmarkStart w:id="172" w:name="_Toc15794"/>
      <w:bookmarkStart w:id="173" w:name="_Toc5138"/>
      <w:bookmarkStart w:id="174" w:name="_Toc28828_WPSOffice_Level1"/>
      <w:bookmarkStart w:id="175" w:name="_Toc21293_WPSOffice_Level1"/>
      <w:r>
        <w:rPr>
          <w:rFonts w:hint="eastAsia" w:ascii="黑体" w:hAnsi="黑体" w:eastAsia="黑体" w:cs="黑体"/>
          <w:b/>
          <w:color w:val="auto"/>
          <w:kern w:val="0"/>
          <w:sz w:val="32"/>
          <w:szCs w:val="18"/>
          <w:highlight w:val="none"/>
          <w:lang w:val="en-US" w:eastAsia="zh-CN"/>
        </w:rPr>
        <w:t>七、</w:t>
      </w:r>
      <w:r>
        <w:rPr>
          <w:rFonts w:hint="eastAsia" w:ascii="黑体" w:hAnsi="黑体" w:eastAsia="黑体" w:cs="黑体"/>
          <w:b/>
          <w:bCs w:val="0"/>
          <w:color w:val="auto"/>
          <w:sz w:val="28"/>
          <w:szCs w:val="28"/>
          <w:lang w:val="zh-CN"/>
        </w:rPr>
        <w:t>供应商已完成类似项目情况</w:t>
      </w:r>
      <w:bookmarkEnd w:id="172"/>
      <w:bookmarkEnd w:id="173"/>
    </w:p>
    <w:p w14:paraId="355335CC">
      <w:pPr>
        <w:numPr>
          <w:ilvl w:val="0"/>
          <w:numId w:val="0"/>
        </w:numPr>
        <w:autoSpaceDE w:val="0"/>
        <w:autoSpaceDN w:val="0"/>
        <w:adjustRightInd w:val="0"/>
        <w:spacing w:line="400" w:lineRule="exact"/>
        <w:ind w:left="3199" w:leftChars="0"/>
        <w:jc w:val="both"/>
        <w:rPr>
          <w:rFonts w:hint="eastAsia" w:ascii="黑体" w:hAnsi="黑体" w:eastAsia="黑体" w:cs="黑体"/>
          <w:b/>
          <w:bCs w:val="0"/>
          <w:color w:val="auto"/>
          <w:sz w:val="24"/>
          <w:szCs w:val="24"/>
          <w:lang w:val="zh-CN"/>
        </w:rPr>
      </w:pPr>
    </w:p>
    <w:tbl>
      <w:tblPr>
        <w:tblStyle w:val="17"/>
        <w:tblW w:w="9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763"/>
        <w:gridCol w:w="2619"/>
        <w:gridCol w:w="2477"/>
        <w:gridCol w:w="1371"/>
        <w:gridCol w:w="844"/>
      </w:tblGrid>
      <w:tr w14:paraId="49A04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783" w:type="dxa"/>
            <w:vAlign w:val="center"/>
          </w:tcPr>
          <w:p w14:paraId="266D8E49">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序号</w:t>
            </w:r>
          </w:p>
        </w:tc>
        <w:tc>
          <w:tcPr>
            <w:tcW w:w="1763" w:type="dxa"/>
            <w:vAlign w:val="center"/>
          </w:tcPr>
          <w:p w14:paraId="57CC02A8">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起止时间</w:t>
            </w:r>
          </w:p>
        </w:tc>
        <w:tc>
          <w:tcPr>
            <w:tcW w:w="2619" w:type="dxa"/>
            <w:vAlign w:val="center"/>
          </w:tcPr>
          <w:p w14:paraId="616169C9">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项目名称</w:t>
            </w:r>
          </w:p>
        </w:tc>
        <w:tc>
          <w:tcPr>
            <w:tcW w:w="2477" w:type="dxa"/>
            <w:vAlign w:val="center"/>
          </w:tcPr>
          <w:p w14:paraId="1DDE3894">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业主单位</w:t>
            </w:r>
          </w:p>
        </w:tc>
        <w:tc>
          <w:tcPr>
            <w:tcW w:w="1371" w:type="dxa"/>
            <w:vAlign w:val="center"/>
          </w:tcPr>
          <w:p w14:paraId="74BFB92C">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完成情况</w:t>
            </w:r>
          </w:p>
        </w:tc>
        <w:tc>
          <w:tcPr>
            <w:tcW w:w="844" w:type="dxa"/>
            <w:vAlign w:val="center"/>
          </w:tcPr>
          <w:p w14:paraId="2365448E">
            <w:pPr>
              <w:autoSpaceDE w:val="0"/>
              <w:autoSpaceDN w:val="0"/>
              <w:adjustRightInd w:val="0"/>
              <w:spacing w:line="400" w:lineRule="exact"/>
              <w:jc w:val="center"/>
              <w:outlineLvl w:val="9"/>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备注</w:t>
            </w:r>
          </w:p>
        </w:tc>
      </w:tr>
      <w:tr w14:paraId="1978D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83" w:type="dxa"/>
            <w:vAlign w:val="center"/>
          </w:tcPr>
          <w:p w14:paraId="03167FFE">
            <w:pPr>
              <w:keepNext w:val="0"/>
              <w:keepLines w:val="0"/>
              <w:widowControl w:val="0"/>
              <w:suppressLineNumbers w:val="0"/>
              <w:autoSpaceDE w:val="0"/>
              <w:autoSpaceDN w:val="0"/>
              <w:adjustRightInd w:val="0"/>
              <w:spacing w:before="0" w:beforeAutospacing="0" w:after="0" w:afterAutospacing="0" w:line="400" w:lineRule="exact"/>
              <w:ind w:left="0" w:leftChars="0" w:right="0" w:rightChars="0"/>
              <w:jc w:val="center"/>
              <w:outlineLvl w:val="9"/>
              <w:rPr>
                <w:rFonts w:hint="eastAsia" w:ascii="黑体" w:hAnsi="黑体" w:eastAsia="黑体" w:cs="黑体"/>
                <w:bCs/>
                <w:color w:val="auto"/>
                <w:szCs w:val="21"/>
                <w:lang w:val="zh-CN"/>
              </w:rPr>
            </w:pPr>
            <w:r>
              <w:rPr>
                <w:rFonts w:hint="eastAsia" w:ascii="黑体" w:hAnsi="黑体" w:eastAsia="黑体" w:cs="黑体"/>
                <w:b/>
                <w:bCs w:val="0"/>
                <w:color w:val="auto"/>
                <w:kern w:val="2"/>
                <w:sz w:val="21"/>
                <w:szCs w:val="21"/>
                <w:lang w:val="en-US" w:eastAsia="zh-CN" w:bidi="ar"/>
              </w:rPr>
              <w:t>1</w:t>
            </w:r>
          </w:p>
        </w:tc>
        <w:tc>
          <w:tcPr>
            <w:tcW w:w="1763" w:type="dxa"/>
            <w:vAlign w:val="center"/>
          </w:tcPr>
          <w:p w14:paraId="7299F0DD">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7CC6BF51">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5170942C">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7769B3E3">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61256141">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r w14:paraId="7799E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83" w:type="dxa"/>
            <w:vAlign w:val="center"/>
          </w:tcPr>
          <w:p w14:paraId="24ED2FC3">
            <w:pPr>
              <w:keepNext w:val="0"/>
              <w:keepLines w:val="0"/>
              <w:widowControl w:val="0"/>
              <w:suppressLineNumbers w:val="0"/>
              <w:autoSpaceDE w:val="0"/>
              <w:autoSpaceDN w:val="0"/>
              <w:adjustRightInd w:val="0"/>
              <w:spacing w:before="0" w:beforeAutospacing="0" w:after="0" w:afterAutospacing="0" w:line="400" w:lineRule="exact"/>
              <w:ind w:left="0" w:leftChars="0" w:right="0" w:rightChars="0"/>
              <w:jc w:val="center"/>
              <w:outlineLvl w:val="9"/>
              <w:rPr>
                <w:rFonts w:hint="eastAsia" w:ascii="黑体" w:hAnsi="黑体" w:eastAsia="黑体" w:cs="黑体"/>
                <w:bCs/>
                <w:color w:val="auto"/>
                <w:szCs w:val="21"/>
                <w:lang w:val="zh-CN"/>
              </w:rPr>
            </w:pPr>
            <w:r>
              <w:rPr>
                <w:rFonts w:hint="eastAsia" w:ascii="黑体" w:hAnsi="黑体" w:eastAsia="黑体" w:cs="黑体"/>
                <w:b/>
                <w:bCs w:val="0"/>
                <w:color w:val="auto"/>
                <w:kern w:val="2"/>
                <w:sz w:val="21"/>
                <w:szCs w:val="21"/>
                <w:lang w:val="en-US" w:eastAsia="zh-CN" w:bidi="ar"/>
              </w:rPr>
              <w:t>2</w:t>
            </w:r>
          </w:p>
        </w:tc>
        <w:tc>
          <w:tcPr>
            <w:tcW w:w="1763" w:type="dxa"/>
            <w:vAlign w:val="center"/>
          </w:tcPr>
          <w:p w14:paraId="05A6FF97">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24135661">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253DF77B">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752897E7">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29D14480">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r w14:paraId="7E61E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83" w:type="dxa"/>
            <w:vAlign w:val="center"/>
          </w:tcPr>
          <w:p w14:paraId="7C0A77D7">
            <w:pPr>
              <w:keepNext w:val="0"/>
              <w:keepLines w:val="0"/>
              <w:widowControl w:val="0"/>
              <w:suppressLineNumbers w:val="0"/>
              <w:autoSpaceDE w:val="0"/>
              <w:autoSpaceDN w:val="0"/>
              <w:adjustRightInd w:val="0"/>
              <w:spacing w:before="0" w:beforeAutospacing="0" w:after="0" w:afterAutospacing="0" w:line="400" w:lineRule="exact"/>
              <w:ind w:left="0" w:leftChars="0" w:right="0" w:rightChars="0"/>
              <w:jc w:val="center"/>
              <w:outlineLvl w:val="9"/>
              <w:rPr>
                <w:rFonts w:hint="eastAsia" w:ascii="黑体" w:hAnsi="黑体" w:eastAsia="黑体" w:cs="黑体"/>
                <w:bCs/>
                <w:color w:val="auto"/>
                <w:szCs w:val="21"/>
                <w:lang w:val="zh-CN"/>
              </w:rPr>
            </w:pPr>
            <w:r>
              <w:rPr>
                <w:rFonts w:hint="eastAsia" w:ascii="黑体" w:hAnsi="黑体" w:eastAsia="黑体" w:cs="黑体"/>
                <w:b/>
                <w:bCs w:val="0"/>
                <w:color w:val="auto"/>
                <w:kern w:val="2"/>
                <w:sz w:val="21"/>
                <w:szCs w:val="21"/>
                <w:lang w:val="en-US" w:eastAsia="zh-CN" w:bidi="ar"/>
              </w:rPr>
              <w:t>3</w:t>
            </w:r>
          </w:p>
        </w:tc>
        <w:tc>
          <w:tcPr>
            <w:tcW w:w="1763" w:type="dxa"/>
            <w:vAlign w:val="center"/>
          </w:tcPr>
          <w:p w14:paraId="49CC1844">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3500FE76">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19855F7B">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09251B60">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40944C1B">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r w14:paraId="44019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83" w:type="dxa"/>
            <w:vAlign w:val="center"/>
          </w:tcPr>
          <w:p w14:paraId="6D94ADDE">
            <w:pPr>
              <w:keepNext w:val="0"/>
              <w:keepLines w:val="0"/>
              <w:widowControl w:val="0"/>
              <w:suppressLineNumbers w:val="0"/>
              <w:autoSpaceDE w:val="0"/>
              <w:autoSpaceDN w:val="0"/>
              <w:adjustRightInd w:val="0"/>
              <w:spacing w:before="0" w:beforeAutospacing="0" w:after="0" w:afterAutospacing="0" w:line="400" w:lineRule="exact"/>
              <w:ind w:left="0" w:leftChars="0" w:right="0" w:rightChars="0"/>
              <w:jc w:val="center"/>
              <w:outlineLvl w:val="9"/>
              <w:rPr>
                <w:rFonts w:hint="eastAsia" w:ascii="黑体" w:hAnsi="黑体" w:eastAsia="黑体" w:cs="黑体"/>
                <w:bCs/>
                <w:color w:val="auto"/>
                <w:szCs w:val="21"/>
                <w:lang w:val="zh-CN"/>
              </w:rPr>
            </w:pPr>
            <w:r>
              <w:rPr>
                <w:rFonts w:hint="eastAsia" w:ascii="黑体" w:hAnsi="黑体" w:eastAsia="黑体" w:cs="黑体"/>
                <w:b/>
                <w:bCs w:val="0"/>
                <w:color w:val="auto"/>
                <w:kern w:val="2"/>
                <w:sz w:val="21"/>
                <w:szCs w:val="21"/>
                <w:lang w:val="en-US" w:eastAsia="zh-CN" w:bidi="ar"/>
              </w:rPr>
              <w:t>……</w:t>
            </w:r>
          </w:p>
        </w:tc>
        <w:tc>
          <w:tcPr>
            <w:tcW w:w="1763" w:type="dxa"/>
            <w:vAlign w:val="center"/>
          </w:tcPr>
          <w:p w14:paraId="64E0DD45">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6B507475">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35A76F8F">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3CB3F0B0">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4EC20EF5">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r w14:paraId="560EC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83" w:type="dxa"/>
            <w:vAlign w:val="top"/>
          </w:tcPr>
          <w:p w14:paraId="746B28EF">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763" w:type="dxa"/>
            <w:vAlign w:val="center"/>
          </w:tcPr>
          <w:p w14:paraId="025BD670">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0A551D86">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55A3CE95">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6349AA7C">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13A5555A">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r w14:paraId="0E551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83" w:type="dxa"/>
            <w:vAlign w:val="top"/>
          </w:tcPr>
          <w:p w14:paraId="243F9ABA">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763" w:type="dxa"/>
            <w:vAlign w:val="center"/>
          </w:tcPr>
          <w:p w14:paraId="3086DF47">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619" w:type="dxa"/>
            <w:vAlign w:val="center"/>
          </w:tcPr>
          <w:p w14:paraId="0FC9B60D">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2477" w:type="dxa"/>
            <w:vAlign w:val="center"/>
          </w:tcPr>
          <w:p w14:paraId="48C3225C">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1371" w:type="dxa"/>
            <w:vAlign w:val="center"/>
          </w:tcPr>
          <w:p w14:paraId="6F343CB4">
            <w:pPr>
              <w:autoSpaceDE w:val="0"/>
              <w:autoSpaceDN w:val="0"/>
              <w:adjustRightInd w:val="0"/>
              <w:spacing w:line="400" w:lineRule="exact"/>
              <w:jc w:val="center"/>
              <w:outlineLvl w:val="9"/>
              <w:rPr>
                <w:rFonts w:hint="eastAsia" w:ascii="黑体" w:hAnsi="黑体" w:eastAsia="黑体" w:cs="黑体"/>
                <w:bCs/>
                <w:color w:val="auto"/>
                <w:szCs w:val="21"/>
                <w:lang w:val="zh-CN"/>
              </w:rPr>
            </w:pPr>
          </w:p>
        </w:tc>
        <w:tc>
          <w:tcPr>
            <w:tcW w:w="844" w:type="dxa"/>
            <w:vAlign w:val="center"/>
          </w:tcPr>
          <w:p w14:paraId="0A2CB794">
            <w:pPr>
              <w:autoSpaceDE w:val="0"/>
              <w:autoSpaceDN w:val="0"/>
              <w:adjustRightInd w:val="0"/>
              <w:spacing w:line="400" w:lineRule="exact"/>
              <w:jc w:val="center"/>
              <w:outlineLvl w:val="9"/>
              <w:rPr>
                <w:rFonts w:hint="eastAsia" w:ascii="黑体" w:hAnsi="黑体" w:eastAsia="黑体" w:cs="黑体"/>
                <w:bCs/>
                <w:color w:val="auto"/>
                <w:szCs w:val="21"/>
                <w:lang w:val="zh-CN"/>
              </w:rPr>
            </w:pPr>
          </w:p>
        </w:tc>
      </w:tr>
    </w:tbl>
    <w:p w14:paraId="0AFB319A">
      <w:pPr>
        <w:autoSpaceDE w:val="0"/>
        <w:autoSpaceDN w:val="0"/>
        <w:adjustRightInd w:val="0"/>
        <w:spacing w:line="400" w:lineRule="exact"/>
        <w:jc w:val="left"/>
        <w:outlineLvl w:val="9"/>
        <w:rPr>
          <w:rFonts w:hint="eastAsia" w:ascii="黑体" w:hAnsi="黑体" w:eastAsia="黑体" w:cs="黑体"/>
          <w:bCs/>
          <w:color w:val="auto"/>
          <w:szCs w:val="21"/>
          <w:lang w:val="zh-CN"/>
        </w:rPr>
      </w:pPr>
    </w:p>
    <w:p w14:paraId="1A040575">
      <w:pPr>
        <w:autoSpaceDE w:val="0"/>
        <w:autoSpaceDN w:val="0"/>
        <w:adjustRightInd w:val="0"/>
        <w:spacing w:line="400" w:lineRule="exact"/>
        <w:jc w:val="left"/>
        <w:outlineLvl w:val="9"/>
        <w:rPr>
          <w:rFonts w:hint="eastAsia" w:ascii="黑体" w:hAnsi="黑体" w:eastAsia="黑体" w:cs="黑体"/>
          <w:bCs/>
          <w:color w:val="auto"/>
          <w:szCs w:val="21"/>
          <w:lang w:val="zh-CN"/>
        </w:rPr>
      </w:pPr>
      <w:r>
        <w:rPr>
          <w:rFonts w:hint="eastAsia" w:ascii="黑体" w:hAnsi="黑体" w:eastAsia="黑体" w:cs="黑体"/>
          <w:bCs/>
          <w:color w:val="auto"/>
          <w:szCs w:val="21"/>
          <w:lang w:val="zh-CN"/>
        </w:rPr>
        <w:t>注：1、供应商应将近</w:t>
      </w:r>
      <w:r>
        <w:rPr>
          <w:rFonts w:hint="eastAsia" w:ascii="黑体" w:hAnsi="黑体" w:eastAsia="黑体" w:cs="黑体"/>
          <w:bCs/>
          <w:color w:val="auto"/>
          <w:szCs w:val="21"/>
          <w:lang w:val="en-US" w:eastAsia="zh-CN"/>
        </w:rPr>
        <w:t>三</w:t>
      </w:r>
      <w:r>
        <w:rPr>
          <w:rFonts w:hint="eastAsia" w:ascii="黑体" w:hAnsi="黑体" w:eastAsia="黑体" w:cs="黑体"/>
          <w:bCs/>
          <w:color w:val="auto"/>
          <w:szCs w:val="21"/>
          <w:lang w:val="zh-CN"/>
        </w:rPr>
        <w:t>年内已完成的类似项目情况填入本表中。</w:t>
      </w:r>
    </w:p>
    <w:p w14:paraId="251163E1">
      <w:pPr>
        <w:autoSpaceDE w:val="0"/>
        <w:autoSpaceDN w:val="0"/>
        <w:adjustRightInd w:val="0"/>
        <w:spacing w:line="400" w:lineRule="exact"/>
        <w:ind w:firstLine="420" w:firstLineChars="200"/>
        <w:jc w:val="left"/>
        <w:outlineLvl w:val="2"/>
        <w:rPr>
          <w:rFonts w:hint="eastAsia" w:ascii="黑体" w:hAnsi="黑体" w:eastAsia="黑体" w:cs="黑体"/>
          <w:bCs/>
          <w:color w:val="auto"/>
          <w:szCs w:val="21"/>
          <w:lang w:val="zh-CN"/>
        </w:rPr>
      </w:pPr>
      <w:bookmarkStart w:id="176" w:name="_Toc12466"/>
      <w:r>
        <w:rPr>
          <w:rFonts w:hint="eastAsia" w:ascii="黑体" w:hAnsi="黑体" w:eastAsia="黑体" w:cs="黑体"/>
          <w:bCs/>
          <w:color w:val="auto"/>
          <w:szCs w:val="21"/>
          <w:lang w:val="zh-CN"/>
        </w:rPr>
        <w:t>2、项目概况包括：项目名称、规模、金额等。</w:t>
      </w:r>
      <w:bookmarkEnd w:id="176"/>
    </w:p>
    <w:p w14:paraId="047315B7">
      <w:pPr>
        <w:autoSpaceDE w:val="0"/>
        <w:autoSpaceDN w:val="0"/>
        <w:adjustRightInd w:val="0"/>
        <w:spacing w:line="400" w:lineRule="exact"/>
        <w:ind w:firstLine="420" w:firstLineChars="200"/>
        <w:jc w:val="left"/>
        <w:outlineLvl w:val="9"/>
        <w:rPr>
          <w:rFonts w:hint="eastAsia" w:ascii="黑体" w:hAnsi="黑体" w:eastAsia="黑体" w:cs="黑体"/>
          <w:bCs/>
          <w:color w:val="auto"/>
          <w:szCs w:val="21"/>
          <w:lang w:val="zh-CN"/>
        </w:rPr>
      </w:pPr>
      <w:r>
        <w:rPr>
          <w:rFonts w:hint="eastAsia" w:ascii="黑体" w:hAnsi="黑体" w:eastAsia="黑体" w:cs="黑体"/>
          <w:bCs/>
          <w:color w:val="auto"/>
          <w:szCs w:val="21"/>
          <w:lang w:val="zh-CN"/>
        </w:rPr>
        <w:t>3、供应商应随本表出具所填项目的合同协议书或中标通知书的复印件</w:t>
      </w:r>
      <w:r>
        <w:rPr>
          <w:rFonts w:hint="eastAsia" w:ascii="黑体" w:hAnsi="黑体" w:eastAsia="黑体" w:cs="黑体"/>
          <w:bCs/>
          <w:color w:val="auto"/>
          <w:szCs w:val="21"/>
          <w:lang w:val="en-US" w:eastAsia="zh-CN"/>
        </w:rPr>
        <w:t>等证明材料</w:t>
      </w:r>
      <w:r>
        <w:rPr>
          <w:rFonts w:hint="eastAsia" w:ascii="黑体" w:hAnsi="黑体" w:eastAsia="黑体" w:cs="黑体"/>
          <w:bCs/>
          <w:color w:val="auto"/>
          <w:szCs w:val="21"/>
          <w:lang w:val="zh-CN"/>
        </w:rPr>
        <w:t>加盖企业公章。</w:t>
      </w:r>
    </w:p>
    <w:p w14:paraId="2A09B803">
      <w:pPr>
        <w:widowControl/>
        <w:autoSpaceDE w:val="0"/>
        <w:autoSpaceDN w:val="0"/>
        <w:adjustRightInd w:val="0"/>
        <w:spacing w:line="400" w:lineRule="exact"/>
        <w:jc w:val="center"/>
        <w:rPr>
          <w:rFonts w:hint="eastAsia" w:ascii="黑体" w:hAnsi="黑体" w:eastAsia="黑体" w:cs="黑体"/>
          <w:b/>
          <w:color w:val="auto"/>
          <w:kern w:val="0"/>
          <w:sz w:val="32"/>
          <w:szCs w:val="18"/>
          <w:highlight w:val="none"/>
          <w:lang w:val="en-US" w:eastAsia="zh-CN"/>
        </w:rPr>
        <w:sectPr>
          <w:footerReference r:id="rId27" w:type="first"/>
          <w:footerReference r:id="rId26" w:type="default"/>
          <w:pgSz w:w="11906" w:h="16838"/>
          <w:pgMar w:top="1304" w:right="1134" w:bottom="1304" w:left="1134" w:header="851" w:footer="992" w:gutter="0"/>
          <w:pgNumType w:fmt="decimal"/>
          <w:cols w:space="720" w:num="1"/>
          <w:titlePg/>
          <w:docGrid w:type="lines" w:linePitch="312" w:charSpace="0"/>
        </w:sectPr>
      </w:pPr>
    </w:p>
    <w:p w14:paraId="3EAB0159">
      <w:pPr>
        <w:numPr>
          <w:ilvl w:val="0"/>
          <w:numId w:val="0"/>
        </w:numPr>
        <w:autoSpaceDE w:val="0"/>
        <w:autoSpaceDN w:val="0"/>
        <w:adjustRightInd w:val="0"/>
        <w:spacing w:line="400" w:lineRule="exact"/>
        <w:jc w:val="center"/>
        <w:outlineLvl w:val="1"/>
        <w:rPr>
          <w:rFonts w:hint="eastAsia" w:ascii="黑体" w:hAnsi="黑体" w:eastAsia="黑体" w:cs="黑体"/>
          <w:color w:val="auto"/>
          <w:szCs w:val="21"/>
          <w:lang w:val="zh-CN"/>
        </w:rPr>
      </w:pPr>
      <w:bookmarkStart w:id="177" w:name="_Toc5351"/>
      <w:bookmarkStart w:id="178" w:name="_Toc19220"/>
      <w:r>
        <w:rPr>
          <w:rFonts w:hint="eastAsia" w:ascii="黑体" w:hAnsi="黑体" w:eastAsia="黑体" w:cs="黑体"/>
          <w:b/>
          <w:color w:val="auto"/>
          <w:kern w:val="0"/>
          <w:sz w:val="32"/>
          <w:szCs w:val="18"/>
          <w:highlight w:val="none"/>
          <w:lang w:val="en-US" w:eastAsia="zh-CN"/>
        </w:rPr>
        <w:t>八、</w:t>
      </w:r>
      <w:r>
        <w:rPr>
          <w:rFonts w:hint="eastAsia" w:ascii="黑体" w:hAnsi="黑体" w:eastAsia="黑体" w:cs="黑体"/>
          <w:b/>
          <w:bCs w:val="0"/>
          <w:color w:val="auto"/>
          <w:sz w:val="28"/>
          <w:szCs w:val="28"/>
          <w:lang w:val="zh-CN"/>
        </w:rPr>
        <w:t>项目团队人员基本情况表</w:t>
      </w:r>
      <w:bookmarkEnd w:id="177"/>
      <w:bookmarkEnd w:id="178"/>
    </w:p>
    <w:p w14:paraId="39ECF14F">
      <w:pPr>
        <w:pStyle w:val="16"/>
        <w:rPr>
          <w:rFonts w:hint="eastAsia" w:ascii="黑体" w:hAnsi="黑体" w:eastAsia="黑体" w:cs="黑体"/>
          <w:color w:val="auto"/>
          <w:sz w:val="21"/>
          <w:szCs w:val="21"/>
          <w:lang w:val="zh-CN"/>
        </w:rPr>
      </w:pPr>
    </w:p>
    <w:tbl>
      <w:tblPr>
        <w:tblStyle w:val="17"/>
        <w:tblW w:w="99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715"/>
        <w:gridCol w:w="1472"/>
        <w:gridCol w:w="1472"/>
        <w:gridCol w:w="1472"/>
        <w:gridCol w:w="1472"/>
        <w:gridCol w:w="1473"/>
      </w:tblGrid>
      <w:tr w14:paraId="56D26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5CB126EC">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序号</w:t>
            </w:r>
          </w:p>
        </w:tc>
        <w:tc>
          <w:tcPr>
            <w:tcW w:w="1715" w:type="dxa"/>
            <w:vAlign w:val="center"/>
          </w:tcPr>
          <w:p w14:paraId="56C99BB9">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在本项目中所担任的职务</w:t>
            </w:r>
          </w:p>
        </w:tc>
        <w:tc>
          <w:tcPr>
            <w:tcW w:w="1472" w:type="dxa"/>
            <w:vAlign w:val="center"/>
          </w:tcPr>
          <w:p w14:paraId="263D6230">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姓名</w:t>
            </w:r>
          </w:p>
        </w:tc>
        <w:tc>
          <w:tcPr>
            <w:tcW w:w="1472" w:type="dxa"/>
            <w:vAlign w:val="center"/>
          </w:tcPr>
          <w:p w14:paraId="02DA7412">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性别</w:t>
            </w:r>
          </w:p>
        </w:tc>
        <w:tc>
          <w:tcPr>
            <w:tcW w:w="1472" w:type="dxa"/>
            <w:vAlign w:val="center"/>
          </w:tcPr>
          <w:p w14:paraId="3C02C422">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年龄</w:t>
            </w:r>
          </w:p>
        </w:tc>
        <w:tc>
          <w:tcPr>
            <w:tcW w:w="1472" w:type="dxa"/>
            <w:vAlign w:val="center"/>
          </w:tcPr>
          <w:p w14:paraId="61C8A1FA">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专业</w:t>
            </w:r>
          </w:p>
        </w:tc>
        <w:tc>
          <w:tcPr>
            <w:tcW w:w="1473" w:type="dxa"/>
            <w:vAlign w:val="center"/>
          </w:tcPr>
          <w:p w14:paraId="7466EA61">
            <w:pPr>
              <w:autoSpaceDE w:val="0"/>
              <w:autoSpaceDN w:val="0"/>
              <w:adjustRightInd w:val="0"/>
              <w:spacing w:line="400" w:lineRule="exact"/>
              <w:jc w:val="center"/>
              <w:rPr>
                <w:rFonts w:hint="eastAsia" w:ascii="黑体" w:hAnsi="黑体" w:eastAsia="黑体" w:cs="黑体"/>
                <w:b/>
                <w:bCs w:val="0"/>
                <w:color w:val="auto"/>
                <w:szCs w:val="21"/>
                <w:lang w:val="zh-CN"/>
              </w:rPr>
            </w:pPr>
            <w:r>
              <w:rPr>
                <w:rFonts w:hint="eastAsia" w:ascii="黑体" w:hAnsi="黑体" w:eastAsia="黑体" w:cs="黑体"/>
                <w:b/>
                <w:bCs w:val="0"/>
                <w:color w:val="auto"/>
                <w:szCs w:val="21"/>
                <w:lang w:val="zh-CN"/>
              </w:rPr>
              <w:t>证书</w:t>
            </w:r>
          </w:p>
        </w:tc>
      </w:tr>
      <w:tr w14:paraId="0B197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2B255D4E">
            <w:pPr>
              <w:autoSpaceDE w:val="0"/>
              <w:autoSpaceDN w:val="0"/>
              <w:adjustRightInd w:val="0"/>
              <w:spacing w:line="400" w:lineRule="exact"/>
              <w:jc w:val="center"/>
              <w:rPr>
                <w:rFonts w:hint="eastAsia" w:ascii="黑体" w:hAnsi="黑体" w:eastAsia="黑体" w:cs="黑体"/>
                <w:b/>
                <w:bCs w:val="0"/>
                <w:color w:val="auto"/>
                <w:szCs w:val="21"/>
                <w:lang w:val="en-US" w:eastAsia="zh-CN"/>
              </w:rPr>
            </w:pPr>
            <w:r>
              <w:rPr>
                <w:rFonts w:hint="eastAsia" w:ascii="黑体" w:hAnsi="黑体" w:eastAsia="黑体" w:cs="黑体"/>
                <w:b/>
                <w:bCs w:val="0"/>
                <w:color w:val="auto"/>
                <w:szCs w:val="21"/>
                <w:lang w:val="en-US" w:eastAsia="zh-CN"/>
              </w:rPr>
              <w:t>1</w:t>
            </w:r>
          </w:p>
        </w:tc>
        <w:tc>
          <w:tcPr>
            <w:tcW w:w="1715" w:type="dxa"/>
            <w:vAlign w:val="center"/>
          </w:tcPr>
          <w:p w14:paraId="5E59F365">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2440BB2D">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17474566">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657D0B7B">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6F26BB3D">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23B6AF6C">
            <w:pPr>
              <w:autoSpaceDE w:val="0"/>
              <w:autoSpaceDN w:val="0"/>
              <w:adjustRightInd w:val="0"/>
              <w:spacing w:line="400" w:lineRule="exact"/>
              <w:jc w:val="center"/>
              <w:rPr>
                <w:rFonts w:hint="eastAsia" w:ascii="黑体" w:hAnsi="黑体" w:eastAsia="黑体" w:cs="黑体"/>
                <w:bCs/>
                <w:color w:val="auto"/>
                <w:szCs w:val="21"/>
                <w:lang w:val="zh-CN"/>
              </w:rPr>
            </w:pPr>
          </w:p>
        </w:tc>
      </w:tr>
      <w:tr w14:paraId="7F224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1E50EFCF">
            <w:pPr>
              <w:autoSpaceDE w:val="0"/>
              <w:autoSpaceDN w:val="0"/>
              <w:adjustRightInd w:val="0"/>
              <w:spacing w:line="400" w:lineRule="exact"/>
              <w:jc w:val="center"/>
              <w:rPr>
                <w:rFonts w:hint="eastAsia" w:ascii="黑体" w:hAnsi="黑体" w:eastAsia="黑体" w:cs="黑体"/>
                <w:b/>
                <w:bCs w:val="0"/>
                <w:color w:val="auto"/>
                <w:szCs w:val="21"/>
                <w:lang w:val="en-US" w:eastAsia="zh-CN"/>
              </w:rPr>
            </w:pPr>
            <w:r>
              <w:rPr>
                <w:rFonts w:hint="eastAsia" w:ascii="黑体" w:hAnsi="黑体" w:eastAsia="黑体" w:cs="黑体"/>
                <w:b/>
                <w:bCs w:val="0"/>
                <w:color w:val="auto"/>
                <w:szCs w:val="21"/>
                <w:lang w:val="en-US" w:eastAsia="zh-CN"/>
              </w:rPr>
              <w:t>2</w:t>
            </w:r>
          </w:p>
        </w:tc>
        <w:tc>
          <w:tcPr>
            <w:tcW w:w="1715" w:type="dxa"/>
            <w:vAlign w:val="center"/>
          </w:tcPr>
          <w:p w14:paraId="4D1F8F21">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6EC055D1">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7A8BD0C2">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3D4EC9D2">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1016DF36">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79244059">
            <w:pPr>
              <w:autoSpaceDE w:val="0"/>
              <w:autoSpaceDN w:val="0"/>
              <w:adjustRightInd w:val="0"/>
              <w:spacing w:line="400" w:lineRule="exact"/>
              <w:jc w:val="center"/>
              <w:rPr>
                <w:rFonts w:hint="eastAsia" w:ascii="黑体" w:hAnsi="黑体" w:eastAsia="黑体" w:cs="黑体"/>
                <w:bCs/>
                <w:color w:val="auto"/>
                <w:szCs w:val="21"/>
                <w:lang w:val="zh-CN"/>
              </w:rPr>
            </w:pPr>
          </w:p>
        </w:tc>
      </w:tr>
      <w:tr w14:paraId="1783B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311822C3">
            <w:pPr>
              <w:autoSpaceDE w:val="0"/>
              <w:autoSpaceDN w:val="0"/>
              <w:adjustRightInd w:val="0"/>
              <w:spacing w:line="400" w:lineRule="exact"/>
              <w:jc w:val="center"/>
              <w:rPr>
                <w:rFonts w:hint="eastAsia" w:ascii="黑体" w:hAnsi="黑体" w:eastAsia="黑体" w:cs="黑体"/>
                <w:b/>
                <w:bCs w:val="0"/>
                <w:color w:val="auto"/>
                <w:szCs w:val="21"/>
                <w:lang w:val="en-US" w:eastAsia="zh-CN"/>
              </w:rPr>
            </w:pPr>
            <w:r>
              <w:rPr>
                <w:rFonts w:hint="eastAsia" w:ascii="黑体" w:hAnsi="黑体" w:eastAsia="黑体" w:cs="黑体"/>
                <w:b/>
                <w:bCs w:val="0"/>
                <w:color w:val="auto"/>
                <w:szCs w:val="21"/>
                <w:lang w:val="en-US" w:eastAsia="zh-CN"/>
              </w:rPr>
              <w:t>3</w:t>
            </w:r>
          </w:p>
        </w:tc>
        <w:tc>
          <w:tcPr>
            <w:tcW w:w="1715" w:type="dxa"/>
            <w:vAlign w:val="center"/>
          </w:tcPr>
          <w:p w14:paraId="55181F01">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1404BD8B">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052AE5E1">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10EB78E0">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3E40EE6D">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63338598">
            <w:pPr>
              <w:autoSpaceDE w:val="0"/>
              <w:autoSpaceDN w:val="0"/>
              <w:adjustRightInd w:val="0"/>
              <w:spacing w:line="400" w:lineRule="exact"/>
              <w:jc w:val="center"/>
              <w:rPr>
                <w:rFonts w:hint="eastAsia" w:ascii="黑体" w:hAnsi="黑体" w:eastAsia="黑体" w:cs="黑体"/>
                <w:bCs/>
                <w:color w:val="auto"/>
                <w:szCs w:val="21"/>
                <w:lang w:val="zh-CN"/>
              </w:rPr>
            </w:pPr>
          </w:p>
        </w:tc>
      </w:tr>
      <w:tr w14:paraId="756ED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15E39EFF">
            <w:pPr>
              <w:autoSpaceDE w:val="0"/>
              <w:autoSpaceDN w:val="0"/>
              <w:adjustRightInd w:val="0"/>
              <w:spacing w:line="400" w:lineRule="exact"/>
              <w:jc w:val="center"/>
              <w:rPr>
                <w:rFonts w:hint="eastAsia" w:ascii="黑体" w:hAnsi="黑体" w:eastAsia="黑体" w:cs="黑体"/>
                <w:b/>
                <w:bCs w:val="0"/>
                <w:color w:val="auto"/>
                <w:szCs w:val="21"/>
                <w:lang w:val="en-US" w:eastAsia="zh-CN"/>
              </w:rPr>
            </w:pPr>
            <w:r>
              <w:rPr>
                <w:rFonts w:hint="eastAsia" w:ascii="黑体" w:hAnsi="黑体" w:eastAsia="黑体" w:cs="黑体"/>
                <w:b/>
                <w:bCs w:val="0"/>
                <w:color w:val="auto"/>
                <w:szCs w:val="21"/>
                <w:lang w:val="en-US" w:eastAsia="zh-CN"/>
              </w:rPr>
              <w:t>……</w:t>
            </w:r>
          </w:p>
        </w:tc>
        <w:tc>
          <w:tcPr>
            <w:tcW w:w="1715" w:type="dxa"/>
            <w:vAlign w:val="center"/>
          </w:tcPr>
          <w:p w14:paraId="45F6A06E">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4F4E72EC">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15010268">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46F25A8D">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714562EC">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0C955283">
            <w:pPr>
              <w:autoSpaceDE w:val="0"/>
              <w:autoSpaceDN w:val="0"/>
              <w:adjustRightInd w:val="0"/>
              <w:spacing w:line="400" w:lineRule="exact"/>
              <w:jc w:val="center"/>
              <w:rPr>
                <w:rFonts w:hint="eastAsia" w:ascii="黑体" w:hAnsi="黑体" w:eastAsia="黑体" w:cs="黑体"/>
                <w:bCs/>
                <w:color w:val="auto"/>
                <w:szCs w:val="21"/>
                <w:lang w:val="zh-CN"/>
              </w:rPr>
            </w:pPr>
          </w:p>
        </w:tc>
      </w:tr>
      <w:tr w14:paraId="32C40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4256366D">
            <w:pPr>
              <w:autoSpaceDE w:val="0"/>
              <w:autoSpaceDN w:val="0"/>
              <w:adjustRightInd w:val="0"/>
              <w:spacing w:line="400" w:lineRule="exact"/>
              <w:jc w:val="center"/>
              <w:rPr>
                <w:rFonts w:hint="eastAsia" w:ascii="黑体" w:hAnsi="黑体" w:eastAsia="黑体" w:cs="黑体"/>
                <w:b/>
                <w:bCs w:val="0"/>
                <w:color w:val="auto"/>
                <w:szCs w:val="21"/>
                <w:lang w:val="en-US" w:eastAsia="zh-CN"/>
              </w:rPr>
            </w:pPr>
          </w:p>
        </w:tc>
        <w:tc>
          <w:tcPr>
            <w:tcW w:w="1715" w:type="dxa"/>
            <w:vAlign w:val="center"/>
          </w:tcPr>
          <w:p w14:paraId="6A8A33DE">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645B76CA">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46DA2EC3">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162F66A8">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5E230D43">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248A8EEE">
            <w:pPr>
              <w:autoSpaceDE w:val="0"/>
              <w:autoSpaceDN w:val="0"/>
              <w:adjustRightInd w:val="0"/>
              <w:spacing w:line="400" w:lineRule="exact"/>
              <w:jc w:val="center"/>
              <w:rPr>
                <w:rFonts w:hint="eastAsia" w:ascii="黑体" w:hAnsi="黑体" w:eastAsia="黑体" w:cs="黑体"/>
                <w:bCs/>
                <w:color w:val="auto"/>
                <w:szCs w:val="21"/>
                <w:lang w:val="zh-CN"/>
              </w:rPr>
            </w:pPr>
          </w:p>
        </w:tc>
      </w:tr>
      <w:tr w14:paraId="030F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875" w:type="dxa"/>
            <w:vAlign w:val="center"/>
          </w:tcPr>
          <w:p w14:paraId="066A8AC8">
            <w:pPr>
              <w:autoSpaceDE w:val="0"/>
              <w:autoSpaceDN w:val="0"/>
              <w:adjustRightInd w:val="0"/>
              <w:spacing w:line="400" w:lineRule="exact"/>
              <w:jc w:val="center"/>
              <w:rPr>
                <w:rFonts w:hint="eastAsia" w:ascii="黑体" w:hAnsi="黑体" w:eastAsia="黑体" w:cs="黑体"/>
                <w:b/>
                <w:bCs w:val="0"/>
                <w:color w:val="auto"/>
                <w:szCs w:val="21"/>
                <w:lang w:val="zh-CN"/>
              </w:rPr>
            </w:pPr>
          </w:p>
        </w:tc>
        <w:tc>
          <w:tcPr>
            <w:tcW w:w="1715" w:type="dxa"/>
            <w:vAlign w:val="center"/>
          </w:tcPr>
          <w:p w14:paraId="23098E0A">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53C6A17F">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2F351AEF">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top"/>
          </w:tcPr>
          <w:p w14:paraId="3B252840">
            <w:pPr>
              <w:autoSpaceDE w:val="0"/>
              <w:autoSpaceDN w:val="0"/>
              <w:adjustRightInd w:val="0"/>
              <w:spacing w:line="400" w:lineRule="exact"/>
              <w:jc w:val="center"/>
              <w:rPr>
                <w:rFonts w:hint="eastAsia" w:ascii="黑体" w:hAnsi="黑体" w:eastAsia="黑体" w:cs="黑体"/>
                <w:bCs/>
                <w:color w:val="auto"/>
                <w:szCs w:val="21"/>
                <w:lang w:val="zh-CN"/>
              </w:rPr>
            </w:pPr>
          </w:p>
        </w:tc>
        <w:tc>
          <w:tcPr>
            <w:tcW w:w="1472" w:type="dxa"/>
            <w:vAlign w:val="center"/>
          </w:tcPr>
          <w:p w14:paraId="0E302778">
            <w:pPr>
              <w:autoSpaceDE w:val="0"/>
              <w:autoSpaceDN w:val="0"/>
              <w:adjustRightInd w:val="0"/>
              <w:spacing w:line="400" w:lineRule="exact"/>
              <w:jc w:val="center"/>
              <w:rPr>
                <w:rFonts w:hint="eastAsia" w:ascii="黑体" w:hAnsi="黑体" w:eastAsia="黑体" w:cs="黑体"/>
                <w:bCs/>
                <w:color w:val="auto"/>
                <w:szCs w:val="21"/>
                <w:lang w:val="zh-CN"/>
              </w:rPr>
            </w:pPr>
          </w:p>
        </w:tc>
        <w:tc>
          <w:tcPr>
            <w:tcW w:w="1473" w:type="dxa"/>
            <w:vAlign w:val="center"/>
          </w:tcPr>
          <w:p w14:paraId="4E0D55C9">
            <w:pPr>
              <w:autoSpaceDE w:val="0"/>
              <w:autoSpaceDN w:val="0"/>
              <w:adjustRightInd w:val="0"/>
              <w:spacing w:line="400" w:lineRule="exact"/>
              <w:jc w:val="center"/>
              <w:rPr>
                <w:rFonts w:hint="eastAsia" w:ascii="黑体" w:hAnsi="黑体" w:eastAsia="黑体" w:cs="黑体"/>
                <w:bCs/>
                <w:color w:val="auto"/>
                <w:szCs w:val="21"/>
                <w:lang w:val="zh-CN"/>
              </w:rPr>
            </w:pPr>
          </w:p>
        </w:tc>
      </w:tr>
    </w:tbl>
    <w:p w14:paraId="5D88519D">
      <w:pPr>
        <w:jc w:val="center"/>
        <w:rPr>
          <w:rFonts w:hint="eastAsia" w:ascii="黑体" w:hAnsi="黑体" w:eastAsia="黑体" w:cs="黑体"/>
          <w:color w:val="auto"/>
          <w:szCs w:val="21"/>
          <w:lang w:val="zh-CN"/>
        </w:rPr>
      </w:pPr>
    </w:p>
    <w:p w14:paraId="2F4FA2F1">
      <w:pPr>
        <w:keepNext w:val="0"/>
        <w:keepLines w:val="0"/>
        <w:widowControl w:val="0"/>
        <w:numPr>
          <w:ilvl w:val="0"/>
          <w:numId w:val="0"/>
        </w:numPr>
        <w:suppressLineNumbers w:val="0"/>
        <w:spacing w:before="0" w:beforeAutospacing="0" w:after="0" w:afterAutospacing="0" w:line="360" w:lineRule="auto"/>
        <w:ind w:leftChars="0" w:right="-418" w:rightChars="-199"/>
        <w:jc w:val="both"/>
        <w:rPr>
          <w:rFonts w:hint="eastAsia" w:ascii="黑体" w:hAnsi="黑体" w:eastAsia="黑体" w:cs="黑体"/>
          <w:b w:val="0"/>
          <w:bCs/>
          <w:color w:val="auto"/>
          <w:kern w:val="2"/>
          <w:sz w:val="21"/>
          <w:szCs w:val="21"/>
          <w:lang w:val="zh-CN" w:eastAsia="zh-CN" w:bidi="ar-SA"/>
        </w:rPr>
      </w:pPr>
      <w:r>
        <w:rPr>
          <w:rFonts w:hint="eastAsia" w:ascii="黑体" w:hAnsi="黑体" w:eastAsia="黑体" w:cs="黑体"/>
          <w:b w:val="0"/>
          <w:bCs/>
          <w:color w:val="auto"/>
          <w:kern w:val="2"/>
          <w:sz w:val="21"/>
          <w:szCs w:val="21"/>
          <w:lang w:val="zh-CN" w:eastAsia="zh-CN" w:bidi="ar-SA"/>
        </w:rPr>
        <w:t>注：附</w:t>
      </w:r>
      <w:r>
        <w:rPr>
          <w:rFonts w:hint="eastAsia" w:ascii="黑体" w:hAnsi="黑体" w:eastAsia="黑体" w:cs="黑体"/>
          <w:b w:val="0"/>
          <w:bCs/>
          <w:color w:val="auto"/>
          <w:sz w:val="21"/>
          <w:szCs w:val="21"/>
          <w:lang w:val="zh-CN"/>
        </w:rPr>
        <w:t>项目团队人员</w:t>
      </w:r>
      <w:r>
        <w:rPr>
          <w:rFonts w:hint="eastAsia" w:ascii="黑体" w:hAnsi="黑体" w:eastAsia="黑体" w:cs="黑体"/>
          <w:b w:val="0"/>
          <w:bCs/>
          <w:color w:val="auto"/>
          <w:kern w:val="2"/>
          <w:sz w:val="21"/>
          <w:szCs w:val="21"/>
          <w:lang w:val="zh-CN" w:eastAsia="zh-CN" w:bidi="ar-SA"/>
        </w:rPr>
        <w:t>相关证件证明材料（</w:t>
      </w:r>
      <w:r>
        <w:rPr>
          <w:rFonts w:hint="eastAsia" w:ascii="黑体" w:hAnsi="黑体" w:eastAsia="黑体" w:cs="黑体"/>
          <w:b w:val="0"/>
          <w:bCs/>
          <w:color w:val="auto"/>
          <w:kern w:val="2"/>
          <w:sz w:val="21"/>
          <w:szCs w:val="21"/>
          <w:lang w:val="en-US" w:eastAsia="zh-CN" w:bidi="ar-SA"/>
        </w:rPr>
        <w:t>身份证、相关证书等</w:t>
      </w:r>
      <w:r>
        <w:rPr>
          <w:rFonts w:hint="eastAsia" w:ascii="黑体" w:hAnsi="黑体" w:eastAsia="黑体" w:cs="黑体"/>
          <w:b w:val="0"/>
          <w:bCs/>
          <w:color w:val="auto"/>
          <w:kern w:val="2"/>
          <w:sz w:val="21"/>
          <w:szCs w:val="21"/>
          <w:lang w:val="zh-CN" w:eastAsia="zh-CN" w:bidi="ar-SA"/>
        </w:rPr>
        <w:t>）复印件加盖企业公章。</w:t>
      </w:r>
      <w:bookmarkStart w:id="179" w:name="_Toc222232444"/>
    </w:p>
    <w:p w14:paraId="06D42B04">
      <w:pPr>
        <w:keepNext w:val="0"/>
        <w:keepLines w:val="0"/>
        <w:widowControl w:val="0"/>
        <w:numPr>
          <w:ilvl w:val="0"/>
          <w:numId w:val="0"/>
        </w:numPr>
        <w:suppressLineNumbers w:val="0"/>
        <w:spacing w:before="0" w:beforeAutospacing="0" w:after="0" w:afterAutospacing="0" w:line="360" w:lineRule="auto"/>
        <w:ind w:leftChars="0" w:right="-418" w:rightChars="-199"/>
        <w:jc w:val="both"/>
        <w:rPr>
          <w:rFonts w:hint="eastAsia" w:ascii="黑体" w:hAnsi="黑体" w:eastAsia="黑体" w:cs="黑体"/>
          <w:b w:val="0"/>
          <w:bCs/>
          <w:color w:val="auto"/>
          <w:kern w:val="2"/>
          <w:sz w:val="21"/>
          <w:szCs w:val="21"/>
          <w:lang w:val="zh-CN" w:eastAsia="zh-CN" w:bidi="ar-SA"/>
        </w:rPr>
        <w:sectPr>
          <w:pgSz w:w="11906" w:h="16838"/>
          <w:pgMar w:top="1304" w:right="1134" w:bottom="1304" w:left="1134" w:header="851" w:footer="992" w:gutter="0"/>
          <w:pgNumType w:fmt="decimal"/>
          <w:cols w:space="720" w:num="1"/>
          <w:titlePg/>
          <w:docGrid w:type="lines" w:linePitch="312" w:charSpace="0"/>
        </w:sectPr>
      </w:pPr>
    </w:p>
    <w:bookmarkEnd w:id="179"/>
    <w:p w14:paraId="228BA1FD">
      <w:pPr>
        <w:widowControl/>
        <w:autoSpaceDE w:val="0"/>
        <w:autoSpaceDN w:val="0"/>
        <w:adjustRightInd w:val="0"/>
        <w:spacing w:line="400" w:lineRule="exact"/>
        <w:jc w:val="center"/>
        <w:outlineLvl w:val="1"/>
        <w:rPr>
          <w:rFonts w:hint="eastAsia" w:ascii="黑体" w:hAnsi="黑体" w:eastAsia="黑体" w:cs="黑体"/>
          <w:b/>
          <w:color w:val="auto"/>
          <w:kern w:val="0"/>
          <w:sz w:val="32"/>
          <w:szCs w:val="18"/>
          <w:highlight w:val="none"/>
        </w:rPr>
      </w:pPr>
      <w:bookmarkStart w:id="180" w:name="_Toc10616"/>
      <w:bookmarkStart w:id="181" w:name="_Toc56"/>
      <w:r>
        <w:rPr>
          <w:rFonts w:hint="eastAsia" w:ascii="黑体" w:hAnsi="黑体" w:eastAsia="黑体" w:cs="黑体"/>
          <w:b/>
          <w:color w:val="auto"/>
          <w:kern w:val="0"/>
          <w:sz w:val="32"/>
          <w:szCs w:val="18"/>
          <w:highlight w:val="none"/>
          <w:lang w:val="en-US" w:eastAsia="zh-CN"/>
        </w:rPr>
        <w:t>九</w:t>
      </w:r>
      <w:r>
        <w:rPr>
          <w:rFonts w:hint="eastAsia" w:ascii="黑体" w:hAnsi="黑体" w:eastAsia="黑体" w:cs="黑体"/>
          <w:b/>
          <w:color w:val="auto"/>
          <w:kern w:val="0"/>
          <w:sz w:val="32"/>
          <w:szCs w:val="18"/>
          <w:highlight w:val="none"/>
          <w:lang w:val="zh-CN"/>
        </w:rPr>
        <w:t>、供应商认为需提供的其他材料</w:t>
      </w:r>
      <w:bookmarkEnd w:id="174"/>
      <w:bookmarkEnd w:id="175"/>
      <w:bookmarkEnd w:id="180"/>
      <w:bookmarkEnd w:id="181"/>
    </w:p>
    <w:p w14:paraId="4B4CB762">
      <w:pPr>
        <w:widowControl/>
        <w:autoSpaceDE w:val="0"/>
        <w:autoSpaceDN w:val="0"/>
        <w:adjustRightInd w:val="0"/>
        <w:spacing w:line="400" w:lineRule="exact"/>
        <w:jc w:val="center"/>
        <w:rPr>
          <w:rFonts w:hint="eastAsia" w:ascii="黑体" w:hAnsi="黑体" w:eastAsia="黑体" w:cs="黑体"/>
          <w:bCs/>
          <w:color w:val="auto"/>
          <w:kern w:val="0"/>
          <w:szCs w:val="21"/>
          <w:highlight w:val="none"/>
        </w:rPr>
      </w:pPr>
    </w:p>
    <w:p w14:paraId="7D1B2A5E">
      <w:pPr>
        <w:spacing w:line="400" w:lineRule="exact"/>
        <w:ind w:firstLine="480" w:firstLineChars="200"/>
        <w:rPr>
          <w:rFonts w:hint="eastAsia" w:ascii="黑体" w:hAnsi="黑体" w:eastAsia="黑体" w:cs="黑体"/>
          <w:color w:val="auto"/>
          <w:sz w:val="24"/>
          <w:highlight w:val="none"/>
          <w:lang w:val="zh-CN"/>
        </w:rPr>
        <w:sectPr>
          <w:pgSz w:w="11906" w:h="16838"/>
          <w:pgMar w:top="1304" w:right="1134" w:bottom="1304" w:left="1134" w:header="851" w:footer="992" w:gutter="0"/>
          <w:pgNumType w:fmt="decimal"/>
          <w:cols w:space="720" w:num="1"/>
          <w:titlePg/>
          <w:docGrid w:type="lines" w:linePitch="312" w:charSpace="0"/>
        </w:sectPr>
      </w:pPr>
      <w:r>
        <w:rPr>
          <w:rFonts w:hint="eastAsia" w:ascii="黑体" w:hAnsi="黑体" w:eastAsia="黑体" w:cs="黑体"/>
          <w:color w:val="auto"/>
          <w:sz w:val="24"/>
          <w:highlight w:val="none"/>
          <w:lang w:val="zh-CN"/>
        </w:rPr>
        <w:t>磋商文件中要求的其他证明资料或磋商单位认为针对本项目有必要提供的资料附后</w:t>
      </w:r>
    </w:p>
    <w:bookmarkEnd w:id="129"/>
    <w:bookmarkEnd w:id="130"/>
    <w:bookmarkEnd w:id="131"/>
    <w:bookmarkEnd w:id="132"/>
    <w:bookmarkEnd w:id="133"/>
    <w:bookmarkEnd w:id="134"/>
    <w:p w14:paraId="656E7B66">
      <w:pPr>
        <w:pStyle w:val="16"/>
        <w:ind w:left="0" w:leftChars="0" w:firstLine="0" w:firstLineChars="0"/>
        <w:outlineLvl w:val="2"/>
        <w:rPr>
          <w:rFonts w:hint="eastAsia" w:ascii="黑体" w:hAnsi="黑体" w:eastAsia="黑体" w:cs="黑体"/>
          <w:color w:val="auto"/>
          <w:highlight w:val="none"/>
          <w:lang w:val="en-US" w:eastAsia="zh-CN"/>
        </w:rPr>
      </w:pPr>
      <w:bookmarkStart w:id="182" w:name="_Toc6628"/>
      <w:r>
        <w:rPr>
          <w:rFonts w:hint="eastAsia" w:ascii="黑体" w:hAnsi="黑体" w:eastAsia="黑体" w:cs="黑体"/>
          <w:color w:val="auto"/>
          <w:highlight w:val="none"/>
          <w:lang w:eastAsia="zh-CN"/>
        </w:rPr>
        <w:t>附</w:t>
      </w:r>
      <w:r>
        <w:rPr>
          <w:rFonts w:hint="eastAsia" w:ascii="黑体" w:hAnsi="黑体" w:eastAsia="黑体" w:cs="黑体"/>
          <w:color w:val="auto"/>
          <w:highlight w:val="none"/>
          <w:lang w:val="en-US" w:eastAsia="zh-CN"/>
        </w:rPr>
        <w:t>1、中小企业声明函</w:t>
      </w:r>
      <w:bookmarkEnd w:id="182"/>
    </w:p>
    <w:p w14:paraId="761D6028">
      <w:pPr>
        <w:snapToGrid/>
        <w:spacing w:before="0" w:beforeAutospacing="0" w:after="0" w:afterAutospacing="0" w:line="240" w:lineRule="auto"/>
        <w:jc w:val="center"/>
        <w:textAlignment w:val="baseline"/>
        <w:rPr>
          <w:rFonts w:hint="eastAsia" w:ascii="黑体" w:hAnsi="黑体" w:eastAsia="黑体" w:cs="黑体"/>
          <w:b/>
          <w:bCs/>
          <w:i w:val="0"/>
          <w:caps w:val="0"/>
          <w:color w:val="auto"/>
          <w:spacing w:val="0"/>
          <w:w w:val="100"/>
          <w:sz w:val="32"/>
          <w:szCs w:val="32"/>
          <w:highlight w:val="none"/>
          <w:lang w:eastAsia="zh-CN"/>
        </w:rPr>
      </w:pPr>
      <w:r>
        <w:rPr>
          <w:rFonts w:hint="eastAsia" w:ascii="黑体" w:hAnsi="黑体" w:eastAsia="黑体" w:cs="黑体"/>
          <w:b/>
          <w:bCs/>
          <w:i w:val="0"/>
          <w:caps w:val="0"/>
          <w:color w:val="auto"/>
          <w:spacing w:val="0"/>
          <w:w w:val="100"/>
          <w:sz w:val="32"/>
          <w:szCs w:val="32"/>
          <w:highlight w:val="none"/>
          <w:lang w:eastAsia="zh-CN"/>
        </w:rPr>
        <w:t>中小企业声明函</w:t>
      </w:r>
    </w:p>
    <w:p w14:paraId="5F96A3F5">
      <w:pPr>
        <w:pStyle w:val="7"/>
        <w:snapToGrid/>
        <w:spacing w:before="0" w:beforeAutospacing="0" w:after="120" w:afterAutospacing="0" w:line="360" w:lineRule="auto"/>
        <w:ind w:left="0" w:right="0" w:firstLine="420" w:firstLineChars="200"/>
        <w:jc w:val="both"/>
        <w:textAlignment w:val="baseline"/>
        <w:rPr>
          <w:rFonts w:hint="eastAsia" w:ascii="黑体" w:hAnsi="黑体" w:eastAsia="黑体" w:cs="黑体"/>
          <w:b w:val="0"/>
          <w:i w:val="0"/>
          <w:caps w:val="0"/>
          <w:color w:val="auto"/>
          <w:spacing w:val="0"/>
          <w:w w:val="100"/>
          <w:sz w:val="21"/>
          <w:highlight w:val="none"/>
        </w:rPr>
      </w:pPr>
    </w:p>
    <w:p w14:paraId="4280F2B2">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val="0"/>
          <w:caps w:val="0"/>
          <w:color w:val="auto"/>
          <w:spacing w:val="0"/>
          <w:w w:val="100"/>
          <w:sz w:val="21"/>
          <w:szCs w:val="21"/>
          <w:highlight w:val="none"/>
        </w:rPr>
        <w:t>本公司（联合体）郑重声明，根据《政府采购促进中小企业发展管理办法》（财库﹝2020﹞46号）的规定，本公司（联合体）参加</w:t>
      </w:r>
      <w:r>
        <w:rPr>
          <w:rFonts w:hint="eastAsia" w:ascii="黑体" w:hAnsi="黑体" w:eastAsia="黑体" w:cs="黑体"/>
          <w:b w:val="0"/>
          <w:i/>
          <w:caps w:val="0"/>
          <w:color w:val="auto"/>
          <w:spacing w:val="0"/>
          <w:w w:val="100"/>
          <w:sz w:val="21"/>
          <w:szCs w:val="21"/>
          <w:highlight w:val="none"/>
          <w:u w:val="single" w:color="000000"/>
        </w:rPr>
        <w:t>（单位名称）</w:t>
      </w:r>
      <w:r>
        <w:rPr>
          <w:rFonts w:hint="eastAsia" w:ascii="黑体" w:hAnsi="黑体" w:eastAsia="黑体" w:cs="黑体"/>
          <w:b w:val="0"/>
          <w:i w:val="0"/>
          <w:caps w:val="0"/>
          <w:color w:val="auto"/>
          <w:spacing w:val="0"/>
          <w:w w:val="100"/>
          <w:sz w:val="21"/>
          <w:szCs w:val="21"/>
          <w:highlight w:val="none"/>
        </w:rPr>
        <w:t>的</w:t>
      </w:r>
      <w:r>
        <w:rPr>
          <w:rFonts w:hint="eastAsia" w:ascii="黑体" w:hAnsi="黑体" w:eastAsia="黑体" w:cs="黑体"/>
          <w:b w:val="0"/>
          <w:i/>
          <w:caps w:val="0"/>
          <w:color w:val="auto"/>
          <w:spacing w:val="0"/>
          <w:w w:val="100"/>
          <w:sz w:val="21"/>
          <w:szCs w:val="21"/>
          <w:highlight w:val="none"/>
          <w:u w:val="single" w:color="000000"/>
        </w:rPr>
        <w:t>（项目名称）</w:t>
      </w:r>
      <w:r>
        <w:rPr>
          <w:rFonts w:hint="eastAsia" w:ascii="黑体" w:hAnsi="黑体" w:eastAsia="黑体" w:cs="黑体"/>
          <w:b w:val="0"/>
          <w:i w:val="0"/>
          <w:caps w:val="0"/>
          <w:color w:val="auto"/>
          <w:spacing w:val="0"/>
          <w:w w:val="100"/>
          <w:sz w:val="21"/>
          <w:szCs w:val="21"/>
          <w:highlight w:val="none"/>
        </w:rPr>
        <w:t>采购活动，</w:t>
      </w:r>
      <w:r>
        <w:rPr>
          <w:rFonts w:hint="eastAsia" w:ascii="黑体" w:hAnsi="黑体" w:eastAsia="黑体" w:cs="黑体"/>
          <w:b w:val="0"/>
          <w:i w:val="0"/>
          <w:caps w:val="0"/>
          <w:color w:val="auto"/>
          <w:spacing w:val="0"/>
          <w:w w:val="100"/>
          <w:sz w:val="21"/>
          <w:szCs w:val="21"/>
          <w:highlight w:val="none"/>
          <w:lang w:val="en-US" w:eastAsia="zh-CN"/>
        </w:rPr>
        <w:t>工程的施工单位全部为符合政策要求的中小企业</w:t>
      </w:r>
      <w:r>
        <w:rPr>
          <w:rFonts w:hint="eastAsia" w:ascii="黑体" w:hAnsi="黑体" w:eastAsia="黑体" w:cs="黑体"/>
          <w:b w:val="0"/>
          <w:i w:val="0"/>
          <w:caps w:val="0"/>
          <w:color w:val="auto"/>
          <w:spacing w:val="0"/>
          <w:w w:val="100"/>
          <w:sz w:val="21"/>
          <w:szCs w:val="21"/>
          <w:highlight w:val="none"/>
          <w:lang w:eastAsia="zh-CN"/>
        </w:rPr>
        <w:t>（</w:t>
      </w:r>
      <w:r>
        <w:rPr>
          <w:rFonts w:hint="eastAsia" w:ascii="黑体" w:hAnsi="黑体" w:eastAsia="黑体" w:cs="黑体"/>
          <w:b w:val="0"/>
          <w:i w:val="0"/>
          <w:caps w:val="0"/>
          <w:color w:val="auto"/>
          <w:spacing w:val="0"/>
          <w:w w:val="100"/>
          <w:sz w:val="21"/>
          <w:szCs w:val="21"/>
          <w:highlight w:val="none"/>
          <w:lang w:val="en-US" w:eastAsia="zh-CN"/>
        </w:rPr>
        <w:t>或者：</w:t>
      </w:r>
      <w:r>
        <w:rPr>
          <w:rFonts w:hint="eastAsia" w:ascii="黑体" w:hAnsi="黑体" w:eastAsia="黑体" w:cs="黑体"/>
          <w:b w:val="0"/>
          <w:i w:val="0"/>
          <w:caps w:val="0"/>
          <w:color w:val="auto"/>
          <w:spacing w:val="0"/>
          <w:w w:val="100"/>
          <w:sz w:val="21"/>
          <w:szCs w:val="21"/>
          <w:highlight w:val="none"/>
        </w:rPr>
        <w:t>服务全部由符合政策要求的中小企业承接</w:t>
      </w:r>
      <w:r>
        <w:rPr>
          <w:rFonts w:hint="eastAsia" w:ascii="黑体" w:hAnsi="黑体" w:eastAsia="黑体" w:cs="黑体"/>
          <w:b w:val="0"/>
          <w:i w:val="0"/>
          <w:caps w:val="0"/>
          <w:color w:val="auto"/>
          <w:spacing w:val="0"/>
          <w:w w:val="100"/>
          <w:sz w:val="21"/>
          <w:szCs w:val="21"/>
          <w:highlight w:val="none"/>
          <w:lang w:eastAsia="zh-CN"/>
        </w:rPr>
        <w:t>）</w:t>
      </w:r>
      <w:r>
        <w:rPr>
          <w:rFonts w:hint="eastAsia" w:ascii="黑体" w:hAnsi="黑体" w:eastAsia="黑体" w:cs="黑体"/>
          <w:b w:val="0"/>
          <w:i w:val="0"/>
          <w:caps w:val="0"/>
          <w:color w:val="auto"/>
          <w:spacing w:val="0"/>
          <w:w w:val="100"/>
          <w:sz w:val="21"/>
          <w:szCs w:val="21"/>
          <w:highlight w:val="none"/>
        </w:rPr>
        <w:t>。相关企业（含联合体中的中小企业、签订分包意向协议的中小企业）的具体情况如下：</w:t>
      </w:r>
    </w:p>
    <w:p w14:paraId="623C4CE5">
      <w:pPr>
        <w:pStyle w:val="25"/>
        <w:keepNext w:val="0"/>
        <w:keepLines w:val="0"/>
        <w:pageBreakBefore w:val="0"/>
        <w:widowControl w:val="0"/>
        <w:tabs>
          <w:tab w:val="left" w:pos="1106"/>
          <w:tab w:val="left" w:pos="2847"/>
          <w:tab w:val="left" w:pos="4971"/>
        </w:tabs>
        <w:kinsoku/>
        <w:wordWrap/>
        <w:overflowPunct/>
        <w:topLinePunct w:val="0"/>
        <w:autoSpaceDE/>
        <w:autoSpaceDN/>
        <w:bidi w:val="0"/>
        <w:adjustRightInd/>
        <w:snapToGrid w:val="0"/>
        <w:spacing w:before="0" w:beforeAutospacing="0" w:afterAutospacing="0" w:line="480" w:lineRule="auto"/>
        <w:ind w:left="0" w:leftChars="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caps w:val="0"/>
          <w:color w:val="auto"/>
          <w:spacing w:val="0"/>
          <w:w w:val="100"/>
          <w:sz w:val="21"/>
          <w:szCs w:val="21"/>
          <w:highlight w:val="none"/>
          <w:lang w:val="en-US" w:eastAsia="zh-CN"/>
        </w:rPr>
        <w:t>1.</w:t>
      </w:r>
      <w:r>
        <w:rPr>
          <w:rFonts w:hint="eastAsia" w:ascii="黑体" w:hAnsi="黑体" w:eastAsia="黑体" w:cs="黑体"/>
          <w:b w:val="0"/>
          <w:i/>
          <w:caps w:val="0"/>
          <w:color w:val="auto"/>
          <w:spacing w:val="0"/>
          <w:w w:val="100"/>
          <w:sz w:val="21"/>
          <w:szCs w:val="21"/>
          <w:highlight w:val="none"/>
        </w:rPr>
        <w:t>（</w:t>
      </w:r>
      <w:r>
        <w:rPr>
          <w:rFonts w:hint="eastAsia" w:ascii="黑体" w:hAnsi="黑体" w:eastAsia="黑体" w:cs="黑体"/>
          <w:b w:val="0"/>
          <w:i/>
          <w:caps w:val="0"/>
          <w:color w:val="auto"/>
          <w:spacing w:val="0"/>
          <w:w w:val="100"/>
          <w:sz w:val="21"/>
          <w:szCs w:val="21"/>
          <w:highlight w:val="none"/>
          <w:u w:val="single" w:color="000000"/>
        </w:rPr>
        <w:t>标的名称）</w:t>
      </w:r>
      <w:r>
        <w:rPr>
          <w:rFonts w:hint="eastAsia" w:ascii="黑体" w:hAnsi="黑体" w:eastAsia="黑体" w:cs="黑体"/>
          <w:b w:val="0"/>
          <w:i w:val="0"/>
          <w:caps w:val="0"/>
          <w:color w:val="auto"/>
          <w:spacing w:val="0"/>
          <w:w w:val="100"/>
          <w:sz w:val="21"/>
          <w:szCs w:val="21"/>
          <w:highlight w:val="none"/>
        </w:rPr>
        <w:t>，属于</w:t>
      </w:r>
      <w:r>
        <w:rPr>
          <w:rFonts w:hint="eastAsia" w:ascii="黑体" w:hAnsi="黑体" w:eastAsia="黑体" w:cs="黑体"/>
          <w:b w:val="0"/>
          <w:i/>
          <w:caps w:val="0"/>
          <w:color w:val="auto"/>
          <w:spacing w:val="0"/>
          <w:w w:val="100"/>
          <w:sz w:val="21"/>
          <w:szCs w:val="21"/>
          <w:highlight w:val="none"/>
          <w:u w:val="single" w:color="000000"/>
        </w:rPr>
        <w:t>（采购文件中明确的所属行业）</w:t>
      </w:r>
      <w:r>
        <w:rPr>
          <w:rFonts w:hint="eastAsia" w:ascii="黑体" w:hAnsi="黑体" w:eastAsia="黑体" w:cs="黑体"/>
          <w:b w:val="0"/>
          <w:i w:val="0"/>
          <w:caps w:val="0"/>
          <w:color w:val="auto"/>
          <w:spacing w:val="0"/>
          <w:w w:val="100"/>
          <w:sz w:val="21"/>
          <w:szCs w:val="21"/>
          <w:highlight w:val="none"/>
        </w:rPr>
        <w:t>行业；承</w:t>
      </w:r>
      <w:r>
        <w:rPr>
          <w:rFonts w:hint="eastAsia" w:ascii="黑体" w:hAnsi="黑体" w:eastAsia="黑体" w:cs="黑体"/>
          <w:b w:val="0"/>
          <w:i w:val="0"/>
          <w:caps w:val="0"/>
          <w:color w:val="auto"/>
          <w:spacing w:val="0"/>
          <w:w w:val="100"/>
          <w:sz w:val="21"/>
          <w:szCs w:val="21"/>
          <w:highlight w:val="none"/>
          <w:lang w:val="en-US" w:eastAsia="zh-CN"/>
        </w:rPr>
        <w:t>建</w:t>
      </w:r>
      <w:r>
        <w:rPr>
          <w:rFonts w:hint="eastAsia" w:ascii="黑体" w:hAnsi="黑体" w:eastAsia="黑体" w:cs="黑体"/>
          <w:b w:val="0"/>
          <w:i w:val="0"/>
          <w:caps w:val="0"/>
          <w:color w:val="auto"/>
          <w:spacing w:val="0"/>
          <w:w w:val="100"/>
          <w:sz w:val="21"/>
          <w:szCs w:val="21"/>
          <w:highlight w:val="none"/>
        </w:rPr>
        <w:t>（</w:t>
      </w:r>
      <w:r>
        <w:rPr>
          <w:rFonts w:hint="eastAsia" w:ascii="黑体" w:hAnsi="黑体" w:eastAsia="黑体" w:cs="黑体"/>
          <w:b w:val="0"/>
          <w:i w:val="0"/>
          <w:caps w:val="0"/>
          <w:color w:val="auto"/>
          <w:spacing w:val="0"/>
          <w:w w:val="100"/>
          <w:sz w:val="21"/>
          <w:szCs w:val="21"/>
          <w:highlight w:val="none"/>
          <w:lang w:val="en-US" w:eastAsia="zh-CN"/>
        </w:rPr>
        <w:t>承接</w:t>
      </w:r>
      <w:r>
        <w:rPr>
          <w:rFonts w:hint="eastAsia" w:ascii="黑体" w:hAnsi="黑体" w:eastAsia="黑体" w:cs="黑体"/>
          <w:b w:val="0"/>
          <w:i w:val="0"/>
          <w:caps w:val="0"/>
          <w:color w:val="auto"/>
          <w:spacing w:val="0"/>
          <w:w w:val="100"/>
          <w:sz w:val="21"/>
          <w:szCs w:val="21"/>
          <w:highlight w:val="none"/>
        </w:rPr>
        <w:t>）企业为</w:t>
      </w:r>
      <w:r>
        <w:rPr>
          <w:rFonts w:hint="eastAsia" w:ascii="黑体" w:hAnsi="黑体" w:eastAsia="黑体" w:cs="黑体"/>
          <w:b w:val="0"/>
          <w:i/>
          <w:caps w:val="0"/>
          <w:color w:val="auto"/>
          <w:spacing w:val="0"/>
          <w:w w:val="100"/>
          <w:sz w:val="21"/>
          <w:szCs w:val="21"/>
          <w:highlight w:val="none"/>
          <w:u w:val="single" w:color="000000"/>
        </w:rPr>
        <w:t>（企业名称）</w:t>
      </w:r>
      <w:r>
        <w:rPr>
          <w:rFonts w:hint="eastAsia" w:ascii="黑体" w:hAnsi="黑体" w:eastAsia="黑体" w:cs="黑体"/>
          <w:b w:val="0"/>
          <w:i w:val="0"/>
          <w:caps w:val="0"/>
          <w:color w:val="auto"/>
          <w:spacing w:val="0"/>
          <w:w w:val="100"/>
          <w:sz w:val="21"/>
          <w:szCs w:val="21"/>
          <w:highlight w:val="none"/>
        </w:rPr>
        <w:t>，从业人员</w:t>
      </w:r>
      <w:r>
        <w:rPr>
          <w:rFonts w:hint="eastAsia" w:ascii="黑体" w:hAnsi="黑体" w:eastAsia="黑体" w:cs="黑体"/>
          <w:b w:val="0"/>
          <w:i w:val="0"/>
          <w:caps w:val="0"/>
          <w:color w:val="auto"/>
          <w:spacing w:val="0"/>
          <w:w w:val="100"/>
          <w:sz w:val="21"/>
          <w:szCs w:val="21"/>
          <w:highlight w:val="none"/>
          <w:u w:val="single" w:color="000000"/>
        </w:rPr>
        <w:tab/>
      </w:r>
      <w:r>
        <w:rPr>
          <w:rFonts w:hint="eastAsia" w:ascii="黑体" w:hAnsi="黑体" w:eastAsia="黑体" w:cs="黑体"/>
          <w:b w:val="0"/>
          <w:i w:val="0"/>
          <w:caps w:val="0"/>
          <w:color w:val="auto"/>
          <w:spacing w:val="0"/>
          <w:w w:val="100"/>
          <w:sz w:val="21"/>
          <w:szCs w:val="21"/>
          <w:highlight w:val="none"/>
        </w:rPr>
        <w:t>人，营业收入为</w:t>
      </w:r>
      <w:r>
        <w:rPr>
          <w:rFonts w:hint="eastAsia" w:ascii="黑体" w:hAnsi="黑体" w:eastAsia="黑体" w:cs="黑体"/>
          <w:b w:val="0"/>
          <w:i w:val="0"/>
          <w:caps w:val="0"/>
          <w:color w:val="auto"/>
          <w:spacing w:val="0"/>
          <w:w w:val="100"/>
          <w:sz w:val="21"/>
          <w:szCs w:val="21"/>
          <w:highlight w:val="none"/>
          <w:u w:val="single" w:color="000000"/>
        </w:rPr>
        <w:tab/>
      </w:r>
      <w:r>
        <w:rPr>
          <w:rFonts w:hint="eastAsia" w:ascii="黑体" w:hAnsi="黑体" w:eastAsia="黑体" w:cs="黑体"/>
          <w:b w:val="0"/>
          <w:i w:val="0"/>
          <w:caps w:val="0"/>
          <w:color w:val="auto"/>
          <w:spacing w:val="0"/>
          <w:w w:val="100"/>
          <w:sz w:val="21"/>
          <w:szCs w:val="21"/>
          <w:highlight w:val="none"/>
        </w:rPr>
        <w:t>万元，资产总额为</w:t>
      </w:r>
      <w:r>
        <w:rPr>
          <w:rFonts w:hint="eastAsia" w:ascii="黑体" w:hAnsi="黑体" w:eastAsia="黑体" w:cs="黑体"/>
          <w:b w:val="0"/>
          <w:i w:val="0"/>
          <w:caps w:val="0"/>
          <w:color w:val="auto"/>
          <w:spacing w:val="0"/>
          <w:w w:val="100"/>
          <w:sz w:val="21"/>
          <w:szCs w:val="21"/>
          <w:highlight w:val="none"/>
          <w:u w:val="single" w:color="000000"/>
        </w:rPr>
        <w:tab/>
      </w:r>
      <w:r>
        <w:rPr>
          <w:rFonts w:hint="eastAsia" w:ascii="黑体" w:hAnsi="黑体" w:eastAsia="黑体" w:cs="黑体"/>
          <w:b w:val="0"/>
          <w:i w:val="0"/>
          <w:caps w:val="0"/>
          <w:color w:val="auto"/>
          <w:spacing w:val="0"/>
          <w:w w:val="100"/>
          <w:sz w:val="21"/>
          <w:szCs w:val="21"/>
          <w:highlight w:val="none"/>
        </w:rPr>
        <w:t>万元</w:t>
      </w:r>
      <w:r>
        <w:rPr>
          <w:rFonts w:hint="eastAsia" w:ascii="黑体" w:hAnsi="黑体" w:eastAsia="黑体" w:cs="黑体"/>
          <w:b w:val="0"/>
          <w:i w:val="0"/>
          <w:caps w:val="0"/>
          <w:color w:val="auto"/>
          <w:spacing w:val="0"/>
          <w:w w:val="100"/>
          <w:sz w:val="21"/>
          <w:szCs w:val="21"/>
          <w:highlight w:val="none"/>
          <w:vertAlign w:val="superscript"/>
          <w:lang w:val="en-US" w:eastAsia="zh-CN"/>
        </w:rPr>
        <w:t>2</w:t>
      </w:r>
      <w:r>
        <w:rPr>
          <w:rFonts w:hint="eastAsia" w:ascii="黑体" w:hAnsi="黑体" w:eastAsia="黑体" w:cs="黑体"/>
          <w:b w:val="0"/>
          <w:i w:val="0"/>
          <w:caps w:val="0"/>
          <w:color w:val="auto"/>
          <w:spacing w:val="0"/>
          <w:w w:val="100"/>
          <w:sz w:val="21"/>
          <w:szCs w:val="21"/>
          <w:highlight w:val="none"/>
        </w:rPr>
        <w:t>，属于</w:t>
      </w:r>
      <w:r>
        <w:rPr>
          <w:rFonts w:hint="eastAsia" w:ascii="黑体" w:hAnsi="黑体" w:eastAsia="黑体" w:cs="黑体"/>
          <w:b w:val="0"/>
          <w:i/>
          <w:caps w:val="0"/>
          <w:color w:val="auto"/>
          <w:spacing w:val="0"/>
          <w:w w:val="100"/>
          <w:sz w:val="21"/>
          <w:szCs w:val="21"/>
          <w:highlight w:val="none"/>
          <w:u w:val="single" w:color="000000"/>
        </w:rPr>
        <w:t>（中型企业、小</w:t>
      </w:r>
      <w:r>
        <w:rPr>
          <w:rFonts w:hint="eastAsia" w:ascii="黑体" w:hAnsi="黑体" w:eastAsia="黑体" w:cs="黑体"/>
          <w:b w:val="0"/>
          <w:i w:val="0"/>
          <w:caps w:val="0"/>
          <w:color w:val="auto"/>
          <w:spacing w:val="0"/>
          <w:w w:val="100"/>
          <w:sz w:val="21"/>
          <w:szCs w:val="21"/>
          <w:highlight w:val="none"/>
          <w:u w:val="single" w:color="000000"/>
        </w:rPr>
        <w:t>型企业、微型企业）</w:t>
      </w:r>
      <w:r>
        <w:rPr>
          <w:rFonts w:hint="eastAsia" w:ascii="黑体" w:hAnsi="黑体" w:eastAsia="黑体" w:cs="黑体"/>
          <w:b w:val="0"/>
          <w:i w:val="0"/>
          <w:caps w:val="0"/>
          <w:color w:val="auto"/>
          <w:spacing w:val="0"/>
          <w:w w:val="100"/>
          <w:sz w:val="21"/>
          <w:szCs w:val="21"/>
          <w:highlight w:val="none"/>
        </w:rPr>
        <w:t>；</w:t>
      </w:r>
    </w:p>
    <w:p w14:paraId="563EAFF1">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val="0"/>
          <w:caps w:val="0"/>
          <w:color w:val="auto"/>
          <w:spacing w:val="0"/>
          <w:w w:val="100"/>
          <w:sz w:val="21"/>
          <w:szCs w:val="21"/>
          <w:highlight w:val="none"/>
        </w:rPr>
        <w:t>以上企业，不属于大企业的分支机构，不存在控股股东为大企业的情形，也不存在与大企业的负责人为同一人的情形。</w:t>
      </w:r>
    </w:p>
    <w:p w14:paraId="1CFE3724">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val="0"/>
          <w:caps w:val="0"/>
          <w:color w:val="auto"/>
          <w:spacing w:val="0"/>
          <w:w w:val="100"/>
          <w:sz w:val="21"/>
          <w:szCs w:val="21"/>
          <w:highlight w:val="none"/>
        </w:rPr>
        <w:t>本企业对上述声明内容的真实性负责。如有虚假，将依法承担相应责任。</w:t>
      </w:r>
    </w:p>
    <w:p w14:paraId="386B2303">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val="0"/>
          <w:caps w:val="0"/>
          <w:color w:val="auto"/>
          <w:spacing w:val="0"/>
          <w:w w:val="100"/>
          <w:sz w:val="21"/>
          <w:szCs w:val="21"/>
          <w:highlight w:val="none"/>
        </w:rPr>
        <w:t>企业名称（盖章）：</w:t>
      </w:r>
    </w:p>
    <w:p w14:paraId="70597960">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0" w:firstLineChars="200"/>
        <w:jc w:val="both"/>
        <w:textAlignment w:val="baseline"/>
        <w:rPr>
          <w:rFonts w:hint="eastAsia" w:ascii="黑体" w:hAnsi="黑体" w:eastAsia="黑体" w:cs="黑体"/>
          <w:b w:val="0"/>
          <w:i w:val="0"/>
          <w:caps w:val="0"/>
          <w:color w:val="auto"/>
          <w:spacing w:val="0"/>
          <w:w w:val="100"/>
          <w:sz w:val="21"/>
          <w:szCs w:val="21"/>
          <w:highlight w:val="none"/>
        </w:rPr>
      </w:pPr>
      <w:r>
        <w:rPr>
          <w:rFonts w:hint="eastAsia" w:ascii="黑体" w:hAnsi="黑体" w:eastAsia="黑体" w:cs="黑体"/>
          <w:b w:val="0"/>
          <w:i w:val="0"/>
          <w:caps w:val="0"/>
          <w:color w:val="auto"/>
          <w:spacing w:val="0"/>
          <w:w w:val="100"/>
          <w:sz w:val="21"/>
          <w:szCs w:val="21"/>
          <w:highlight w:val="none"/>
        </w:rPr>
        <w:t>日期：</w:t>
      </w:r>
    </w:p>
    <w:p w14:paraId="02338921">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rPr>
          <w:rFonts w:hint="eastAsia" w:ascii="黑体" w:hAnsi="黑体" w:eastAsia="黑体" w:cs="黑体"/>
          <w:b/>
          <w:i w:val="0"/>
          <w:caps w:val="0"/>
          <w:color w:val="auto"/>
          <w:spacing w:val="0"/>
          <w:w w:val="100"/>
          <w:sz w:val="21"/>
          <w:szCs w:val="21"/>
          <w:highlight w:val="none"/>
        </w:rPr>
      </w:pPr>
      <w:r>
        <w:rPr>
          <w:rFonts w:hint="eastAsia" w:ascii="黑体" w:hAnsi="黑体" w:eastAsia="黑体" w:cs="黑体"/>
          <w:b/>
          <w:i w:val="0"/>
          <w:caps w:val="0"/>
          <w:color w:val="auto"/>
          <w:spacing w:val="0"/>
          <w:w w:val="100"/>
          <w:sz w:val="21"/>
          <w:szCs w:val="21"/>
          <w:highlight w:val="none"/>
        </w:rPr>
        <w:t>注：1</w:t>
      </w:r>
      <w:r>
        <w:rPr>
          <w:rFonts w:hint="eastAsia" w:ascii="黑体" w:hAnsi="黑体" w:eastAsia="黑体" w:cs="黑体"/>
          <w:b/>
          <w:i w:val="0"/>
          <w:caps w:val="0"/>
          <w:color w:val="auto"/>
          <w:spacing w:val="0"/>
          <w:w w:val="100"/>
          <w:sz w:val="21"/>
          <w:szCs w:val="21"/>
          <w:highlight w:val="none"/>
          <w:lang w:eastAsia="zh-CN"/>
        </w:rPr>
        <w:t>、</w:t>
      </w:r>
      <w:r>
        <w:rPr>
          <w:rFonts w:hint="eastAsia" w:ascii="黑体" w:hAnsi="黑体" w:eastAsia="黑体" w:cs="黑体"/>
          <w:b/>
          <w:i w:val="0"/>
          <w:caps w:val="0"/>
          <w:color w:val="auto"/>
          <w:spacing w:val="0"/>
          <w:w w:val="100"/>
          <w:sz w:val="21"/>
          <w:szCs w:val="21"/>
          <w:highlight w:val="none"/>
        </w:rPr>
        <w:t>本次采购项目采购标的对应的中小企业划分标准所属行业为</w:t>
      </w:r>
      <w:r>
        <w:rPr>
          <w:rFonts w:hint="eastAsia" w:ascii="黑体" w:hAnsi="黑体" w:eastAsia="黑体" w:cs="黑体"/>
          <w:color w:val="auto"/>
          <w:kern w:val="2"/>
          <w:sz w:val="21"/>
          <w:szCs w:val="21"/>
          <w:u w:val="single"/>
          <w:lang w:eastAsia="zh-CN"/>
        </w:rPr>
        <w:t>其他未列明行业</w:t>
      </w:r>
      <w:r>
        <w:rPr>
          <w:rFonts w:hint="eastAsia" w:ascii="黑体" w:hAnsi="黑体" w:eastAsia="黑体" w:cs="黑体"/>
          <w:b/>
          <w:i w:val="0"/>
          <w:caps w:val="0"/>
          <w:color w:val="auto"/>
          <w:spacing w:val="0"/>
          <w:w w:val="100"/>
          <w:sz w:val="21"/>
          <w:szCs w:val="21"/>
          <w:highlight w:val="none"/>
        </w:rPr>
        <w:t>。</w:t>
      </w:r>
    </w:p>
    <w:p w14:paraId="6FB7C4FF">
      <w:pPr>
        <w:pStyle w:val="7"/>
        <w:keepNext w:val="0"/>
        <w:keepLines w:val="0"/>
        <w:pageBreakBefore w:val="0"/>
        <w:widowControl w:val="0"/>
        <w:kinsoku/>
        <w:wordWrap/>
        <w:overflowPunct/>
        <w:topLinePunct w:val="0"/>
        <w:autoSpaceDE/>
        <w:autoSpaceDN/>
        <w:bidi w:val="0"/>
        <w:adjustRightInd/>
        <w:snapToGrid w:val="0"/>
        <w:spacing w:before="0" w:beforeAutospacing="0" w:afterAutospacing="0" w:line="480" w:lineRule="auto"/>
        <w:ind w:left="0" w:right="0" w:firstLine="422" w:firstLineChars="200"/>
        <w:jc w:val="both"/>
        <w:textAlignment w:val="baseline"/>
        <w:rPr>
          <w:rFonts w:hint="eastAsia" w:ascii="黑体" w:hAnsi="黑体" w:eastAsia="黑体" w:cs="黑体"/>
          <w:b/>
          <w:i w:val="0"/>
          <w:caps w:val="0"/>
          <w:color w:val="auto"/>
          <w:spacing w:val="0"/>
          <w:w w:val="100"/>
          <w:sz w:val="21"/>
          <w:szCs w:val="21"/>
          <w:highlight w:val="none"/>
        </w:rPr>
      </w:pPr>
      <w:r>
        <w:rPr>
          <w:rFonts w:hint="eastAsia" w:ascii="黑体" w:hAnsi="黑体" w:eastAsia="黑体" w:cs="黑体"/>
          <w:b/>
          <w:i w:val="0"/>
          <w:caps w:val="0"/>
          <w:color w:val="auto"/>
          <w:spacing w:val="0"/>
          <w:w w:val="100"/>
          <w:sz w:val="21"/>
          <w:szCs w:val="21"/>
          <w:highlight w:val="none"/>
          <w:lang w:val="en-US" w:eastAsia="zh-CN"/>
        </w:rPr>
        <w:t>2</w:t>
      </w:r>
      <w:r>
        <w:rPr>
          <w:rFonts w:hint="eastAsia" w:ascii="黑体" w:hAnsi="黑体" w:eastAsia="黑体" w:cs="黑体"/>
          <w:b/>
          <w:i w:val="0"/>
          <w:caps w:val="0"/>
          <w:color w:val="auto"/>
          <w:spacing w:val="0"/>
          <w:w w:val="100"/>
          <w:sz w:val="21"/>
          <w:szCs w:val="21"/>
          <w:highlight w:val="none"/>
          <w:lang w:eastAsia="zh-CN"/>
        </w:rPr>
        <w:t>、</w:t>
      </w:r>
      <w:r>
        <w:rPr>
          <w:rFonts w:hint="eastAsia" w:ascii="黑体" w:hAnsi="黑体" w:eastAsia="黑体" w:cs="黑体"/>
          <w:b/>
          <w:i w:val="0"/>
          <w:caps w:val="0"/>
          <w:color w:val="auto"/>
          <w:spacing w:val="0"/>
          <w:w w:val="100"/>
          <w:sz w:val="21"/>
          <w:szCs w:val="21"/>
          <w:highlight w:val="none"/>
        </w:rPr>
        <w:t>从业人员、营业收入、资产总额填报上一年度数据，无上一年度数据的新成立企业可不填报。</w:t>
      </w:r>
    </w:p>
    <w:p w14:paraId="7FE079A7">
      <w:pPr>
        <w:adjustRightInd w:val="0"/>
        <w:snapToGrid w:val="0"/>
        <w:spacing w:line="360" w:lineRule="auto"/>
        <w:ind w:firstLine="420" w:firstLineChars="200"/>
        <w:rPr>
          <w:rFonts w:hint="eastAsia" w:ascii="黑体" w:hAnsi="黑体" w:eastAsia="黑体" w:cs="黑体"/>
          <w:bCs/>
          <w:color w:val="auto"/>
          <w:szCs w:val="21"/>
          <w:highlight w:val="none"/>
        </w:rPr>
      </w:pPr>
    </w:p>
    <w:p w14:paraId="31E27841">
      <w:pPr>
        <w:autoSpaceDE w:val="0"/>
        <w:autoSpaceDN w:val="0"/>
        <w:adjustRightInd w:val="0"/>
        <w:spacing w:line="600" w:lineRule="exact"/>
        <w:rPr>
          <w:rFonts w:hint="eastAsia" w:ascii="黑体" w:hAnsi="黑体" w:eastAsia="黑体" w:cs="黑体"/>
          <w:b/>
          <w:bCs/>
          <w:color w:val="auto"/>
          <w:szCs w:val="21"/>
          <w:highlight w:val="none"/>
        </w:rPr>
        <w:sectPr>
          <w:pgSz w:w="11850" w:h="16783"/>
          <w:pgMar w:top="1440" w:right="1080" w:bottom="1440" w:left="1080" w:header="720" w:footer="720" w:gutter="0"/>
          <w:pgNumType w:fmt="decimal"/>
          <w:cols w:space="720" w:num="1"/>
        </w:sectPr>
      </w:pPr>
    </w:p>
    <w:p w14:paraId="1EE23C3D">
      <w:pPr>
        <w:pStyle w:val="16"/>
        <w:ind w:left="0" w:leftChars="0" w:firstLine="0" w:firstLineChars="0"/>
        <w:outlineLvl w:val="3"/>
        <w:rPr>
          <w:rFonts w:hint="eastAsia" w:ascii="黑体" w:hAnsi="黑体" w:eastAsia="黑体" w:cs="黑体"/>
          <w:color w:val="auto"/>
          <w:highlight w:val="none"/>
          <w:lang w:val="en-US" w:eastAsia="zh-CN"/>
        </w:rPr>
      </w:pPr>
      <w:r>
        <w:rPr>
          <w:rFonts w:hint="eastAsia" w:ascii="黑体" w:hAnsi="黑体" w:eastAsia="黑体" w:cs="黑体"/>
          <w:color w:val="auto"/>
          <w:highlight w:val="none"/>
          <w:lang w:val="en-US" w:eastAsia="zh-CN"/>
        </w:rPr>
        <w:t>附2残疾人福利性单位声明</w:t>
      </w:r>
    </w:p>
    <w:p w14:paraId="7B1EF4BA">
      <w:pPr>
        <w:spacing w:line="588" w:lineRule="exact"/>
        <w:jc w:val="center"/>
        <w:rPr>
          <w:rFonts w:hint="eastAsia" w:ascii="黑体" w:hAnsi="黑体" w:eastAsia="黑体" w:cs="黑体"/>
          <w:b/>
          <w:color w:val="auto"/>
          <w:spacing w:val="6"/>
          <w:sz w:val="32"/>
          <w:szCs w:val="32"/>
          <w:highlight w:val="none"/>
        </w:rPr>
      </w:pPr>
      <w:bookmarkStart w:id="183" w:name="OLE_LINK14"/>
      <w:bookmarkStart w:id="184" w:name="OLE_LINK13"/>
      <w:r>
        <w:rPr>
          <w:rFonts w:hint="eastAsia" w:ascii="黑体" w:hAnsi="黑体" w:eastAsia="黑体" w:cs="黑体"/>
          <w:b/>
          <w:color w:val="auto"/>
          <w:spacing w:val="6"/>
          <w:sz w:val="32"/>
          <w:szCs w:val="32"/>
          <w:highlight w:val="none"/>
        </w:rPr>
        <w:t>残疾人福利性单位声明函</w:t>
      </w:r>
    </w:p>
    <w:bookmarkEnd w:id="183"/>
    <w:bookmarkEnd w:id="184"/>
    <w:p w14:paraId="6E40E08F">
      <w:pPr>
        <w:jc w:val="center"/>
        <w:rPr>
          <w:rFonts w:hint="eastAsia" w:ascii="黑体" w:hAnsi="黑体" w:eastAsia="黑体" w:cs="黑体"/>
          <w:color w:val="auto"/>
          <w:szCs w:val="21"/>
          <w:highlight w:val="none"/>
          <w:u w:val="single"/>
        </w:rPr>
      </w:pPr>
    </w:p>
    <w:p w14:paraId="2A68677E">
      <w:pPr>
        <w:jc w:val="center"/>
        <w:rPr>
          <w:rFonts w:hint="eastAsia" w:ascii="黑体" w:hAnsi="黑体" w:eastAsia="黑体" w:cs="黑体"/>
          <w:color w:val="auto"/>
          <w:szCs w:val="21"/>
          <w:highlight w:val="none"/>
          <w:u w:val="single"/>
        </w:rPr>
      </w:pPr>
      <w:r>
        <w:rPr>
          <w:rFonts w:hint="eastAsia" w:ascii="黑体" w:hAnsi="黑体" w:eastAsia="黑体" w:cs="黑体"/>
          <w:color w:val="auto"/>
          <w:szCs w:val="21"/>
          <w:highlight w:val="none"/>
          <w:u w:val="single"/>
        </w:rPr>
        <w:t>【不属于残疾人福利性单位的无需填写】</w:t>
      </w:r>
    </w:p>
    <w:p w14:paraId="46DF1B16">
      <w:pPr>
        <w:spacing w:line="588" w:lineRule="exact"/>
        <w:rPr>
          <w:rFonts w:hint="eastAsia" w:ascii="黑体" w:hAnsi="黑体" w:eastAsia="黑体" w:cs="黑体"/>
          <w:b/>
          <w:color w:val="auto"/>
          <w:spacing w:val="6"/>
          <w:sz w:val="30"/>
          <w:szCs w:val="30"/>
          <w:highlight w:val="none"/>
        </w:rPr>
      </w:pPr>
    </w:p>
    <w:p w14:paraId="7853F936">
      <w:pPr>
        <w:spacing w:line="588" w:lineRule="exact"/>
        <w:ind w:firstLine="444" w:firstLineChars="200"/>
        <w:rPr>
          <w:rFonts w:hint="eastAsia" w:ascii="黑体" w:hAnsi="黑体" w:eastAsia="黑体" w:cs="黑体"/>
          <w:color w:val="auto"/>
          <w:spacing w:val="6"/>
          <w:sz w:val="21"/>
          <w:szCs w:val="21"/>
          <w:highlight w:val="none"/>
        </w:rPr>
      </w:pPr>
      <w:r>
        <w:rPr>
          <w:rFonts w:hint="eastAsia" w:ascii="黑体" w:hAnsi="黑体" w:eastAsia="黑体" w:cs="黑体"/>
          <w:color w:val="auto"/>
          <w:spacing w:val="6"/>
          <w:sz w:val="21"/>
          <w:szCs w:val="21"/>
          <w:highlight w:val="none"/>
        </w:rPr>
        <w:t>本单位郑重声明，根据《财政部民政部中国残疾人联合会关于促进残疾人就业政府采购政策的通知》（财库</w:t>
      </w:r>
      <w:r>
        <w:rPr>
          <w:rFonts w:hint="eastAsia" w:ascii="黑体" w:hAnsi="黑体" w:eastAsia="黑体" w:cs="黑体"/>
          <w:color w:val="auto"/>
          <w:sz w:val="21"/>
          <w:szCs w:val="21"/>
          <w:highlight w:val="none"/>
        </w:rPr>
        <w:t>〔2017〕141</w:t>
      </w:r>
      <w:r>
        <w:rPr>
          <w:rFonts w:hint="eastAsia" w:ascii="黑体" w:hAnsi="黑体" w:eastAsia="黑体" w:cs="黑体"/>
          <w:color w:val="auto"/>
          <w:spacing w:val="6"/>
          <w:sz w:val="21"/>
          <w:szCs w:val="21"/>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164BD4">
      <w:pPr>
        <w:spacing w:line="588" w:lineRule="exact"/>
        <w:ind w:firstLine="444" w:firstLineChars="200"/>
        <w:rPr>
          <w:rFonts w:hint="eastAsia" w:ascii="黑体" w:hAnsi="黑体" w:eastAsia="黑体" w:cs="黑体"/>
          <w:color w:val="auto"/>
          <w:spacing w:val="6"/>
          <w:sz w:val="21"/>
          <w:szCs w:val="21"/>
          <w:highlight w:val="none"/>
        </w:rPr>
      </w:pPr>
      <w:r>
        <w:rPr>
          <w:rFonts w:hint="eastAsia" w:ascii="黑体" w:hAnsi="黑体" w:eastAsia="黑体" w:cs="黑体"/>
          <w:color w:val="auto"/>
          <w:spacing w:val="6"/>
          <w:sz w:val="21"/>
          <w:szCs w:val="21"/>
          <w:highlight w:val="none"/>
        </w:rPr>
        <w:t>本单位对上述声明的真实性负责。如有虚假，将依法承担相应责任。</w:t>
      </w:r>
    </w:p>
    <w:p w14:paraId="47CE77EF">
      <w:pPr>
        <w:spacing w:line="588" w:lineRule="exact"/>
        <w:ind w:firstLine="444" w:firstLineChars="200"/>
        <w:rPr>
          <w:rFonts w:hint="eastAsia" w:ascii="黑体" w:hAnsi="黑体" w:eastAsia="黑体" w:cs="黑体"/>
          <w:color w:val="auto"/>
          <w:spacing w:val="6"/>
          <w:sz w:val="21"/>
          <w:szCs w:val="21"/>
          <w:highlight w:val="none"/>
        </w:rPr>
      </w:pPr>
    </w:p>
    <w:p w14:paraId="7909586F">
      <w:pPr>
        <w:spacing w:line="588" w:lineRule="exact"/>
        <w:ind w:firstLine="444" w:firstLineChars="200"/>
        <w:rPr>
          <w:rFonts w:hint="eastAsia" w:ascii="黑体" w:hAnsi="黑体" w:eastAsia="黑体" w:cs="黑体"/>
          <w:color w:val="auto"/>
          <w:spacing w:val="6"/>
          <w:sz w:val="21"/>
          <w:szCs w:val="21"/>
          <w:highlight w:val="none"/>
        </w:rPr>
      </w:pPr>
    </w:p>
    <w:p w14:paraId="6925FEC4">
      <w:pPr>
        <w:tabs>
          <w:tab w:val="left" w:pos="4860"/>
        </w:tabs>
        <w:spacing w:line="588" w:lineRule="exact"/>
        <w:ind w:right="1560" w:firstLine="444" w:firstLineChars="200"/>
        <w:jc w:val="center"/>
        <w:rPr>
          <w:rFonts w:hint="eastAsia" w:ascii="黑体" w:hAnsi="黑体" w:eastAsia="黑体" w:cs="黑体"/>
          <w:color w:val="auto"/>
          <w:spacing w:val="6"/>
          <w:sz w:val="21"/>
          <w:szCs w:val="21"/>
          <w:highlight w:val="none"/>
        </w:rPr>
      </w:pPr>
      <w:bookmarkStart w:id="185" w:name="_Toc16061_WPSOffice_Level1"/>
      <w:r>
        <w:rPr>
          <w:rFonts w:hint="eastAsia" w:ascii="黑体" w:hAnsi="黑体" w:eastAsia="黑体" w:cs="黑体"/>
          <w:color w:val="auto"/>
          <w:spacing w:val="6"/>
          <w:sz w:val="21"/>
          <w:szCs w:val="21"/>
          <w:highlight w:val="none"/>
        </w:rPr>
        <w:t>单位名称（盖章）：</w:t>
      </w:r>
      <w:bookmarkEnd w:id="185"/>
    </w:p>
    <w:p w14:paraId="27153A51">
      <w:pPr>
        <w:tabs>
          <w:tab w:val="left" w:pos="4860"/>
        </w:tabs>
        <w:spacing w:line="588" w:lineRule="exact"/>
        <w:ind w:right="1560" w:firstLine="444" w:firstLineChars="200"/>
        <w:jc w:val="center"/>
        <w:rPr>
          <w:rFonts w:hint="eastAsia" w:ascii="黑体" w:hAnsi="黑体" w:eastAsia="黑体" w:cs="黑体"/>
          <w:color w:val="auto"/>
          <w:spacing w:val="6"/>
          <w:sz w:val="21"/>
          <w:szCs w:val="21"/>
          <w:highlight w:val="none"/>
        </w:rPr>
      </w:pPr>
      <w:bookmarkStart w:id="186" w:name="_Toc32569_WPSOffice_Level1"/>
      <w:r>
        <w:rPr>
          <w:rFonts w:hint="eastAsia" w:ascii="黑体" w:hAnsi="黑体" w:eastAsia="黑体" w:cs="黑体"/>
          <w:color w:val="auto"/>
          <w:spacing w:val="6"/>
          <w:sz w:val="21"/>
          <w:szCs w:val="21"/>
          <w:highlight w:val="none"/>
        </w:rPr>
        <w:t>日期：</w:t>
      </w:r>
      <w:bookmarkEnd w:id="186"/>
    </w:p>
    <w:p w14:paraId="3834E749">
      <w:pPr>
        <w:pStyle w:val="3"/>
        <w:outlineLvl w:val="9"/>
        <w:rPr>
          <w:rFonts w:hint="eastAsia" w:ascii="黑体" w:hAnsi="黑体" w:eastAsia="黑体" w:cs="黑体"/>
          <w:color w:val="auto"/>
          <w:sz w:val="21"/>
          <w:szCs w:val="21"/>
          <w:highlight w:val="none"/>
        </w:rPr>
        <w:sectPr>
          <w:pgSz w:w="11850" w:h="16783"/>
          <w:pgMar w:top="1440" w:right="1080" w:bottom="1440" w:left="1080" w:header="720" w:footer="720" w:gutter="0"/>
          <w:pgNumType w:fmt="decimal"/>
          <w:cols w:space="720" w:num="1"/>
        </w:sectPr>
      </w:pPr>
    </w:p>
    <w:p w14:paraId="03E45AC0">
      <w:pPr>
        <w:spacing w:before="312" w:beforeLines="100" w:after="312" w:afterLines="100" w:line="500" w:lineRule="exact"/>
        <w:jc w:val="center"/>
        <w:rPr>
          <w:rFonts w:hint="eastAsia" w:ascii="黑体" w:hAnsi="黑体" w:eastAsia="黑体" w:cs="黑体"/>
          <w:b/>
          <w:bCs/>
          <w:color w:val="auto"/>
          <w:sz w:val="28"/>
          <w:szCs w:val="21"/>
          <w:highlight w:val="none"/>
          <w:lang w:val="en-US" w:eastAsia="zh-CN"/>
        </w:rPr>
      </w:pPr>
      <w:r>
        <w:rPr>
          <w:rFonts w:hint="eastAsia" w:ascii="黑体" w:hAnsi="黑体" w:eastAsia="黑体" w:cs="黑体"/>
          <w:b/>
          <w:bCs/>
          <w:color w:val="auto"/>
          <w:sz w:val="28"/>
          <w:szCs w:val="21"/>
          <w:highlight w:val="none"/>
          <w:lang w:val="en-US" w:eastAsia="zh-CN"/>
        </w:rPr>
        <w:t>二次报价表</w:t>
      </w:r>
    </w:p>
    <w:p w14:paraId="63448334">
      <w:pPr>
        <w:spacing w:before="312" w:beforeLines="100" w:after="312" w:afterLines="100" w:line="500" w:lineRule="exact"/>
        <w:jc w:val="center"/>
        <w:rPr>
          <w:rFonts w:hint="eastAsia" w:ascii="黑体" w:hAnsi="黑体" w:eastAsia="黑体" w:cs="黑体"/>
          <w:b/>
          <w:bCs/>
          <w:color w:val="auto"/>
          <w:sz w:val="28"/>
          <w:szCs w:val="21"/>
          <w:highlight w:val="none"/>
          <w:lang w:val="en-US" w:eastAsia="zh-CN"/>
        </w:rPr>
      </w:pPr>
      <w:r>
        <w:rPr>
          <w:rFonts w:hint="eastAsia" w:ascii="黑体" w:hAnsi="黑体" w:eastAsia="黑体" w:cs="黑体"/>
          <w:b/>
          <w:bCs/>
          <w:color w:val="auto"/>
          <w:sz w:val="28"/>
          <w:szCs w:val="21"/>
          <w:highlight w:val="none"/>
          <w:lang w:val="en-US" w:eastAsia="zh-CN"/>
        </w:rPr>
        <w:t>（初步评审通过后，由磋商小组开启二次报价，供应商按“政采云”平台要求进行填写）</w:t>
      </w:r>
    </w:p>
    <w:p w14:paraId="1AA68DE0">
      <w:pPr>
        <w:spacing w:before="312" w:beforeLines="100" w:after="312" w:afterLines="100" w:line="500" w:lineRule="exact"/>
        <w:jc w:val="center"/>
        <w:rPr>
          <w:rFonts w:hint="eastAsia" w:ascii="黑体" w:hAnsi="黑体" w:eastAsia="黑体" w:cs="黑体"/>
          <w:b/>
          <w:bCs/>
          <w:color w:val="auto"/>
          <w:sz w:val="28"/>
          <w:szCs w:val="21"/>
          <w:highlight w:val="none"/>
          <w:lang w:val="en-US" w:eastAsia="zh-CN"/>
        </w:rPr>
      </w:pPr>
    </w:p>
    <w:sectPr>
      <w:footerReference r:id="rId28" w:type="default"/>
      <w:pgSz w:w="11906" w:h="16839"/>
      <w:pgMar w:top="1417" w:right="1417" w:bottom="1417" w:left="1417" w:header="0" w:footer="996" w:gutter="0"/>
      <w:pgBorders>
        <w:top w:val="none" w:sz="0" w:space="0"/>
        <w:left w:val="none" w:sz="0" w:space="0"/>
        <w:bottom w:val="none" w:sz="0" w:space="0"/>
        <w:right w:val="none" w:sz="0" w:space="0"/>
      </w:pgBorders>
      <w:pgNumType w:fmt="decimal"/>
      <w:cols w:space="720" w:num="1"/>
      <w:rtlGutter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EE107E">
    <w:pPr>
      <w:spacing w:line="196" w:lineRule="auto"/>
      <w:ind w:left="4143"/>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B91F63">
    <w:pPr>
      <w:spacing w:line="196" w:lineRule="auto"/>
      <w:ind w:left="423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4862AD">
                          <w:pPr>
                            <w:pStyle w:val="1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F4862AD">
                    <w:pPr>
                      <w:pStyle w:val="1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0B0FE">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5C0634">
                          <w:pPr>
                            <w:pStyle w:val="13"/>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85C0634">
                    <w:pPr>
                      <w:pStyle w:val="13"/>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B154E6">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B09BB6">
                          <w:pPr>
                            <w:pStyle w:val="13"/>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1B09BB6">
                    <w:pPr>
                      <w:pStyle w:val="13"/>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2A7BA">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5E5A9F">
                          <w:pPr>
                            <w:pStyle w:val="13"/>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E5E5A9F">
                    <w:pPr>
                      <w:pStyle w:val="13"/>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E69447">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95E301">
                          <w:pPr>
                            <w:pStyle w:val="13"/>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A95E301">
                    <w:pPr>
                      <w:pStyle w:val="13"/>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D2B4B">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B7FD3B">
                          <w:pPr>
                            <w:pStyle w:val="13"/>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2B7FD3B">
                    <w:pPr>
                      <w:pStyle w:val="13"/>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33039">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4AF272">
                          <w:pPr>
                            <w:pStyle w:val="13"/>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74AF272">
                    <w:pPr>
                      <w:pStyle w:val="13"/>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9653A">
    <w:pPr>
      <w:spacing w:line="196" w:lineRule="auto"/>
      <w:ind w:left="4098"/>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0610F9">
                          <w:pPr>
                            <w:pStyle w:val="13"/>
                          </w:pPr>
                          <w:r>
                            <w:fldChar w:fldCharType="begin"/>
                          </w:r>
                          <w:r>
                            <w:instrText xml:space="preserve"> PAGE  \* MERGEFORMAT </w:instrText>
                          </w:r>
                          <w:r>
                            <w:fldChar w:fldCharType="separate"/>
                          </w:r>
                          <w:r>
                            <w:t>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80610F9">
                    <w:pPr>
                      <w:pStyle w:val="13"/>
                    </w:pPr>
                    <w:r>
                      <w:fldChar w:fldCharType="begin"/>
                    </w:r>
                    <w:r>
                      <w:instrText xml:space="preserve"> PAGE  \* MERGEFORMAT </w:instrText>
                    </w:r>
                    <w:r>
                      <w:fldChar w:fldCharType="separate"/>
                    </w:r>
                    <w:r>
                      <w:t>16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72EA2">
    <w:pPr>
      <w:spacing w:line="196" w:lineRule="auto"/>
      <w:ind w:left="408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29C81">
                          <w:pPr>
                            <w:pStyle w:val="13"/>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8929C81">
                    <w:pPr>
                      <w:pStyle w:val="13"/>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A141D">
    <w:pPr>
      <w:spacing w:line="196" w:lineRule="auto"/>
      <w:ind w:left="408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49BE8">
                          <w:pPr>
                            <w:pStyle w:val="13"/>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8B49BE8">
                    <w:pPr>
                      <w:pStyle w:val="13"/>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77338">
    <w:pPr>
      <w:spacing w:line="196" w:lineRule="auto"/>
      <w:ind w:left="408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E0C49C">
                          <w:pPr>
                            <w:pStyle w:val="13"/>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EE0C49C">
                    <w:pPr>
                      <w:pStyle w:val="13"/>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435A8">
    <w:pPr>
      <w:spacing w:line="196" w:lineRule="auto"/>
      <w:ind w:left="408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33342">
                          <w:pPr>
                            <w:pStyle w:val="13"/>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4933342">
                    <w:pPr>
                      <w:pStyle w:val="13"/>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B9D74">
    <w:pPr>
      <w:spacing w:line="196" w:lineRule="auto"/>
      <w:ind w:left="4081"/>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F0EE31">
                          <w:pPr>
                            <w:pStyle w:val="13"/>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01F0EE31">
                    <w:pPr>
                      <w:pStyle w:val="13"/>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A1909">
    <w:pPr>
      <w:spacing w:line="174" w:lineRule="auto"/>
      <w:ind w:left="4698"/>
      <w:rPr>
        <w:rFonts w:ascii="Times New Roman" w:hAnsi="Times New Roman" w:eastAsia="Times New Roman" w:cs="Times New Roman"/>
        <w:sz w:val="18"/>
        <w:szCs w:val="18"/>
      </w:rPr>
    </w:pPr>
    <w:r>
      <w:rPr>
        <w:rFonts w:ascii="Times New Roman" w:hAnsi="Times New Roman" w:eastAsia="Times New Roman" w:cs="Times New Roman"/>
        <w:sz w:val="18"/>
        <w:szCs w:val="18"/>
      </w:rPr>
      <w:t>1</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8F09F">
    <w:pPr>
      <w:spacing w:line="196" w:lineRule="auto"/>
      <w:ind w:left="408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220CE">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83220CE">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4493BD">
    <w:pPr>
      <w:spacing w:line="196" w:lineRule="auto"/>
      <w:ind w:left="441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333D9E">
                          <w:pPr>
                            <w:pStyle w:val="13"/>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4333D9E">
                    <w:pPr>
                      <w:pStyle w:val="13"/>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950DD">
    <w:pPr>
      <w:spacing w:line="196" w:lineRule="auto"/>
      <w:ind w:left="4084"/>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A2AC6D">
                          <w:pPr>
                            <w:pStyle w:val="13"/>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AA2AC6D">
                    <w:pPr>
                      <w:pStyle w:val="1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0D3CE">
    <w:pPr>
      <w:pStyle w:val="13"/>
      <w:rPr>
        <w:lang w:eastAsia="zh-CN"/>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68BF38">
                          <w:pPr>
                            <w:pStyle w:val="1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B68BF38">
                    <w:pPr>
                      <w:pStyle w:val="1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ABC1B0">
    <w:pPr>
      <w:spacing w:line="183" w:lineRule="auto"/>
      <w:rPr>
        <w:rFonts w:ascii="宋体" w:hAnsi="宋体" w:eastAsia="宋体" w:cs="宋体"/>
        <w:sz w:val="27"/>
        <w:szCs w:val="27"/>
      </w:rPr>
    </w:pPr>
    <w:r>
      <w:rPr>
        <w:sz w:val="27"/>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BC018B">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5CBC018B">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8AD12">
    <w:pPr>
      <w:pStyle w:val="13"/>
      <w:rPr>
        <w:lang w:eastAsia="zh-CN"/>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DE5CEF">
                          <w:pPr>
                            <w:pStyle w:val="13"/>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65DE5CEF">
                    <w:pPr>
                      <w:pStyle w:val="13"/>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465D3">
    <w:pPr>
      <w:pStyle w:val="13"/>
      <w:rPr>
        <w:lang w:eastAsia="zh-CN"/>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ECF95">
                          <w:pPr>
                            <w:pStyle w:val="1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6EECF95">
                    <w:pPr>
                      <w:pStyle w:val="1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6F773">
    <w:pPr>
      <w:pStyle w:val="13"/>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7C255">
                          <w:pPr>
                            <w:pStyle w:val="13"/>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4577C255">
                    <w:pPr>
                      <w:pStyle w:val="13"/>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7D96A">
    <w:pPr>
      <w:spacing w:line="196" w:lineRule="auto"/>
      <w:ind w:left="4186"/>
      <w:rPr>
        <w:rFonts w:hint="eastAsia" w:ascii="Times New Roman" w:hAnsi="Times New Roman" w:eastAsia="宋体" w:cs="Times New Roman"/>
        <w:sz w:val="17"/>
        <w:szCs w:val="17"/>
        <w:lang w:val="en-US" w:eastAsia="zh-CN"/>
      </w:rPr>
    </w:pPr>
    <w:r>
      <w:rPr>
        <w:sz w:val="17"/>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3D2757">
                          <w:pPr>
                            <w:pStyle w:val="13"/>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A3D2757">
                    <w:pPr>
                      <w:pStyle w:val="13"/>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none"/>
      <w:lvlText w:val=""/>
      <w:lvlJc w:val="left"/>
      <w:pPr>
        <w:tabs>
          <w:tab w:val="left" w:pos="432"/>
        </w:tabs>
        <w:ind w:left="432" w:hanging="432"/>
      </w:pPr>
    </w:lvl>
    <w:lvl w:ilvl="1" w:tentative="0">
      <w:start w:val="1"/>
      <w:numFmt w:val="none"/>
      <w:lvlText w:val=""/>
      <w:lvlJc w:val="left"/>
      <w:pPr>
        <w:tabs>
          <w:tab w:val="left" w:pos="576"/>
        </w:tabs>
        <w:ind w:left="576" w:hanging="576"/>
      </w:pPr>
    </w:lvl>
    <w:lvl w:ilvl="2" w:tentative="0">
      <w:start w:val="1"/>
      <w:numFmt w:val="none"/>
      <w:pStyle w:val="4"/>
      <w:lvlText w:val=""/>
      <w:lvlJc w:val="left"/>
      <w:pPr>
        <w:tabs>
          <w:tab w:val="left" w:pos="720"/>
        </w:tabs>
        <w:ind w:left="720" w:hanging="720"/>
      </w:pPr>
    </w:lvl>
    <w:lvl w:ilvl="3" w:tentative="0">
      <w:start w:val="1"/>
      <w:numFmt w:val="none"/>
      <w:lvlText w:val=""/>
      <w:lvlJc w:val="left"/>
      <w:pPr>
        <w:tabs>
          <w:tab w:val="left" w:pos="864"/>
        </w:tabs>
        <w:ind w:left="864" w:hanging="864"/>
      </w:pPr>
    </w:lvl>
    <w:lvl w:ilvl="4" w:tentative="0">
      <w:start w:val="1"/>
      <w:numFmt w:val="none"/>
      <w:lvlText w:val=""/>
      <w:lvlJc w:val="left"/>
      <w:pPr>
        <w:tabs>
          <w:tab w:val="left" w:pos="1008"/>
        </w:tabs>
        <w:ind w:left="1008" w:hanging="1008"/>
      </w:pPr>
    </w:lvl>
    <w:lvl w:ilvl="5" w:tentative="0">
      <w:start w:val="1"/>
      <w:numFmt w:val="none"/>
      <w:lvlText w:val=""/>
      <w:lvlJc w:val="left"/>
      <w:pPr>
        <w:tabs>
          <w:tab w:val="left" w:pos="1440"/>
        </w:tabs>
        <w:ind w:left="1152" w:hanging="1152"/>
      </w:pPr>
    </w:lvl>
    <w:lvl w:ilvl="6" w:tentative="0">
      <w:start w:val="1"/>
      <w:numFmt w:val="decimal"/>
      <w:lvlText w:val="%1.%2.%3.%4.%5.%6.%7"/>
      <w:lvlJc w:val="left"/>
      <w:pPr>
        <w:tabs>
          <w:tab w:val="left" w:pos="2520"/>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
    <w:nsid w:val="4C670FE3"/>
    <w:multiLevelType w:val="singleLevel"/>
    <w:tmpl w:val="4C670FE3"/>
    <w:lvl w:ilvl="0" w:tentative="0">
      <w:start w:val="9"/>
      <w:numFmt w:val="chineseCounting"/>
      <w:suff w:val="nothing"/>
      <w:lvlText w:val="（%1）"/>
      <w:lvlJc w:val="left"/>
      <w:rPr>
        <w:rFonts w:hint="eastAsia"/>
      </w:rPr>
    </w:lvl>
  </w:abstractNum>
  <w:abstractNum w:abstractNumId="2">
    <w:nsid w:val="6753C1C5"/>
    <w:multiLevelType w:val="multilevel"/>
    <w:tmpl w:val="6753C1C5"/>
    <w:lvl w:ilvl="0" w:tentative="0">
      <w:start w:val="1"/>
      <w:numFmt w:val="decimal"/>
      <w:lvlText w:val="%1."/>
      <w:lvlJc w:val="left"/>
      <w:pPr>
        <w:tabs>
          <w:tab w:val="left" w:pos="830"/>
        </w:tabs>
        <w:ind w:left="830" w:hanging="360"/>
      </w:pPr>
      <w:rPr>
        <w:rFonts w:hint="eastAsia" w:ascii="黑体" w:hAnsi="Times New Roman" w:eastAsia="黑体"/>
        <w:b/>
      </w:rPr>
    </w:lvl>
    <w:lvl w:ilvl="1" w:tentative="0">
      <w:start w:val="1"/>
      <w:numFmt w:val="lowerLetter"/>
      <w:lvlText w:val="%2)"/>
      <w:lvlJc w:val="left"/>
      <w:pPr>
        <w:tabs>
          <w:tab w:val="left" w:pos="1310"/>
        </w:tabs>
        <w:ind w:left="1310" w:hanging="420"/>
      </w:pPr>
    </w:lvl>
    <w:lvl w:ilvl="2" w:tentative="0">
      <w:start w:val="1"/>
      <w:numFmt w:val="lowerRoman"/>
      <w:lvlText w:val="%3."/>
      <w:lvlJc w:val="right"/>
      <w:pPr>
        <w:tabs>
          <w:tab w:val="left" w:pos="1730"/>
        </w:tabs>
        <w:ind w:left="1730" w:hanging="420"/>
      </w:pPr>
    </w:lvl>
    <w:lvl w:ilvl="3" w:tentative="0">
      <w:start w:val="1"/>
      <w:numFmt w:val="decimal"/>
      <w:lvlText w:val="%4."/>
      <w:lvlJc w:val="left"/>
      <w:pPr>
        <w:tabs>
          <w:tab w:val="left" w:pos="2150"/>
        </w:tabs>
        <w:ind w:left="2150" w:hanging="420"/>
      </w:pPr>
    </w:lvl>
    <w:lvl w:ilvl="4" w:tentative="0">
      <w:start w:val="1"/>
      <w:numFmt w:val="lowerLetter"/>
      <w:lvlText w:val="%5)"/>
      <w:lvlJc w:val="left"/>
      <w:pPr>
        <w:tabs>
          <w:tab w:val="left" w:pos="2570"/>
        </w:tabs>
        <w:ind w:left="2570" w:hanging="420"/>
      </w:pPr>
    </w:lvl>
    <w:lvl w:ilvl="5" w:tentative="0">
      <w:start w:val="1"/>
      <w:numFmt w:val="lowerRoman"/>
      <w:lvlText w:val="%6."/>
      <w:lvlJc w:val="right"/>
      <w:pPr>
        <w:tabs>
          <w:tab w:val="left" w:pos="2990"/>
        </w:tabs>
        <w:ind w:left="2990" w:hanging="420"/>
      </w:pPr>
    </w:lvl>
    <w:lvl w:ilvl="6" w:tentative="0">
      <w:start w:val="1"/>
      <w:numFmt w:val="decimal"/>
      <w:lvlText w:val="%7."/>
      <w:lvlJc w:val="left"/>
      <w:pPr>
        <w:tabs>
          <w:tab w:val="left" w:pos="3410"/>
        </w:tabs>
        <w:ind w:left="3410" w:hanging="420"/>
      </w:pPr>
    </w:lvl>
    <w:lvl w:ilvl="7" w:tentative="0">
      <w:start w:val="1"/>
      <w:numFmt w:val="lowerLetter"/>
      <w:lvlText w:val="%8)"/>
      <w:lvlJc w:val="left"/>
      <w:pPr>
        <w:tabs>
          <w:tab w:val="left" w:pos="3830"/>
        </w:tabs>
        <w:ind w:left="3830" w:hanging="420"/>
      </w:pPr>
    </w:lvl>
    <w:lvl w:ilvl="8" w:tentative="0">
      <w:start w:val="1"/>
      <w:numFmt w:val="lowerRoman"/>
      <w:lvlText w:val="%9."/>
      <w:lvlJc w:val="right"/>
      <w:pPr>
        <w:tabs>
          <w:tab w:val="left" w:pos="4250"/>
        </w:tabs>
        <w:ind w:left="4250" w:hanging="420"/>
      </w:pPr>
    </w:lvl>
  </w:abstractNum>
  <w:num w:numId="1">
    <w:abstractNumId w:val="0"/>
  </w:num>
  <w:num w:numId="2">
    <w:abstractNumId w:val="2"/>
    <w:lvlOverride w:ilvl="0">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1382A48"/>
    <w:rsid w:val="0A40121D"/>
    <w:rsid w:val="0E6D768E"/>
    <w:rsid w:val="153019A5"/>
    <w:rsid w:val="164976AB"/>
    <w:rsid w:val="19CF1C75"/>
    <w:rsid w:val="24572958"/>
    <w:rsid w:val="2602658B"/>
    <w:rsid w:val="2CC20013"/>
    <w:rsid w:val="39597B8B"/>
    <w:rsid w:val="3EEA3B08"/>
    <w:rsid w:val="40BA6D9E"/>
    <w:rsid w:val="43B35FE0"/>
    <w:rsid w:val="49366D6C"/>
    <w:rsid w:val="4EA66DD5"/>
    <w:rsid w:val="5AAE6DC3"/>
    <w:rsid w:val="6005776C"/>
    <w:rsid w:val="644C12F0"/>
    <w:rsid w:val="6637091A"/>
    <w:rsid w:val="6EFB54AF"/>
    <w:rsid w:val="721E1B98"/>
    <w:rsid w:val="767174B1"/>
    <w:rsid w:val="798412AA"/>
    <w:rsid w:val="79F503F9"/>
    <w:rsid w:val="7ADC3AA4"/>
    <w:rsid w:val="7B787C13"/>
    <w:rsid w:val="7EA877E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2">
    <w:name w:val="heading 1"/>
    <w:basedOn w:val="1"/>
    <w:next w:val="1"/>
    <w:qFormat/>
    <w:uiPriority w:val="0"/>
    <w:pPr>
      <w:ind w:left="228"/>
      <w:jc w:val="center"/>
      <w:outlineLvl w:val="0"/>
    </w:pPr>
    <w:rPr>
      <w:rFonts w:ascii="宋体" w:hAnsi="宋体" w:eastAsia="宋体" w:cs="宋体"/>
      <w:b/>
      <w:bCs/>
      <w:sz w:val="30"/>
      <w:szCs w:val="30"/>
      <w:lang w:val="zh-CN" w:bidi="zh-CN"/>
    </w:rPr>
  </w:style>
  <w:style w:type="paragraph" w:styleId="3">
    <w:name w:val="heading 2"/>
    <w:basedOn w:val="1"/>
    <w:next w:val="1"/>
    <w:qFormat/>
    <w:uiPriority w:val="1"/>
    <w:pPr>
      <w:outlineLvl w:val="2"/>
    </w:pPr>
    <w:rPr>
      <w:rFonts w:ascii="宋体" w:hAnsi="宋体" w:eastAsia="宋体" w:cs="宋体"/>
      <w:sz w:val="32"/>
      <w:szCs w:val="32"/>
      <w:lang w:val="zh-CN" w:eastAsia="zh-CN" w:bidi="zh-CN"/>
    </w:rPr>
  </w:style>
  <w:style w:type="paragraph" w:styleId="4">
    <w:name w:val="heading 3"/>
    <w:basedOn w:val="1"/>
    <w:next w:val="1"/>
    <w:qFormat/>
    <w:uiPriority w:val="0"/>
    <w:pPr>
      <w:keepNext/>
      <w:keepLines/>
      <w:widowControl/>
      <w:numPr>
        <w:ilvl w:val="2"/>
        <w:numId w:val="1"/>
      </w:numPr>
      <w:spacing w:before="120" w:after="120" w:line="360" w:lineRule="auto"/>
      <w:jc w:val="center"/>
      <w:outlineLvl w:val="2"/>
    </w:pPr>
    <w:rPr>
      <w:b/>
      <w:kern w:val="0"/>
      <w:sz w:val="32"/>
      <w:szCs w:val="20"/>
    </w:rPr>
  </w:style>
  <w:style w:type="character" w:default="1" w:styleId="19">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6">
    <w:name w:val="annotation text"/>
    <w:basedOn w:val="1"/>
    <w:qFormat/>
    <w:uiPriority w:val="0"/>
    <w:pPr>
      <w:jc w:val="left"/>
    </w:pPr>
  </w:style>
  <w:style w:type="paragraph" w:styleId="7">
    <w:name w:val="Body Text"/>
    <w:basedOn w:val="1"/>
    <w:next w:val="8"/>
    <w:qFormat/>
    <w:uiPriority w:val="0"/>
    <w:pPr>
      <w:spacing w:line="0" w:lineRule="atLeast"/>
    </w:pPr>
    <w:rPr>
      <w:b/>
      <w:sz w:val="30"/>
      <w:szCs w:val="20"/>
    </w:rPr>
  </w:style>
  <w:style w:type="paragraph" w:customStyle="1" w:styleId="8">
    <w:name w:val="Default"/>
    <w:next w:val="9"/>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9">
    <w:name w:val="Date"/>
    <w:basedOn w:val="1"/>
    <w:next w:val="1"/>
    <w:qFormat/>
    <w:uiPriority w:val="0"/>
    <w:rPr>
      <w:sz w:val="24"/>
      <w:szCs w:val="20"/>
    </w:rPr>
  </w:style>
  <w:style w:type="paragraph" w:styleId="10">
    <w:name w:val="Body Text Indent"/>
    <w:basedOn w:val="1"/>
    <w:next w:val="1"/>
    <w:qFormat/>
    <w:uiPriority w:val="0"/>
    <w:pPr>
      <w:ind w:left="420" w:leftChars="200"/>
    </w:pPr>
  </w:style>
  <w:style w:type="paragraph" w:styleId="11">
    <w:name w:val="List 2"/>
    <w:basedOn w:val="1"/>
    <w:qFormat/>
    <w:uiPriority w:val="0"/>
    <w:pPr>
      <w:ind w:left="100" w:leftChars="200" w:hanging="200" w:hangingChars="200"/>
    </w:pPr>
  </w:style>
  <w:style w:type="paragraph" w:styleId="12">
    <w:name w:val="Plain Text"/>
    <w:basedOn w:val="1"/>
    <w:next w:val="1"/>
    <w:qFormat/>
    <w:uiPriority w:val="0"/>
    <w:rPr>
      <w:rFonts w:ascii="宋体" w:hAnsi="Courier New"/>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Normal (Web)"/>
    <w:basedOn w:val="1"/>
    <w:qFormat/>
    <w:uiPriority w:val="99"/>
    <w:pPr>
      <w:spacing w:before="100" w:beforeAutospacing="1" w:after="100" w:afterAutospacing="1"/>
      <w:ind w:left="0" w:right="0"/>
      <w:jc w:val="left"/>
    </w:pPr>
    <w:rPr>
      <w:kern w:val="0"/>
      <w:sz w:val="24"/>
      <w:szCs w:val="20"/>
      <w:lang w:val="en-US" w:eastAsia="zh-CN" w:bidi="ar"/>
    </w:rPr>
  </w:style>
  <w:style w:type="paragraph" w:styleId="16">
    <w:name w:val="Body Text First Indent 2"/>
    <w:basedOn w:val="10"/>
    <w:next w:val="1"/>
    <w:unhideWhenUsed/>
    <w:qFormat/>
    <w:uiPriority w:val="99"/>
    <w:pPr>
      <w:tabs>
        <w:tab w:val="left" w:pos="360"/>
      </w:tabs>
      <w:ind w:firstLine="420"/>
    </w:pPr>
    <w:rPr>
      <w:kern w:val="2"/>
      <w:sz w:val="24"/>
      <w:szCs w:val="20"/>
      <w:lang w:eastAsia="zh-CN"/>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0"/>
  </w:style>
  <w:style w:type="paragraph" w:customStyle="1" w:styleId="21">
    <w:name w:val="列出段落1"/>
    <w:basedOn w:val="1"/>
    <w:qFormat/>
    <w:uiPriority w:val="0"/>
    <w:pPr>
      <w:ind w:firstLine="420" w:firstLineChars="200"/>
    </w:pPr>
  </w:style>
  <w:style w:type="table" w:customStyle="1" w:styleId="22">
    <w:name w:val="Table Normal"/>
    <w:unhideWhenUsed/>
    <w:qFormat/>
    <w:uiPriority w:val="0"/>
    <w:tblPr>
      <w:tblCellMar>
        <w:top w:w="0" w:type="dxa"/>
        <w:left w:w="0" w:type="dxa"/>
        <w:bottom w:w="0" w:type="dxa"/>
        <w:right w:w="0" w:type="dxa"/>
      </w:tblCellMar>
    </w:tblPr>
  </w:style>
  <w:style w:type="paragraph" w:customStyle="1" w:styleId="23">
    <w:name w:val="Table Paragraph"/>
    <w:basedOn w:val="1"/>
    <w:qFormat/>
    <w:uiPriority w:val="1"/>
    <w:rPr>
      <w:rFonts w:ascii="宋体" w:hAnsi="宋体" w:eastAsia="宋体" w:cs="宋体"/>
      <w:lang w:val="zh-CN" w:eastAsia="zh-CN" w:bidi="zh-CN"/>
    </w:rPr>
  </w:style>
  <w:style w:type="paragraph" w:customStyle="1" w:styleId="2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5">
    <w:name w:val="List Paragraph"/>
    <w:basedOn w:val="1"/>
    <w:qFormat/>
    <w:uiPriority w:val="0"/>
    <w:pPr>
      <w:ind w:firstLine="420" w:firstLineChars="200"/>
    </w:pPr>
    <w:rPr>
      <w:rFonts w:ascii="Calibri" w:hAnsi="Calibri"/>
      <w:szCs w:val="22"/>
    </w:rPr>
  </w:style>
  <w:style w:type="paragraph" w:customStyle="1" w:styleId="26">
    <w:name w:val="WPSOffice手动目录 1"/>
    <w:qFormat/>
    <w:uiPriority w:val="0"/>
    <w:pPr>
      <w:ind w:leftChars="0"/>
    </w:pPr>
    <w:rPr>
      <w:rFonts w:ascii="Times New Roman" w:hAnsi="Times New Roman" w:eastAsia="宋体" w:cs="Times New Roman"/>
      <w:sz w:val="20"/>
      <w:szCs w:val="20"/>
    </w:rPr>
  </w:style>
  <w:style w:type="paragraph" w:customStyle="1" w:styleId="27">
    <w:name w:val="WPSOffice手动目录 2"/>
    <w:qFormat/>
    <w:uiPriority w:val="0"/>
    <w:pPr>
      <w:ind w:leftChars="200"/>
    </w:pPr>
    <w:rPr>
      <w:rFonts w:ascii="Times New Roman" w:hAnsi="Times New Roman" w:eastAsia="宋体" w:cs="Times New Roman"/>
      <w:sz w:val="20"/>
      <w:szCs w:val="20"/>
    </w:rPr>
  </w:style>
  <w:style w:type="paragraph" w:customStyle="1" w:styleId="28">
    <w:name w:val="WPSOffice手动目录 3"/>
    <w:qFormat/>
    <w:uiPriority w:val="0"/>
    <w:pPr>
      <w:ind w:leftChars="400"/>
    </w:pPr>
    <w:rPr>
      <w:rFonts w:ascii="Times New Roman" w:hAnsi="Times New Roman" w:eastAsia="宋体" w:cs="Times New Roman"/>
      <w:sz w:val="20"/>
      <w:szCs w:val="20"/>
    </w:rPr>
  </w:style>
  <w:style w:type="paragraph" w:customStyle="1" w:styleId="29">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4.png"/><Relationship Id="rId32" Type="http://schemas.openxmlformats.org/officeDocument/2006/relationships/image" Target="media/image3.png"/><Relationship Id="rId31" Type="http://schemas.openxmlformats.org/officeDocument/2006/relationships/image" Target="media/image2.png"/><Relationship Id="rId30" Type="http://schemas.openxmlformats.org/officeDocument/2006/relationships/image" Target="media/image1.png"/><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83</Pages>
  <Words>16518</Words>
  <Characters>17802</Characters>
  <Lines>0</Lines>
  <Paragraphs>0</Paragraphs>
  <TotalTime>4</TotalTime>
  <ScaleCrop>false</ScaleCrop>
  <LinksUpToDate>false</LinksUpToDate>
  <CharactersWithSpaces>17843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2023-05-31T19:14:00Z</dcterms:created>
  <dc:creator>e510</dc:creator>
  <cp:lastModifiedBy>USER</cp:lastModifiedBy>
  <dcterms:modified xsi:type="dcterms:W3CDTF">2025-04-22T03:16:56Z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2023-06-05T09:25:00Z</vt:filetime>
  </property>
  <property fmtid="{D5CDD505-2E9C-101B-9397-08002B2CF9AE}" pid="4" name="KSOProductBuildVer">
    <vt:lpwstr>2052-12.1.0.20784</vt:lpwstr>
  </property>
  <property fmtid="{D5CDD505-2E9C-101B-9397-08002B2CF9AE}" pid="5" name="ICV">
    <vt:lpwstr>0EEB6FA3E4BB4CD2A35917E0BD49B402_13</vt:lpwstr>
  </property>
  <property fmtid="{D5CDD505-2E9C-101B-9397-08002B2CF9AE}" pid="6" name="KSOTemplateDocerSaveRecord">
    <vt:lpwstr>eyJoZGlkIjoiOGRmOTA5YjEyNzQ2M2IzNzYzM2Q5MmJjMTUwNDk0OGIiLCJ1c2VySWQiOiIyNjU2NDQxNjkifQ==</vt:lpwstr>
  </property>
</Properties>
</file>