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5743B5">
      <w:pPr>
        <w:pStyle w:val="7"/>
        <w:spacing w:line="287" w:lineRule="auto"/>
        <w:rPr>
          <w:rFonts w:hint="eastAsia" w:ascii="宋体" w:hAnsi="宋体" w:eastAsia="宋体" w:cs="宋体"/>
          <w:i w:val="0"/>
          <w:iCs w:val="0"/>
          <w:color w:val="auto"/>
          <w:spacing w:val="0"/>
          <w:w w:val="100"/>
          <w:position w:val="0"/>
          <w:highlight w:val="none"/>
        </w:rPr>
      </w:pPr>
    </w:p>
    <w:p w14:paraId="2C0525BC">
      <w:pPr>
        <w:pStyle w:val="7"/>
        <w:spacing w:line="287" w:lineRule="auto"/>
        <w:rPr>
          <w:rFonts w:hint="eastAsia" w:ascii="宋体" w:hAnsi="宋体" w:eastAsia="宋体" w:cs="宋体"/>
          <w:i w:val="0"/>
          <w:iCs w:val="0"/>
          <w:color w:val="auto"/>
          <w:spacing w:val="0"/>
          <w:w w:val="100"/>
          <w:position w:val="0"/>
          <w:highlight w:val="none"/>
        </w:rPr>
      </w:pPr>
    </w:p>
    <w:p w14:paraId="27A33CEF">
      <w:pPr>
        <w:jc w:val="center"/>
        <w:rPr>
          <w:rFonts w:hint="eastAsia" w:asciiTheme="minorEastAsia" w:hAnsiTheme="minorEastAsia" w:eastAsiaTheme="minorEastAsia" w:cstheme="minorEastAsia"/>
          <w:b/>
          <w:bCs/>
          <w:snapToGrid w:val="0"/>
          <w:color w:val="auto"/>
          <w:kern w:val="0"/>
          <w:sz w:val="52"/>
          <w:szCs w:val="52"/>
          <w:highlight w:val="none"/>
          <w:lang w:val="en-US" w:eastAsia="zh-CN" w:bidi="ar-SA"/>
        </w:rPr>
      </w:pPr>
      <w:r>
        <w:rPr>
          <w:rFonts w:hint="eastAsia" w:asciiTheme="minorEastAsia" w:hAnsiTheme="minorEastAsia" w:eastAsiaTheme="minorEastAsia" w:cstheme="minorEastAsia"/>
          <w:b/>
          <w:bCs/>
          <w:color w:val="auto"/>
          <w:sz w:val="52"/>
          <w:szCs w:val="52"/>
          <w:highlight w:val="none"/>
          <w:lang w:val="en-US" w:eastAsia="zh-CN"/>
        </w:rPr>
        <w:t>蛟河市2024年农村供水工程中央资金维修养护项目</w:t>
      </w:r>
    </w:p>
    <w:p w14:paraId="3E137285">
      <w:pPr>
        <w:pStyle w:val="7"/>
        <w:spacing w:line="271" w:lineRule="auto"/>
        <w:rPr>
          <w:rFonts w:hint="eastAsia" w:ascii="宋体" w:hAnsi="宋体" w:eastAsia="宋体" w:cs="宋体"/>
          <w:i w:val="0"/>
          <w:iCs w:val="0"/>
          <w:color w:val="auto"/>
          <w:spacing w:val="0"/>
          <w:w w:val="100"/>
          <w:position w:val="0"/>
          <w:sz w:val="52"/>
          <w:szCs w:val="52"/>
          <w:highlight w:val="none"/>
        </w:rPr>
      </w:pPr>
    </w:p>
    <w:p w14:paraId="451AF2DF">
      <w:pPr>
        <w:spacing w:before="230" w:line="222" w:lineRule="auto"/>
        <w:jc w:val="center"/>
        <w:outlineLvl w:val="0"/>
        <w:rPr>
          <w:rFonts w:hint="eastAsia" w:ascii="宋体" w:hAnsi="宋体" w:eastAsia="宋体" w:cs="宋体"/>
          <w:i w:val="0"/>
          <w:iCs w:val="0"/>
          <w:color w:val="auto"/>
          <w:spacing w:val="0"/>
          <w:w w:val="100"/>
          <w:position w:val="0"/>
          <w:sz w:val="52"/>
          <w:szCs w:val="52"/>
          <w:highlight w:val="none"/>
          <w14:textOutline w14:w="13075" w14:cap="sq" w14:cmpd="sng">
            <w14:solidFill>
              <w14:srgbClr w14:val="000000"/>
            </w14:solidFill>
            <w14:prstDash w14:val="solid"/>
            <w14:bevel/>
          </w14:textOutline>
        </w:rPr>
      </w:pPr>
      <w:bookmarkStart w:id="0" w:name="_Toc21423"/>
    </w:p>
    <w:p w14:paraId="3EBEFC0C">
      <w:pPr>
        <w:spacing w:before="230" w:line="222" w:lineRule="auto"/>
        <w:jc w:val="center"/>
        <w:outlineLvl w:val="0"/>
        <w:rPr>
          <w:rFonts w:hint="eastAsia" w:ascii="宋体" w:hAnsi="宋体" w:eastAsia="宋体" w:cs="宋体"/>
          <w:i w:val="0"/>
          <w:iCs w:val="0"/>
          <w:color w:val="auto"/>
          <w:spacing w:val="0"/>
          <w:w w:val="100"/>
          <w:position w:val="0"/>
          <w:sz w:val="52"/>
          <w:szCs w:val="52"/>
          <w:highlight w:val="none"/>
          <w14:textOutline w14:w="13075" w14:cap="sq" w14:cmpd="sng">
            <w14:solidFill>
              <w14:srgbClr w14:val="000000"/>
            </w14:solidFill>
            <w14:prstDash w14:val="solid"/>
            <w14:bevel/>
          </w14:textOutline>
        </w:rPr>
      </w:pPr>
    </w:p>
    <w:p w14:paraId="6FFB10CE">
      <w:pPr>
        <w:spacing w:before="230" w:line="222" w:lineRule="auto"/>
        <w:jc w:val="center"/>
        <w:outlineLvl w:val="0"/>
        <w:rPr>
          <w:rFonts w:hint="eastAsia" w:ascii="宋体" w:hAnsi="宋体" w:eastAsia="宋体" w:cs="宋体"/>
          <w:i w:val="0"/>
          <w:iCs w:val="0"/>
          <w:color w:val="auto"/>
          <w:spacing w:val="0"/>
          <w:w w:val="100"/>
          <w:position w:val="0"/>
          <w:sz w:val="52"/>
          <w:szCs w:val="52"/>
          <w:highlight w:val="none"/>
        </w:rPr>
      </w:pPr>
      <w:r>
        <w:rPr>
          <w:rFonts w:hint="eastAsia" w:ascii="宋体" w:hAnsi="宋体" w:eastAsia="宋体" w:cs="宋体"/>
          <w:i w:val="0"/>
          <w:iCs w:val="0"/>
          <w:color w:val="auto"/>
          <w:spacing w:val="0"/>
          <w:w w:val="100"/>
          <w:position w:val="0"/>
          <w:sz w:val="52"/>
          <w:szCs w:val="52"/>
          <w:highlight w:val="none"/>
          <w14:textOutline w14:w="13075" w14:cap="sq" w14:cmpd="sng">
            <w14:solidFill>
              <w14:srgbClr w14:val="000000"/>
            </w14:solidFill>
            <w14:prstDash w14:val="solid"/>
            <w14:bevel/>
          </w14:textOutline>
        </w:rPr>
        <w:t>竞争性磋商文件</w:t>
      </w:r>
      <w:bookmarkEnd w:id="0"/>
    </w:p>
    <w:p w14:paraId="5459D891">
      <w:pPr>
        <w:pStyle w:val="7"/>
        <w:spacing w:line="454" w:lineRule="auto"/>
        <w:jc w:val="center"/>
        <w:rPr>
          <w:rFonts w:hint="eastAsia" w:ascii="宋体" w:hAnsi="宋体" w:eastAsia="宋体" w:cs="宋体"/>
          <w:i w:val="0"/>
          <w:iCs w:val="0"/>
          <w:color w:val="auto"/>
          <w:spacing w:val="0"/>
          <w:w w:val="100"/>
          <w:position w:val="0"/>
          <w:highlight w:val="none"/>
        </w:rPr>
      </w:pPr>
    </w:p>
    <w:p w14:paraId="70A12DF9">
      <w:pPr>
        <w:spacing w:before="101" w:line="225" w:lineRule="auto"/>
        <w:jc w:val="center"/>
        <w:rPr>
          <w:rFonts w:hint="default" w:ascii="宋体" w:hAnsi="宋体" w:eastAsia="宋体" w:cs="宋体"/>
          <w:i w:val="0"/>
          <w:iCs w:val="0"/>
          <w:color w:val="auto"/>
          <w:spacing w:val="0"/>
          <w:w w:val="100"/>
          <w:position w:val="0"/>
          <w:sz w:val="31"/>
          <w:szCs w:val="31"/>
          <w:highlight w:val="none"/>
          <w:lang w:val="en-US" w:eastAsia="zh-CN"/>
        </w:rPr>
      </w:pPr>
      <w:r>
        <w:rPr>
          <w:rFonts w:hint="eastAsia" w:ascii="宋体" w:hAnsi="宋体" w:eastAsia="宋体" w:cs="宋体"/>
          <w:i w:val="0"/>
          <w:iCs w:val="0"/>
          <w:color w:val="auto"/>
          <w:spacing w:val="0"/>
          <w:w w:val="100"/>
          <w:position w:val="0"/>
          <w:sz w:val="31"/>
          <w:szCs w:val="31"/>
          <w:highlight w:val="none"/>
          <w14:textOutline w14:w="5793" w14:cap="sq" w14:cmpd="sng">
            <w14:solidFill>
              <w14:srgbClr w14:val="000000"/>
            </w14:solidFill>
            <w14:prstDash w14:val="solid"/>
            <w14:bevel/>
          </w14:textOutline>
        </w:rPr>
        <w:t>项目编号：</w:t>
      </w:r>
      <w:r>
        <w:rPr>
          <w:rFonts w:hint="eastAsia" w:ascii="宋体" w:hAnsi="宋体" w:eastAsia="宋体" w:cs="宋体"/>
          <w:i w:val="0"/>
          <w:iCs w:val="0"/>
          <w:color w:val="auto"/>
          <w:spacing w:val="0"/>
          <w:w w:val="100"/>
          <w:position w:val="0"/>
          <w:sz w:val="31"/>
          <w:szCs w:val="31"/>
          <w:highlight w:val="none"/>
          <w:lang w:val="en-US" w:eastAsia="zh-CN"/>
          <w14:textOutline w14:w="5793" w14:cap="sq" w14:cmpd="sng">
            <w14:solidFill>
              <w14:srgbClr w14:val="000000"/>
            </w14:solidFill>
            <w14:prstDash w14:val="solid"/>
            <w14:bevel/>
          </w14:textOutline>
        </w:rPr>
        <w:t>JLYC-[2025]-0304</w:t>
      </w:r>
    </w:p>
    <w:p w14:paraId="0ABB0FC9">
      <w:pPr>
        <w:pStyle w:val="7"/>
        <w:rPr>
          <w:rFonts w:hint="eastAsia" w:ascii="宋体" w:hAnsi="宋体" w:eastAsia="宋体" w:cs="宋体"/>
          <w:i w:val="0"/>
          <w:iCs w:val="0"/>
          <w:color w:val="auto"/>
          <w:spacing w:val="0"/>
          <w:w w:val="100"/>
          <w:position w:val="0"/>
          <w:highlight w:val="none"/>
        </w:rPr>
      </w:pPr>
    </w:p>
    <w:p w14:paraId="0961570D">
      <w:pPr>
        <w:pStyle w:val="7"/>
        <w:spacing w:line="241" w:lineRule="auto"/>
        <w:rPr>
          <w:rFonts w:hint="eastAsia" w:ascii="宋体" w:hAnsi="宋体" w:eastAsia="宋体" w:cs="宋体"/>
          <w:i w:val="0"/>
          <w:iCs w:val="0"/>
          <w:color w:val="auto"/>
          <w:spacing w:val="0"/>
          <w:w w:val="100"/>
          <w:position w:val="0"/>
          <w:highlight w:val="none"/>
        </w:rPr>
      </w:pPr>
    </w:p>
    <w:p w14:paraId="22EF5CB1">
      <w:pPr>
        <w:pStyle w:val="7"/>
        <w:spacing w:line="241" w:lineRule="auto"/>
        <w:rPr>
          <w:rFonts w:hint="eastAsia" w:ascii="宋体" w:hAnsi="宋体" w:eastAsia="宋体" w:cs="宋体"/>
          <w:i w:val="0"/>
          <w:iCs w:val="0"/>
          <w:color w:val="auto"/>
          <w:spacing w:val="0"/>
          <w:w w:val="100"/>
          <w:position w:val="0"/>
          <w:highlight w:val="none"/>
        </w:rPr>
      </w:pPr>
    </w:p>
    <w:p w14:paraId="187C8D51">
      <w:pPr>
        <w:pStyle w:val="7"/>
        <w:spacing w:line="241" w:lineRule="auto"/>
        <w:rPr>
          <w:rFonts w:hint="eastAsia" w:ascii="宋体" w:hAnsi="宋体" w:eastAsia="宋体" w:cs="宋体"/>
          <w:i w:val="0"/>
          <w:iCs w:val="0"/>
          <w:color w:val="auto"/>
          <w:spacing w:val="0"/>
          <w:w w:val="100"/>
          <w:position w:val="0"/>
          <w:highlight w:val="none"/>
        </w:rPr>
      </w:pPr>
    </w:p>
    <w:p w14:paraId="0DAD779B">
      <w:pPr>
        <w:pStyle w:val="7"/>
        <w:spacing w:line="241" w:lineRule="auto"/>
        <w:rPr>
          <w:rFonts w:hint="eastAsia" w:ascii="宋体" w:hAnsi="宋体" w:eastAsia="宋体" w:cs="宋体"/>
          <w:i w:val="0"/>
          <w:iCs w:val="0"/>
          <w:color w:val="auto"/>
          <w:spacing w:val="0"/>
          <w:w w:val="100"/>
          <w:position w:val="0"/>
          <w:highlight w:val="none"/>
        </w:rPr>
      </w:pPr>
    </w:p>
    <w:p w14:paraId="561D6449">
      <w:pPr>
        <w:pStyle w:val="7"/>
        <w:spacing w:line="241" w:lineRule="auto"/>
        <w:rPr>
          <w:rFonts w:hint="eastAsia" w:ascii="宋体" w:hAnsi="宋体" w:eastAsia="宋体" w:cs="宋体"/>
          <w:i w:val="0"/>
          <w:iCs w:val="0"/>
          <w:color w:val="auto"/>
          <w:spacing w:val="0"/>
          <w:w w:val="100"/>
          <w:position w:val="0"/>
          <w:highlight w:val="none"/>
        </w:rPr>
      </w:pPr>
    </w:p>
    <w:p w14:paraId="305954E2">
      <w:pPr>
        <w:pStyle w:val="7"/>
        <w:spacing w:line="241" w:lineRule="auto"/>
        <w:rPr>
          <w:rFonts w:hint="eastAsia" w:ascii="宋体" w:hAnsi="宋体" w:eastAsia="宋体" w:cs="宋体"/>
          <w:i w:val="0"/>
          <w:iCs w:val="0"/>
          <w:color w:val="auto"/>
          <w:spacing w:val="0"/>
          <w:w w:val="100"/>
          <w:position w:val="0"/>
          <w:highlight w:val="none"/>
        </w:rPr>
      </w:pPr>
    </w:p>
    <w:p w14:paraId="023A8BCE">
      <w:pPr>
        <w:pStyle w:val="7"/>
        <w:spacing w:line="241" w:lineRule="auto"/>
        <w:rPr>
          <w:rFonts w:hint="eastAsia" w:ascii="宋体" w:hAnsi="宋体" w:eastAsia="宋体" w:cs="宋体"/>
          <w:i w:val="0"/>
          <w:iCs w:val="0"/>
          <w:color w:val="auto"/>
          <w:spacing w:val="0"/>
          <w:w w:val="100"/>
          <w:position w:val="0"/>
          <w:highlight w:val="none"/>
        </w:rPr>
      </w:pPr>
    </w:p>
    <w:p w14:paraId="35352A7E">
      <w:pPr>
        <w:pStyle w:val="7"/>
        <w:spacing w:line="241" w:lineRule="auto"/>
        <w:rPr>
          <w:rFonts w:hint="eastAsia" w:ascii="宋体" w:hAnsi="宋体" w:eastAsia="宋体" w:cs="宋体"/>
          <w:i w:val="0"/>
          <w:iCs w:val="0"/>
          <w:color w:val="auto"/>
          <w:spacing w:val="0"/>
          <w:w w:val="100"/>
          <w:position w:val="0"/>
          <w:highlight w:val="none"/>
        </w:rPr>
      </w:pPr>
    </w:p>
    <w:p w14:paraId="6319A6D5">
      <w:pPr>
        <w:pStyle w:val="7"/>
        <w:spacing w:line="241" w:lineRule="auto"/>
        <w:rPr>
          <w:rFonts w:hint="eastAsia" w:ascii="宋体" w:hAnsi="宋体" w:eastAsia="宋体" w:cs="宋体"/>
          <w:i w:val="0"/>
          <w:iCs w:val="0"/>
          <w:color w:val="auto"/>
          <w:spacing w:val="0"/>
          <w:w w:val="100"/>
          <w:position w:val="0"/>
          <w:highlight w:val="none"/>
        </w:rPr>
      </w:pPr>
    </w:p>
    <w:p w14:paraId="466C9598">
      <w:pPr>
        <w:pStyle w:val="7"/>
        <w:spacing w:line="241" w:lineRule="auto"/>
        <w:rPr>
          <w:rFonts w:hint="eastAsia" w:ascii="宋体" w:hAnsi="宋体" w:eastAsia="宋体" w:cs="宋体"/>
          <w:i w:val="0"/>
          <w:iCs w:val="0"/>
          <w:color w:val="auto"/>
          <w:spacing w:val="0"/>
          <w:w w:val="100"/>
          <w:position w:val="0"/>
          <w:highlight w:val="none"/>
        </w:rPr>
      </w:pPr>
    </w:p>
    <w:p w14:paraId="435FF69A">
      <w:pPr>
        <w:pStyle w:val="7"/>
        <w:spacing w:line="241" w:lineRule="auto"/>
        <w:rPr>
          <w:rFonts w:hint="eastAsia" w:ascii="宋体" w:hAnsi="宋体" w:eastAsia="宋体" w:cs="宋体"/>
          <w:i w:val="0"/>
          <w:iCs w:val="0"/>
          <w:color w:val="auto"/>
          <w:spacing w:val="0"/>
          <w:w w:val="100"/>
          <w:position w:val="0"/>
          <w:highlight w:val="none"/>
        </w:rPr>
      </w:pPr>
    </w:p>
    <w:p w14:paraId="2AACA2B5">
      <w:pPr>
        <w:pStyle w:val="7"/>
        <w:spacing w:line="241" w:lineRule="auto"/>
        <w:rPr>
          <w:rFonts w:hint="eastAsia" w:ascii="宋体" w:hAnsi="宋体" w:eastAsia="宋体" w:cs="宋体"/>
          <w:i w:val="0"/>
          <w:iCs w:val="0"/>
          <w:color w:val="auto"/>
          <w:spacing w:val="0"/>
          <w:w w:val="100"/>
          <w:position w:val="0"/>
          <w:highlight w:val="none"/>
        </w:rPr>
      </w:pPr>
    </w:p>
    <w:p w14:paraId="68634C3C">
      <w:pPr>
        <w:spacing w:before="91" w:line="219" w:lineRule="auto"/>
        <w:jc w:val="center"/>
        <w:rPr>
          <w:rFonts w:hint="eastAsia" w:ascii="宋体" w:hAnsi="宋体" w:eastAsia="宋体" w:cs="宋体"/>
          <w:i w:val="0"/>
          <w:iCs w:val="0"/>
          <w:color w:val="auto"/>
          <w:spacing w:val="0"/>
          <w:w w:val="100"/>
          <w:position w:val="0"/>
          <w:sz w:val="32"/>
          <w:szCs w:val="32"/>
          <w:highlight w:val="none"/>
        </w:rPr>
      </w:pPr>
      <w:r>
        <w:rPr>
          <w:rFonts w:hint="eastAsia" w:ascii="宋体" w:hAnsi="宋体" w:eastAsia="宋体" w:cs="宋体"/>
          <w:i w:val="0"/>
          <w:iCs w:val="0"/>
          <w:color w:val="auto"/>
          <w:spacing w:val="0"/>
          <w:w w:val="100"/>
          <w:position w:val="0"/>
          <w:sz w:val="32"/>
          <w:szCs w:val="32"/>
          <w:highlight w:val="none"/>
          <w:lang w:val="en-US" w:eastAsia="zh-CN"/>
          <w14:textOutline w14:w="5103" w14:cap="sq" w14:cmpd="sng">
            <w14:solidFill>
              <w14:srgbClr w14:val="000000"/>
            </w14:solidFill>
            <w14:prstDash w14:val="solid"/>
            <w14:bevel/>
          </w14:textOutline>
        </w:rPr>
        <w:t>采购</w:t>
      </w:r>
      <w:r>
        <w:rPr>
          <w:rFonts w:hint="eastAsia" w:ascii="宋体" w:hAnsi="宋体" w:eastAsia="宋体" w:cs="宋体"/>
          <w:i w:val="0"/>
          <w:iCs w:val="0"/>
          <w:color w:val="auto"/>
          <w:spacing w:val="0"/>
          <w:w w:val="100"/>
          <w:position w:val="0"/>
          <w:sz w:val="32"/>
          <w:szCs w:val="32"/>
          <w:highlight w:val="none"/>
          <w14:textOutline w14:w="5103" w14:cap="sq" w14:cmpd="sng">
            <w14:solidFill>
              <w14:srgbClr w14:val="000000"/>
            </w14:solidFill>
            <w14:prstDash w14:val="solid"/>
            <w14:bevel/>
          </w14:textOutline>
        </w:rPr>
        <w:t>人：蛟河市农村供水服务中心</w:t>
      </w:r>
    </w:p>
    <w:p w14:paraId="4690358E">
      <w:pPr>
        <w:pStyle w:val="7"/>
        <w:spacing w:line="280" w:lineRule="auto"/>
        <w:jc w:val="center"/>
        <w:rPr>
          <w:rFonts w:hint="eastAsia" w:ascii="宋体" w:hAnsi="宋体" w:eastAsia="宋体" w:cs="宋体"/>
          <w:i w:val="0"/>
          <w:iCs w:val="0"/>
          <w:color w:val="auto"/>
          <w:spacing w:val="0"/>
          <w:w w:val="100"/>
          <w:position w:val="0"/>
          <w:sz w:val="32"/>
          <w:szCs w:val="32"/>
          <w:highlight w:val="none"/>
        </w:rPr>
      </w:pPr>
    </w:p>
    <w:p w14:paraId="6108E33E">
      <w:pPr>
        <w:spacing w:before="92" w:line="219" w:lineRule="auto"/>
        <w:jc w:val="center"/>
        <w:rPr>
          <w:rFonts w:hint="eastAsia" w:ascii="宋体" w:hAnsi="宋体" w:eastAsia="宋体" w:cs="宋体"/>
          <w:i w:val="0"/>
          <w:iCs w:val="0"/>
          <w:color w:val="auto"/>
          <w:spacing w:val="0"/>
          <w:w w:val="100"/>
          <w:position w:val="0"/>
          <w:sz w:val="32"/>
          <w:szCs w:val="32"/>
          <w:highlight w:val="none"/>
          <w:lang w:eastAsia="zh-CN"/>
          <w14:textOutline w14:w="5103" w14:cap="sq" w14:cmpd="sng">
            <w14:solidFill>
              <w14:srgbClr w14:val="000000"/>
            </w14:solidFill>
            <w14:prstDash w14:val="solid"/>
            <w14:bevel/>
          </w14:textOutline>
        </w:rPr>
      </w:pPr>
      <w:r>
        <w:rPr>
          <w:rFonts w:hint="eastAsia" w:ascii="宋体" w:hAnsi="宋体" w:eastAsia="宋体" w:cs="宋体"/>
          <w:i w:val="0"/>
          <w:iCs w:val="0"/>
          <w:color w:val="auto"/>
          <w:spacing w:val="0"/>
          <w:w w:val="100"/>
          <w:position w:val="0"/>
          <w:sz w:val="32"/>
          <w:szCs w:val="32"/>
          <w:highlight w:val="none"/>
          <w:lang w:eastAsia="zh-CN"/>
          <w14:textOutline w14:w="5103" w14:cap="sq" w14:cmpd="sng">
            <w14:solidFill>
              <w14:srgbClr w14:val="000000"/>
            </w14:solidFill>
            <w14:prstDash w14:val="solid"/>
            <w14:bevel/>
          </w14:textOutline>
        </w:rPr>
        <w:t>采购代理机构</w:t>
      </w:r>
      <w:r>
        <w:rPr>
          <w:rFonts w:hint="eastAsia" w:ascii="宋体" w:hAnsi="宋体" w:eastAsia="宋体" w:cs="宋体"/>
          <w:i w:val="0"/>
          <w:iCs w:val="0"/>
          <w:color w:val="auto"/>
          <w:spacing w:val="0"/>
          <w:w w:val="100"/>
          <w:position w:val="0"/>
          <w:sz w:val="32"/>
          <w:szCs w:val="32"/>
          <w:highlight w:val="none"/>
          <w14:textOutline w14:w="5103" w14:cap="sq" w14:cmpd="sng">
            <w14:solidFill>
              <w14:srgbClr w14:val="000000"/>
            </w14:solidFill>
            <w14:prstDash w14:val="solid"/>
            <w14:bevel/>
          </w14:textOutline>
        </w:rPr>
        <w:t>：</w:t>
      </w:r>
      <w:r>
        <w:rPr>
          <w:rFonts w:hint="eastAsia" w:ascii="宋体" w:hAnsi="宋体" w:eastAsia="宋体" w:cs="宋体"/>
          <w:i w:val="0"/>
          <w:iCs w:val="0"/>
          <w:color w:val="auto"/>
          <w:spacing w:val="0"/>
          <w:w w:val="100"/>
          <w:position w:val="0"/>
          <w:sz w:val="32"/>
          <w:szCs w:val="32"/>
          <w:highlight w:val="none"/>
          <w:lang w:eastAsia="zh-CN"/>
          <w14:textOutline w14:w="5103" w14:cap="sq" w14:cmpd="sng">
            <w14:solidFill>
              <w14:srgbClr w14:val="000000"/>
            </w14:solidFill>
            <w14:prstDash w14:val="solid"/>
            <w14:bevel/>
          </w14:textOutline>
        </w:rPr>
        <w:t>吉林省元辰工程项目管理有限公司</w:t>
      </w:r>
    </w:p>
    <w:p w14:paraId="2CD74409">
      <w:pPr>
        <w:spacing w:before="92" w:line="219" w:lineRule="auto"/>
        <w:jc w:val="center"/>
        <w:rPr>
          <w:rFonts w:hint="eastAsia" w:ascii="宋体" w:hAnsi="宋体" w:eastAsia="宋体" w:cs="宋体"/>
          <w:i w:val="0"/>
          <w:iCs w:val="0"/>
          <w:color w:val="auto"/>
          <w:spacing w:val="0"/>
          <w:w w:val="100"/>
          <w:position w:val="0"/>
          <w:sz w:val="32"/>
          <w:szCs w:val="32"/>
          <w:highlight w:val="none"/>
          <w:lang w:eastAsia="zh-CN"/>
        </w:rPr>
      </w:pPr>
    </w:p>
    <w:p w14:paraId="446730C7">
      <w:pPr>
        <w:pStyle w:val="7"/>
        <w:spacing w:line="301" w:lineRule="auto"/>
        <w:rPr>
          <w:rFonts w:hint="eastAsia" w:ascii="宋体" w:hAnsi="宋体" w:eastAsia="宋体" w:cs="宋体"/>
          <w:i w:val="0"/>
          <w:iCs w:val="0"/>
          <w:color w:val="auto"/>
          <w:spacing w:val="0"/>
          <w:w w:val="100"/>
          <w:position w:val="0"/>
          <w:sz w:val="32"/>
          <w:szCs w:val="32"/>
          <w:highlight w:val="none"/>
        </w:rPr>
      </w:pPr>
    </w:p>
    <w:p w14:paraId="55E8833C">
      <w:pPr>
        <w:spacing w:before="97" w:line="219" w:lineRule="auto"/>
        <w:ind w:left="3150"/>
        <w:rPr>
          <w:rFonts w:hint="eastAsia" w:ascii="宋体" w:hAnsi="宋体" w:eastAsia="宋体" w:cs="宋体"/>
          <w:i w:val="0"/>
          <w:iCs w:val="0"/>
          <w:color w:val="auto"/>
          <w:spacing w:val="0"/>
          <w:w w:val="100"/>
          <w:position w:val="0"/>
          <w:sz w:val="30"/>
          <w:szCs w:val="30"/>
          <w:highlight w:val="none"/>
        </w:rPr>
      </w:pPr>
      <w:r>
        <w:rPr>
          <w:rFonts w:hint="eastAsia" w:ascii="宋体" w:hAnsi="宋体" w:eastAsia="宋体" w:cs="宋体"/>
          <w:i w:val="0"/>
          <w:iCs w:val="0"/>
          <w:color w:val="auto"/>
          <w:spacing w:val="0"/>
          <w:w w:val="100"/>
          <w:position w:val="0"/>
          <w:sz w:val="32"/>
          <w:szCs w:val="32"/>
          <w:highlight w:val="none"/>
          <w14:textOutline w14:w="5448" w14:cap="sq" w14:cmpd="sng">
            <w14:solidFill>
              <w14:srgbClr w14:val="000000"/>
            </w14:solidFill>
            <w14:prstDash w14:val="solid"/>
            <w14:bevel/>
          </w14:textOutline>
        </w:rPr>
        <w:t>二〇二</w:t>
      </w:r>
      <w:r>
        <w:rPr>
          <w:rFonts w:hint="eastAsia" w:ascii="宋体" w:hAnsi="宋体" w:eastAsia="宋体" w:cs="宋体"/>
          <w:i w:val="0"/>
          <w:iCs w:val="0"/>
          <w:color w:val="auto"/>
          <w:spacing w:val="0"/>
          <w:w w:val="100"/>
          <w:position w:val="0"/>
          <w:sz w:val="32"/>
          <w:szCs w:val="32"/>
          <w:highlight w:val="none"/>
          <w:lang w:val="en-US" w:eastAsia="zh-CN"/>
          <w14:textOutline w14:w="5448" w14:cap="sq" w14:cmpd="sng">
            <w14:solidFill>
              <w14:srgbClr w14:val="000000"/>
            </w14:solidFill>
            <w14:prstDash w14:val="solid"/>
            <w14:bevel/>
          </w14:textOutline>
        </w:rPr>
        <w:t>五</w:t>
      </w:r>
      <w:r>
        <w:rPr>
          <w:rFonts w:hint="eastAsia" w:ascii="宋体" w:hAnsi="宋体" w:eastAsia="宋体" w:cs="宋体"/>
          <w:i w:val="0"/>
          <w:iCs w:val="0"/>
          <w:color w:val="auto"/>
          <w:spacing w:val="0"/>
          <w:w w:val="100"/>
          <w:position w:val="0"/>
          <w:sz w:val="32"/>
          <w:szCs w:val="32"/>
          <w:highlight w:val="none"/>
          <w14:textOutline w14:w="5448" w14:cap="sq" w14:cmpd="sng">
            <w14:solidFill>
              <w14:srgbClr w14:val="000000"/>
            </w14:solidFill>
            <w14:prstDash w14:val="solid"/>
            <w14:bevel/>
          </w14:textOutline>
        </w:rPr>
        <w:t>年</w:t>
      </w:r>
      <w:r>
        <w:rPr>
          <w:rFonts w:hint="eastAsia" w:ascii="宋体" w:hAnsi="宋体" w:eastAsia="宋体" w:cs="宋体"/>
          <w:i w:val="0"/>
          <w:iCs w:val="0"/>
          <w:color w:val="auto"/>
          <w:spacing w:val="0"/>
          <w:w w:val="100"/>
          <w:position w:val="0"/>
          <w:sz w:val="32"/>
          <w:szCs w:val="32"/>
          <w:highlight w:val="none"/>
          <w:lang w:val="en-US" w:eastAsia="zh-CN"/>
          <w14:textOutline w14:w="5448" w14:cap="sq" w14:cmpd="sng">
            <w14:solidFill>
              <w14:srgbClr w14:val="000000"/>
            </w14:solidFill>
            <w14:prstDash w14:val="solid"/>
            <w14:bevel/>
          </w14:textOutline>
        </w:rPr>
        <w:t>三</w:t>
      </w:r>
      <w:r>
        <w:rPr>
          <w:rFonts w:hint="eastAsia" w:ascii="宋体" w:hAnsi="宋体" w:eastAsia="宋体" w:cs="宋体"/>
          <w:i w:val="0"/>
          <w:iCs w:val="0"/>
          <w:color w:val="auto"/>
          <w:spacing w:val="0"/>
          <w:w w:val="100"/>
          <w:position w:val="0"/>
          <w:sz w:val="32"/>
          <w:szCs w:val="32"/>
          <w:highlight w:val="none"/>
          <w14:textOutline w14:w="5448" w14:cap="sq" w14:cmpd="sng">
            <w14:solidFill>
              <w14:srgbClr w14:val="000000"/>
            </w14:solidFill>
            <w14:prstDash w14:val="solid"/>
            <w14:bevel/>
          </w14:textOutline>
        </w:rPr>
        <w:t>月</w:t>
      </w:r>
    </w:p>
    <w:p w14:paraId="66ADBAB2">
      <w:pPr>
        <w:spacing w:line="219" w:lineRule="auto"/>
        <w:rPr>
          <w:rFonts w:hint="eastAsia" w:ascii="宋体" w:hAnsi="宋体" w:eastAsia="宋体" w:cs="宋体"/>
          <w:i w:val="0"/>
          <w:iCs w:val="0"/>
          <w:color w:val="auto"/>
          <w:spacing w:val="0"/>
          <w:w w:val="100"/>
          <w:position w:val="0"/>
          <w:sz w:val="30"/>
          <w:szCs w:val="30"/>
          <w:highlight w:val="none"/>
        </w:rPr>
        <w:sectPr>
          <w:pgSz w:w="11907" w:h="16840"/>
          <w:pgMar w:top="1431" w:right="1469" w:bottom="0" w:left="1786" w:header="0" w:footer="0" w:gutter="0"/>
          <w:cols w:space="720" w:num="1"/>
        </w:sectPr>
      </w:pPr>
    </w:p>
    <w:p w14:paraId="1C1B823E">
      <w:pPr>
        <w:pStyle w:val="7"/>
        <w:spacing w:line="345" w:lineRule="auto"/>
        <w:rPr>
          <w:rFonts w:hint="eastAsia" w:ascii="宋体" w:hAnsi="宋体" w:eastAsia="宋体" w:cs="宋体"/>
          <w:i w:val="0"/>
          <w:iCs w:val="0"/>
          <w:color w:val="auto"/>
          <w:spacing w:val="0"/>
          <w:w w:val="100"/>
          <w:position w:val="0"/>
          <w:highlight w:val="none"/>
        </w:rPr>
      </w:pPr>
    </w:p>
    <w:p w14:paraId="097A7692">
      <w:pPr>
        <w:pStyle w:val="7"/>
        <w:spacing w:line="345" w:lineRule="auto"/>
        <w:rPr>
          <w:rFonts w:hint="eastAsia" w:ascii="宋体" w:hAnsi="宋体" w:eastAsia="宋体" w:cs="宋体"/>
          <w:i w:val="0"/>
          <w:iCs w:val="0"/>
          <w:color w:val="auto"/>
          <w:spacing w:val="0"/>
          <w:w w:val="100"/>
          <w:position w:val="0"/>
          <w:highlight w:val="none"/>
        </w:rPr>
      </w:pPr>
    </w:p>
    <w:sdt>
      <w:sdtPr>
        <w:rPr>
          <w:rFonts w:ascii="宋体" w:hAnsi="宋体" w:eastAsia="宋体" w:cs="Arial"/>
          <w:snapToGrid w:val="0"/>
          <w:color w:val="auto"/>
          <w:kern w:val="0"/>
          <w:sz w:val="21"/>
          <w:szCs w:val="21"/>
          <w:highlight w:val="none"/>
          <w:lang w:val="en-US" w:eastAsia="en-US" w:bidi="ar-SA"/>
        </w:rPr>
        <w:id w:val="147480176"/>
        <w15:color w:val="DBDBDB"/>
        <w:docPartObj>
          <w:docPartGallery w:val="Table of Contents"/>
          <w:docPartUnique/>
        </w:docPartObj>
      </w:sdtPr>
      <w:sdtEndPr>
        <w:rPr>
          <w:rFonts w:ascii="宋体" w:hAnsi="宋体" w:eastAsia="宋体" w:cs="Arial"/>
          <w:b/>
          <w:snapToGrid w:val="0"/>
          <w:color w:val="auto"/>
          <w:kern w:val="0"/>
          <w:sz w:val="21"/>
          <w:szCs w:val="21"/>
          <w:highlight w:val="none"/>
          <w:lang w:val="en-US" w:eastAsia="en-US" w:bidi="ar-SA"/>
        </w:rPr>
      </w:sdtEndPr>
      <w:sdtContent>
        <w:p w14:paraId="0F01E91A">
          <w:pPr>
            <w:spacing w:before="0" w:beforeLines="0" w:after="0" w:afterLines="0" w:line="480" w:lineRule="auto"/>
            <w:ind w:left="0" w:leftChars="0" w:right="0" w:rightChars="0" w:firstLine="0" w:firstLineChars="0"/>
            <w:jc w:val="center"/>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t>目录</w:t>
          </w:r>
        </w:p>
        <w:p w14:paraId="548B689E">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TOC \o "1-2" \h \u </w:instrText>
          </w:r>
          <w:r>
            <w:rPr>
              <w:rFonts w:hint="eastAsia" w:ascii="宋体" w:hAnsi="宋体" w:eastAsia="宋体" w:cs="宋体"/>
              <w:b w:val="0"/>
              <w:bCs w:val="0"/>
              <w:color w:val="auto"/>
              <w:sz w:val="28"/>
              <w:szCs w:val="28"/>
              <w:highlight w:val="none"/>
            </w:rPr>
            <w:fldChar w:fldCharType="separate"/>
          </w:r>
        </w:p>
        <w:p w14:paraId="131F5DE1">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_Toc22128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第一章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竞争性磋商公告</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_Toc22128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1</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4B40D857">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_Toc4260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第二章</w:t>
          </w:r>
          <w:r>
            <w:rPr>
              <w:rFonts w:hint="eastAsia" w:ascii="宋体" w:hAnsi="宋体" w:cs="宋体"/>
              <w:b w:val="0"/>
              <w:bCs w:val="0"/>
              <w:color w:val="auto"/>
              <w:sz w:val="28"/>
              <w:szCs w:val="28"/>
              <w:highlight w:val="none"/>
              <w:lang w:val="en-US" w:eastAsia="zh-CN"/>
            </w:rPr>
            <w:t>、</w:t>
          </w:r>
          <w:r>
            <w:rPr>
              <w:rFonts w:hint="eastAsia" w:ascii="宋体" w:hAnsi="宋体" w:eastAsia="宋体" w:cs="宋体"/>
              <w:b w:val="0"/>
              <w:bCs w:val="0"/>
              <w:color w:val="auto"/>
              <w:sz w:val="28"/>
              <w:szCs w:val="28"/>
              <w:highlight w:val="none"/>
            </w:rPr>
            <w:t>供应商须知</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_Toc4260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4</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100CD1B7">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_Toc5643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第三章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评审办法</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_Toc5643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19</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57C8E078">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_Toc6452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第四章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合同条款及格式</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_Toc6452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26</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1F3466AB">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_Toc20929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第五章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工程量清单</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_Toc20929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77</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35A8D051">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_Toc30136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第六章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图纸</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_Toc30136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78</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166AA4CD">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_Toc15082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第七章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技术标准和要求</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_Toc15082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79</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486809B5">
          <w:pPr>
            <w:pStyle w:val="34"/>
            <w:tabs>
              <w:tab w:val="right" w:leader="dot" w:pos="8789"/>
            </w:tabs>
            <w:spacing w:line="480" w:lineRule="auto"/>
            <w:rPr>
              <w:rFonts w:hint="eastAsia" w:ascii="宋体" w:hAnsi="宋体" w:eastAsia="宋体" w:cs="宋体"/>
              <w:b w:val="0"/>
              <w:bCs w:val="0"/>
              <w:color w:val="auto"/>
              <w:sz w:val="28"/>
              <w:szCs w:val="28"/>
              <w:highlight w:val="none"/>
            </w:rPr>
          </w:pP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HYPERLINK \l _Toc19007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第八章</w:t>
          </w:r>
          <w:r>
            <w:rPr>
              <w:rFonts w:hint="eastAsia" w:ascii="宋体" w:hAnsi="宋体" w:eastAsia="宋体" w:cs="宋体"/>
              <w:b w:val="0"/>
              <w:bCs w:val="0"/>
              <w:color w:val="auto"/>
              <w:sz w:val="28"/>
              <w:szCs w:val="28"/>
              <w:highlight w:val="none"/>
              <w:lang w:eastAsia="zh-CN"/>
            </w:rPr>
            <w:t>、</w:t>
          </w:r>
          <w:r>
            <w:rPr>
              <w:rFonts w:hint="eastAsia" w:ascii="宋体" w:hAnsi="宋体" w:eastAsia="宋体" w:cs="宋体"/>
              <w:b w:val="0"/>
              <w:bCs w:val="0"/>
              <w:color w:val="auto"/>
              <w:sz w:val="28"/>
              <w:szCs w:val="28"/>
              <w:highlight w:val="none"/>
            </w:rPr>
            <w:t>磋商响应文件格式</w:t>
          </w:r>
          <w:r>
            <w:rPr>
              <w:rFonts w:hint="eastAsia" w:ascii="宋体" w:hAnsi="宋体" w:eastAsia="宋体" w:cs="宋体"/>
              <w:b w:val="0"/>
              <w:bCs w:val="0"/>
              <w:color w:val="auto"/>
              <w:sz w:val="28"/>
              <w:szCs w:val="28"/>
              <w:highlight w:val="none"/>
            </w:rPr>
            <w:tab/>
          </w:r>
          <w:r>
            <w:rPr>
              <w:rFonts w:hint="eastAsia" w:ascii="宋体" w:hAnsi="宋体" w:eastAsia="宋体" w:cs="宋体"/>
              <w:b w:val="0"/>
              <w:bCs w:val="0"/>
              <w:color w:val="auto"/>
              <w:sz w:val="28"/>
              <w:szCs w:val="28"/>
              <w:highlight w:val="none"/>
            </w:rPr>
            <w:fldChar w:fldCharType="begin"/>
          </w:r>
          <w:r>
            <w:rPr>
              <w:rFonts w:hint="eastAsia" w:ascii="宋体" w:hAnsi="宋体" w:eastAsia="宋体" w:cs="宋体"/>
              <w:b w:val="0"/>
              <w:bCs w:val="0"/>
              <w:color w:val="auto"/>
              <w:sz w:val="28"/>
              <w:szCs w:val="28"/>
              <w:highlight w:val="none"/>
            </w:rPr>
            <w:instrText xml:space="preserve"> PAGEREF _Toc19007 \h </w:instrText>
          </w:r>
          <w:r>
            <w:rPr>
              <w:rFonts w:hint="eastAsia" w:ascii="宋体" w:hAnsi="宋体" w:eastAsia="宋体" w:cs="宋体"/>
              <w:b w:val="0"/>
              <w:bCs w:val="0"/>
              <w:color w:val="auto"/>
              <w:sz w:val="28"/>
              <w:szCs w:val="28"/>
              <w:highlight w:val="none"/>
            </w:rPr>
            <w:fldChar w:fldCharType="separate"/>
          </w:r>
          <w:r>
            <w:rPr>
              <w:rFonts w:hint="eastAsia" w:ascii="宋体" w:hAnsi="宋体" w:eastAsia="宋体" w:cs="宋体"/>
              <w:b w:val="0"/>
              <w:bCs w:val="0"/>
              <w:color w:val="auto"/>
              <w:sz w:val="28"/>
              <w:szCs w:val="28"/>
              <w:highlight w:val="none"/>
            </w:rPr>
            <w:t>80</w:t>
          </w:r>
          <w:r>
            <w:rPr>
              <w:rFonts w:hint="eastAsia" w:ascii="宋体" w:hAnsi="宋体" w:eastAsia="宋体" w:cs="宋体"/>
              <w:b w:val="0"/>
              <w:bCs w:val="0"/>
              <w:color w:val="auto"/>
              <w:sz w:val="28"/>
              <w:szCs w:val="28"/>
              <w:highlight w:val="none"/>
            </w:rPr>
            <w:fldChar w:fldCharType="end"/>
          </w:r>
          <w:r>
            <w:rPr>
              <w:rFonts w:hint="eastAsia" w:ascii="宋体" w:hAnsi="宋体" w:eastAsia="宋体" w:cs="宋体"/>
              <w:b w:val="0"/>
              <w:bCs w:val="0"/>
              <w:color w:val="auto"/>
              <w:sz w:val="28"/>
              <w:szCs w:val="28"/>
              <w:highlight w:val="none"/>
            </w:rPr>
            <w:fldChar w:fldCharType="end"/>
          </w:r>
        </w:p>
        <w:p w14:paraId="1248D3F1">
          <w:pPr>
            <w:pStyle w:val="34"/>
            <w:tabs>
              <w:tab w:val="right" w:leader="dot" w:pos="8789"/>
            </w:tabs>
            <w:spacing w:line="480" w:lineRule="auto"/>
            <w:rPr>
              <w:rFonts w:hint="eastAsia" w:ascii="宋体" w:hAnsi="宋体" w:eastAsia="宋体" w:cs="宋体"/>
              <w:b w:val="0"/>
              <w:bCs w:val="0"/>
              <w:color w:val="auto"/>
              <w:sz w:val="28"/>
              <w:szCs w:val="28"/>
              <w:highlight w:val="none"/>
            </w:rPr>
          </w:pPr>
        </w:p>
        <w:p w14:paraId="27BCACA2">
          <w:pPr>
            <w:spacing w:line="480" w:lineRule="auto"/>
            <w:rPr>
              <w:color w:val="auto"/>
              <w:highlight w:val="none"/>
            </w:rPr>
          </w:pPr>
          <w:r>
            <w:rPr>
              <w:rFonts w:hint="eastAsia" w:ascii="宋体" w:hAnsi="宋体" w:eastAsia="宋体" w:cs="宋体"/>
              <w:b w:val="0"/>
              <w:bCs w:val="0"/>
              <w:color w:val="auto"/>
              <w:sz w:val="28"/>
              <w:szCs w:val="28"/>
              <w:highlight w:val="none"/>
            </w:rPr>
            <w:fldChar w:fldCharType="end"/>
          </w:r>
        </w:p>
      </w:sdtContent>
    </w:sdt>
    <w:p w14:paraId="30E00910">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1" w:name="_Toc22128"/>
    </w:p>
    <w:p w14:paraId="02FA3C82">
      <w:pPr>
        <w:bidi w:val="0"/>
        <w:rPr>
          <w:rFonts w:hint="eastAsia"/>
          <w:color w:val="auto"/>
          <w:highlight w:val="none"/>
        </w:rPr>
      </w:pPr>
    </w:p>
    <w:p w14:paraId="51FCA8FE">
      <w:pPr>
        <w:bidi w:val="0"/>
        <w:rPr>
          <w:rFonts w:hint="eastAsia"/>
          <w:color w:val="auto"/>
          <w:highlight w:val="none"/>
        </w:rPr>
      </w:pPr>
    </w:p>
    <w:p w14:paraId="4872DE6A">
      <w:pPr>
        <w:bidi w:val="0"/>
        <w:rPr>
          <w:rFonts w:hint="eastAsia"/>
          <w:color w:val="auto"/>
          <w:highlight w:val="none"/>
        </w:rPr>
      </w:pPr>
    </w:p>
    <w:p w14:paraId="4A864C91">
      <w:pPr>
        <w:bidi w:val="0"/>
        <w:rPr>
          <w:rFonts w:hint="eastAsia"/>
          <w:color w:val="auto"/>
          <w:highlight w:val="none"/>
        </w:rPr>
      </w:pPr>
    </w:p>
    <w:p w14:paraId="2699A174">
      <w:pPr>
        <w:bidi w:val="0"/>
        <w:rPr>
          <w:rFonts w:hint="eastAsia"/>
          <w:color w:val="auto"/>
          <w:highlight w:val="none"/>
        </w:rPr>
      </w:pPr>
    </w:p>
    <w:p w14:paraId="2856DA23">
      <w:pPr>
        <w:bidi w:val="0"/>
        <w:rPr>
          <w:rFonts w:hint="eastAsia"/>
          <w:color w:val="auto"/>
          <w:highlight w:val="none"/>
        </w:rPr>
      </w:pPr>
    </w:p>
    <w:p w14:paraId="79A4CE45">
      <w:pPr>
        <w:bidi w:val="0"/>
        <w:rPr>
          <w:rFonts w:hint="eastAsia"/>
          <w:color w:val="auto"/>
          <w:highlight w:val="none"/>
        </w:rPr>
      </w:pPr>
    </w:p>
    <w:p w14:paraId="7DB55B6D">
      <w:pPr>
        <w:tabs>
          <w:tab w:val="left" w:pos="6140"/>
        </w:tabs>
        <w:bidi w:val="0"/>
        <w:jc w:val="left"/>
        <w:rPr>
          <w:rFonts w:hint="eastAsia" w:eastAsia="宋体"/>
          <w:color w:val="auto"/>
          <w:highlight w:val="none"/>
          <w:lang w:eastAsia="zh-CN"/>
        </w:rPr>
        <w:sectPr>
          <w:footerReference r:id="rId5" w:type="default"/>
          <w:pgSz w:w="11907" w:h="16840"/>
          <w:pgMar w:top="1428" w:right="1354" w:bottom="1017" w:left="1764" w:header="0" w:footer="852" w:gutter="0"/>
          <w:pgNumType w:fmt="decimal" w:start="1"/>
          <w:cols w:space="720" w:num="1"/>
        </w:sectPr>
      </w:pPr>
      <w:r>
        <w:rPr>
          <w:rFonts w:hint="eastAsia" w:eastAsia="宋体"/>
          <w:color w:val="auto"/>
          <w:highlight w:val="none"/>
          <w:lang w:eastAsia="zh-CN"/>
        </w:rPr>
        <w:tab/>
      </w:r>
    </w:p>
    <w:p w14:paraId="79263785">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lang w:val="en-US" w:eastAsia="zh-CN"/>
        </w:rPr>
      </w:pPr>
      <w:r>
        <w:rPr>
          <w:rFonts w:hint="eastAsia" w:ascii="宋体" w:hAnsi="宋体" w:eastAsia="宋体" w:cs="宋体"/>
          <w:b/>
          <w:bCs/>
          <w:color w:val="auto"/>
          <w:sz w:val="36"/>
          <w:szCs w:val="36"/>
          <w:highlight w:val="none"/>
        </w:rPr>
        <w:t>第一章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竞争性磋商公告</w:t>
      </w:r>
      <w:bookmarkEnd w:id="1"/>
    </w:p>
    <w:tbl>
      <w:tblPr>
        <w:tblStyle w:val="30"/>
        <w:tblW w:w="8914" w:type="dxa"/>
        <w:tblInd w:w="7" w:type="dxa"/>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0" w:type="dxa"/>
          <w:left w:w="0" w:type="dxa"/>
          <w:bottom w:w="0" w:type="dxa"/>
          <w:right w:w="0" w:type="dxa"/>
        </w:tblCellMar>
      </w:tblPr>
      <w:tblGrid>
        <w:gridCol w:w="8914"/>
      </w:tblGrid>
      <w:tr w14:paraId="3179643B">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293" w:hRule="atLeast"/>
        </w:trPr>
        <w:tc>
          <w:tcPr>
            <w:tcW w:w="8914" w:type="dxa"/>
            <w:vAlign w:val="top"/>
          </w:tcPr>
          <w:p w14:paraId="7983AE02">
            <w:pPr>
              <w:pStyle w:val="31"/>
              <w:spacing w:before="61" w:line="360" w:lineRule="auto"/>
              <w:ind w:left="96"/>
              <w:rPr>
                <w:rFonts w:hint="eastAsia" w:ascii="宋体" w:hAnsi="宋体" w:eastAsia="宋体" w:cs="宋体"/>
                <w:i w:val="0"/>
                <w:iCs w:val="0"/>
                <w:color w:val="auto"/>
                <w:spacing w:val="0"/>
                <w:w w:val="100"/>
                <w:position w:val="0"/>
                <w:highlight w:val="none"/>
              </w:rPr>
            </w:pPr>
            <w:r>
              <w:rPr>
                <w:rFonts w:hint="eastAsia" w:ascii="宋体" w:hAnsi="宋体" w:eastAsia="宋体" w:cs="宋体"/>
                <w:i w:val="0"/>
                <w:iCs w:val="0"/>
                <w:color w:val="auto"/>
                <w:spacing w:val="0"/>
                <w:w w:val="100"/>
                <w:position w:val="0"/>
                <w:highlight w:val="none"/>
              </w:rPr>
              <w:t>项目概况</w:t>
            </w:r>
          </w:p>
          <w:p w14:paraId="0AFE9E89">
            <w:pPr>
              <w:pStyle w:val="31"/>
              <w:spacing w:before="28" w:line="360" w:lineRule="auto"/>
              <w:ind w:left="99" w:right="115" w:firstLine="474"/>
              <w:jc w:val="both"/>
              <w:rPr>
                <w:rFonts w:hint="eastAsia" w:ascii="宋体" w:hAnsi="宋体" w:eastAsia="宋体" w:cs="宋体"/>
                <w:i w:val="0"/>
                <w:iCs w:val="0"/>
                <w:color w:val="auto"/>
                <w:spacing w:val="0"/>
                <w:w w:val="100"/>
                <w:position w:val="0"/>
                <w:highlight w:val="none"/>
              </w:rPr>
            </w:pPr>
            <w:r>
              <w:rPr>
                <w:rFonts w:hint="eastAsia" w:cs="宋体"/>
                <w:i w:val="0"/>
                <w:iCs w:val="0"/>
                <w:color w:val="auto"/>
                <w:spacing w:val="0"/>
                <w:w w:val="100"/>
                <w:position w:val="0"/>
                <w:highlight w:val="none"/>
                <w:lang w:eastAsia="zh-CN"/>
              </w:rPr>
              <w:t>蛟河市2024年农村供水工程中央资金维修养护项目</w:t>
            </w:r>
            <w:r>
              <w:rPr>
                <w:rFonts w:hint="eastAsia" w:ascii="宋体" w:hAnsi="宋体" w:eastAsia="宋体" w:cs="宋体"/>
                <w:i w:val="0"/>
                <w:iCs w:val="0"/>
                <w:color w:val="auto"/>
                <w:spacing w:val="0"/>
                <w:w w:val="100"/>
                <w:position w:val="0"/>
                <w:highlight w:val="none"/>
              </w:rPr>
              <w:t>的潜在投标人应在政采云平台</w:t>
            </w:r>
            <w:r>
              <w:rPr>
                <w:rFonts w:hint="eastAsia" w:ascii="宋体" w:hAnsi="宋体" w:eastAsia="宋体" w:cs="宋体"/>
                <w:i w:val="0"/>
                <w:iCs w:val="0"/>
                <w:color w:val="auto"/>
                <w:spacing w:val="0"/>
                <w:w w:val="100"/>
                <w:position w:val="0"/>
                <w:highlight w:val="none"/>
              </w:rPr>
              <w:fldChar w:fldCharType="begin"/>
            </w:r>
            <w:r>
              <w:rPr>
                <w:rFonts w:hint="eastAsia" w:ascii="宋体" w:hAnsi="宋体" w:eastAsia="宋体" w:cs="宋体"/>
                <w:i w:val="0"/>
                <w:iCs w:val="0"/>
                <w:color w:val="auto"/>
                <w:spacing w:val="0"/>
                <w:w w:val="100"/>
                <w:position w:val="0"/>
                <w:highlight w:val="none"/>
              </w:rPr>
              <w:instrText xml:space="preserve"> HYPERLINK "https://www.zcygov.cn/" </w:instrText>
            </w:r>
            <w:r>
              <w:rPr>
                <w:rFonts w:hint="eastAsia" w:ascii="宋体" w:hAnsi="宋体" w:eastAsia="宋体" w:cs="宋体"/>
                <w:i w:val="0"/>
                <w:iCs w:val="0"/>
                <w:color w:val="auto"/>
                <w:spacing w:val="0"/>
                <w:w w:val="100"/>
                <w:position w:val="0"/>
                <w:highlight w:val="none"/>
              </w:rPr>
              <w:fldChar w:fldCharType="separate"/>
            </w:r>
            <w:r>
              <w:rPr>
                <w:rFonts w:hint="eastAsia" w:ascii="宋体" w:hAnsi="宋体" w:eastAsia="宋体" w:cs="宋体"/>
                <w:i w:val="0"/>
                <w:iCs w:val="0"/>
                <w:color w:val="auto"/>
                <w:spacing w:val="0"/>
                <w:w w:val="100"/>
                <w:position w:val="0"/>
                <w:highlight w:val="none"/>
              </w:rPr>
              <w:t>https://www.zcygov.cn/</w:t>
            </w:r>
            <w:r>
              <w:rPr>
                <w:rFonts w:hint="eastAsia" w:ascii="宋体" w:hAnsi="宋体" w:eastAsia="宋体" w:cs="宋体"/>
                <w:i w:val="0"/>
                <w:iCs w:val="0"/>
                <w:color w:val="auto"/>
                <w:spacing w:val="0"/>
                <w:w w:val="100"/>
                <w:position w:val="0"/>
                <w:highlight w:val="none"/>
              </w:rPr>
              <w:fldChar w:fldCharType="end"/>
            </w:r>
            <w:r>
              <w:rPr>
                <w:rFonts w:hint="eastAsia" w:ascii="宋体" w:hAnsi="宋体" w:eastAsia="宋体" w:cs="宋体"/>
                <w:i w:val="0"/>
                <w:iCs w:val="0"/>
                <w:color w:val="auto"/>
                <w:spacing w:val="0"/>
                <w:w w:val="100"/>
                <w:position w:val="0"/>
                <w:highlight w:val="none"/>
              </w:rPr>
              <w:t>获取磋商文件，并于</w:t>
            </w:r>
            <w:r>
              <w:rPr>
                <w:rFonts w:hint="eastAsia" w:cs="宋体"/>
                <w:i w:val="0"/>
                <w:iCs w:val="0"/>
                <w:color w:val="auto"/>
                <w:spacing w:val="0"/>
                <w:w w:val="100"/>
                <w:position w:val="0"/>
                <w:highlight w:val="none"/>
                <w:lang w:eastAsia="zh-CN"/>
              </w:rPr>
              <w:t>2025年</w:t>
            </w:r>
            <w:r>
              <w:rPr>
                <w:rFonts w:hint="eastAsia" w:cs="宋体"/>
                <w:i w:val="0"/>
                <w:iCs w:val="0"/>
                <w:color w:val="auto"/>
                <w:spacing w:val="0"/>
                <w:w w:val="100"/>
                <w:position w:val="0"/>
                <w:highlight w:val="none"/>
                <w:lang w:val="en-US" w:eastAsia="zh-CN"/>
              </w:rPr>
              <w:t>0</w:t>
            </w:r>
            <w:r>
              <w:rPr>
                <w:rFonts w:hint="eastAsia" w:cs="宋体"/>
                <w:i w:val="0"/>
                <w:iCs w:val="0"/>
                <w:color w:val="auto"/>
                <w:spacing w:val="0"/>
                <w:w w:val="100"/>
                <w:position w:val="0"/>
                <w:highlight w:val="none"/>
                <w:lang w:eastAsia="zh-CN"/>
              </w:rPr>
              <w:t>4月14日9时00分</w:t>
            </w:r>
            <w:r>
              <w:rPr>
                <w:rFonts w:hint="eastAsia" w:ascii="宋体" w:hAnsi="宋体" w:eastAsia="宋体" w:cs="宋体"/>
                <w:i w:val="0"/>
                <w:iCs w:val="0"/>
                <w:color w:val="auto"/>
                <w:spacing w:val="0"/>
                <w:w w:val="100"/>
                <w:position w:val="0"/>
                <w:highlight w:val="none"/>
              </w:rPr>
              <w:t>（北京时间）前递交响应文件。</w:t>
            </w:r>
          </w:p>
        </w:tc>
      </w:tr>
    </w:tbl>
    <w:p w14:paraId="4DA0ECB5">
      <w:pPr>
        <w:spacing w:before="35" w:line="360" w:lineRule="auto"/>
        <w:ind w:left="111"/>
        <w:outlineLvl w:val="1"/>
        <w:rPr>
          <w:rFonts w:hint="eastAsia" w:ascii="宋体" w:hAnsi="宋体" w:eastAsia="宋体" w:cs="宋体"/>
          <w:i w:val="0"/>
          <w:iCs w:val="0"/>
          <w:color w:val="auto"/>
          <w:spacing w:val="0"/>
          <w:w w:val="100"/>
          <w:position w:val="0"/>
          <w:sz w:val="24"/>
          <w:szCs w:val="24"/>
          <w:highlight w:val="none"/>
        </w:rPr>
      </w:pPr>
      <w:bookmarkStart w:id="2" w:name="_Toc29978"/>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一、项目基本情况</w:t>
      </w:r>
      <w:bookmarkEnd w:id="2"/>
    </w:p>
    <w:p w14:paraId="396BBC14">
      <w:pPr>
        <w:spacing w:before="28" w:line="360" w:lineRule="auto"/>
        <w:ind w:left="60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政府采购计划编号：采购计划-[2025]-00023号</w:t>
      </w:r>
    </w:p>
    <w:p w14:paraId="27D93AA7">
      <w:pPr>
        <w:spacing w:before="28" w:line="360" w:lineRule="auto"/>
        <w:ind w:left="605"/>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项目编号：</w:t>
      </w:r>
      <w:r>
        <w:rPr>
          <w:rFonts w:hint="eastAsia" w:ascii="宋体" w:hAnsi="宋体" w:eastAsia="宋体" w:cs="宋体"/>
          <w:i w:val="0"/>
          <w:iCs w:val="0"/>
          <w:color w:val="auto"/>
          <w:spacing w:val="0"/>
          <w:w w:val="100"/>
          <w:position w:val="0"/>
          <w:sz w:val="24"/>
          <w:szCs w:val="24"/>
          <w:highlight w:val="none"/>
          <w:lang w:eastAsia="zh-CN"/>
        </w:rPr>
        <w:t>JLYC-[2025]-0304</w:t>
      </w:r>
    </w:p>
    <w:p w14:paraId="67BAFC83">
      <w:pPr>
        <w:spacing w:before="26" w:line="360" w:lineRule="auto"/>
        <w:ind w:left="590"/>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项目名称：</w:t>
      </w:r>
      <w:r>
        <w:rPr>
          <w:rFonts w:hint="eastAsia" w:ascii="宋体" w:hAnsi="宋体" w:eastAsia="宋体" w:cs="宋体"/>
          <w:i w:val="0"/>
          <w:iCs w:val="0"/>
          <w:color w:val="auto"/>
          <w:spacing w:val="0"/>
          <w:w w:val="100"/>
          <w:position w:val="0"/>
          <w:sz w:val="24"/>
          <w:szCs w:val="24"/>
          <w:highlight w:val="none"/>
          <w:lang w:eastAsia="zh-CN"/>
        </w:rPr>
        <w:t>蛟河市2024年农村供水工程中央资金维修养护项目</w:t>
      </w:r>
    </w:p>
    <w:p w14:paraId="4864B6D5">
      <w:pPr>
        <w:spacing w:before="25" w:line="360" w:lineRule="auto"/>
        <w:ind w:left="59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采购方式：竞争性磋商</w:t>
      </w:r>
    </w:p>
    <w:p w14:paraId="1BD6F464">
      <w:pPr>
        <w:spacing w:before="28" w:line="360" w:lineRule="auto"/>
        <w:ind w:left="586"/>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预算金额：</w:t>
      </w:r>
      <w:r>
        <w:rPr>
          <w:rFonts w:hint="eastAsia" w:ascii="宋体" w:hAnsi="宋体" w:eastAsia="宋体" w:cs="宋体"/>
          <w:i w:val="0"/>
          <w:iCs w:val="0"/>
          <w:color w:val="auto"/>
          <w:spacing w:val="0"/>
          <w:w w:val="100"/>
          <w:position w:val="0"/>
          <w:sz w:val="24"/>
          <w:szCs w:val="24"/>
          <w:highlight w:val="none"/>
          <w:lang w:val="en-US" w:eastAsia="zh-CN"/>
        </w:rPr>
        <w:t>164.030308万元</w:t>
      </w:r>
    </w:p>
    <w:p w14:paraId="5F1E373E">
      <w:pPr>
        <w:spacing w:before="26" w:line="360" w:lineRule="auto"/>
        <w:ind w:left="106" w:right="190" w:firstLine="482"/>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招标范围：</w:t>
      </w:r>
      <w:r>
        <w:rPr>
          <w:rFonts w:hint="eastAsia" w:ascii="宋体" w:hAnsi="宋体" w:eastAsia="宋体" w:cs="宋体"/>
          <w:i w:val="0"/>
          <w:iCs w:val="0"/>
          <w:color w:val="auto"/>
          <w:spacing w:val="0"/>
          <w:w w:val="100"/>
          <w:position w:val="0"/>
          <w:sz w:val="24"/>
          <w:szCs w:val="24"/>
          <w:highlight w:val="none"/>
          <w:lang w:eastAsia="zh-CN"/>
        </w:rPr>
        <w:t>蛟河市2024年农村供水工程中央资金维修养护项目</w:t>
      </w:r>
    </w:p>
    <w:p w14:paraId="1473C7EE">
      <w:pPr>
        <w:spacing w:before="26" w:line="360" w:lineRule="auto"/>
        <w:ind w:left="588"/>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质量标准：符合国家现行工程质量验收统一标准</w:t>
      </w:r>
      <w:r>
        <w:rPr>
          <w:rFonts w:hint="eastAsia" w:ascii="宋体" w:hAnsi="宋体" w:eastAsia="宋体" w:cs="宋体"/>
          <w:i w:val="0"/>
          <w:iCs w:val="0"/>
          <w:color w:val="auto"/>
          <w:spacing w:val="0"/>
          <w:w w:val="100"/>
          <w:position w:val="0"/>
          <w:sz w:val="24"/>
          <w:szCs w:val="24"/>
          <w:highlight w:val="none"/>
          <w:lang w:val="en-US" w:eastAsia="zh-CN"/>
        </w:rPr>
        <w:t>的合格工程</w:t>
      </w:r>
    </w:p>
    <w:p w14:paraId="0C67995F">
      <w:pPr>
        <w:spacing w:before="1" w:line="360" w:lineRule="auto"/>
        <w:ind w:left="605"/>
        <w:rPr>
          <w:rFonts w:hint="eastAsia" w:ascii="宋体" w:hAnsi="宋体" w:eastAsia="宋体" w:cs="宋体"/>
          <w:i w:val="0"/>
          <w:iCs w:val="0"/>
          <w:color w:val="auto"/>
          <w:spacing w:val="0"/>
          <w:w w:val="100"/>
          <w:position w:val="0"/>
          <w:sz w:val="24"/>
          <w:szCs w:val="24"/>
          <w:highlight w:val="none"/>
          <w:lang w:val="en-US"/>
        </w:rPr>
      </w:pPr>
      <w:r>
        <w:rPr>
          <w:rFonts w:hint="eastAsia" w:ascii="宋体" w:hAnsi="宋体" w:eastAsia="宋体" w:cs="宋体"/>
          <w:i w:val="0"/>
          <w:iCs w:val="0"/>
          <w:color w:val="auto"/>
          <w:spacing w:val="0"/>
          <w:w w:val="100"/>
          <w:position w:val="0"/>
          <w:sz w:val="24"/>
          <w:szCs w:val="24"/>
          <w:highlight w:val="none"/>
          <w:lang w:val="en-US" w:eastAsia="zh-CN"/>
        </w:rPr>
        <w:t>工</w:t>
      </w:r>
      <w:r>
        <w:rPr>
          <w:rFonts w:hint="eastAsia" w:ascii="宋体" w:hAnsi="宋体" w:eastAsia="宋体" w:cs="宋体"/>
          <w:i w:val="0"/>
          <w:iCs w:val="0"/>
          <w:color w:val="auto"/>
          <w:spacing w:val="0"/>
          <w:w w:val="100"/>
          <w:position w:val="0"/>
          <w:sz w:val="24"/>
          <w:szCs w:val="24"/>
          <w:highlight w:val="none"/>
        </w:rPr>
        <w:t>程地点：</w:t>
      </w:r>
      <w:r>
        <w:rPr>
          <w:rFonts w:hint="eastAsia" w:ascii="宋体" w:hAnsi="宋体" w:eastAsia="宋体" w:cs="宋体"/>
          <w:i w:val="0"/>
          <w:iCs w:val="0"/>
          <w:color w:val="auto"/>
          <w:spacing w:val="0"/>
          <w:w w:val="100"/>
          <w:position w:val="0"/>
          <w:sz w:val="24"/>
          <w:szCs w:val="24"/>
          <w:highlight w:val="none"/>
          <w:lang w:val="en-US" w:eastAsia="zh-CN"/>
        </w:rPr>
        <w:t>蛟河市</w:t>
      </w:r>
    </w:p>
    <w:p w14:paraId="683636CB">
      <w:pPr>
        <w:spacing w:before="23" w:line="360" w:lineRule="auto"/>
        <w:ind w:left="605"/>
        <w:rPr>
          <w:rFonts w:hint="default"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计划工期</w:t>
      </w: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2025年04月17日至2025年05月17日</w:t>
      </w:r>
    </w:p>
    <w:p w14:paraId="20C131C8">
      <w:pPr>
        <w:spacing w:before="24" w:line="360" w:lineRule="auto"/>
        <w:ind w:left="60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本项目不接受联合体投标</w:t>
      </w:r>
    </w:p>
    <w:p w14:paraId="3DB61C75">
      <w:pPr>
        <w:spacing w:before="35" w:line="360" w:lineRule="auto"/>
        <w:ind w:left="111"/>
        <w:outlineLvl w:val="1"/>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pPr>
      <w:bookmarkStart w:id="3" w:name="_Toc22279"/>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二、申请人的资格要求</w:t>
      </w:r>
      <w:bookmarkEnd w:id="3"/>
    </w:p>
    <w:p w14:paraId="61977F0D">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bookmarkStart w:id="4" w:name="_Toc8053"/>
      <w:r>
        <w:rPr>
          <w:rFonts w:hint="eastAsia" w:ascii="宋体" w:hAnsi="宋体" w:eastAsia="宋体" w:cs="宋体"/>
          <w:i w:val="0"/>
          <w:iCs w:val="0"/>
          <w:color w:val="auto"/>
          <w:spacing w:val="0"/>
          <w:w w:val="100"/>
          <w:position w:val="0"/>
          <w:sz w:val="24"/>
          <w:szCs w:val="24"/>
          <w:highlight w:val="none"/>
          <w:lang w:val="en-US" w:eastAsia="zh-CN"/>
        </w:rPr>
        <w:t>1、满足《中华人民共和国政府采购法》第二十二条规定:</w:t>
      </w:r>
    </w:p>
    <w:p w14:paraId="7EAE85A2">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(1)具有独立承担民事责任的能力;</w:t>
      </w:r>
    </w:p>
    <w:p w14:paraId="3131A72E">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(2)具有良好的商业信誉和健全的财务会计制度;</w:t>
      </w:r>
    </w:p>
    <w:p w14:paraId="3F770B76">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(3)具有履行合同所必需的设备和专业技术能力;</w:t>
      </w:r>
    </w:p>
    <w:p w14:paraId="58E0A029">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(4)有依法缴纳税收和社会保障资金的良好记录；</w:t>
      </w:r>
    </w:p>
    <w:p w14:paraId="2389322B">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(5)参加政府采购活动前三年内，在经营活动中没有重大违法记录；</w:t>
      </w:r>
    </w:p>
    <w:p w14:paraId="2CCF6CD8">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(6)法律、行政法规规定的其他条件。</w:t>
      </w:r>
    </w:p>
    <w:p w14:paraId="6E5E96D4">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潜实政府采购政策需满足的资格要求：依据《中华人民共和国政府采购法》、中华人民共和国政府采购法实施条例》及其相关配套的政府采购政策、相关规定的扶持政策执行；本项目为全部面向中小企业采购项目。</w:t>
      </w:r>
    </w:p>
    <w:p w14:paraId="3DAF91EC">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3、本项目的特定资格要求:</w:t>
      </w:r>
    </w:p>
    <w:p w14:paraId="510656B0">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（1)在中国境内依法登记注册并仍有效存续的供应商，在人员、设备、资金等方面具有相应的能力;</w:t>
      </w:r>
    </w:p>
    <w:p w14:paraId="0CFE9925">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(2)本项目不接受联合体投标;</w:t>
      </w:r>
    </w:p>
    <w:p w14:paraId="2493A414">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(3)按照《财政部关于在政府采购活动中查询及使用信用记录有关问题的通知》(财库〔2016〕125 号）的要求，根据“信用中国”网站（www.creditchina.gov.cn)、中国政府采购网（www.ccgp.gov.cn）的信息，对列入失信被执行人、重大税收违法案件当事人名单、政府采购严重违法失信行为记录名单的供应商，拒绝参与政府采购活动，供应商应在采购公告发布后对本单位信用信息进行查询（“信用中国”、中国政府采购网、中国裁判文书网)并将查询资料附入投标文件中。对未按规定进行信用信息查询的投标人旧包括单位和个人）将不能通过投标资格审查；</w:t>
      </w:r>
    </w:p>
    <w:p w14:paraId="71B703C2">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(4)拒绝列入政府不良行为记录并取消投标资格期间的企业或个人投标；</w:t>
      </w:r>
    </w:p>
    <w:p w14:paraId="4A16F4C2">
      <w:pPr>
        <w:spacing w:before="28" w:line="360" w:lineRule="auto"/>
        <w:ind w:left="480"/>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（5）与招标人存在利害关系可能影响招标公正性的法人、其他组织或者个人，不得参加投标。单位负责人为同一人或者存在控股、管理关系的不同单位，不得参加同一标口投标，否则相关投标均无效。</w:t>
      </w:r>
    </w:p>
    <w:p w14:paraId="5E9B8840">
      <w:pPr>
        <w:spacing w:before="28" w:line="360" w:lineRule="auto"/>
        <w:outlineLvl w:val="1"/>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三、获取磋商文件</w:t>
      </w:r>
      <w:bookmarkEnd w:id="4"/>
    </w:p>
    <w:p w14:paraId="077C884A">
      <w:pPr>
        <w:spacing w:before="28" w:line="360" w:lineRule="auto"/>
        <w:ind w:left="18" w:right="80" w:firstLine="47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rPr>
        <w:t>时间：202</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年</w:t>
      </w:r>
      <w:r>
        <w:rPr>
          <w:rFonts w:hint="eastAsia" w:ascii="宋体" w:hAnsi="宋体" w:eastAsia="宋体" w:cs="宋体"/>
          <w:i w:val="0"/>
          <w:iCs w:val="0"/>
          <w:color w:val="auto"/>
          <w:spacing w:val="0"/>
          <w:w w:val="100"/>
          <w:position w:val="0"/>
          <w:sz w:val="24"/>
          <w:szCs w:val="24"/>
          <w:highlight w:val="none"/>
          <w:lang w:val="en-US" w:eastAsia="zh-CN"/>
        </w:rPr>
        <w:t>03</w:t>
      </w:r>
      <w:r>
        <w:rPr>
          <w:rFonts w:hint="eastAsia" w:ascii="宋体" w:hAnsi="宋体" w:eastAsia="宋体" w:cs="宋体"/>
          <w:i w:val="0"/>
          <w:iCs w:val="0"/>
          <w:color w:val="auto"/>
          <w:spacing w:val="0"/>
          <w:w w:val="100"/>
          <w:position w:val="0"/>
          <w:sz w:val="24"/>
          <w:szCs w:val="24"/>
          <w:highlight w:val="none"/>
        </w:rPr>
        <w:t>月</w:t>
      </w:r>
      <w:r>
        <w:rPr>
          <w:rFonts w:hint="eastAsia" w:ascii="宋体" w:hAnsi="宋体" w:eastAsia="宋体" w:cs="宋体"/>
          <w:i w:val="0"/>
          <w:iCs w:val="0"/>
          <w:color w:val="auto"/>
          <w:spacing w:val="0"/>
          <w:w w:val="100"/>
          <w:position w:val="0"/>
          <w:sz w:val="24"/>
          <w:szCs w:val="24"/>
          <w:highlight w:val="none"/>
          <w:lang w:val="en-US" w:eastAsia="zh-CN"/>
        </w:rPr>
        <w:t>31</w:t>
      </w:r>
      <w:r>
        <w:rPr>
          <w:rFonts w:hint="eastAsia" w:ascii="宋体" w:hAnsi="宋体" w:eastAsia="宋体" w:cs="宋体"/>
          <w:i w:val="0"/>
          <w:iCs w:val="0"/>
          <w:color w:val="auto"/>
          <w:spacing w:val="0"/>
          <w:w w:val="100"/>
          <w:position w:val="0"/>
          <w:sz w:val="24"/>
          <w:szCs w:val="24"/>
          <w:highlight w:val="none"/>
        </w:rPr>
        <w:t>日至20</w:t>
      </w:r>
      <w:r>
        <w:rPr>
          <w:rFonts w:hint="eastAsia" w:ascii="宋体" w:hAnsi="宋体" w:eastAsia="宋体" w:cs="宋体"/>
          <w:i w:val="0"/>
          <w:iCs w:val="0"/>
          <w:color w:val="auto"/>
          <w:spacing w:val="0"/>
          <w:w w:val="100"/>
          <w:position w:val="0"/>
          <w:sz w:val="24"/>
          <w:szCs w:val="24"/>
          <w:highlight w:val="none"/>
          <w:lang w:val="en-US" w:eastAsia="zh-CN"/>
        </w:rPr>
        <w:t>25</w:t>
      </w:r>
      <w:r>
        <w:rPr>
          <w:rFonts w:hint="eastAsia" w:ascii="宋体" w:hAnsi="宋体" w:eastAsia="宋体" w:cs="宋体"/>
          <w:i w:val="0"/>
          <w:iCs w:val="0"/>
          <w:color w:val="auto"/>
          <w:spacing w:val="0"/>
          <w:w w:val="100"/>
          <w:position w:val="0"/>
          <w:sz w:val="24"/>
          <w:szCs w:val="24"/>
          <w:highlight w:val="none"/>
        </w:rPr>
        <w:t>年</w:t>
      </w:r>
      <w:r>
        <w:rPr>
          <w:rFonts w:hint="eastAsia" w:ascii="宋体" w:hAnsi="宋体" w:eastAsia="宋体" w:cs="宋体"/>
          <w:i w:val="0"/>
          <w:iCs w:val="0"/>
          <w:color w:val="auto"/>
          <w:spacing w:val="0"/>
          <w:w w:val="100"/>
          <w:position w:val="0"/>
          <w:sz w:val="24"/>
          <w:szCs w:val="24"/>
          <w:highlight w:val="none"/>
          <w:lang w:val="en-US" w:eastAsia="zh-CN"/>
        </w:rPr>
        <w:t>04</w:t>
      </w:r>
      <w:r>
        <w:rPr>
          <w:rFonts w:hint="eastAsia" w:ascii="宋体" w:hAnsi="宋体" w:eastAsia="宋体" w:cs="宋体"/>
          <w:i w:val="0"/>
          <w:iCs w:val="0"/>
          <w:color w:val="auto"/>
          <w:spacing w:val="0"/>
          <w:w w:val="100"/>
          <w:position w:val="0"/>
          <w:sz w:val="24"/>
          <w:szCs w:val="24"/>
          <w:highlight w:val="none"/>
        </w:rPr>
        <w:t>月</w:t>
      </w:r>
      <w:r>
        <w:rPr>
          <w:rFonts w:hint="eastAsia" w:ascii="宋体" w:hAnsi="宋体" w:eastAsia="宋体" w:cs="宋体"/>
          <w:i w:val="0"/>
          <w:iCs w:val="0"/>
          <w:color w:val="auto"/>
          <w:spacing w:val="0"/>
          <w:w w:val="100"/>
          <w:position w:val="0"/>
          <w:sz w:val="24"/>
          <w:szCs w:val="24"/>
          <w:highlight w:val="none"/>
          <w:lang w:val="en-US" w:eastAsia="zh-CN"/>
        </w:rPr>
        <w:t>08</w:t>
      </w:r>
      <w:r>
        <w:rPr>
          <w:rFonts w:hint="eastAsia" w:ascii="宋体" w:hAnsi="宋体" w:eastAsia="宋体" w:cs="宋体"/>
          <w:i w:val="0"/>
          <w:iCs w:val="0"/>
          <w:color w:val="auto"/>
          <w:spacing w:val="0"/>
          <w:w w:val="100"/>
          <w:position w:val="0"/>
          <w:sz w:val="24"/>
          <w:szCs w:val="24"/>
          <w:highlight w:val="none"/>
        </w:rPr>
        <w:t>日每天上午8时</w:t>
      </w:r>
      <w:r>
        <w:rPr>
          <w:rFonts w:hint="eastAsia" w:ascii="宋体" w:hAnsi="宋体" w:eastAsia="宋体" w:cs="宋体"/>
          <w:i w:val="0"/>
          <w:iCs w:val="0"/>
          <w:color w:val="auto"/>
          <w:spacing w:val="0"/>
          <w:w w:val="100"/>
          <w:position w:val="0"/>
          <w:sz w:val="24"/>
          <w:szCs w:val="24"/>
          <w:highlight w:val="none"/>
          <w:lang w:val="en-US" w:eastAsia="zh-CN"/>
        </w:rPr>
        <w:t>30分</w:t>
      </w:r>
      <w:r>
        <w:rPr>
          <w:rFonts w:hint="eastAsia" w:ascii="宋体" w:hAnsi="宋体" w:eastAsia="宋体" w:cs="宋体"/>
          <w:i w:val="0"/>
          <w:iCs w:val="0"/>
          <w:color w:val="auto"/>
          <w:spacing w:val="0"/>
          <w:w w:val="100"/>
          <w:position w:val="0"/>
          <w:sz w:val="24"/>
          <w:szCs w:val="24"/>
          <w:highlight w:val="none"/>
        </w:rPr>
        <w:t>至1</w:t>
      </w: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rPr>
        <w:t>时</w:t>
      </w: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0分，下午1</w:t>
      </w: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时00分至16时</w:t>
      </w:r>
      <w:r>
        <w:rPr>
          <w:rFonts w:hint="eastAsia" w:ascii="宋体" w:hAnsi="宋体" w:eastAsia="宋体" w:cs="宋体"/>
          <w:i w:val="0"/>
          <w:iCs w:val="0"/>
          <w:color w:val="auto"/>
          <w:spacing w:val="0"/>
          <w:w w:val="100"/>
          <w:position w:val="0"/>
          <w:sz w:val="24"/>
          <w:szCs w:val="24"/>
          <w:highlight w:val="none"/>
          <w:lang w:val="en-US" w:eastAsia="zh-CN"/>
        </w:rPr>
        <w:t>0</w:t>
      </w:r>
      <w:r>
        <w:rPr>
          <w:rFonts w:hint="eastAsia" w:ascii="宋体" w:hAnsi="宋体" w:eastAsia="宋体" w:cs="宋体"/>
          <w:i w:val="0"/>
          <w:iCs w:val="0"/>
          <w:color w:val="auto"/>
          <w:spacing w:val="0"/>
          <w:w w:val="100"/>
          <w:position w:val="0"/>
          <w:sz w:val="24"/>
          <w:szCs w:val="24"/>
          <w:highlight w:val="none"/>
        </w:rPr>
        <w:t>0分（北京时间，法定节假日除外）</w:t>
      </w:r>
    </w:p>
    <w:p w14:paraId="73CF230B">
      <w:pPr>
        <w:spacing w:before="28" w:line="360" w:lineRule="auto"/>
        <w:ind w:left="48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t>地点：“政采云”平台（http：//www.zcygov.cn）</w:t>
      </w:r>
    </w:p>
    <w:p w14:paraId="7EA3B67E">
      <w:pPr>
        <w:keepNext w:val="0"/>
        <w:keepLines w:val="0"/>
        <w:pageBreakBefore w:val="0"/>
        <w:widowControl/>
        <w:kinsoku w:val="0"/>
        <w:wordWrap/>
        <w:overflowPunct/>
        <w:topLinePunct w:val="0"/>
        <w:autoSpaceDE w:val="0"/>
        <w:autoSpaceDN w:val="0"/>
        <w:bidi w:val="0"/>
        <w:adjustRightInd w:val="0"/>
        <w:snapToGrid w:val="0"/>
        <w:spacing w:before="28" w:line="360" w:lineRule="auto"/>
        <w:ind w:lef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方式：供应商登录政采云平台（http：//www.zcygov.cn）在线申请获取采购文件（进入“项目采购”应用，在获取采购文件菜单中选择项目，申请获取采购文件）</w:t>
      </w:r>
    </w:p>
    <w:p w14:paraId="1640B8B3">
      <w:pPr>
        <w:keepNext w:val="0"/>
        <w:keepLines w:val="0"/>
        <w:pageBreakBefore w:val="0"/>
        <w:widowControl/>
        <w:kinsoku w:val="0"/>
        <w:wordWrap/>
        <w:overflowPunct/>
        <w:topLinePunct w:val="0"/>
        <w:autoSpaceDE w:val="0"/>
        <w:autoSpaceDN w:val="0"/>
        <w:bidi w:val="0"/>
        <w:adjustRightInd w:val="0"/>
        <w:snapToGrid w:val="0"/>
        <w:spacing w:before="28" w:line="360" w:lineRule="auto"/>
        <w:ind w:lef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4.</w:t>
      </w:r>
      <w:r>
        <w:rPr>
          <w:rFonts w:hint="eastAsia" w:ascii="宋体" w:hAnsi="宋体" w:eastAsia="宋体" w:cs="宋体"/>
          <w:i w:val="0"/>
          <w:iCs w:val="0"/>
          <w:color w:val="auto"/>
          <w:spacing w:val="0"/>
          <w:w w:val="100"/>
          <w:position w:val="0"/>
          <w:sz w:val="24"/>
          <w:szCs w:val="24"/>
          <w:highlight w:val="none"/>
        </w:rPr>
        <w:t>售价：0元</w:t>
      </w:r>
    </w:p>
    <w:p w14:paraId="56808744">
      <w:pPr>
        <w:spacing w:before="29" w:line="360" w:lineRule="auto"/>
        <w:ind w:left="23"/>
        <w:outlineLvl w:val="1"/>
        <w:rPr>
          <w:rFonts w:hint="eastAsia" w:ascii="宋体" w:hAnsi="宋体" w:eastAsia="宋体" w:cs="宋体"/>
          <w:i w:val="0"/>
          <w:iCs w:val="0"/>
          <w:color w:val="auto"/>
          <w:spacing w:val="0"/>
          <w:w w:val="100"/>
          <w:position w:val="0"/>
          <w:sz w:val="24"/>
          <w:szCs w:val="24"/>
          <w:highlight w:val="none"/>
        </w:rPr>
      </w:pPr>
      <w:bookmarkStart w:id="5" w:name="_Toc17340"/>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四、提交响应文件截止时间、开标时间和地点</w:t>
      </w:r>
      <w:bookmarkEnd w:id="5"/>
    </w:p>
    <w:p w14:paraId="07C0DE88">
      <w:pPr>
        <w:keepNext w:val="0"/>
        <w:keepLines w:val="0"/>
        <w:pageBreakBefore w:val="0"/>
        <w:widowControl/>
        <w:kinsoku w:val="0"/>
        <w:wordWrap/>
        <w:overflowPunct/>
        <w:topLinePunct w:val="0"/>
        <w:autoSpaceDE w:val="0"/>
        <w:autoSpaceDN w:val="0"/>
        <w:bidi w:val="0"/>
        <w:adjustRightInd w:val="0"/>
        <w:snapToGrid w:val="0"/>
        <w:spacing w:before="27" w:line="360" w:lineRule="auto"/>
        <w:ind w:left="482" w:right="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rPr>
        <w:t>提交响应文件截止时间、开标时间：</w:t>
      </w:r>
      <w:r>
        <w:rPr>
          <w:rFonts w:hint="eastAsia" w:ascii="宋体" w:hAnsi="宋体" w:eastAsia="宋体" w:cs="宋体"/>
          <w:i w:val="0"/>
          <w:iCs w:val="0"/>
          <w:color w:val="auto"/>
          <w:spacing w:val="0"/>
          <w:w w:val="100"/>
          <w:position w:val="0"/>
          <w:sz w:val="24"/>
          <w:szCs w:val="24"/>
          <w:highlight w:val="none"/>
          <w:lang w:eastAsia="zh-CN"/>
        </w:rPr>
        <w:t>2025年</w:t>
      </w:r>
      <w:r>
        <w:rPr>
          <w:rFonts w:hint="eastAsia" w:ascii="宋体" w:hAnsi="宋体" w:eastAsia="宋体" w:cs="宋体"/>
          <w:i w:val="0"/>
          <w:iCs w:val="0"/>
          <w:color w:val="auto"/>
          <w:spacing w:val="0"/>
          <w:w w:val="100"/>
          <w:position w:val="0"/>
          <w:sz w:val="24"/>
          <w:szCs w:val="24"/>
          <w:highlight w:val="none"/>
          <w:lang w:val="en-US" w:eastAsia="zh-CN"/>
        </w:rPr>
        <w:t>0</w:t>
      </w:r>
      <w:r>
        <w:rPr>
          <w:rFonts w:hint="eastAsia" w:ascii="宋体" w:hAnsi="宋体" w:eastAsia="宋体" w:cs="宋体"/>
          <w:i w:val="0"/>
          <w:iCs w:val="0"/>
          <w:color w:val="auto"/>
          <w:spacing w:val="0"/>
          <w:w w:val="100"/>
          <w:position w:val="0"/>
          <w:sz w:val="24"/>
          <w:szCs w:val="24"/>
          <w:highlight w:val="none"/>
          <w:lang w:eastAsia="zh-CN"/>
        </w:rPr>
        <w:t>4月14日9时00分</w:t>
      </w:r>
      <w:r>
        <w:rPr>
          <w:rFonts w:hint="eastAsia" w:ascii="宋体" w:hAnsi="宋体" w:eastAsia="宋体" w:cs="宋体"/>
          <w:i w:val="0"/>
          <w:iCs w:val="0"/>
          <w:color w:val="auto"/>
          <w:spacing w:val="0"/>
          <w:w w:val="100"/>
          <w:position w:val="0"/>
          <w:sz w:val="24"/>
          <w:szCs w:val="24"/>
          <w:highlight w:val="none"/>
        </w:rPr>
        <w:t>。</w:t>
      </w:r>
    </w:p>
    <w:p w14:paraId="34431160">
      <w:pPr>
        <w:keepNext w:val="0"/>
        <w:keepLines w:val="0"/>
        <w:pageBreakBefore w:val="0"/>
        <w:widowControl/>
        <w:kinsoku w:val="0"/>
        <w:wordWrap/>
        <w:overflowPunct/>
        <w:topLinePunct w:val="0"/>
        <w:autoSpaceDE w:val="0"/>
        <w:autoSpaceDN w:val="0"/>
        <w:bidi w:val="0"/>
        <w:adjustRightInd w:val="0"/>
        <w:snapToGrid w:val="0"/>
        <w:spacing w:before="27" w:line="360" w:lineRule="auto"/>
        <w:ind w:left="482" w:right="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t>地点：在线开标</w:t>
      </w:r>
    </w:p>
    <w:p w14:paraId="272BC3DB">
      <w:pPr>
        <w:spacing w:before="26" w:line="360" w:lineRule="auto"/>
        <w:ind w:right="171" w:firstLine="481"/>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方式：本项目执行电子化招投标（供应商无需到达现场），供应商须通过政采云平台（http：//www.zcygov.cn）递交电子版投标文件</w:t>
      </w:r>
      <w:r>
        <w:rPr>
          <w:rFonts w:hint="eastAsia" w:ascii="宋体" w:hAnsi="宋体" w:eastAsia="宋体" w:cs="宋体"/>
          <w:i w:val="0"/>
          <w:iCs w:val="0"/>
          <w:color w:val="auto"/>
          <w:spacing w:val="0"/>
          <w:w w:val="100"/>
          <w:position w:val="0"/>
          <w:sz w:val="24"/>
          <w:szCs w:val="24"/>
          <w:highlight w:val="none"/>
          <w:lang w:eastAsia="zh-CN"/>
        </w:rPr>
        <w:t>。</w:t>
      </w:r>
    </w:p>
    <w:p w14:paraId="3ACF0C0C">
      <w:pPr>
        <w:spacing w:before="31" w:line="360" w:lineRule="auto"/>
        <w:ind w:left="4"/>
        <w:outlineLvl w:val="1"/>
        <w:rPr>
          <w:rFonts w:hint="eastAsia" w:ascii="宋体" w:hAnsi="宋体" w:eastAsia="宋体" w:cs="宋体"/>
          <w:i w:val="0"/>
          <w:iCs w:val="0"/>
          <w:color w:val="auto"/>
          <w:spacing w:val="0"/>
          <w:w w:val="100"/>
          <w:position w:val="0"/>
          <w:sz w:val="24"/>
          <w:szCs w:val="24"/>
          <w:highlight w:val="none"/>
        </w:rPr>
      </w:pPr>
      <w:bookmarkStart w:id="6" w:name="_Toc17822"/>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五、公告期限</w:t>
      </w:r>
      <w:bookmarkEnd w:id="6"/>
    </w:p>
    <w:p w14:paraId="383834F0">
      <w:pPr>
        <w:spacing w:before="29" w:line="360" w:lineRule="auto"/>
        <w:ind w:left="52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自本公告发布之日起5个工作日。</w:t>
      </w:r>
    </w:p>
    <w:p w14:paraId="497B9F83">
      <w:pPr>
        <w:spacing w:before="29" w:line="360" w:lineRule="auto"/>
        <w:ind w:left="2"/>
        <w:outlineLvl w:val="1"/>
        <w:rPr>
          <w:rFonts w:hint="eastAsia" w:ascii="宋体" w:hAnsi="宋体" w:eastAsia="宋体" w:cs="宋体"/>
          <w:i w:val="0"/>
          <w:iCs w:val="0"/>
          <w:color w:val="auto"/>
          <w:spacing w:val="0"/>
          <w:w w:val="100"/>
          <w:position w:val="0"/>
          <w:sz w:val="24"/>
          <w:szCs w:val="24"/>
          <w:highlight w:val="none"/>
        </w:rPr>
      </w:pPr>
      <w:bookmarkStart w:id="7" w:name="_Toc32133"/>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六、其他补充事宜</w:t>
      </w:r>
      <w:bookmarkEnd w:id="7"/>
    </w:p>
    <w:p w14:paraId="0B71E6F8">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1.供应商在政府采购云平台网注册入库成为正式供应商后，在平台上按《政府采购项目电子交易管理操作指南-供应商》进行投标操作。投标人须办理数字证书方可参加投标。</w:t>
      </w:r>
    </w:p>
    <w:p w14:paraId="7A371753">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2.收到CA锁以后在“政采云”登陆界面，点击CA登录-CA驱动下载-下载并安装政采云投标客户端和CA驱动，账号绑定CA后才能进行投标文件制作。</w:t>
      </w:r>
    </w:p>
    <w:p w14:paraId="30E5F8FC">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3.若对项目采购电子交易系统操作有疑问，可登录“政采云”平台，点击右侧咨询小采，获取采小蜜智能服务管家帮助，或拨打政采云服务热线95763获取帮助。</w:t>
      </w:r>
    </w:p>
    <w:p w14:paraId="059330C8">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4、有效投标人不足三家时，采购人另行组织招标。</w:t>
      </w:r>
    </w:p>
    <w:p w14:paraId="6F09CD58">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5、当投标人的有效投标报价超出招标控制价（预算金额、拦标价）的，该投标报价视为无效报价。</w:t>
      </w:r>
    </w:p>
    <w:p w14:paraId="1ADE5F42">
      <w:pPr>
        <w:spacing w:before="29" w:line="360" w:lineRule="auto"/>
        <w:ind w:left="24" w:right="171" w:firstLine="45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6.本项目公告在政府采购云平台（</w:t>
      </w:r>
      <w:r>
        <w:rPr>
          <w:rFonts w:hint="eastAsia" w:ascii="宋体" w:hAnsi="宋体" w:eastAsia="宋体" w:cs="宋体"/>
          <w:i w:val="0"/>
          <w:iCs w:val="0"/>
          <w:color w:val="auto"/>
          <w:spacing w:val="0"/>
          <w:w w:val="100"/>
          <w:position w:val="0"/>
          <w:sz w:val="24"/>
          <w:szCs w:val="24"/>
          <w:highlight w:val="none"/>
          <w:lang w:eastAsia="zh-CN"/>
        </w:rPr>
        <w:t>同步推送到</w:t>
      </w:r>
      <w:r>
        <w:rPr>
          <w:rFonts w:hint="eastAsia" w:ascii="宋体" w:hAnsi="宋体" w:eastAsia="宋体" w:cs="宋体"/>
          <w:color w:val="auto"/>
          <w:sz w:val="24"/>
          <w:szCs w:val="24"/>
          <w:highlight w:val="none"/>
          <w:lang w:eastAsia="zh-CN"/>
        </w:rPr>
        <w:t>吉林省政府采购网（http://www.ccgp-jilin.gov.cn/）、吉林省公共资源交易公共服务平台和</w:t>
      </w:r>
      <w:bookmarkStart w:id="514" w:name="_GoBack"/>
      <w:bookmarkEnd w:id="514"/>
      <w:r>
        <w:rPr>
          <w:rFonts w:hint="eastAsia" w:ascii="宋体" w:hAnsi="宋体" w:eastAsia="宋体" w:cs="宋体"/>
          <w:color w:val="auto"/>
          <w:sz w:val="24"/>
          <w:szCs w:val="24"/>
          <w:highlight w:val="none"/>
          <w:lang w:eastAsia="zh-CN"/>
        </w:rPr>
        <w:t>中国政府采购网</w:t>
      </w: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rPr>
        <w:t>蛟河市人民政府网站同时发布。</w:t>
      </w:r>
    </w:p>
    <w:p w14:paraId="5601759B">
      <w:pPr>
        <w:spacing w:before="27" w:line="360" w:lineRule="auto"/>
        <w:outlineLvl w:val="1"/>
        <w:rPr>
          <w:rFonts w:hint="eastAsia" w:ascii="宋体" w:hAnsi="宋体" w:eastAsia="宋体" w:cs="宋体"/>
          <w:i w:val="0"/>
          <w:iCs w:val="0"/>
          <w:color w:val="auto"/>
          <w:spacing w:val="0"/>
          <w:w w:val="100"/>
          <w:position w:val="0"/>
          <w:sz w:val="24"/>
          <w:szCs w:val="24"/>
          <w:highlight w:val="none"/>
        </w:rPr>
      </w:pPr>
      <w:bookmarkStart w:id="8" w:name="_Toc16412"/>
      <w:r>
        <w:rPr>
          <w:rFonts w:hint="eastAsia" w:ascii="宋体" w:hAnsi="宋体" w:eastAsia="宋体" w:cs="宋体"/>
          <w:i w:val="0"/>
          <w:iCs w:val="0"/>
          <w:color w:val="auto"/>
          <w:spacing w:val="0"/>
          <w:w w:val="100"/>
          <w:position w:val="0"/>
          <w:sz w:val="24"/>
          <w:szCs w:val="24"/>
          <w:highlight w:val="none"/>
          <w14:textOutline w14:w="4358" w14:cap="sq" w14:cmpd="sng">
            <w14:solidFill>
              <w14:srgbClr w14:val="000000"/>
            </w14:solidFill>
            <w14:prstDash w14:val="solid"/>
            <w14:bevel/>
          </w14:textOutline>
        </w:rPr>
        <w:t>七、对本次招标提出询问，请按以下方式联系。</w:t>
      </w:r>
      <w:bookmarkEnd w:id="8"/>
    </w:p>
    <w:p w14:paraId="7C166DB3">
      <w:pPr>
        <w:spacing w:line="48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1.采购人信息</w:t>
      </w:r>
    </w:p>
    <w:p w14:paraId="08CA4EDF">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名称：蛟河市农村供水服务中心</w:t>
      </w:r>
    </w:p>
    <w:p w14:paraId="0D5326D1">
      <w:pPr>
        <w:spacing w:before="28" w:line="360" w:lineRule="auto"/>
        <w:ind w:left="10" w:firstLine="475"/>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地址：蛟河市民主路19-3号</w:t>
      </w:r>
    </w:p>
    <w:p w14:paraId="3EC31AEE">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联系方式：俆丽慧，0432-67250852</w:t>
      </w:r>
    </w:p>
    <w:p w14:paraId="5BBD23D9">
      <w:pPr>
        <w:spacing w:line="480" w:lineRule="auto"/>
        <w:ind w:firstLine="420" w:firstLineChars="200"/>
        <w:rPr>
          <w:rFonts w:hint="eastAsia" w:ascii="宋体" w:hAnsi="宋体" w:cs="宋体"/>
          <w:b/>
          <w:bCs/>
          <w:color w:val="auto"/>
          <w:sz w:val="21"/>
          <w:szCs w:val="21"/>
          <w:highlight w:val="none"/>
        </w:rPr>
      </w:pPr>
      <w:r>
        <w:rPr>
          <w:rFonts w:hint="eastAsia" w:ascii="宋体" w:hAnsi="宋体" w:cs="宋体"/>
          <w:b/>
          <w:bCs/>
          <w:color w:val="auto"/>
          <w:sz w:val="21"/>
          <w:szCs w:val="21"/>
          <w:highlight w:val="none"/>
        </w:rPr>
        <w:t>2.采购代理机构信息</w:t>
      </w:r>
    </w:p>
    <w:p w14:paraId="02E8BBE3">
      <w:pPr>
        <w:spacing w:before="28" w:line="360" w:lineRule="auto"/>
        <w:ind w:left="10" w:firstLine="475"/>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名称：</w:t>
      </w:r>
      <w:r>
        <w:rPr>
          <w:rFonts w:hint="eastAsia" w:ascii="宋体" w:hAnsi="宋体" w:eastAsia="宋体" w:cs="宋体"/>
          <w:i w:val="0"/>
          <w:iCs w:val="0"/>
          <w:color w:val="auto"/>
          <w:spacing w:val="0"/>
          <w:w w:val="100"/>
          <w:position w:val="0"/>
          <w:sz w:val="24"/>
          <w:szCs w:val="24"/>
          <w:highlight w:val="none"/>
          <w:lang w:eastAsia="zh-CN"/>
        </w:rPr>
        <w:t>吉林省元辰工程项目管理有限公司</w:t>
      </w:r>
    </w:p>
    <w:p w14:paraId="5FEEB614">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地址：</w:t>
      </w:r>
      <w:r>
        <w:rPr>
          <w:rFonts w:hint="eastAsia" w:ascii="宋体" w:hAnsi="宋体" w:eastAsia="宋体" w:cs="宋体"/>
          <w:i w:val="0"/>
          <w:iCs w:val="0"/>
          <w:color w:val="auto"/>
          <w:spacing w:val="0"/>
          <w:w w:val="100"/>
          <w:position w:val="0"/>
          <w:sz w:val="24"/>
          <w:szCs w:val="24"/>
          <w:highlight w:val="none"/>
          <w:lang w:eastAsia="zh-CN"/>
        </w:rPr>
        <w:t>长春市临河街中海国际广场A座2</w:t>
      </w:r>
      <w:r>
        <w:rPr>
          <w:rFonts w:hint="eastAsia" w:ascii="宋体" w:hAnsi="宋体" w:eastAsia="宋体" w:cs="宋体"/>
          <w:i w:val="0"/>
          <w:iCs w:val="0"/>
          <w:color w:val="auto"/>
          <w:spacing w:val="0"/>
          <w:w w:val="100"/>
          <w:position w:val="0"/>
          <w:sz w:val="24"/>
          <w:szCs w:val="24"/>
          <w:highlight w:val="none"/>
          <w:lang w:val="en-US" w:eastAsia="zh-CN"/>
        </w:rPr>
        <w:t>110</w:t>
      </w:r>
      <w:r>
        <w:rPr>
          <w:rFonts w:hint="eastAsia" w:ascii="宋体" w:hAnsi="宋体" w:eastAsia="宋体" w:cs="宋体"/>
          <w:i w:val="0"/>
          <w:iCs w:val="0"/>
          <w:color w:val="auto"/>
          <w:spacing w:val="0"/>
          <w:w w:val="100"/>
          <w:position w:val="0"/>
          <w:sz w:val="24"/>
          <w:szCs w:val="24"/>
          <w:highlight w:val="none"/>
          <w:lang w:eastAsia="zh-CN"/>
        </w:rPr>
        <w:t>室</w:t>
      </w:r>
    </w:p>
    <w:p w14:paraId="7FFA17BF">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联系方式：</w:t>
      </w:r>
      <w:r>
        <w:rPr>
          <w:rFonts w:hint="eastAsia" w:ascii="宋体" w:hAnsi="宋体" w:eastAsia="宋体" w:cs="宋体"/>
          <w:i w:val="0"/>
          <w:iCs w:val="0"/>
          <w:color w:val="auto"/>
          <w:spacing w:val="0"/>
          <w:w w:val="100"/>
          <w:position w:val="0"/>
          <w:sz w:val="24"/>
          <w:szCs w:val="24"/>
          <w:highlight w:val="none"/>
          <w:lang w:val="en-US" w:eastAsia="zh-CN"/>
        </w:rPr>
        <w:t>0431-89363399</w:t>
      </w:r>
    </w:p>
    <w:p w14:paraId="266C9577">
      <w:pPr>
        <w:spacing w:line="480" w:lineRule="auto"/>
        <w:ind w:firstLine="422" w:firstLineChars="2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3.项目联系方式</w:t>
      </w:r>
    </w:p>
    <w:p w14:paraId="3498A0AB">
      <w:pPr>
        <w:spacing w:before="28" w:line="360" w:lineRule="auto"/>
        <w:ind w:left="10" w:firstLine="475"/>
        <w:rPr>
          <w:rFonts w:hint="default"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项目联系人：</w:t>
      </w:r>
      <w:r>
        <w:rPr>
          <w:rFonts w:hint="eastAsia" w:ascii="宋体" w:hAnsi="宋体" w:eastAsia="宋体" w:cs="宋体"/>
          <w:i w:val="0"/>
          <w:iCs w:val="0"/>
          <w:color w:val="auto"/>
          <w:spacing w:val="0"/>
          <w:w w:val="100"/>
          <w:position w:val="0"/>
          <w:sz w:val="24"/>
          <w:szCs w:val="24"/>
          <w:highlight w:val="none"/>
          <w:lang w:val="en-US" w:eastAsia="zh-CN"/>
        </w:rPr>
        <w:t>张明宇</w:t>
      </w:r>
    </w:p>
    <w:p w14:paraId="45B92096">
      <w:pPr>
        <w:spacing w:before="28" w:line="360" w:lineRule="auto"/>
        <w:ind w:left="10" w:firstLine="47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电话：</w:t>
      </w:r>
      <w:r>
        <w:rPr>
          <w:rFonts w:hint="eastAsia" w:ascii="宋体" w:hAnsi="宋体" w:eastAsia="宋体" w:cs="宋体"/>
          <w:i w:val="0"/>
          <w:iCs w:val="0"/>
          <w:color w:val="auto"/>
          <w:spacing w:val="0"/>
          <w:w w:val="100"/>
          <w:position w:val="0"/>
          <w:sz w:val="24"/>
          <w:szCs w:val="24"/>
          <w:highlight w:val="none"/>
          <w:lang w:val="en-US" w:eastAsia="zh-CN"/>
        </w:rPr>
        <w:t>0431-89363399</w:t>
      </w:r>
    </w:p>
    <w:p w14:paraId="734ECCC7">
      <w:pPr>
        <w:spacing w:before="28" w:line="360" w:lineRule="auto"/>
        <w:ind w:left="10" w:firstLine="475"/>
        <w:rPr>
          <w:rFonts w:hint="eastAsia" w:ascii="宋体" w:hAnsi="宋体" w:eastAsia="宋体" w:cs="宋体"/>
          <w:color w:val="auto"/>
          <w:sz w:val="21"/>
          <w:szCs w:val="21"/>
          <w:highlight w:val="none"/>
          <w:lang w:val="en-US" w:eastAsia="zh-CN"/>
        </w:rPr>
      </w:pPr>
      <w:r>
        <w:rPr>
          <w:rFonts w:hint="default" w:ascii="宋体" w:hAnsi="宋体" w:eastAsia="宋体" w:cs="宋体"/>
          <w:i w:val="0"/>
          <w:iCs w:val="0"/>
          <w:color w:val="auto"/>
          <w:spacing w:val="0"/>
          <w:w w:val="100"/>
          <w:position w:val="0"/>
          <w:sz w:val="24"/>
          <w:szCs w:val="24"/>
          <w:highlight w:val="none"/>
          <w:lang w:val="en-US" w:eastAsia="zh-CN"/>
        </w:rPr>
        <w:t>来源：</w:t>
      </w:r>
      <w:r>
        <w:rPr>
          <w:rFonts w:hint="eastAsia" w:ascii="宋体" w:hAnsi="宋体" w:eastAsia="宋体" w:cs="宋体"/>
          <w:i w:val="0"/>
          <w:iCs w:val="0"/>
          <w:color w:val="auto"/>
          <w:spacing w:val="0"/>
          <w:w w:val="100"/>
          <w:position w:val="0"/>
          <w:sz w:val="24"/>
          <w:szCs w:val="24"/>
          <w:highlight w:val="none"/>
          <w:lang w:eastAsia="zh-CN"/>
        </w:rPr>
        <w:t>吉林省元辰工程项目管理有限公司</w:t>
      </w:r>
      <w:r>
        <w:rPr>
          <w:rFonts w:hint="eastAsia" w:ascii="宋体" w:hAnsi="宋体" w:eastAsia="宋体" w:cs="宋体"/>
          <w:i w:val="0"/>
          <w:iCs w:val="0"/>
          <w:color w:val="auto"/>
          <w:spacing w:val="0"/>
          <w:w w:val="100"/>
          <w:position w:val="0"/>
          <w:sz w:val="24"/>
          <w:szCs w:val="24"/>
          <w:highlight w:val="none"/>
          <w:lang w:val="en-US" w:eastAsia="zh-CN"/>
        </w:rPr>
        <w:t xml:space="preserve">          </w:t>
      </w:r>
      <w:r>
        <w:rPr>
          <w:rFonts w:hint="eastAsia" w:ascii="宋体" w:hAnsi="宋体" w:eastAsia="宋体" w:cs="宋体"/>
          <w:color w:val="auto"/>
          <w:sz w:val="21"/>
          <w:szCs w:val="21"/>
          <w:highlight w:val="none"/>
          <w:lang w:val="en-US" w:eastAsia="zh-CN"/>
        </w:rPr>
        <w:t xml:space="preserve">     </w:t>
      </w:r>
    </w:p>
    <w:p w14:paraId="1CCFBC9B">
      <w:pPr>
        <w:spacing w:before="27" w:line="360" w:lineRule="auto"/>
        <w:rPr>
          <w:rFonts w:hint="eastAsia" w:ascii="宋体" w:hAnsi="宋体" w:eastAsia="宋体" w:cs="宋体"/>
          <w:i w:val="0"/>
          <w:iCs w:val="0"/>
          <w:color w:val="auto"/>
          <w:spacing w:val="0"/>
          <w:w w:val="100"/>
          <w:position w:val="0"/>
          <w:sz w:val="30"/>
          <w:szCs w:val="30"/>
          <w:highlight w:val="none"/>
          <w14:textOutline w14:w="5448" w14:cap="sq" w14:cmpd="sng">
            <w14:solidFill>
              <w14:srgbClr w14:val="000000"/>
            </w14:solidFill>
            <w14:prstDash w14:val="solid"/>
            <w14:bevel/>
          </w14:textOutline>
        </w:rPr>
      </w:pPr>
      <w:r>
        <w:rPr>
          <w:rFonts w:hint="eastAsia" w:ascii="宋体" w:hAnsi="宋体" w:eastAsia="宋体" w:cs="宋体"/>
          <w:i w:val="0"/>
          <w:iCs w:val="0"/>
          <w:color w:val="auto"/>
          <w:spacing w:val="0"/>
          <w:w w:val="100"/>
          <w:position w:val="0"/>
          <w:sz w:val="30"/>
          <w:szCs w:val="30"/>
          <w:highlight w:val="none"/>
          <w14:textOutline w14:w="5448" w14:cap="sq" w14:cmpd="sng">
            <w14:solidFill>
              <w14:srgbClr w14:val="000000"/>
            </w14:solidFill>
            <w14:prstDash w14:val="solid"/>
            <w14:bevel/>
          </w14:textOutline>
        </w:rPr>
        <w:br w:type="page"/>
      </w:r>
    </w:p>
    <w:p w14:paraId="29D118D8">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9" w:name="_Toc4260"/>
      <w:r>
        <w:rPr>
          <w:rFonts w:hint="eastAsia" w:ascii="宋体" w:hAnsi="宋体" w:eastAsia="宋体" w:cs="宋体"/>
          <w:b/>
          <w:bCs/>
          <w:color w:val="auto"/>
          <w:sz w:val="36"/>
          <w:szCs w:val="36"/>
          <w:highlight w:val="none"/>
        </w:rPr>
        <w:t>第二章供应商须知</w:t>
      </w:r>
      <w:bookmarkEnd w:id="9"/>
    </w:p>
    <w:p w14:paraId="4727E345">
      <w:pPr>
        <w:spacing w:before="82" w:line="223" w:lineRule="auto"/>
        <w:ind w:left="3335"/>
        <w:rPr>
          <w:rFonts w:hint="eastAsia" w:ascii="宋体" w:hAnsi="宋体" w:eastAsia="宋体" w:cs="宋体"/>
          <w:i w:val="0"/>
          <w:iCs w:val="0"/>
          <w:color w:val="auto"/>
          <w:spacing w:val="0"/>
          <w:w w:val="100"/>
          <w:position w:val="0"/>
          <w:sz w:val="25"/>
          <w:szCs w:val="25"/>
          <w:highlight w:val="none"/>
        </w:rPr>
      </w:pPr>
      <w:r>
        <w:rPr>
          <w:rFonts w:hint="eastAsia" w:ascii="宋体" w:hAnsi="宋体" w:eastAsia="宋体" w:cs="宋体"/>
          <w:i w:val="0"/>
          <w:iCs w:val="0"/>
          <w:color w:val="auto"/>
          <w:spacing w:val="0"/>
          <w:w w:val="100"/>
          <w:position w:val="0"/>
          <w:sz w:val="25"/>
          <w:szCs w:val="25"/>
          <w:highlight w:val="none"/>
          <w14:textOutline w14:w="4703" w14:cap="sq" w14:cmpd="sng">
            <w14:solidFill>
              <w14:srgbClr w14:val="000000"/>
            </w14:solidFill>
            <w14:prstDash w14:val="solid"/>
            <w14:bevel/>
          </w14:textOutline>
        </w:rPr>
        <w:t>供应商须知前附表</w:t>
      </w:r>
    </w:p>
    <w:tbl>
      <w:tblPr>
        <w:tblStyle w:val="30"/>
        <w:tblW w:w="938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1"/>
        <w:gridCol w:w="2042"/>
        <w:gridCol w:w="6440"/>
      </w:tblGrid>
      <w:tr w14:paraId="5E9871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7341DE0D">
            <w:pPr>
              <w:pStyle w:val="31"/>
              <w:spacing w:before="35" w:line="218" w:lineRule="auto"/>
              <w:ind w:left="116"/>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条款号</w:t>
            </w:r>
          </w:p>
        </w:tc>
        <w:tc>
          <w:tcPr>
            <w:tcW w:w="2042" w:type="dxa"/>
            <w:vAlign w:val="top"/>
          </w:tcPr>
          <w:p w14:paraId="259ED2B9">
            <w:pPr>
              <w:pStyle w:val="31"/>
              <w:spacing w:before="35" w:line="218" w:lineRule="auto"/>
              <w:ind w:left="11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条款名称</w:t>
            </w:r>
          </w:p>
        </w:tc>
        <w:tc>
          <w:tcPr>
            <w:tcW w:w="6440" w:type="dxa"/>
            <w:vAlign w:val="top"/>
          </w:tcPr>
          <w:p w14:paraId="59BE6588">
            <w:pPr>
              <w:pStyle w:val="31"/>
              <w:spacing w:before="35" w:line="218" w:lineRule="auto"/>
              <w:ind w:left="11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编列内容</w:t>
            </w:r>
          </w:p>
        </w:tc>
      </w:tr>
      <w:tr w14:paraId="565968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4F1F8FE5">
            <w:pPr>
              <w:spacing w:line="461" w:lineRule="auto"/>
              <w:rPr>
                <w:rFonts w:hint="eastAsia" w:ascii="宋体" w:hAnsi="宋体" w:eastAsia="宋体" w:cs="宋体"/>
                <w:i w:val="0"/>
                <w:iCs w:val="0"/>
                <w:color w:val="auto"/>
                <w:spacing w:val="0"/>
                <w:w w:val="100"/>
                <w:position w:val="0"/>
                <w:sz w:val="24"/>
                <w:szCs w:val="24"/>
                <w:highlight w:val="none"/>
              </w:rPr>
            </w:pPr>
          </w:p>
          <w:p w14:paraId="4F79A0A6">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1.1.1</w:t>
            </w:r>
          </w:p>
        </w:tc>
        <w:tc>
          <w:tcPr>
            <w:tcW w:w="2042" w:type="dxa"/>
            <w:vAlign w:val="center"/>
          </w:tcPr>
          <w:p w14:paraId="2286B922">
            <w:pPr>
              <w:jc w:val="center"/>
              <w:rPr>
                <w:rFonts w:hint="eastAsia" w:ascii="宋体" w:hAnsi="宋体" w:eastAsia="宋体" w:cs="宋体"/>
                <w:color w:val="auto"/>
                <w:sz w:val="24"/>
                <w:szCs w:val="24"/>
                <w:highlight w:val="none"/>
              </w:rPr>
            </w:pPr>
          </w:p>
          <w:p w14:paraId="5702B71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w:t>
            </w:r>
          </w:p>
        </w:tc>
        <w:tc>
          <w:tcPr>
            <w:tcW w:w="6440" w:type="dxa"/>
            <w:vAlign w:val="top"/>
          </w:tcPr>
          <w:p w14:paraId="3FAF404A">
            <w:pPr>
              <w:pStyle w:val="31"/>
              <w:spacing w:before="24" w:line="230"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名称：蛟河市农村供水服务中心</w:t>
            </w:r>
          </w:p>
          <w:p w14:paraId="35A5AA71">
            <w:pPr>
              <w:pStyle w:val="31"/>
              <w:spacing w:before="24" w:line="230"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地址：蛟河市民主路19-3号</w:t>
            </w:r>
          </w:p>
          <w:p w14:paraId="4CC06257">
            <w:pPr>
              <w:pStyle w:val="31"/>
              <w:spacing w:before="24" w:line="230" w:lineRule="auto"/>
              <w:ind w:left="11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联系方式：俆丽慧，0432-67250852</w:t>
            </w:r>
          </w:p>
        </w:tc>
      </w:tr>
      <w:tr w14:paraId="198BBE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10EB149C">
            <w:pPr>
              <w:spacing w:line="403" w:lineRule="auto"/>
              <w:rPr>
                <w:rFonts w:hint="eastAsia" w:ascii="宋体" w:hAnsi="宋体" w:eastAsia="宋体" w:cs="宋体"/>
                <w:i w:val="0"/>
                <w:iCs w:val="0"/>
                <w:color w:val="auto"/>
                <w:spacing w:val="0"/>
                <w:w w:val="100"/>
                <w:position w:val="0"/>
                <w:sz w:val="24"/>
                <w:szCs w:val="24"/>
                <w:highlight w:val="none"/>
              </w:rPr>
            </w:pPr>
          </w:p>
          <w:p w14:paraId="1D31D224">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1.1.2</w:t>
            </w:r>
          </w:p>
        </w:tc>
        <w:tc>
          <w:tcPr>
            <w:tcW w:w="2042" w:type="dxa"/>
            <w:vAlign w:val="center"/>
          </w:tcPr>
          <w:p w14:paraId="7AC29403">
            <w:pPr>
              <w:jc w:val="center"/>
              <w:rPr>
                <w:rFonts w:hint="eastAsia" w:ascii="宋体" w:hAnsi="宋体" w:eastAsia="宋体" w:cs="宋体"/>
                <w:color w:val="auto"/>
                <w:sz w:val="24"/>
                <w:szCs w:val="24"/>
                <w:highlight w:val="none"/>
              </w:rPr>
            </w:pPr>
          </w:p>
          <w:p w14:paraId="275D9873">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采购代理机构</w:t>
            </w:r>
          </w:p>
        </w:tc>
        <w:tc>
          <w:tcPr>
            <w:tcW w:w="6440" w:type="dxa"/>
            <w:vAlign w:val="top"/>
          </w:tcPr>
          <w:p w14:paraId="2916B2BB">
            <w:pPr>
              <w:pStyle w:val="31"/>
              <w:spacing w:before="26" w:line="216"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名称：吉林省元辰工程项目管理有限公司</w:t>
            </w:r>
          </w:p>
          <w:p w14:paraId="4E84B5D6">
            <w:pPr>
              <w:pStyle w:val="31"/>
              <w:spacing w:before="26" w:line="216"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地址：长春市临河街中海国际广场A座2110室</w:t>
            </w:r>
          </w:p>
          <w:p w14:paraId="74CEAEA2">
            <w:pPr>
              <w:pStyle w:val="31"/>
              <w:spacing w:before="26" w:line="216" w:lineRule="auto"/>
              <w:ind w:left="112"/>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联系人：张明宇</w:t>
            </w:r>
          </w:p>
          <w:p w14:paraId="6B3690EA">
            <w:pPr>
              <w:pStyle w:val="31"/>
              <w:spacing w:before="26" w:line="216" w:lineRule="auto"/>
              <w:ind w:left="11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电  话：0431-89363399</w:t>
            </w:r>
          </w:p>
        </w:tc>
      </w:tr>
      <w:tr w14:paraId="095F7B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0783DDED">
            <w:pPr>
              <w:pStyle w:val="31"/>
              <w:spacing w:before="157"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1.1.3</w:t>
            </w:r>
          </w:p>
        </w:tc>
        <w:tc>
          <w:tcPr>
            <w:tcW w:w="2042" w:type="dxa"/>
            <w:vAlign w:val="center"/>
          </w:tcPr>
          <w:p w14:paraId="4F91B6A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p>
        </w:tc>
        <w:tc>
          <w:tcPr>
            <w:tcW w:w="6440" w:type="dxa"/>
            <w:vAlign w:val="top"/>
          </w:tcPr>
          <w:p w14:paraId="423249B1">
            <w:pPr>
              <w:pStyle w:val="31"/>
              <w:spacing w:before="125" w:line="227" w:lineRule="auto"/>
              <w:ind w:left="112"/>
              <w:rPr>
                <w:rFonts w:hint="eastAsia" w:ascii="宋体" w:hAnsi="宋体" w:eastAsia="宋体" w:cs="宋体"/>
                <w:i w:val="0"/>
                <w:iCs w:val="0"/>
                <w:color w:val="auto"/>
                <w:spacing w:val="0"/>
                <w:w w:val="100"/>
                <w:position w:val="0"/>
                <w:sz w:val="24"/>
                <w:szCs w:val="24"/>
                <w:highlight w:val="none"/>
                <w:lang w:eastAsia="zh-CN"/>
              </w:rPr>
            </w:pPr>
            <w:r>
              <w:rPr>
                <w:rFonts w:hint="eastAsia" w:cs="宋体"/>
                <w:i w:val="0"/>
                <w:iCs w:val="0"/>
                <w:color w:val="auto"/>
                <w:spacing w:val="0"/>
                <w:w w:val="100"/>
                <w:position w:val="0"/>
                <w:sz w:val="24"/>
                <w:szCs w:val="24"/>
                <w:highlight w:val="none"/>
                <w:lang w:eastAsia="zh-CN"/>
              </w:rPr>
              <w:t>蛟河市2024年农村供水工程中央资金维修养护项目</w:t>
            </w:r>
          </w:p>
        </w:tc>
      </w:tr>
      <w:tr w14:paraId="0F2F3C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0E8278B4">
            <w:pPr>
              <w:pStyle w:val="31"/>
              <w:spacing w:before="156"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1.2.1</w:t>
            </w:r>
          </w:p>
        </w:tc>
        <w:tc>
          <w:tcPr>
            <w:tcW w:w="2042" w:type="dxa"/>
            <w:vAlign w:val="center"/>
          </w:tcPr>
          <w:p w14:paraId="10D1731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资金来源</w:t>
            </w:r>
          </w:p>
        </w:tc>
        <w:tc>
          <w:tcPr>
            <w:tcW w:w="6440" w:type="dxa"/>
            <w:vAlign w:val="top"/>
          </w:tcPr>
          <w:p w14:paraId="0EBDDF77">
            <w:pPr>
              <w:pStyle w:val="31"/>
              <w:spacing w:before="124" w:line="229" w:lineRule="auto"/>
              <w:ind w:left="112"/>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lang w:val="en-US" w:eastAsia="zh-CN"/>
              </w:rPr>
              <w:t>财政资金</w:t>
            </w:r>
          </w:p>
        </w:tc>
      </w:tr>
      <w:tr w14:paraId="4E7250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2F6F0746">
            <w:pPr>
              <w:pStyle w:val="31"/>
              <w:spacing w:before="157"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1.2.2</w:t>
            </w:r>
          </w:p>
        </w:tc>
        <w:tc>
          <w:tcPr>
            <w:tcW w:w="2042" w:type="dxa"/>
            <w:vAlign w:val="center"/>
          </w:tcPr>
          <w:p w14:paraId="576E3E1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出资比例</w:t>
            </w:r>
          </w:p>
        </w:tc>
        <w:tc>
          <w:tcPr>
            <w:tcW w:w="6440" w:type="dxa"/>
            <w:vAlign w:val="top"/>
          </w:tcPr>
          <w:p w14:paraId="1213029C">
            <w:pPr>
              <w:pStyle w:val="31"/>
              <w:spacing w:before="125" w:line="269" w:lineRule="exact"/>
              <w:ind w:left="127"/>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100%</w:t>
            </w:r>
          </w:p>
        </w:tc>
      </w:tr>
      <w:tr w14:paraId="5F2666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center"/>
          </w:tcPr>
          <w:p w14:paraId="0B713ECF">
            <w:pPr>
              <w:pStyle w:val="31"/>
              <w:spacing w:before="156" w:line="190" w:lineRule="auto"/>
              <w:ind w:left="209"/>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1.2.3</w:t>
            </w:r>
          </w:p>
        </w:tc>
        <w:tc>
          <w:tcPr>
            <w:tcW w:w="2042" w:type="dxa"/>
            <w:vAlign w:val="center"/>
          </w:tcPr>
          <w:p w14:paraId="38ADC33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资金落实情况</w:t>
            </w:r>
          </w:p>
        </w:tc>
        <w:tc>
          <w:tcPr>
            <w:tcW w:w="6440" w:type="dxa"/>
            <w:vAlign w:val="top"/>
          </w:tcPr>
          <w:p w14:paraId="58E03F7D">
            <w:pPr>
              <w:pStyle w:val="31"/>
              <w:spacing w:before="125" w:line="228" w:lineRule="auto"/>
              <w:ind w:left="13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已落实</w:t>
            </w:r>
          </w:p>
        </w:tc>
      </w:tr>
      <w:tr w14:paraId="39F094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center"/>
          </w:tcPr>
          <w:p w14:paraId="0E7A3EE4">
            <w:pPr>
              <w:pStyle w:val="31"/>
              <w:spacing w:before="158" w:line="190" w:lineRule="auto"/>
              <w:ind w:left="209"/>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1.3.1</w:t>
            </w:r>
          </w:p>
        </w:tc>
        <w:tc>
          <w:tcPr>
            <w:tcW w:w="2042" w:type="dxa"/>
            <w:vAlign w:val="center"/>
          </w:tcPr>
          <w:p w14:paraId="4A050FF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招标范围</w:t>
            </w:r>
          </w:p>
        </w:tc>
        <w:tc>
          <w:tcPr>
            <w:tcW w:w="6440" w:type="dxa"/>
            <w:vAlign w:val="top"/>
          </w:tcPr>
          <w:p w14:paraId="3410F4FA">
            <w:pPr>
              <w:pStyle w:val="31"/>
              <w:spacing w:before="125" w:line="228" w:lineRule="auto"/>
              <w:ind w:left="11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蛟河市2024年农村供水工程中央资金维修养护项目</w:t>
            </w:r>
          </w:p>
        </w:tc>
      </w:tr>
      <w:tr w14:paraId="5BF6BF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center"/>
          </w:tcPr>
          <w:p w14:paraId="7E02A4C0">
            <w:pPr>
              <w:pStyle w:val="31"/>
              <w:spacing w:before="200" w:line="190" w:lineRule="auto"/>
              <w:ind w:left="209"/>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1.3.2</w:t>
            </w:r>
          </w:p>
        </w:tc>
        <w:tc>
          <w:tcPr>
            <w:tcW w:w="2042" w:type="dxa"/>
            <w:vAlign w:val="center"/>
          </w:tcPr>
          <w:p w14:paraId="07DB942C">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计划工期</w:t>
            </w:r>
          </w:p>
        </w:tc>
        <w:tc>
          <w:tcPr>
            <w:tcW w:w="6440" w:type="dxa"/>
            <w:vAlign w:val="center"/>
          </w:tcPr>
          <w:p w14:paraId="2ECC635B">
            <w:pPr>
              <w:pStyle w:val="31"/>
              <w:spacing w:before="32" w:line="234" w:lineRule="auto"/>
              <w:ind w:left="116" w:right="104" w:hanging="5"/>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2025年</w:t>
            </w:r>
            <w:r>
              <w:rPr>
                <w:rFonts w:hint="eastAsia" w:cs="宋体"/>
                <w:i w:val="0"/>
                <w:iCs w:val="0"/>
                <w:color w:val="auto"/>
                <w:spacing w:val="0"/>
                <w:w w:val="100"/>
                <w:position w:val="0"/>
                <w:sz w:val="24"/>
                <w:szCs w:val="24"/>
                <w:highlight w:val="none"/>
                <w:lang w:val="en-US" w:eastAsia="zh-CN"/>
              </w:rPr>
              <w:t>04</w:t>
            </w:r>
            <w:r>
              <w:rPr>
                <w:rFonts w:hint="eastAsia" w:ascii="宋体" w:hAnsi="宋体" w:eastAsia="宋体" w:cs="宋体"/>
                <w:i w:val="0"/>
                <w:iCs w:val="0"/>
                <w:color w:val="auto"/>
                <w:spacing w:val="0"/>
                <w:w w:val="100"/>
                <w:position w:val="0"/>
                <w:sz w:val="24"/>
                <w:szCs w:val="24"/>
                <w:highlight w:val="none"/>
                <w:lang w:val="en-US" w:eastAsia="zh-CN"/>
              </w:rPr>
              <w:t>月1</w:t>
            </w:r>
            <w:r>
              <w:rPr>
                <w:rFonts w:hint="eastAsia" w:cs="宋体"/>
                <w:i w:val="0"/>
                <w:iCs w:val="0"/>
                <w:color w:val="auto"/>
                <w:spacing w:val="0"/>
                <w:w w:val="100"/>
                <w:position w:val="0"/>
                <w:sz w:val="24"/>
                <w:szCs w:val="24"/>
                <w:highlight w:val="none"/>
                <w:lang w:val="en-US" w:eastAsia="zh-CN"/>
              </w:rPr>
              <w:t>7</w:t>
            </w:r>
            <w:r>
              <w:rPr>
                <w:rFonts w:hint="eastAsia" w:ascii="宋体" w:hAnsi="宋体" w:eastAsia="宋体" w:cs="宋体"/>
                <w:i w:val="0"/>
                <w:iCs w:val="0"/>
                <w:color w:val="auto"/>
                <w:spacing w:val="0"/>
                <w:w w:val="100"/>
                <w:position w:val="0"/>
                <w:sz w:val="24"/>
                <w:szCs w:val="24"/>
                <w:highlight w:val="none"/>
                <w:lang w:val="en-US" w:eastAsia="zh-CN"/>
              </w:rPr>
              <w:t>日至2025年</w:t>
            </w:r>
            <w:r>
              <w:rPr>
                <w:rFonts w:hint="eastAsia" w:cs="宋体"/>
                <w:i w:val="0"/>
                <w:iCs w:val="0"/>
                <w:color w:val="auto"/>
                <w:spacing w:val="0"/>
                <w:w w:val="100"/>
                <w:position w:val="0"/>
                <w:sz w:val="24"/>
                <w:szCs w:val="24"/>
                <w:highlight w:val="none"/>
                <w:lang w:val="en-US" w:eastAsia="zh-CN"/>
              </w:rPr>
              <w:t>05</w:t>
            </w:r>
            <w:r>
              <w:rPr>
                <w:rFonts w:hint="eastAsia" w:ascii="宋体" w:hAnsi="宋体" w:eastAsia="宋体" w:cs="宋体"/>
                <w:i w:val="0"/>
                <w:iCs w:val="0"/>
                <w:color w:val="auto"/>
                <w:spacing w:val="0"/>
                <w:w w:val="100"/>
                <w:position w:val="0"/>
                <w:sz w:val="24"/>
                <w:szCs w:val="24"/>
                <w:highlight w:val="none"/>
                <w:lang w:val="en-US" w:eastAsia="zh-CN"/>
              </w:rPr>
              <w:t>月</w:t>
            </w:r>
            <w:r>
              <w:rPr>
                <w:rFonts w:hint="eastAsia" w:cs="宋体"/>
                <w:i w:val="0"/>
                <w:iCs w:val="0"/>
                <w:color w:val="auto"/>
                <w:spacing w:val="0"/>
                <w:w w:val="100"/>
                <w:position w:val="0"/>
                <w:sz w:val="24"/>
                <w:szCs w:val="24"/>
                <w:highlight w:val="none"/>
                <w:lang w:val="en-US" w:eastAsia="zh-CN"/>
              </w:rPr>
              <w:t>17</w:t>
            </w:r>
            <w:r>
              <w:rPr>
                <w:rFonts w:hint="eastAsia" w:ascii="宋体" w:hAnsi="宋体" w:eastAsia="宋体" w:cs="宋体"/>
                <w:i w:val="0"/>
                <w:iCs w:val="0"/>
                <w:color w:val="auto"/>
                <w:spacing w:val="0"/>
                <w:w w:val="100"/>
                <w:position w:val="0"/>
                <w:sz w:val="24"/>
                <w:szCs w:val="24"/>
                <w:highlight w:val="none"/>
                <w:lang w:val="en-US" w:eastAsia="zh-CN"/>
              </w:rPr>
              <w:t>日</w:t>
            </w:r>
          </w:p>
        </w:tc>
      </w:tr>
      <w:tr w14:paraId="3BE14D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center"/>
          </w:tcPr>
          <w:p w14:paraId="6F34C996">
            <w:pPr>
              <w:pStyle w:val="31"/>
              <w:spacing w:before="157" w:line="190" w:lineRule="auto"/>
              <w:ind w:left="209"/>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1.3.3</w:t>
            </w:r>
          </w:p>
        </w:tc>
        <w:tc>
          <w:tcPr>
            <w:tcW w:w="2042" w:type="dxa"/>
            <w:vAlign w:val="center"/>
          </w:tcPr>
          <w:p w14:paraId="697840AD">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质量</w:t>
            </w:r>
            <w:r>
              <w:rPr>
                <w:rFonts w:hint="eastAsia" w:ascii="宋体" w:hAnsi="宋体" w:eastAsia="宋体" w:cs="宋体"/>
                <w:color w:val="auto"/>
                <w:sz w:val="24"/>
                <w:szCs w:val="24"/>
                <w:highlight w:val="none"/>
                <w:lang w:val="en-US" w:eastAsia="zh-CN"/>
              </w:rPr>
              <w:t>标准</w:t>
            </w:r>
          </w:p>
        </w:tc>
        <w:tc>
          <w:tcPr>
            <w:tcW w:w="6440" w:type="dxa"/>
            <w:vAlign w:val="top"/>
          </w:tcPr>
          <w:p w14:paraId="5E8745C8">
            <w:pPr>
              <w:pStyle w:val="31"/>
              <w:spacing w:before="125" w:line="228" w:lineRule="auto"/>
              <w:ind w:left="113"/>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符合国家现行工程质量验收统一标准</w:t>
            </w:r>
            <w:r>
              <w:rPr>
                <w:rFonts w:hint="eastAsia" w:ascii="宋体" w:hAnsi="宋体" w:eastAsia="宋体" w:cs="宋体"/>
                <w:i w:val="0"/>
                <w:iCs w:val="0"/>
                <w:color w:val="auto"/>
                <w:spacing w:val="0"/>
                <w:w w:val="100"/>
                <w:position w:val="0"/>
                <w:sz w:val="24"/>
                <w:szCs w:val="24"/>
                <w:highlight w:val="none"/>
                <w:lang w:val="en-US" w:eastAsia="zh-CN"/>
              </w:rPr>
              <w:t>的合格工程</w:t>
            </w:r>
          </w:p>
        </w:tc>
      </w:tr>
      <w:tr w14:paraId="391CBC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6FF382BD">
            <w:pPr>
              <w:spacing w:line="246" w:lineRule="auto"/>
              <w:rPr>
                <w:rFonts w:hint="eastAsia" w:ascii="宋体" w:hAnsi="宋体" w:eastAsia="宋体" w:cs="宋体"/>
                <w:i w:val="0"/>
                <w:iCs w:val="0"/>
                <w:color w:val="auto"/>
                <w:spacing w:val="0"/>
                <w:w w:val="100"/>
                <w:position w:val="0"/>
                <w:sz w:val="24"/>
                <w:szCs w:val="24"/>
                <w:highlight w:val="none"/>
              </w:rPr>
            </w:pPr>
          </w:p>
          <w:p w14:paraId="0F1725A5">
            <w:pPr>
              <w:spacing w:line="246" w:lineRule="auto"/>
              <w:rPr>
                <w:rFonts w:hint="eastAsia" w:ascii="宋体" w:hAnsi="宋体" w:eastAsia="宋体" w:cs="宋体"/>
                <w:i w:val="0"/>
                <w:iCs w:val="0"/>
                <w:color w:val="auto"/>
                <w:spacing w:val="0"/>
                <w:w w:val="100"/>
                <w:position w:val="0"/>
                <w:sz w:val="24"/>
                <w:szCs w:val="24"/>
                <w:highlight w:val="none"/>
              </w:rPr>
            </w:pPr>
          </w:p>
          <w:p w14:paraId="75D97C7E">
            <w:pPr>
              <w:spacing w:line="246" w:lineRule="auto"/>
              <w:rPr>
                <w:rFonts w:hint="eastAsia" w:ascii="宋体" w:hAnsi="宋体" w:eastAsia="宋体" w:cs="宋体"/>
                <w:i w:val="0"/>
                <w:iCs w:val="0"/>
                <w:color w:val="auto"/>
                <w:spacing w:val="0"/>
                <w:w w:val="100"/>
                <w:position w:val="0"/>
                <w:sz w:val="24"/>
                <w:szCs w:val="24"/>
                <w:highlight w:val="none"/>
              </w:rPr>
            </w:pPr>
          </w:p>
          <w:p w14:paraId="23584E0C">
            <w:pPr>
              <w:spacing w:line="246" w:lineRule="auto"/>
              <w:rPr>
                <w:rFonts w:hint="eastAsia" w:ascii="宋体" w:hAnsi="宋体" w:eastAsia="宋体" w:cs="宋体"/>
                <w:i w:val="0"/>
                <w:iCs w:val="0"/>
                <w:color w:val="auto"/>
                <w:spacing w:val="0"/>
                <w:w w:val="100"/>
                <w:position w:val="0"/>
                <w:sz w:val="24"/>
                <w:szCs w:val="24"/>
                <w:highlight w:val="none"/>
              </w:rPr>
            </w:pPr>
          </w:p>
          <w:p w14:paraId="33F21696">
            <w:pPr>
              <w:spacing w:line="246" w:lineRule="auto"/>
              <w:rPr>
                <w:rFonts w:hint="eastAsia" w:ascii="宋体" w:hAnsi="宋体" w:eastAsia="宋体" w:cs="宋体"/>
                <w:i w:val="0"/>
                <w:iCs w:val="0"/>
                <w:color w:val="auto"/>
                <w:spacing w:val="0"/>
                <w:w w:val="100"/>
                <w:position w:val="0"/>
                <w:sz w:val="24"/>
                <w:szCs w:val="24"/>
                <w:highlight w:val="none"/>
              </w:rPr>
            </w:pPr>
          </w:p>
          <w:p w14:paraId="1E449BB9">
            <w:pPr>
              <w:spacing w:line="246" w:lineRule="auto"/>
              <w:rPr>
                <w:rFonts w:hint="eastAsia" w:ascii="宋体" w:hAnsi="宋体" w:eastAsia="宋体" w:cs="宋体"/>
                <w:i w:val="0"/>
                <w:iCs w:val="0"/>
                <w:color w:val="auto"/>
                <w:spacing w:val="0"/>
                <w:w w:val="100"/>
                <w:position w:val="0"/>
                <w:sz w:val="24"/>
                <w:szCs w:val="24"/>
                <w:highlight w:val="none"/>
              </w:rPr>
            </w:pPr>
          </w:p>
          <w:p w14:paraId="564D6E16">
            <w:pPr>
              <w:spacing w:line="246" w:lineRule="auto"/>
              <w:rPr>
                <w:rFonts w:hint="eastAsia" w:ascii="宋体" w:hAnsi="宋体" w:eastAsia="宋体" w:cs="宋体"/>
                <w:i w:val="0"/>
                <w:iCs w:val="0"/>
                <w:color w:val="auto"/>
                <w:spacing w:val="0"/>
                <w:w w:val="100"/>
                <w:position w:val="0"/>
                <w:sz w:val="24"/>
                <w:szCs w:val="24"/>
                <w:highlight w:val="none"/>
              </w:rPr>
            </w:pPr>
          </w:p>
          <w:p w14:paraId="5CC45BF8">
            <w:pPr>
              <w:spacing w:line="246" w:lineRule="auto"/>
              <w:rPr>
                <w:rFonts w:hint="eastAsia" w:ascii="宋体" w:hAnsi="宋体" w:eastAsia="宋体" w:cs="宋体"/>
                <w:i w:val="0"/>
                <w:iCs w:val="0"/>
                <w:color w:val="auto"/>
                <w:spacing w:val="0"/>
                <w:w w:val="100"/>
                <w:position w:val="0"/>
                <w:sz w:val="24"/>
                <w:szCs w:val="24"/>
                <w:highlight w:val="none"/>
              </w:rPr>
            </w:pPr>
          </w:p>
          <w:p w14:paraId="34D75746">
            <w:pPr>
              <w:spacing w:line="246" w:lineRule="auto"/>
              <w:rPr>
                <w:rFonts w:hint="eastAsia" w:ascii="宋体" w:hAnsi="宋体" w:eastAsia="宋体" w:cs="宋体"/>
                <w:i w:val="0"/>
                <w:iCs w:val="0"/>
                <w:color w:val="auto"/>
                <w:spacing w:val="0"/>
                <w:w w:val="100"/>
                <w:position w:val="0"/>
                <w:sz w:val="24"/>
                <w:szCs w:val="24"/>
                <w:highlight w:val="none"/>
              </w:rPr>
            </w:pPr>
          </w:p>
          <w:p w14:paraId="52D2FFBD">
            <w:pPr>
              <w:spacing w:line="246" w:lineRule="auto"/>
              <w:rPr>
                <w:rFonts w:hint="eastAsia" w:ascii="宋体" w:hAnsi="宋体" w:eastAsia="宋体" w:cs="宋体"/>
                <w:i w:val="0"/>
                <w:iCs w:val="0"/>
                <w:color w:val="auto"/>
                <w:spacing w:val="0"/>
                <w:w w:val="100"/>
                <w:position w:val="0"/>
                <w:sz w:val="24"/>
                <w:szCs w:val="24"/>
                <w:highlight w:val="none"/>
              </w:rPr>
            </w:pPr>
          </w:p>
          <w:p w14:paraId="001C0A8A">
            <w:pPr>
              <w:spacing w:line="247" w:lineRule="auto"/>
              <w:rPr>
                <w:rFonts w:hint="eastAsia" w:ascii="宋体" w:hAnsi="宋体" w:eastAsia="宋体" w:cs="宋体"/>
                <w:i w:val="0"/>
                <w:iCs w:val="0"/>
                <w:color w:val="auto"/>
                <w:spacing w:val="0"/>
                <w:w w:val="100"/>
                <w:position w:val="0"/>
                <w:sz w:val="24"/>
                <w:szCs w:val="24"/>
                <w:highlight w:val="none"/>
              </w:rPr>
            </w:pPr>
          </w:p>
          <w:p w14:paraId="0028C06C">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1.4.1</w:t>
            </w:r>
          </w:p>
        </w:tc>
        <w:tc>
          <w:tcPr>
            <w:tcW w:w="2042" w:type="dxa"/>
            <w:vAlign w:val="center"/>
          </w:tcPr>
          <w:p w14:paraId="5E6C7667">
            <w:pPr>
              <w:jc w:val="center"/>
              <w:rPr>
                <w:rFonts w:hint="eastAsia" w:ascii="宋体" w:hAnsi="宋体" w:eastAsia="宋体" w:cs="宋体"/>
                <w:color w:val="auto"/>
                <w:sz w:val="24"/>
                <w:szCs w:val="24"/>
                <w:highlight w:val="none"/>
              </w:rPr>
            </w:pPr>
          </w:p>
          <w:p w14:paraId="3F7F2903">
            <w:pPr>
              <w:jc w:val="center"/>
              <w:rPr>
                <w:rFonts w:hint="eastAsia" w:ascii="宋体" w:hAnsi="宋体" w:eastAsia="宋体" w:cs="宋体"/>
                <w:color w:val="auto"/>
                <w:sz w:val="24"/>
                <w:szCs w:val="24"/>
                <w:highlight w:val="none"/>
              </w:rPr>
            </w:pPr>
          </w:p>
          <w:p w14:paraId="66AA8A3C">
            <w:pPr>
              <w:jc w:val="center"/>
              <w:rPr>
                <w:rFonts w:hint="eastAsia" w:ascii="宋体" w:hAnsi="宋体" w:eastAsia="宋体" w:cs="宋体"/>
                <w:color w:val="auto"/>
                <w:sz w:val="24"/>
                <w:szCs w:val="24"/>
                <w:highlight w:val="none"/>
              </w:rPr>
            </w:pPr>
          </w:p>
          <w:p w14:paraId="635BD72F">
            <w:pPr>
              <w:jc w:val="center"/>
              <w:rPr>
                <w:rFonts w:hint="eastAsia" w:ascii="宋体" w:hAnsi="宋体" w:eastAsia="宋体" w:cs="宋体"/>
                <w:color w:val="auto"/>
                <w:sz w:val="24"/>
                <w:szCs w:val="24"/>
                <w:highlight w:val="none"/>
              </w:rPr>
            </w:pPr>
          </w:p>
          <w:p w14:paraId="6F86E511">
            <w:pPr>
              <w:jc w:val="center"/>
              <w:rPr>
                <w:rFonts w:hint="eastAsia" w:ascii="宋体" w:hAnsi="宋体" w:eastAsia="宋体" w:cs="宋体"/>
                <w:color w:val="auto"/>
                <w:sz w:val="24"/>
                <w:szCs w:val="24"/>
                <w:highlight w:val="none"/>
              </w:rPr>
            </w:pPr>
          </w:p>
          <w:p w14:paraId="4691199E">
            <w:pPr>
              <w:jc w:val="center"/>
              <w:rPr>
                <w:rFonts w:hint="eastAsia" w:ascii="宋体" w:hAnsi="宋体" w:eastAsia="宋体" w:cs="宋体"/>
                <w:color w:val="auto"/>
                <w:sz w:val="24"/>
                <w:szCs w:val="24"/>
                <w:highlight w:val="none"/>
              </w:rPr>
            </w:pPr>
          </w:p>
          <w:p w14:paraId="19DF2F1D">
            <w:pPr>
              <w:jc w:val="center"/>
              <w:rPr>
                <w:rFonts w:hint="eastAsia" w:ascii="宋体" w:hAnsi="宋体" w:eastAsia="宋体" w:cs="宋体"/>
                <w:color w:val="auto"/>
                <w:sz w:val="24"/>
                <w:szCs w:val="24"/>
                <w:highlight w:val="none"/>
              </w:rPr>
            </w:pPr>
          </w:p>
          <w:p w14:paraId="59FBA7A2">
            <w:pPr>
              <w:jc w:val="center"/>
              <w:rPr>
                <w:rFonts w:hint="eastAsia" w:ascii="宋体" w:hAnsi="宋体" w:eastAsia="宋体" w:cs="宋体"/>
                <w:color w:val="auto"/>
                <w:sz w:val="24"/>
                <w:szCs w:val="24"/>
                <w:highlight w:val="none"/>
              </w:rPr>
            </w:pPr>
          </w:p>
          <w:p w14:paraId="4E564F21">
            <w:pPr>
              <w:jc w:val="center"/>
              <w:rPr>
                <w:rFonts w:hint="eastAsia" w:ascii="宋体" w:hAnsi="宋体" w:eastAsia="宋体" w:cs="宋体"/>
                <w:color w:val="auto"/>
                <w:sz w:val="24"/>
                <w:szCs w:val="24"/>
                <w:highlight w:val="none"/>
              </w:rPr>
            </w:pPr>
          </w:p>
          <w:p w14:paraId="15F837C7">
            <w:pPr>
              <w:jc w:val="center"/>
              <w:rPr>
                <w:rFonts w:hint="eastAsia" w:ascii="宋体" w:hAnsi="宋体" w:eastAsia="宋体" w:cs="宋体"/>
                <w:color w:val="auto"/>
                <w:sz w:val="24"/>
                <w:szCs w:val="24"/>
                <w:highlight w:val="none"/>
              </w:rPr>
            </w:pPr>
          </w:p>
          <w:p w14:paraId="623D2D94">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供应商资质条件、能力和信誉</w:t>
            </w:r>
          </w:p>
        </w:tc>
        <w:tc>
          <w:tcPr>
            <w:tcW w:w="6440" w:type="dxa"/>
            <w:vAlign w:val="top"/>
          </w:tcPr>
          <w:p w14:paraId="381565A9">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1、满足《中华人民共和国政府采购法》第二十二条规定:</w:t>
            </w:r>
          </w:p>
          <w:p w14:paraId="7CFDAAD9">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(1)具有独立承担民事责任的能力;</w:t>
            </w:r>
          </w:p>
          <w:p w14:paraId="3161906A">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(2)具有良好的商业信誉和健全的财务会计制度;</w:t>
            </w:r>
          </w:p>
          <w:p w14:paraId="3C0EA69A">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(3)具有履行合同所必需的设备和专业技术能力;</w:t>
            </w:r>
          </w:p>
          <w:p w14:paraId="27602D88">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(4)有依法缴纳税收和社会保障资金的良好记录；</w:t>
            </w:r>
          </w:p>
          <w:p w14:paraId="511A444B">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(5)参加政府采购活动前三年内，在经营活动中没有重大违法记录；</w:t>
            </w:r>
          </w:p>
          <w:p w14:paraId="601F6470">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(6)法律、行政法规规定的其他条件。</w:t>
            </w:r>
          </w:p>
          <w:p w14:paraId="16AFFAE1">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潜实政府采购政策需满足的资格要求：依据《中华人民共和国政府采购法》、中华人民共和国政府采购法实施条例》及其相关配套的政府采购政策、相关规定的扶持政策执行；本项目为全部面向中小企业采购项目。</w:t>
            </w:r>
          </w:p>
          <w:p w14:paraId="1D1CFE55">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3、本项目的特定资格要求:</w:t>
            </w:r>
          </w:p>
          <w:p w14:paraId="21C6A959">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（1)在中国境内依法登记注册并仍有效存续的供应商，在人员、设备、资金等方面具有相应的能力;</w:t>
            </w:r>
          </w:p>
          <w:p w14:paraId="5562E984">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(2)本项目不接受联合体投标;</w:t>
            </w:r>
          </w:p>
          <w:p w14:paraId="6CA9ADD1">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(3)按照《财政部关于在政府采购活动中查询及使用信用记录有关问题的通知》(财库〔2016〕125 号）的要求，根据“信用中国”网站（www.creditchina.gov.cn)、中国政府采购网（www.ccgp.gov.cn）的信息，对列入失信被执行人、重大税收违法案件当事人名单、政府采购严重违法失信行为记录名单的供应商，拒绝参与政府采购活动，供应商应在采购公告发布后对本单位信用信息进行查询（“信用中国”、中国政府采购网、中国裁判文书网)并将查询资料附入投标文件中。对未按规定进行信用信息查询的投标人旧包括单位和个人）将不能通过投标资格审查；</w:t>
            </w:r>
          </w:p>
          <w:p w14:paraId="2BA6A19F">
            <w:pPr>
              <w:pStyle w:val="31"/>
              <w:spacing w:before="27" w:line="227" w:lineRule="auto"/>
              <w:ind w:left="114"/>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(4)拒绝列入政府不良行为记录并取消投标资格期间的企业或个人投标；</w:t>
            </w:r>
          </w:p>
          <w:p w14:paraId="5F095742">
            <w:pPr>
              <w:pStyle w:val="31"/>
              <w:spacing w:before="27" w:line="227" w:lineRule="auto"/>
              <w:ind w:left="11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（5）与招标人存在利害关系可能影响招标公正性的法人、其他组织或者个人，不得参加投标。单位负责人为同一人或者存在控股、管理关系的不同单位，不得参加同一标口投标，否则相关投标均无效。</w:t>
            </w:r>
          </w:p>
        </w:tc>
      </w:tr>
      <w:tr w14:paraId="61754E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jc w:val="center"/>
        </w:trPr>
        <w:tc>
          <w:tcPr>
            <w:tcW w:w="901" w:type="dxa"/>
            <w:vAlign w:val="top"/>
          </w:tcPr>
          <w:p w14:paraId="1CC51EE4">
            <w:pPr>
              <w:pStyle w:val="31"/>
              <w:spacing w:before="211"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1.4.2</w:t>
            </w:r>
          </w:p>
        </w:tc>
        <w:tc>
          <w:tcPr>
            <w:tcW w:w="2042" w:type="dxa"/>
            <w:vAlign w:val="top"/>
          </w:tcPr>
          <w:p w14:paraId="02094A12">
            <w:pPr>
              <w:pStyle w:val="31"/>
              <w:spacing w:before="179" w:line="228" w:lineRule="auto"/>
              <w:ind w:left="29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是否接受联合体</w:t>
            </w:r>
          </w:p>
        </w:tc>
        <w:tc>
          <w:tcPr>
            <w:tcW w:w="6440" w:type="dxa"/>
            <w:vAlign w:val="top"/>
          </w:tcPr>
          <w:p w14:paraId="71527BF3">
            <w:pPr>
              <w:pStyle w:val="31"/>
              <w:spacing w:before="42" w:line="274" w:lineRule="exact"/>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☑不接受</w:t>
            </w:r>
          </w:p>
          <w:p w14:paraId="07318181">
            <w:pPr>
              <w:pStyle w:val="31"/>
              <w:spacing w:line="224"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□接受</w:t>
            </w:r>
          </w:p>
        </w:tc>
      </w:tr>
    </w:tbl>
    <w:p w14:paraId="06ED831C">
      <w:pPr>
        <w:spacing w:line="89" w:lineRule="auto"/>
        <w:rPr>
          <w:rFonts w:hint="eastAsia" w:ascii="宋体" w:hAnsi="宋体" w:eastAsia="宋体" w:cs="宋体"/>
          <w:i w:val="0"/>
          <w:iCs w:val="0"/>
          <w:color w:val="auto"/>
          <w:spacing w:val="0"/>
          <w:w w:val="100"/>
          <w:position w:val="0"/>
          <w:sz w:val="2"/>
          <w:highlight w:val="none"/>
        </w:rPr>
      </w:pPr>
    </w:p>
    <w:tbl>
      <w:tblPr>
        <w:tblStyle w:val="30"/>
        <w:tblW w:w="9383"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01"/>
        <w:gridCol w:w="2042"/>
        <w:gridCol w:w="6440"/>
      </w:tblGrid>
      <w:tr w14:paraId="3F91D5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8" w:hRule="atLeast"/>
          <w:jc w:val="center"/>
        </w:trPr>
        <w:tc>
          <w:tcPr>
            <w:tcW w:w="901" w:type="dxa"/>
            <w:vAlign w:val="top"/>
          </w:tcPr>
          <w:p w14:paraId="799224BA">
            <w:pPr>
              <w:spacing w:line="290" w:lineRule="auto"/>
              <w:rPr>
                <w:rFonts w:hint="eastAsia" w:ascii="宋体" w:hAnsi="宋体" w:eastAsia="宋体" w:cs="宋体"/>
                <w:i w:val="0"/>
                <w:iCs w:val="0"/>
                <w:color w:val="auto"/>
                <w:spacing w:val="0"/>
                <w:w w:val="100"/>
                <w:position w:val="0"/>
                <w:sz w:val="24"/>
                <w:szCs w:val="24"/>
                <w:highlight w:val="none"/>
              </w:rPr>
            </w:pPr>
          </w:p>
          <w:p w14:paraId="7A5EA8E0">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1.5.1</w:t>
            </w:r>
          </w:p>
        </w:tc>
        <w:tc>
          <w:tcPr>
            <w:tcW w:w="2042" w:type="dxa"/>
            <w:vAlign w:val="center"/>
          </w:tcPr>
          <w:p w14:paraId="0F95D008">
            <w:pPr>
              <w:jc w:val="center"/>
              <w:rPr>
                <w:rFonts w:hint="eastAsia" w:ascii="宋体" w:hAnsi="宋体" w:eastAsia="宋体" w:cs="宋体"/>
                <w:color w:val="auto"/>
                <w:sz w:val="24"/>
                <w:szCs w:val="24"/>
                <w:highlight w:val="none"/>
              </w:rPr>
            </w:pPr>
          </w:p>
          <w:p w14:paraId="3CF8906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踏勘现场</w:t>
            </w:r>
          </w:p>
        </w:tc>
        <w:tc>
          <w:tcPr>
            <w:tcW w:w="6440" w:type="dxa"/>
            <w:vAlign w:val="top"/>
          </w:tcPr>
          <w:p w14:paraId="7DBD56CB">
            <w:pPr>
              <w:pStyle w:val="31"/>
              <w:spacing w:before="51" w:line="231"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☑不组织</w:t>
            </w:r>
          </w:p>
          <w:p w14:paraId="78ED348C">
            <w:pPr>
              <w:pStyle w:val="31"/>
              <w:spacing w:before="21" w:line="228"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□组织，踏勘时间：</w:t>
            </w:r>
          </w:p>
          <w:p w14:paraId="522EC6B5">
            <w:pPr>
              <w:pStyle w:val="31"/>
              <w:spacing w:before="26" w:line="228" w:lineRule="auto"/>
              <w:ind w:left="95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踏勘集中地点：</w:t>
            </w:r>
          </w:p>
        </w:tc>
      </w:tr>
      <w:tr w14:paraId="2FE155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0" w:hRule="atLeast"/>
          <w:jc w:val="center"/>
        </w:trPr>
        <w:tc>
          <w:tcPr>
            <w:tcW w:w="901" w:type="dxa"/>
            <w:vAlign w:val="top"/>
          </w:tcPr>
          <w:p w14:paraId="5D66E05C">
            <w:pPr>
              <w:spacing w:line="348" w:lineRule="auto"/>
              <w:rPr>
                <w:rFonts w:hint="eastAsia" w:ascii="宋体" w:hAnsi="宋体" w:eastAsia="宋体" w:cs="宋体"/>
                <w:i w:val="0"/>
                <w:iCs w:val="0"/>
                <w:color w:val="auto"/>
                <w:spacing w:val="0"/>
                <w:w w:val="100"/>
                <w:position w:val="0"/>
                <w:sz w:val="24"/>
                <w:szCs w:val="24"/>
                <w:highlight w:val="none"/>
              </w:rPr>
            </w:pPr>
          </w:p>
          <w:p w14:paraId="79144EAE">
            <w:pPr>
              <w:pStyle w:val="31"/>
              <w:spacing w:before="65"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1.6.1</w:t>
            </w:r>
          </w:p>
        </w:tc>
        <w:tc>
          <w:tcPr>
            <w:tcW w:w="2042" w:type="dxa"/>
            <w:vAlign w:val="center"/>
          </w:tcPr>
          <w:p w14:paraId="46584CA5">
            <w:pPr>
              <w:jc w:val="center"/>
              <w:rPr>
                <w:rFonts w:hint="eastAsia" w:ascii="宋体" w:hAnsi="宋体" w:eastAsia="宋体" w:cs="宋体"/>
                <w:color w:val="auto"/>
                <w:sz w:val="24"/>
                <w:szCs w:val="24"/>
                <w:highlight w:val="none"/>
              </w:rPr>
            </w:pPr>
          </w:p>
          <w:p w14:paraId="128A3B5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预备会</w:t>
            </w:r>
          </w:p>
        </w:tc>
        <w:tc>
          <w:tcPr>
            <w:tcW w:w="6440" w:type="dxa"/>
            <w:vAlign w:val="top"/>
          </w:tcPr>
          <w:p w14:paraId="7D02C450">
            <w:pPr>
              <w:pStyle w:val="31"/>
              <w:spacing w:before="110" w:line="229"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☑不召开</w:t>
            </w:r>
          </w:p>
          <w:p w14:paraId="66EE4E15">
            <w:pPr>
              <w:pStyle w:val="31"/>
              <w:spacing w:before="23" w:line="273" w:lineRule="exact"/>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□召开，召开时间：</w:t>
            </w:r>
          </w:p>
          <w:p w14:paraId="62A80371">
            <w:pPr>
              <w:pStyle w:val="31"/>
              <w:spacing w:line="229" w:lineRule="auto"/>
              <w:ind w:left="95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召开地点：</w:t>
            </w:r>
          </w:p>
        </w:tc>
      </w:tr>
      <w:tr w14:paraId="234276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901" w:type="dxa"/>
            <w:vAlign w:val="top"/>
          </w:tcPr>
          <w:p w14:paraId="1726E7DC">
            <w:pPr>
              <w:pStyle w:val="31"/>
              <w:spacing w:before="198" w:line="190" w:lineRule="auto"/>
              <w:ind w:left="20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1.6.2</w:t>
            </w:r>
          </w:p>
        </w:tc>
        <w:tc>
          <w:tcPr>
            <w:tcW w:w="2042" w:type="dxa"/>
            <w:vAlign w:val="center"/>
          </w:tcPr>
          <w:p w14:paraId="1F8034E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供应商提出问题的截止时间</w:t>
            </w:r>
          </w:p>
        </w:tc>
        <w:tc>
          <w:tcPr>
            <w:tcW w:w="6440" w:type="dxa"/>
            <w:vAlign w:val="top"/>
          </w:tcPr>
          <w:p w14:paraId="7434E6D3">
            <w:pPr>
              <w:pStyle w:val="31"/>
              <w:spacing w:before="166" w:line="228"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召开竞争性磋商之日2日前</w:t>
            </w:r>
          </w:p>
        </w:tc>
      </w:tr>
      <w:tr w14:paraId="6FC8E1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41" w:hRule="atLeast"/>
          <w:jc w:val="center"/>
        </w:trPr>
        <w:tc>
          <w:tcPr>
            <w:tcW w:w="901" w:type="dxa"/>
            <w:vAlign w:val="top"/>
          </w:tcPr>
          <w:p w14:paraId="7373095F">
            <w:pPr>
              <w:spacing w:line="427" w:lineRule="auto"/>
              <w:rPr>
                <w:rFonts w:hint="eastAsia" w:ascii="宋体" w:hAnsi="宋体" w:eastAsia="宋体" w:cs="宋体"/>
                <w:i w:val="0"/>
                <w:iCs w:val="0"/>
                <w:color w:val="auto"/>
                <w:spacing w:val="0"/>
                <w:w w:val="100"/>
                <w:position w:val="0"/>
                <w:sz w:val="24"/>
                <w:szCs w:val="24"/>
                <w:highlight w:val="none"/>
              </w:rPr>
            </w:pPr>
          </w:p>
          <w:p w14:paraId="1927D550">
            <w:pPr>
              <w:pStyle w:val="31"/>
              <w:spacing w:before="66" w:line="190" w:lineRule="auto"/>
              <w:ind w:left="3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1.7</w:t>
            </w:r>
          </w:p>
        </w:tc>
        <w:tc>
          <w:tcPr>
            <w:tcW w:w="2042" w:type="dxa"/>
            <w:vAlign w:val="center"/>
          </w:tcPr>
          <w:p w14:paraId="0DF14AD9">
            <w:pPr>
              <w:jc w:val="center"/>
              <w:rPr>
                <w:rFonts w:hint="eastAsia" w:ascii="宋体" w:hAnsi="宋体" w:eastAsia="宋体" w:cs="宋体"/>
                <w:color w:val="auto"/>
                <w:sz w:val="24"/>
                <w:szCs w:val="24"/>
                <w:highlight w:val="none"/>
              </w:rPr>
            </w:pPr>
          </w:p>
          <w:p w14:paraId="1B6CD0C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分包</w:t>
            </w:r>
          </w:p>
        </w:tc>
        <w:tc>
          <w:tcPr>
            <w:tcW w:w="6440" w:type="dxa"/>
            <w:vAlign w:val="top"/>
          </w:tcPr>
          <w:p w14:paraId="7D743816">
            <w:pPr>
              <w:pStyle w:val="31"/>
              <w:spacing w:before="53" w:line="228"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☑不允许</w:t>
            </w:r>
          </w:p>
          <w:p w14:paraId="6EEE7EB7">
            <w:pPr>
              <w:pStyle w:val="31"/>
              <w:spacing w:before="26" w:line="272" w:lineRule="exact"/>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□允许，分包内容要求：</w:t>
            </w:r>
          </w:p>
          <w:p w14:paraId="43F83A90">
            <w:pPr>
              <w:pStyle w:val="31"/>
              <w:spacing w:line="227" w:lineRule="auto"/>
              <w:ind w:left="95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分包金额要求：</w:t>
            </w:r>
          </w:p>
          <w:p w14:paraId="059247EE">
            <w:pPr>
              <w:pStyle w:val="31"/>
              <w:spacing w:before="26" w:line="228" w:lineRule="auto"/>
              <w:ind w:left="95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接受分包的第三人资质要求：</w:t>
            </w:r>
          </w:p>
        </w:tc>
      </w:tr>
      <w:tr w14:paraId="68BF64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jc w:val="center"/>
        </w:trPr>
        <w:tc>
          <w:tcPr>
            <w:tcW w:w="901" w:type="dxa"/>
            <w:vAlign w:val="top"/>
          </w:tcPr>
          <w:p w14:paraId="195FD6CB">
            <w:pPr>
              <w:pStyle w:val="31"/>
              <w:spacing w:before="276" w:line="190" w:lineRule="auto"/>
              <w:ind w:left="3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1.8</w:t>
            </w:r>
          </w:p>
        </w:tc>
        <w:tc>
          <w:tcPr>
            <w:tcW w:w="2042" w:type="dxa"/>
            <w:vAlign w:val="center"/>
          </w:tcPr>
          <w:p w14:paraId="00748C5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w:t>
            </w:r>
          </w:p>
        </w:tc>
        <w:tc>
          <w:tcPr>
            <w:tcW w:w="6440" w:type="dxa"/>
            <w:vAlign w:val="top"/>
          </w:tcPr>
          <w:p w14:paraId="488D1CDC">
            <w:pPr>
              <w:pStyle w:val="31"/>
              <w:spacing w:before="109" w:line="272" w:lineRule="exact"/>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☑不允许</w:t>
            </w:r>
          </w:p>
          <w:p w14:paraId="3B32965E">
            <w:pPr>
              <w:pStyle w:val="31"/>
              <w:spacing w:line="227"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□允许</w:t>
            </w:r>
          </w:p>
        </w:tc>
      </w:tr>
      <w:tr w14:paraId="1FB2A4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9" w:hRule="atLeast"/>
          <w:jc w:val="center"/>
        </w:trPr>
        <w:tc>
          <w:tcPr>
            <w:tcW w:w="901" w:type="dxa"/>
            <w:vAlign w:val="top"/>
          </w:tcPr>
          <w:p w14:paraId="7076D258">
            <w:pPr>
              <w:pStyle w:val="31"/>
              <w:spacing w:before="199" w:line="190" w:lineRule="auto"/>
              <w:ind w:left="30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2.1</w:t>
            </w:r>
          </w:p>
        </w:tc>
        <w:tc>
          <w:tcPr>
            <w:tcW w:w="2042" w:type="dxa"/>
            <w:vAlign w:val="center"/>
          </w:tcPr>
          <w:p w14:paraId="12F3EDB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构成竞争性磋商文件的其他材料</w:t>
            </w:r>
          </w:p>
        </w:tc>
        <w:tc>
          <w:tcPr>
            <w:tcW w:w="6440" w:type="dxa"/>
            <w:vAlign w:val="top"/>
          </w:tcPr>
          <w:p w14:paraId="56E9D37E">
            <w:pPr>
              <w:pStyle w:val="31"/>
              <w:spacing w:before="168" w:line="226" w:lineRule="auto"/>
              <w:ind w:left="114"/>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工程量清单</w:t>
            </w:r>
          </w:p>
        </w:tc>
      </w:tr>
      <w:tr w14:paraId="14C8362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2" w:hRule="atLeast"/>
          <w:jc w:val="center"/>
        </w:trPr>
        <w:tc>
          <w:tcPr>
            <w:tcW w:w="901" w:type="dxa"/>
            <w:vAlign w:val="center"/>
          </w:tcPr>
          <w:p w14:paraId="34A0F9C9">
            <w:pPr>
              <w:pStyle w:val="31"/>
              <w:spacing w:before="65" w:line="189" w:lineRule="auto"/>
              <w:ind w:left="302"/>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w:t>
            </w:r>
          </w:p>
        </w:tc>
        <w:tc>
          <w:tcPr>
            <w:tcW w:w="2042" w:type="dxa"/>
            <w:vAlign w:val="center"/>
          </w:tcPr>
          <w:p w14:paraId="0BAF38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供应商要求澄清竞</w:t>
            </w:r>
          </w:p>
          <w:p w14:paraId="334EA25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争性磋商文件的截</w:t>
            </w:r>
          </w:p>
          <w:p w14:paraId="12D6674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止时间</w:t>
            </w:r>
          </w:p>
        </w:tc>
        <w:tc>
          <w:tcPr>
            <w:tcW w:w="6440" w:type="dxa"/>
            <w:vAlign w:val="top"/>
          </w:tcPr>
          <w:p w14:paraId="2523DCBD">
            <w:pPr>
              <w:pStyle w:val="31"/>
              <w:spacing w:before="304" w:line="228" w:lineRule="auto"/>
              <w:ind w:left="11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递交响应文件截止之日</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日前</w:t>
            </w:r>
          </w:p>
        </w:tc>
      </w:tr>
      <w:tr w14:paraId="581264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901" w:type="dxa"/>
            <w:vAlign w:val="top"/>
          </w:tcPr>
          <w:p w14:paraId="6984812D">
            <w:pPr>
              <w:pStyle w:val="31"/>
              <w:spacing w:before="201" w:line="190"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3.1.1</w:t>
            </w:r>
          </w:p>
        </w:tc>
        <w:tc>
          <w:tcPr>
            <w:tcW w:w="2042" w:type="dxa"/>
            <w:vAlign w:val="center"/>
          </w:tcPr>
          <w:p w14:paraId="3C60432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构成响应文件的其他材料</w:t>
            </w:r>
          </w:p>
        </w:tc>
        <w:tc>
          <w:tcPr>
            <w:tcW w:w="6440" w:type="dxa"/>
            <w:vAlign w:val="top"/>
          </w:tcPr>
          <w:p w14:paraId="025301DB">
            <w:pPr>
              <w:pStyle w:val="31"/>
              <w:spacing w:before="168" w:line="233" w:lineRule="auto"/>
              <w:ind w:left="11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w:t>
            </w:r>
          </w:p>
        </w:tc>
      </w:tr>
      <w:tr w14:paraId="5530DC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901" w:type="dxa"/>
            <w:vAlign w:val="top"/>
          </w:tcPr>
          <w:p w14:paraId="45DFDB44">
            <w:pPr>
              <w:pStyle w:val="31"/>
              <w:spacing w:before="200" w:line="190"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3.2.1</w:t>
            </w:r>
          </w:p>
        </w:tc>
        <w:tc>
          <w:tcPr>
            <w:tcW w:w="2042" w:type="dxa"/>
            <w:vAlign w:val="top"/>
          </w:tcPr>
          <w:p w14:paraId="6A361B8F">
            <w:pPr>
              <w:pStyle w:val="31"/>
              <w:spacing w:before="168" w:line="226" w:lineRule="auto"/>
              <w:ind w:left="50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14:textOutline w14:w="3795" w14:cap="sq" w14:cmpd="sng">
                  <w14:solidFill>
                    <w14:srgbClr w14:val="000000"/>
                  </w14:solidFill>
                  <w14:prstDash w14:val="solid"/>
                  <w14:bevel/>
                </w14:textOutline>
              </w:rPr>
              <w:t>招标控制价</w:t>
            </w:r>
          </w:p>
        </w:tc>
        <w:tc>
          <w:tcPr>
            <w:tcW w:w="6440" w:type="dxa"/>
            <w:vAlign w:val="top"/>
          </w:tcPr>
          <w:p w14:paraId="64D7626D">
            <w:pPr>
              <w:pStyle w:val="31"/>
              <w:spacing w:before="34" w:line="226" w:lineRule="auto"/>
              <w:ind w:left="112"/>
              <w:rPr>
                <w:rFonts w:hint="eastAsia" w:ascii="宋体" w:hAnsi="宋体" w:eastAsia="宋体" w:cs="宋体"/>
                <w:b/>
                <w:bCs/>
                <w:i w:val="0"/>
                <w:iCs w:val="0"/>
                <w:color w:val="auto"/>
                <w:spacing w:val="0"/>
                <w:w w:val="100"/>
                <w:position w:val="0"/>
                <w:sz w:val="24"/>
                <w:szCs w:val="24"/>
                <w:highlight w:val="none"/>
              </w:rPr>
            </w:pPr>
            <w:r>
              <w:rPr>
                <w:rFonts w:hint="eastAsia" w:ascii="宋体" w:hAnsi="宋体" w:eastAsia="宋体" w:cs="宋体"/>
                <w:b/>
                <w:bCs/>
                <w:i w:val="0"/>
                <w:iCs w:val="0"/>
                <w:color w:val="auto"/>
                <w:spacing w:val="0"/>
                <w:w w:val="100"/>
                <w:position w:val="0"/>
                <w:sz w:val="24"/>
                <w:szCs w:val="24"/>
                <w:highlight w:val="none"/>
              </w:rPr>
              <w:t>招标控制价为：</w:t>
            </w:r>
            <w:r>
              <w:rPr>
                <w:rFonts w:hint="eastAsia" w:cs="宋体"/>
                <w:b/>
                <w:bCs/>
                <w:i w:val="0"/>
                <w:iCs w:val="0"/>
                <w:color w:val="auto"/>
                <w:spacing w:val="0"/>
                <w:w w:val="100"/>
                <w:position w:val="0"/>
                <w:sz w:val="24"/>
                <w:szCs w:val="24"/>
                <w:highlight w:val="none"/>
                <w:lang w:val="en-US" w:eastAsia="zh-CN"/>
              </w:rPr>
              <w:t>164.030308万元</w:t>
            </w:r>
          </w:p>
          <w:p w14:paraId="097C3CB4">
            <w:pPr>
              <w:pStyle w:val="31"/>
              <w:spacing w:before="26" w:line="216" w:lineRule="auto"/>
              <w:ind w:left="11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14:textOutline w14:w="3795" w14:cap="sq" w14:cmpd="sng">
                  <w14:solidFill>
                    <w14:srgbClr w14:val="000000"/>
                  </w14:solidFill>
                  <w14:prstDash w14:val="solid"/>
                  <w14:bevel/>
                </w14:textOutline>
              </w:rPr>
              <w:t>投标人报价超过招标控制价的为无效报价，按废标处理。</w:t>
            </w:r>
          </w:p>
        </w:tc>
      </w:tr>
      <w:tr w14:paraId="56FE6D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jc w:val="center"/>
        </w:trPr>
        <w:tc>
          <w:tcPr>
            <w:tcW w:w="901" w:type="dxa"/>
            <w:vAlign w:val="top"/>
          </w:tcPr>
          <w:p w14:paraId="317AE94F">
            <w:pPr>
              <w:pStyle w:val="31"/>
              <w:spacing w:before="154" w:line="190"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3.3.1</w:t>
            </w:r>
          </w:p>
        </w:tc>
        <w:tc>
          <w:tcPr>
            <w:tcW w:w="2042" w:type="dxa"/>
            <w:vAlign w:val="top"/>
          </w:tcPr>
          <w:p w14:paraId="5E2DA4E1">
            <w:pPr>
              <w:pStyle w:val="31"/>
              <w:spacing w:before="122" w:line="228" w:lineRule="auto"/>
              <w:ind w:left="29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响应文件有效期</w:t>
            </w:r>
          </w:p>
        </w:tc>
        <w:tc>
          <w:tcPr>
            <w:tcW w:w="6440" w:type="dxa"/>
            <w:vAlign w:val="top"/>
          </w:tcPr>
          <w:p w14:paraId="5D7F7CA5">
            <w:pPr>
              <w:pStyle w:val="31"/>
              <w:spacing w:before="122" w:line="228" w:lineRule="auto"/>
              <w:ind w:left="219"/>
              <w:rPr>
                <w:rFonts w:hint="eastAsia" w:ascii="宋体" w:hAnsi="宋体" w:eastAsia="宋体" w:cs="宋体"/>
                <w:i w:val="0"/>
                <w:iCs w:val="0"/>
                <w:color w:val="auto"/>
                <w:spacing w:val="0"/>
                <w:w w:val="100"/>
                <w:position w:val="0"/>
                <w:sz w:val="24"/>
                <w:szCs w:val="24"/>
                <w:highlight w:val="none"/>
              </w:rPr>
            </w:pPr>
            <w:r>
              <w:rPr>
                <w:rFonts w:hint="eastAsia" w:cs="宋体"/>
                <w:i w:val="0"/>
                <w:iCs w:val="0"/>
                <w:color w:val="auto"/>
                <w:spacing w:val="0"/>
                <w:w w:val="100"/>
                <w:position w:val="0"/>
                <w:sz w:val="24"/>
                <w:szCs w:val="24"/>
                <w:highlight w:val="none"/>
                <w:lang w:val="en-US" w:eastAsia="zh-CN"/>
              </w:rPr>
              <w:t>9</w:t>
            </w:r>
            <w:r>
              <w:rPr>
                <w:rFonts w:hint="eastAsia" w:ascii="宋体" w:hAnsi="宋体" w:eastAsia="宋体" w:cs="宋体"/>
                <w:i w:val="0"/>
                <w:iCs w:val="0"/>
                <w:color w:val="auto"/>
                <w:spacing w:val="0"/>
                <w:w w:val="100"/>
                <w:position w:val="0"/>
                <w:sz w:val="24"/>
                <w:szCs w:val="24"/>
                <w:highlight w:val="none"/>
              </w:rPr>
              <w:t>0天</w:t>
            </w:r>
          </w:p>
        </w:tc>
      </w:tr>
      <w:tr w14:paraId="2B0E2B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4" w:hRule="atLeast"/>
          <w:jc w:val="center"/>
        </w:trPr>
        <w:tc>
          <w:tcPr>
            <w:tcW w:w="901" w:type="dxa"/>
            <w:vAlign w:val="center"/>
          </w:tcPr>
          <w:p w14:paraId="5A6B41F5">
            <w:pPr>
              <w:jc w:val="center"/>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rPr>
              <w:t>3.4.1</w:t>
            </w:r>
          </w:p>
        </w:tc>
        <w:tc>
          <w:tcPr>
            <w:tcW w:w="2042" w:type="dxa"/>
            <w:vAlign w:val="center"/>
          </w:tcPr>
          <w:p w14:paraId="6911E415">
            <w:pPr>
              <w:jc w:val="center"/>
              <w:rPr>
                <w:rFonts w:hint="eastAsia" w:ascii="宋体" w:hAnsi="宋体" w:eastAsia="宋体" w:cs="宋体"/>
                <w:color w:val="auto"/>
                <w:sz w:val="24"/>
                <w:szCs w:val="24"/>
                <w:highlight w:val="none"/>
                <w:lang w:val="en-US" w:eastAsia="en-US"/>
              </w:rPr>
            </w:pPr>
            <w:r>
              <w:rPr>
                <w:rFonts w:hint="eastAsia" w:ascii="宋体" w:hAnsi="宋体" w:eastAsia="宋体" w:cs="宋体"/>
                <w:color w:val="auto"/>
                <w:sz w:val="24"/>
                <w:szCs w:val="24"/>
                <w:highlight w:val="none"/>
              </w:rPr>
              <w:t>磋商保证金</w:t>
            </w:r>
          </w:p>
        </w:tc>
        <w:tc>
          <w:tcPr>
            <w:tcW w:w="6440" w:type="dxa"/>
            <w:vAlign w:val="top"/>
          </w:tcPr>
          <w:p w14:paraId="38255102">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eastAsia="zh-CN"/>
              </w:rPr>
              <w:t>响应</w:t>
            </w:r>
            <w:r>
              <w:rPr>
                <w:rFonts w:hint="eastAsia" w:ascii="宋体" w:hAnsi="宋体" w:eastAsia="宋体" w:cs="宋体"/>
                <w:i w:val="0"/>
                <w:iCs w:val="0"/>
                <w:color w:val="auto"/>
                <w:spacing w:val="0"/>
                <w:w w:val="100"/>
                <w:position w:val="0"/>
                <w:sz w:val="24"/>
                <w:szCs w:val="24"/>
                <w:highlight w:val="none"/>
              </w:rPr>
              <w:t>文件保证金的形式：银行出具的现金支票、保兑支票、银行汇票，银行或专业担保公司出具的保函，以转账、电汇或支票形式提交的磋商保证金应当从供应商的基本账户转出。</w:t>
            </w:r>
          </w:p>
          <w:p w14:paraId="3E25BD07">
            <w:pPr>
              <w:pStyle w:val="31"/>
              <w:spacing w:before="27" w:line="215" w:lineRule="auto"/>
              <w:ind w:left="115"/>
              <w:rPr>
                <w:rFonts w:hint="eastAsia" w:ascii="宋体" w:hAnsi="宋体" w:eastAsia="宋体" w:cs="宋体"/>
                <w:b/>
                <w:bCs/>
                <w:i w:val="0"/>
                <w:iCs w:val="0"/>
                <w:color w:val="auto"/>
                <w:spacing w:val="0"/>
                <w:w w:val="100"/>
                <w:position w:val="0"/>
                <w:sz w:val="24"/>
                <w:szCs w:val="24"/>
                <w:highlight w:val="none"/>
                <w:lang w:val="zh-CN"/>
              </w:rPr>
            </w:pPr>
            <w:r>
              <w:rPr>
                <w:rFonts w:hint="eastAsia" w:ascii="宋体" w:hAnsi="宋体" w:eastAsia="宋体" w:cs="宋体"/>
                <w:b/>
                <w:bCs/>
                <w:i w:val="0"/>
                <w:iCs w:val="0"/>
                <w:color w:val="auto"/>
                <w:spacing w:val="0"/>
                <w:w w:val="100"/>
                <w:position w:val="0"/>
                <w:sz w:val="24"/>
                <w:szCs w:val="24"/>
                <w:highlight w:val="none"/>
                <w:lang w:val="zh-CN"/>
              </w:rPr>
              <w:t>保证金的金额：</w:t>
            </w:r>
            <w:r>
              <w:rPr>
                <w:rFonts w:hint="eastAsia" w:cs="宋体"/>
                <w:b/>
                <w:bCs/>
                <w:i w:val="0"/>
                <w:iCs w:val="0"/>
                <w:color w:val="auto"/>
                <w:spacing w:val="0"/>
                <w:w w:val="100"/>
                <w:position w:val="0"/>
                <w:sz w:val="24"/>
                <w:szCs w:val="24"/>
                <w:highlight w:val="none"/>
                <w:lang w:val="en-US" w:eastAsia="zh-CN"/>
              </w:rPr>
              <w:t>15000</w:t>
            </w:r>
            <w:r>
              <w:rPr>
                <w:rFonts w:hint="eastAsia" w:ascii="宋体" w:hAnsi="宋体" w:eastAsia="宋体" w:cs="宋体"/>
                <w:b/>
                <w:bCs/>
                <w:i w:val="0"/>
                <w:iCs w:val="0"/>
                <w:color w:val="auto"/>
                <w:spacing w:val="0"/>
                <w:w w:val="100"/>
                <w:position w:val="0"/>
                <w:sz w:val="24"/>
                <w:szCs w:val="24"/>
                <w:highlight w:val="none"/>
                <w:lang w:val="zh-CN"/>
              </w:rPr>
              <w:t>元整</w:t>
            </w:r>
          </w:p>
          <w:p w14:paraId="330B6245">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磋商保证金提交时间：磋商保证金</w:t>
            </w:r>
            <w:r>
              <w:rPr>
                <w:rFonts w:hint="eastAsia" w:ascii="宋体" w:hAnsi="宋体" w:eastAsia="宋体" w:cs="宋体"/>
                <w:i w:val="0"/>
                <w:iCs w:val="0"/>
                <w:color w:val="auto"/>
                <w:spacing w:val="0"/>
                <w:w w:val="100"/>
                <w:position w:val="0"/>
                <w:sz w:val="24"/>
                <w:szCs w:val="24"/>
                <w:highlight w:val="none"/>
                <w:lang w:val="en-US" w:eastAsia="zh-CN"/>
              </w:rPr>
              <w:t>应</w:t>
            </w:r>
            <w:r>
              <w:rPr>
                <w:rFonts w:hint="eastAsia" w:ascii="宋体" w:hAnsi="宋体" w:eastAsia="宋体" w:cs="宋体"/>
                <w:i w:val="0"/>
                <w:iCs w:val="0"/>
                <w:color w:val="auto"/>
                <w:spacing w:val="0"/>
                <w:w w:val="100"/>
                <w:position w:val="0"/>
                <w:sz w:val="24"/>
                <w:szCs w:val="24"/>
                <w:highlight w:val="none"/>
              </w:rPr>
              <w:t>在投标截止时间前完成缴纳，如开标前一天遇有公休日或法定节假日,应在公休日、法定节假日前一天交付到账。</w:t>
            </w:r>
          </w:p>
          <w:p w14:paraId="7E6F189F">
            <w:pPr>
              <w:pStyle w:val="31"/>
              <w:spacing w:before="27" w:line="215" w:lineRule="auto"/>
              <w:ind w:left="115"/>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zh-CN"/>
              </w:rPr>
              <w:t>保证金账户：</w:t>
            </w:r>
            <w:r>
              <w:rPr>
                <w:rFonts w:hint="eastAsia" w:ascii="宋体" w:hAnsi="宋体" w:eastAsia="宋体" w:cs="宋体"/>
                <w:i w:val="0"/>
                <w:iCs w:val="0"/>
                <w:color w:val="auto"/>
                <w:spacing w:val="0"/>
                <w:w w:val="100"/>
                <w:position w:val="0"/>
                <w:sz w:val="24"/>
                <w:szCs w:val="24"/>
                <w:highlight w:val="none"/>
                <w:lang w:val="zh-CN" w:eastAsia="zh-CN"/>
              </w:rPr>
              <w:t>吉林省元辰工程项目管理有限公司</w:t>
            </w:r>
            <w:r>
              <w:rPr>
                <w:rFonts w:hint="eastAsia" w:ascii="宋体" w:hAnsi="宋体" w:eastAsia="宋体" w:cs="宋体"/>
                <w:i w:val="0"/>
                <w:iCs w:val="0"/>
                <w:color w:val="auto"/>
                <w:spacing w:val="0"/>
                <w:w w:val="100"/>
                <w:position w:val="0"/>
                <w:sz w:val="24"/>
                <w:szCs w:val="24"/>
                <w:highlight w:val="none"/>
                <w:lang w:val="zh-CN"/>
              </w:rPr>
              <w:br w:type="textWrapping"/>
            </w:r>
            <w:r>
              <w:rPr>
                <w:rFonts w:hint="eastAsia" w:ascii="宋体" w:hAnsi="宋体" w:eastAsia="宋体" w:cs="宋体"/>
                <w:i w:val="0"/>
                <w:iCs w:val="0"/>
                <w:color w:val="auto"/>
                <w:spacing w:val="0"/>
                <w:w w:val="100"/>
                <w:position w:val="0"/>
                <w:sz w:val="24"/>
                <w:szCs w:val="24"/>
                <w:highlight w:val="none"/>
                <w:lang w:val="zh-CN"/>
              </w:rPr>
              <w:t>保证金银行：</w:t>
            </w:r>
            <w:r>
              <w:rPr>
                <w:rFonts w:hint="eastAsia" w:ascii="宋体" w:hAnsi="宋体" w:eastAsia="宋体" w:cs="宋体"/>
                <w:i w:val="0"/>
                <w:iCs w:val="0"/>
                <w:color w:val="auto"/>
                <w:spacing w:val="0"/>
                <w:w w:val="100"/>
                <w:position w:val="0"/>
                <w:sz w:val="24"/>
                <w:szCs w:val="24"/>
                <w:highlight w:val="none"/>
                <w:lang w:val="zh-CN" w:eastAsia="zh-CN"/>
              </w:rPr>
              <w:t>中国建设银行长春临河街支行</w:t>
            </w:r>
          </w:p>
          <w:p w14:paraId="61CCFE50">
            <w:pPr>
              <w:pStyle w:val="31"/>
              <w:spacing w:before="27" w:line="215" w:lineRule="auto"/>
              <w:ind w:left="115"/>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zh-CN"/>
              </w:rPr>
              <w:t>账号：</w:t>
            </w:r>
            <w:r>
              <w:rPr>
                <w:rFonts w:hint="eastAsia" w:ascii="宋体" w:hAnsi="宋体" w:eastAsia="宋体" w:cs="宋体"/>
                <w:i w:val="0"/>
                <w:iCs w:val="0"/>
                <w:color w:val="auto"/>
                <w:spacing w:val="0"/>
                <w:w w:val="100"/>
                <w:position w:val="0"/>
                <w:sz w:val="24"/>
                <w:szCs w:val="24"/>
                <w:highlight w:val="none"/>
                <w:lang w:val="zh-CN" w:eastAsia="zh-CN"/>
              </w:rPr>
              <w:t>2205 0131 0065 0933 3333</w:t>
            </w:r>
          </w:p>
          <w:p w14:paraId="498AC756">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注：</w:t>
            </w:r>
          </w:p>
          <w:p w14:paraId="70A2B460">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（1）投标保证金保函原件必须送至：</w:t>
            </w:r>
            <w:r>
              <w:rPr>
                <w:rFonts w:hint="eastAsia" w:ascii="宋体" w:hAnsi="宋体" w:eastAsia="宋体" w:cs="宋体"/>
                <w:i w:val="0"/>
                <w:iCs w:val="0"/>
                <w:color w:val="auto"/>
                <w:spacing w:val="0"/>
                <w:w w:val="100"/>
                <w:position w:val="0"/>
                <w:sz w:val="24"/>
                <w:szCs w:val="24"/>
                <w:highlight w:val="none"/>
                <w:lang w:eastAsia="zh-CN"/>
              </w:rPr>
              <w:t>吉林省元辰工程项目管理有限公司</w:t>
            </w:r>
            <w:r>
              <w:rPr>
                <w:rFonts w:hint="eastAsia" w:ascii="宋体" w:hAnsi="宋体" w:eastAsia="宋体" w:cs="宋体"/>
                <w:i w:val="0"/>
                <w:iCs w:val="0"/>
                <w:color w:val="auto"/>
                <w:spacing w:val="0"/>
                <w:w w:val="100"/>
                <w:position w:val="0"/>
                <w:sz w:val="24"/>
                <w:szCs w:val="24"/>
                <w:highlight w:val="none"/>
              </w:rPr>
              <w:t>，投标保证金是投标文件的组成部分，未按要求提交的，视为放弃投标，招标人将不接受其投标文件。</w:t>
            </w:r>
          </w:p>
          <w:p w14:paraId="0D7FC4E5">
            <w:pPr>
              <w:pStyle w:val="31"/>
              <w:spacing w:before="27" w:line="215"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（2）各投标人缴纳完投标保证金后须将银行的存款回单传至招标代理机构。（邮箱：</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"mailto:jlstxy888888@163.com"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lang w:eastAsia="zh-CN"/>
              </w:rPr>
              <w:t>JLYC888888@163.com</w:t>
            </w:r>
            <w:r>
              <w:rPr>
                <w:rFonts w:hint="eastAsia" w:ascii="宋体" w:hAnsi="宋体" w:eastAsia="宋体" w:cs="宋体"/>
                <w:i w:val="0"/>
                <w:iCs w:val="0"/>
                <w:color w:val="auto"/>
                <w:spacing w:val="0"/>
                <w:w w:val="100"/>
                <w:position w:val="0"/>
                <w:sz w:val="24"/>
                <w:szCs w:val="24"/>
                <w:highlight w:val="none"/>
              </w:rPr>
              <w:fldChar w:fldCharType="end"/>
            </w:r>
            <w:r>
              <w:rPr>
                <w:rFonts w:hint="eastAsia" w:ascii="宋体" w:hAnsi="宋体" w:eastAsia="宋体" w:cs="宋体"/>
                <w:i w:val="0"/>
                <w:iCs w:val="0"/>
                <w:color w:val="auto"/>
                <w:spacing w:val="0"/>
                <w:w w:val="100"/>
                <w:position w:val="0"/>
                <w:sz w:val="24"/>
                <w:szCs w:val="24"/>
                <w:highlight w:val="none"/>
              </w:rPr>
              <w:t>）。投标保证金的确认以最终到帐日期为准。</w:t>
            </w:r>
          </w:p>
        </w:tc>
      </w:tr>
      <w:tr w14:paraId="7F0A50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7" w:hRule="atLeast"/>
          <w:jc w:val="center"/>
        </w:trPr>
        <w:tc>
          <w:tcPr>
            <w:tcW w:w="901" w:type="dxa"/>
            <w:vAlign w:val="top"/>
          </w:tcPr>
          <w:p w14:paraId="33EE6E94">
            <w:pPr>
              <w:spacing w:line="270" w:lineRule="auto"/>
              <w:rPr>
                <w:rFonts w:hint="eastAsia" w:ascii="宋体" w:hAnsi="宋体" w:eastAsia="宋体" w:cs="宋体"/>
                <w:i w:val="0"/>
                <w:iCs w:val="0"/>
                <w:color w:val="auto"/>
                <w:spacing w:val="0"/>
                <w:w w:val="100"/>
                <w:position w:val="0"/>
                <w:sz w:val="24"/>
                <w:szCs w:val="24"/>
                <w:highlight w:val="none"/>
              </w:rPr>
            </w:pPr>
          </w:p>
          <w:p w14:paraId="173DE529">
            <w:pPr>
              <w:spacing w:line="271" w:lineRule="auto"/>
              <w:rPr>
                <w:rFonts w:hint="eastAsia" w:ascii="宋体" w:hAnsi="宋体" w:eastAsia="宋体" w:cs="宋体"/>
                <w:i w:val="0"/>
                <w:iCs w:val="0"/>
                <w:color w:val="auto"/>
                <w:spacing w:val="0"/>
                <w:w w:val="100"/>
                <w:position w:val="0"/>
                <w:sz w:val="24"/>
                <w:szCs w:val="24"/>
                <w:highlight w:val="none"/>
              </w:rPr>
            </w:pPr>
          </w:p>
          <w:p w14:paraId="6F424699">
            <w:pPr>
              <w:pStyle w:val="31"/>
              <w:spacing w:before="65" w:line="189"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3.4.2</w:t>
            </w:r>
          </w:p>
        </w:tc>
        <w:tc>
          <w:tcPr>
            <w:tcW w:w="2042" w:type="dxa"/>
            <w:vAlign w:val="center"/>
          </w:tcPr>
          <w:p w14:paraId="2A509B5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退还磋商保证金</w:t>
            </w:r>
          </w:p>
        </w:tc>
        <w:tc>
          <w:tcPr>
            <w:tcW w:w="6440" w:type="dxa"/>
            <w:vAlign w:val="top"/>
          </w:tcPr>
          <w:p w14:paraId="3A3B583B">
            <w:pPr>
              <w:pStyle w:val="31"/>
              <w:spacing w:before="33" w:line="244" w:lineRule="auto"/>
              <w:ind w:left="110" w:right="66" w:firstLine="1"/>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退还办法：采购人或者采购代理机构将在采购活动结束后及时无息退还供应商的保证金，但因供应商自身原因导致无法及时退还的除外。未成交供应商的保证金应当在成交通知书发出后5个工作日内无息退还，成交供应商的保证金应当在采购合同签订后5个工作日内无息退还。</w:t>
            </w:r>
          </w:p>
        </w:tc>
      </w:tr>
      <w:tr w14:paraId="1640D2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4" w:hRule="atLeast"/>
          <w:jc w:val="center"/>
        </w:trPr>
        <w:tc>
          <w:tcPr>
            <w:tcW w:w="901" w:type="dxa"/>
            <w:vAlign w:val="center"/>
          </w:tcPr>
          <w:p w14:paraId="1CB5A797">
            <w:pPr>
              <w:pStyle w:val="31"/>
              <w:spacing w:before="65" w:line="189" w:lineRule="auto"/>
              <w:ind w:left="303"/>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w:t>
            </w:r>
          </w:p>
        </w:tc>
        <w:tc>
          <w:tcPr>
            <w:tcW w:w="2042" w:type="dxa"/>
            <w:vAlign w:val="center"/>
          </w:tcPr>
          <w:p w14:paraId="4CEDB66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近年发生的诉讼及仲裁情况的年份要求</w:t>
            </w:r>
          </w:p>
        </w:tc>
        <w:tc>
          <w:tcPr>
            <w:tcW w:w="6440" w:type="dxa"/>
            <w:vAlign w:val="center"/>
          </w:tcPr>
          <w:p w14:paraId="358BF89A">
            <w:pPr>
              <w:pStyle w:val="31"/>
              <w:spacing w:before="65" w:line="228" w:lineRule="auto"/>
              <w:ind w:left="110"/>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近三年（指202</w:t>
            </w:r>
            <w:r>
              <w:rPr>
                <w:rFonts w:hint="eastAsia"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t>年</w:t>
            </w:r>
            <w:r>
              <w:rPr>
                <w:rFonts w:hint="eastAsia" w:ascii="宋体" w:hAnsi="宋体" w:eastAsia="宋体" w:cs="宋体"/>
                <w:i w:val="0"/>
                <w:iCs w:val="0"/>
                <w:color w:val="auto"/>
                <w:spacing w:val="0"/>
                <w:w w:val="100"/>
                <w:position w:val="0"/>
                <w:sz w:val="24"/>
                <w:szCs w:val="24"/>
                <w:highlight w:val="none"/>
                <w:lang w:val="en-US" w:eastAsia="zh-CN"/>
              </w:rPr>
              <w:t>至今</w:t>
            </w:r>
            <w:r>
              <w:rPr>
                <w:rFonts w:hint="eastAsia" w:ascii="宋体" w:hAnsi="宋体" w:eastAsia="宋体" w:cs="宋体"/>
                <w:i w:val="0"/>
                <w:iCs w:val="0"/>
                <w:color w:val="auto"/>
                <w:spacing w:val="0"/>
                <w:w w:val="100"/>
                <w:position w:val="0"/>
                <w:sz w:val="24"/>
                <w:szCs w:val="24"/>
                <w:highlight w:val="none"/>
              </w:rPr>
              <w:t>）</w:t>
            </w:r>
          </w:p>
        </w:tc>
      </w:tr>
      <w:tr w14:paraId="38AE2C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jc w:val="center"/>
        </w:trPr>
        <w:tc>
          <w:tcPr>
            <w:tcW w:w="901" w:type="dxa"/>
            <w:vAlign w:val="top"/>
          </w:tcPr>
          <w:p w14:paraId="25B0D3BA">
            <w:pPr>
              <w:pStyle w:val="31"/>
              <w:spacing w:before="286" w:line="189"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3.5.2</w:t>
            </w:r>
          </w:p>
        </w:tc>
        <w:tc>
          <w:tcPr>
            <w:tcW w:w="2042" w:type="dxa"/>
            <w:vAlign w:val="center"/>
          </w:tcPr>
          <w:p w14:paraId="0E40B3F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近年完成类似业绩要求</w:t>
            </w:r>
          </w:p>
        </w:tc>
        <w:tc>
          <w:tcPr>
            <w:tcW w:w="6440" w:type="dxa"/>
            <w:vAlign w:val="top"/>
          </w:tcPr>
          <w:p w14:paraId="5B06A31F">
            <w:pPr>
              <w:pStyle w:val="31"/>
              <w:spacing w:before="252" w:line="228" w:lineRule="auto"/>
              <w:ind w:left="11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近三年（指202</w:t>
            </w:r>
            <w:r>
              <w:rPr>
                <w:rFonts w:hint="eastAsia"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t>年</w:t>
            </w:r>
            <w:r>
              <w:rPr>
                <w:rFonts w:hint="eastAsia" w:ascii="宋体" w:hAnsi="宋体" w:eastAsia="宋体" w:cs="宋体"/>
                <w:i w:val="0"/>
                <w:iCs w:val="0"/>
                <w:color w:val="auto"/>
                <w:spacing w:val="0"/>
                <w:w w:val="100"/>
                <w:position w:val="0"/>
                <w:sz w:val="24"/>
                <w:szCs w:val="24"/>
                <w:highlight w:val="none"/>
                <w:lang w:val="en-US" w:eastAsia="zh-CN"/>
              </w:rPr>
              <w:t>至今</w:t>
            </w:r>
            <w:r>
              <w:rPr>
                <w:rFonts w:hint="eastAsia" w:ascii="宋体" w:hAnsi="宋体" w:eastAsia="宋体" w:cs="宋体"/>
                <w:i w:val="0"/>
                <w:iCs w:val="0"/>
                <w:color w:val="auto"/>
                <w:spacing w:val="0"/>
                <w:w w:val="100"/>
                <w:position w:val="0"/>
                <w:sz w:val="24"/>
                <w:szCs w:val="24"/>
                <w:highlight w:val="none"/>
              </w:rPr>
              <w:t>）</w:t>
            </w:r>
          </w:p>
        </w:tc>
      </w:tr>
      <w:tr w14:paraId="692AC8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jc w:val="center"/>
        </w:trPr>
        <w:tc>
          <w:tcPr>
            <w:tcW w:w="901" w:type="dxa"/>
            <w:vAlign w:val="center"/>
          </w:tcPr>
          <w:p w14:paraId="41384AAC">
            <w:pPr>
              <w:pStyle w:val="31"/>
              <w:spacing w:before="65" w:line="189" w:lineRule="auto"/>
              <w:ind w:left="198"/>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3.5.5</w:t>
            </w:r>
          </w:p>
        </w:tc>
        <w:tc>
          <w:tcPr>
            <w:tcW w:w="2042" w:type="dxa"/>
            <w:vAlign w:val="center"/>
          </w:tcPr>
          <w:p w14:paraId="45C0929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财务状况要求</w:t>
            </w:r>
          </w:p>
        </w:tc>
        <w:tc>
          <w:tcPr>
            <w:tcW w:w="6440" w:type="dxa"/>
            <w:vAlign w:val="center"/>
          </w:tcPr>
          <w:p w14:paraId="09D19F24">
            <w:pPr>
              <w:pStyle w:val="31"/>
              <w:spacing w:before="178" w:line="238" w:lineRule="auto"/>
              <w:ind w:left="114" w:right="108" w:firstLine="30"/>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近三年度（指202</w:t>
            </w:r>
            <w:r>
              <w:rPr>
                <w:rFonts w:hint="eastAsia"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rPr>
              <w:t>年-202</w:t>
            </w:r>
            <w:r>
              <w:rPr>
                <w:rFonts w:hint="eastAsia"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年）的财务报表或经会计师事务所审计的财务报告。</w:t>
            </w:r>
          </w:p>
        </w:tc>
      </w:tr>
      <w:tr w14:paraId="7E3C35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jc w:val="center"/>
        </w:trPr>
        <w:tc>
          <w:tcPr>
            <w:tcW w:w="901" w:type="dxa"/>
            <w:vAlign w:val="top"/>
          </w:tcPr>
          <w:p w14:paraId="385D8047">
            <w:pPr>
              <w:pStyle w:val="31"/>
              <w:spacing w:before="279" w:line="189" w:lineRule="auto"/>
              <w:ind w:left="30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3.6</w:t>
            </w:r>
          </w:p>
        </w:tc>
        <w:tc>
          <w:tcPr>
            <w:tcW w:w="2042" w:type="dxa"/>
            <w:vAlign w:val="center"/>
          </w:tcPr>
          <w:p w14:paraId="375CA90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是否允许递交备选响应方案</w:t>
            </w:r>
          </w:p>
        </w:tc>
        <w:tc>
          <w:tcPr>
            <w:tcW w:w="6440" w:type="dxa"/>
            <w:vAlign w:val="top"/>
          </w:tcPr>
          <w:p w14:paraId="472405E6">
            <w:pPr>
              <w:pStyle w:val="31"/>
              <w:spacing w:before="245" w:line="228" w:lineRule="auto"/>
              <w:ind w:left="115"/>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不允许</w:t>
            </w:r>
          </w:p>
        </w:tc>
      </w:tr>
      <w:tr w14:paraId="7A9BD2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0" w:hRule="atLeast"/>
          <w:jc w:val="center"/>
        </w:trPr>
        <w:tc>
          <w:tcPr>
            <w:tcW w:w="901" w:type="dxa"/>
            <w:vAlign w:val="top"/>
          </w:tcPr>
          <w:p w14:paraId="2106F2F1">
            <w:pPr>
              <w:pStyle w:val="31"/>
              <w:spacing w:before="199" w:line="189" w:lineRule="auto"/>
              <w:ind w:left="30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3.7</w:t>
            </w:r>
          </w:p>
        </w:tc>
        <w:tc>
          <w:tcPr>
            <w:tcW w:w="2042" w:type="dxa"/>
            <w:vAlign w:val="center"/>
          </w:tcPr>
          <w:p w14:paraId="27EDF80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响应文件份数</w:t>
            </w:r>
          </w:p>
        </w:tc>
        <w:tc>
          <w:tcPr>
            <w:tcW w:w="6440" w:type="dxa"/>
            <w:vAlign w:val="top"/>
          </w:tcPr>
          <w:p w14:paraId="65F6FF3C">
            <w:pPr>
              <w:pStyle w:val="31"/>
              <w:spacing w:before="32" w:line="250" w:lineRule="auto"/>
              <w:ind w:left="11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纸质响应文件</w:t>
            </w:r>
            <w:r>
              <w:rPr>
                <w:rFonts w:hint="eastAsia" w:ascii="宋体" w:hAnsi="宋体" w:eastAsia="宋体" w:cs="宋体"/>
                <w:i w:val="0"/>
                <w:iCs w:val="0"/>
                <w:color w:val="auto"/>
                <w:spacing w:val="0"/>
                <w:w w:val="100"/>
                <w:position w:val="0"/>
                <w:sz w:val="24"/>
                <w:szCs w:val="24"/>
                <w:highlight w:val="none"/>
                <w:u w:val="single" w:color="auto"/>
              </w:rPr>
              <w:t>正本一份，副本</w:t>
            </w:r>
            <w:r>
              <w:rPr>
                <w:rFonts w:hint="eastAsia" w:cs="宋体"/>
                <w:i w:val="0"/>
                <w:iCs w:val="0"/>
                <w:color w:val="auto"/>
                <w:spacing w:val="0"/>
                <w:w w:val="100"/>
                <w:position w:val="0"/>
                <w:sz w:val="24"/>
                <w:szCs w:val="24"/>
                <w:highlight w:val="none"/>
                <w:u w:val="single" w:color="auto"/>
                <w:lang w:val="en-US" w:eastAsia="zh-CN"/>
              </w:rPr>
              <w:t>四</w:t>
            </w:r>
            <w:r>
              <w:rPr>
                <w:rFonts w:hint="eastAsia" w:ascii="宋体" w:hAnsi="宋体" w:eastAsia="宋体" w:cs="宋体"/>
                <w:i w:val="0"/>
                <w:iCs w:val="0"/>
                <w:color w:val="auto"/>
                <w:spacing w:val="0"/>
                <w:w w:val="100"/>
                <w:position w:val="0"/>
                <w:sz w:val="24"/>
                <w:szCs w:val="24"/>
                <w:highlight w:val="none"/>
                <w:u w:val="single" w:color="auto"/>
              </w:rPr>
              <w:t>份</w:t>
            </w:r>
            <w:r>
              <w:rPr>
                <w:rFonts w:hint="eastAsia" w:ascii="宋体" w:hAnsi="宋体" w:eastAsia="宋体" w:cs="宋体"/>
                <w:i w:val="0"/>
                <w:iCs w:val="0"/>
                <w:color w:val="auto"/>
                <w:spacing w:val="0"/>
                <w:w w:val="100"/>
                <w:position w:val="0"/>
                <w:sz w:val="24"/>
                <w:szCs w:val="24"/>
                <w:highlight w:val="none"/>
              </w:rPr>
              <w:t>。</w:t>
            </w:r>
          </w:p>
          <w:p w14:paraId="4955F9DE">
            <w:pPr>
              <w:pStyle w:val="31"/>
              <w:spacing w:line="218" w:lineRule="auto"/>
              <w:ind w:left="136"/>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电子版响应文件（U盘）二份；</w:t>
            </w:r>
          </w:p>
          <w:p w14:paraId="6D56DB00">
            <w:pPr>
              <w:pStyle w:val="31"/>
              <w:spacing w:line="218" w:lineRule="auto"/>
              <w:ind w:left="136"/>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b/>
                <w:bCs/>
                <w:i w:val="0"/>
                <w:iCs w:val="0"/>
                <w:color w:val="auto"/>
                <w:spacing w:val="0"/>
                <w:w w:val="100"/>
                <w:position w:val="0"/>
                <w:sz w:val="24"/>
                <w:szCs w:val="24"/>
                <w:highlight w:val="none"/>
                <w:lang w:val="en-US" w:eastAsia="zh-CN"/>
              </w:rPr>
              <w:t>开标结束后等待代理机构通知，邮寄至指定地点。</w:t>
            </w:r>
          </w:p>
        </w:tc>
      </w:tr>
      <w:tr w14:paraId="57DD2A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jc w:val="center"/>
        </w:trPr>
        <w:tc>
          <w:tcPr>
            <w:tcW w:w="901" w:type="dxa"/>
            <w:vAlign w:val="center"/>
          </w:tcPr>
          <w:p w14:paraId="2863A372">
            <w:pPr>
              <w:pStyle w:val="31"/>
              <w:spacing w:before="65" w:line="190" w:lineRule="auto"/>
              <w:ind w:left="193"/>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4.1.1</w:t>
            </w:r>
          </w:p>
        </w:tc>
        <w:tc>
          <w:tcPr>
            <w:tcW w:w="2042" w:type="dxa"/>
            <w:vAlign w:val="center"/>
          </w:tcPr>
          <w:p w14:paraId="23807F5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响应文件送达截止时间</w:t>
            </w:r>
          </w:p>
        </w:tc>
        <w:tc>
          <w:tcPr>
            <w:tcW w:w="6440" w:type="dxa"/>
            <w:vAlign w:val="center"/>
          </w:tcPr>
          <w:p w14:paraId="727C39B1">
            <w:pPr>
              <w:pStyle w:val="31"/>
              <w:spacing w:before="65" w:line="228" w:lineRule="auto"/>
              <w:ind w:left="114"/>
              <w:jc w:val="both"/>
              <w:rPr>
                <w:rFonts w:hint="eastAsia" w:ascii="宋体" w:hAnsi="宋体" w:eastAsia="宋体" w:cs="宋体"/>
                <w:i w:val="0"/>
                <w:iCs w:val="0"/>
                <w:color w:val="auto"/>
                <w:spacing w:val="0"/>
                <w:w w:val="100"/>
                <w:position w:val="0"/>
                <w:sz w:val="24"/>
                <w:szCs w:val="24"/>
                <w:highlight w:val="none"/>
              </w:rPr>
            </w:pPr>
            <w:r>
              <w:rPr>
                <w:rFonts w:hint="eastAsia" w:cs="宋体"/>
                <w:i w:val="0"/>
                <w:iCs w:val="0"/>
                <w:color w:val="auto"/>
                <w:spacing w:val="0"/>
                <w:w w:val="100"/>
                <w:position w:val="0"/>
                <w:sz w:val="24"/>
                <w:szCs w:val="24"/>
                <w:highlight w:val="none"/>
                <w:lang w:eastAsia="zh-CN"/>
              </w:rPr>
              <w:t>2025年</w:t>
            </w:r>
            <w:r>
              <w:rPr>
                <w:rFonts w:hint="eastAsia" w:cs="宋体"/>
                <w:i w:val="0"/>
                <w:iCs w:val="0"/>
                <w:color w:val="auto"/>
                <w:spacing w:val="0"/>
                <w:w w:val="100"/>
                <w:position w:val="0"/>
                <w:sz w:val="24"/>
                <w:szCs w:val="24"/>
                <w:highlight w:val="none"/>
                <w:lang w:val="en-US" w:eastAsia="zh-CN"/>
              </w:rPr>
              <w:t>0</w:t>
            </w:r>
            <w:r>
              <w:rPr>
                <w:rFonts w:hint="eastAsia" w:cs="宋体"/>
                <w:i w:val="0"/>
                <w:iCs w:val="0"/>
                <w:color w:val="auto"/>
                <w:spacing w:val="0"/>
                <w:w w:val="100"/>
                <w:position w:val="0"/>
                <w:sz w:val="24"/>
                <w:szCs w:val="24"/>
                <w:highlight w:val="none"/>
                <w:lang w:eastAsia="zh-CN"/>
              </w:rPr>
              <w:t>4月14日9时00分</w:t>
            </w:r>
            <w:r>
              <w:rPr>
                <w:rFonts w:hint="eastAsia" w:ascii="宋体" w:hAnsi="宋体" w:eastAsia="宋体" w:cs="宋体"/>
                <w:i w:val="0"/>
                <w:iCs w:val="0"/>
                <w:color w:val="auto"/>
                <w:spacing w:val="0"/>
                <w:w w:val="100"/>
                <w:position w:val="0"/>
                <w:sz w:val="24"/>
                <w:szCs w:val="24"/>
                <w:highlight w:val="none"/>
              </w:rPr>
              <w:t>（北京时间）</w:t>
            </w:r>
          </w:p>
        </w:tc>
      </w:tr>
      <w:tr w14:paraId="229B4D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jc w:val="center"/>
        </w:trPr>
        <w:tc>
          <w:tcPr>
            <w:tcW w:w="901" w:type="dxa"/>
            <w:vAlign w:val="top"/>
          </w:tcPr>
          <w:p w14:paraId="6B400F88">
            <w:pPr>
              <w:spacing w:line="269" w:lineRule="auto"/>
              <w:rPr>
                <w:rFonts w:hint="eastAsia" w:ascii="宋体" w:hAnsi="宋体" w:eastAsia="宋体" w:cs="宋体"/>
                <w:i w:val="0"/>
                <w:iCs w:val="0"/>
                <w:color w:val="auto"/>
                <w:spacing w:val="0"/>
                <w:w w:val="100"/>
                <w:position w:val="0"/>
                <w:sz w:val="24"/>
                <w:szCs w:val="24"/>
                <w:highlight w:val="none"/>
              </w:rPr>
            </w:pPr>
          </w:p>
          <w:p w14:paraId="6CDFA2AE">
            <w:pPr>
              <w:pStyle w:val="31"/>
              <w:spacing w:before="65" w:line="190" w:lineRule="auto"/>
              <w:ind w:left="19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4.2.1</w:t>
            </w:r>
          </w:p>
        </w:tc>
        <w:tc>
          <w:tcPr>
            <w:tcW w:w="2042" w:type="dxa"/>
            <w:vAlign w:val="center"/>
          </w:tcPr>
          <w:p w14:paraId="72FD820D">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递交响应文件地点</w:t>
            </w:r>
          </w:p>
        </w:tc>
        <w:tc>
          <w:tcPr>
            <w:tcW w:w="6440" w:type="dxa"/>
            <w:vAlign w:val="top"/>
          </w:tcPr>
          <w:p w14:paraId="3589EE0F">
            <w:pPr>
              <w:pStyle w:val="31"/>
              <w:spacing w:before="31"/>
              <w:ind w:left="110" w:right="108" w:firstLine="1"/>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本项目执行电子化招投标（供应商无需到达现场），供应商须通过政府采购云平台（网址：http://www.zcygov.cn）递交电子版响应文件</w:t>
            </w:r>
          </w:p>
        </w:tc>
      </w:tr>
      <w:tr w14:paraId="17EBCE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jc w:val="center"/>
        </w:trPr>
        <w:tc>
          <w:tcPr>
            <w:tcW w:w="901" w:type="dxa"/>
            <w:vAlign w:val="top"/>
          </w:tcPr>
          <w:p w14:paraId="7B617D79">
            <w:pPr>
              <w:pStyle w:val="31"/>
              <w:spacing w:before="244" w:line="189" w:lineRule="auto"/>
              <w:ind w:left="19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4.2.2</w:t>
            </w:r>
          </w:p>
        </w:tc>
        <w:tc>
          <w:tcPr>
            <w:tcW w:w="2042" w:type="dxa"/>
            <w:vAlign w:val="center"/>
          </w:tcPr>
          <w:p w14:paraId="301F70C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是否退还响应文件</w:t>
            </w:r>
          </w:p>
        </w:tc>
        <w:tc>
          <w:tcPr>
            <w:tcW w:w="6440" w:type="dxa"/>
            <w:vAlign w:val="top"/>
          </w:tcPr>
          <w:p w14:paraId="7E25EC77">
            <w:pPr>
              <w:pStyle w:val="31"/>
              <w:spacing w:before="75" w:line="228" w:lineRule="auto"/>
              <w:ind w:left="11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☑否</w:t>
            </w:r>
          </w:p>
          <w:p w14:paraId="5C9F94C1">
            <w:pPr>
              <w:pStyle w:val="31"/>
              <w:spacing w:before="26" w:line="229"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□是，退还安排：</w:t>
            </w:r>
          </w:p>
        </w:tc>
      </w:tr>
      <w:tr w14:paraId="3B3AE4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3" w:hRule="atLeast"/>
          <w:jc w:val="center"/>
        </w:trPr>
        <w:tc>
          <w:tcPr>
            <w:tcW w:w="901" w:type="dxa"/>
            <w:vAlign w:val="top"/>
          </w:tcPr>
          <w:p w14:paraId="65E506A2">
            <w:pPr>
              <w:pStyle w:val="31"/>
              <w:spacing w:before="275" w:line="190" w:lineRule="auto"/>
              <w:ind w:left="198"/>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5.1.1</w:t>
            </w:r>
          </w:p>
        </w:tc>
        <w:tc>
          <w:tcPr>
            <w:tcW w:w="2042" w:type="dxa"/>
            <w:vAlign w:val="center"/>
          </w:tcPr>
          <w:p w14:paraId="5994C94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竞争性磋商响应文件开启时间和地点</w:t>
            </w:r>
          </w:p>
        </w:tc>
        <w:tc>
          <w:tcPr>
            <w:tcW w:w="6440" w:type="dxa"/>
            <w:vAlign w:val="top"/>
          </w:tcPr>
          <w:p w14:paraId="713A82E4">
            <w:pPr>
              <w:pStyle w:val="31"/>
              <w:spacing w:before="109" w:line="228" w:lineRule="auto"/>
              <w:ind w:left="12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响应文件开启时间：同响应文件送达截止时间</w:t>
            </w:r>
          </w:p>
          <w:p w14:paraId="43F40C5F">
            <w:pPr>
              <w:pStyle w:val="31"/>
              <w:spacing w:before="24" w:line="228" w:lineRule="auto"/>
              <w:ind w:left="12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响应文件开启地点：同响应文件递交地点</w:t>
            </w:r>
          </w:p>
        </w:tc>
      </w:tr>
      <w:tr w14:paraId="2F41D1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jc w:val="center"/>
        </w:trPr>
        <w:tc>
          <w:tcPr>
            <w:tcW w:w="901" w:type="dxa"/>
            <w:vAlign w:val="center"/>
          </w:tcPr>
          <w:p w14:paraId="20F9BE2E">
            <w:pPr>
              <w:pStyle w:val="31"/>
              <w:spacing w:before="141" w:line="190" w:lineRule="auto"/>
              <w:ind w:left="195"/>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6.1.1</w:t>
            </w:r>
          </w:p>
        </w:tc>
        <w:tc>
          <w:tcPr>
            <w:tcW w:w="2042" w:type="dxa"/>
            <w:vAlign w:val="center"/>
          </w:tcPr>
          <w:p w14:paraId="364F2960">
            <w:pPr>
              <w:pStyle w:val="31"/>
              <w:spacing w:before="109" w:line="239" w:lineRule="auto"/>
              <w:ind w:left="184" w:right="181" w:firstLine="3"/>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磋商小组的组建</w:t>
            </w:r>
          </w:p>
        </w:tc>
        <w:tc>
          <w:tcPr>
            <w:tcW w:w="6440" w:type="dxa"/>
            <w:vAlign w:val="top"/>
          </w:tcPr>
          <w:p w14:paraId="1197CEE9">
            <w:pPr>
              <w:spacing w:line="240" w:lineRule="auto"/>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竞争性磋商小组的组建：</w:t>
            </w:r>
          </w:p>
          <w:p w14:paraId="1134EEEF">
            <w:pPr>
              <w:spacing w:line="240" w:lineRule="auto"/>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rPr>
              <w:t>竞争性磋商小组构成：</w:t>
            </w: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t>人；</w:t>
            </w:r>
          </w:p>
          <w:p w14:paraId="406C8544">
            <w:pPr>
              <w:spacing w:line="240" w:lineRule="auto"/>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磋商专家确定方式：专家从依法设立的政府采购专家库中随机抽取。</w:t>
            </w:r>
          </w:p>
        </w:tc>
      </w:tr>
      <w:tr w14:paraId="3A920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0" w:hRule="atLeast"/>
          <w:jc w:val="center"/>
        </w:trPr>
        <w:tc>
          <w:tcPr>
            <w:tcW w:w="901" w:type="dxa"/>
            <w:vAlign w:val="top"/>
          </w:tcPr>
          <w:p w14:paraId="07A2683B">
            <w:pPr>
              <w:spacing w:line="332" w:lineRule="auto"/>
              <w:rPr>
                <w:rFonts w:hint="eastAsia" w:ascii="宋体" w:hAnsi="宋体" w:eastAsia="宋体" w:cs="宋体"/>
                <w:i w:val="0"/>
                <w:iCs w:val="0"/>
                <w:color w:val="auto"/>
                <w:spacing w:val="0"/>
                <w:w w:val="100"/>
                <w:position w:val="0"/>
                <w:sz w:val="24"/>
                <w:szCs w:val="24"/>
                <w:highlight w:val="none"/>
              </w:rPr>
            </w:pPr>
          </w:p>
          <w:p w14:paraId="10C7C78E">
            <w:pPr>
              <w:pStyle w:val="31"/>
              <w:spacing w:before="65" w:line="190" w:lineRule="auto"/>
              <w:ind w:left="30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7.1</w:t>
            </w:r>
          </w:p>
        </w:tc>
        <w:tc>
          <w:tcPr>
            <w:tcW w:w="2042" w:type="dxa"/>
            <w:vAlign w:val="center"/>
          </w:tcPr>
          <w:p w14:paraId="21A88C7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是否书面授权磋商</w:t>
            </w:r>
          </w:p>
          <w:p w14:paraId="16E95056">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小组直接确定成交</w:t>
            </w:r>
          </w:p>
          <w:p w14:paraId="61D81E8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w:t>
            </w:r>
          </w:p>
        </w:tc>
        <w:tc>
          <w:tcPr>
            <w:tcW w:w="6440" w:type="dxa"/>
            <w:vAlign w:val="top"/>
          </w:tcPr>
          <w:p w14:paraId="4B762A2B">
            <w:pPr>
              <w:pStyle w:val="31"/>
              <w:spacing w:before="185" w:line="231" w:lineRule="auto"/>
              <w:ind w:left="133"/>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□是</w:t>
            </w:r>
          </w:p>
          <w:p w14:paraId="7550E168">
            <w:pPr>
              <w:pStyle w:val="31"/>
              <w:spacing w:before="77" w:line="215" w:lineRule="auto"/>
              <w:ind w:left="12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☑否，推荐的成交候选人数：3名</w:t>
            </w:r>
          </w:p>
        </w:tc>
      </w:tr>
      <w:tr w14:paraId="0D4E66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5" w:hRule="atLeast"/>
          <w:jc w:val="center"/>
        </w:trPr>
        <w:tc>
          <w:tcPr>
            <w:tcW w:w="901" w:type="dxa"/>
            <w:vAlign w:val="top"/>
          </w:tcPr>
          <w:p w14:paraId="0AA6C9B1">
            <w:pPr>
              <w:pStyle w:val="31"/>
              <w:spacing w:before="228" w:line="189" w:lineRule="auto"/>
              <w:ind w:left="304"/>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w:t>
            </w:r>
          </w:p>
        </w:tc>
        <w:tc>
          <w:tcPr>
            <w:tcW w:w="2042" w:type="dxa"/>
            <w:vAlign w:val="center"/>
          </w:tcPr>
          <w:p w14:paraId="1F25C79C">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磋商结果公示媒介</w:t>
            </w:r>
          </w:p>
        </w:tc>
        <w:tc>
          <w:tcPr>
            <w:tcW w:w="6440" w:type="dxa"/>
            <w:vAlign w:val="top"/>
          </w:tcPr>
          <w:p w14:paraId="10BC54E6">
            <w:pPr>
              <w:pStyle w:val="31"/>
              <w:spacing w:before="195" w:line="226" w:lineRule="auto"/>
              <w:ind w:left="110"/>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在发布竞争性磋商公告的媒体发布</w:t>
            </w:r>
          </w:p>
        </w:tc>
      </w:tr>
      <w:tr w14:paraId="654C0B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jc w:val="center"/>
        </w:trPr>
        <w:tc>
          <w:tcPr>
            <w:tcW w:w="901" w:type="dxa"/>
            <w:vAlign w:val="center"/>
          </w:tcPr>
          <w:p w14:paraId="43DBAC07">
            <w:pPr>
              <w:pStyle w:val="31"/>
              <w:spacing w:before="65" w:line="190" w:lineRule="auto"/>
              <w:ind w:left="198"/>
              <w:jc w:val="center"/>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7.3.1</w:t>
            </w:r>
          </w:p>
        </w:tc>
        <w:tc>
          <w:tcPr>
            <w:tcW w:w="2042" w:type="dxa"/>
            <w:vAlign w:val="center"/>
          </w:tcPr>
          <w:p w14:paraId="3372C068">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是否提交履</w:t>
            </w:r>
          </w:p>
          <w:p w14:paraId="08A90F49">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约保证金</w:t>
            </w:r>
          </w:p>
        </w:tc>
        <w:tc>
          <w:tcPr>
            <w:tcW w:w="6440" w:type="dxa"/>
            <w:vAlign w:val="center"/>
          </w:tcPr>
          <w:p w14:paraId="623EEC8E">
            <w:pPr>
              <w:pStyle w:val="31"/>
              <w:spacing w:before="24" w:line="216" w:lineRule="auto"/>
              <w:ind w:left="119"/>
              <w:jc w:val="both"/>
              <w:rPr>
                <w:rFonts w:hint="default" w:ascii="宋体" w:hAnsi="宋体" w:eastAsia="宋体" w:cs="宋体"/>
                <w:i w:val="0"/>
                <w:iCs w:val="0"/>
                <w:color w:val="auto"/>
                <w:spacing w:val="0"/>
                <w:w w:val="100"/>
                <w:position w:val="0"/>
                <w:sz w:val="24"/>
                <w:szCs w:val="24"/>
                <w:highlight w:val="none"/>
                <w:lang w:val="en-US" w:eastAsia="zh-CN"/>
              </w:rPr>
            </w:pPr>
            <w:r>
              <w:rPr>
                <w:rFonts w:hint="eastAsia" w:cs="宋体"/>
                <w:i w:val="0"/>
                <w:iCs w:val="0"/>
                <w:color w:val="auto"/>
                <w:spacing w:val="0"/>
                <w:w w:val="100"/>
                <w:position w:val="0"/>
                <w:sz w:val="24"/>
                <w:szCs w:val="24"/>
                <w:highlight w:val="none"/>
                <w:lang w:val="en-US" w:eastAsia="zh-CN"/>
              </w:rPr>
              <w:t>合同金额5%，方式为转账或开具履约保函</w:t>
            </w:r>
          </w:p>
        </w:tc>
      </w:tr>
      <w:tr w14:paraId="556029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7" w:hRule="atLeast"/>
          <w:jc w:val="center"/>
        </w:trPr>
        <w:tc>
          <w:tcPr>
            <w:tcW w:w="901" w:type="dxa"/>
            <w:vAlign w:val="center"/>
          </w:tcPr>
          <w:p w14:paraId="7A845341">
            <w:pPr>
              <w:pStyle w:val="31"/>
              <w:spacing w:before="65" w:line="190" w:lineRule="auto"/>
              <w:ind w:left="198"/>
              <w:jc w:val="center"/>
              <w:rPr>
                <w:rFonts w:hint="default" w:ascii="宋体" w:hAnsi="宋体" w:eastAsia="宋体" w:cs="宋体"/>
                <w:i w:val="0"/>
                <w:iCs w:val="0"/>
                <w:color w:val="auto"/>
                <w:spacing w:val="0"/>
                <w:w w:val="100"/>
                <w:position w:val="0"/>
                <w:sz w:val="24"/>
                <w:szCs w:val="24"/>
                <w:highlight w:val="none"/>
                <w:lang w:val="en-US" w:eastAsia="zh-CN"/>
              </w:rPr>
            </w:pPr>
            <w:r>
              <w:rPr>
                <w:rFonts w:hint="eastAsia" w:cs="宋体"/>
                <w:i w:val="0"/>
                <w:iCs w:val="0"/>
                <w:color w:val="auto"/>
                <w:spacing w:val="0"/>
                <w:w w:val="100"/>
                <w:position w:val="0"/>
                <w:sz w:val="24"/>
                <w:szCs w:val="24"/>
                <w:highlight w:val="none"/>
                <w:lang w:val="en-US" w:eastAsia="zh-CN"/>
              </w:rPr>
              <w:t>7.4.1</w:t>
            </w:r>
          </w:p>
        </w:tc>
        <w:tc>
          <w:tcPr>
            <w:tcW w:w="2042" w:type="dxa"/>
            <w:vAlign w:val="center"/>
          </w:tcPr>
          <w:p w14:paraId="588B462E">
            <w:pPr>
              <w:jc w:val="center"/>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eastAsia="zh-CN"/>
              </w:rPr>
              <w:t>农民工保证金</w:t>
            </w:r>
          </w:p>
        </w:tc>
        <w:tc>
          <w:tcPr>
            <w:tcW w:w="6440" w:type="dxa"/>
            <w:vAlign w:val="center"/>
          </w:tcPr>
          <w:p w14:paraId="13D3A236">
            <w:pPr>
              <w:pStyle w:val="31"/>
              <w:spacing w:before="24" w:line="216" w:lineRule="auto"/>
              <w:ind w:left="119"/>
              <w:jc w:val="both"/>
              <w:rPr>
                <w:rFonts w:hint="default" w:cs="宋体"/>
                <w:i w:val="0"/>
                <w:iCs w:val="0"/>
                <w:color w:val="auto"/>
                <w:spacing w:val="0"/>
                <w:w w:val="100"/>
                <w:position w:val="0"/>
                <w:sz w:val="24"/>
                <w:szCs w:val="24"/>
                <w:highlight w:val="none"/>
                <w:lang w:val="en-US" w:eastAsia="zh-CN"/>
              </w:rPr>
            </w:pPr>
            <w:r>
              <w:rPr>
                <w:rFonts w:hint="eastAsia" w:cs="宋体"/>
                <w:i w:val="0"/>
                <w:iCs w:val="0"/>
                <w:color w:val="auto"/>
                <w:spacing w:val="0"/>
                <w:w w:val="100"/>
                <w:position w:val="0"/>
                <w:sz w:val="24"/>
                <w:szCs w:val="24"/>
                <w:highlight w:val="none"/>
                <w:lang w:val="en-US" w:eastAsia="zh-CN"/>
              </w:rPr>
              <w:t>/</w:t>
            </w:r>
          </w:p>
        </w:tc>
      </w:tr>
      <w:tr w14:paraId="0077A01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99" w:hRule="atLeast"/>
          <w:jc w:val="center"/>
        </w:trPr>
        <w:tc>
          <w:tcPr>
            <w:tcW w:w="901" w:type="dxa"/>
            <w:vAlign w:val="top"/>
          </w:tcPr>
          <w:p w14:paraId="0916C85F">
            <w:pPr>
              <w:spacing w:line="254" w:lineRule="auto"/>
              <w:rPr>
                <w:rFonts w:hint="eastAsia" w:ascii="宋体" w:hAnsi="宋体" w:eastAsia="宋体" w:cs="宋体"/>
                <w:i w:val="0"/>
                <w:iCs w:val="0"/>
                <w:color w:val="auto"/>
                <w:spacing w:val="0"/>
                <w:w w:val="100"/>
                <w:position w:val="0"/>
                <w:sz w:val="24"/>
                <w:szCs w:val="24"/>
                <w:highlight w:val="none"/>
              </w:rPr>
            </w:pPr>
          </w:p>
          <w:p w14:paraId="210F1E2E">
            <w:pPr>
              <w:spacing w:line="255" w:lineRule="auto"/>
              <w:rPr>
                <w:rFonts w:hint="eastAsia" w:ascii="宋体" w:hAnsi="宋体" w:eastAsia="宋体" w:cs="宋体"/>
                <w:i w:val="0"/>
                <w:iCs w:val="0"/>
                <w:color w:val="auto"/>
                <w:spacing w:val="0"/>
                <w:w w:val="100"/>
                <w:position w:val="0"/>
                <w:sz w:val="24"/>
                <w:szCs w:val="24"/>
                <w:highlight w:val="none"/>
              </w:rPr>
            </w:pPr>
          </w:p>
          <w:p w14:paraId="46521554">
            <w:pPr>
              <w:pStyle w:val="31"/>
              <w:spacing w:before="65" w:line="190" w:lineRule="auto"/>
              <w:ind w:left="26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10.1</w:t>
            </w:r>
          </w:p>
        </w:tc>
        <w:tc>
          <w:tcPr>
            <w:tcW w:w="2042" w:type="dxa"/>
            <w:vAlign w:val="center"/>
          </w:tcPr>
          <w:p w14:paraId="25202CF3">
            <w:pPr>
              <w:jc w:val="center"/>
              <w:rPr>
                <w:rFonts w:hint="eastAsia" w:ascii="宋体" w:hAnsi="宋体" w:eastAsia="宋体" w:cs="宋体"/>
                <w:color w:val="auto"/>
                <w:sz w:val="24"/>
                <w:szCs w:val="24"/>
                <w:highlight w:val="none"/>
              </w:rPr>
            </w:pPr>
          </w:p>
          <w:p w14:paraId="7DC7234F">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知识产权</w:t>
            </w:r>
          </w:p>
        </w:tc>
        <w:tc>
          <w:tcPr>
            <w:tcW w:w="6440" w:type="dxa"/>
            <w:vAlign w:val="top"/>
          </w:tcPr>
          <w:p w14:paraId="3C58F4D9">
            <w:pPr>
              <w:pStyle w:val="31"/>
              <w:spacing w:before="133" w:line="246" w:lineRule="auto"/>
              <w:ind w:left="111" w:right="82" w:firstLine="2"/>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构成本竞争性磋商文件各个组成部分的文件，未经采购人书面同意，供应商不得擅自复印和用于非本项目所需的其他目的。采购人全部或者部分使用未成交供应商响应文件中的技术成果或技术方案时，需征得其书面同意，并不得擅自复印或提供给第三人。</w:t>
            </w:r>
          </w:p>
        </w:tc>
      </w:tr>
      <w:tr w14:paraId="015ACA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2" w:hRule="atLeast"/>
          <w:jc w:val="center"/>
        </w:trPr>
        <w:tc>
          <w:tcPr>
            <w:tcW w:w="901" w:type="dxa"/>
            <w:vAlign w:val="top"/>
          </w:tcPr>
          <w:p w14:paraId="0FB954DB">
            <w:pPr>
              <w:spacing w:line="356" w:lineRule="auto"/>
              <w:rPr>
                <w:rFonts w:hint="eastAsia" w:ascii="宋体" w:hAnsi="宋体" w:eastAsia="宋体" w:cs="宋体"/>
                <w:i w:val="0"/>
                <w:iCs w:val="0"/>
                <w:color w:val="auto"/>
                <w:spacing w:val="0"/>
                <w:w w:val="100"/>
                <w:position w:val="0"/>
                <w:sz w:val="24"/>
                <w:szCs w:val="24"/>
                <w:highlight w:val="none"/>
              </w:rPr>
            </w:pPr>
          </w:p>
          <w:p w14:paraId="1B8DA8F8">
            <w:pPr>
              <w:pStyle w:val="31"/>
              <w:spacing w:before="65" w:line="190" w:lineRule="auto"/>
              <w:ind w:left="26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10.2</w:t>
            </w:r>
          </w:p>
        </w:tc>
        <w:tc>
          <w:tcPr>
            <w:tcW w:w="2042" w:type="dxa"/>
            <w:vAlign w:val="center"/>
          </w:tcPr>
          <w:p w14:paraId="637036AC">
            <w:pPr>
              <w:jc w:val="center"/>
              <w:rPr>
                <w:rFonts w:hint="eastAsia" w:ascii="宋体" w:hAnsi="宋体" w:eastAsia="宋体" w:cs="宋体"/>
                <w:color w:val="auto"/>
                <w:sz w:val="24"/>
                <w:szCs w:val="24"/>
                <w:highlight w:val="none"/>
              </w:rPr>
            </w:pPr>
          </w:p>
          <w:p w14:paraId="3737C05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同义词语</w:t>
            </w:r>
          </w:p>
        </w:tc>
        <w:tc>
          <w:tcPr>
            <w:tcW w:w="6440" w:type="dxa"/>
            <w:vAlign w:val="top"/>
          </w:tcPr>
          <w:p w14:paraId="0D8CC460">
            <w:pPr>
              <w:pStyle w:val="31"/>
              <w:spacing w:before="121" w:line="243" w:lineRule="auto"/>
              <w:ind w:left="101" w:right="37" w:firstLine="12"/>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构成竞争性磋商文件组成部分的“通用合同条款”、“专用合同条款”、“技术标准和要求”等章节中出现的措辞“发包人”和“承包人”，在竞争性磋商采购阶段应当分别按“采购人”和“供应商”进行理解。</w:t>
            </w:r>
          </w:p>
        </w:tc>
      </w:tr>
      <w:tr w14:paraId="128B90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4" w:hRule="atLeast"/>
          <w:jc w:val="center"/>
        </w:trPr>
        <w:tc>
          <w:tcPr>
            <w:tcW w:w="901" w:type="dxa"/>
            <w:vAlign w:val="top"/>
          </w:tcPr>
          <w:p w14:paraId="4D5DD78E">
            <w:pPr>
              <w:spacing w:line="271" w:lineRule="auto"/>
              <w:rPr>
                <w:rFonts w:hint="eastAsia" w:ascii="宋体" w:hAnsi="宋体" w:eastAsia="宋体" w:cs="宋体"/>
                <w:i w:val="0"/>
                <w:iCs w:val="0"/>
                <w:color w:val="auto"/>
                <w:spacing w:val="0"/>
                <w:w w:val="100"/>
                <w:position w:val="0"/>
                <w:sz w:val="24"/>
                <w:szCs w:val="24"/>
                <w:highlight w:val="none"/>
              </w:rPr>
            </w:pPr>
          </w:p>
          <w:p w14:paraId="05FC8A67">
            <w:pPr>
              <w:spacing w:line="271" w:lineRule="auto"/>
              <w:rPr>
                <w:rFonts w:hint="eastAsia" w:ascii="宋体" w:hAnsi="宋体" w:eastAsia="宋体" w:cs="宋体"/>
                <w:i w:val="0"/>
                <w:iCs w:val="0"/>
                <w:color w:val="auto"/>
                <w:spacing w:val="0"/>
                <w:w w:val="100"/>
                <w:position w:val="0"/>
                <w:sz w:val="24"/>
                <w:szCs w:val="24"/>
                <w:highlight w:val="none"/>
              </w:rPr>
            </w:pPr>
          </w:p>
          <w:p w14:paraId="0657C5A4">
            <w:pPr>
              <w:spacing w:line="271" w:lineRule="auto"/>
              <w:rPr>
                <w:rFonts w:hint="eastAsia" w:ascii="宋体" w:hAnsi="宋体" w:eastAsia="宋体" w:cs="宋体"/>
                <w:i w:val="0"/>
                <w:iCs w:val="0"/>
                <w:color w:val="auto"/>
                <w:spacing w:val="0"/>
                <w:w w:val="100"/>
                <w:position w:val="0"/>
                <w:sz w:val="24"/>
                <w:szCs w:val="24"/>
                <w:highlight w:val="none"/>
              </w:rPr>
            </w:pPr>
          </w:p>
          <w:p w14:paraId="2209B3BC">
            <w:pPr>
              <w:pStyle w:val="31"/>
              <w:spacing w:before="65" w:line="190" w:lineRule="auto"/>
              <w:ind w:left="26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10.3</w:t>
            </w:r>
          </w:p>
        </w:tc>
        <w:tc>
          <w:tcPr>
            <w:tcW w:w="2042" w:type="dxa"/>
            <w:vAlign w:val="center"/>
          </w:tcPr>
          <w:p w14:paraId="271D14B9">
            <w:pPr>
              <w:jc w:val="center"/>
              <w:rPr>
                <w:rFonts w:hint="eastAsia" w:ascii="宋体" w:hAnsi="宋体" w:eastAsia="宋体" w:cs="宋体"/>
                <w:color w:val="auto"/>
                <w:sz w:val="24"/>
                <w:szCs w:val="24"/>
                <w:highlight w:val="none"/>
              </w:rPr>
            </w:pPr>
          </w:p>
          <w:p w14:paraId="7D95BCD6">
            <w:pPr>
              <w:jc w:val="center"/>
              <w:rPr>
                <w:rFonts w:hint="eastAsia" w:ascii="宋体" w:hAnsi="宋体" w:eastAsia="宋体" w:cs="宋体"/>
                <w:color w:val="auto"/>
                <w:sz w:val="24"/>
                <w:szCs w:val="24"/>
                <w:highlight w:val="none"/>
              </w:rPr>
            </w:pPr>
          </w:p>
          <w:p w14:paraId="376CF8A4">
            <w:pPr>
              <w:jc w:val="center"/>
              <w:rPr>
                <w:rFonts w:hint="eastAsia" w:ascii="宋体" w:hAnsi="宋体" w:eastAsia="宋体" w:cs="宋体"/>
                <w:color w:val="auto"/>
                <w:sz w:val="24"/>
                <w:szCs w:val="24"/>
                <w:highlight w:val="none"/>
              </w:rPr>
            </w:pPr>
          </w:p>
          <w:p w14:paraId="07998420">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解释权</w:t>
            </w:r>
          </w:p>
        </w:tc>
        <w:tc>
          <w:tcPr>
            <w:tcW w:w="6440" w:type="dxa"/>
            <w:vAlign w:val="top"/>
          </w:tcPr>
          <w:p w14:paraId="427153B4">
            <w:pPr>
              <w:pStyle w:val="31"/>
              <w:spacing w:before="38" w:line="246" w:lineRule="auto"/>
              <w:ind w:left="113" w:right="55"/>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竞争性磋商采购阶段的规定，按竞争性磋商公告、供应商须知、评审办法、响应文件格式的先后顺序解释；同一组成文件中就同一事项的规定或约定不一致的，以编排顺序在后者为准；同一组成文件不同版本之间有不一致的，以形成时间在后者为准。按本款前述规定仍不能形成结论的，由采购人负责解释。</w:t>
            </w:r>
          </w:p>
        </w:tc>
      </w:tr>
      <w:tr w14:paraId="579273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jc w:val="center"/>
        </w:trPr>
        <w:tc>
          <w:tcPr>
            <w:tcW w:w="901" w:type="dxa"/>
            <w:vAlign w:val="top"/>
          </w:tcPr>
          <w:p w14:paraId="14DD12A7">
            <w:pPr>
              <w:pStyle w:val="31"/>
              <w:spacing w:before="210" w:line="190" w:lineRule="auto"/>
              <w:ind w:left="262"/>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10.4</w:t>
            </w:r>
          </w:p>
        </w:tc>
        <w:tc>
          <w:tcPr>
            <w:tcW w:w="2042" w:type="dxa"/>
            <w:vAlign w:val="top"/>
          </w:tcPr>
          <w:p w14:paraId="2ECA23D1">
            <w:pPr>
              <w:pStyle w:val="31"/>
              <w:spacing w:before="178" w:line="228" w:lineRule="auto"/>
              <w:ind w:left="499"/>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代理服务费</w:t>
            </w:r>
          </w:p>
        </w:tc>
        <w:tc>
          <w:tcPr>
            <w:tcW w:w="6440" w:type="dxa"/>
            <w:vAlign w:val="top"/>
          </w:tcPr>
          <w:p w14:paraId="521DA2F7">
            <w:pPr>
              <w:autoSpaceDE w:val="0"/>
              <w:autoSpaceDN w:val="0"/>
              <w:adjustRightInd w:val="0"/>
              <w:spacing w:line="240" w:lineRule="auto"/>
              <w:jc w:val="left"/>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执行《国家发展改革委关于进一步放开建设项目专业服务价格的通知》（发改价格【2015】299号）的规定，由中标单位一次性支付。</w:t>
            </w:r>
          </w:p>
        </w:tc>
      </w:tr>
      <w:tr w14:paraId="49A55F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6" w:hRule="atLeast"/>
          <w:jc w:val="center"/>
        </w:trPr>
        <w:tc>
          <w:tcPr>
            <w:tcW w:w="9383" w:type="dxa"/>
            <w:gridSpan w:val="3"/>
            <w:vAlign w:val="top"/>
          </w:tcPr>
          <w:p w14:paraId="55148FE0">
            <w:pPr>
              <w:pStyle w:val="31"/>
              <w:spacing w:before="41" w:line="233" w:lineRule="auto"/>
              <w:ind w:left="116" w:right="115"/>
              <w:jc w:val="both"/>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注：若磋商公告内容(指网上发布的磋商公告和磋商文件第一章中所附的公告)与</w:t>
            </w:r>
            <w:r>
              <w:rPr>
                <w:rFonts w:hint="eastAsia" w:ascii="宋体" w:hAnsi="宋体" w:eastAsia="宋体" w:cs="宋体"/>
                <w:i w:val="0"/>
                <w:iCs w:val="0"/>
                <w:color w:val="auto"/>
                <w:spacing w:val="0"/>
                <w:w w:val="100"/>
                <w:position w:val="0"/>
                <w:sz w:val="24"/>
                <w:szCs w:val="24"/>
                <w:highlight w:val="none"/>
                <w:lang w:val="en-US" w:eastAsia="zh-CN"/>
              </w:rPr>
              <w:t>竞争性磋商</w:t>
            </w:r>
            <w:r>
              <w:rPr>
                <w:rFonts w:hint="eastAsia" w:ascii="宋体" w:hAnsi="宋体" w:eastAsia="宋体" w:cs="宋体"/>
                <w:i w:val="0"/>
                <w:iCs w:val="0"/>
                <w:color w:val="auto"/>
                <w:spacing w:val="0"/>
                <w:w w:val="100"/>
                <w:position w:val="0"/>
                <w:sz w:val="24"/>
                <w:szCs w:val="24"/>
                <w:highlight w:val="none"/>
              </w:rPr>
              <w:t>文件内容有不一致之处，以</w:t>
            </w:r>
            <w:r>
              <w:rPr>
                <w:rFonts w:hint="eastAsia" w:ascii="宋体" w:hAnsi="宋体" w:eastAsia="宋体" w:cs="宋体"/>
                <w:i w:val="0"/>
                <w:iCs w:val="0"/>
                <w:color w:val="auto"/>
                <w:spacing w:val="0"/>
                <w:w w:val="100"/>
                <w:position w:val="0"/>
                <w:sz w:val="24"/>
                <w:szCs w:val="24"/>
                <w:highlight w:val="none"/>
                <w:lang w:val="en-US" w:eastAsia="zh-CN"/>
              </w:rPr>
              <w:t>竞争性磋商</w:t>
            </w:r>
            <w:r>
              <w:rPr>
                <w:rFonts w:hint="eastAsia" w:ascii="宋体" w:hAnsi="宋体" w:eastAsia="宋体" w:cs="宋体"/>
                <w:i w:val="0"/>
                <w:iCs w:val="0"/>
                <w:color w:val="auto"/>
                <w:spacing w:val="0"/>
                <w:w w:val="100"/>
                <w:position w:val="0"/>
                <w:sz w:val="24"/>
                <w:szCs w:val="24"/>
                <w:highlight w:val="none"/>
              </w:rPr>
              <w:t>文件</w:t>
            </w:r>
            <w:r>
              <w:rPr>
                <w:rFonts w:hint="eastAsia" w:ascii="宋体" w:hAnsi="宋体" w:eastAsia="宋体" w:cs="宋体"/>
                <w:i w:val="0"/>
                <w:iCs w:val="0"/>
                <w:color w:val="auto"/>
                <w:spacing w:val="0"/>
                <w:w w:val="100"/>
                <w:position w:val="0"/>
                <w:sz w:val="24"/>
                <w:szCs w:val="24"/>
                <w:highlight w:val="none"/>
                <w:lang w:val="en-US" w:eastAsia="zh-CN"/>
              </w:rPr>
              <w:t>中</w:t>
            </w:r>
            <w:r>
              <w:rPr>
                <w:rFonts w:hint="eastAsia" w:ascii="宋体" w:hAnsi="宋体" w:eastAsia="宋体" w:cs="宋体"/>
                <w:i w:val="0"/>
                <w:iCs w:val="0"/>
                <w:color w:val="auto"/>
                <w:spacing w:val="0"/>
                <w:w w:val="100"/>
                <w:position w:val="0"/>
                <w:sz w:val="24"/>
                <w:szCs w:val="24"/>
                <w:highlight w:val="none"/>
              </w:rPr>
              <w:t>投标人须知内容为准。</w:t>
            </w:r>
            <w:r>
              <w:rPr>
                <w:rFonts w:hint="eastAsia" w:ascii="宋体" w:hAnsi="宋体" w:eastAsia="宋体" w:cs="宋体"/>
                <w:i w:val="0"/>
                <w:iCs w:val="0"/>
                <w:color w:val="auto"/>
                <w:spacing w:val="0"/>
                <w:w w:val="100"/>
                <w:position w:val="0"/>
                <w:sz w:val="24"/>
                <w:szCs w:val="24"/>
                <w:highlight w:val="none"/>
                <w:lang w:val="en-US" w:eastAsia="zh-CN"/>
              </w:rPr>
              <w:t>竞争性磋商</w:t>
            </w:r>
            <w:r>
              <w:rPr>
                <w:rFonts w:hint="eastAsia" w:ascii="宋体" w:hAnsi="宋体" w:eastAsia="宋体" w:cs="宋体"/>
                <w:i w:val="0"/>
                <w:iCs w:val="0"/>
                <w:color w:val="auto"/>
                <w:spacing w:val="0"/>
                <w:w w:val="100"/>
                <w:position w:val="0"/>
                <w:sz w:val="24"/>
                <w:szCs w:val="24"/>
                <w:highlight w:val="none"/>
              </w:rPr>
              <w:t>文件的最终解释权归</w:t>
            </w:r>
            <w:r>
              <w:rPr>
                <w:rFonts w:hint="eastAsia" w:ascii="宋体" w:hAnsi="宋体" w:eastAsia="宋体" w:cs="宋体"/>
                <w:i w:val="0"/>
                <w:iCs w:val="0"/>
                <w:color w:val="auto"/>
                <w:spacing w:val="0"/>
                <w:w w:val="100"/>
                <w:position w:val="0"/>
                <w:sz w:val="24"/>
                <w:szCs w:val="24"/>
                <w:highlight w:val="none"/>
                <w:lang w:val="en-US" w:eastAsia="zh-CN"/>
              </w:rPr>
              <w:t>采购人</w:t>
            </w:r>
            <w:r>
              <w:rPr>
                <w:rFonts w:hint="eastAsia" w:ascii="宋体" w:hAnsi="宋体" w:eastAsia="宋体" w:cs="宋体"/>
                <w:i w:val="0"/>
                <w:iCs w:val="0"/>
                <w:color w:val="auto"/>
                <w:spacing w:val="0"/>
                <w:w w:val="100"/>
                <w:position w:val="0"/>
                <w:sz w:val="24"/>
                <w:szCs w:val="24"/>
                <w:highlight w:val="none"/>
              </w:rPr>
              <w:t>所有。</w:t>
            </w:r>
          </w:p>
        </w:tc>
      </w:tr>
    </w:tbl>
    <w:p w14:paraId="55ED7856">
      <w:pPr>
        <w:rPr>
          <w:rFonts w:hint="eastAsia" w:ascii="宋体" w:hAnsi="宋体" w:eastAsia="宋体" w:cs="宋体"/>
          <w:i w:val="0"/>
          <w:iCs w:val="0"/>
          <w:color w:val="auto"/>
          <w:spacing w:val="0"/>
          <w:w w:val="100"/>
          <w:position w:val="0"/>
          <w:sz w:val="25"/>
          <w:szCs w:val="25"/>
          <w:highlight w:val="none"/>
        </w:rPr>
        <w:sectPr>
          <w:footerReference r:id="rId6" w:type="default"/>
          <w:pgSz w:w="11907" w:h="16840"/>
          <w:pgMar w:top="1428" w:right="1354" w:bottom="1017" w:left="1764" w:header="0" w:footer="852" w:gutter="0"/>
          <w:pgNumType w:fmt="decimal" w:start="1"/>
          <w:cols w:space="720" w:num="1"/>
        </w:sectPr>
      </w:pPr>
    </w:p>
    <w:p w14:paraId="019D30B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center"/>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供应商须知正文部分</w:t>
      </w:r>
    </w:p>
    <w:p w14:paraId="0CDDE54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0" w:name="_Toc4248"/>
      <w:r>
        <w:rPr>
          <w:rFonts w:hint="eastAsia" w:ascii="宋体" w:hAnsi="宋体" w:eastAsia="宋体" w:cs="宋体"/>
          <w:i w:val="0"/>
          <w:iCs w:val="0"/>
          <w:color w:val="auto"/>
          <w:spacing w:val="0"/>
          <w:w w:val="100"/>
          <w:position w:val="0"/>
          <w:sz w:val="24"/>
          <w:szCs w:val="24"/>
          <w:highlight w:val="none"/>
        </w:rPr>
        <w:t>1.总则</w:t>
      </w:r>
      <w:bookmarkEnd w:id="10"/>
    </w:p>
    <w:p w14:paraId="659139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1.1项目概况</w:t>
      </w:r>
    </w:p>
    <w:p w14:paraId="7BEFF2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1.1.1根据《中华人民共和国政府采购法》《中华人民共和国政府采购法实施条例》《政府采购竞争性磋商采购方式管理暂行办法》等有关法律、法规和规章的规定，本项目已具备采购条件，现对本项目进行竞争性磋商采购。</w:t>
      </w:r>
    </w:p>
    <w:p w14:paraId="6667185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1.1.2本政府采购项目采购人：见供应商须知前附表。</w:t>
      </w:r>
    </w:p>
    <w:p w14:paraId="669DBD7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1.1.3本项目包采购代理机构：见供应商须知前附表。</w:t>
      </w:r>
    </w:p>
    <w:p w14:paraId="1CF4F6B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1.1.4本政府采购项目名称：见供应商须知前附表。</w:t>
      </w:r>
    </w:p>
    <w:p w14:paraId="6A26A2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1.2资金来源和落实情况</w:t>
      </w:r>
    </w:p>
    <w:p w14:paraId="5DB3876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1.2.1本政府采购项目的资金来源：见供应商须知前附表。</w:t>
      </w:r>
    </w:p>
    <w:p w14:paraId="1131F72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1.2.2本政府采购项目的出资比例：见供应商须知前附表。</w:t>
      </w:r>
    </w:p>
    <w:p w14:paraId="23F36D6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1.2.3本政府采购项目的资金落实情况：见供应商须知前附表。</w:t>
      </w:r>
    </w:p>
    <w:p w14:paraId="2FA5F99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1.3采购范围和要求</w:t>
      </w:r>
    </w:p>
    <w:p w14:paraId="18B31B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1.3.1本次采购范围：见供应商须知前附表。</w:t>
      </w:r>
    </w:p>
    <w:p w14:paraId="70F6C9E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1.3.2本项目包的工期：见供应商须知前附表。</w:t>
      </w:r>
    </w:p>
    <w:p w14:paraId="729E9C1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1.3.3质量要求：见供应商须知前附表。</w:t>
      </w:r>
    </w:p>
    <w:p w14:paraId="256FA72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1.4供应商资格要求</w:t>
      </w:r>
    </w:p>
    <w:p w14:paraId="4544078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11"/>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1.4.1</w:t>
      </w:r>
      <w:r>
        <w:rPr>
          <w:rFonts w:hint="eastAsia" w:ascii="宋体" w:hAnsi="宋体" w:eastAsia="宋体" w:cs="宋体"/>
          <w:i w:val="0"/>
          <w:iCs w:val="0"/>
          <w:color w:val="auto"/>
          <w:spacing w:val="-11"/>
          <w:w w:val="100"/>
          <w:position w:val="0"/>
          <w:sz w:val="24"/>
          <w:szCs w:val="24"/>
          <w:highlight w:val="none"/>
        </w:rPr>
        <w:t>供应商应具备承担本项目包资质条件、能力和信誉：见供应商须知前附表。</w:t>
      </w:r>
    </w:p>
    <w:p w14:paraId="012FF1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1.4.2供应商须知前附表规定接受联合体磋商的，除应符合本章第1.4.1项和供应商须知前附表的要求外，还应遵守以下规定：</w:t>
      </w:r>
    </w:p>
    <w:p w14:paraId="774F2A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两个以上的自然人、法人或者其他组织可以组成一个联合体，以一个供应商的身份共同参加政府采购。以联合体形式进行政府采购的，参加联合体的供应商均应当具备《中华人民共和国政府采购法》第二十二条规定的条件，并应当向采购人提交联合协议，载明联合体各方承担的工作和义务；</w:t>
      </w:r>
    </w:p>
    <w:p w14:paraId="162AE00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（2）联合体各方应当共同与采购人签订采购合同，就采购合同约定的事项对采购人</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"http://baike.baidu.com/view/278880.htm"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rPr>
        <w:t>承担连带责任</w:t>
      </w:r>
      <w:r>
        <w:rPr>
          <w:rFonts w:hint="eastAsia" w:ascii="宋体" w:hAnsi="宋体" w:eastAsia="宋体" w:cs="宋体"/>
          <w:i w:val="0"/>
          <w:iCs w:val="0"/>
          <w:color w:val="auto"/>
          <w:spacing w:val="0"/>
          <w:w w:val="100"/>
          <w:position w:val="0"/>
          <w:sz w:val="24"/>
          <w:szCs w:val="24"/>
          <w:highlight w:val="none"/>
        </w:rPr>
        <w:fldChar w:fldCharType="end"/>
      </w:r>
      <w:r>
        <w:rPr>
          <w:rFonts w:hint="eastAsia" w:ascii="宋体" w:hAnsi="宋体" w:eastAsia="宋体" w:cs="宋体"/>
          <w:i w:val="0"/>
          <w:iCs w:val="0"/>
          <w:color w:val="auto"/>
          <w:spacing w:val="0"/>
          <w:w w:val="100"/>
          <w:position w:val="0"/>
          <w:sz w:val="24"/>
          <w:szCs w:val="24"/>
          <w:highlight w:val="none"/>
        </w:rPr>
        <w:t>；</w:t>
      </w:r>
    </w:p>
    <w:p w14:paraId="413BAA4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（3）联合体中有同类资质的供应商按照联合体分工承担相同工作的，应当按照资质等级较低的供应商确定资质等级；</w:t>
      </w:r>
    </w:p>
    <w:p w14:paraId="21574FB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（4）以联合体形式参加政府采购活动的，联合体各方不得再单独参加或者与其他供应商另外组成联合体参加同一合同项下的政府采购活动。</w:t>
      </w:r>
    </w:p>
    <w:p w14:paraId="24140CE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1.4.3供应商存在下列情形之一的，相关响应文件均无效：</w:t>
      </w:r>
    </w:p>
    <w:p w14:paraId="69906BE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（1）与采购人员及相关人员存在利害关系影响公正性的；</w:t>
      </w:r>
    </w:p>
    <w:p w14:paraId="69F22F1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（2）单位负责人为同一人或者存在直接控股、管理关系的不同供应商，参加同一合同项下的政府采购活动的，共同组成联合体的除外。</w:t>
      </w:r>
    </w:p>
    <w:p w14:paraId="54231EB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1.5费用承担</w:t>
      </w:r>
    </w:p>
    <w:p w14:paraId="6133894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供应商准备和参加政府采购活动发生的费用自理。</w:t>
      </w:r>
    </w:p>
    <w:p w14:paraId="42AB2C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1.6保密</w:t>
      </w:r>
    </w:p>
    <w:p w14:paraId="720F3D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参与政府采购活动的各方应对竞争性磋商文件和响应文件中的商业和技术等</w:t>
      </w:r>
    </w:p>
    <w:p w14:paraId="061262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秘密保密，违者应对由此造成的后果承担法律责任。</w:t>
      </w:r>
    </w:p>
    <w:p w14:paraId="0F5DF62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1.7语言文字</w:t>
      </w:r>
    </w:p>
    <w:p w14:paraId="66F8B00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除专用术语外，与磋商文件有关的语言均使用中文。必要时专用术语应附有中</w:t>
      </w:r>
    </w:p>
    <w:p w14:paraId="62A99C7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文注释。</w:t>
      </w:r>
    </w:p>
    <w:p w14:paraId="3CAC09F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1.8计量单位</w:t>
      </w:r>
    </w:p>
    <w:p w14:paraId="7CC226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所有计量均采用中华人民共和国法定计量单位。</w:t>
      </w:r>
    </w:p>
    <w:p w14:paraId="73EB8FB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1" w:name="_Toc19655"/>
      <w:r>
        <w:rPr>
          <w:rFonts w:hint="eastAsia" w:ascii="宋体" w:hAnsi="宋体" w:eastAsia="宋体" w:cs="宋体"/>
          <w:i w:val="0"/>
          <w:iCs w:val="0"/>
          <w:color w:val="auto"/>
          <w:spacing w:val="0"/>
          <w:w w:val="100"/>
          <w:position w:val="0"/>
          <w:sz w:val="24"/>
          <w:szCs w:val="24"/>
          <w:highlight w:val="none"/>
        </w:rPr>
        <w:t>2.竞争性磋商文件</w:t>
      </w:r>
      <w:bookmarkEnd w:id="11"/>
    </w:p>
    <w:p w14:paraId="3137E4A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2.1竞争性磋商文件的组成</w:t>
      </w:r>
    </w:p>
    <w:p w14:paraId="29A3C8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本竞争性磋商文件包括：</w:t>
      </w:r>
    </w:p>
    <w:p w14:paraId="0760B73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\l "bookmark1"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rPr>
        <w:t>竞争性磋商公告</w:t>
      </w:r>
      <w:r>
        <w:rPr>
          <w:rFonts w:hint="eastAsia" w:ascii="宋体" w:hAnsi="宋体" w:eastAsia="宋体" w:cs="宋体"/>
          <w:i w:val="0"/>
          <w:iCs w:val="0"/>
          <w:color w:val="auto"/>
          <w:spacing w:val="0"/>
          <w:w w:val="100"/>
          <w:position w:val="0"/>
          <w:sz w:val="24"/>
          <w:szCs w:val="24"/>
          <w:highlight w:val="none"/>
        </w:rPr>
        <w:fldChar w:fldCharType="end"/>
      </w:r>
    </w:p>
    <w:p w14:paraId="11A007A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\l "bookmark2"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rPr>
        <w:t>供应商须知</w:t>
      </w:r>
      <w:r>
        <w:rPr>
          <w:rFonts w:hint="eastAsia" w:ascii="宋体" w:hAnsi="宋体" w:eastAsia="宋体" w:cs="宋体"/>
          <w:i w:val="0"/>
          <w:iCs w:val="0"/>
          <w:color w:val="auto"/>
          <w:spacing w:val="0"/>
          <w:w w:val="100"/>
          <w:position w:val="0"/>
          <w:sz w:val="24"/>
          <w:szCs w:val="24"/>
          <w:highlight w:val="none"/>
        </w:rPr>
        <w:fldChar w:fldCharType="end"/>
      </w:r>
    </w:p>
    <w:p w14:paraId="5C6C7A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（3）</w:t>
      </w:r>
      <w:r>
        <w:rPr>
          <w:rFonts w:hint="eastAsia" w:ascii="宋体" w:hAnsi="宋体" w:eastAsia="宋体" w:cs="宋体"/>
          <w:i w:val="0"/>
          <w:iCs w:val="0"/>
          <w:color w:val="auto"/>
          <w:spacing w:val="0"/>
          <w:w w:val="100"/>
          <w:position w:val="0"/>
          <w:sz w:val="24"/>
          <w:szCs w:val="24"/>
          <w:highlight w:val="none"/>
        </w:rPr>
        <w:fldChar w:fldCharType="begin"/>
      </w:r>
      <w:r>
        <w:rPr>
          <w:rFonts w:hint="eastAsia" w:ascii="宋体" w:hAnsi="宋体" w:eastAsia="宋体" w:cs="宋体"/>
          <w:i w:val="0"/>
          <w:iCs w:val="0"/>
          <w:color w:val="auto"/>
          <w:spacing w:val="0"/>
          <w:w w:val="100"/>
          <w:position w:val="0"/>
          <w:sz w:val="24"/>
          <w:szCs w:val="24"/>
          <w:highlight w:val="none"/>
        </w:rPr>
        <w:instrText xml:space="preserve"> HYPERLINK \l "bookmark9" </w:instrText>
      </w:r>
      <w:r>
        <w:rPr>
          <w:rFonts w:hint="eastAsia" w:ascii="宋体" w:hAnsi="宋体" w:eastAsia="宋体" w:cs="宋体"/>
          <w:i w:val="0"/>
          <w:iCs w:val="0"/>
          <w:color w:val="auto"/>
          <w:spacing w:val="0"/>
          <w:w w:val="100"/>
          <w:position w:val="0"/>
          <w:sz w:val="24"/>
          <w:szCs w:val="24"/>
          <w:highlight w:val="none"/>
        </w:rPr>
        <w:fldChar w:fldCharType="separate"/>
      </w:r>
      <w:r>
        <w:rPr>
          <w:rFonts w:hint="eastAsia" w:ascii="宋体" w:hAnsi="宋体" w:eastAsia="宋体" w:cs="宋体"/>
          <w:i w:val="0"/>
          <w:iCs w:val="0"/>
          <w:color w:val="auto"/>
          <w:spacing w:val="0"/>
          <w:w w:val="100"/>
          <w:position w:val="0"/>
          <w:sz w:val="24"/>
          <w:szCs w:val="24"/>
          <w:highlight w:val="none"/>
        </w:rPr>
        <w:t>评审办法</w:t>
      </w:r>
      <w:r>
        <w:rPr>
          <w:rFonts w:hint="eastAsia" w:ascii="宋体" w:hAnsi="宋体" w:eastAsia="宋体" w:cs="宋体"/>
          <w:i w:val="0"/>
          <w:iCs w:val="0"/>
          <w:color w:val="auto"/>
          <w:spacing w:val="0"/>
          <w:w w:val="100"/>
          <w:position w:val="0"/>
          <w:sz w:val="24"/>
          <w:szCs w:val="24"/>
          <w:highlight w:val="none"/>
        </w:rPr>
        <w:fldChar w:fldCharType="end"/>
      </w:r>
    </w:p>
    <w:p w14:paraId="5E7AB51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（4）</w:t>
      </w:r>
      <w:r>
        <w:rPr>
          <w:rFonts w:hint="eastAsia" w:ascii="宋体" w:hAnsi="宋体" w:eastAsia="宋体" w:cs="宋体"/>
          <w:i w:val="0"/>
          <w:iCs w:val="0"/>
          <w:color w:val="auto"/>
          <w:spacing w:val="0"/>
          <w:w w:val="100"/>
          <w:position w:val="0"/>
          <w:sz w:val="24"/>
          <w:szCs w:val="24"/>
          <w:highlight w:val="none"/>
        </w:rPr>
        <w:t>合同条款及格式</w:t>
      </w:r>
    </w:p>
    <w:p w14:paraId="1B0F6B7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工程量清单</w:t>
      </w:r>
    </w:p>
    <w:p w14:paraId="6369F68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（6）</w:t>
      </w:r>
      <w:r>
        <w:rPr>
          <w:rFonts w:hint="eastAsia" w:ascii="宋体" w:hAnsi="宋体" w:eastAsia="宋体" w:cs="宋体"/>
          <w:i w:val="0"/>
          <w:iCs w:val="0"/>
          <w:color w:val="auto"/>
          <w:spacing w:val="0"/>
          <w:w w:val="100"/>
          <w:position w:val="0"/>
          <w:sz w:val="24"/>
          <w:szCs w:val="24"/>
          <w:highlight w:val="none"/>
        </w:rPr>
        <w:t>图纸</w:t>
      </w:r>
    </w:p>
    <w:p w14:paraId="0CC22BA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（7）</w:t>
      </w:r>
      <w:r>
        <w:rPr>
          <w:rFonts w:hint="eastAsia" w:ascii="宋体" w:hAnsi="宋体" w:eastAsia="宋体" w:cs="宋体"/>
          <w:i w:val="0"/>
          <w:iCs w:val="0"/>
          <w:color w:val="auto"/>
          <w:spacing w:val="0"/>
          <w:w w:val="100"/>
          <w:position w:val="0"/>
          <w:sz w:val="24"/>
          <w:szCs w:val="24"/>
          <w:highlight w:val="none"/>
        </w:rPr>
        <w:t>技术标准和要求</w:t>
      </w:r>
    </w:p>
    <w:p w14:paraId="296F771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（8）</w:t>
      </w:r>
      <w:r>
        <w:rPr>
          <w:rFonts w:hint="eastAsia" w:ascii="宋体" w:hAnsi="宋体" w:eastAsia="宋体" w:cs="宋体"/>
          <w:i w:val="0"/>
          <w:iCs w:val="0"/>
          <w:color w:val="auto"/>
          <w:spacing w:val="0"/>
          <w:w w:val="100"/>
          <w:position w:val="0"/>
          <w:sz w:val="24"/>
          <w:szCs w:val="24"/>
          <w:highlight w:val="none"/>
        </w:rPr>
        <w:t>磋商响应文件格式</w:t>
      </w:r>
    </w:p>
    <w:p w14:paraId="1692573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对竞争性磋商文件所作的澄清、修改，构成竞争性磋商文件的组成部分。</w:t>
      </w:r>
    </w:p>
    <w:p w14:paraId="0889843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2.2竞争性磋商文件的澄清</w:t>
      </w:r>
    </w:p>
    <w:p w14:paraId="2D7E196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2.2.1供应商应仔细阅读和检查竞争性磋商文件的全部内容。如发现缺页或附件不全，应及时向采购人提出，以便补齐。如有疑问，应在供应商须知前附表规定的时间前，向采购人或采购代理机构提出，要求对竞争性磋商文件予以澄清。</w:t>
      </w:r>
    </w:p>
    <w:p w14:paraId="344C6C6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2.2.2提交响应文件截止之日前，采购人、采购代理机构或者磋商小组可以对已发出的磋商文件进行必要的澄清，澄清的内容作为磋商文件的组成部分。澄清的内容可能影响响应文件编制的，采购人、采购代理机构或者磋商小组应当在提交首次响应文件截止之日</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日前，在政采云平台发出澄清文件，通知所有潜在供应商，不足</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日的，将顺延提交首次响应文件截止之日。</w:t>
      </w:r>
    </w:p>
    <w:p w14:paraId="31622D9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2.2.3澄清通知发出的同时,会在竞争性磋商公告发布媒体上发布变更公告（更正公告），潜在供应商应注意及时浏览网上发出的变更公告（更正公告），因潜在供应商自身原因未及时获知澄清内容而导致的任何后果将由潜在供应商自行承担。</w:t>
      </w:r>
    </w:p>
    <w:p w14:paraId="095BA35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2.3竞争性磋商文件的修改</w:t>
      </w:r>
    </w:p>
    <w:p w14:paraId="7CDE6A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2.3.1提交首次响应文件截止之日前，采购人、采购代理机构或者磋商小组可以对已发出的磋商文件进行必要的修改，修改的内容作为磋商文件的组成部分。修改的内容可能影响响应文件编制的，采购人、采购代理机构或者磋商小组应当在提交首次响应文件截止时间至少</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日前，在政采云平台发出修改文件，通知所有潜在磋商文件的供应商，不足</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日的，将顺延提交首次响应文件截止时间。</w:t>
      </w:r>
    </w:p>
    <w:p w14:paraId="4882F76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2.3.2修改通知发出的同时,会在竞争性磋商公告的发布媒体发布变更公告（更正公告），潜在供应商应注意及时浏览网上发出的变更公告（更正公告），因潜在供应商自身原因未及时获知修改内容而导致的任何后果将由潜在供应商自行承担。</w:t>
      </w:r>
    </w:p>
    <w:p w14:paraId="2D33708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2.4竞争性磋商的询问与质疑</w:t>
      </w:r>
    </w:p>
    <w:p w14:paraId="03AD75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2.4.1供应商对政府采购活动事项有疑问的，可以向采购人提出询问，采购人或者采购代理机构应当在1个工作日内对供应商依法提出的询问作出答复。</w:t>
      </w:r>
    </w:p>
    <w:p w14:paraId="3060F5C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2.4.2供应商认为磋商文件、采购过程和成交、成交结果使自己的权益受到损害的，可以在知道或者应知其权益受到损害之日起七个工作日内，以书面形式向采购人提出质疑。</w:t>
      </w:r>
    </w:p>
    <w:p w14:paraId="703C50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2.4.3供应商应知其权益受到损害之日，是指：对可以质疑的磋商文件提出质疑的，为收到竞争性磋商文件之日；对采购过程提出质疑的，为各采购程序环节结束之日；对成交或者成交结果提出质疑的，为成交或者成交结果公告期限届满之日。</w:t>
      </w:r>
    </w:p>
    <w:p w14:paraId="0A4F0B7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2.4.4采购人对质疑的答复构成对竞争性磋商文件澄清或者修改的，采购人将按照本章第2.2款规定办理。</w:t>
      </w:r>
    </w:p>
    <w:p w14:paraId="668167A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2" w:name="_Toc29192"/>
      <w:r>
        <w:rPr>
          <w:rFonts w:hint="eastAsia" w:ascii="宋体" w:hAnsi="宋体" w:eastAsia="宋体" w:cs="宋体"/>
          <w:i w:val="0"/>
          <w:iCs w:val="0"/>
          <w:color w:val="auto"/>
          <w:spacing w:val="0"/>
          <w:w w:val="100"/>
          <w:position w:val="0"/>
          <w:sz w:val="24"/>
          <w:szCs w:val="24"/>
          <w:highlight w:val="none"/>
        </w:rPr>
        <w:t>3.响应文件</w:t>
      </w:r>
      <w:bookmarkEnd w:id="12"/>
    </w:p>
    <w:p w14:paraId="0A9161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3.1响应文件的组成</w:t>
      </w:r>
    </w:p>
    <w:p w14:paraId="4E89BE8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3.1.1响应文件应包括下列内容：</w:t>
      </w:r>
    </w:p>
    <w:p w14:paraId="7984221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（1）响应函及响应函附录</w:t>
      </w:r>
    </w:p>
    <w:p w14:paraId="230040E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（2）附有法定代表人身份证明的授权委托书</w:t>
      </w:r>
    </w:p>
    <w:p w14:paraId="75253DF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（3）联合体协议书</w:t>
      </w:r>
    </w:p>
    <w:p w14:paraId="023BB9A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（4）磋商保证金</w:t>
      </w:r>
    </w:p>
    <w:p w14:paraId="1FA4EDC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（5）已标价工程量清单</w:t>
      </w:r>
    </w:p>
    <w:p w14:paraId="1EF7692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（6）施工组织设计</w:t>
      </w:r>
    </w:p>
    <w:p w14:paraId="6A6A0D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（7）项目管理机构</w:t>
      </w:r>
    </w:p>
    <w:p w14:paraId="6BE20DB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8</w:t>
      </w:r>
      <w:r>
        <w:rPr>
          <w:rFonts w:hint="eastAsia" w:ascii="宋体" w:hAnsi="宋体" w:eastAsia="宋体" w:cs="宋体"/>
          <w:i w:val="0"/>
          <w:iCs w:val="0"/>
          <w:color w:val="auto"/>
          <w:spacing w:val="0"/>
          <w:w w:val="100"/>
          <w:position w:val="0"/>
          <w:sz w:val="24"/>
          <w:szCs w:val="24"/>
          <w:highlight w:val="none"/>
        </w:rPr>
        <w:t>）拟分包项目情况表（如有时）</w:t>
      </w:r>
    </w:p>
    <w:p w14:paraId="4C8F10D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9</w:t>
      </w:r>
      <w:r>
        <w:rPr>
          <w:rFonts w:hint="eastAsia" w:ascii="宋体" w:hAnsi="宋体" w:eastAsia="宋体" w:cs="宋体"/>
          <w:i w:val="0"/>
          <w:iCs w:val="0"/>
          <w:color w:val="auto"/>
          <w:spacing w:val="0"/>
          <w:w w:val="100"/>
          <w:position w:val="0"/>
          <w:sz w:val="24"/>
          <w:szCs w:val="24"/>
          <w:highlight w:val="none"/>
        </w:rPr>
        <w:t>）资格审查资料</w:t>
      </w:r>
    </w:p>
    <w:p w14:paraId="018C03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10</w:t>
      </w:r>
      <w:r>
        <w:rPr>
          <w:rFonts w:hint="eastAsia" w:ascii="宋体" w:hAnsi="宋体" w:eastAsia="宋体" w:cs="宋体"/>
          <w:i w:val="0"/>
          <w:iCs w:val="0"/>
          <w:color w:val="auto"/>
          <w:spacing w:val="0"/>
          <w:w w:val="100"/>
          <w:position w:val="0"/>
          <w:sz w:val="24"/>
          <w:szCs w:val="24"/>
          <w:highlight w:val="none"/>
        </w:rPr>
        <w:t>）投标人须知前附表规定的其他材料</w:t>
      </w:r>
    </w:p>
    <w:p w14:paraId="745C286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3.1.2供应商须知前附表规定不接受联合体的，或供应商没有组成联合体的，响应文件不包括本章第</w:t>
      </w:r>
      <w:r>
        <w:rPr>
          <w:rFonts w:hint="eastAsia" w:ascii="宋体" w:hAnsi="宋体" w:eastAsia="宋体" w:cs="宋体"/>
          <w:i w:val="0"/>
          <w:iCs w:val="0"/>
          <w:color w:val="auto"/>
          <w:spacing w:val="0"/>
          <w:w w:val="100"/>
          <w:position w:val="0"/>
          <w:sz w:val="24"/>
          <w:szCs w:val="24"/>
          <w:highlight w:val="none"/>
          <w:lang w:val="en-US" w:eastAsia="zh-CN"/>
        </w:rPr>
        <w:t>1.4.2</w:t>
      </w:r>
      <w:r>
        <w:rPr>
          <w:rFonts w:hint="eastAsia" w:ascii="宋体" w:hAnsi="宋体" w:eastAsia="宋体" w:cs="宋体"/>
          <w:i w:val="0"/>
          <w:iCs w:val="0"/>
          <w:color w:val="auto"/>
          <w:spacing w:val="0"/>
          <w:w w:val="100"/>
          <w:position w:val="0"/>
          <w:sz w:val="24"/>
          <w:szCs w:val="24"/>
          <w:highlight w:val="none"/>
        </w:rPr>
        <w:t>目所指的联合体协议书。</w:t>
      </w:r>
    </w:p>
    <w:p w14:paraId="1EAA04A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3.1.3供应商应当按照竞争性磋商文件的要求编制响应文件，并对其提交的响应文件的真实性、合法性承担法律责任。</w:t>
      </w:r>
    </w:p>
    <w:p w14:paraId="64B99D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3.2报价要求</w:t>
      </w:r>
    </w:p>
    <w:p w14:paraId="6166E67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3.2.1供应商应按竞争性磋商的要求填写相应表格。</w:t>
      </w:r>
    </w:p>
    <w:p w14:paraId="5F3337D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3.2.2采购人按供应商须知前附表的规定设置或不设置预算控制价，设置预算控制价的，预算控制价明细在竞争性磋商文件中发给所有下载竞争性磋商文件的供应商。供应商响应函及报价一览表中的大写报价或算术错误修正后的报价大于预算控制价的，其磋商响应无效。</w:t>
      </w:r>
    </w:p>
    <w:p w14:paraId="419DEB7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3.3响应文件有效期</w:t>
      </w:r>
    </w:p>
    <w:p w14:paraId="5F27FBC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3.3.1在供应商须知前附表规定的响应文件有效期内，供应商不得要求撤销或修改其响应文件。</w:t>
      </w:r>
    </w:p>
    <w:p w14:paraId="110649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3.3.2出现特殊情况需要延长响应文件有效期的，采购人以书面形式通知所有供应商延长响应文件有效期。供应商同意延长的，应相应延长其磋商保证金的有效期，但不得要求或被允许修改或撤销其响应文件；供应商拒绝延长的，其磋商响应无效，但供应商有权收回其磋商保证金。</w:t>
      </w:r>
    </w:p>
    <w:p w14:paraId="202B4C7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3.4磋商保证金</w:t>
      </w:r>
    </w:p>
    <w:p w14:paraId="0ED82B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3.4.1供应商须知前附表规定提交磋商保证金的，供应商在递交响应文件的同时，应按供应商须知前附表规定的形式、金额、递交截止时间、递交方式提交磋商保证金，并作为其响应文件的组成部分。联合体参与磋商的，可以由联合体中的一方或者多方共同交纳保证金，其交纳的保证金对联合体各方均具有约束力，并应符合供应商须知前附表的规定。</w:t>
      </w:r>
    </w:p>
    <w:p w14:paraId="3806A5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3.4.2供应商不按本章第3.4.1项要求提交磋商保证金的，其磋商响应无效。3.4.3采购人或者采购代理机构将在采购活动结束后及时无息退还供应商的保证金，但因供应商自身原因导致无法及时退还的除外。未成交供应商的保证金应当在成交通知书发出后5个工作日内无息退还，成交供应商的保证金应当在采购合同签订后5个工作日内无息退还。</w:t>
      </w:r>
    </w:p>
    <w:p w14:paraId="07D7369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3.4.4有下列情形之一的，磋商保证金将不予退还：</w:t>
      </w:r>
    </w:p>
    <w:p w14:paraId="03080B3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供应商在提交响应文件截止时间后撤回响应文件的；</w:t>
      </w:r>
    </w:p>
    <w:p w14:paraId="193D45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供应商在响应文件中提供虚假材料的；</w:t>
      </w:r>
    </w:p>
    <w:p w14:paraId="7C5DDE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除因不可抗力或磋商文件认可的情形以外，成交供应商不与采购人签订合同的；</w:t>
      </w:r>
    </w:p>
    <w:p w14:paraId="28982D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供应商与采购人、其他供应商或者采购代理机构恶意串通的；</w:t>
      </w:r>
    </w:p>
    <w:p w14:paraId="3B73AC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磋商文件规定的其他情形。</w:t>
      </w:r>
    </w:p>
    <w:p w14:paraId="09410B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3.5资格审查资料</w:t>
      </w:r>
    </w:p>
    <w:p w14:paraId="7814E93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3.5.1“供应商基本情况表”应附供应商营业执照副本等材料的复印件。</w:t>
      </w:r>
    </w:p>
    <w:p w14:paraId="2F3A0E8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3.5.2“近年完成的类似项目情况表”应附成交通知书和（或）合同协议书及其他证明材料（如需要）的复印件。每张表格只填写一个项目，并标明序号。</w:t>
      </w:r>
    </w:p>
    <w:p w14:paraId="5212FC2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3.5.3供应商须知前附表规定接受联合体参与磋商的，本章第3.5项规定的表格和资料应包括联合体各方相关情况。</w:t>
      </w:r>
    </w:p>
    <w:p w14:paraId="5AE6CD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3.5.4“竞争性磋商公告要求的其他资格证明材料”应根据本项目竞争性磋商公告的要求提供资格证明材料的复印件和（或）原件。</w:t>
      </w:r>
    </w:p>
    <w:p w14:paraId="23679C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3.6备选方案</w:t>
      </w:r>
    </w:p>
    <w:p w14:paraId="199509E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除供应商须知前附表另有规定外，供应商不得递交备选方案。允许供应商递交备选方案的，只有成交供应商所递交的备选方案方可予以考虑。磋商小组认为成交候选人的备选方案优于其按照竞争性磋商文件要求编制的磋商响应方案的，该成交候选人被确定成交供应商后，采购人可以接受该备选方案。</w:t>
      </w:r>
    </w:p>
    <w:p w14:paraId="1ED71C2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3.7响应文件的编制</w:t>
      </w:r>
    </w:p>
    <w:p w14:paraId="3C32AEF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rPr>
        <w:t>1</w:t>
      </w:r>
      <w:r>
        <w:rPr>
          <w:rFonts w:hint="eastAsia" w:ascii="宋体" w:hAnsi="宋体" w:eastAsia="宋体" w:cs="宋体"/>
          <w:i w:val="0"/>
          <w:iCs w:val="0"/>
          <w:color w:val="auto"/>
          <w:spacing w:val="0"/>
          <w:w w:val="100"/>
          <w:position w:val="0"/>
          <w:sz w:val="24"/>
          <w:szCs w:val="24"/>
          <w:highlight w:val="none"/>
          <w:lang w:val="zh-CN"/>
        </w:rPr>
        <w:t>供应商应按照</w:t>
      </w:r>
      <w:r>
        <w:rPr>
          <w:rFonts w:hint="eastAsia" w:ascii="宋体" w:hAnsi="宋体" w:eastAsia="宋体" w:cs="宋体"/>
          <w:i w:val="0"/>
          <w:iCs w:val="0"/>
          <w:color w:val="auto"/>
          <w:spacing w:val="0"/>
          <w:w w:val="100"/>
          <w:position w:val="0"/>
          <w:sz w:val="24"/>
          <w:szCs w:val="24"/>
          <w:highlight w:val="none"/>
        </w:rPr>
        <w:t>磋商文件</w:t>
      </w:r>
      <w:r>
        <w:rPr>
          <w:rFonts w:hint="eastAsia" w:ascii="宋体" w:hAnsi="宋体" w:eastAsia="宋体" w:cs="宋体"/>
          <w:i w:val="0"/>
          <w:iCs w:val="0"/>
          <w:color w:val="auto"/>
          <w:spacing w:val="0"/>
          <w:w w:val="100"/>
          <w:position w:val="0"/>
          <w:sz w:val="24"/>
          <w:szCs w:val="24"/>
          <w:highlight w:val="none"/>
          <w:lang w:val="zh-CN"/>
        </w:rPr>
        <w:t>提供的响应文件格式编制电子响应文件和报价一览表（用于</w:t>
      </w:r>
      <w:r>
        <w:rPr>
          <w:rFonts w:hint="eastAsia" w:ascii="宋体" w:hAnsi="宋体" w:eastAsia="宋体" w:cs="宋体"/>
          <w:i w:val="0"/>
          <w:iCs w:val="0"/>
          <w:color w:val="auto"/>
          <w:spacing w:val="0"/>
          <w:w w:val="100"/>
          <w:position w:val="0"/>
          <w:sz w:val="24"/>
          <w:szCs w:val="24"/>
          <w:highlight w:val="none"/>
        </w:rPr>
        <w:t>提供</w:t>
      </w:r>
      <w:r>
        <w:rPr>
          <w:rFonts w:hint="eastAsia" w:ascii="宋体" w:hAnsi="宋体" w:eastAsia="宋体" w:cs="宋体"/>
          <w:i w:val="0"/>
          <w:iCs w:val="0"/>
          <w:color w:val="auto"/>
          <w:spacing w:val="0"/>
          <w:w w:val="100"/>
          <w:position w:val="0"/>
          <w:sz w:val="24"/>
          <w:szCs w:val="24"/>
          <w:highlight w:val="none"/>
          <w:lang w:val="zh-CN"/>
        </w:rPr>
        <w:t>响应报价信息）并转换为PDF格式，PDF格式以外的电子响应文件无法实现响应文件的签章、加密和提交，因PDF格式电子响应文件转换造成响应文件内容缺漏错误的，是供应商的风险。</w:t>
      </w:r>
    </w:p>
    <w:p w14:paraId="3114E90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lang w:val="zh-CN"/>
        </w:rPr>
        <w:t>2供应商通过“政采云”平台（http：//www.zcygov.cn）实行在线电子投标，供应商应先安装“政采云投标客户端”。供应商应当按照</w:t>
      </w:r>
      <w:r>
        <w:rPr>
          <w:rFonts w:hint="eastAsia" w:ascii="宋体" w:hAnsi="宋体" w:eastAsia="宋体" w:cs="宋体"/>
          <w:i w:val="0"/>
          <w:iCs w:val="0"/>
          <w:color w:val="auto"/>
          <w:spacing w:val="0"/>
          <w:w w:val="100"/>
          <w:position w:val="0"/>
          <w:sz w:val="24"/>
          <w:szCs w:val="24"/>
          <w:highlight w:val="none"/>
        </w:rPr>
        <w:t>磋商文件</w:t>
      </w:r>
      <w:r>
        <w:rPr>
          <w:rFonts w:hint="eastAsia" w:ascii="宋体" w:hAnsi="宋体" w:eastAsia="宋体" w:cs="宋体"/>
          <w:i w:val="0"/>
          <w:iCs w:val="0"/>
          <w:color w:val="auto"/>
          <w:spacing w:val="0"/>
          <w:w w:val="100"/>
          <w:position w:val="0"/>
          <w:sz w:val="24"/>
          <w:szCs w:val="24"/>
          <w:highlight w:val="none"/>
          <w:lang w:val="zh-CN"/>
        </w:rPr>
        <w:t>要求加盖单位签章（企业数字证书）和法定代表人电子签章（法人数字证书，电子法人名章或电子法人签字章均可）。电子响应文件签章完成后，生成正式响应文件并加密。经数字证书加密的响应文件必须在递交响应文件前登录“政采云”平台，选择本项目完成上传，加密和解密必须使用同一数字证书。</w:t>
      </w:r>
    </w:p>
    <w:p w14:paraId="7786EE6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lang w:val="zh-CN"/>
        </w:rPr>
        <w:t>3提交电子响应文件截止时间前出现下列情形的，供应商必须对响应文件重新电子签章和生成响应文件，并在提交响应文件截止时间之前上传至系统，否则无法完成解密：</w:t>
      </w:r>
    </w:p>
    <w:p w14:paraId="5B43679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en-US" w:eastAsia="zh-CN"/>
        </w:rPr>
        <w:t>1</w:t>
      </w: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zh-CN"/>
        </w:rPr>
        <w:t>数字证书到期后重新续期；</w:t>
      </w:r>
    </w:p>
    <w:p w14:paraId="25F4967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en-US" w:eastAsia="zh-CN"/>
        </w:rPr>
        <w:t>2</w:t>
      </w:r>
      <w:r>
        <w:rPr>
          <w:rFonts w:hint="eastAsia" w:ascii="宋体" w:hAnsi="宋体" w:eastAsia="宋体" w:cs="宋体"/>
          <w:i w:val="0"/>
          <w:iCs w:val="0"/>
          <w:color w:val="auto"/>
          <w:spacing w:val="0"/>
          <w:w w:val="100"/>
          <w:position w:val="0"/>
          <w:sz w:val="24"/>
          <w:szCs w:val="24"/>
          <w:highlight w:val="none"/>
          <w:lang w:eastAsia="zh-CN"/>
        </w:rPr>
        <w:t>）</w:t>
      </w:r>
      <w:r>
        <w:rPr>
          <w:rFonts w:hint="eastAsia" w:ascii="宋体" w:hAnsi="宋体" w:eastAsia="宋体" w:cs="宋体"/>
          <w:i w:val="0"/>
          <w:iCs w:val="0"/>
          <w:color w:val="auto"/>
          <w:spacing w:val="0"/>
          <w:w w:val="100"/>
          <w:position w:val="0"/>
          <w:sz w:val="24"/>
          <w:szCs w:val="24"/>
          <w:highlight w:val="none"/>
          <w:lang w:val="zh-CN"/>
        </w:rPr>
        <w:t>数字证书因遗失、损坏、企业信息变更等情况更换新证书。</w:t>
      </w:r>
    </w:p>
    <w:p w14:paraId="7E01E9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zh-CN"/>
        </w:rPr>
        <w:t>供应商由于数字证书遗失、损坏、更换、续期等情况导致响应文件无法解密，由供应商自行承担责任。</w:t>
      </w:r>
    </w:p>
    <w:p w14:paraId="0E194D5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rPr>
        <w:t>4</w:t>
      </w:r>
      <w:r>
        <w:rPr>
          <w:rFonts w:hint="eastAsia" w:ascii="宋体" w:hAnsi="宋体" w:eastAsia="宋体" w:cs="宋体"/>
          <w:i w:val="0"/>
          <w:iCs w:val="0"/>
          <w:color w:val="auto"/>
          <w:spacing w:val="0"/>
          <w:w w:val="100"/>
          <w:position w:val="0"/>
          <w:sz w:val="24"/>
          <w:szCs w:val="24"/>
          <w:highlight w:val="none"/>
          <w:lang w:val="zh-CN"/>
        </w:rPr>
        <w:t>供应商应将</w:t>
      </w:r>
      <w:r>
        <w:rPr>
          <w:rFonts w:hint="eastAsia" w:ascii="宋体" w:hAnsi="宋体" w:eastAsia="宋体" w:cs="宋体"/>
          <w:i w:val="0"/>
          <w:iCs w:val="0"/>
          <w:color w:val="auto"/>
          <w:spacing w:val="0"/>
          <w:w w:val="100"/>
          <w:position w:val="0"/>
          <w:sz w:val="24"/>
          <w:szCs w:val="24"/>
          <w:highlight w:val="none"/>
        </w:rPr>
        <w:t>纸质版</w:t>
      </w:r>
      <w:r>
        <w:rPr>
          <w:rFonts w:hint="eastAsia" w:ascii="宋体" w:hAnsi="宋体" w:eastAsia="宋体" w:cs="宋体"/>
          <w:i w:val="0"/>
          <w:iCs w:val="0"/>
          <w:color w:val="auto"/>
          <w:spacing w:val="0"/>
          <w:w w:val="100"/>
          <w:position w:val="0"/>
          <w:sz w:val="24"/>
          <w:szCs w:val="24"/>
          <w:highlight w:val="none"/>
          <w:lang w:val="zh-CN"/>
        </w:rPr>
        <w:t>响应文件装订成册、</w:t>
      </w:r>
      <w:r>
        <w:rPr>
          <w:rFonts w:hint="eastAsia" w:ascii="宋体" w:hAnsi="宋体" w:eastAsia="宋体" w:cs="宋体"/>
          <w:i w:val="0"/>
          <w:iCs w:val="0"/>
          <w:color w:val="auto"/>
          <w:spacing w:val="0"/>
          <w:w w:val="100"/>
          <w:position w:val="0"/>
          <w:sz w:val="24"/>
          <w:szCs w:val="24"/>
          <w:highlight w:val="none"/>
        </w:rPr>
        <w:t>签字盖章后</w:t>
      </w:r>
      <w:r>
        <w:rPr>
          <w:rFonts w:hint="eastAsia" w:ascii="宋体" w:hAnsi="宋体" w:eastAsia="宋体" w:cs="宋体"/>
          <w:i w:val="0"/>
          <w:iCs w:val="0"/>
          <w:color w:val="auto"/>
          <w:spacing w:val="0"/>
          <w:w w:val="100"/>
          <w:position w:val="0"/>
          <w:sz w:val="24"/>
          <w:szCs w:val="24"/>
          <w:highlight w:val="none"/>
          <w:lang w:val="zh-CN"/>
        </w:rPr>
        <w:t>，</w:t>
      </w:r>
      <w:r>
        <w:rPr>
          <w:rFonts w:hint="eastAsia" w:ascii="宋体" w:hAnsi="宋体" w:eastAsia="宋体" w:cs="宋体"/>
          <w:i w:val="0"/>
          <w:iCs w:val="0"/>
          <w:color w:val="auto"/>
          <w:spacing w:val="0"/>
          <w:w w:val="100"/>
          <w:position w:val="0"/>
          <w:sz w:val="24"/>
          <w:szCs w:val="24"/>
          <w:highlight w:val="none"/>
        </w:rPr>
        <w:t>等待采购代理机构通知并送至指定地点</w:t>
      </w:r>
      <w:r>
        <w:rPr>
          <w:rFonts w:hint="eastAsia" w:ascii="宋体" w:hAnsi="宋体" w:eastAsia="宋体" w:cs="宋体"/>
          <w:i w:val="0"/>
          <w:iCs w:val="0"/>
          <w:color w:val="auto"/>
          <w:spacing w:val="0"/>
          <w:w w:val="100"/>
          <w:position w:val="0"/>
          <w:sz w:val="24"/>
          <w:szCs w:val="24"/>
          <w:highlight w:val="none"/>
          <w:lang w:val="zh-CN"/>
        </w:rPr>
        <w:t>。</w:t>
      </w:r>
    </w:p>
    <w:p w14:paraId="337BC07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en-US" w:eastAsia="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rPr>
        <w:t>5纸质版</w:t>
      </w:r>
      <w:r>
        <w:rPr>
          <w:rFonts w:hint="eastAsia" w:ascii="宋体" w:hAnsi="宋体" w:eastAsia="宋体" w:cs="宋体"/>
          <w:i w:val="0"/>
          <w:iCs w:val="0"/>
          <w:color w:val="auto"/>
          <w:spacing w:val="0"/>
          <w:w w:val="100"/>
          <w:position w:val="0"/>
          <w:sz w:val="24"/>
          <w:szCs w:val="24"/>
          <w:highlight w:val="none"/>
          <w:lang w:val="zh-CN"/>
        </w:rPr>
        <w:t>响应文件份数：</w:t>
      </w:r>
      <w:r>
        <w:rPr>
          <w:rFonts w:hint="eastAsia" w:ascii="宋体" w:hAnsi="宋体" w:eastAsia="宋体" w:cs="宋体"/>
          <w:i w:val="0"/>
          <w:iCs w:val="0"/>
          <w:color w:val="auto"/>
          <w:spacing w:val="0"/>
          <w:w w:val="100"/>
          <w:position w:val="0"/>
          <w:sz w:val="24"/>
          <w:szCs w:val="24"/>
          <w:highlight w:val="none"/>
          <w:lang w:val="zh-CN" w:eastAsia="zh-CN"/>
        </w:rPr>
        <w:t>见供应商须知前附表</w:t>
      </w:r>
    </w:p>
    <w:p w14:paraId="1EA5C25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3.7.</w:t>
      </w:r>
      <w:r>
        <w:rPr>
          <w:rFonts w:hint="eastAsia" w:ascii="宋体" w:hAnsi="宋体" w:eastAsia="宋体" w:cs="宋体"/>
          <w:i w:val="0"/>
          <w:iCs w:val="0"/>
          <w:color w:val="auto"/>
          <w:spacing w:val="0"/>
          <w:w w:val="100"/>
          <w:position w:val="0"/>
          <w:sz w:val="24"/>
          <w:szCs w:val="24"/>
          <w:highlight w:val="none"/>
        </w:rPr>
        <w:t>6</w:t>
      </w:r>
      <w:r>
        <w:rPr>
          <w:rFonts w:hint="eastAsia" w:ascii="宋体" w:hAnsi="宋体" w:eastAsia="宋体" w:cs="宋体"/>
          <w:i w:val="0"/>
          <w:iCs w:val="0"/>
          <w:color w:val="auto"/>
          <w:spacing w:val="0"/>
          <w:w w:val="100"/>
          <w:position w:val="0"/>
          <w:sz w:val="24"/>
          <w:szCs w:val="24"/>
          <w:highlight w:val="none"/>
          <w:lang w:val="zh-CN"/>
        </w:rPr>
        <w:t>投标截止时间结束后供应商不足三家的，将重新招标。</w:t>
      </w:r>
    </w:p>
    <w:p w14:paraId="6B98074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3" w:name="_Toc2823"/>
      <w:r>
        <w:rPr>
          <w:rFonts w:hint="eastAsia" w:ascii="宋体" w:hAnsi="宋体" w:eastAsia="宋体" w:cs="宋体"/>
          <w:i w:val="0"/>
          <w:iCs w:val="0"/>
          <w:color w:val="auto"/>
          <w:spacing w:val="0"/>
          <w:w w:val="100"/>
          <w:position w:val="0"/>
          <w:sz w:val="24"/>
          <w:szCs w:val="24"/>
          <w:highlight w:val="none"/>
        </w:rPr>
        <w:t>4.响应文件的递交</w:t>
      </w:r>
      <w:bookmarkEnd w:id="13"/>
    </w:p>
    <w:p w14:paraId="3B2764F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zh-CN"/>
        </w:rPr>
        <w:t>本项目为全流程电子化项目，通过“政采云”平台（http：//www.zcygov.cn）实行在线电子投标，供应商应先安装“政采云投标客户端”（请自行前往“政采云”平台进行下载），并按照本项目</w:t>
      </w:r>
      <w:r>
        <w:rPr>
          <w:rFonts w:hint="eastAsia" w:ascii="宋体" w:hAnsi="宋体" w:eastAsia="宋体" w:cs="宋体"/>
          <w:i w:val="0"/>
          <w:iCs w:val="0"/>
          <w:color w:val="auto"/>
          <w:spacing w:val="0"/>
          <w:w w:val="100"/>
          <w:position w:val="0"/>
          <w:sz w:val="24"/>
          <w:szCs w:val="24"/>
          <w:highlight w:val="none"/>
        </w:rPr>
        <w:t>磋商文件</w:t>
      </w:r>
      <w:r>
        <w:rPr>
          <w:rFonts w:hint="eastAsia" w:ascii="宋体" w:hAnsi="宋体" w:eastAsia="宋体" w:cs="宋体"/>
          <w:i w:val="0"/>
          <w:iCs w:val="0"/>
          <w:color w:val="auto"/>
          <w:spacing w:val="0"/>
          <w:w w:val="100"/>
          <w:position w:val="0"/>
          <w:sz w:val="24"/>
          <w:szCs w:val="24"/>
          <w:highlight w:val="none"/>
          <w:lang w:val="zh-CN"/>
        </w:rPr>
        <w:t>和“政采云”平台的要求编制、加密后在投标截止时间前通过网络上传至“政采云”平台，供应商在“政采云”平台提交电子版响应文件时，请填写参加开标活动经办人联系方式。</w:t>
      </w:r>
    </w:p>
    <w:p w14:paraId="55A41B2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4" w:name="_Toc9017"/>
      <w:r>
        <w:rPr>
          <w:rFonts w:hint="eastAsia" w:ascii="宋体" w:hAnsi="宋体" w:eastAsia="宋体" w:cs="宋体"/>
          <w:i w:val="0"/>
          <w:iCs w:val="0"/>
          <w:color w:val="auto"/>
          <w:spacing w:val="0"/>
          <w:w w:val="100"/>
          <w:position w:val="0"/>
          <w:sz w:val="24"/>
          <w:szCs w:val="24"/>
          <w:highlight w:val="none"/>
        </w:rPr>
        <w:t>5.磋商程序</w:t>
      </w:r>
      <w:bookmarkEnd w:id="14"/>
    </w:p>
    <w:p w14:paraId="1FE45F6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1供应商须在规定的时间内对文件进行解密，系统默认解密时间为30分钟。</w:t>
      </w:r>
    </w:p>
    <w:p w14:paraId="6D374A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.2由于供应商原因，没有在规定时间内进行开标解密，视为无效应答。</w:t>
      </w:r>
    </w:p>
    <w:p w14:paraId="74CD6CF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.3开标解密后，供应商报价为空、为零的将被视为无效应答。</w:t>
      </w:r>
    </w:p>
    <w:p w14:paraId="4D6C34E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.4开标解密后，响应代表人应保持电话畅通并具备相应的网络环境，随时准备接受评委的网上询标。</w:t>
      </w:r>
    </w:p>
    <w:p w14:paraId="3D3256E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.5供应商须于规定时间到评审现场进行答疑，须携带身份证等有效证件原件，以备查验。</w:t>
      </w:r>
    </w:p>
    <w:p w14:paraId="0D64405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val="zh-CN"/>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.6响应文件递交截止时间后，供应商不足3家的，不得开标。</w:t>
      </w:r>
    </w:p>
    <w:p w14:paraId="3377F0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lang w:val="zh-CN"/>
        </w:rPr>
        <w:t>.7开标解密后，（</w:t>
      </w:r>
      <w:r>
        <w:rPr>
          <w:rFonts w:hint="eastAsia" w:ascii="宋体" w:hAnsi="宋体" w:eastAsia="宋体" w:cs="宋体"/>
          <w:i w:val="0"/>
          <w:iCs w:val="0"/>
          <w:color w:val="auto"/>
          <w:spacing w:val="0"/>
          <w:w w:val="100"/>
          <w:position w:val="0"/>
          <w:sz w:val="24"/>
          <w:szCs w:val="24"/>
          <w:highlight w:val="none"/>
        </w:rPr>
        <w:t>采购人</w:t>
      </w:r>
      <w:r>
        <w:rPr>
          <w:rFonts w:hint="eastAsia" w:ascii="宋体" w:hAnsi="宋体" w:eastAsia="宋体" w:cs="宋体"/>
          <w:i w:val="0"/>
          <w:iCs w:val="0"/>
          <w:color w:val="auto"/>
          <w:spacing w:val="0"/>
          <w:w w:val="100"/>
          <w:position w:val="0"/>
          <w:sz w:val="24"/>
          <w:szCs w:val="24"/>
          <w:highlight w:val="none"/>
          <w:lang w:val="zh-CN"/>
        </w:rPr>
        <w:t>或</w:t>
      </w:r>
      <w:r>
        <w:rPr>
          <w:rFonts w:hint="eastAsia" w:ascii="宋体" w:hAnsi="宋体" w:eastAsia="宋体" w:cs="宋体"/>
          <w:i w:val="0"/>
          <w:iCs w:val="0"/>
          <w:color w:val="auto"/>
          <w:spacing w:val="0"/>
          <w:w w:val="100"/>
          <w:position w:val="0"/>
          <w:sz w:val="24"/>
          <w:szCs w:val="24"/>
          <w:highlight w:val="none"/>
        </w:rPr>
        <w:t>采购代理机构</w:t>
      </w:r>
      <w:r>
        <w:rPr>
          <w:rFonts w:hint="eastAsia" w:ascii="宋体" w:hAnsi="宋体" w:eastAsia="宋体" w:cs="宋体"/>
          <w:i w:val="0"/>
          <w:iCs w:val="0"/>
          <w:color w:val="auto"/>
          <w:spacing w:val="0"/>
          <w:w w:val="100"/>
          <w:position w:val="0"/>
          <w:sz w:val="24"/>
          <w:szCs w:val="24"/>
          <w:highlight w:val="none"/>
          <w:lang w:val="zh-CN"/>
        </w:rPr>
        <w:t>）评审委员会依据</w:t>
      </w:r>
      <w:r>
        <w:rPr>
          <w:rFonts w:hint="eastAsia" w:ascii="宋体" w:hAnsi="宋体" w:eastAsia="宋体" w:cs="宋体"/>
          <w:i w:val="0"/>
          <w:iCs w:val="0"/>
          <w:color w:val="auto"/>
          <w:spacing w:val="0"/>
          <w:w w:val="100"/>
          <w:position w:val="0"/>
          <w:sz w:val="24"/>
          <w:szCs w:val="24"/>
          <w:highlight w:val="none"/>
        </w:rPr>
        <w:t>采购人</w:t>
      </w:r>
      <w:r>
        <w:rPr>
          <w:rFonts w:hint="eastAsia" w:ascii="宋体" w:hAnsi="宋体" w:eastAsia="宋体" w:cs="宋体"/>
          <w:i w:val="0"/>
          <w:iCs w:val="0"/>
          <w:color w:val="auto"/>
          <w:spacing w:val="0"/>
          <w:w w:val="100"/>
          <w:position w:val="0"/>
          <w:sz w:val="24"/>
          <w:szCs w:val="24"/>
          <w:highlight w:val="none"/>
          <w:lang w:val="zh-CN"/>
        </w:rPr>
        <w:t>与代理机构签订的《委托代理协议》有关约定，依法对供应商的资格进行审查。资格审查合格的供应商不足3家的，不得评审。</w:t>
      </w:r>
    </w:p>
    <w:p w14:paraId="431D7B0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5" w:name="_Toc30920"/>
      <w:r>
        <w:rPr>
          <w:rFonts w:hint="eastAsia" w:ascii="宋体" w:hAnsi="宋体" w:eastAsia="宋体" w:cs="宋体"/>
          <w:i w:val="0"/>
          <w:iCs w:val="0"/>
          <w:color w:val="auto"/>
          <w:spacing w:val="0"/>
          <w:w w:val="100"/>
          <w:position w:val="0"/>
          <w:sz w:val="24"/>
          <w:szCs w:val="24"/>
          <w:highlight w:val="none"/>
        </w:rPr>
        <w:t>6.评审</w:t>
      </w:r>
      <w:bookmarkEnd w:id="15"/>
    </w:p>
    <w:p w14:paraId="781771D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6.1磋商小组</w:t>
      </w:r>
    </w:p>
    <w:p w14:paraId="71D6A7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6.1.1采购代理机构将按照《中华人民共和国政府采购法》《中华人民共和国政府采购法实施条例》和《政府采购竞争性磋商采购方式管理暂行办法》有关规定组建磋商小组。</w:t>
      </w:r>
    </w:p>
    <w:p w14:paraId="144774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6.1.2磋商小组</w:t>
      </w:r>
      <w:r>
        <w:rPr>
          <w:rFonts w:hint="eastAsia" w:ascii="宋体" w:hAnsi="宋体" w:eastAsia="宋体" w:cs="宋体"/>
          <w:i w:val="0"/>
          <w:iCs w:val="0"/>
          <w:color w:val="auto"/>
          <w:spacing w:val="0"/>
          <w:w w:val="100"/>
          <w:position w:val="0"/>
          <w:sz w:val="24"/>
          <w:szCs w:val="24"/>
          <w:highlight w:val="none"/>
          <w:lang w:val="en-US" w:eastAsia="zh-CN"/>
        </w:rPr>
        <w:t>组成：见供应商须知前附表</w:t>
      </w:r>
    </w:p>
    <w:p w14:paraId="1D1B3A7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6.1.3在政府采购活动中，采购人员及相关人员与供应商有下列利害关系之一的，应当回避：</w:t>
      </w:r>
    </w:p>
    <w:p w14:paraId="34F9FC9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参加采购活动前3年内与供应商存在劳动关系；</w:t>
      </w:r>
    </w:p>
    <w:p w14:paraId="5F7F399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参加采购活动前3年内担任供应商的董事、监事；</w:t>
      </w:r>
    </w:p>
    <w:p w14:paraId="428B3FE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参加采购活动前3年内是供应商的控股股东或者实际控制人；</w:t>
      </w:r>
    </w:p>
    <w:p w14:paraId="1709E14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与供应商的法定代表人或者负责人有夫妻、直系血亲、三代以内旁系血亲或者近姻亲关系；</w:t>
      </w:r>
    </w:p>
    <w:p w14:paraId="0FB095E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与供应商有其他可能影响政府采购活动公平、公正进行的关系。</w:t>
      </w:r>
    </w:p>
    <w:p w14:paraId="3AE972F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6.2评审原则</w:t>
      </w:r>
    </w:p>
    <w:p w14:paraId="0AEBF77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竞争性磋商小组成员按照客观、公正、审慎的原则，根据磋商文件规定的评审程序、评审方法和评审标准进行独立评审。</w:t>
      </w:r>
    </w:p>
    <w:p w14:paraId="49302B3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6.3评审</w:t>
      </w:r>
    </w:p>
    <w:p w14:paraId="093CFAB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6.3.1磋商小组按照第三章“评审办法”规定的方法、评审因素、标准和程序对响应文件进行评审。第三章“评审办法”没有规定的方法、评审因素和标准，不作为评审依据。</w:t>
      </w:r>
    </w:p>
    <w:p w14:paraId="0F68F25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6.4磋商及评审过程保密</w:t>
      </w:r>
    </w:p>
    <w:p w14:paraId="7A3269C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6.4.1凡是属于审查、澄清、评价和比较各供应商的有关资料以及推荐意向等，磋商小组及有关工作人员自始至终均不得向供应商或其它无关的人员透露。</w:t>
      </w:r>
    </w:p>
    <w:p w14:paraId="1241485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6.4.2在磋商评审期间，供应商企图影响采购人、采购代理机构和磋商小组而获得评审信息的任何活动，都将导致其响应文件被拒绝，并承担相应的法律责任。</w:t>
      </w:r>
    </w:p>
    <w:p w14:paraId="10EEEFA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6.4.3采购人、采购代理机构应当按照政府采购法和本办法的规定组织开展非招标采购活动，并采取必要措施，保证评审在严格保密的情况下进行。</w:t>
      </w:r>
    </w:p>
    <w:p w14:paraId="39D7BBF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6.4.4磋商小组成员以及与评审工作有关的人员不得泄露评审情况以及评审过程中获悉的国家秘密、商业秘密。</w:t>
      </w:r>
    </w:p>
    <w:p w14:paraId="660AD15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6" w:name="_Toc1689"/>
      <w:r>
        <w:rPr>
          <w:rFonts w:hint="eastAsia" w:ascii="宋体" w:hAnsi="宋体" w:eastAsia="宋体" w:cs="宋体"/>
          <w:i w:val="0"/>
          <w:iCs w:val="0"/>
          <w:color w:val="auto"/>
          <w:spacing w:val="0"/>
          <w:w w:val="100"/>
          <w:position w:val="0"/>
          <w:sz w:val="24"/>
          <w:szCs w:val="24"/>
          <w:highlight w:val="none"/>
        </w:rPr>
        <w:t>7.合同授予</w:t>
      </w:r>
      <w:bookmarkEnd w:id="16"/>
    </w:p>
    <w:p w14:paraId="2748A3D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7.1确定成交供应商</w:t>
      </w:r>
    </w:p>
    <w:p w14:paraId="684693D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采购代理机构应当在评审结束后2个工作日内将评审报告送采购人确认。采购人应当在收到评审报告后5个工作日内，从评审报告提出的成交候选供应商</w:t>
      </w:r>
    </w:p>
    <w:p w14:paraId="40ADC74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中，按照排序由高到低的原则确定成交供应商。</w:t>
      </w:r>
    </w:p>
    <w:p w14:paraId="375AF3E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7.2评审结果公告</w:t>
      </w:r>
    </w:p>
    <w:p w14:paraId="6DA1627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7.2.1采购人应当在收到评审报告后5个工作日内确定成交供应商，并在供应商须知前附表规定的媒介公告成交结果。</w:t>
      </w:r>
    </w:p>
    <w:p w14:paraId="51EB4C1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7.2.2采购人或者采购代理机构应当自成交供应商确定之日起2个工作日内，发出成交通知书，并在省级以上人民政府财政部门指定的媒体上公告成交结果，同时公告竞争性磋商文件。</w:t>
      </w:r>
    </w:p>
    <w:p w14:paraId="144E39F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7.2.3供应商对成交结果提出质疑的，应在成交结果公告期限届满之日前按规定提出。采购人自收到异议之日后将在规定内作出答复；作出答复前，暂停政府采购活动。</w:t>
      </w:r>
    </w:p>
    <w:p w14:paraId="04B52FE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7.3成交通知</w:t>
      </w:r>
    </w:p>
    <w:p w14:paraId="4D09B93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采购人或者采购代理机构将自成交结果公告发布同时，以书面形式向成交供应商发出成交通知书。</w:t>
      </w:r>
    </w:p>
    <w:p w14:paraId="54F1A7A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7.4履约保证金</w:t>
      </w:r>
      <w:r>
        <w:rPr>
          <w:rFonts w:hint="eastAsia" w:ascii="宋体" w:hAnsi="宋体" w:eastAsia="宋体" w:cs="宋体"/>
          <w:i w:val="0"/>
          <w:iCs w:val="0"/>
          <w:color w:val="auto"/>
          <w:spacing w:val="0"/>
          <w:w w:val="100"/>
          <w:position w:val="0"/>
          <w:sz w:val="24"/>
          <w:szCs w:val="24"/>
          <w:highlight w:val="none"/>
          <w:lang w:eastAsia="zh-CN"/>
        </w:rPr>
        <w:t>：见供应商须知前附表</w:t>
      </w:r>
    </w:p>
    <w:p w14:paraId="5B84964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7.4.1在签订合同前，成交供应商应按供应商须知前附表规定的金额、担保形式和竞争性磋商文件第四章“合同条款及格式”规定的履约保证金格式或者事先经过采购人书面认可的履约保证金格式向采购人提交履约担保。联合体成交的，其履约保证金由牵头人递交，并应符合供应商须知前附表的规定。</w:t>
      </w:r>
    </w:p>
    <w:p w14:paraId="1A319A3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7.4.2成交供应商不能按要求提交履约保证金的，视为放弃成交，其磋商保证金不予退还，给采购人造成的损失超过磋商保证金数额的，成交供应商还应当对超过部分予以赔偿。</w:t>
      </w:r>
    </w:p>
    <w:p w14:paraId="3BB5063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7.5签订合同</w:t>
      </w:r>
    </w:p>
    <w:p w14:paraId="689398C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7.5.1采购人和成交供应商应当在响应文件有效期内并自成交通知书发出之日起7日内，根据竞争性磋商文件和成交供应商的响应文件订立书面合同。成交供应商无正当理由拒签合同或在签订合同时向采购人提出附加条件的，采购人取消其成交资格，其磋商保证金不予退还；给采购人造成的损失超过磋商保证金数额的，成交供应商还应当对超过部分予以赔偿。成交供应商拒绝与采购人签订合同的，采购人可以按照评审报告推荐的成交候选人名单排序，确定下一候选人为成交供应商，也可以重新开展政府采购活动。</w:t>
      </w:r>
    </w:p>
    <w:p w14:paraId="79F3888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7.5.2签约合同价的确定原则如下：</w:t>
      </w:r>
    </w:p>
    <w:p w14:paraId="1D41D1E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磋商时响应函中大写总价应为签约合同价。按照第三章“评审办法”的规定，如报价有算术错误的，修正的价格经供应商书面确认后，以修正后的总价为签约合同价。</w:t>
      </w:r>
    </w:p>
    <w:p w14:paraId="23B6DEF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7" w:name="_Toc14040"/>
      <w:r>
        <w:rPr>
          <w:rFonts w:hint="eastAsia" w:ascii="宋体" w:hAnsi="宋体" w:eastAsia="宋体" w:cs="宋体"/>
          <w:i w:val="0"/>
          <w:iCs w:val="0"/>
          <w:color w:val="auto"/>
          <w:spacing w:val="0"/>
          <w:w w:val="100"/>
          <w:position w:val="0"/>
          <w:sz w:val="24"/>
          <w:szCs w:val="24"/>
          <w:highlight w:val="none"/>
        </w:rPr>
        <w:t>8.重新评审、重新组织采购活动和终止采购</w:t>
      </w:r>
      <w:bookmarkEnd w:id="17"/>
    </w:p>
    <w:p w14:paraId="11E0218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8.1重新评审</w:t>
      </w:r>
    </w:p>
    <w:p w14:paraId="5F9B943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47A15E7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8.2重新开展采购活动</w:t>
      </w:r>
    </w:p>
    <w:p w14:paraId="388FD51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相关政府采购当事人有政府采购法第七十一条、第七十二条规定的违法行为之一，影响或者可能影响成交、成交结果的，依照下列规定处理：</w:t>
      </w:r>
    </w:p>
    <w:p w14:paraId="2CCB47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⑴未确定成交供应商的，终止本次政府采购活动，重新开展政府采购活动。</w:t>
      </w:r>
    </w:p>
    <w:p w14:paraId="634C9700">
      <w:pPr>
        <w:keepNext w:val="0"/>
        <w:keepLines w:val="0"/>
        <w:pageBreakBefore w:val="0"/>
        <w:widowControl/>
        <w:kinsoku w:val="0"/>
        <w:wordWrap/>
        <w:overflowPunct/>
        <w:topLinePunct w:val="0"/>
        <w:autoSpaceDE w:val="0"/>
        <w:autoSpaceDN w:val="0"/>
        <w:bidi w:val="0"/>
        <w:adjustRightInd w:val="0"/>
        <w:snapToGrid w:val="0"/>
        <w:spacing w:line="360" w:lineRule="auto"/>
        <w:ind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⑵已确定成交供应商但尚未签订政府采购合同的，成交结果无效，从合格的成交候选人中另行确定成交供应商；没有合格的成交候选人的，重新开展政</w:t>
      </w:r>
    </w:p>
    <w:p w14:paraId="70C3BA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府采购活动。</w:t>
      </w:r>
    </w:p>
    <w:p w14:paraId="76F146B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⑶政府采购合同已签订但尚未履行的，撤销合同，从合格的成交候选人中另行确定成交供应商；没有合格的成交候选人的，重新开展政府采购活动。</w:t>
      </w:r>
    </w:p>
    <w:p w14:paraId="554BC67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240" w:firstLineChars="10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⑷政府采购合同已经履行，给采购人、供应商造成损失的，由责任人承担赔偿责任。</w:t>
      </w:r>
    </w:p>
    <w:p w14:paraId="3675239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8.3终止采购</w:t>
      </w:r>
    </w:p>
    <w:p w14:paraId="069F9EB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出现下列情形之一的，采购人或者采购代理机构应当终止竞争性磋商采购活动，发布项目终止公告并说明原因，重新开展采购活动：</w:t>
      </w:r>
    </w:p>
    <w:p w14:paraId="36D3875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⑴因情况变化，不再符合规定的竞争性磋商采购方式适用情形的；</w:t>
      </w:r>
    </w:p>
    <w:p w14:paraId="4CD0816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⑵出现影响采购公正的违法、违规行为的；</w:t>
      </w:r>
    </w:p>
    <w:p w14:paraId="11BE262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⑶在采购过程中符合要求的供应商或者报价未超过采购预算的供应商不足3家的，但《政府采购竞争性磋商采购方式管理暂行办法》第二十一条第三款规定的情形除外。</w:t>
      </w:r>
    </w:p>
    <w:p w14:paraId="7880BA0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8" w:name="_Toc18806"/>
      <w:r>
        <w:rPr>
          <w:rFonts w:hint="eastAsia" w:ascii="宋体" w:hAnsi="宋体" w:eastAsia="宋体" w:cs="宋体"/>
          <w:i w:val="0"/>
          <w:iCs w:val="0"/>
          <w:color w:val="auto"/>
          <w:spacing w:val="0"/>
          <w:w w:val="100"/>
          <w:position w:val="0"/>
          <w:sz w:val="24"/>
          <w:szCs w:val="24"/>
          <w:highlight w:val="none"/>
        </w:rPr>
        <w:t>9.纪律和监督</w:t>
      </w:r>
      <w:bookmarkEnd w:id="18"/>
    </w:p>
    <w:p w14:paraId="5C0E64C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9.1对采购人的纪律要求</w:t>
      </w:r>
    </w:p>
    <w:p w14:paraId="20BCBA2B">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采购人不得泄漏政府采购活动中应当保密的情况和资料，不得与供应商串通损</w:t>
      </w:r>
    </w:p>
    <w:p w14:paraId="222404D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害国家利益、社会公共利益或者他人合法权益。</w:t>
      </w:r>
    </w:p>
    <w:p w14:paraId="1DA5F87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9.2对供应商的纪律要求</w:t>
      </w:r>
    </w:p>
    <w:p w14:paraId="3DDB5F6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供应商不得相互串通或者与采购人串通，不得向采购人或者磋商小组成员行贿谋取成交，不得以他人名义参与磋商或者以其他方式弄虚作假骗取成交；供应商不得以任何方式干扰、影响评审工作。</w:t>
      </w:r>
    </w:p>
    <w:p w14:paraId="2725378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9.3对磋商小组成员的纪律要求</w:t>
      </w:r>
    </w:p>
    <w:p w14:paraId="1A952D3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小组成员不得与任何供应商或者与评审结果有利害关系的人进行私下接触，不得收受供应商、中介人、其他利害关系人的财物或者其他好处，不得向他人透漏对响应文件的评审和比较、成交候选人的推荐情况以及评审有关的其他情况。在评审活动中，磋商小组成员不得应当回避而不回避，不得擅离职守，影响评审程序正常进行，不得向采购人征询其确定成交供应商的意向，不得接受任何单位或者个人明示或者暗示提出的倾向或者排斥特定供应商的要求，不得暗示或者诱导供应商作出澄清、说明或者接受供应商主动提出的澄清、说明；不得使用第三章“评审办法”没有规定的评审因素和标准进行评审。</w:t>
      </w:r>
    </w:p>
    <w:p w14:paraId="55F310B5">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9.4对与评审活动有关的工作人员的纪律要求</w:t>
      </w:r>
    </w:p>
    <w:p w14:paraId="1239141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与评审活动有关的工作人员不得收受他人的财物或者其他好处，不得向他人透漏对响应文件的评审和比较、成交候选人的推荐情况以及评审有关的其他情况。</w:t>
      </w:r>
    </w:p>
    <w:p w14:paraId="2363EB2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9.5投诉</w:t>
      </w:r>
    </w:p>
    <w:p w14:paraId="78F02D58">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次政府采购活动及其相关当事人应当接受有关行政监督部门依法实施的监督。质疑供应商对采购人、采购代理机构的答复不满意或者采购人、采购代理机构未在规定的时间内作出答复的，可以在答复期满后十五个工作日内向同级政府采购监督管理部门投诉。其中对竞争性磋商文件的内容、磋商程序、评审结果进行投诉的，应当按本章第2.4款、第7.2款的规定先向采购人或采购代理机构提出书面质疑后，方可向有关行政监督部门投诉。</w:t>
      </w:r>
    </w:p>
    <w:p w14:paraId="220A805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供应商的投诉应按照《政府采购供应商投诉处理办法》的规定进行。</w:t>
      </w:r>
    </w:p>
    <w:p w14:paraId="6C0AABA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outlineLvl w:val="1"/>
        <w:rPr>
          <w:rFonts w:hint="eastAsia" w:ascii="宋体" w:hAnsi="宋体" w:eastAsia="宋体" w:cs="宋体"/>
          <w:i w:val="0"/>
          <w:iCs w:val="0"/>
          <w:color w:val="auto"/>
          <w:spacing w:val="0"/>
          <w:w w:val="100"/>
          <w:position w:val="0"/>
          <w:sz w:val="24"/>
          <w:szCs w:val="24"/>
          <w:highlight w:val="none"/>
        </w:rPr>
      </w:pPr>
      <w:bookmarkStart w:id="19" w:name="_Toc22073"/>
      <w:r>
        <w:rPr>
          <w:rFonts w:hint="eastAsia" w:ascii="宋体" w:hAnsi="宋体" w:eastAsia="宋体" w:cs="宋体"/>
          <w:i w:val="0"/>
          <w:iCs w:val="0"/>
          <w:color w:val="auto"/>
          <w:spacing w:val="0"/>
          <w:w w:val="100"/>
          <w:position w:val="0"/>
          <w:sz w:val="24"/>
          <w:szCs w:val="24"/>
          <w:highlight w:val="none"/>
        </w:rPr>
        <w:t>10.需要补充的其他内容</w:t>
      </w:r>
      <w:bookmarkEnd w:id="19"/>
    </w:p>
    <w:p w14:paraId="48DDA54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10.1知识产权</w:t>
      </w:r>
    </w:p>
    <w:p w14:paraId="2FAD82E1">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有关知识产权的规定：见供应商须知前附表。</w:t>
      </w:r>
    </w:p>
    <w:p w14:paraId="38118BB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10.2同义词语</w:t>
      </w:r>
    </w:p>
    <w:p w14:paraId="5BF5F6A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本竞争性磋商文件的同义词语：见供应商须知前附表。</w:t>
      </w:r>
    </w:p>
    <w:p w14:paraId="4E5C274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10.3解释权</w:t>
      </w:r>
    </w:p>
    <w:p w14:paraId="4BE90737">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有关竞争性磋商文件的解释权：见供应商须知前附表。</w:t>
      </w:r>
    </w:p>
    <w:p w14:paraId="08D5F29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i w:val="0"/>
          <w:iCs w:val="0"/>
          <w:color w:val="auto"/>
          <w:spacing w:val="0"/>
          <w:w w:val="100"/>
          <w:position w:val="0"/>
          <w:sz w:val="24"/>
          <w:szCs w:val="24"/>
          <w:highlight w:val="none"/>
          <w:lang w:eastAsia="zh-CN"/>
        </w:rPr>
      </w:pPr>
      <w:r>
        <w:rPr>
          <w:rFonts w:hint="eastAsia" w:ascii="宋体" w:hAnsi="宋体" w:eastAsia="宋体" w:cs="宋体"/>
          <w:i w:val="0"/>
          <w:iCs w:val="0"/>
          <w:color w:val="auto"/>
          <w:spacing w:val="0"/>
          <w:w w:val="100"/>
          <w:position w:val="0"/>
          <w:sz w:val="24"/>
          <w:szCs w:val="24"/>
          <w:highlight w:val="none"/>
        </w:rPr>
        <w:t>10.4代理服务费</w:t>
      </w:r>
      <w:r>
        <w:rPr>
          <w:rFonts w:hint="eastAsia" w:ascii="宋体" w:hAnsi="宋体" w:eastAsia="宋体" w:cs="宋体"/>
          <w:i w:val="0"/>
          <w:iCs w:val="0"/>
          <w:color w:val="auto"/>
          <w:spacing w:val="0"/>
          <w:w w:val="100"/>
          <w:position w:val="0"/>
          <w:sz w:val="24"/>
          <w:szCs w:val="24"/>
          <w:highlight w:val="none"/>
          <w:lang w:eastAsia="zh-CN"/>
        </w:rPr>
        <w:t>：见供应商须知前附表</w:t>
      </w:r>
    </w:p>
    <w:p w14:paraId="0A3BE6C7">
      <w:pPr>
        <w:pStyle w:val="16"/>
        <w:ind w:left="0" w:leftChars="0" w:firstLine="0" w:firstLineChars="0"/>
        <w:rPr>
          <w:rFonts w:hint="eastAsia" w:ascii="宋体" w:hAnsi="宋体" w:eastAsia="宋体" w:cs="宋体"/>
          <w:i w:val="0"/>
          <w:iCs w:val="0"/>
          <w:color w:val="auto"/>
          <w:sz w:val="24"/>
          <w:szCs w:val="24"/>
          <w:highlight w:val="none"/>
        </w:rPr>
      </w:pPr>
    </w:p>
    <w:p w14:paraId="78E3EE0F">
      <w:pPr>
        <w:spacing w:line="226" w:lineRule="auto"/>
        <w:rPr>
          <w:rFonts w:hint="eastAsia" w:ascii="宋体" w:hAnsi="宋体" w:eastAsia="宋体" w:cs="宋体"/>
          <w:i w:val="0"/>
          <w:iCs w:val="0"/>
          <w:color w:val="auto"/>
          <w:spacing w:val="0"/>
          <w:w w:val="100"/>
          <w:position w:val="0"/>
          <w:sz w:val="24"/>
          <w:szCs w:val="24"/>
          <w:highlight w:val="none"/>
        </w:rPr>
        <w:sectPr>
          <w:pgSz w:w="11907" w:h="16840"/>
          <w:pgMar w:top="1428" w:right="1354" w:bottom="1017" w:left="1764" w:header="0" w:footer="852" w:gutter="0"/>
          <w:pgNumType w:fmt="decimal"/>
          <w:cols w:space="720" w:num="1"/>
        </w:sectPr>
      </w:pPr>
    </w:p>
    <w:p w14:paraId="30811AE1">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20" w:name="bookmark9"/>
      <w:bookmarkEnd w:id="20"/>
      <w:bookmarkStart w:id="21" w:name="_Toc5643"/>
      <w:r>
        <w:rPr>
          <w:rFonts w:hint="eastAsia" w:ascii="宋体" w:hAnsi="宋体" w:eastAsia="宋体" w:cs="宋体"/>
          <w:b/>
          <w:bCs/>
          <w:color w:val="auto"/>
          <w:sz w:val="36"/>
          <w:szCs w:val="36"/>
          <w:highlight w:val="none"/>
        </w:rPr>
        <w:t>第三章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评审办法</w:t>
      </w:r>
      <w:bookmarkEnd w:id="21"/>
    </w:p>
    <w:p w14:paraId="301AC326">
      <w:pPr>
        <w:adjustRightInd w:val="0"/>
        <w:snapToGrid w:val="0"/>
        <w:spacing w:before="60" w:beforeLines="25" w:after="60" w:afterLines="25" w:line="276" w:lineRule="auto"/>
        <w:jc w:val="center"/>
        <w:outlineLvl w:val="1"/>
        <w:rPr>
          <w:rFonts w:hint="eastAsia" w:ascii="宋体" w:hAnsi="宋体" w:eastAsia="宋体" w:cs="宋体"/>
          <w:b/>
          <w:i w:val="0"/>
          <w:iCs w:val="0"/>
          <w:color w:val="auto"/>
          <w:sz w:val="32"/>
          <w:szCs w:val="32"/>
          <w:highlight w:val="none"/>
          <w:lang w:eastAsia="zh-CN"/>
        </w:rPr>
      </w:pPr>
      <w:bookmarkStart w:id="22" w:name="_Toc18549"/>
      <w:r>
        <w:rPr>
          <w:rFonts w:hint="eastAsia" w:ascii="宋体" w:hAnsi="宋体" w:eastAsia="宋体" w:cs="宋体"/>
          <w:b/>
          <w:i w:val="0"/>
          <w:iCs w:val="0"/>
          <w:color w:val="auto"/>
          <w:sz w:val="32"/>
          <w:szCs w:val="32"/>
          <w:highlight w:val="none"/>
        </w:rPr>
        <w:t>评审办法前附表</w:t>
      </w:r>
      <w:r>
        <w:rPr>
          <w:rFonts w:hint="eastAsia" w:ascii="宋体" w:hAnsi="宋体" w:eastAsia="宋体" w:cs="宋体"/>
          <w:b/>
          <w:i w:val="0"/>
          <w:iCs w:val="0"/>
          <w:color w:val="auto"/>
          <w:sz w:val="32"/>
          <w:szCs w:val="32"/>
          <w:highlight w:val="none"/>
          <w:lang w:eastAsia="zh-CN"/>
        </w:rPr>
        <w:t>（</w:t>
      </w:r>
      <w:r>
        <w:rPr>
          <w:rFonts w:hint="eastAsia" w:ascii="宋体" w:hAnsi="宋体" w:eastAsia="宋体" w:cs="宋体"/>
          <w:b/>
          <w:i w:val="0"/>
          <w:iCs w:val="0"/>
          <w:color w:val="auto"/>
          <w:sz w:val="32"/>
          <w:szCs w:val="32"/>
          <w:highlight w:val="none"/>
          <w:lang w:val="en-US" w:eastAsia="zh-CN"/>
        </w:rPr>
        <w:t>一</w:t>
      </w:r>
      <w:r>
        <w:rPr>
          <w:rFonts w:hint="eastAsia" w:ascii="宋体" w:hAnsi="宋体" w:eastAsia="宋体" w:cs="宋体"/>
          <w:b/>
          <w:i w:val="0"/>
          <w:iCs w:val="0"/>
          <w:color w:val="auto"/>
          <w:sz w:val="32"/>
          <w:szCs w:val="32"/>
          <w:highlight w:val="none"/>
          <w:lang w:eastAsia="zh-CN"/>
        </w:rPr>
        <w:t>）</w:t>
      </w:r>
      <w:bookmarkEnd w:id="22"/>
    </w:p>
    <w:tbl>
      <w:tblPr>
        <w:tblStyle w:val="17"/>
        <w:tblW w:w="89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1500"/>
        <w:gridCol w:w="6581"/>
      </w:tblGrid>
      <w:tr w14:paraId="6B00E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3" w:hRule="atLeast"/>
          <w:tblHeader/>
          <w:jc w:val="center"/>
        </w:trPr>
        <w:tc>
          <w:tcPr>
            <w:tcW w:w="857"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80F4F35">
            <w:pPr>
              <w:adjustRightInd w:val="0"/>
              <w:snapToGrid w:val="0"/>
              <w:spacing w:before="60" w:beforeLines="25" w:after="60" w:afterLines="25" w:line="276"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条款号</w:t>
            </w: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50A0587">
            <w:pPr>
              <w:adjustRightInd w:val="0"/>
              <w:snapToGrid w:val="0"/>
              <w:spacing w:before="60" w:beforeLines="25" w:after="60" w:afterLines="25" w:line="276"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评审因素</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879A442">
            <w:pPr>
              <w:adjustRightInd w:val="0"/>
              <w:snapToGrid w:val="0"/>
              <w:spacing w:before="60" w:beforeLines="25" w:after="60" w:afterLines="25" w:line="276"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评审标准</w:t>
            </w:r>
          </w:p>
        </w:tc>
      </w:tr>
      <w:tr w14:paraId="19869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7" w:hRule="atLeast"/>
          <w:jc w:val="center"/>
        </w:trPr>
        <w:tc>
          <w:tcPr>
            <w:tcW w:w="857" w:type="dxa"/>
            <w:vMerge w:val="restart"/>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F152BAB">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形式评审标准</w:t>
            </w: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4FA2684">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供应商名称</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D01B6EB">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与营业执照、资质证书、安全生产许可证一致。</w:t>
            </w:r>
          </w:p>
        </w:tc>
      </w:tr>
      <w:tr w14:paraId="7C151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jc w:val="center"/>
        </w:trPr>
        <w:tc>
          <w:tcPr>
            <w:tcW w:w="857"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243D678">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4EA04BB1">
            <w:pPr>
              <w:keepNext w:val="0"/>
              <w:keepLines w:val="0"/>
              <w:pageBreakBefore w:val="0"/>
              <w:kinsoku/>
              <w:wordWrap/>
              <w:overflowPunct/>
              <w:topLinePunct w:val="0"/>
              <w:bidi w:val="0"/>
              <w:snapToGrid/>
              <w:spacing w:line="300" w:lineRule="exact"/>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en-US" w:eastAsia="zh-CN"/>
              </w:rPr>
              <w:t>投标</w:t>
            </w:r>
            <w:r>
              <w:rPr>
                <w:rFonts w:hint="eastAsia" w:ascii="宋体" w:hAnsi="宋体" w:eastAsia="宋体" w:cs="宋体"/>
                <w:bCs/>
                <w:i w:val="0"/>
                <w:iCs w:val="0"/>
                <w:color w:val="auto"/>
                <w:sz w:val="24"/>
                <w:szCs w:val="24"/>
                <w:highlight w:val="none"/>
              </w:rPr>
              <w:t>函签字盖章</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623835F">
            <w:pPr>
              <w:keepNext w:val="0"/>
              <w:keepLines w:val="0"/>
              <w:pageBreakBefore w:val="0"/>
              <w:kinsoku/>
              <w:wordWrap/>
              <w:overflowPunct/>
              <w:topLinePunct w:val="0"/>
              <w:bidi w:val="0"/>
              <w:snapToGrid/>
              <w:spacing w:line="300" w:lineRule="exact"/>
              <w:jc w:val="left"/>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rPr>
              <w:t>有法定代表人或其委托代理人签字</w:t>
            </w:r>
            <w:r>
              <w:rPr>
                <w:rFonts w:hint="eastAsia" w:ascii="宋体" w:hAnsi="宋体" w:eastAsia="宋体" w:cs="宋体"/>
                <w:bCs/>
                <w:i w:val="0"/>
                <w:iCs w:val="0"/>
                <w:color w:val="auto"/>
                <w:sz w:val="24"/>
                <w:szCs w:val="24"/>
                <w:highlight w:val="none"/>
                <w:lang w:val="en-US" w:eastAsia="zh-CN"/>
              </w:rPr>
              <w:t>或加盖</w:t>
            </w:r>
            <w:r>
              <w:rPr>
                <w:rFonts w:hint="eastAsia" w:ascii="宋体" w:hAnsi="宋体" w:eastAsia="宋体" w:cs="宋体"/>
                <w:bCs/>
                <w:i w:val="0"/>
                <w:iCs w:val="0"/>
                <w:color w:val="auto"/>
                <w:sz w:val="24"/>
                <w:szCs w:val="24"/>
                <w:highlight w:val="none"/>
              </w:rPr>
              <w:t>单位章</w:t>
            </w:r>
            <w:r>
              <w:rPr>
                <w:rFonts w:hint="eastAsia" w:ascii="宋体" w:hAnsi="宋体" w:eastAsia="宋体" w:cs="宋体"/>
                <w:bCs/>
                <w:i w:val="0"/>
                <w:iCs w:val="0"/>
                <w:color w:val="auto"/>
                <w:sz w:val="24"/>
                <w:szCs w:val="24"/>
                <w:highlight w:val="none"/>
                <w:lang w:val="en-US" w:eastAsia="zh-CN"/>
              </w:rPr>
              <w:t>由法定代表人签字的，应附法定代表人身份证明，由代理人签字的，应附授权委托书，身份证明或授权委托书应符合第八章“投标文件格式”的规定</w:t>
            </w:r>
            <w:r>
              <w:rPr>
                <w:rFonts w:hint="eastAsia" w:ascii="宋体" w:hAnsi="宋体" w:eastAsia="宋体" w:cs="宋体"/>
                <w:bCs/>
                <w:i w:val="0"/>
                <w:iCs w:val="0"/>
                <w:color w:val="auto"/>
                <w:sz w:val="24"/>
                <w:szCs w:val="24"/>
                <w:highlight w:val="none"/>
              </w:rPr>
              <w:t>。</w:t>
            </w:r>
          </w:p>
        </w:tc>
      </w:tr>
      <w:tr w14:paraId="7E5A6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3" w:hRule="atLeast"/>
          <w:jc w:val="center"/>
        </w:trPr>
        <w:tc>
          <w:tcPr>
            <w:tcW w:w="857"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D019FA5">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694B3220">
            <w:pPr>
              <w:keepNext w:val="0"/>
              <w:keepLines w:val="0"/>
              <w:pageBreakBefore w:val="0"/>
              <w:kinsoku/>
              <w:wordWrap/>
              <w:overflowPunct/>
              <w:topLinePunct w:val="0"/>
              <w:bidi w:val="0"/>
              <w:snapToGrid/>
              <w:spacing w:line="300" w:lineRule="exact"/>
              <w:jc w:val="center"/>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bCs/>
                <w:i w:val="0"/>
                <w:iCs w:val="0"/>
                <w:color w:val="auto"/>
                <w:sz w:val="24"/>
                <w:szCs w:val="24"/>
                <w:highlight w:val="none"/>
                <w:lang w:eastAsia="zh-CN"/>
              </w:rPr>
              <w:t>响应</w:t>
            </w:r>
            <w:r>
              <w:rPr>
                <w:rFonts w:hint="eastAsia" w:ascii="宋体" w:hAnsi="宋体" w:eastAsia="宋体" w:cs="宋体"/>
                <w:bCs/>
                <w:i w:val="0"/>
                <w:iCs w:val="0"/>
                <w:color w:val="auto"/>
                <w:sz w:val="24"/>
                <w:szCs w:val="24"/>
                <w:highlight w:val="none"/>
              </w:rPr>
              <w:t>文件格式</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7BFE97A">
            <w:pPr>
              <w:keepNext w:val="0"/>
              <w:keepLines w:val="0"/>
              <w:pageBreakBefore w:val="0"/>
              <w:kinsoku/>
              <w:wordWrap/>
              <w:overflowPunct/>
              <w:topLinePunct w:val="0"/>
              <w:bidi w:val="0"/>
              <w:snapToGrid/>
              <w:spacing w:line="300" w:lineRule="exact"/>
              <w:jc w:val="left"/>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bCs/>
                <w:i w:val="0"/>
                <w:iCs w:val="0"/>
                <w:color w:val="auto"/>
                <w:sz w:val="24"/>
                <w:szCs w:val="24"/>
                <w:highlight w:val="none"/>
              </w:rPr>
              <w:t>符合</w:t>
            </w:r>
            <w:r>
              <w:rPr>
                <w:rFonts w:hint="eastAsia" w:ascii="宋体" w:hAnsi="宋体" w:eastAsia="宋体" w:cs="宋体"/>
                <w:bCs/>
                <w:i w:val="0"/>
                <w:iCs w:val="0"/>
                <w:color w:val="auto"/>
                <w:sz w:val="24"/>
                <w:szCs w:val="24"/>
                <w:highlight w:val="none"/>
                <w:lang w:val="en-US" w:eastAsia="zh-CN"/>
              </w:rPr>
              <w:t>第八章“磋商投标文件格式”的要求</w:t>
            </w:r>
            <w:r>
              <w:rPr>
                <w:rFonts w:hint="eastAsia" w:ascii="宋体" w:hAnsi="宋体" w:eastAsia="宋体" w:cs="宋体"/>
                <w:bCs/>
                <w:i w:val="0"/>
                <w:iCs w:val="0"/>
                <w:color w:val="auto"/>
                <w:sz w:val="24"/>
                <w:szCs w:val="24"/>
                <w:highlight w:val="none"/>
              </w:rPr>
              <w:t>。</w:t>
            </w:r>
          </w:p>
        </w:tc>
      </w:tr>
      <w:tr w14:paraId="2E27A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jc w:val="center"/>
        </w:trPr>
        <w:tc>
          <w:tcPr>
            <w:tcW w:w="857" w:type="dxa"/>
            <w:vMerge w:val="continue"/>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302138FD">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785FC30">
            <w:pPr>
              <w:keepNext w:val="0"/>
              <w:keepLines w:val="0"/>
              <w:pageBreakBefore w:val="0"/>
              <w:kinsoku/>
              <w:wordWrap/>
              <w:overflowPunct/>
              <w:topLinePunct w:val="0"/>
              <w:bidi w:val="0"/>
              <w:snapToGrid/>
              <w:spacing w:line="300" w:lineRule="exact"/>
              <w:jc w:val="center"/>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zh-CN"/>
              </w:rPr>
              <w:t>报价唯一</w:t>
            </w:r>
          </w:p>
        </w:tc>
        <w:tc>
          <w:tcPr>
            <w:tcW w:w="6581"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A9CD86F">
            <w:pPr>
              <w:keepNext w:val="0"/>
              <w:keepLines w:val="0"/>
              <w:pageBreakBefore w:val="0"/>
              <w:kinsoku/>
              <w:wordWrap/>
              <w:overflowPunct/>
              <w:topLinePunct w:val="0"/>
              <w:bidi w:val="0"/>
              <w:snapToGrid/>
              <w:spacing w:line="300" w:lineRule="exact"/>
              <w:jc w:val="left"/>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bCs/>
                <w:i w:val="0"/>
                <w:iCs w:val="0"/>
                <w:color w:val="auto"/>
                <w:sz w:val="24"/>
                <w:szCs w:val="24"/>
                <w:highlight w:val="none"/>
                <w:lang w:val="zh-CN"/>
              </w:rPr>
              <w:t>只能有一个有效报价。</w:t>
            </w:r>
          </w:p>
        </w:tc>
      </w:tr>
      <w:tr w14:paraId="353ADF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8" w:hRule="atLeast"/>
          <w:jc w:val="center"/>
        </w:trPr>
        <w:tc>
          <w:tcPr>
            <w:tcW w:w="857"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2FCE3BBF">
            <w:pPr>
              <w:adjustRightInd w:val="0"/>
              <w:snapToGrid w:val="0"/>
              <w:spacing w:before="60" w:beforeLines="25" w:after="60" w:afterLines="25" w:line="300"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资格评审标准</w:t>
            </w: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8013386">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营业执照</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7C94C503">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具备有效的营业执照。</w:t>
            </w:r>
          </w:p>
          <w:p w14:paraId="09153A6A">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投标文件内附营业执照（副本）复印件加盖投标单位公章。</w:t>
            </w:r>
          </w:p>
        </w:tc>
      </w:tr>
      <w:tr w14:paraId="6F1B2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1"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10EBA6DC">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CC61286">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法人授权委托书</w:t>
            </w:r>
          </w:p>
          <w:p w14:paraId="3AA748D6">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rPr>
              <w:t>（法定代表人身份证明）</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6EB3CB39">
            <w:pPr>
              <w:autoSpaceDE w:val="0"/>
              <w:autoSpaceDN w:val="0"/>
              <w:adjustRightInd w:val="0"/>
              <w:snapToGrid w:val="0"/>
              <w:spacing w:before="60" w:beforeLines="25" w:after="60" w:afterLines="25" w:line="276" w:lineRule="auto"/>
              <w:jc w:val="left"/>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若投标代表人为非法定代表人须按招标文件格式提供有法定代表人及委托代理人签字并加盖公章的法人授权委托书。</w:t>
            </w:r>
          </w:p>
          <w:p w14:paraId="6D3F27F4">
            <w:pPr>
              <w:autoSpaceDE w:val="0"/>
              <w:autoSpaceDN w:val="0"/>
              <w:adjustRightInd w:val="0"/>
              <w:snapToGrid w:val="0"/>
              <w:spacing w:before="60" w:beforeLines="25" w:after="60" w:afterLines="25" w:line="276" w:lineRule="auto"/>
              <w:jc w:val="left"/>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rPr>
              <w:t>（若投标代表为法定代表人，须按招标文件格式提供有法人签字并加盖公章的法定代表人身份证明）</w:t>
            </w:r>
          </w:p>
        </w:tc>
      </w:tr>
      <w:tr w14:paraId="718A6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8"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48DFA349">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right w:val="single" w:color="auto" w:sz="4" w:space="0"/>
            </w:tcBorders>
            <w:noWrap w:val="0"/>
            <w:tcMar>
              <w:left w:w="57" w:type="dxa"/>
              <w:right w:w="57" w:type="dxa"/>
            </w:tcMar>
            <w:vAlign w:val="center"/>
          </w:tcPr>
          <w:p w14:paraId="2C9B47FD">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财务状况</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4B6A38EA">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符合第二章“投标人须知”规定</w:t>
            </w:r>
          </w:p>
          <w:p w14:paraId="7FBAE5BF">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供应商须提供近三年（2021年-2023年）经会计师事务所出具的财务审计报告或财务报表。（当投标单位成立不足三年的，提供从成立日期起至2023年之间的经会计师事务所出具的财务审计报告或财务报表，2024年12月31日以后新成立的公司须提供一份财务状况良好承诺书）</w:t>
            </w:r>
          </w:p>
        </w:tc>
      </w:tr>
      <w:tr w14:paraId="004A8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3"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4F50A9B2">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right w:val="single" w:color="auto" w:sz="4" w:space="0"/>
            </w:tcBorders>
            <w:noWrap w:val="0"/>
            <w:tcMar>
              <w:left w:w="57" w:type="dxa"/>
              <w:right w:w="57" w:type="dxa"/>
            </w:tcMar>
            <w:vAlign w:val="center"/>
          </w:tcPr>
          <w:p w14:paraId="1990F317">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外埠入吉建筑业企业信息登记</w:t>
            </w:r>
          </w:p>
        </w:tc>
        <w:tc>
          <w:tcPr>
            <w:tcW w:w="6581" w:type="dxa"/>
            <w:tcBorders>
              <w:top w:val="single" w:color="auto" w:sz="4" w:space="0"/>
              <w:left w:val="single" w:color="auto" w:sz="4" w:space="0"/>
              <w:right w:val="single" w:color="auto" w:sz="4" w:space="0"/>
            </w:tcBorders>
            <w:noWrap w:val="0"/>
            <w:vAlign w:val="center"/>
          </w:tcPr>
          <w:p w14:paraId="281E04E0">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外省入吉建筑业企业在我省承揽项目应执行吉林省现行关于外埠企业入吉备案的相关规定办理入吉企业信息登记。</w:t>
            </w:r>
            <w:r>
              <w:rPr>
                <w:rFonts w:hint="eastAsia" w:ascii="宋体" w:hAnsi="宋体" w:eastAsia="宋体" w:cs="宋体"/>
                <w:b/>
                <w:i w:val="0"/>
                <w:iCs w:val="0"/>
                <w:color w:val="auto"/>
                <w:sz w:val="24"/>
                <w:szCs w:val="24"/>
                <w:highlight w:val="none"/>
                <w:lang w:val="zh-CN"/>
              </w:rPr>
              <w:t>响应文件内附“吉林省建筑市场监管公共服务平台”入吉企业官网截图打印件并加盖公章。</w:t>
            </w:r>
          </w:p>
        </w:tc>
      </w:tr>
      <w:tr w14:paraId="1E521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4"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3C3C7D29">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right w:val="single" w:color="auto" w:sz="4" w:space="0"/>
            </w:tcBorders>
            <w:noWrap w:val="0"/>
            <w:tcMar>
              <w:left w:w="57" w:type="dxa"/>
              <w:right w:w="57" w:type="dxa"/>
            </w:tcMar>
            <w:vAlign w:val="center"/>
          </w:tcPr>
          <w:p w14:paraId="2304CF46">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其他要求</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3B276BF0">
            <w:pPr>
              <w:autoSpaceDE w:val="0"/>
              <w:autoSpaceDN w:val="0"/>
              <w:adjustRightInd w:val="0"/>
              <w:snapToGrid w:val="0"/>
              <w:spacing w:before="60" w:beforeLines="25" w:after="60" w:afterLines="25" w:line="276" w:lineRule="auto"/>
              <w:jc w:val="left"/>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投标人具有依法缴纳税收和依法缴纳社会保障资金的良好记录，投标人须提供202</w:t>
            </w:r>
            <w:r>
              <w:rPr>
                <w:rFonts w:hint="eastAsia" w:ascii="宋体" w:hAnsi="宋体" w:eastAsia="宋体" w:cs="宋体"/>
                <w:i w:val="0"/>
                <w:iCs w:val="0"/>
                <w:color w:val="auto"/>
                <w:sz w:val="24"/>
                <w:szCs w:val="24"/>
                <w:highlight w:val="none"/>
                <w:lang w:val="zh-CN" w:eastAsia="zh-CN"/>
              </w:rPr>
              <w:t>4</w:t>
            </w:r>
            <w:r>
              <w:rPr>
                <w:rFonts w:hint="eastAsia" w:ascii="宋体" w:hAnsi="宋体" w:eastAsia="宋体" w:cs="宋体"/>
                <w:i w:val="0"/>
                <w:iCs w:val="0"/>
                <w:color w:val="auto"/>
                <w:sz w:val="24"/>
                <w:szCs w:val="24"/>
                <w:highlight w:val="none"/>
                <w:lang w:val="zh-CN"/>
              </w:rPr>
              <w:t>年内任意一个月依法缴纳税收的证明材料及依法缴纳社会保障资金的证明材料；（依法免税的投标人，应提供相应文件证明其依法免税；依法不需要缴纳社会保障资金的投标人，应提供相应文件证明其依法不需要缴纳社会保障资金）</w:t>
            </w:r>
          </w:p>
        </w:tc>
      </w:tr>
      <w:tr w14:paraId="09302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4"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744D6172">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right w:val="single" w:color="auto" w:sz="4" w:space="0"/>
            </w:tcBorders>
            <w:noWrap w:val="0"/>
            <w:tcMar>
              <w:left w:w="57" w:type="dxa"/>
              <w:right w:w="57" w:type="dxa"/>
            </w:tcMar>
            <w:vAlign w:val="center"/>
          </w:tcPr>
          <w:p w14:paraId="568559E7">
            <w:pPr>
              <w:autoSpaceDE w:val="0"/>
              <w:autoSpaceDN w:val="0"/>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信誉要求</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60115140">
            <w:pPr>
              <w:pStyle w:val="31"/>
              <w:spacing w:before="22" w:line="228" w:lineRule="auto"/>
              <w:ind w:left="112"/>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snapToGrid w:val="0"/>
                <w:color w:val="auto"/>
                <w:kern w:val="0"/>
                <w:sz w:val="24"/>
                <w:szCs w:val="24"/>
                <w:highlight w:val="none"/>
                <w:lang w:val="en-US" w:eastAsia="zh-CN" w:bidi="ar-SA"/>
              </w:rPr>
              <w:t>1.投标人须在“中国裁判文书网”（wenshu.court.gov.cn）自行查询本公司以及其法定代表人、拟委任的项目经理行贿犯罪记录，且提供查询页面截图并加盖公章作为无行贿犯罪记录证明。</w:t>
            </w:r>
          </w:p>
          <w:p w14:paraId="51D3898E">
            <w:pPr>
              <w:pStyle w:val="31"/>
              <w:spacing w:before="22" w:line="228" w:lineRule="auto"/>
              <w:ind w:left="112"/>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snapToGrid w:val="0"/>
                <w:color w:val="auto"/>
                <w:kern w:val="0"/>
                <w:sz w:val="24"/>
                <w:szCs w:val="24"/>
                <w:highlight w:val="none"/>
                <w:lang w:val="en-US" w:eastAsia="zh-CN" w:bidi="ar-SA"/>
              </w:rPr>
              <w:t>2.拒绝列入政府取消投标资格记录期间的企业或个人投标,</w:t>
            </w:r>
          </w:p>
          <w:p w14:paraId="50C7630A">
            <w:pPr>
              <w:pStyle w:val="31"/>
              <w:spacing w:before="22" w:line="228" w:lineRule="auto"/>
              <w:ind w:left="112"/>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snapToGrid w:val="0"/>
                <w:color w:val="auto"/>
                <w:kern w:val="0"/>
                <w:sz w:val="24"/>
                <w:szCs w:val="24"/>
                <w:highlight w:val="none"/>
                <w:lang w:val="en-US" w:eastAsia="zh-CN" w:bidi="ar-SA"/>
              </w:rPr>
              <w:t>3.在“信用中国”网站（www.creditchina.gov.cn）、中国政府采购网（www.ccgp.gov.cn）对列入失信被执行人、重大税收违法案件当事人名单、政府采购严重违法失信行为记录名单的投标人，拒绝其参与投标。</w:t>
            </w:r>
          </w:p>
          <w:p w14:paraId="4086C93E">
            <w:pPr>
              <w:pStyle w:val="31"/>
              <w:spacing w:before="22" w:line="228" w:lineRule="auto"/>
              <w:ind w:left="112"/>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snapToGrid w:val="0"/>
                <w:color w:val="auto"/>
                <w:kern w:val="0"/>
                <w:sz w:val="24"/>
                <w:szCs w:val="24"/>
                <w:highlight w:val="none"/>
                <w:lang w:val="en-US" w:eastAsia="zh-CN" w:bidi="ar-SA"/>
              </w:rPr>
              <w:t>4.单位负责人为同一人或者存在直接控股、管理关系的不同投标人，不得参加同一合同项下的政府采购活动，否则，相关投标均无效。</w:t>
            </w:r>
          </w:p>
          <w:p w14:paraId="4962E9DE">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b/>
                <w:i w:val="0"/>
                <w:iCs w:val="0"/>
                <w:color w:val="auto"/>
                <w:sz w:val="24"/>
                <w:szCs w:val="24"/>
                <w:highlight w:val="none"/>
              </w:rPr>
              <w:t>响应文件</w:t>
            </w:r>
            <w:r>
              <w:rPr>
                <w:rFonts w:hint="eastAsia" w:ascii="宋体" w:hAnsi="宋体" w:eastAsia="宋体" w:cs="宋体"/>
                <w:b/>
                <w:bCs/>
                <w:i w:val="0"/>
                <w:iCs w:val="0"/>
                <w:color w:val="auto"/>
                <w:sz w:val="24"/>
                <w:szCs w:val="24"/>
                <w:highlight w:val="none"/>
                <w:lang w:val="zh-CN"/>
              </w:rPr>
              <w:t>内</w:t>
            </w:r>
            <w:r>
              <w:rPr>
                <w:rFonts w:hint="eastAsia" w:ascii="宋体" w:hAnsi="宋体" w:eastAsia="宋体" w:cs="宋体"/>
                <w:b/>
                <w:bCs/>
                <w:i w:val="0"/>
                <w:iCs w:val="0"/>
                <w:color w:val="auto"/>
                <w:sz w:val="24"/>
                <w:szCs w:val="24"/>
                <w:highlight w:val="none"/>
                <w:lang w:val="en-US" w:eastAsia="zh-CN"/>
              </w:rPr>
              <w:t>第2、第4项</w:t>
            </w:r>
            <w:r>
              <w:rPr>
                <w:rFonts w:hint="eastAsia" w:ascii="宋体" w:hAnsi="宋体" w:eastAsia="宋体" w:cs="宋体"/>
                <w:b/>
                <w:bCs/>
                <w:i w:val="0"/>
                <w:iCs w:val="0"/>
                <w:color w:val="auto"/>
                <w:sz w:val="24"/>
                <w:szCs w:val="24"/>
                <w:highlight w:val="none"/>
                <w:lang w:val="zh-CN"/>
              </w:rPr>
              <w:t>附由法定代表人或授权委托人签字或盖章并加盖公章的承诺书（</w:t>
            </w:r>
            <w:r>
              <w:rPr>
                <w:rFonts w:hint="eastAsia" w:ascii="宋体" w:hAnsi="宋体" w:eastAsia="宋体" w:cs="宋体"/>
                <w:b/>
                <w:bCs/>
                <w:i w:val="0"/>
                <w:iCs w:val="0"/>
                <w:color w:val="auto"/>
                <w:sz w:val="24"/>
                <w:szCs w:val="24"/>
                <w:highlight w:val="none"/>
                <w:lang w:val="en-US" w:eastAsia="zh-CN"/>
              </w:rPr>
              <w:t>格式自拟</w:t>
            </w:r>
            <w:r>
              <w:rPr>
                <w:rFonts w:hint="eastAsia" w:ascii="宋体" w:hAnsi="宋体" w:eastAsia="宋体" w:cs="宋体"/>
                <w:b/>
                <w:bCs/>
                <w:i w:val="0"/>
                <w:iCs w:val="0"/>
                <w:color w:val="auto"/>
                <w:sz w:val="24"/>
                <w:szCs w:val="24"/>
                <w:highlight w:val="none"/>
                <w:lang w:val="zh-CN"/>
              </w:rPr>
              <w:t>）。</w:t>
            </w:r>
          </w:p>
        </w:tc>
      </w:tr>
      <w:tr w14:paraId="0FC01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3" w:hRule="atLeast"/>
          <w:jc w:val="center"/>
        </w:trPr>
        <w:tc>
          <w:tcPr>
            <w:tcW w:w="857" w:type="dxa"/>
            <w:vMerge w:val="restart"/>
            <w:tcBorders>
              <w:top w:val="single" w:color="auto" w:sz="4" w:space="0"/>
              <w:left w:val="single" w:color="auto" w:sz="4" w:space="0"/>
              <w:right w:val="single" w:color="auto" w:sz="4" w:space="0"/>
            </w:tcBorders>
            <w:noWrap w:val="0"/>
            <w:tcMar>
              <w:left w:w="57" w:type="dxa"/>
              <w:right w:w="57" w:type="dxa"/>
            </w:tcMar>
            <w:vAlign w:val="center"/>
          </w:tcPr>
          <w:p w14:paraId="49FEFBF3">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响应性评审标准</w:t>
            </w: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238BAFF6">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zh-CN"/>
              </w:rPr>
              <w:t>投标报价</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5C35874C">
            <w:pPr>
              <w:adjustRightInd w:val="0"/>
              <w:snapToGrid w:val="0"/>
              <w:spacing w:before="60" w:beforeLines="25" w:after="60" w:afterLines="25" w:line="276" w:lineRule="auto"/>
              <w:jc w:val="both"/>
              <w:rPr>
                <w:rFonts w:hint="eastAsia" w:ascii="宋体" w:hAnsi="宋体" w:eastAsia="宋体" w:cs="宋体"/>
                <w:i w:val="0"/>
                <w:iCs w:val="0"/>
                <w:color w:val="auto"/>
                <w:sz w:val="24"/>
                <w:szCs w:val="24"/>
                <w:highlight w:val="none"/>
                <w:lang w:val="en-US"/>
              </w:rPr>
            </w:pPr>
            <w:r>
              <w:rPr>
                <w:rFonts w:hint="eastAsia" w:ascii="宋体" w:hAnsi="宋体" w:eastAsia="宋体" w:cs="宋体"/>
                <w:i w:val="0"/>
                <w:iCs w:val="0"/>
                <w:color w:val="auto"/>
                <w:sz w:val="24"/>
                <w:szCs w:val="24"/>
                <w:highlight w:val="none"/>
                <w:lang w:val="en-US" w:eastAsia="zh-CN"/>
              </w:rPr>
              <w:t>符合</w:t>
            </w:r>
            <w:r>
              <w:rPr>
                <w:rFonts w:hint="eastAsia" w:ascii="宋体" w:hAnsi="宋体" w:eastAsia="宋体" w:cs="宋体"/>
                <w:i w:val="0"/>
                <w:iCs w:val="0"/>
                <w:color w:val="auto"/>
                <w:sz w:val="24"/>
                <w:szCs w:val="24"/>
                <w:highlight w:val="none"/>
                <w:lang w:val="zh-CN"/>
              </w:rPr>
              <w:t>第二章“投标人须知前附表”规定。</w:t>
            </w:r>
            <w:r>
              <w:rPr>
                <w:rFonts w:hint="eastAsia" w:ascii="宋体" w:hAnsi="宋体" w:eastAsia="宋体" w:cs="宋体"/>
                <w:i w:val="0"/>
                <w:iCs w:val="0"/>
                <w:color w:val="auto"/>
                <w:sz w:val="24"/>
                <w:szCs w:val="24"/>
                <w:highlight w:val="none"/>
                <w:lang w:val="zh-CN" w:eastAsia="zh-CN"/>
              </w:rPr>
              <w:t>投标人的投标报价不得超过最高投标限价。</w:t>
            </w:r>
          </w:p>
        </w:tc>
      </w:tr>
      <w:tr w14:paraId="0B92FD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3"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5892075D">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14003B4B">
            <w:pPr>
              <w:autoSpaceDE w:val="0"/>
              <w:autoSpaceDN w:val="0"/>
              <w:adjustRightInd w:val="0"/>
              <w:snapToGrid w:val="0"/>
              <w:spacing w:line="340" w:lineRule="exact"/>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投标内容</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03CB569A">
            <w:pPr>
              <w:autoSpaceDE w:val="0"/>
              <w:autoSpaceDN w:val="0"/>
              <w:adjustRightInd w:val="0"/>
              <w:snapToGrid w:val="0"/>
              <w:spacing w:line="340" w:lineRule="exact"/>
              <w:jc w:val="left"/>
              <w:rPr>
                <w:rFonts w:hint="eastAsia" w:ascii="宋体" w:hAnsi="宋体" w:eastAsia="宋体" w:cs="宋体"/>
                <w:bCs/>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符合</w:t>
            </w:r>
            <w:r>
              <w:rPr>
                <w:rFonts w:hint="eastAsia" w:ascii="宋体" w:hAnsi="宋体" w:eastAsia="宋体" w:cs="宋体"/>
                <w:i w:val="0"/>
                <w:iCs w:val="0"/>
                <w:color w:val="auto"/>
                <w:sz w:val="24"/>
                <w:szCs w:val="24"/>
                <w:highlight w:val="none"/>
                <w:lang w:val="zh-CN"/>
              </w:rPr>
              <w:t>第二章“投标人须知前附表”规定</w:t>
            </w:r>
          </w:p>
        </w:tc>
      </w:tr>
      <w:tr w14:paraId="3E75D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6"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193FDA91">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B604787">
            <w:pPr>
              <w:autoSpaceDE w:val="0"/>
              <w:autoSpaceDN w:val="0"/>
              <w:adjustRightInd w:val="0"/>
              <w:snapToGrid w:val="0"/>
              <w:spacing w:line="3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计划工期</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04AD54DC">
            <w:pPr>
              <w:spacing w:before="23" w:line="360" w:lineRule="auto"/>
              <w:jc w:val="both"/>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符合</w:t>
            </w:r>
            <w:r>
              <w:rPr>
                <w:rFonts w:hint="eastAsia" w:ascii="宋体" w:hAnsi="宋体" w:eastAsia="宋体" w:cs="宋体"/>
                <w:i w:val="0"/>
                <w:iCs w:val="0"/>
                <w:color w:val="auto"/>
                <w:sz w:val="24"/>
                <w:szCs w:val="24"/>
                <w:highlight w:val="none"/>
                <w:lang w:val="zh-CN"/>
              </w:rPr>
              <w:t>第二章“投标人须知前附表”规定</w:t>
            </w:r>
          </w:p>
        </w:tc>
      </w:tr>
      <w:tr w14:paraId="2E0BBC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1"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7156E231">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5C5AD0C0">
            <w:pPr>
              <w:autoSpaceDE w:val="0"/>
              <w:autoSpaceDN w:val="0"/>
              <w:adjustRightInd w:val="0"/>
              <w:snapToGrid w:val="0"/>
              <w:spacing w:line="3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b w:val="0"/>
                <w:bCs w:val="0"/>
                <w:i w:val="0"/>
                <w:iCs w:val="0"/>
                <w:color w:val="auto"/>
                <w:sz w:val="24"/>
                <w:szCs w:val="24"/>
                <w:highlight w:val="none"/>
                <w:u w:val="none"/>
                <w:lang w:val="en-US" w:eastAsia="zh-CN"/>
              </w:rPr>
              <w:t>质量标准</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0F4FA486">
            <w:pPr>
              <w:autoSpaceDE w:val="0"/>
              <w:autoSpaceDN w:val="0"/>
              <w:adjustRightInd w:val="0"/>
              <w:snapToGrid w:val="0"/>
              <w:spacing w:line="340" w:lineRule="exact"/>
              <w:jc w:val="left"/>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zh-CN"/>
              </w:rPr>
              <w:t>符合国家现行工程质量验收统一标准</w:t>
            </w:r>
          </w:p>
        </w:tc>
      </w:tr>
      <w:tr w14:paraId="24BC1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01377F58">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268BC4A">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响应文件</w:t>
            </w:r>
          </w:p>
          <w:p w14:paraId="4A9C5CA7">
            <w:pPr>
              <w:adjustRightInd w:val="0"/>
              <w:snapToGrid w:val="0"/>
              <w:spacing w:before="60" w:beforeLines="25" w:after="60" w:afterLines="25" w:line="276"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有效期</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33B45879">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lang w:val="en-US" w:eastAsia="zh-CN"/>
              </w:rPr>
              <w:t>90</w:t>
            </w:r>
            <w:r>
              <w:rPr>
                <w:rFonts w:hint="eastAsia" w:ascii="宋体" w:hAnsi="宋体" w:eastAsia="宋体" w:cs="宋体"/>
                <w:i w:val="0"/>
                <w:iCs w:val="0"/>
                <w:color w:val="auto"/>
                <w:sz w:val="24"/>
                <w:szCs w:val="24"/>
                <w:highlight w:val="none"/>
                <w:lang w:val="zh-CN"/>
              </w:rPr>
              <w:t>天</w:t>
            </w:r>
          </w:p>
        </w:tc>
      </w:tr>
      <w:tr w14:paraId="3A1E7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3"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3AACB1E2">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CB957AC">
            <w:pPr>
              <w:adjustRightInd w:val="0"/>
              <w:snapToGrid w:val="0"/>
              <w:spacing w:before="60" w:beforeLines="25" w:after="60" w:afterLines="25" w:line="276" w:lineRule="auto"/>
              <w:jc w:val="center"/>
              <w:rPr>
                <w:rFonts w:hint="eastAsia" w:ascii="宋体" w:hAnsi="宋体" w:eastAsia="宋体" w:cs="宋体"/>
                <w:i w:val="0"/>
                <w:iCs w:val="0"/>
                <w:snapToGrid w:val="0"/>
                <w:color w:val="auto"/>
                <w:kern w:val="0"/>
                <w:sz w:val="24"/>
                <w:szCs w:val="24"/>
                <w:highlight w:val="none"/>
                <w:lang w:val="en-US" w:eastAsia="zh-CN"/>
              </w:rPr>
            </w:pPr>
            <w:r>
              <w:rPr>
                <w:rFonts w:hint="eastAsia" w:ascii="宋体" w:hAnsi="宋体" w:eastAsia="宋体" w:cs="宋体"/>
                <w:i w:val="0"/>
                <w:iCs w:val="0"/>
                <w:snapToGrid w:val="0"/>
                <w:color w:val="auto"/>
                <w:kern w:val="0"/>
                <w:sz w:val="24"/>
                <w:szCs w:val="24"/>
                <w:highlight w:val="none"/>
                <w:lang w:val="en-US" w:eastAsia="zh-CN"/>
              </w:rPr>
              <w:t>投标保证金</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5CC15092">
            <w:pPr>
              <w:autoSpaceDE w:val="0"/>
              <w:autoSpaceDN w:val="0"/>
              <w:adjustRightInd w:val="0"/>
              <w:snapToGrid w:val="0"/>
              <w:spacing w:before="60" w:beforeLines="25" w:after="60" w:afterLines="25" w:line="276" w:lineRule="auto"/>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sz w:val="24"/>
                <w:szCs w:val="24"/>
                <w:highlight w:val="none"/>
                <w:lang w:val="en-US" w:eastAsia="zh-CN"/>
              </w:rPr>
              <w:t>符合</w:t>
            </w:r>
            <w:r>
              <w:rPr>
                <w:rFonts w:hint="eastAsia" w:ascii="宋体" w:hAnsi="宋体" w:eastAsia="宋体" w:cs="宋体"/>
                <w:i w:val="0"/>
                <w:iCs w:val="0"/>
                <w:color w:val="auto"/>
                <w:sz w:val="24"/>
                <w:szCs w:val="24"/>
                <w:highlight w:val="none"/>
                <w:lang w:val="zh-CN"/>
              </w:rPr>
              <w:t>第二章“投标人须知前附表”规定</w:t>
            </w:r>
          </w:p>
        </w:tc>
      </w:tr>
      <w:tr w14:paraId="54969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83" w:hRule="atLeast"/>
          <w:jc w:val="center"/>
        </w:trPr>
        <w:tc>
          <w:tcPr>
            <w:tcW w:w="857" w:type="dxa"/>
            <w:vMerge w:val="continue"/>
            <w:tcBorders>
              <w:left w:val="single" w:color="auto" w:sz="4" w:space="0"/>
              <w:right w:val="single" w:color="auto" w:sz="4" w:space="0"/>
            </w:tcBorders>
            <w:noWrap w:val="0"/>
            <w:tcMar>
              <w:left w:w="57" w:type="dxa"/>
              <w:right w:w="57" w:type="dxa"/>
            </w:tcMar>
            <w:vAlign w:val="center"/>
          </w:tcPr>
          <w:p w14:paraId="7093B3DB">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07B0620A">
            <w:pPr>
              <w:autoSpaceDE w:val="0"/>
              <w:autoSpaceDN w:val="0"/>
              <w:adjustRightInd w:val="0"/>
              <w:snapToGrid w:val="0"/>
              <w:spacing w:line="340" w:lineRule="exact"/>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已标价工程量清单</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10FA920D">
            <w:pPr>
              <w:autoSpaceDE w:val="0"/>
              <w:autoSpaceDN w:val="0"/>
              <w:adjustRightInd w:val="0"/>
              <w:snapToGrid w:val="0"/>
              <w:spacing w:line="340" w:lineRule="exact"/>
              <w:jc w:val="left"/>
              <w:rPr>
                <w:rFonts w:hint="eastAsia" w:ascii="宋体" w:hAnsi="宋体" w:eastAsia="宋体" w:cs="宋体"/>
                <w:b w:val="0"/>
                <w:bCs w:val="0"/>
                <w:i w:val="0"/>
                <w:iCs w:val="0"/>
                <w:color w:val="auto"/>
                <w:sz w:val="24"/>
                <w:szCs w:val="24"/>
                <w:highlight w:val="none"/>
                <w:u w:val="none"/>
                <w:lang w:val="zh-CN" w:eastAsia="zh-CN"/>
              </w:rPr>
            </w:pPr>
            <w:r>
              <w:rPr>
                <w:rFonts w:hint="eastAsia" w:ascii="宋体" w:hAnsi="宋体" w:eastAsia="宋体" w:cs="宋体"/>
                <w:b w:val="0"/>
                <w:bCs w:val="0"/>
                <w:i w:val="0"/>
                <w:iCs w:val="0"/>
                <w:color w:val="auto"/>
                <w:sz w:val="24"/>
                <w:szCs w:val="24"/>
                <w:highlight w:val="none"/>
                <w:u w:val="none"/>
                <w:lang w:val="en-US" w:eastAsia="zh-CN"/>
              </w:rPr>
              <w:t>符合第五章“工程量清单”给出的范围及数量，投标人应按招标工程量清单填报价格。项目编码、项目名称、项目特征、计量单位、工程量必须与招标工程量清单一致，经造价人员签字盖专用章，并符合相关法律法规及招标文件规定。</w:t>
            </w:r>
          </w:p>
        </w:tc>
      </w:tr>
      <w:tr w14:paraId="7AB03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3" w:hRule="atLeast"/>
          <w:jc w:val="center"/>
        </w:trPr>
        <w:tc>
          <w:tcPr>
            <w:tcW w:w="857" w:type="dxa"/>
            <w:vMerge w:val="continue"/>
            <w:tcBorders>
              <w:left w:val="single" w:color="auto" w:sz="4" w:space="0"/>
              <w:bottom w:val="single" w:color="auto" w:sz="4" w:space="0"/>
              <w:right w:val="single" w:color="auto" w:sz="4" w:space="0"/>
            </w:tcBorders>
            <w:noWrap w:val="0"/>
            <w:tcMar>
              <w:left w:w="57" w:type="dxa"/>
              <w:right w:w="57" w:type="dxa"/>
            </w:tcMar>
            <w:vAlign w:val="center"/>
          </w:tcPr>
          <w:p w14:paraId="597C794A">
            <w:pPr>
              <w:adjustRightInd w:val="0"/>
              <w:snapToGrid w:val="0"/>
              <w:spacing w:before="60" w:beforeLines="25" w:after="60" w:afterLines="25" w:line="276" w:lineRule="auto"/>
              <w:rPr>
                <w:rFonts w:hint="eastAsia" w:ascii="宋体" w:hAnsi="宋体" w:eastAsia="宋体" w:cs="宋体"/>
                <w:i w:val="0"/>
                <w:iCs w:val="0"/>
                <w:color w:val="auto"/>
                <w:sz w:val="24"/>
                <w:szCs w:val="24"/>
                <w:highlight w:val="none"/>
              </w:rPr>
            </w:pPr>
          </w:p>
        </w:tc>
        <w:tc>
          <w:tcPr>
            <w:tcW w:w="1500" w:type="dxa"/>
            <w:tcBorders>
              <w:top w:val="single" w:color="auto" w:sz="4" w:space="0"/>
              <w:left w:val="single" w:color="auto" w:sz="4" w:space="0"/>
              <w:bottom w:val="single" w:color="auto" w:sz="4" w:space="0"/>
              <w:right w:val="single" w:color="auto" w:sz="4" w:space="0"/>
            </w:tcBorders>
            <w:noWrap w:val="0"/>
            <w:tcMar>
              <w:left w:w="57" w:type="dxa"/>
              <w:right w:w="57" w:type="dxa"/>
            </w:tcMar>
            <w:vAlign w:val="center"/>
          </w:tcPr>
          <w:p w14:paraId="798B457A">
            <w:pPr>
              <w:autoSpaceDE w:val="0"/>
              <w:autoSpaceDN w:val="0"/>
              <w:adjustRightInd w:val="0"/>
              <w:snapToGrid w:val="0"/>
              <w:spacing w:line="340" w:lineRule="exact"/>
              <w:jc w:val="center"/>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其他要求</w:t>
            </w:r>
          </w:p>
        </w:tc>
        <w:tc>
          <w:tcPr>
            <w:tcW w:w="6581" w:type="dxa"/>
            <w:tcBorders>
              <w:top w:val="single" w:color="auto" w:sz="4" w:space="0"/>
              <w:left w:val="single" w:color="auto" w:sz="4" w:space="0"/>
              <w:bottom w:val="single" w:color="auto" w:sz="4" w:space="0"/>
              <w:right w:val="single" w:color="auto" w:sz="4" w:space="0"/>
            </w:tcBorders>
            <w:noWrap w:val="0"/>
            <w:vAlign w:val="center"/>
          </w:tcPr>
          <w:p w14:paraId="44E417A7">
            <w:pPr>
              <w:autoSpaceDE w:val="0"/>
              <w:autoSpaceDN w:val="0"/>
              <w:adjustRightInd w:val="0"/>
              <w:snapToGrid w:val="0"/>
              <w:spacing w:line="340" w:lineRule="exact"/>
              <w:jc w:val="both"/>
              <w:rPr>
                <w:rFonts w:hint="eastAsia" w:ascii="宋体" w:hAnsi="宋体" w:eastAsia="宋体" w:cs="宋体"/>
                <w:b w:val="0"/>
                <w:bCs w:val="0"/>
                <w:i w:val="0"/>
                <w:iCs w:val="0"/>
                <w:color w:val="auto"/>
                <w:sz w:val="24"/>
                <w:szCs w:val="24"/>
                <w:highlight w:val="none"/>
                <w:u w:val="none"/>
                <w:lang w:val="en-US" w:eastAsia="zh-CN"/>
              </w:rPr>
            </w:pPr>
            <w:r>
              <w:rPr>
                <w:rFonts w:hint="eastAsia" w:ascii="宋体" w:hAnsi="宋体" w:eastAsia="宋体" w:cs="宋体"/>
                <w:b w:val="0"/>
                <w:bCs w:val="0"/>
                <w:i w:val="0"/>
                <w:iCs w:val="0"/>
                <w:color w:val="auto"/>
                <w:sz w:val="24"/>
                <w:szCs w:val="24"/>
                <w:highlight w:val="none"/>
                <w:u w:val="none"/>
                <w:lang w:val="en-US" w:eastAsia="zh-CN"/>
              </w:rPr>
              <w:t>响应招标文件要求。</w:t>
            </w:r>
          </w:p>
        </w:tc>
      </w:tr>
    </w:tbl>
    <w:p w14:paraId="755F4510">
      <w:pPr>
        <w:rPr>
          <w:rFonts w:hint="eastAsia" w:ascii="宋体" w:hAnsi="宋体" w:eastAsia="宋体" w:cs="宋体"/>
          <w:i w:val="0"/>
          <w:iCs w:val="0"/>
          <w:color w:val="auto"/>
          <w:spacing w:val="0"/>
          <w:w w:val="100"/>
          <w:position w:val="0"/>
          <w:sz w:val="25"/>
          <w:szCs w:val="25"/>
          <w:highlight w:val="none"/>
          <w:lang w:eastAsia="zh-CN"/>
          <w14:textOutline w14:w="4703" w14:cap="sq" w14:cmpd="sng">
            <w14:solidFill>
              <w14:srgbClr w14:val="000000"/>
            </w14:solidFill>
            <w14:prstDash w14:val="solid"/>
            <w14:bevel/>
          </w14:textOutline>
        </w:rPr>
      </w:pPr>
      <w:r>
        <w:rPr>
          <w:rFonts w:hint="eastAsia" w:ascii="宋体" w:hAnsi="宋体" w:eastAsia="宋体" w:cs="宋体"/>
          <w:i w:val="0"/>
          <w:iCs w:val="0"/>
          <w:color w:val="auto"/>
          <w:spacing w:val="0"/>
          <w:w w:val="100"/>
          <w:position w:val="0"/>
          <w:sz w:val="25"/>
          <w:szCs w:val="25"/>
          <w:highlight w:val="none"/>
          <w:lang w:eastAsia="zh-CN"/>
          <w14:textOutline w14:w="4703" w14:cap="sq" w14:cmpd="sng">
            <w14:solidFill>
              <w14:srgbClr w14:val="000000"/>
            </w14:solidFill>
            <w14:prstDash w14:val="solid"/>
            <w14:bevel/>
          </w14:textOutline>
        </w:rPr>
        <w:br w:type="page"/>
      </w:r>
    </w:p>
    <w:p w14:paraId="785F8860">
      <w:pPr>
        <w:spacing w:before="82" w:line="223" w:lineRule="auto"/>
        <w:jc w:val="center"/>
        <w:rPr>
          <w:rFonts w:hint="eastAsia" w:ascii="宋体" w:hAnsi="宋体" w:eastAsia="宋体" w:cs="宋体"/>
          <w:i w:val="0"/>
          <w:iCs w:val="0"/>
          <w:color w:val="auto"/>
          <w:highlight w:val="none"/>
          <w:lang w:eastAsia="zh-CN"/>
        </w:rPr>
      </w:pPr>
      <w:r>
        <w:rPr>
          <w:rFonts w:hint="eastAsia" w:ascii="宋体" w:hAnsi="宋体" w:eastAsia="宋体" w:cs="宋体"/>
          <w:i w:val="0"/>
          <w:iCs w:val="0"/>
          <w:color w:val="auto"/>
          <w:spacing w:val="0"/>
          <w:w w:val="100"/>
          <w:position w:val="0"/>
          <w:sz w:val="25"/>
          <w:szCs w:val="25"/>
          <w:highlight w:val="none"/>
          <w14:textOutline w14:w="4703" w14:cap="sq" w14:cmpd="sng">
            <w14:solidFill>
              <w14:srgbClr w14:val="000000"/>
            </w14:solidFill>
            <w14:prstDash w14:val="solid"/>
            <w14:bevel/>
          </w14:textOutline>
        </w:rPr>
        <w:t>评审办法前附表</w:t>
      </w:r>
      <w:r>
        <w:rPr>
          <w:rFonts w:hint="eastAsia" w:ascii="宋体" w:hAnsi="宋体" w:eastAsia="宋体" w:cs="宋体"/>
          <w:i w:val="0"/>
          <w:iCs w:val="0"/>
          <w:color w:val="auto"/>
          <w:spacing w:val="0"/>
          <w:w w:val="100"/>
          <w:position w:val="0"/>
          <w:sz w:val="25"/>
          <w:szCs w:val="25"/>
          <w:highlight w:val="none"/>
          <w:lang w:eastAsia="zh-CN"/>
          <w14:textOutline w14:w="4703" w14:cap="sq" w14:cmpd="sng">
            <w14:solidFill>
              <w14:srgbClr w14:val="000000"/>
            </w14:solidFill>
            <w14:prstDash w14:val="solid"/>
            <w14:bevel/>
          </w14:textOutline>
        </w:rPr>
        <w:t>（</w:t>
      </w:r>
      <w:r>
        <w:rPr>
          <w:rFonts w:hint="eastAsia" w:ascii="宋体" w:hAnsi="宋体" w:eastAsia="宋体" w:cs="宋体"/>
          <w:i w:val="0"/>
          <w:iCs w:val="0"/>
          <w:color w:val="auto"/>
          <w:spacing w:val="0"/>
          <w:w w:val="100"/>
          <w:position w:val="0"/>
          <w:sz w:val="25"/>
          <w:szCs w:val="25"/>
          <w:highlight w:val="none"/>
          <w:lang w:val="en-US" w:eastAsia="zh-CN"/>
          <w14:textOutline w14:w="4703" w14:cap="sq" w14:cmpd="sng">
            <w14:solidFill>
              <w14:srgbClr w14:val="000000"/>
            </w14:solidFill>
            <w14:prstDash w14:val="solid"/>
            <w14:bevel/>
          </w14:textOutline>
        </w:rPr>
        <w:t>二</w:t>
      </w:r>
      <w:r>
        <w:rPr>
          <w:rFonts w:hint="eastAsia" w:ascii="宋体" w:hAnsi="宋体" w:eastAsia="宋体" w:cs="宋体"/>
          <w:i w:val="0"/>
          <w:iCs w:val="0"/>
          <w:color w:val="auto"/>
          <w:spacing w:val="0"/>
          <w:w w:val="100"/>
          <w:position w:val="0"/>
          <w:sz w:val="25"/>
          <w:szCs w:val="25"/>
          <w:highlight w:val="none"/>
          <w:lang w:eastAsia="zh-CN"/>
          <w14:textOutline w14:w="4703" w14:cap="sq" w14:cmpd="sng">
            <w14:solidFill>
              <w14:srgbClr w14:val="000000"/>
            </w14:solidFill>
            <w14:prstDash w14:val="solid"/>
            <w14:bevel/>
          </w14:textOutline>
        </w:rPr>
        <w:t>）</w:t>
      </w:r>
    </w:p>
    <w:p w14:paraId="37E66DD7">
      <w:pPr>
        <w:keepNext w:val="0"/>
        <w:keepLines w:val="0"/>
        <w:pageBreakBefore w:val="0"/>
        <w:widowControl/>
        <w:kinsoku w:val="0"/>
        <w:wordWrap/>
        <w:overflowPunct/>
        <w:topLinePunct w:val="0"/>
        <w:autoSpaceDE w:val="0"/>
        <w:autoSpaceDN w:val="0"/>
        <w:bidi w:val="0"/>
        <w:adjustRightInd w:val="0"/>
        <w:snapToGrid w:val="0"/>
        <w:spacing w:line="240" w:lineRule="auto"/>
        <w:ind w:left="0" w:right="0" w:firstLine="0"/>
        <w:textAlignment w:val="baseline"/>
        <w:rPr>
          <w:rFonts w:hint="eastAsia" w:ascii="宋体" w:hAnsi="宋体" w:eastAsia="宋体" w:cs="宋体"/>
          <w:i w:val="0"/>
          <w:iCs w:val="0"/>
          <w:color w:val="auto"/>
          <w:spacing w:val="0"/>
          <w:w w:val="100"/>
          <w:position w:val="0"/>
          <w:sz w:val="2"/>
          <w:highlight w:val="none"/>
        </w:rPr>
      </w:pPr>
    </w:p>
    <w:tbl>
      <w:tblPr>
        <w:tblStyle w:val="1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1"/>
        <w:gridCol w:w="2078"/>
        <w:gridCol w:w="5855"/>
      </w:tblGrid>
      <w:tr w14:paraId="61AA3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1291" w:type="dxa"/>
            <w:noWrap w:val="0"/>
            <w:vAlign w:val="center"/>
          </w:tcPr>
          <w:p w14:paraId="7ECA7B1F">
            <w:pPr>
              <w:jc w:val="center"/>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lang w:val="zh-CN"/>
              </w:rPr>
              <w:t>评审内容</w:t>
            </w:r>
          </w:p>
        </w:tc>
        <w:tc>
          <w:tcPr>
            <w:tcW w:w="2078" w:type="dxa"/>
            <w:noWrap w:val="0"/>
            <w:vAlign w:val="center"/>
          </w:tcPr>
          <w:p w14:paraId="453172E4">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评审因素</w:t>
            </w:r>
          </w:p>
        </w:tc>
        <w:tc>
          <w:tcPr>
            <w:tcW w:w="5855" w:type="dxa"/>
            <w:noWrap w:val="0"/>
            <w:vAlign w:val="center"/>
          </w:tcPr>
          <w:p w14:paraId="61D4E19C">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评审标准</w:t>
            </w:r>
          </w:p>
        </w:tc>
      </w:tr>
      <w:tr w14:paraId="536A2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1" w:type="dxa"/>
            <w:noWrap w:val="0"/>
            <w:vAlign w:val="center"/>
          </w:tcPr>
          <w:p w14:paraId="3FAAA60E">
            <w:pPr>
              <w:snapToGrid w:val="0"/>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报价</w:t>
            </w:r>
            <w:r>
              <w:rPr>
                <w:rFonts w:hint="eastAsia" w:ascii="宋体" w:hAnsi="宋体" w:eastAsia="宋体" w:cs="宋体"/>
                <w:i w:val="0"/>
                <w:iCs w:val="0"/>
                <w:color w:val="auto"/>
                <w:sz w:val="24"/>
                <w:szCs w:val="24"/>
                <w:highlight w:val="none"/>
              </w:rPr>
              <w:t>部分</w:t>
            </w:r>
          </w:p>
          <w:p w14:paraId="326E6BDE">
            <w:pPr>
              <w:snapToGrid w:val="0"/>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分）</w:t>
            </w:r>
          </w:p>
        </w:tc>
        <w:tc>
          <w:tcPr>
            <w:tcW w:w="2078" w:type="dxa"/>
            <w:noWrap w:val="0"/>
            <w:vAlign w:val="center"/>
          </w:tcPr>
          <w:p w14:paraId="591394D2">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最终磋商报价(</w:t>
            </w: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分)</w:t>
            </w:r>
          </w:p>
        </w:tc>
        <w:tc>
          <w:tcPr>
            <w:tcW w:w="5855" w:type="dxa"/>
            <w:noWrap w:val="0"/>
            <w:vAlign w:val="center"/>
          </w:tcPr>
          <w:p w14:paraId="50309852">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满足磋商文件要求且最后报价最低的供应商的价格为磋商基准价，其价格分为满分。其他供应商的价格分统一按照下列公式计算：</w:t>
            </w:r>
          </w:p>
          <w:p w14:paraId="73031405">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磋商报价得分=（磋商基准价/最后磋商报价）×价格权值×100，价格权重为</w:t>
            </w: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w:t>
            </w:r>
          </w:p>
        </w:tc>
      </w:tr>
      <w:tr w14:paraId="6423C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trPr>
        <w:tc>
          <w:tcPr>
            <w:tcW w:w="1291" w:type="dxa"/>
            <w:vMerge w:val="restart"/>
            <w:noWrap w:val="0"/>
            <w:vAlign w:val="center"/>
          </w:tcPr>
          <w:p w14:paraId="270FE8E6">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施工组织设计评分标准</w:t>
            </w:r>
          </w:p>
          <w:p w14:paraId="45AEC8AC">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50</w:t>
            </w:r>
            <w:r>
              <w:rPr>
                <w:rFonts w:hint="eastAsia" w:ascii="宋体" w:hAnsi="宋体" w:eastAsia="宋体" w:cs="宋体"/>
                <w:i w:val="0"/>
                <w:iCs w:val="0"/>
                <w:color w:val="auto"/>
                <w:sz w:val="24"/>
                <w:szCs w:val="24"/>
                <w:highlight w:val="none"/>
              </w:rPr>
              <w:t>分）</w:t>
            </w:r>
          </w:p>
        </w:tc>
        <w:tc>
          <w:tcPr>
            <w:tcW w:w="2078" w:type="dxa"/>
            <w:noWrap w:val="0"/>
            <w:vAlign w:val="center"/>
          </w:tcPr>
          <w:p w14:paraId="3CAF4F87">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内容完整性和编制水平（</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38E08A2D">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内容完整性和编制水平进行比较，内容完整、合理、可行得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内容完整性和编制水平</w:t>
            </w:r>
            <w:r>
              <w:rPr>
                <w:rFonts w:hint="eastAsia" w:ascii="宋体" w:hAnsi="宋体" w:eastAsia="宋体" w:cs="宋体"/>
                <w:i w:val="0"/>
                <w:iCs w:val="0"/>
                <w:color w:val="auto"/>
                <w:sz w:val="24"/>
                <w:szCs w:val="24"/>
                <w:highlight w:val="none"/>
                <w:lang w:val="en-US" w:eastAsia="zh-CN"/>
              </w:rPr>
              <w:t>较为合理并且完整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分内容完整性和编制水平</w:t>
            </w:r>
            <w:r>
              <w:rPr>
                <w:rFonts w:hint="eastAsia" w:ascii="宋体" w:hAnsi="宋体" w:eastAsia="宋体" w:cs="宋体"/>
                <w:i w:val="0"/>
                <w:iCs w:val="0"/>
                <w:color w:val="auto"/>
                <w:sz w:val="24"/>
                <w:szCs w:val="24"/>
                <w:highlight w:val="none"/>
                <w:lang w:val="en-US" w:eastAsia="zh-CN"/>
              </w:rPr>
              <w:t>一般</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内容不合理</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2C32C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trPr>
        <w:tc>
          <w:tcPr>
            <w:tcW w:w="1291" w:type="dxa"/>
            <w:vMerge w:val="continue"/>
            <w:noWrap w:val="0"/>
            <w:vAlign w:val="center"/>
          </w:tcPr>
          <w:p w14:paraId="4FF9D6C2">
            <w:pPr>
              <w:jc w:val="center"/>
              <w:rPr>
                <w:rFonts w:hint="eastAsia" w:ascii="宋体" w:hAnsi="宋体" w:eastAsia="宋体" w:cs="宋体"/>
                <w:i w:val="0"/>
                <w:iCs w:val="0"/>
                <w:color w:val="auto"/>
                <w:sz w:val="24"/>
                <w:szCs w:val="24"/>
                <w:highlight w:val="none"/>
              </w:rPr>
            </w:pPr>
          </w:p>
        </w:tc>
        <w:tc>
          <w:tcPr>
            <w:tcW w:w="2078" w:type="dxa"/>
            <w:noWrap w:val="0"/>
            <w:vAlign w:val="center"/>
          </w:tcPr>
          <w:p w14:paraId="6BA4126F">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施工方案与技术措施（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5B7AEEAE">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施工方案与技术措施进行比较，内容完整、合理、可行得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施工方案与技术措施</w:t>
            </w:r>
            <w:r>
              <w:rPr>
                <w:rFonts w:hint="eastAsia" w:ascii="宋体" w:hAnsi="宋体" w:eastAsia="宋体" w:cs="宋体"/>
                <w:i w:val="0"/>
                <w:iCs w:val="0"/>
                <w:color w:val="auto"/>
                <w:sz w:val="24"/>
                <w:szCs w:val="24"/>
                <w:highlight w:val="none"/>
                <w:lang w:val="en-US" w:eastAsia="zh-CN"/>
              </w:rPr>
              <w:t>方案清晰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施工方案与技术措施</w:t>
            </w:r>
            <w:r>
              <w:rPr>
                <w:rFonts w:hint="eastAsia" w:ascii="宋体" w:hAnsi="宋体" w:eastAsia="宋体" w:cs="宋体"/>
                <w:i w:val="0"/>
                <w:iCs w:val="0"/>
                <w:color w:val="auto"/>
                <w:sz w:val="24"/>
                <w:szCs w:val="24"/>
                <w:highlight w:val="none"/>
                <w:lang w:val="en-US" w:eastAsia="zh-CN"/>
              </w:rPr>
              <w:t>方案</w:t>
            </w:r>
            <w:r>
              <w:rPr>
                <w:rFonts w:hint="eastAsia" w:ascii="宋体" w:hAnsi="宋体" w:eastAsia="宋体" w:cs="宋体"/>
                <w:i w:val="0"/>
                <w:iCs w:val="0"/>
                <w:color w:val="auto"/>
                <w:sz w:val="24"/>
                <w:szCs w:val="24"/>
                <w:highlight w:val="none"/>
              </w:rPr>
              <w:t>一般</w:t>
            </w:r>
            <w:r>
              <w:rPr>
                <w:rFonts w:hint="eastAsia" w:ascii="宋体" w:hAnsi="宋体" w:eastAsia="宋体" w:cs="宋体"/>
                <w:i w:val="0"/>
                <w:iCs w:val="0"/>
                <w:color w:val="auto"/>
                <w:sz w:val="24"/>
                <w:szCs w:val="24"/>
                <w:highlight w:val="none"/>
                <w:lang w:val="en-US" w:eastAsia="zh-CN"/>
              </w:rPr>
              <w:t>且内容不完整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61035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291" w:type="dxa"/>
            <w:vMerge w:val="continue"/>
            <w:noWrap w:val="0"/>
            <w:vAlign w:val="center"/>
          </w:tcPr>
          <w:p w14:paraId="5D886089">
            <w:pPr>
              <w:jc w:val="center"/>
              <w:rPr>
                <w:rFonts w:hint="eastAsia" w:ascii="宋体" w:hAnsi="宋体" w:eastAsia="宋体" w:cs="宋体"/>
                <w:i w:val="0"/>
                <w:iCs w:val="0"/>
                <w:color w:val="auto"/>
                <w:sz w:val="24"/>
                <w:szCs w:val="24"/>
                <w:highlight w:val="none"/>
              </w:rPr>
            </w:pPr>
          </w:p>
        </w:tc>
        <w:tc>
          <w:tcPr>
            <w:tcW w:w="2078" w:type="dxa"/>
            <w:noWrap w:val="0"/>
            <w:vAlign w:val="center"/>
          </w:tcPr>
          <w:p w14:paraId="3E50730D">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质量管理体系与措施（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15B48174">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质量管理体系与措施进行比较，内容完整、合理、可行得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分，质量管理体系与措施</w:t>
            </w:r>
            <w:r>
              <w:rPr>
                <w:rFonts w:hint="eastAsia" w:ascii="宋体" w:hAnsi="宋体" w:eastAsia="宋体" w:cs="宋体"/>
                <w:i w:val="0"/>
                <w:iCs w:val="0"/>
                <w:color w:val="auto"/>
                <w:sz w:val="24"/>
                <w:szCs w:val="24"/>
                <w:highlight w:val="none"/>
                <w:lang w:val="en-US" w:eastAsia="zh-CN"/>
              </w:rPr>
              <w:t>内容比较完整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分，质量管理体系与措施</w:t>
            </w:r>
            <w:r>
              <w:rPr>
                <w:rFonts w:hint="eastAsia" w:ascii="宋体" w:hAnsi="宋体" w:eastAsia="宋体" w:cs="宋体"/>
                <w:i w:val="0"/>
                <w:iCs w:val="0"/>
                <w:color w:val="auto"/>
                <w:sz w:val="24"/>
                <w:szCs w:val="24"/>
                <w:highlight w:val="none"/>
                <w:lang w:val="en-US" w:eastAsia="zh-CN"/>
              </w:rPr>
              <w:t>内容不完整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4E614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1291" w:type="dxa"/>
            <w:vMerge w:val="continue"/>
            <w:noWrap w:val="0"/>
            <w:vAlign w:val="center"/>
          </w:tcPr>
          <w:p w14:paraId="2361895C">
            <w:pPr>
              <w:jc w:val="center"/>
              <w:rPr>
                <w:rFonts w:hint="eastAsia" w:ascii="宋体" w:hAnsi="宋体" w:eastAsia="宋体" w:cs="宋体"/>
                <w:i w:val="0"/>
                <w:iCs w:val="0"/>
                <w:color w:val="auto"/>
                <w:sz w:val="24"/>
                <w:szCs w:val="24"/>
                <w:highlight w:val="none"/>
              </w:rPr>
            </w:pPr>
          </w:p>
        </w:tc>
        <w:tc>
          <w:tcPr>
            <w:tcW w:w="2078" w:type="dxa"/>
            <w:noWrap w:val="0"/>
            <w:vAlign w:val="center"/>
          </w:tcPr>
          <w:p w14:paraId="535FFAB9">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安全管理体系与措施（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7EA4A38A">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安全管理体系与措施进行比较，内容完整、合理、可行得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安全管理体系与措施</w:t>
            </w:r>
            <w:r>
              <w:rPr>
                <w:rFonts w:hint="eastAsia" w:ascii="宋体" w:hAnsi="宋体" w:eastAsia="宋体" w:cs="宋体"/>
                <w:i w:val="0"/>
                <w:iCs w:val="0"/>
                <w:color w:val="auto"/>
                <w:sz w:val="24"/>
                <w:szCs w:val="24"/>
                <w:highlight w:val="none"/>
                <w:lang w:val="en-US" w:eastAsia="zh-CN"/>
              </w:rPr>
              <w:t>内容一般条理较为清晰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安全管理体系与措施</w:t>
            </w:r>
            <w:r>
              <w:rPr>
                <w:rFonts w:hint="eastAsia" w:ascii="宋体" w:hAnsi="宋体" w:eastAsia="宋体" w:cs="宋体"/>
                <w:i w:val="0"/>
                <w:iCs w:val="0"/>
                <w:color w:val="auto"/>
                <w:sz w:val="24"/>
                <w:szCs w:val="24"/>
                <w:highlight w:val="none"/>
                <w:lang w:val="en-US" w:eastAsia="zh-CN"/>
              </w:rPr>
              <w:t>内容条理不清晰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32FFC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 w:hRule="atLeast"/>
        </w:trPr>
        <w:tc>
          <w:tcPr>
            <w:tcW w:w="1291" w:type="dxa"/>
            <w:vMerge w:val="continue"/>
            <w:noWrap w:val="0"/>
            <w:vAlign w:val="center"/>
          </w:tcPr>
          <w:p w14:paraId="19EB6042">
            <w:pPr>
              <w:jc w:val="center"/>
              <w:rPr>
                <w:rFonts w:hint="eastAsia" w:ascii="宋体" w:hAnsi="宋体" w:eastAsia="宋体" w:cs="宋体"/>
                <w:i w:val="0"/>
                <w:iCs w:val="0"/>
                <w:color w:val="auto"/>
                <w:sz w:val="24"/>
                <w:szCs w:val="24"/>
                <w:highlight w:val="none"/>
              </w:rPr>
            </w:pPr>
          </w:p>
        </w:tc>
        <w:tc>
          <w:tcPr>
            <w:tcW w:w="2078" w:type="dxa"/>
            <w:noWrap w:val="0"/>
            <w:vAlign w:val="center"/>
          </w:tcPr>
          <w:p w14:paraId="41229D7A">
            <w:pPr>
              <w:jc w:val="center"/>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工程进度计划与措施（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175FBD51">
            <w:pPr>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工程进度计划与措施进行比较，内容完整、合理、可行得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工程进度计划与措施</w:t>
            </w:r>
            <w:r>
              <w:rPr>
                <w:rFonts w:hint="eastAsia" w:ascii="宋体" w:hAnsi="宋体" w:eastAsia="宋体" w:cs="宋体"/>
                <w:i w:val="0"/>
                <w:iCs w:val="0"/>
                <w:color w:val="auto"/>
                <w:sz w:val="24"/>
                <w:szCs w:val="24"/>
                <w:highlight w:val="none"/>
                <w:lang w:val="en-US" w:eastAsia="zh-CN"/>
              </w:rPr>
              <w:t>内容一般</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工程进度计划与措施</w:t>
            </w:r>
            <w:r>
              <w:rPr>
                <w:rFonts w:hint="eastAsia" w:ascii="宋体" w:hAnsi="宋体" w:eastAsia="宋体" w:cs="宋体"/>
                <w:i w:val="0"/>
                <w:iCs w:val="0"/>
                <w:color w:val="auto"/>
                <w:sz w:val="24"/>
                <w:szCs w:val="24"/>
                <w:highlight w:val="none"/>
                <w:lang w:val="en-US" w:eastAsia="zh-CN"/>
              </w:rPr>
              <w:t>条理不清晰内容不准确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3A62D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4" w:hRule="atLeast"/>
        </w:trPr>
        <w:tc>
          <w:tcPr>
            <w:tcW w:w="1291" w:type="dxa"/>
            <w:vMerge w:val="continue"/>
            <w:noWrap w:val="0"/>
            <w:vAlign w:val="center"/>
          </w:tcPr>
          <w:p w14:paraId="0E1985EB">
            <w:pPr>
              <w:jc w:val="center"/>
              <w:rPr>
                <w:rFonts w:hint="eastAsia" w:ascii="宋体" w:hAnsi="宋体" w:eastAsia="宋体" w:cs="宋体"/>
                <w:i w:val="0"/>
                <w:iCs w:val="0"/>
                <w:color w:val="auto"/>
                <w:sz w:val="24"/>
                <w:szCs w:val="24"/>
                <w:highlight w:val="none"/>
              </w:rPr>
            </w:pPr>
          </w:p>
        </w:tc>
        <w:tc>
          <w:tcPr>
            <w:tcW w:w="2078" w:type="dxa"/>
            <w:noWrap w:val="0"/>
            <w:vAlign w:val="center"/>
          </w:tcPr>
          <w:p w14:paraId="5C70EE8B">
            <w:pPr>
              <w:jc w:val="center"/>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环境保护管理体系与措施（</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62CFDF8E">
            <w:pPr>
              <w:rPr>
                <w:rFonts w:hint="eastAsia" w:ascii="宋体" w:hAnsi="宋体" w:eastAsia="宋体" w:cs="宋体"/>
                <w:i w:val="0"/>
                <w:iCs w:val="0"/>
                <w:snapToGrid w:val="0"/>
                <w:color w:val="auto"/>
                <w:kern w:val="0"/>
                <w:sz w:val="24"/>
                <w:szCs w:val="24"/>
                <w:highlight w:val="none"/>
                <w:lang w:val="en-US" w:eastAsia="zh-CN" w:bidi="ar-SA"/>
              </w:rPr>
            </w:pPr>
            <w:r>
              <w:rPr>
                <w:rFonts w:hint="eastAsia" w:ascii="宋体" w:hAnsi="宋体" w:eastAsia="宋体" w:cs="宋体"/>
                <w:i w:val="0"/>
                <w:iCs w:val="0"/>
                <w:color w:val="auto"/>
                <w:sz w:val="24"/>
                <w:szCs w:val="24"/>
                <w:highlight w:val="none"/>
              </w:rPr>
              <w:t>环境保护管理体系与措施进行比较，内容完整、合理、可行得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环境保护管理体系与措施</w:t>
            </w:r>
            <w:r>
              <w:rPr>
                <w:rFonts w:hint="eastAsia" w:ascii="宋体" w:hAnsi="宋体" w:eastAsia="宋体" w:cs="宋体"/>
                <w:i w:val="0"/>
                <w:iCs w:val="0"/>
                <w:color w:val="auto"/>
                <w:sz w:val="24"/>
                <w:szCs w:val="24"/>
                <w:highlight w:val="none"/>
                <w:lang w:val="en-US" w:eastAsia="zh-CN"/>
              </w:rPr>
              <w:t>内容一般</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环境保护管理体系与措施</w:t>
            </w:r>
            <w:r>
              <w:rPr>
                <w:rFonts w:hint="eastAsia" w:ascii="宋体" w:hAnsi="宋体" w:eastAsia="宋体" w:cs="宋体"/>
                <w:i w:val="0"/>
                <w:iCs w:val="0"/>
                <w:color w:val="auto"/>
                <w:sz w:val="24"/>
                <w:szCs w:val="24"/>
                <w:highlight w:val="none"/>
                <w:lang w:val="en-US" w:eastAsia="zh-CN"/>
              </w:rPr>
              <w:t>条理不清晰内容不准确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2D536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291" w:type="dxa"/>
            <w:vMerge w:val="continue"/>
            <w:noWrap w:val="0"/>
            <w:vAlign w:val="center"/>
          </w:tcPr>
          <w:p w14:paraId="55D717ED">
            <w:pPr>
              <w:jc w:val="center"/>
              <w:rPr>
                <w:rFonts w:hint="eastAsia" w:ascii="宋体" w:hAnsi="宋体" w:eastAsia="宋体" w:cs="宋体"/>
                <w:i w:val="0"/>
                <w:iCs w:val="0"/>
                <w:color w:val="auto"/>
                <w:sz w:val="24"/>
                <w:szCs w:val="24"/>
                <w:highlight w:val="none"/>
              </w:rPr>
            </w:pPr>
          </w:p>
        </w:tc>
        <w:tc>
          <w:tcPr>
            <w:tcW w:w="2078" w:type="dxa"/>
            <w:noWrap w:val="0"/>
            <w:vAlign w:val="center"/>
          </w:tcPr>
          <w:p w14:paraId="454B079A">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文明施工</w:t>
            </w:r>
            <w:r>
              <w:rPr>
                <w:rFonts w:hint="eastAsia" w:ascii="宋体" w:hAnsi="宋体" w:eastAsia="宋体" w:cs="宋体"/>
                <w:i w:val="0"/>
                <w:iCs w:val="0"/>
                <w:color w:val="auto"/>
                <w:sz w:val="24"/>
                <w:szCs w:val="24"/>
                <w:highlight w:val="none"/>
              </w:rPr>
              <w:t>管理体系</w:t>
            </w:r>
            <w:r>
              <w:rPr>
                <w:rFonts w:hint="eastAsia" w:ascii="宋体" w:hAnsi="宋体" w:eastAsia="宋体" w:cs="宋体"/>
                <w:i w:val="0"/>
                <w:iCs w:val="0"/>
                <w:color w:val="auto"/>
                <w:sz w:val="24"/>
                <w:szCs w:val="24"/>
                <w:highlight w:val="none"/>
                <w:lang w:val="en-US" w:eastAsia="zh-CN"/>
              </w:rPr>
              <w:t>措施</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2EA3B06E">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文明施工</w:t>
            </w:r>
            <w:r>
              <w:rPr>
                <w:rFonts w:hint="eastAsia" w:ascii="宋体" w:hAnsi="宋体" w:eastAsia="宋体" w:cs="宋体"/>
                <w:i w:val="0"/>
                <w:iCs w:val="0"/>
                <w:color w:val="auto"/>
                <w:sz w:val="24"/>
                <w:szCs w:val="24"/>
                <w:highlight w:val="none"/>
              </w:rPr>
              <w:t>管理体系</w:t>
            </w:r>
            <w:r>
              <w:rPr>
                <w:rFonts w:hint="eastAsia" w:ascii="宋体" w:hAnsi="宋体" w:eastAsia="宋体" w:cs="宋体"/>
                <w:i w:val="0"/>
                <w:iCs w:val="0"/>
                <w:color w:val="auto"/>
                <w:sz w:val="24"/>
                <w:szCs w:val="24"/>
                <w:highlight w:val="none"/>
                <w:lang w:val="en-US" w:eastAsia="zh-CN"/>
              </w:rPr>
              <w:t>措施</w:t>
            </w:r>
            <w:r>
              <w:rPr>
                <w:rFonts w:hint="eastAsia" w:ascii="宋体" w:hAnsi="宋体" w:eastAsia="宋体" w:cs="宋体"/>
                <w:i w:val="0"/>
                <w:iCs w:val="0"/>
                <w:color w:val="auto"/>
                <w:sz w:val="24"/>
                <w:szCs w:val="24"/>
                <w:highlight w:val="none"/>
              </w:rPr>
              <w:t>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文明施工</w:t>
            </w:r>
            <w:r>
              <w:rPr>
                <w:rFonts w:hint="eastAsia" w:ascii="宋体" w:hAnsi="宋体" w:eastAsia="宋体" w:cs="宋体"/>
                <w:i w:val="0"/>
                <w:iCs w:val="0"/>
                <w:color w:val="auto"/>
                <w:sz w:val="24"/>
                <w:szCs w:val="24"/>
                <w:highlight w:val="none"/>
              </w:rPr>
              <w:t>管理体系</w:t>
            </w:r>
            <w:r>
              <w:rPr>
                <w:rFonts w:hint="eastAsia" w:ascii="宋体" w:hAnsi="宋体" w:eastAsia="宋体" w:cs="宋体"/>
                <w:i w:val="0"/>
                <w:iCs w:val="0"/>
                <w:color w:val="auto"/>
                <w:sz w:val="24"/>
                <w:szCs w:val="24"/>
                <w:highlight w:val="none"/>
                <w:lang w:val="en-US" w:eastAsia="zh-CN"/>
              </w:rPr>
              <w:t>措施内容一般</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val="en-US" w:eastAsia="zh-CN"/>
              </w:rPr>
              <w:t>文明施工</w:t>
            </w:r>
            <w:r>
              <w:rPr>
                <w:rFonts w:hint="eastAsia" w:ascii="宋体" w:hAnsi="宋体" w:eastAsia="宋体" w:cs="宋体"/>
                <w:i w:val="0"/>
                <w:iCs w:val="0"/>
                <w:color w:val="auto"/>
                <w:sz w:val="24"/>
                <w:szCs w:val="24"/>
                <w:highlight w:val="none"/>
              </w:rPr>
              <w:t>管理体系</w:t>
            </w:r>
            <w:r>
              <w:rPr>
                <w:rFonts w:hint="eastAsia" w:ascii="宋体" w:hAnsi="宋体" w:eastAsia="宋体" w:cs="宋体"/>
                <w:i w:val="0"/>
                <w:iCs w:val="0"/>
                <w:color w:val="auto"/>
                <w:sz w:val="24"/>
                <w:szCs w:val="24"/>
                <w:highlight w:val="none"/>
                <w:lang w:val="en-US" w:eastAsia="zh-CN"/>
              </w:rPr>
              <w:t>措施内容不准确且不清晰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689C8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1" w:hRule="atLeast"/>
        </w:trPr>
        <w:tc>
          <w:tcPr>
            <w:tcW w:w="1291" w:type="dxa"/>
            <w:vMerge w:val="continue"/>
            <w:noWrap w:val="0"/>
            <w:vAlign w:val="center"/>
          </w:tcPr>
          <w:p w14:paraId="23376D29">
            <w:pPr>
              <w:jc w:val="center"/>
              <w:rPr>
                <w:rFonts w:hint="eastAsia" w:ascii="宋体" w:hAnsi="宋体" w:eastAsia="宋体" w:cs="宋体"/>
                <w:i w:val="0"/>
                <w:iCs w:val="0"/>
                <w:color w:val="auto"/>
                <w:sz w:val="24"/>
                <w:szCs w:val="24"/>
                <w:highlight w:val="none"/>
              </w:rPr>
            </w:pPr>
          </w:p>
        </w:tc>
        <w:tc>
          <w:tcPr>
            <w:tcW w:w="2078" w:type="dxa"/>
            <w:noWrap w:val="0"/>
            <w:vAlign w:val="center"/>
          </w:tcPr>
          <w:p w14:paraId="28FD844B">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成品保护和工程保修工作的管理措施和承诺（</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76FF4209">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成品保护和工程保修工作的管理措施和承诺进行比较，内容完整、合理、可行得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成品保护和工程保修工作的管理措施和承诺</w:t>
            </w:r>
            <w:r>
              <w:rPr>
                <w:rFonts w:hint="eastAsia" w:ascii="宋体" w:hAnsi="宋体" w:eastAsia="宋体" w:cs="宋体"/>
                <w:i w:val="0"/>
                <w:iCs w:val="0"/>
                <w:color w:val="auto"/>
                <w:sz w:val="24"/>
                <w:szCs w:val="24"/>
                <w:highlight w:val="none"/>
                <w:lang w:val="en-US" w:eastAsia="zh-CN"/>
              </w:rPr>
              <w:t>比较清晰，承诺较为全面</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成品保护和工程保修工作的管理措施和承诺</w:t>
            </w:r>
            <w:r>
              <w:rPr>
                <w:rFonts w:hint="eastAsia" w:ascii="宋体" w:hAnsi="宋体" w:eastAsia="宋体" w:cs="宋体"/>
                <w:i w:val="0"/>
                <w:iCs w:val="0"/>
                <w:color w:val="auto"/>
                <w:sz w:val="24"/>
                <w:szCs w:val="24"/>
                <w:highlight w:val="none"/>
                <w:lang w:val="en-US" w:eastAsia="zh-CN"/>
              </w:rPr>
              <w:t>不完整且不准确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0D706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91" w:type="dxa"/>
            <w:vMerge w:val="continue"/>
            <w:noWrap w:val="0"/>
            <w:vAlign w:val="center"/>
          </w:tcPr>
          <w:p w14:paraId="2840F8B2">
            <w:pPr>
              <w:jc w:val="center"/>
              <w:rPr>
                <w:rFonts w:hint="eastAsia" w:ascii="宋体" w:hAnsi="宋体" w:eastAsia="宋体" w:cs="宋体"/>
                <w:i w:val="0"/>
                <w:iCs w:val="0"/>
                <w:color w:val="auto"/>
                <w:sz w:val="24"/>
                <w:szCs w:val="24"/>
                <w:highlight w:val="none"/>
              </w:rPr>
            </w:pPr>
          </w:p>
        </w:tc>
        <w:tc>
          <w:tcPr>
            <w:tcW w:w="2078" w:type="dxa"/>
            <w:noWrap w:val="0"/>
            <w:vAlign w:val="center"/>
          </w:tcPr>
          <w:p w14:paraId="348DC848">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pacing w:val="-6"/>
                <w:sz w:val="24"/>
                <w:szCs w:val="24"/>
                <w:highlight w:val="none"/>
              </w:rPr>
              <w:t>紧急情况的处理措施、预案以及抵抗风险的措施（</w:t>
            </w:r>
            <w:r>
              <w:rPr>
                <w:rFonts w:hint="eastAsia" w:ascii="宋体" w:hAnsi="宋体" w:eastAsia="宋体" w:cs="宋体"/>
                <w:i w:val="0"/>
                <w:iCs w:val="0"/>
                <w:color w:val="auto"/>
                <w:spacing w:val="-6"/>
                <w:sz w:val="24"/>
                <w:szCs w:val="24"/>
                <w:highlight w:val="none"/>
                <w:lang w:val="en-US" w:eastAsia="zh-CN"/>
              </w:rPr>
              <w:t>5</w:t>
            </w:r>
            <w:r>
              <w:rPr>
                <w:rFonts w:hint="eastAsia" w:ascii="宋体" w:hAnsi="宋体" w:eastAsia="宋体" w:cs="宋体"/>
                <w:i w:val="0"/>
                <w:iCs w:val="0"/>
                <w:color w:val="auto"/>
                <w:spacing w:val="-6"/>
                <w:sz w:val="24"/>
                <w:szCs w:val="24"/>
                <w:highlight w:val="none"/>
              </w:rPr>
              <w:t>分）</w:t>
            </w:r>
          </w:p>
        </w:tc>
        <w:tc>
          <w:tcPr>
            <w:tcW w:w="5855" w:type="dxa"/>
            <w:noWrap w:val="0"/>
            <w:vAlign w:val="center"/>
          </w:tcPr>
          <w:p w14:paraId="585AFB29">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紧急情况的处理措施、预案以及抵抗风险的措施进行比较，内容完整、合理、可行得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紧急情况的处理措施、预案以及抵抗风险的措施</w:t>
            </w:r>
            <w:r>
              <w:rPr>
                <w:rFonts w:hint="eastAsia" w:ascii="宋体" w:hAnsi="宋体" w:eastAsia="宋体" w:cs="宋体"/>
                <w:i w:val="0"/>
                <w:iCs w:val="0"/>
                <w:color w:val="auto"/>
                <w:sz w:val="24"/>
                <w:szCs w:val="24"/>
                <w:highlight w:val="none"/>
                <w:lang w:val="en-US" w:eastAsia="zh-CN"/>
              </w:rPr>
              <w:t>内容一般且准确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紧急情况的处理措施、预案以及抵抗风险的措施</w:t>
            </w:r>
            <w:r>
              <w:rPr>
                <w:rFonts w:hint="eastAsia" w:ascii="宋体" w:hAnsi="宋体" w:eastAsia="宋体" w:cs="宋体"/>
                <w:i w:val="0"/>
                <w:iCs w:val="0"/>
                <w:color w:val="auto"/>
                <w:sz w:val="24"/>
                <w:szCs w:val="24"/>
                <w:highlight w:val="none"/>
                <w:lang w:val="en-US" w:eastAsia="zh-CN"/>
              </w:rPr>
              <w:t>内容不准确并且承诺不完整</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p>
        </w:tc>
      </w:tr>
      <w:tr w14:paraId="1A4710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1291" w:type="dxa"/>
            <w:vMerge w:val="continue"/>
            <w:noWrap w:val="0"/>
            <w:vAlign w:val="center"/>
          </w:tcPr>
          <w:p w14:paraId="56835619">
            <w:pPr>
              <w:jc w:val="center"/>
              <w:rPr>
                <w:rFonts w:hint="eastAsia" w:ascii="宋体" w:hAnsi="宋体" w:eastAsia="宋体" w:cs="宋体"/>
                <w:i w:val="0"/>
                <w:iCs w:val="0"/>
                <w:color w:val="auto"/>
                <w:sz w:val="24"/>
                <w:szCs w:val="24"/>
                <w:highlight w:val="none"/>
              </w:rPr>
            </w:pPr>
          </w:p>
        </w:tc>
        <w:tc>
          <w:tcPr>
            <w:tcW w:w="2078" w:type="dxa"/>
            <w:noWrap w:val="0"/>
            <w:vAlign w:val="center"/>
          </w:tcPr>
          <w:p w14:paraId="4A33ED06">
            <w:pPr>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zh-CN"/>
              </w:rPr>
              <w:t>施工现场平面图</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p>
        </w:tc>
        <w:tc>
          <w:tcPr>
            <w:tcW w:w="5855" w:type="dxa"/>
            <w:noWrap w:val="0"/>
            <w:vAlign w:val="center"/>
          </w:tcPr>
          <w:p w14:paraId="4CF89899">
            <w:pP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zh-CN"/>
              </w:rPr>
              <w:t>施工现场平面图</w:t>
            </w:r>
            <w:r>
              <w:rPr>
                <w:rFonts w:hint="eastAsia" w:ascii="宋体" w:hAnsi="宋体" w:eastAsia="宋体" w:cs="宋体"/>
                <w:i w:val="0"/>
                <w:iCs w:val="0"/>
                <w:color w:val="auto"/>
                <w:sz w:val="24"/>
                <w:szCs w:val="24"/>
                <w:highlight w:val="none"/>
              </w:rPr>
              <w:t>进行比较，内容完整、合理、可行得</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zh-CN"/>
              </w:rPr>
              <w:t>施工现场平面图</w:t>
            </w:r>
            <w:r>
              <w:rPr>
                <w:rFonts w:hint="eastAsia" w:ascii="宋体" w:hAnsi="宋体" w:eastAsia="宋体" w:cs="宋体"/>
                <w:i w:val="0"/>
                <w:iCs w:val="0"/>
                <w:color w:val="auto"/>
                <w:sz w:val="24"/>
                <w:szCs w:val="24"/>
                <w:highlight w:val="none"/>
                <w:lang w:val="en-US" w:eastAsia="zh-CN"/>
              </w:rPr>
              <w:t>内容清晰</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zh-CN"/>
              </w:rPr>
              <w:t>施工现场平面图</w:t>
            </w:r>
            <w:r>
              <w:rPr>
                <w:rFonts w:hint="eastAsia" w:ascii="宋体" w:hAnsi="宋体" w:eastAsia="宋体" w:cs="宋体"/>
                <w:i w:val="0"/>
                <w:iCs w:val="0"/>
                <w:color w:val="auto"/>
                <w:sz w:val="24"/>
                <w:szCs w:val="24"/>
                <w:highlight w:val="none"/>
                <w:lang w:val="en-US" w:eastAsia="zh-CN"/>
              </w:rPr>
              <w:t>内容不清晰并且不准确</w:t>
            </w:r>
            <w:r>
              <w:rPr>
                <w:rFonts w:hint="eastAsia" w:ascii="宋体" w:hAnsi="宋体" w:eastAsia="宋体" w:cs="宋体"/>
                <w:i w:val="0"/>
                <w:iCs w:val="0"/>
                <w:color w:val="auto"/>
                <w:sz w:val="24"/>
                <w:szCs w:val="24"/>
                <w:highlight w:val="none"/>
              </w:rPr>
              <w:t>得</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分，无不得分</w:t>
            </w:r>
            <w:r>
              <w:rPr>
                <w:rFonts w:hint="eastAsia" w:ascii="宋体" w:hAnsi="宋体" w:eastAsia="宋体" w:cs="宋体"/>
                <w:i w:val="0"/>
                <w:iCs w:val="0"/>
                <w:color w:val="auto"/>
                <w:sz w:val="24"/>
                <w:szCs w:val="24"/>
                <w:highlight w:val="none"/>
                <w:lang w:eastAsia="zh-CN"/>
              </w:rPr>
              <w:t>。</w:t>
            </w:r>
          </w:p>
        </w:tc>
      </w:tr>
      <w:tr w14:paraId="69160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0" w:hRule="atLeast"/>
        </w:trPr>
        <w:tc>
          <w:tcPr>
            <w:tcW w:w="1291" w:type="dxa"/>
            <w:vMerge w:val="restart"/>
            <w:noWrap w:val="0"/>
            <w:vAlign w:val="center"/>
          </w:tcPr>
          <w:p w14:paraId="57FDC7B5">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项目管理机构评分标准</w:t>
            </w:r>
          </w:p>
          <w:p w14:paraId="676598CF">
            <w:pPr>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分</w:t>
            </w:r>
            <w:r>
              <w:rPr>
                <w:rFonts w:hint="eastAsia" w:ascii="宋体" w:hAnsi="宋体" w:eastAsia="宋体" w:cs="宋体"/>
                <w:i w:val="0"/>
                <w:iCs w:val="0"/>
                <w:color w:val="auto"/>
                <w:sz w:val="24"/>
                <w:szCs w:val="24"/>
                <w:highlight w:val="none"/>
                <w:lang w:eastAsia="zh-CN"/>
              </w:rPr>
              <w:t>）</w:t>
            </w:r>
          </w:p>
        </w:tc>
        <w:tc>
          <w:tcPr>
            <w:tcW w:w="2078" w:type="dxa"/>
            <w:noWrap w:val="0"/>
            <w:vAlign w:val="center"/>
          </w:tcPr>
          <w:p w14:paraId="7E54FEB2">
            <w:pPr>
              <w:autoSpaceDE w:val="0"/>
              <w:autoSpaceDN w:val="0"/>
              <w:adjustRightInd w:val="0"/>
              <w:snapToGrid w:val="0"/>
              <w:spacing w:beforeLines="15"/>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项目经理业绩</w:t>
            </w:r>
          </w:p>
          <w:p w14:paraId="65EA1EB0">
            <w:pPr>
              <w:adjustRightInd w:val="0"/>
              <w:snapToGrid w:val="0"/>
              <w:spacing w:beforeLines="15"/>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w:t>
            </w:r>
            <w:r>
              <w:rPr>
                <w:rFonts w:hint="eastAsia" w:ascii="宋体" w:hAnsi="宋体" w:eastAsia="宋体" w:cs="宋体"/>
                <w:i w:val="0"/>
                <w:iCs w:val="0"/>
                <w:color w:val="auto"/>
                <w:kern w:val="0"/>
                <w:sz w:val="24"/>
                <w:szCs w:val="24"/>
                <w:highlight w:val="none"/>
                <w:lang w:val="en-US" w:eastAsia="zh-CN"/>
              </w:rPr>
              <w:t>2</w:t>
            </w:r>
            <w:r>
              <w:rPr>
                <w:rFonts w:hint="eastAsia" w:ascii="宋体" w:hAnsi="宋体" w:eastAsia="宋体" w:cs="宋体"/>
                <w:i w:val="0"/>
                <w:iCs w:val="0"/>
                <w:color w:val="auto"/>
                <w:kern w:val="0"/>
                <w:sz w:val="24"/>
                <w:szCs w:val="24"/>
                <w:highlight w:val="none"/>
              </w:rPr>
              <w:t>分）</w:t>
            </w:r>
          </w:p>
        </w:tc>
        <w:tc>
          <w:tcPr>
            <w:tcW w:w="5855" w:type="dxa"/>
            <w:noWrap w:val="0"/>
            <w:vAlign w:val="top"/>
          </w:tcPr>
          <w:p w14:paraId="21DE47C1">
            <w:pPr>
              <w:pStyle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项目经理在</w:t>
            </w:r>
            <w:r>
              <w:rPr>
                <w:rFonts w:hint="eastAsia" w:ascii="宋体" w:hAnsi="宋体" w:eastAsia="宋体" w:cs="宋体"/>
                <w:i w:val="0"/>
                <w:iCs w:val="0"/>
                <w:color w:val="auto"/>
                <w:kern w:val="0"/>
                <w:sz w:val="24"/>
                <w:szCs w:val="24"/>
                <w:highlight w:val="none"/>
                <w:lang w:val="zh-CN" w:eastAsia="zh-CN" w:bidi="ar-SA"/>
              </w:rPr>
              <w:t>近三年（</w:t>
            </w:r>
            <w:r>
              <w:rPr>
                <w:rFonts w:hint="eastAsia" w:ascii="宋体" w:hAnsi="宋体" w:eastAsia="宋体" w:cs="宋体"/>
                <w:i w:val="0"/>
                <w:iCs w:val="0"/>
                <w:color w:val="auto"/>
                <w:kern w:val="0"/>
                <w:sz w:val="24"/>
                <w:szCs w:val="24"/>
                <w:highlight w:val="none"/>
                <w:lang w:val="en-US" w:eastAsia="zh-CN" w:bidi="ar-SA"/>
              </w:rPr>
              <w:t>202</w:t>
            </w:r>
            <w:r>
              <w:rPr>
                <w:rFonts w:hint="eastAsia" w:hAnsi="宋体" w:cs="宋体"/>
                <w:i w:val="0"/>
                <w:iCs w:val="0"/>
                <w:color w:val="auto"/>
                <w:kern w:val="0"/>
                <w:sz w:val="24"/>
                <w:szCs w:val="24"/>
                <w:highlight w:val="none"/>
                <w:lang w:val="en-US" w:eastAsia="zh-CN" w:bidi="ar-SA"/>
              </w:rPr>
              <w:t>2</w:t>
            </w:r>
            <w:r>
              <w:rPr>
                <w:rFonts w:hint="eastAsia" w:ascii="宋体" w:hAnsi="宋体" w:eastAsia="宋体" w:cs="宋体"/>
                <w:i w:val="0"/>
                <w:iCs w:val="0"/>
                <w:color w:val="auto"/>
                <w:kern w:val="0"/>
                <w:sz w:val="24"/>
                <w:szCs w:val="24"/>
                <w:highlight w:val="none"/>
                <w:lang w:val="en-US" w:eastAsia="zh-CN" w:bidi="ar-SA"/>
              </w:rPr>
              <w:t>年至今</w:t>
            </w:r>
            <w:r>
              <w:rPr>
                <w:rFonts w:hint="eastAsia" w:ascii="宋体" w:hAnsi="宋体" w:eastAsia="宋体" w:cs="宋体"/>
                <w:i w:val="0"/>
                <w:iCs w:val="0"/>
                <w:color w:val="auto"/>
                <w:kern w:val="0"/>
                <w:sz w:val="24"/>
                <w:szCs w:val="24"/>
                <w:highlight w:val="none"/>
                <w:lang w:val="zh-CN" w:eastAsia="zh-CN" w:bidi="ar-SA"/>
              </w:rPr>
              <w:t>）</w:t>
            </w:r>
            <w:r>
              <w:rPr>
                <w:rFonts w:hint="eastAsia" w:ascii="宋体" w:hAnsi="宋体" w:eastAsia="宋体" w:cs="宋体"/>
                <w:i w:val="0"/>
                <w:iCs w:val="0"/>
                <w:color w:val="auto"/>
                <w:kern w:val="0"/>
                <w:sz w:val="24"/>
                <w:szCs w:val="24"/>
                <w:highlight w:val="none"/>
                <w:lang w:val="en-US" w:eastAsia="zh-CN"/>
              </w:rPr>
              <w:t>具有</w:t>
            </w:r>
            <w:r>
              <w:rPr>
                <w:rFonts w:hint="eastAsia" w:ascii="宋体" w:hAnsi="宋体" w:eastAsia="宋体" w:cs="宋体"/>
                <w:i w:val="0"/>
                <w:iCs w:val="0"/>
                <w:color w:val="auto"/>
                <w:sz w:val="24"/>
                <w:szCs w:val="24"/>
                <w:highlight w:val="none"/>
              </w:rPr>
              <w:t>以项目经理身份或大、中型项目技术负责人身份</w:t>
            </w:r>
            <w:r>
              <w:rPr>
                <w:rFonts w:hint="eastAsia" w:ascii="宋体" w:hAnsi="宋体" w:eastAsia="宋体" w:cs="宋体"/>
                <w:i w:val="0"/>
                <w:iCs w:val="0"/>
                <w:color w:val="auto"/>
                <w:kern w:val="0"/>
                <w:sz w:val="24"/>
                <w:szCs w:val="24"/>
                <w:highlight w:val="none"/>
              </w:rPr>
              <w:t>完成过类似</w:t>
            </w:r>
            <w:r>
              <w:rPr>
                <w:rFonts w:hint="eastAsia" w:ascii="宋体" w:hAnsi="宋体" w:eastAsia="宋体" w:cs="宋体"/>
                <w:i w:val="0"/>
                <w:iCs w:val="0"/>
                <w:color w:val="auto"/>
                <w:kern w:val="0"/>
                <w:sz w:val="24"/>
                <w:szCs w:val="24"/>
                <w:highlight w:val="none"/>
                <w:lang w:eastAsia="zh-CN"/>
              </w:rPr>
              <w:t>项目</w:t>
            </w:r>
            <w:r>
              <w:rPr>
                <w:rFonts w:hint="eastAsia" w:ascii="宋体" w:hAnsi="宋体" w:eastAsia="宋体" w:cs="宋体"/>
                <w:i w:val="0"/>
                <w:iCs w:val="0"/>
                <w:color w:val="auto"/>
                <w:kern w:val="0"/>
                <w:sz w:val="24"/>
                <w:szCs w:val="24"/>
                <w:highlight w:val="none"/>
              </w:rPr>
              <w:t>业绩，每有一项得</w:t>
            </w:r>
            <w:r>
              <w:rPr>
                <w:rFonts w:hint="eastAsia" w:ascii="宋体" w:hAnsi="宋体" w:eastAsia="宋体" w:cs="宋体"/>
                <w:i w:val="0"/>
                <w:iCs w:val="0"/>
                <w:color w:val="auto"/>
                <w:kern w:val="0"/>
                <w:sz w:val="24"/>
                <w:szCs w:val="24"/>
                <w:highlight w:val="none"/>
                <w:lang w:val="en-US" w:eastAsia="zh-CN"/>
              </w:rPr>
              <w:t>1</w:t>
            </w:r>
            <w:r>
              <w:rPr>
                <w:rFonts w:hint="eastAsia" w:ascii="宋体" w:hAnsi="宋体" w:eastAsia="宋体" w:cs="宋体"/>
                <w:i w:val="0"/>
                <w:iCs w:val="0"/>
                <w:color w:val="auto"/>
                <w:kern w:val="0"/>
                <w:sz w:val="24"/>
                <w:szCs w:val="24"/>
                <w:highlight w:val="none"/>
              </w:rPr>
              <w:t>分，满分</w:t>
            </w:r>
            <w:r>
              <w:rPr>
                <w:rFonts w:hint="eastAsia" w:hAnsi="宋体" w:cs="宋体"/>
                <w:i w:val="0"/>
                <w:iCs w:val="0"/>
                <w:color w:val="auto"/>
                <w:kern w:val="0"/>
                <w:sz w:val="24"/>
                <w:szCs w:val="24"/>
                <w:highlight w:val="none"/>
                <w:lang w:val="en-US" w:eastAsia="zh-CN"/>
              </w:rPr>
              <w:t>2</w:t>
            </w:r>
            <w:r>
              <w:rPr>
                <w:rFonts w:hint="eastAsia" w:ascii="宋体" w:hAnsi="宋体" w:eastAsia="宋体" w:cs="宋体"/>
                <w:i w:val="0"/>
                <w:iCs w:val="0"/>
                <w:color w:val="auto"/>
                <w:kern w:val="0"/>
                <w:sz w:val="24"/>
                <w:szCs w:val="24"/>
                <w:highlight w:val="none"/>
              </w:rPr>
              <w:t>分。</w:t>
            </w:r>
          </w:p>
          <w:p w14:paraId="5E672FD7">
            <w:pPr>
              <w:pStyle w:val="9"/>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投标文件</w:t>
            </w:r>
            <w:r>
              <w:rPr>
                <w:rFonts w:hint="eastAsia" w:ascii="宋体" w:hAnsi="宋体" w:eastAsia="宋体" w:cs="宋体"/>
                <w:i w:val="0"/>
                <w:iCs w:val="0"/>
                <w:color w:val="auto"/>
                <w:kern w:val="0"/>
                <w:sz w:val="24"/>
                <w:szCs w:val="24"/>
                <w:highlight w:val="none"/>
                <w:lang w:val="zh-CN"/>
              </w:rPr>
              <w:t>内附</w:t>
            </w:r>
            <w:r>
              <w:rPr>
                <w:rFonts w:hint="eastAsia" w:ascii="宋体" w:hAnsi="宋体" w:eastAsia="宋体" w:cs="宋体"/>
                <w:i w:val="0"/>
                <w:iCs w:val="0"/>
                <w:color w:val="auto"/>
                <w:kern w:val="0"/>
                <w:sz w:val="24"/>
                <w:szCs w:val="24"/>
                <w:highlight w:val="none"/>
                <w:lang w:val="en-US" w:eastAsia="zh-CN"/>
              </w:rPr>
              <w:t>中标通知书或合同协议书或</w:t>
            </w:r>
            <w:r>
              <w:rPr>
                <w:rFonts w:hint="eastAsia" w:ascii="宋体" w:hAnsi="宋体" w:eastAsia="宋体" w:cs="宋体"/>
                <w:i w:val="0"/>
                <w:iCs w:val="0"/>
                <w:color w:val="auto"/>
                <w:kern w:val="0"/>
                <w:sz w:val="24"/>
                <w:szCs w:val="24"/>
                <w:highlight w:val="none"/>
                <w:lang w:val="zh-CN"/>
              </w:rPr>
              <w:t>竣工验收报告复印件，加盖</w:t>
            </w:r>
            <w:r>
              <w:rPr>
                <w:rFonts w:hint="eastAsia" w:ascii="宋体" w:hAnsi="宋体" w:eastAsia="宋体" w:cs="宋体"/>
                <w:i w:val="0"/>
                <w:iCs w:val="0"/>
                <w:color w:val="auto"/>
                <w:kern w:val="0"/>
                <w:sz w:val="24"/>
                <w:szCs w:val="24"/>
                <w:highlight w:val="none"/>
              </w:rPr>
              <w:t>投标单位公章</w:t>
            </w:r>
            <w:r>
              <w:rPr>
                <w:rFonts w:hint="eastAsia" w:ascii="宋体" w:hAnsi="宋体" w:eastAsia="宋体" w:cs="宋体"/>
                <w:i w:val="0"/>
                <w:iCs w:val="0"/>
                <w:color w:val="auto"/>
                <w:kern w:val="0"/>
                <w:sz w:val="24"/>
                <w:szCs w:val="24"/>
                <w:highlight w:val="none"/>
                <w:lang w:eastAsia="zh-CN"/>
              </w:rPr>
              <w:t>。</w:t>
            </w:r>
            <w:r>
              <w:rPr>
                <w:rFonts w:hint="eastAsia" w:ascii="宋体" w:hAnsi="宋体" w:eastAsia="宋体" w:cs="宋体"/>
                <w:i w:val="0"/>
                <w:iCs w:val="0"/>
                <w:color w:val="auto"/>
                <w:sz w:val="24"/>
                <w:szCs w:val="24"/>
                <w:highlight w:val="none"/>
              </w:rPr>
              <w:t>（须体现项目经理姓名）</w:t>
            </w:r>
          </w:p>
        </w:tc>
      </w:tr>
      <w:tr w14:paraId="3F1E8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1" w:type="dxa"/>
            <w:vMerge w:val="continue"/>
            <w:noWrap w:val="0"/>
            <w:vAlign w:val="top"/>
          </w:tcPr>
          <w:p w14:paraId="71130BF8">
            <w:pPr>
              <w:rPr>
                <w:rFonts w:hint="eastAsia" w:ascii="宋体" w:hAnsi="宋体" w:eastAsia="宋体" w:cs="宋体"/>
                <w:i w:val="0"/>
                <w:iCs w:val="0"/>
                <w:color w:val="auto"/>
                <w:sz w:val="24"/>
                <w:szCs w:val="24"/>
                <w:highlight w:val="none"/>
              </w:rPr>
            </w:pPr>
          </w:p>
        </w:tc>
        <w:tc>
          <w:tcPr>
            <w:tcW w:w="2078" w:type="dxa"/>
            <w:noWrap w:val="0"/>
            <w:vAlign w:val="center"/>
          </w:tcPr>
          <w:p w14:paraId="146FEEA1">
            <w:pPr>
              <w:autoSpaceDE w:val="0"/>
              <w:autoSpaceDN w:val="0"/>
              <w:adjustRightInd w:val="0"/>
              <w:spacing w:line="300" w:lineRule="exact"/>
              <w:jc w:val="center"/>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其他主要人员</w:t>
            </w:r>
          </w:p>
          <w:p w14:paraId="5391122D">
            <w:pPr>
              <w:autoSpaceDE w:val="0"/>
              <w:autoSpaceDN w:val="0"/>
              <w:adjustRightInd w:val="0"/>
              <w:spacing w:line="30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b w:val="0"/>
                <w:bCs/>
                <w:i w:val="0"/>
                <w:iCs w:val="0"/>
                <w:color w:val="auto"/>
                <w:sz w:val="24"/>
                <w:szCs w:val="24"/>
                <w:highlight w:val="none"/>
              </w:rPr>
              <w:t>（</w:t>
            </w:r>
            <w:r>
              <w:rPr>
                <w:rFonts w:hint="eastAsia" w:ascii="宋体" w:hAnsi="宋体" w:eastAsia="宋体" w:cs="宋体"/>
                <w:b w:val="0"/>
                <w:bCs/>
                <w:i w:val="0"/>
                <w:iCs w:val="0"/>
                <w:color w:val="auto"/>
                <w:sz w:val="24"/>
                <w:szCs w:val="24"/>
                <w:highlight w:val="none"/>
                <w:lang w:val="en-US" w:eastAsia="zh-CN"/>
              </w:rPr>
              <w:t>5</w:t>
            </w:r>
            <w:r>
              <w:rPr>
                <w:rFonts w:hint="eastAsia" w:ascii="宋体" w:hAnsi="宋体" w:eastAsia="宋体" w:cs="宋体"/>
                <w:b w:val="0"/>
                <w:bCs/>
                <w:i w:val="0"/>
                <w:iCs w:val="0"/>
                <w:color w:val="auto"/>
                <w:sz w:val="24"/>
                <w:szCs w:val="24"/>
                <w:highlight w:val="none"/>
              </w:rPr>
              <w:t>分）</w:t>
            </w:r>
          </w:p>
        </w:tc>
        <w:tc>
          <w:tcPr>
            <w:tcW w:w="5855" w:type="dxa"/>
            <w:noWrap w:val="0"/>
            <w:vAlign w:val="center"/>
          </w:tcPr>
          <w:p w14:paraId="5599F4D5">
            <w:pPr>
              <w:spacing w:line="276" w:lineRule="auto"/>
              <w:jc w:val="left"/>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其他主要人员配备齐全，技术负责人、质量检验员、安全员、财务人员等岗位齐全，相应人员有职称证书或上岗证书，满足施工要求。优得</w:t>
            </w:r>
            <w:r>
              <w:rPr>
                <w:rFonts w:hint="eastAsia" w:ascii="宋体" w:hAnsi="宋体" w:eastAsia="宋体" w:cs="宋体"/>
                <w:b w:val="0"/>
                <w:bCs/>
                <w:i w:val="0"/>
                <w:iCs w:val="0"/>
                <w:color w:val="auto"/>
                <w:sz w:val="24"/>
                <w:szCs w:val="24"/>
                <w:highlight w:val="none"/>
                <w:lang w:val="en-US" w:eastAsia="zh-CN"/>
              </w:rPr>
              <w:t>5</w:t>
            </w:r>
            <w:r>
              <w:rPr>
                <w:rFonts w:hint="eastAsia" w:ascii="宋体" w:hAnsi="宋体" w:eastAsia="宋体" w:cs="宋体"/>
                <w:b w:val="0"/>
                <w:bCs/>
                <w:i w:val="0"/>
                <w:iCs w:val="0"/>
                <w:color w:val="auto"/>
                <w:sz w:val="24"/>
                <w:szCs w:val="24"/>
                <w:highlight w:val="none"/>
              </w:rPr>
              <w:t>分，良得</w:t>
            </w:r>
            <w:r>
              <w:rPr>
                <w:rFonts w:hint="eastAsia" w:ascii="宋体" w:hAnsi="宋体" w:eastAsia="宋体" w:cs="宋体"/>
                <w:b w:val="0"/>
                <w:bCs/>
                <w:i w:val="0"/>
                <w:iCs w:val="0"/>
                <w:color w:val="auto"/>
                <w:sz w:val="24"/>
                <w:szCs w:val="24"/>
                <w:highlight w:val="none"/>
                <w:lang w:val="en-US" w:eastAsia="zh-CN"/>
              </w:rPr>
              <w:t>3</w:t>
            </w:r>
            <w:r>
              <w:rPr>
                <w:rFonts w:hint="eastAsia" w:ascii="宋体" w:hAnsi="宋体" w:eastAsia="宋体" w:cs="宋体"/>
                <w:b w:val="0"/>
                <w:bCs/>
                <w:i w:val="0"/>
                <w:iCs w:val="0"/>
                <w:color w:val="auto"/>
                <w:sz w:val="24"/>
                <w:szCs w:val="24"/>
                <w:highlight w:val="none"/>
              </w:rPr>
              <w:t>分，一般得</w:t>
            </w:r>
            <w:r>
              <w:rPr>
                <w:rFonts w:hint="eastAsia" w:ascii="宋体" w:hAnsi="宋体" w:eastAsia="宋体" w:cs="宋体"/>
                <w:b w:val="0"/>
                <w:bCs/>
                <w:i w:val="0"/>
                <w:iCs w:val="0"/>
                <w:color w:val="auto"/>
                <w:sz w:val="24"/>
                <w:szCs w:val="24"/>
                <w:highlight w:val="none"/>
                <w:lang w:val="en-US" w:eastAsia="zh-CN"/>
              </w:rPr>
              <w:t>1</w:t>
            </w:r>
            <w:r>
              <w:rPr>
                <w:rFonts w:hint="eastAsia" w:ascii="宋体" w:hAnsi="宋体" w:eastAsia="宋体" w:cs="宋体"/>
                <w:b w:val="0"/>
                <w:bCs/>
                <w:i w:val="0"/>
                <w:iCs w:val="0"/>
                <w:color w:val="auto"/>
                <w:sz w:val="24"/>
                <w:szCs w:val="24"/>
                <w:highlight w:val="none"/>
              </w:rPr>
              <w:t>分。</w:t>
            </w:r>
          </w:p>
          <w:p w14:paraId="7A576EF9">
            <w:pPr>
              <w:autoSpaceDE w:val="0"/>
              <w:autoSpaceDN w:val="0"/>
              <w:adjustRightInd w:val="0"/>
              <w:snapToGrid w:val="0"/>
              <w:spacing w:before="94" w:beforeLines="15" w:line="280" w:lineRule="exact"/>
              <w:jc w:val="left"/>
              <w:rPr>
                <w:rFonts w:hint="eastAsia" w:ascii="宋体" w:hAnsi="宋体" w:eastAsia="宋体" w:cs="宋体"/>
                <w:i w:val="0"/>
                <w:iCs w:val="0"/>
                <w:color w:val="auto"/>
                <w:sz w:val="24"/>
                <w:szCs w:val="24"/>
                <w:highlight w:val="none"/>
                <w:lang w:eastAsia="zh-CN"/>
              </w:rPr>
            </w:pPr>
            <w:r>
              <w:rPr>
                <w:rFonts w:hint="eastAsia" w:ascii="宋体" w:hAnsi="宋体" w:eastAsia="宋体" w:cs="宋体"/>
                <w:b/>
                <w:bCs w:val="0"/>
                <w:i w:val="0"/>
                <w:iCs w:val="0"/>
                <w:color w:val="auto"/>
                <w:sz w:val="24"/>
                <w:szCs w:val="24"/>
                <w:highlight w:val="none"/>
                <w:lang w:val="en-US" w:eastAsia="zh-CN"/>
              </w:rPr>
              <w:t>投标</w:t>
            </w:r>
            <w:r>
              <w:rPr>
                <w:rFonts w:hint="eastAsia" w:ascii="宋体" w:hAnsi="宋体" w:eastAsia="宋体" w:cs="宋体"/>
                <w:b/>
                <w:bCs w:val="0"/>
                <w:i w:val="0"/>
                <w:iCs w:val="0"/>
                <w:color w:val="auto"/>
                <w:sz w:val="24"/>
                <w:szCs w:val="24"/>
                <w:highlight w:val="none"/>
                <w:lang w:eastAsia="zh-CN"/>
              </w:rPr>
              <w:t>文件</w:t>
            </w:r>
            <w:r>
              <w:rPr>
                <w:rFonts w:hint="eastAsia" w:ascii="宋体" w:hAnsi="宋体" w:eastAsia="宋体" w:cs="宋体"/>
                <w:b/>
                <w:bCs w:val="0"/>
                <w:i w:val="0"/>
                <w:iCs w:val="0"/>
                <w:color w:val="auto"/>
                <w:sz w:val="24"/>
                <w:szCs w:val="24"/>
                <w:highlight w:val="none"/>
              </w:rPr>
              <w:t>内附相应人员职称证书或岗位证书</w:t>
            </w:r>
            <w:r>
              <w:rPr>
                <w:rFonts w:hint="eastAsia" w:ascii="宋体" w:hAnsi="宋体" w:eastAsia="宋体" w:cs="宋体"/>
                <w:b/>
                <w:bCs w:val="0"/>
                <w:i w:val="0"/>
                <w:iCs w:val="0"/>
                <w:color w:val="auto"/>
                <w:sz w:val="24"/>
                <w:szCs w:val="24"/>
                <w:highlight w:val="none"/>
                <w:lang w:eastAsia="zh-CN"/>
              </w:rPr>
              <w:t>，出具的所在企业缴纳的近半年内任意</w:t>
            </w:r>
            <w:r>
              <w:rPr>
                <w:rFonts w:hint="eastAsia" w:ascii="宋体" w:hAnsi="宋体" w:eastAsia="宋体" w:cs="宋体"/>
                <w:b/>
                <w:bCs w:val="0"/>
                <w:i w:val="0"/>
                <w:iCs w:val="0"/>
                <w:color w:val="auto"/>
                <w:sz w:val="24"/>
                <w:szCs w:val="24"/>
                <w:highlight w:val="none"/>
                <w:lang w:val="en-US" w:eastAsia="zh-CN"/>
              </w:rPr>
              <w:t>一</w:t>
            </w:r>
            <w:r>
              <w:rPr>
                <w:rFonts w:hint="eastAsia" w:ascii="宋体" w:hAnsi="宋体" w:eastAsia="宋体" w:cs="宋体"/>
                <w:b/>
                <w:bCs w:val="0"/>
                <w:i w:val="0"/>
                <w:iCs w:val="0"/>
                <w:color w:val="auto"/>
                <w:sz w:val="24"/>
                <w:szCs w:val="24"/>
                <w:highlight w:val="none"/>
                <w:lang w:eastAsia="zh-CN"/>
              </w:rPr>
              <w:t>个月的社保证明文件</w:t>
            </w:r>
            <w:r>
              <w:rPr>
                <w:rFonts w:hint="eastAsia" w:ascii="宋体" w:hAnsi="宋体" w:eastAsia="宋体" w:cs="宋体"/>
                <w:b/>
                <w:bCs w:val="0"/>
                <w:i w:val="0"/>
                <w:iCs w:val="0"/>
                <w:color w:val="auto"/>
                <w:sz w:val="24"/>
                <w:szCs w:val="24"/>
                <w:highlight w:val="none"/>
              </w:rPr>
              <w:t>复印件加盖</w:t>
            </w:r>
            <w:r>
              <w:rPr>
                <w:rFonts w:hint="eastAsia" w:ascii="宋体" w:hAnsi="宋体" w:eastAsia="宋体" w:cs="宋体"/>
                <w:b/>
                <w:bCs w:val="0"/>
                <w:i w:val="0"/>
                <w:iCs w:val="0"/>
                <w:color w:val="auto"/>
                <w:sz w:val="24"/>
                <w:szCs w:val="24"/>
                <w:highlight w:val="none"/>
                <w:lang w:val="en-US" w:eastAsia="zh-CN"/>
              </w:rPr>
              <w:t>投标单位</w:t>
            </w:r>
            <w:r>
              <w:rPr>
                <w:rFonts w:hint="eastAsia" w:ascii="宋体" w:hAnsi="宋体" w:eastAsia="宋体" w:cs="宋体"/>
                <w:b/>
                <w:bCs w:val="0"/>
                <w:i w:val="0"/>
                <w:iCs w:val="0"/>
                <w:color w:val="auto"/>
                <w:sz w:val="24"/>
                <w:szCs w:val="24"/>
                <w:highlight w:val="none"/>
              </w:rPr>
              <w:t>公章</w:t>
            </w:r>
            <w:r>
              <w:rPr>
                <w:rFonts w:hint="eastAsia" w:ascii="宋体" w:hAnsi="宋体" w:eastAsia="宋体" w:cs="宋体"/>
                <w:b/>
                <w:bCs w:val="0"/>
                <w:i w:val="0"/>
                <w:iCs w:val="0"/>
                <w:color w:val="auto"/>
                <w:sz w:val="24"/>
                <w:szCs w:val="24"/>
                <w:highlight w:val="none"/>
                <w:lang w:eastAsia="zh-CN"/>
              </w:rPr>
              <w:t>。</w:t>
            </w:r>
          </w:p>
        </w:tc>
      </w:tr>
      <w:tr w14:paraId="3D513D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1" w:type="dxa"/>
            <w:vMerge w:val="restart"/>
            <w:noWrap w:val="0"/>
            <w:vAlign w:val="center"/>
          </w:tcPr>
          <w:p w14:paraId="17AAF9FE">
            <w:pPr>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pacing w:val="-17"/>
                <w:sz w:val="24"/>
                <w:szCs w:val="24"/>
                <w:highlight w:val="none"/>
              </w:rPr>
              <w:t>其他因素评分标准</w:t>
            </w:r>
            <w:r>
              <w:rPr>
                <w:rFonts w:hint="eastAsia" w:ascii="宋体" w:hAnsi="宋体" w:eastAsia="宋体" w:cs="宋体"/>
                <w:i w:val="0"/>
                <w:iCs w:val="0"/>
                <w:color w:val="auto"/>
                <w:spacing w:val="-17"/>
                <w:sz w:val="24"/>
                <w:szCs w:val="24"/>
                <w:highlight w:val="none"/>
                <w:lang w:eastAsia="zh-CN"/>
              </w:rPr>
              <w:t>（</w:t>
            </w:r>
            <w:r>
              <w:rPr>
                <w:rFonts w:hint="eastAsia" w:ascii="宋体" w:hAnsi="宋体" w:eastAsia="宋体" w:cs="宋体"/>
                <w:i w:val="0"/>
                <w:iCs w:val="0"/>
                <w:color w:val="auto"/>
                <w:spacing w:val="-17"/>
                <w:sz w:val="24"/>
                <w:szCs w:val="24"/>
                <w:highlight w:val="none"/>
                <w:lang w:val="en-US" w:eastAsia="zh-CN"/>
              </w:rPr>
              <w:t>13分</w:t>
            </w:r>
            <w:r>
              <w:rPr>
                <w:rFonts w:hint="eastAsia" w:ascii="宋体" w:hAnsi="宋体" w:eastAsia="宋体" w:cs="宋体"/>
                <w:i w:val="0"/>
                <w:iCs w:val="0"/>
                <w:color w:val="auto"/>
                <w:spacing w:val="-17"/>
                <w:sz w:val="24"/>
                <w:szCs w:val="24"/>
                <w:highlight w:val="none"/>
                <w:lang w:eastAsia="zh-CN"/>
              </w:rPr>
              <w:t>）</w:t>
            </w:r>
          </w:p>
        </w:tc>
        <w:tc>
          <w:tcPr>
            <w:tcW w:w="2078" w:type="dxa"/>
            <w:noWrap w:val="0"/>
            <w:vAlign w:val="center"/>
          </w:tcPr>
          <w:p w14:paraId="34803E03">
            <w:pPr>
              <w:jc w:val="center"/>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en-US" w:eastAsia="zh-CN" w:bidi="ar-SA"/>
              </w:rPr>
              <w:t>类似项目业绩   （3分）</w:t>
            </w:r>
          </w:p>
        </w:tc>
        <w:tc>
          <w:tcPr>
            <w:tcW w:w="5855" w:type="dxa"/>
            <w:noWrap w:val="0"/>
            <w:vAlign w:val="center"/>
          </w:tcPr>
          <w:p w14:paraId="62CE3AE2">
            <w:pPr>
              <w:autoSpaceDE w:val="0"/>
              <w:autoSpaceDN w:val="0"/>
              <w:adjustRightInd w:val="0"/>
              <w:spacing w:line="360" w:lineRule="exact"/>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en-US" w:eastAsia="zh-CN" w:bidi="ar-SA"/>
              </w:rPr>
              <w:t>投标人</w:t>
            </w:r>
            <w:r>
              <w:rPr>
                <w:rFonts w:hint="eastAsia" w:ascii="宋体" w:hAnsi="宋体" w:eastAsia="宋体" w:cs="宋体"/>
                <w:i w:val="0"/>
                <w:iCs w:val="0"/>
                <w:color w:val="auto"/>
                <w:kern w:val="0"/>
                <w:sz w:val="24"/>
                <w:szCs w:val="24"/>
                <w:highlight w:val="none"/>
                <w:lang w:val="zh-CN" w:eastAsia="zh-CN" w:bidi="ar-SA"/>
              </w:rPr>
              <w:t>近三年</w:t>
            </w:r>
            <w:r>
              <w:rPr>
                <w:rFonts w:hint="eastAsia" w:ascii="宋体" w:hAnsi="宋体" w:eastAsia="宋体" w:cs="宋体"/>
                <w:b w:val="0"/>
                <w:bCs w:val="0"/>
                <w:i w:val="0"/>
                <w:iCs w:val="0"/>
                <w:color w:val="auto"/>
                <w:kern w:val="0"/>
                <w:sz w:val="24"/>
                <w:szCs w:val="24"/>
                <w:highlight w:val="none"/>
                <w:lang w:val="zh-CN" w:eastAsia="zh-CN" w:bidi="ar-SA"/>
              </w:rPr>
              <w:t>（</w:t>
            </w:r>
            <w:r>
              <w:rPr>
                <w:rFonts w:hint="eastAsia" w:ascii="宋体" w:hAnsi="宋体" w:eastAsia="宋体" w:cs="宋体"/>
                <w:i w:val="0"/>
                <w:iCs w:val="0"/>
                <w:color w:val="auto"/>
                <w:kern w:val="0"/>
                <w:sz w:val="24"/>
                <w:szCs w:val="24"/>
                <w:highlight w:val="none"/>
                <w:lang w:val="en-US" w:eastAsia="zh-CN" w:bidi="ar-SA"/>
              </w:rPr>
              <w:t>2022年今</w:t>
            </w:r>
            <w:r>
              <w:rPr>
                <w:rFonts w:hint="eastAsia" w:ascii="宋体" w:hAnsi="宋体" w:eastAsia="宋体" w:cs="宋体"/>
                <w:b w:val="0"/>
                <w:bCs w:val="0"/>
                <w:i w:val="0"/>
                <w:iCs w:val="0"/>
                <w:color w:val="auto"/>
                <w:kern w:val="0"/>
                <w:sz w:val="24"/>
                <w:szCs w:val="24"/>
                <w:highlight w:val="none"/>
                <w:lang w:val="zh-CN" w:eastAsia="zh-CN" w:bidi="ar-SA"/>
              </w:rPr>
              <w:t>）</w:t>
            </w:r>
            <w:r>
              <w:rPr>
                <w:rFonts w:hint="eastAsia" w:ascii="宋体" w:hAnsi="宋体" w:eastAsia="宋体" w:cs="宋体"/>
                <w:i w:val="0"/>
                <w:iCs w:val="0"/>
                <w:color w:val="auto"/>
                <w:kern w:val="0"/>
                <w:sz w:val="24"/>
                <w:szCs w:val="24"/>
                <w:highlight w:val="none"/>
                <w:lang w:val="zh-CN" w:eastAsia="zh-CN" w:bidi="ar-SA"/>
              </w:rPr>
              <w:t>具有</w:t>
            </w:r>
            <w:r>
              <w:rPr>
                <w:rFonts w:hint="eastAsia" w:ascii="宋体" w:hAnsi="宋体" w:eastAsia="宋体" w:cs="宋体"/>
                <w:i w:val="0"/>
                <w:iCs w:val="0"/>
                <w:color w:val="auto"/>
                <w:kern w:val="0"/>
                <w:sz w:val="24"/>
                <w:szCs w:val="24"/>
                <w:highlight w:val="none"/>
                <w:lang w:val="en-US" w:eastAsia="zh-CN" w:bidi="ar-SA"/>
              </w:rPr>
              <w:t>与本项目相类似的项目业绩，每有一项得1分，满分3分。</w:t>
            </w:r>
          </w:p>
          <w:p w14:paraId="4487A810">
            <w:pPr>
              <w:autoSpaceDE w:val="0"/>
              <w:autoSpaceDN w:val="0"/>
              <w:adjustRightInd w:val="0"/>
              <w:spacing w:line="360" w:lineRule="exact"/>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rPr>
              <w:t>提供中标通知书和竣工验收报告或合同协议书</w:t>
            </w:r>
            <w:r>
              <w:rPr>
                <w:rFonts w:hint="eastAsia" w:ascii="宋体" w:hAnsi="宋体" w:eastAsia="宋体" w:cs="宋体"/>
                <w:i w:val="0"/>
                <w:iCs w:val="0"/>
                <w:color w:val="auto"/>
                <w:kern w:val="0"/>
                <w:sz w:val="24"/>
                <w:szCs w:val="24"/>
                <w:highlight w:val="none"/>
                <w:lang w:val="en-US" w:eastAsia="zh-CN"/>
              </w:rPr>
              <w:t>或</w:t>
            </w:r>
            <w:r>
              <w:rPr>
                <w:rFonts w:hint="eastAsia" w:ascii="宋体" w:hAnsi="宋体" w:eastAsia="宋体" w:cs="宋体"/>
                <w:i w:val="0"/>
                <w:iCs w:val="0"/>
                <w:color w:val="auto"/>
                <w:kern w:val="0"/>
                <w:sz w:val="24"/>
                <w:szCs w:val="24"/>
                <w:highlight w:val="none"/>
              </w:rPr>
              <w:t>竣工验收报告复印件加盖公章。</w:t>
            </w:r>
          </w:p>
        </w:tc>
      </w:tr>
      <w:tr w14:paraId="71E2F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291" w:type="dxa"/>
            <w:vMerge w:val="continue"/>
            <w:noWrap w:val="0"/>
            <w:vAlign w:val="top"/>
          </w:tcPr>
          <w:p w14:paraId="057E8D3C">
            <w:pPr>
              <w:rPr>
                <w:rFonts w:hint="eastAsia" w:ascii="宋体" w:hAnsi="宋体" w:eastAsia="宋体" w:cs="宋体"/>
                <w:i w:val="0"/>
                <w:iCs w:val="0"/>
                <w:color w:val="auto"/>
                <w:sz w:val="24"/>
                <w:szCs w:val="24"/>
                <w:highlight w:val="none"/>
              </w:rPr>
            </w:pPr>
          </w:p>
        </w:tc>
        <w:tc>
          <w:tcPr>
            <w:tcW w:w="2078" w:type="dxa"/>
            <w:noWrap w:val="0"/>
            <w:vAlign w:val="center"/>
          </w:tcPr>
          <w:p w14:paraId="4A213B45">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优惠条件</w:t>
            </w:r>
          </w:p>
          <w:p w14:paraId="2B6E745B">
            <w:pPr>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5分</w:t>
            </w:r>
            <w:r>
              <w:rPr>
                <w:rFonts w:hint="eastAsia" w:ascii="宋体" w:hAnsi="宋体" w:eastAsia="宋体" w:cs="宋体"/>
                <w:i w:val="0"/>
                <w:iCs w:val="0"/>
                <w:color w:val="auto"/>
                <w:sz w:val="24"/>
                <w:szCs w:val="24"/>
                <w:highlight w:val="none"/>
                <w:lang w:eastAsia="zh-CN"/>
              </w:rPr>
              <w:t>）</w:t>
            </w:r>
          </w:p>
        </w:tc>
        <w:tc>
          <w:tcPr>
            <w:tcW w:w="5855" w:type="dxa"/>
            <w:noWrap w:val="0"/>
            <w:vAlign w:val="center"/>
          </w:tcPr>
          <w:p w14:paraId="0B08AB07">
            <w:pPr>
              <w:spacing w:line="360" w:lineRule="exact"/>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en-US" w:eastAsia="zh-CN" w:bidi="ar-SA"/>
              </w:rPr>
              <w:t>对投标人提出的招标人可以接受的有实质性内容的优惠条件，每有一条得1分，最多得5分，无不得分。</w:t>
            </w:r>
          </w:p>
        </w:tc>
      </w:tr>
      <w:tr w14:paraId="6C553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trPr>
        <w:tc>
          <w:tcPr>
            <w:tcW w:w="1291" w:type="dxa"/>
            <w:vMerge w:val="continue"/>
            <w:noWrap w:val="0"/>
            <w:vAlign w:val="top"/>
          </w:tcPr>
          <w:p w14:paraId="4C538100">
            <w:pPr>
              <w:rPr>
                <w:rFonts w:hint="eastAsia" w:ascii="宋体" w:hAnsi="宋体" w:eastAsia="宋体" w:cs="宋体"/>
                <w:i w:val="0"/>
                <w:iCs w:val="0"/>
                <w:color w:val="auto"/>
                <w:sz w:val="24"/>
                <w:szCs w:val="24"/>
                <w:highlight w:val="none"/>
              </w:rPr>
            </w:pPr>
          </w:p>
        </w:tc>
        <w:tc>
          <w:tcPr>
            <w:tcW w:w="2078" w:type="dxa"/>
            <w:noWrap w:val="0"/>
            <w:vAlign w:val="center"/>
          </w:tcPr>
          <w:p w14:paraId="027ED31B">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服务承诺</w:t>
            </w:r>
          </w:p>
          <w:p w14:paraId="09746564">
            <w:pPr>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5分</w:t>
            </w:r>
            <w:r>
              <w:rPr>
                <w:rFonts w:hint="eastAsia" w:ascii="宋体" w:hAnsi="宋体" w:eastAsia="宋体" w:cs="宋体"/>
                <w:i w:val="0"/>
                <w:iCs w:val="0"/>
                <w:color w:val="auto"/>
                <w:sz w:val="24"/>
                <w:szCs w:val="24"/>
                <w:highlight w:val="none"/>
                <w:lang w:eastAsia="zh-CN"/>
              </w:rPr>
              <w:t>）</w:t>
            </w:r>
          </w:p>
        </w:tc>
        <w:tc>
          <w:tcPr>
            <w:tcW w:w="5855" w:type="dxa"/>
            <w:noWrap w:val="0"/>
            <w:vAlign w:val="center"/>
          </w:tcPr>
          <w:p w14:paraId="333948B1">
            <w:pPr>
              <w:spacing w:line="360" w:lineRule="exact"/>
              <w:rPr>
                <w:rFonts w:hint="eastAsia" w:ascii="宋体" w:hAnsi="宋体" w:eastAsia="宋体" w:cs="宋体"/>
                <w:i w:val="0"/>
                <w:iCs w:val="0"/>
                <w:color w:val="auto"/>
                <w:kern w:val="0"/>
                <w:sz w:val="24"/>
                <w:szCs w:val="24"/>
                <w:highlight w:val="none"/>
                <w:lang w:val="en-US" w:eastAsia="zh-CN" w:bidi="ar-SA"/>
              </w:rPr>
            </w:pPr>
            <w:r>
              <w:rPr>
                <w:rFonts w:hint="eastAsia" w:ascii="宋体" w:hAnsi="宋体" w:eastAsia="宋体" w:cs="宋体"/>
                <w:i w:val="0"/>
                <w:iCs w:val="0"/>
                <w:color w:val="auto"/>
                <w:kern w:val="0"/>
                <w:sz w:val="24"/>
                <w:szCs w:val="24"/>
                <w:highlight w:val="none"/>
                <w:lang w:val="en-US" w:eastAsia="zh-CN" w:bidi="ar-SA"/>
              </w:rPr>
              <w:t>对投标人提出的招标人可以接受的有实质性内容的服务承诺，每有一条得1分，最多得5分，无不得分。</w:t>
            </w:r>
          </w:p>
        </w:tc>
      </w:tr>
    </w:tbl>
    <w:p w14:paraId="4487D12A">
      <w:pPr>
        <w:pStyle w:val="7"/>
        <w:rPr>
          <w:rFonts w:hint="eastAsia" w:ascii="宋体" w:hAnsi="宋体" w:eastAsia="宋体" w:cs="宋体"/>
          <w:i w:val="0"/>
          <w:iCs w:val="0"/>
          <w:color w:val="auto"/>
          <w:spacing w:val="0"/>
          <w:w w:val="100"/>
          <w:position w:val="0"/>
          <w:highlight w:val="none"/>
        </w:rPr>
      </w:pPr>
    </w:p>
    <w:p w14:paraId="0074D2E5">
      <w:pPr>
        <w:rPr>
          <w:rFonts w:hint="eastAsia" w:ascii="宋体" w:hAnsi="宋体" w:eastAsia="宋体" w:cs="宋体"/>
          <w:i w:val="0"/>
          <w:iCs w:val="0"/>
          <w:color w:val="auto"/>
          <w:spacing w:val="0"/>
          <w:w w:val="100"/>
          <w:position w:val="0"/>
          <w:highlight w:val="none"/>
        </w:rPr>
        <w:sectPr>
          <w:footerReference r:id="rId7" w:type="default"/>
          <w:pgSz w:w="11907" w:h="16840"/>
          <w:pgMar w:top="1417" w:right="1418" w:bottom="1417" w:left="1418" w:header="0" w:footer="852" w:gutter="0"/>
          <w:pgNumType w:fmt="decimal"/>
          <w:cols w:space="720" w:num="1"/>
        </w:sectPr>
      </w:pPr>
    </w:p>
    <w:p w14:paraId="53538CF4">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outlineLvl w:val="1"/>
        <w:rPr>
          <w:rFonts w:hint="eastAsia" w:ascii="宋体" w:hAnsi="宋体" w:eastAsia="宋体" w:cs="宋体"/>
          <w:i w:val="0"/>
          <w:iCs w:val="0"/>
          <w:color w:val="auto"/>
          <w:spacing w:val="0"/>
          <w:w w:val="100"/>
          <w:position w:val="0"/>
          <w:sz w:val="24"/>
          <w:szCs w:val="24"/>
          <w:highlight w:val="none"/>
        </w:rPr>
      </w:pPr>
      <w:bookmarkStart w:id="23" w:name="_Toc12044"/>
      <w:r>
        <w:rPr>
          <w:rFonts w:hint="eastAsia" w:ascii="宋体" w:hAnsi="宋体" w:eastAsia="宋体" w:cs="宋体"/>
          <w:i w:val="0"/>
          <w:iCs w:val="0"/>
          <w:color w:val="auto"/>
          <w:spacing w:val="0"/>
          <w:w w:val="100"/>
          <w:position w:val="0"/>
          <w:sz w:val="24"/>
          <w:szCs w:val="24"/>
          <w:highlight w:val="none"/>
        </w:rPr>
        <w:t>1.评审方法</w:t>
      </w:r>
      <w:bookmarkEnd w:id="23"/>
    </w:p>
    <w:p w14:paraId="1D06B94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本次评审采用综合评分法。是指响应文件满足磋商文件全部实质性要求且按评审因素的量化指标评审得分最高的供应商为成交候选供应商的评审方法。竞争性磋商小组对满足磋商文件全部实质性要求的响应文件，按照本章第2.2款规定的评分标准进行打分，并按得分由高到低顺序推荐成交候选供应商，或根据采购人授权直接确定成交供应商，但磋商报价低于其成本的除外。评审得分相同的，按照最后报价由低到高的顺序推荐。评审得分且最后报价相同的，按照技术指标优劣顺序推荐。</w:t>
      </w:r>
    </w:p>
    <w:p w14:paraId="4635389E">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outlineLvl w:val="1"/>
        <w:rPr>
          <w:rFonts w:hint="eastAsia" w:ascii="宋体" w:hAnsi="宋体" w:eastAsia="宋体" w:cs="宋体"/>
          <w:i w:val="0"/>
          <w:iCs w:val="0"/>
          <w:color w:val="auto"/>
          <w:spacing w:val="0"/>
          <w:w w:val="100"/>
          <w:position w:val="0"/>
          <w:sz w:val="24"/>
          <w:szCs w:val="24"/>
          <w:highlight w:val="none"/>
        </w:rPr>
      </w:pPr>
      <w:bookmarkStart w:id="24" w:name="_Toc18294"/>
      <w:r>
        <w:rPr>
          <w:rFonts w:hint="eastAsia" w:ascii="宋体" w:hAnsi="宋体" w:eastAsia="宋体" w:cs="宋体"/>
          <w:i w:val="0"/>
          <w:iCs w:val="0"/>
          <w:color w:val="auto"/>
          <w:spacing w:val="0"/>
          <w:w w:val="100"/>
          <w:position w:val="0"/>
          <w:sz w:val="24"/>
          <w:szCs w:val="24"/>
          <w:highlight w:val="none"/>
        </w:rPr>
        <w:t>2.评审标准</w:t>
      </w:r>
      <w:bookmarkEnd w:id="24"/>
    </w:p>
    <w:p w14:paraId="43981F1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2.1初步评审标准（判定是否出现无效响应）</w:t>
      </w:r>
    </w:p>
    <w:p w14:paraId="30C94BE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2.2分值构成与评分标准</w:t>
      </w:r>
    </w:p>
    <w:p w14:paraId="0C5C5AB0">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2.2.1分值构成见评审办法前附表</w:t>
      </w:r>
    </w:p>
    <w:p w14:paraId="42CF57AA">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2.2.2磋商基准价计算</w:t>
      </w:r>
    </w:p>
    <w:p w14:paraId="186D280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（1）最后磋商报价确定方法：见评审办法前附表；</w:t>
      </w:r>
    </w:p>
    <w:p w14:paraId="7511070F">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（2）磋商基准价计算方法：见评审办法前附表。</w:t>
      </w:r>
    </w:p>
    <w:p w14:paraId="2CA6E19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2.2.3评分标准：见评审办法前附表。</w:t>
      </w:r>
    </w:p>
    <w:p w14:paraId="039A4AC0">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outlineLvl w:val="1"/>
        <w:rPr>
          <w:rFonts w:hint="eastAsia" w:ascii="宋体" w:hAnsi="宋体" w:eastAsia="宋体" w:cs="宋体"/>
          <w:i w:val="0"/>
          <w:iCs w:val="0"/>
          <w:color w:val="auto"/>
          <w:spacing w:val="0"/>
          <w:w w:val="100"/>
          <w:position w:val="0"/>
          <w:sz w:val="24"/>
          <w:szCs w:val="24"/>
          <w:highlight w:val="none"/>
        </w:rPr>
      </w:pPr>
      <w:bookmarkStart w:id="25" w:name="_Toc2202"/>
      <w:r>
        <w:rPr>
          <w:rFonts w:hint="eastAsia" w:ascii="宋体" w:hAnsi="宋体" w:eastAsia="宋体" w:cs="宋体"/>
          <w:i w:val="0"/>
          <w:iCs w:val="0"/>
          <w:color w:val="auto"/>
          <w:spacing w:val="0"/>
          <w:w w:val="100"/>
          <w:position w:val="0"/>
          <w:sz w:val="24"/>
          <w:szCs w:val="24"/>
          <w:highlight w:val="none"/>
        </w:rPr>
        <w:t>3.评审程序</w:t>
      </w:r>
      <w:bookmarkEnd w:id="25"/>
    </w:p>
    <w:p w14:paraId="1F5D8118">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3.1初步评审</w:t>
      </w:r>
    </w:p>
    <w:p w14:paraId="447848B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3.1.1磋商小组依据本章第2.1款规定的标准对响应文件进行初步评审。有一项不符合评审标准的，磋商小组应当判定其响应文件无效。</w:t>
      </w:r>
    </w:p>
    <w:p w14:paraId="62C5D362">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3.2响应文件的澄清和补正</w:t>
      </w:r>
    </w:p>
    <w:p w14:paraId="3C2F5E3C">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64BFBD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3.2.2磋商小组要求供应商澄清、说明或者更正响应文件应当以书面形式作出。供应商的澄清、说明或者更正应当由法定代表人、负责人或其授权代表签字或者加盖公章。由授权代表签字的，应当附法定代表人授权书。供应商为自然人的，应当由本人签字并附身份证明。</w:t>
      </w:r>
    </w:p>
    <w:p w14:paraId="53BE76DD">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3.3供应商成本评审</w:t>
      </w:r>
    </w:p>
    <w:p w14:paraId="59A4C322">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磋商小组发现供应商的磋商最后报价明显低于其他磋商报价，使得其磋商报价可能低于其成本的，应当要求该供应商作出书面说明并提供相应的证明材料。供应商不能合理说明或者不能提供相应证明材料的，由磋商小组认定该供应商以低于成本竞争，判定其响应文件无效。</w:t>
      </w:r>
    </w:p>
    <w:p w14:paraId="49598AC9">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3.4详细评审</w:t>
      </w:r>
    </w:p>
    <w:p w14:paraId="1F2F563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3.4.1磋商小组对通过了初步评审的响应文件进行详细评审。</w:t>
      </w:r>
    </w:p>
    <w:p w14:paraId="6373D506">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3.4.2磋商小组按本章第2.2款规定的量化因素和分值进行打分，并计算出综合评估得分。</w:t>
      </w:r>
    </w:p>
    <w:p w14:paraId="2909287D">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4.3</w:t>
      </w:r>
      <w:r>
        <w:rPr>
          <w:rFonts w:hint="eastAsia" w:ascii="宋体" w:hAnsi="宋体" w:eastAsia="宋体" w:cs="宋体"/>
          <w:i w:val="0"/>
          <w:iCs w:val="0"/>
          <w:color w:val="auto"/>
          <w:spacing w:val="0"/>
          <w:w w:val="100"/>
          <w:position w:val="0"/>
          <w:sz w:val="24"/>
          <w:szCs w:val="24"/>
          <w:highlight w:val="none"/>
        </w:rPr>
        <w:t>评分分值计算保留小数点后两位，小数点后第三位“四舍五入”。</w:t>
      </w:r>
    </w:p>
    <w:p w14:paraId="78250B8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4</w:t>
      </w:r>
      <w:r>
        <w:rPr>
          <w:rFonts w:hint="eastAsia" w:ascii="宋体" w:hAnsi="宋体" w:eastAsia="宋体" w:cs="宋体"/>
          <w:i w:val="0"/>
          <w:iCs w:val="0"/>
          <w:color w:val="auto"/>
          <w:spacing w:val="0"/>
          <w:w w:val="100"/>
          <w:position w:val="0"/>
          <w:sz w:val="24"/>
          <w:szCs w:val="24"/>
          <w:highlight w:val="none"/>
        </w:rPr>
        <w:t>.</w:t>
      </w:r>
      <w:r>
        <w:rPr>
          <w:rFonts w:hint="eastAsia" w:ascii="宋体" w:hAnsi="宋体" w:eastAsia="宋体" w:cs="宋体"/>
          <w:i w:val="0"/>
          <w:iCs w:val="0"/>
          <w:color w:val="auto"/>
          <w:spacing w:val="0"/>
          <w:w w:val="100"/>
          <w:position w:val="0"/>
          <w:sz w:val="24"/>
          <w:szCs w:val="24"/>
          <w:highlight w:val="none"/>
          <w:lang w:val="en-US" w:eastAsia="zh-CN"/>
        </w:rPr>
        <w:t>4</w:t>
      </w:r>
      <w:r>
        <w:rPr>
          <w:rFonts w:hint="eastAsia" w:ascii="宋体" w:hAnsi="宋体" w:eastAsia="宋体" w:cs="宋体"/>
          <w:i w:val="0"/>
          <w:iCs w:val="0"/>
          <w:color w:val="auto"/>
          <w:spacing w:val="0"/>
          <w:w w:val="100"/>
          <w:position w:val="0"/>
          <w:sz w:val="24"/>
          <w:szCs w:val="24"/>
          <w:highlight w:val="none"/>
        </w:rPr>
        <w:t>各供应商最终得分的确定办法为：所有磋商小组成员的综合评分的算术平均值。</w:t>
      </w:r>
    </w:p>
    <w:p w14:paraId="1D0C1395">
      <w:pPr>
        <w:keepNext w:val="0"/>
        <w:keepLines w:val="0"/>
        <w:pageBreakBefore w:val="0"/>
        <w:widowControl/>
        <w:kinsoku w:val="0"/>
        <w:wordWrap/>
        <w:overflowPunct/>
        <w:topLinePunct w:val="0"/>
        <w:autoSpaceDE w:val="0"/>
        <w:autoSpaceDN w:val="0"/>
        <w:bidi w:val="0"/>
        <w:adjustRightInd w:val="0"/>
        <w:snapToGrid w:val="0"/>
        <w:spacing w:line="360" w:lineRule="auto"/>
        <w:ind w:right="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评审结果</w:t>
      </w:r>
    </w:p>
    <w:p w14:paraId="13B939AE">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1除第二章“供应商须知”前附表授权直接确定成交供应商外，竞争性磋商小组对满足磋商文件全部实质性要求的响应文件，按照本章第2.2款规定的评分标准进行打分，并按得分由高到低顺序推荐成交候选供应商，但磋商报价低于其成本的除外。评审得分相同的，按照最后报价由低到高的顺序推荐。评审得分且最后报价相同的，按照技术指标优劣顺序推荐。</w:t>
      </w:r>
    </w:p>
    <w:p w14:paraId="518718F9">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.2竞争性磋商文件允许多项目包响应、多项目包成交的，各项目包成交候选供应商的推荐按第二章“供应商须知”的规定执行，对某些项目包由此产生的空缺由排序在后的供应商依次替补。</w:t>
      </w:r>
    </w:p>
    <w:p w14:paraId="4799D5A3">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480" w:firstLineChars="200"/>
        <w:jc w:val="both"/>
        <w:textAlignment w:val="baseline"/>
        <w:rPr>
          <w:rFonts w:hint="eastAsia" w:ascii="宋体" w:hAnsi="宋体" w:eastAsia="宋体" w:cs="宋体"/>
          <w:i w:val="0"/>
          <w:iCs w:val="0"/>
          <w:color w:val="auto"/>
          <w:spacing w:val="0"/>
          <w:w w:val="100"/>
          <w:position w:val="0"/>
          <w:sz w:val="24"/>
          <w:szCs w:val="24"/>
          <w:highlight w:val="none"/>
        </w:rPr>
      </w:pPr>
      <w:r>
        <w:rPr>
          <w:rFonts w:hint="eastAsia" w:ascii="宋体" w:hAnsi="宋体" w:eastAsia="宋体" w:cs="宋体"/>
          <w:i w:val="0"/>
          <w:iCs w:val="0"/>
          <w:color w:val="auto"/>
          <w:spacing w:val="0"/>
          <w:w w:val="100"/>
          <w:position w:val="0"/>
          <w:sz w:val="24"/>
          <w:szCs w:val="24"/>
          <w:highlight w:val="none"/>
        </w:rPr>
        <w:t>3.</w:t>
      </w:r>
      <w:r>
        <w:rPr>
          <w:rFonts w:hint="eastAsia" w:ascii="宋体" w:hAnsi="宋体" w:eastAsia="宋体" w:cs="宋体"/>
          <w:i w:val="0"/>
          <w:iCs w:val="0"/>
          <w:color w:val="auto"/>
          <w:spacing w:val="0"/>
          <w:w w:val="100"/>
          <w:position w:val="0"/>
          <w:sz w:val="24"/>
          <w:szCs w:val="24"/>
          <w:highlight w:val="none"/>
          <w:lang w:val="en-US" w:eastAsia="zh-CN"/>
        </w:rPr>
        <w:t>5</w:t>
      </w:r>
      <w:r>
        <w:rPr>
          <w:rFonts w:hint="eastAsia" w:ascii="宋体" w:hAnsi="宋体" w:eastAsia="宋体" w:cs="宋体"/>
          <w:i w:val="0"/>
          <w:iCs w:val="0"/>
          <w:color w:val="auto"/>
          <w:spacing w:val="0"/>
          <w:w w:val="100"/>
          <w:position w:val="0"/>
          <w:sz w:val="24"/>
          <w:szCs w:val="24"/>
          <w:highlight w:val="none"/>
        </w:rPr>
        <w:t>.3磋商小组完成评审后，应当向采购人提交书面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4DBE3324">
      <w:pPr>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500" w:firstLineChars="200"/>
        <w:jc w:val="both"/>
        <w:textAlignment w:val="baseline"/>
        <w:rPr>
          <w:rFonts w:hint="eastAsia" w:ascii="宋体" w:hAnsi="宋体" w:eastAsia="宋体" w:cs="宋体"/>
          <w:i w:val="0"/>
          <w:iCs w:val="0"/>
          <w:color w:val="auto"/>
          <w:spacing w:val="0"/>
          <w:w w:val="100"/>
          <w:position w:val="0"/>
          <w:sz w:val="25"/>
          <w:szCs w:val="25"/>
          <w:highlight w:val="none"/>
        </w:rPr>
      </w:pPr>
      <w:r>
        <w:rPr>
          <w:rFonts w:hint="eastAsia" w:ascii="宋体" w:hAnsi="宋体" w:eastAsia="宋体" w:cs="宋体"/>
          <w:i w:val="0"/>
          <w:iCs w:val="0"/>
          <w:color w:val="auto"/>
          <w:spacing w:val="0"/>
          <w:w w:val="100"/>
          <w:position w:val="0"/>
          <w:sz w:val="25"/>
          <w:szCs w:val="25"/>
          <w:highlight w:val="none"/>
        </w:rPr>
        <w:br w:type="page"/>
      </w:r>
    </w:p>
    <w:p w14:paraId="57A43D70">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26" w:name="_Toc6452"/>
      <w:r>
        <w:rPr>
          <w:rFonts w:hint="eastAsia" w:ascii="宋体" w:hAnsi="宋体" w:eastAsia="宋体" w:cs="宋体"/>
          <w:b/>
          <w:bCs/>
          <w:color w:val="auto"/>
          <w:sz w:val="36"/>
          <w:szCs w:val="36"/>
          <w:highlight w:val="none"/>
        </w:rPr>
        <w:t>第四章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合同条款及格式</w:t>
      </w:r>
      <w:bookmarkEnd w:id="26"/>
    </w:p>
    <w:p w14:paraId="440A2179">
      <w:pPr>
        <w:pStyle w:val="4"/>
        <w:jc w:val="center"/>
        <w:rPr>
          <w:rFonts w:hint="eastAsia" w:ascii="宋体" w:hAnsi="宋体"/>
          <w:bCs w:val="0"/>
          <w:color w:val="auto"/>
          <w:sz w:val="28"/>
          <w:szCs w:val="28"/>
          <w:highlight w:val="none"/>
        </w:rPr>
      </w:pPr>
      <w:bookmarkStart w:id="27" w:name="_Toc229408496"/>
      <w:bookmarkStart w:id="28" w:name="_Toc309533739"/>
      <w:bookmarkStart w:id="29" w:name="_Toc221948339"/>
      <w:bookmarkStart w:id="30" w:name="_Toc222033852"/>
      <w:bookmarkStart w:id="31" w:name="_Toc311205796"/>
      <w:bookmarkStart w:id="32" w:name="_Toc310088847"/>
      <w:bookmarkStart w:id="33" w:name="_Toc221950661"/>
      <w:bookmarkStart w:id="34" w:name="_Toc222032670"/>
      <w:bookmarkStart w:id="35" w:name="_Toc309533343"/>
      <w:bookmarkStart w:id="36" w:name="_Toc3717"/>
      <w:bookmarkStart w:id="37" w:name="_Toc229305361"/>
      <w:bookmarkStart w:id="38" w:name="_Toc28209"/>
      <w:bookmarkStart w:id="39" w:name="_Toc222029501"/>
      <w:bookmarkStart w:id="40" w:name="_Toc222031003"/>
      <w:r>
        <w:rPr>
          <w:rFonts w:hint="eastAsia" w:ascii="宋体" w:hAnsi="宋体"/>
          <w:bCs w:val="0"/>
          <w:color w:val="auto"/>
          <w:sz w:val="28"/>
          <w:szCs w:val="28"/>
          <w:highlight w:val="none"/>
        </w:rPr>
        <w:t>第一节  通用合同条款</w:t>
      </w:r>
      <w:bookmarkEnd w:id="27"/>
      <w:bookmarkEnd w:id="28"/>
      <w:bookmarkEnd w:id="29"/>
      <w:bookmarkEnd w:id="30"/>
      <w:bookmarkEnd w:id="31"/>
      <w:bookmarkEnd w:id="32"/>
      <w:bookmarkEnd w:id="33"/>
      <w:bookmarkEnd w:id="34"/>
      <w:bookmarkEnd w:id="35"/>
      <w:bookmarkEnd w:id="36"/>
      <w:bookmarkEnd w:id="37"/>
      <w:bookmarkEnd w:id="38"/>
      <w:bookmarkEnd w:id="39"/>
      <w:bookmarkEnd w:id="40"/>
    </w:p>
    <w:p w14:paraId="3A36C01C">
      <w:pPr>
        <w:spacing w:line="360" w:lineRule="auto"/>
        <w:ind w:firstLine="315" w:firstLineChars="150"/>
        <w:rPr>
          <w:rFonts w:hint="eastAsia" w:ascii="宋体" w:hAnsi="宋体"/>
          <w:color w:val="auto"/>
          <w:highlight w:val="none"/>
        </w:rPr>
      </w:pPr>
      <w:r>
        <w:rPr>
          <w:rFonts w:hint="eastAsia" w:ascii="宋体" w:hAnsi="宋体"/>
          <w:color w:val="auto"/>
          <w:kern w:val="0"/>
          <w:highlight w:val="none"/>
        </w:rPr>
        <w:t>（通用合同条款全文引用水利部《水利水电工程标准施工招标文件》</w:t>
      </w:r>
      <w:r>
        <w:rPr>
          <w:rFonts w:hint="eastAsia" w:ascii="宋体" w:hAnsi="宋体"/>
          <w:color w:val="auto"/>
          <w:szCs w:val="21"/>
          <w:highlight w:val="none"/>
        </w:rPr>
        <w:t>（2009年版）</w:t>
      </w:r>
      <w:r>
        <w:rPr>
          <w:rFonts w:hint="eastAsia" w:ascii="宋体" w:hAnsi="宋体"/>
          <w:color w:val="auto"/>
          <w:kern w:val="0"/>
          <w:highlight w:val="none"/>
        </w:rPr>
        <w:t>）</w:t>
      </w:r>
    </w:p>
    <w:p w14:paraId="4679AF3E">
      <w:pPr>
        <w:pStyle w:val="5"/>
        <w:rPr>
          <w:rFonts w:hint="eastAsia" w:asciiTheme="majorEastAsia" w:hAnsiTheme="majorEastAsia" w:eastAsiaTheme="majorEastAsia" w:cstheme="majorEastAsia"/>
          <w:color w:val="auto"/>
          <w:sz w:val="28"/>
          <w:highlight w:val="none"/>
        </w:rPr>
      </w:pPr>
      <w:bookmarkStart w:id="41" w:name="_Toc222031004"/>
      <w:bookmarkStart w:id="42" w:name="_Toc229408497"/>
      <w:bookmarkStart w:id="43" w:name="_Toc229305362"/>
      <w:bookmarkStart w:id="44" w:name="_Toc222032671"/>
      <w:bookmarkStart w:id="45" w:name="_Toc221950662"/>
      <w:bookmarkStart w:id="46" w:name="_Toc222029502"/>
      <w:bookmarkStart w:id="47" w:name="_Toc222033853"/>
      <w:r>
        <w:rPr>
          <w:rFonts w:hint="eastAsia" w:asciiTheme="majorEastAsia" w:hAnsiTheme="majorEastAsia" w:eastAsiaTheme="majorEastAsia" w:cstheme="majorEastAsia"/>
          <w:color w:val="auto"/>
          <w:sz w:val="28"/>
          <w:highlight w:val="none"/>
        </w:rPr>
        <w:t>1. 一般约定</w:t>
      </w:r>
      <w:bookmarkEnd w:id="41"/>
      <w:bookmarkEnd w:id="42"/>
      <w:bookmarkEnd w:id="43"/>
      <w:bookmarkEnd w:id="44"/>
      <w:bookmarkEnd w:id="45"/>
      <w:bookmarkEnd w:id="46"/>
      <w:bookmarkEnd w:id="47"/>
    </w:p>
    <w:p w14:paraId="0B2D259B">
      <w:pPr>
        <w:spacing w:line="360" w:lineRule="auto"/>
        <w:rPr>
          <w:rFonts w:hint="eastAsia" w:asciiTheme="majorEastAsia" w:hAnsiTheme="majorEastAsia" w:eastAsiaTheme="majorEastAsia" w:cstheme="majorEastAsia"/>
          <w:b/>
          <w:color w:val="auto"/>
          <w:sz w:val="24"/>
          <w:highlight w:val="none"/>
        </w:rPr>
      </w:pPr>
      <w:bookmarkStart w:id="48" w:name="_Toc221950667"/>
      <w:r>
        <w:rPr>
          <w:rFonts w:hint="eastAsia" w:asciiTheme="majorEastAsia" w:hAnsiTheme="majorEastAsia" w:eastAsiaTheme="majorEastAsia" w:cstheme="majorEastAsia"/>
          <w:b/>
          <w:color w:val="auto"/>
          <w:sz w:val="24"/>
          <w:highlight w:val="none"/>
        </w:rPr>
        <w:t>1.1词语定义</w:t>
      </w:r>
    </w:p>
    <w:p w14:paraId="3C24B7C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通用合同条款、专用合同条款中的下列词语应具有本款所赋予的含义。</w:t>
      </w:r>
    </w:p>
    <w:p w14:paraId="701D6380">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1.1.1 合同</w:t>
      </w:r>
    </w:p>
    <w:p w14:paraId="7BDE827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1.1.1.1 合同文件（或称合同）：指合同协议书、中标通知书、投标函及投标函附录、专用合同条款、通用合同条款、技术标准和要求、图纸、已标价工程量清单，以及其他合同文件。</w:t>
      </w:r>
    </w:p>
    <w:p w14:paraId="1B2F975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1.1.1.2 合同协议书：指第1.5 款所指的合同协议书。</w:t>
      </w:r>
    </w:p>
    <w:p w14:paraId="273F386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1.1.1.3 中标通知书：指发包人通知承包人中标的函件。</w:t>
      </w:r>
    </w:p>
    <w:p w14:paraId="3607B11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1.1.1.4 投标函：指构成合同文件组成部分的由承包人填写并签署的投标函。</w:t>
      </w:r>
    </w:p>
    <w:p w14:paraId="6D77D48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1.1.1.5 投标函附录：指附在投标函后构成合同文件的投标函附录。</w:t>
      </w:r>
    </w:p>
    <w:p w14:paraId="60A4EDCC">
      <w:pPr>
        <w:spacing w:line="360" w:lineRule="auto"/>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1.1.1.6 技术标准和要求：</w:t>
      </w:r>
      <w:bookmarkEnd w:id="48"/>
      <w:r>
        <w:rPr>
          <w:rFonts w:hint="eastAsia" w:asciiTheme="majorEastAsia" w:hAnsiTheme="majorEastAsia" w:eastAsiaTheme="majorEastAsia" w:cstheme="majorEastAsia"/>
          <w:color w:val="auto"/>
          <w:szCs w:val="21"/>
          <w:highlight w:val="none"/>
        </w:rPr>
        <w:t>指构成合同文件组成部分的名为技术标准和要求（合同技术条款）的文件，包括合同双方当事人约定对其所作的修改或补充。</w:t>
      </w:r>
    </w:p>
    <w:p w14:paraId="26BD500C">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49" w:name="_Toc221950668"/>
      <w:r>
        <w:rPr>
          <w:rFonts w:hint="eastAsia" w:asciiTheme="majorEastAsia" w:hAnsiTheme="majorEastAsia" w:eastAsiaTheme="majorEastAsia" w:cstheme="majorEastAsia"/>
          <w:color w:val="auto"/>
          <w:szCs w:val="21"/>
          <w:highlight w:val="none"/>
        </w:rPr>
        <w:t>1.1.1.7 图纸：指列入合同的招标图纸、投标图纸和发包人按合同约定向承包人提供的施工图纸和其他图纸(包括配套说明和有关资料)。</w:t>
      </w:r>
      <w:bookmarkEnd w:id="49"/>
      <w:r>
        <w:rPr>
          <w:rFonts w:hint="eastAsia" w:asciiTheme="majorEastAsia" w:hAnsiTheme="majorEastAsia" w:eastAsiaTheme="majorEastAsia" w:cstheme="majorEastAsia"/>
          <w:color w:val="auto"/>
          <w:szCs w:val="21"/>
          <w:highlight w:val="none"/>
        </w:rPr>
        <w:t>列入合同的招标图纸已成为合同文件的一部分，具有合同效力，主要用于在履行合同过程中作为衡量变更的依据，但不能直接用于施工。经发包人确认进入合同的投标图纸亦成为合同文件的一部分，用于在履行合同中检验承包人是否按其投标时承诺的条件进行施工的依据，亦不能直接用于施工。</w:t>
      </w:r>
    </w:p>
    <w:p w14:paraId="02A15046">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50" w:name="_Toc221950674"/>
      <w:r>
        <w:rPr>
          <w:rFonts w:hint="eastAsia" w:asciiTheme="majorEastAsia" w:hAnsiTheme="majorEastAsia" w:eastAsiaTheme="majorEastAsia" w:cstheme="majorEastAsia"/>
          <w:color w:val="auto"/>
          <w:szCs w:val="21"/>
          <w:highlight w:val="none"/>
        </w:rPr>
        <w:t>1.1.1.8 己标价工程量清单：指构成合同文件组成部分的由承包人按照规定的格式和要求填写并标明价格的工程量清单。</w:t>
      </w:r>
    </w:p>
    <w:p w14:paraId="32CA1EC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1.1.1.9 其他合同文件：指经合同双方当事人确认构成合同文件的其他文件。</w:t>
      </w:r>
    </w:p>
    <w:p w14:paraId="19ADC2AA">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1.1.2 合同当事人和人员</w:t>
      </w:r>
    </w:p>
    <w:p w14:paraId="2138862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1.1.2.1 合同当事人：指发包人和（或）承包人。</w:t>
      </w:r>
    </w:p>
    <w:p w14:paraId="33C7516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1.1.2.2 发包人：指专用合同条款中指明并与承包人在合同协议书中签字的当事人。</w:t>
      </w:r>
    </w:p>
    <w:p w14:paraId="2FB0B4D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1.1.2.3 承包人：指专用合同条款中指明并与发包人在合同协议书签字的当事人。</w:t>
      </w:r>
    </w:p>
    <w:p w14:paraId="3EBBA3D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1.1.2.4 承包人项目经理：指承包人派驻施工场地的全权负责人。</w:t>
      </w:r>
    </w:p>
    <w:p w14:paraId="1658572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1.1.2.5 分包人：指在专用合同条款中指明的，从承包人处分包合同中某一部分工程，并与其签分包合同的分包人。</w:t>
      </w:r>
    </w:p>
    <w:p w14:paraId="708EA16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1.1.2.6 监理人：指在专用合同条款中指明的，受发包人委托对合同履行实施管理的法人或其他组织。</w:t>
      </w:r>
    </w:p>
    <w:p w14:paraId="3C804BB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1.1.2.7 总监理工程师（总监）：指由监理人委派常驻施工场地对合同履行实施管理的全权负责人。</w:t>
      </w:r>
    </w:p>
    <w:p w14:paraId="1F5E1AB0">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1.1.3 工程和设备</w:t>
      </w:r>
    </w:p>
    <w:p w14:paraId="2F46E69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1.1.3.1 工程：指永久工程和（或）临时工程。</w:t>
      </w:r>
    </w:p>
    <w:p w14:paraId="2110B05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1.1.3.2 永久工程：指按合同约定建造并移交给发包人的工程，包括工程设备。</w:t>
      </w:r>
    </w:p>
    <w:p w14:paraId="3B5F35F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1.1.3.3 临时工程：指为完成合同约定的永久工程所修建的各类临时性工程，不包括施工设备。</w:t>
      </w:r>
    </w:p>
    <w:p w14:paraId="4B3159F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1.1.3.4 单位工程：指专用合同条款中指明特定范围的永久工程。</w:t>
      </w:r>
    </w:p>
    <w:p w14:paraId="755116F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1.1.3.5 工程设备：指构成或计划构成永久工程一部分的机电设备、金属结构设备、仪器装置及其他类似的设备和装置。</w:t>
      </w:r>
    </w:p>
    <w:p w14:paraId="68E8803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1.1.3.6 施工设备：指为完成合同约定的各项工作所需的设备、器具和其他物品，不包括临时工程和材料。</w:t>
      </w:r>
    </w:p>
    <w:p w14:paraId="072EC41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1.1.3.7 临时设施：指为完成合同约定的各项工作所服务的临时性生产和生活设施。</w:t>
      </w:r>
    </w:p>
    <w:p w14:paraId="669D71A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1.1.3.8 承包人设备：指承包人自带的施工设备。</w:t>
      </w:r>
    </w:p>
    <w:p w14:paraId="09CBA39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1.1.3.9 施工场地（或称工地、现场）：指用于合同工程施工的场所，以及在合同中指定作为施工场地组成部分的其他场所，包括永久占地和临时占地。</w:t>
      </w:r>
    </w:p>
    <w:p w14:paraId="786823E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1.1.3.10 永久占地：指发包人为建设本合同工程永久征用的场地。</w:t>
      </w:r>
      <w:bookmarkEnd w:id="50"/>
    </w:p>
    <w:p w14:paraId="7CE35018">
      <w:pPr>
        <w:autoSpaceDE w:val="0"/>
        <w:autoSpaceDN w:val="0"/>
        <w:adjustRightInd w:val="0"/>
        <w:spacing w:line="360" w:lineRule="auto"/>
        <w:ind w:firstLine="420" w:firstLineChars="200"/>
        <w:jc w:val="left"/>
        <w:rPr>
          <w:rFonts w:hint="eastAsia" w:asciiTheme="majorEastAsia" w:hAnsiTheme="majorEastAsia" w:eastAsiaTheme="majorEastAsia" w:cstheme="majorEastAsia"/>
          <w:color w:val="auto"/>
          <w:kern w:val="0"/>
          <w:szCs w:val="21"/>
          <w:highlight w:val="none"/>
        </w:rPr>
      </w:pPr>
      <w:bookmarkStart w:id="51" w:name="_Toc221950675"/>
      <w:r>
        <w:rPr>
          <w:rFonts w:hint="eastAsia" w:asciiTheme="majorEastAsia" w:hAnsiTheme="majorEastAsia" w:eastAsiaTheme="majorEastAsia" w:cstheme="majorEastAsia"/>
          <w:color w:val="auto"/>
          <w:szCs w:val="21"/>
          <w:highlight w:val="none"/>
        </w:rPr>
        <w:t>1.1.3.11 临时占地：指发包人为建设本合同工程临时征用，承包人在完工后须按合同要求退还的场地</w:t>
      </w:r>
      <w:bookmarkEnd w:id="51"/>
      <w:r>
        <w:rPr>
          <w:rFonts w:hint="eastAsia" w:asciiTheme="majorEastAsia" w:hAnsiTheme="majorEastAsia" w:eastAsiaTheme="majorEastAsia" w:cstheme="majorEastAsia"/>
          <w:color w:val="auto"/>
          <w:szCs w:val="21"/>
          <w:highlight w:val="none"/>
        </w:rPr>
        <w:t>。</w:t>
      </w:r>
    </w:p>
    <w:p w14:paraId="6AAEFA69">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1.1.4 日期</w:t>
      </w:r>
    </w:p>
    <w:p w14:paraId="0A86AB1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1.1.4.1 开工通知：指监理人按第11.1 款通知承包人开工的函件。</w:t>
      </w:r>
    </w:p>
    <w:p w14:paraId="3701CA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1.1.4.2 开工日期：指监理人按第11.1 款发出的开工通知中写明的开工日期。</w:t>
      </w:r>
    </w:p>
    <w:p w14:paraId="0EDFCD3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1.1.4.3 工期：指承包人在投标函中承诺的完成合同工程所需的期限，包括按第11.3 款、第11.4 款和第11.6 款约定所作的变更。</w:t>
      </w:r>
    </w:p>
    <w:p w14:paraId="4B0090E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1.1.4.4 竣工日期：即合同工程完工日期，指第1.1.4.3 目约定工期届满时的日期。实际竣工完成日期以合同工程完工证书中写明的日期为准。</w:t>
      </w:r>
    </w:p>
    <w:p w14:paraId="3B6E2B8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1.1.4.5 缺陷责任期：即工程质量保修期，指履行第19.2 款约定的缺陷责任的期限，包括根据第19.3 款约定所作的延长，具体期限由专用合同条款约定。</w:t>
      </w:r>
    </w:p>
    <w:p w14:paraId="6BC06FF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1.1.4.6 基准日期：指投标截止时间前28 天的日期。</w:t>
      </w:r>
    </w:p>
    <w:p w14:paraId="75DCFAA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1.1.4.7 天：除特别指明外，指日历天。合同中按天计算时间的，开始当天不计入，从次日开始计算。期限最后一天的截止时间为当天24:00。</w:t>
      </w:r>
    </w:p>
    <w:p w14:paraId="2E8744ED">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1.1.5 合同价格和费用</w:t>
      </w:r>
    </w:p>
    <w:p w14:paraId="048E4A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1.1.5.1 签约合同价：指签定合同时合同协议书中写明的，包括了暂列金额、暂估价的合同总金额。</w:t>
      </w:r>
    </w:p>
    <w:p w14:paraId="1D7021D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1.1.5.2 合同价格：指承包人按合同约定完成了包括缺陷责任期内的全部承包工作后，发包人应付给承包人的金额，包括在履行合同过程中按合同约定进行的变更和调整。</w:t>
      </w:r>
    </w:p>
    <w:p w14:paraId="6B2AF04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1.1.5.3 费用：指为履行合同所发生的或将要发生的所有合理开支，包括管理费和应分摊的其他费用，但不包括利润。</w:t>
      </w:r>
    </w:p>
    <w:p w14:paraId="722D61D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1.1.5.4 暂列金额：指已标价工程量清单中所列的暂列金额，用于在签订协议书时尚未确定或不可预见变更的施工及其所需材料、工程设备、服务等的金额，包括以计日工方式支付的金额。</w:t>
      </w:r>
    </w:p>
    <w:p w14:paraId="50C4065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1.1.5.5 暂估价：指发包人在工程量清单中给定的用于支付必然发生但暂时不能确定价格的材料、设备以及专业工程的金额。</w:t>
      </w:r>
    </w:p>
    <w:p w14:paraId="53B241D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1.1.5.6 计日工：指对零星工作采取的一种计价方式，按合同中的计日工子目及其单价计价付款。</w:t>
      </w:r>
    </w:p>
    <w:p w14:paraId="4ADD1A8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1.1.5.7 质量保证金（或称保留金）：指按第17.4.1项约定用于保证在缺陷责任期内履行缺陷修复义务的金额。</w:t>
      </w:r>
    </w:p>
    <w:p w14:paraId="41D1A81D">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1.1.6 其他</w:t>
      </w:r>
    </w:p>
    <w:p w14:paraId="27CB2D8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1.1.6.1 书面形式：指合同文件、信函、电报、传真等可以有形地表现所载内容的形式。</w:t>
      </w:r>
    </w:p>
    <w:p w14:paraId="4BC267C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 语言文字</w:t>
      </w:r>
    </w:p>
    <w:p w14:paraId="5E60DC1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除专用术语外，合同使用的语言文字为中文。必要时专用术语应附有中文注释。</w:t>
      </w:r>
    </w:p>
    <w:p w14:paraId="561652E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 法律</w:t>
      </w:r>
    </w:p>
    <w:p w14:paraId="2A71FD1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适用于合同的法律包括中华人民共和国法律、行政法规、部门规章，以及工程所在地的地方法规、自治条例、单行条例和地方政府规章。</w:t>
      </w:r>
    </w:p>
    <w:p w14:paraId="1DB9A42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1.4 合同文件的优先顺序</w:t>
      </w:r>
    </w:p>
    <w:p w14:paraId="2C16745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组成合同的各项文件应互相解释，互为说明。除专用合同条款另有约定外，解释合同文件的优先顺序如下：</w:t>
      </w:r>
    </w:p>
    <w:p w14:paraId="0826672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(l）合同协议书；</w:t>
      </w:r>
    </w:p>
    <w:p w14:paraId="6846828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(2）中标通知书；</w:t>
      </w:r>
    </w:p>
    <w:p w14:paraId="4F58D48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(3）投标函及投标函附录；</w:t>
      </w:r>
    </w:p>
    <w:p w14:paraId="6F24F64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(4）专用合同条款；</w:t>
      </w:r>
    </w:p>
    <w:p w14:paraId="7839182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(5）通用合同条款；</w:t>
      </w:r>
    </w:p>
    <w:p w14:paraId="468951A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(6）技术标准和要求；</w:t>
      </w:r>
    </w:p>
    <w:p w14:paraId="42A5BCF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(7）图纸；</w:t>
      </w:r>
    </w:p>
    <w:p w14:paraId="685EE70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(8）已标价工程量清单；</w:t>
      </w:r>
    </w:p>
    <w:p w14:paraId="4E14E3A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(9）其他合同文件。</w:t>
      </w:r>
    </w:p>
    <w:p w14:paraId="0C275D2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 合同协议书</w:t>
      </w:r>
    </w:p>
    <w:p w14:paraId="5E29DC8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承包人按中标通知书规定的时间与发包人签订合同协议书。除法律另有规定或合同另有约定外，发包人和承包人的法定代表人或其委托代理人在合同协议书上签字并盖单位章后，合同生效。</w:t>
      </w:r>
    </w:p>
    <w:p w14:paraId="69CCC073">
      <w:pPr>
        <w:spacing w:line="360" w:lineRule="auto"/>
        <w:rPr>
          <w:rFonts w:hint="eastAsia" w:asciiTheme="majorEastAsia" w:hAnsiTheme="majorEastAsia" w:eastAsiaTheme="majorEastAsia" w:cstheme="majorEastAsia"/>
          <w:b/>
          <w:color w:val="auto"/>
          <w:sz w:val="24"/>
          <w:highlight w:val="none"/>
        </w:rPr>
      </w:pPr>
      <w:bookmarkStart w:id="52" w:name="_Toc221950693"/>
      <w:r>
        <w:rPr>
          <w:rFonts w:hint="eastAsia" w:asciiTheme="majorEastAsia" w:hAnsiTheme="majorEastAsia" w:eastAsiaTheme="majorEastAsia" w:cstheme="majorEastAsia"/>
          <w:b/>
          <w:color w:val="auto"/>
          <w:sz w:val="24"/>
          <w:highlight w:val="none"/>
        </w:rPr>
        <w:t>1.6图纸和承包人文件</w:t>
      </w:r>
    </w:p>
    <w:p w14:paraId="6F411345">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1.6.1 图纸的提供</w:t>
      </w:r>
    </w:p>
    <w:bookmarkEnd w:id="52"/>
    <w:p w14:paraId="58646ACD">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53" w:name="_Toc221950694"/>
      <w:r>
        <w:rPr>
          <w:rFonts w:hint="eastAsia" w:asciiTheme="majorEastAsia" w:hAnsiTheme="majorEastAsia" w:eastAsiaTheme="majorEastAsia" w:cstheme="majorEastAsia"/>
          <w:color w:val="auto"/>
          <w:szCs w:val="21"/>
          <w:highlight w:val="none"/>
        </w:rPr>
        <w:t>发包人应按技术标准和要求（合同技术条款）约定的期限和数量将施工图纸以及其他的图纸（包括配套说明和有关资料）提供给承包人。</w:t>
      </w:r>
      <w:bookmarkEnd w:id="53"/>
      <w:r>
        <w:rPr>
          <w:rFonts w:hint="eastAsia" w:asciiTheme="majorEastAsia" w:hAnsiTheme="majorEastAsia" w:eastAsiaTheme="majorEastAsia" w:cstheme="majorEastAsia"/>
          <w:color w:val="auto"/>
          <w:szCs w:val="21"/>
          <w:highlight w:val="none"/>
        </w:rPr>
        <w:t>由于发包人未按时提供图纸造成工期延误的，按第11.3 款的约定办理。</w:t>
      </w:r>
    </w:p>
    <w:p w14:paraId="77FB8652">
      <w:pPr>
        <w:spacing w:line="360" w:lineRule="auto"/>
        <w:ind w:firstLine="422" w:firstLineChars="200"/>
        <w:rPr>
          <w:rFonts w:hint="eastAsia" w:asciiTheme="majorEastAsia" w:hAnsiTheme="majorEastAsia" w:eastAsiaTheme="majorEastAsia" w:cstheme="majorEastAsia"/>
          <w:b/>
          <w:color w:val="auto"/>
          <w:szCs w:val="21"/>
          <w:highlight w:val="none"/>
        </w:rPr>
      </w:pPr>
      <w:bookmarkStart w:id="54" w:name="_Toc221950695"/>
      <w:r>
        <w:rPr>
          <w:rFonts w:hint="eastAsia" w:asciiTheme="majorEastAsia" w:hAnsiTheme="majorEastAsia" w:eastAsiaTheme="majorEastAsia" w:cstheme="majorEastAsia"/>
          <w:b/>
          <w:color w:val="auto"/>
          <w:szCs w:val="21"/>
          <w:highlight w:val="none"/>
        </w:rPr>
        <w:t xml:space="preserve">1.6.2 </w:t>
      </w:r>
      <w:bookmarkEnd w:id="54"/>
      <w:bookmarkStart w:id="55" w:name="_Toc221950696"/>
      <w:r>
        <w:rPr>
          <w:rFonts w:hint="eastAsia" w:asciiTheme="majorEastAsia" w:hAnsiTheme="majorEastAsia" w:eastAsiaTheme="majorEastAsia" w:cstheme="majorEastAsia"/>
          <w:b/>
          <w:color w:val="auto"/>
          <w:szCs w:val="21"/>
          <w:highlight w:val="none"/>
        </w:rPr>
        <w:t>承包人提供的文件</w:t>
      </w:r>
    </w:p>
    <w:p w14:paraId="52CB417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承包人的文件应按技术标准和要求（合同技术条款）约定的期限和数量提供给监理人。监理人应按技术标准和要求（合同技术条款）约定的期限批复承包人。</w:t>
      </w:r>
      <w:bookmarkEnd w:id="55"/>
    </w:p>
    <w:p w14:paraId="63B49731">
      <w:pPr>
        <w:spacing w:line="360" w:lineRule="auto"/>
        <w:ind w:firstLine="422" w:firstLineChars="200"/>
        <w:rPr>
          <w:rFonts w:hint="eastAsia" w:asciiTheme="majorEastAsia" w:hAnsiTheme="majorEastAsia" w:eastAsiaTheme="majorEastAsia" w:cstheme="majorEastAsia"/>
          <w:b/>
          <w:color w:val="auto"/>
          <w:szCs w:val="21"/>
          <w:highlight w:val="none"/>
        </w:rPr>
      </w:pPr>
      <w:bookmarkStart w:id="56" w:name="_Toc221950697"/>
      <w:r>
        <w:rPr>
          <w:rFonts w:hint="eastAsia" w:asciiTheme="majorEastAsia" w:hAnsiTheme="majorEastAsia" w:eastAsiaTheme="majorEastAsia" w:cstheme="majorEastAsia"/>
          <w:b/>
          <w:color w:val="auto"/>
          <w:szCs w:val="21"/>
          <w:highlight w:val="none"/>
        </w:rPr>
        <w:t xml:space="preserve">1.6.3  </w:t>
      </w:r>
      <w:bookmarkEnd w:id="56"/>
      <w:bookmarkStart w:id="57" w:name="_Toc221950698"/>
      <w:r>
        <w:rPr>
          <w:rFonts w:hint="eastAsia" w:asciiTheme="majorEastAsia" w:hAnsiTheme="majorEastAsia" w:eastAsiaTheme="majorEastAsia" w:cstheme="majorEastAsia"/>
          <w:b/>
          <w:color w:val="auto"/>
          <w:szCs w:val="21"/>
          <w:highlight w:val="none"/>
        </w:rPr>
        <w:t>图纸的修改</w:t>
      </w:r>
    </w:p>
    <w:p w14:paraId="2CDD882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设计人需要对已发给承包人的施工图纸进行修改时，监理人应在技术标准和要求（合同技术条款）约定的期限内签发施工图纸的修改图给承包人</w:t>
      </w:r>
      <w:r>
        <w:rPr>
          <w:rFonts w:hint="eastAsia" w:asciiTheme="majorEastAsia" w:hAnsiTheme="majorEastAsia" w:eastAsiaTheme="majorEastAsia" w:cstheme="majorEastAsia"/>
          <w:color w:val="auto"/>
          <w:sz w:val="24"/>
          <w:highlight w:val="none"/>
        </w:rPr>
        <w:t>。</w:t>
      </w:r>
      <w:bookmarkEnd w:id="57"/>
      <w:r>
        <w:rPr>
          <w:rFonts w:hint="eastAsia" w:asciiTheme="majorEastAsia" w:hAnsiTheme="majorEastAsia" w:eastAsiaTheme="majorEastAsia" w:cstheme="majorEastAsia"/>
          <w:color w:val="auto"/>
          <w:szCs w:val="21"/>
          <w:highlight w:val="none"/>
        </w:rPr>
        <w:t>承包人应按技术标准和要求（合同技术条款）约定的编制一份承包人实施计划提交监理人批准后执行。</w:t>
      </w:r>
    </w:p>
    <w:p w14:paraId="07A96A16">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1.6.4 图纸的错误</w:t>
      </w:r>
    </w:p>
    <w:p w14:paraId="007769C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承包人发现发包人提供的图纸存在明显错误或疏忽，应及时通知监理人。</w:t>
      </w:r>
    </w:p>
    <w:p w14:paraId="067D3B00">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1.6.5 图纸和承包人文件的保管</w:t>
      </w:r>
    </w:p>
    <w:p w14:paraId="6AD52F5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监理人和承包人均应在施工场地各保存一套完整的包含第1.6.1 项、第1.6.2 项、第1.6.3 项约定内容的图纸和承包人文件。</w:t>
      </w:r>
    </w:p>
    <w:p w14:paraId="6EC69F7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 联络</w:t>
      </w:r>
    </w:p>
    <w:p w14:paraId="68F7B1E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1.7.1 与合同有关的通知、批准、证明、证书、指示、要求、请求、同意、意见、确定和决定等，均应采用书面形式。</w:t>
      </w:r>
    </w:p>
    <w:p w14:paraId="518BADFA">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58" w:name="_Toc221950701"/>
      <w:r>
        <w:rPr>
          <w:rFonts w:hint="eastAsia" w:asciiTheme="majorEastAsia" w:hAnsiTheme="majorEastAsia" w:eastAsiaTheme="majorEastAsia" w:cstheme="majorEastAsia"/>
          <w:color w:val="auto"/>
          <w:szCs w:val="21"/>
          <w:highlight w:val="none"/>
        </w:rPr>
        <w:t>1.7.2 第1.7.1 项中的通知、批准、证明、证书、指示、要求、请求、同意、意见、确定和决定等来往函件，均应在合同约定的期限内送达指定地点和接收人，并办理签收手续。来往函件的送达期限在技术标准和要求（合同技术条款）中约定，送达地点在专用合同条款中约定。</w:t>
      </w:r>
    </w:p>
    <w:p w14:paraId="63D6E5C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1.7.3  来往函件均应按合同约定的期限及时发出和答复，不得无故扣压和拖延，亦不得无故拒收。否则，由此造成的后果由责任方负责。</w:t>
      </w:r>
      <w:bookmarkEnd w:id="58"/>
    </w:p>
    <w:p w14:paraId="09C2902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 转让</w:t>
      </w:r>
    </w:p>
    <w:p w14:paraId="4736E4C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除合同另有约定外，未经对方当事人同意，一方当事人不得将合同权利全部或部分转让给第三人，也不得全部或部分转移合同义务。</w:t>
      </w:r>
    </w:p>
    <w:p w14:paraId="397887D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 严禁贿赂</w:t>
      </w:r>
    </w:p>
    <w:p w14:paraId="543C4B1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合同双方当事人不得以贿赂或变相贿赂的方式，谋取不当利益或损害对方权益。因贿赂造成对方损失的，行为人应赔偿损失，并承担相应的法律责任。</w:t>
      </w:r>
    </w:p>
    <w:p w14:paraId="0E1BF93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1.10 化石、文物</w:t>
      </w:r>
    </w:p>
    <w:p w14:paraId="336D6EB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0972FB4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1.10.2 承包人发现文物后不及时报告或隐瞒不报，致使文物丢失或损坏的，应赔偿损失，并承担相应的法律责任。</w:t>
      </w:r>
    </w:p>
    <w:p w14:paraId="589D9C0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1.11 专利技术</w:t>
      </w:r>
    </w:p>
    <w:p w14:paraId="1E4121B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1.11.1 承包人在使用任何材料、承包人设备、工程设备或采用施工工艺时，因侵犯专利权或其他知识产权所引起的责任，由承包人承担，但由于遵照发包人提供的设计或技术标准和要求引起的除外。</w:t>
      </w:r>
    </w:p>
    <w:p w14:paraId="791FBA7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1.11.2 承包人在投标文件中采用专利技术的，专利技术的使用费包含在投标报价内。</w:t>
      </w:r>
    </w:p>
    <w:p w14:paraId="73206BB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1.11.3 承包人的技术秘密和声明需要保密的资料和信息，发包人和监理人不得为合同以外的目的泄露给他人。</w:t>
      </w:r>
    </w:p>
    <w:p w14:paraId="53B8BCB5">
      <w:pPr>
        <w:pStyle w:val="11"/>
        <w:spacing w:after="0" w:line="360" w:lineRule="auto"/>
        <w:ind w:left="0" w:leftChars="0" w:firstLine="420" w:firstLineChars="200"/>
        <w:rPr>
          <w:rFonts w:hint="eastAsia" w:asciiTheme="majorEastAsia" w:hAnsiTheme="majorEastAsia" w:eastAsiaTheme="majorEastAsia" w:cstheme="majorEastAsia"/>
          <w:color w:val="auto"/>
          <w:szCs w:val="21"/>
          <w:highlight w:val="none"/>
        </w:rPr>
      </w:pPr>
      <w:bookmarkStart w:id="59" w:name="_Toc221950710"/>
      <w:r>
        <w:rPr>
          <w:rFonts w:hint="eastAsia" w:asciiTheme="majorEastAsia" w:hAnsiTheme="majorEastAsia" w:eastAsiaTheme="majorEastAsia" w:cstheme="majorEastAsia"/>
          <w:color w:val="auto"/>
          <w:szCs w:val="21"/>
          <w:highlight w:val="none"/>
        </w:rPr>
        <w:t>1.11.4 合同实施过程中，发包人要求承包人采用专利技术的，发包人应办理相应的使用手续，承包人应按发包人约定的条件使用，并承担使用专利技术的相关试验工作。所需费用由发包人承担。</w:t>
      </w:r>
      <w:bookmarkEnd w:id="59"/>
    </w:p>
    <w:p w14:paraId="28491DF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1.12 图纸和文件的保密</w:t>
      </w:r>
    </w:p>
    <w:p w14:paraId="60BB9AB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1.12.1 发包人提供的图纸和文件，未经发包人同意，承包人不得为合同以外的目的泄露给他人或公开发表与引用。</w:t>
      </w:r>
    </w:p>
    <w:p w14:paraId="24911E5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1.12.2 承包人提供的文件，未经承包人同意，发包人和监理人不得为合同以外的目的泄露给他人或公开发表与引用。</w:t>
      </w:r>
    </w:p>
    <w:p w14:paraId="04BA7CBC">
      <w:pPr>
        <w:pStyle w:val="5"/>
        <w:rPr>
          <w:rFonts w:hint="eastAsia" w:asciiTheme="majorEastAsia" w:hAnsiTheme="majorEastAsia" w:eastAsiaTheme="majorEastAsia" w:cstheme="majorEastAsia"/>
          <w:color w:val="auto"/>
          <w:sz w:val="28"/>
          <w:highlight w:val="none"/>
        </w:rPr>
      </w:pPr>
      <w:bookmarkStart w:id="60" w:name="_Toc222032672"/>
      <w:bookmarkStart w:id="61" w:name="_Toc229408498"/>
      <w:bookmarkStart w:id="62" w:name="_Toc222033854"/>
      <w:bookmarkStart w:id="63" w:name="_Toc221950713"/>
      <w:bookmarkStart w:id="64" w:name="_Toc222031005"/>
      <w:bookmarkStart w:id="65" w:name="_Toc229305363"/>
      <w:bookmarkStart w:id="66" w:name="_Toc222029503"/>
      <w:r>
        <w:rPr>
          <w:rFonts w:hint="eastAsia" w:asciiTheme="majorEastAsia" w:hAnsiTheme="majorEastAsia" w:eastAsiaTheme="majorEastAsia" w:cstheme="majorEastAsia"/>
          <w:color w:val="auto"/>
          <w:sz w:val="28"/>
          <w:highlight w:val="none"/>
        </w:rPr>
        <w:t>2. 发包人义务</w:t>
      </w:r>
      <w:bookmarkEnd w:id="60"/>
      <w:bookmarkEnd w:id="61"/>
      <w:bookmarkEnd w:id="62"/>
      <w:bookmarkEnd w:id="63"/>
      <w:bookmarkEnd w:id="64"/>
      <w:bookmarkEnd w:id="65"/>
      <w:bookmarkEnd w:id="66"/>
      <w:r>
        <w:rPr>
          <w:rFonts w:hint="eastAsia" w:asciiTheme="majorEastAsia" w:hAnsiTheme="majorEastAsia" w:eastAsiaTheme="majorEastAsia" w:cstheme="majorEastAsia"/>
          <w:color w:val="auto"/>
          <w:sz w:val="28"/>
          <w:highlight w:val="none"/>
        </w:rPr>
        <w:t xml:space="preserve">  </w:t>
      </w:r>
    </w:p>
    <w:p w14:paraId="0D3F46BD">
      <w:pPr>
        <w:spacing w:line="360" w:lineRule="auto"/>
        <w:rPr>
          <w:rFonts w:hint="eastAsia" w:asciiTheme="majorEastAsia" w:hAnsiTheme="majorEastAsia" w:eastAsiaTheme="majorEastAsia" w:cstheme="majorEastAsia"/>
          <w:b/>
          <w:color w:val="auto"/>
          <w:sz w:val="24"/>
          <w:highlight w:val="none"/>
        </w:rPr>
      </w:pPr>
      <w:bookmarkStart w:id="67" w:name="_Toc221950720"/>
      <w:r>
        <w:rPr>
          <w:rFonts w:hint="eastAsia" w:asciiTheme="majorEastAsia" w:hAnsiTheme="majorEastAsia" w:eastAsiaTheme="majorEastAsia" w:cstheme="majorEastAsia"/>
          <w:b/>
          <w:color w:val="auto"/>
          <w:sz w:val="24"/>
          <w:highlight w:val="none"/>
        </w:rPr>
        <w:t>2.1 遵守法律</w:t>
      </w:r>
    </w:p>
    <w:p w14:paraId="07C4E61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发包人在履行合同过程中应遵守法律，并保证承包人免于承担因发包人违反法律而引起的任何责任。</w:t>
      </w:r>
    </w:p>
    <w:p w14:paraId="7455340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2.2 发出开工通知</w:t>
      </w:r>
    </w:p>
    <w:p w14:paraId="30B61C6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发包人应委托监理人按第11.1 款的约定向承包人发出开工通知。</w:t>
      </w:r>
    </w:p>
    <w:p w14:paraId="7A13446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 提供施工场地</w:t>
      </w:r>
    </w:p>
    <w:p w14:paraId="31970A7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2.3.1发包人应在合同双方签定合同协议书后的14天内，将本合同工程的施工场地范围图提交给承包人。发包人提供的施工场地范围图应标明场地范围内永久占地与临时占地的范围和界限，以及指明提供给承包人用于施工场地布置的范围和界限及其有关资料</w:t>
      </w:r>
      <w:bookmarkEnd w:id="67"/>
      <w:r>
        <w:rPr>
          <w:rFonts w:hint="eastAsia" w:asciiTheme="majorEastAsia" w:hAnsiTheme="majorEastAsia" w:eastAsiaTheme="majorEastAsia" w:cstheme="majorEastAsia"/>
          <w:color w:val="auto"/>
          <w:szCs w:val="21"/>
          <w:highlight w:val="none"/>
        </w:rPr>
        <w:t xml:space="preserve"> 。</w:t>
      </w:r>
    </w:p>
    <w:p w14:paraId="445C3D3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2.3.2 发包人提供的施工用地范围在专用合同条款中约定</w:t>
      </w:r>
      <w:r>
        <w:rPr>
          <w:rFonts w:hint="eastAsia" w:asciiTheme="majorEastAsia" w:hAnsiTheme="majorEastAsia" w:eastAsiaTheme="majorEastAsia" w:cstheme="majorEastAsia"/>
          <w:color w:val="auto"/>
          <w:sz w:val="24"/>
          <w:highlight w:val="none"/>
        </w:rPr>
        <w:t>。</w:t>
      </w:r>
    </w:p>
    <w:p w14:paraId="6D8FD19B">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68" w:name="_Toc221950721"/>
      <w:r>
        <w:rPr>
          <w:rFonts w:hint="eastAsia" w:asciiTheme="majorEastAsia" w:hAnsiTheme="majorEastAsia" w:eastAsiaTheme="majorEastAsia" w:cstheme="majorEastAsia"/>
          <w:color w:val="auto"/>
          <w:szCs w:val="21"/>
          <w:highlight w:val="none"/>
        </w:rPr>
        <w:t>2.3.3 除专用合同条款另有约定外，发包人应技术标准和要求（合同技术条款）的约定，向承包人提供施工场地内的工程地质图纸和报告，以及地下障碍物图纸等施工场地有关资料，并保证资料的真实、准确、完整。</w:t>
      </w:r>
      <w:bookmarkEnd w:id="68"/>
    </w:p>
    <w:p w14:paraId="306AA9D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 协助承包人办理证件和批件</w:t>
      </w:r>
    </w:p>
    <w:p w14:paraId="3BC5721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发包人应协助承包人办理法律规定的有关施工证件和批件。</w:t>
      </w:r>
    </w:p>
    <w:p w14:paraId="24D6987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2.5 组织设计交底</w:t>
      </w:r>
    </w:p>
    <w:p w14:paraId="42EE6EF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发包人应根据合同进度计划，组织设计单位向承包人进行设计交底。</w:t>
      </w:r>
    </w:p>
    <w:p w14:paraId="5619359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2.6 支付合同价款</w:t>
      </w:r>
    </w:p>
    <w:p w14:paraId="779A857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发包人应按合同约定向承包人及时支付合同价款。</w:t>
      </w:r>
    </w:p>
    <w:p w14:paraId="522A9AC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2.7 组织竣工验收（组织法人验收）</w:t>
      </w:r>
    </w:p>
    <w:p w14:paraId="0E27FC1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发包人应按合同约定及时组织法人验收。</w:t>
      </w:r>
    </w:p>
    <w:p w14:paraId="2CA32D8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2.8 其他义务</w:t>
      </w:r>
    </w:p>
    <w:p w14:paraId="66F0A7D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其他义务在专用合同条款中补充约定。</w:t>
      </w:r>
    </w:p>
    <w:p w14:paraId="17BF17F7">
      <w:pPr>
        <w:pStyle w:val="5"/>
        <w:rPr>
          <w:rFonts w:hint="eastAsia" w:asciiTheme="majorEastAsia" w:hAnsiTheme="majorEastAsia" w:eastAsiaTheme="majorEastAsia" w:cstheme="majorEastAsia"/>
          <w:color w:val="auto"/>
          <w:sz w:val="28"/>
          <w:highlight w:val="none"/>
        </w:rPr>
      </w:pPr>
      <w:bookmarkStart w:id="69" w:name="_Toc222032673"/>
      <w:bookmarkStart w:id="70" w:name="_Toc222033855"/>
      <w:bookmarkStart w:id="71" w:name="_Toc222031006"/>
      <w:bookmarkStart w:id="72" w:name="_Toc229408499"/>
      <w:bookmarkStart w:id="73" w:name="_Toc221950732"/>
      <w:bookmarkStart w:id="74" w:name="_Toc229305364"/>
      <w:bookmarkStart w:id="75" w:name="_Toc222029504"/>
      <w:r>
        <w:rPr>
          <w:rFonts w:hint="eastAsia" w:asciiTheme="majorEastAsia" w:hAnsiTheme="majorEastAsia" w:eastAsiaTheme="majorEastAsia" w:cstheme="majorEastAsia"/>
          <w:color w:val="auto"/>
          <w:sz w:val="28"/>
          <w:highlight w:val="none"/>
        </w:rPr>
        <w:t>3. 监理人</w:t>
      </w:r>
      <w:bookmarkEnd w:id="69"/>
      <w:bookmarkEnd w:id="70"/>
      <w:bookmarkEnd w:id="71"/>
      <w:bookmarkEnd w:id="72"/>
      <w:bookmarkEnd w:id="73"/>
      <w:bookmarkEnd w:id="74"/>
      <w:bookmarkEnd w:id="75"/>
    </w:p>
    <w:p w14:paraId="6ECFB95A">
      <w:pPr>
        <w:spacing w:line="360" w:lineRule="auto"/>
        <w:rPr>
          <w:rFonts w:hint="eastAsia" w:asciiTheme="majorEastAsia" w:hAnsiTheme="majorEastAsia" w:eastAsiaTheme="majorEastAsia" w:cstheme="majorEastAsia"/>
          <w:b/>
          <w:color w:val="auto"/>
          <w:sz w:val="24"/>
          <w:highlight w:val="none"/>
        </w:rPr>
      </w:pPr>
      <w:bookmarkStart w:id="76" w:name="_Toc221950735"/>
      <w:r>
        <w:rPr>
          <w:rFonts w:hint="eastAsia" w:asciiTheme="majorEastAsia" w:hAnsiTheme="majorEastAsia" w:eastAsiaTheme="majorEastAsia" w:cstheme="majorEastAsia"/>
          <w:b/>
          <w:color w:val="auto"/>
          <w:sz w:val="24"/>
          <w:highlight w:val="none"/>
        </w:rPr>
        <w:t>3.1监理人的职责和权力</w:t>
      </w:r>
    </w:p>
    <w:p w14:paraId="4A086B92">
      <w:pPr>
        <w:spacing w:line="360" w:lineRule="auto"/>
        <w:ind w:firstLine="447" w:firstLineChars="213"/>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3.1.1监理人受发包人委托，享有合同约定的权力。监理人的权力范围在专用合同条款中明确。当监理人认为出现了危及生命、工程或毗邻财产等安全的紧急事件时，在不免除合同约定的承包人责任的情况下，监理人可以指示承包人实施为消除或减少这种危险所必须进行的工作，即使没有发包人的事先批准，承包人也应立即遵照执行。监理人应按第15条的约定增加相应的费用，并通知承包人。</w:t>
      </w:r>
      <w:bookmarkEnd w:id="76"/>
    </w:p>
    <w:p w14:paraId="398E985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3.1.2 监理人发出的任何指示应视为已得到发包人的批准，但监理人无权免除或变更合同约定的发包人和承包人的权利、义务和责任。</w:t>
      </w:r>
    </w:p>
    <w:p w14:paraId="46E219A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3.1.3 合同约定应由承包人承担的义务和责任，不因监理人对承包人提交文件的审查或批准，对工程、材料和设备的检查和检验，以及为实施监理作出的指示等职务行为而减轻或解除。</w:t>
      </w:r>
    </w:p>
    <w:p w14:paraId="6111BC2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3.2 总监理工程师</w:t>
      </w:r>
    </w:p>
    <w:p w14:paraId="627C01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发包人应在发出开工通知前将总监理工程师的任命通知承包人。总监理工程师更换时，应在调离14 天前通知承包人。总监理工程师短期离开施工场地的，应委派代表代行其职责，并通知承包人。</w:t>
      </w:r>
    </w:p>
    <w:p w14:paraId="4018D9A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3.3 监理人员</w:t>
      </w:r>
    </w:p>
    <w:p w14:paraId="5CE96ED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3.3.1 总监理工程师可以授权其他监理人员负责执行其指派的一项或多项监理工作。总监理工程师应将被授权监理人员的姓名及其授权范围通知承包人。被授权的监理人员在授权范围内发出的指示视为己得到总监理工程师的同意，与总监理工程师发出的指示具有同等效力。总监理工程师撤销某项授权时，应将撤销授权的决定及时通知承包人。</w:t>
      </w:r>
    </w:p>
    <w:p w14:paraId="31A0F05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3.3.2 监理人员对承包人的任何工作、工程或其采用的材料和工程设备未在约定的或合理的期限内提出否定意见的，视为已获批准，但不影响监理人在以后拒绝该项工作、工程、材料或工程设备的权利。</w:t>
      </w:r>
    </w:p>
    <w:p w14:paraId="7305746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3.3.3 承包人对总监理工程师授权的监理人员发出的指示有疑问的，可向总监理工程师提出书面异议，总监理工程师应在48小时内对该指示予以确认、更改或撤销。</w:t>
      </w:r>
    </w:p>
    <w:p w14:paraId="63864C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3.3.4 除专用合同条款另有约定外，总监理工程师不应将第3.5 款约定应由总监理工程师作出确定的权力授权或委托给其他监理人员。</w:t>
      </w:r>
    </w:p>
    <w:p w14:paraId="2299C6E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3.4 监理人的指示</w:t>
      </w:r>
    </w:p>
    <w:p w14:paraId="144A1A3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3.4.1 监理人应按第3.1 款的约定向承包人发出指示，监理人的指示应盖有监理人授权的施工场地机构章，并由总监理工程师或总监理工程师按第3.3.1 项约定授权的监理人员签字。</w:t>
      </w:r>
    </w:p>
    <w:p w14:paraId="6D251F3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3.4.2 承包人收到监理人按第3.4.1 项作出的指示后应遵照执行。指示构成变更的，应按第15条处理。</w:t>
      </w:r>
    </w:p>
    <w:p w14:paraId="5AE5EFF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59DD57C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3.4.4 除合同另有约定外，承包人只从总监理工程师或按第3.3.1 项被授权的监理人员处取得指示。</w:t>
      </w:r>
    </w:p>
    <w:p w14:paraId="23B63ED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3.4.5 由于监理人未能按合同约定发出指示、指示延误或指示错误而导致承包人费用增加和（或）工期延误的，由发包人承担赔偿责任。</w:t>
      </w:r>
    </w:p>
    <w:p w14:paraId="718AAE4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3.5 商定或确定</w:t>
      </w:r>
    </w:p>
    <w:p w14:paraId="08B4176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3.5.1 合同约定总监理工程师应按照本款对任何事项进行商定或确定时，总监理工程师应与合同当事人协商，尽量达成一致。不能达成一致的，总监理工程师应认真研究后审慎确定。</w:t>
      </w:r>
    </w:p>
    <w:p w14:paraId="2414B9C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3.5.2 总监理工程师应将商定或确定的事项通知合同当事人，并附详细依据。对总监理工程师的确定有异议的，构成争议，按照第24 条的约定处理。在争议解决前，双方应暂按总监理工程师的确定执行，按照第24 条的约定对总监理工程师的确定作出修改的，按修改后的结果执行。</w:t>
      </w:r>
    </w:p>
    <w:p w14:paraId="462B9314">
      <w:pPr>
        <w:pStyle w:val="5"/>
        <w:rPr>
          <w:rFonts w:hint="eastAsia" w:asciiTheme="majorEastAsia" w:hAnsiTheme="majorEastAsia" w:eastAsiaTheme="majorEastAsia" w:cstheme="majorEastAsia"/>
          <w:color w:val="auto"/>
          <w:sz w:val="28"/>
          <w:highlight w:val="none"/>
        </w:rPr>
      </w:pPr>
      <w:bookmarkStart w:id="77" w:name="_Toc229408500"/>
      <w:bookmarkStart w:id="78" w:name="_Toc222031007"/>
      <w:bookmarkStart w:id="79" w:name="_Toc222033856"/>
      <w:bookmarkStart w:id="80" w:name="_Toc229305365"/>
      <w:bookmarkStart w:id="81" w:name="_Toc222029505"/>
      <w:bookmarkStart w:id="82" w:name="_Toc221950744"/>
      <w:bookmarkStart w:id="83" w:name="_Toc222032674"/>
      <w:r>
        <w:rPr>
          <w:rFonts w:hint="eastAsia" w:asciiTheme="majorEastAsia" w:hAnsiTheme="majorEastAsia" w:eastAsiaTheme="majorEastAsia" w:cstheme="majorEastAsia"/>
          <w:color w:val="auto"/>
          <w:sz w:val="28"/>
          <w:highlight w:val="none"/>
        </w:rPr>
        <w:t>4. 承包人</w:t>
      </w:r>
      <w:bookmarkEnd w:id="77"/>
      <w:bookmarkEnd w:id="78"/>
      <w:bookmarkEnd w:id="79"/>
      <w:bookmarkEnd w:id="80"/>
      <w:bookmarkEnd w:id="81"/>
      <w:bookmarkEnd w:id="82"/>
      <w:bookmarkEnd w:id="83"/>
    </w:p>
    <w:p w14:paraId="65126FE3">
      <w:pPr>
        <w:spacing w:line="360" w:lineRule="auto"/>
        <w:rPr>
          <w:rFonts w:hint="eastAsia" w:asciiTheme="majorEastAsia" w:hAnsiTheme="majorEastAsia" w:eastAsiaTheme="majorEastAsia" w:cstheme="majorEastAsia"/>
          <w:b/>
          <w:color w:val="auto"/>
          <w:sz w:val="24"/>
          <w:highlight w:val="none"/>
        </w:rPr>
      </w:pPr>
      <w:bookmarkStart w:id="84" w:name="_Toc221950747"/>
      <w:r>
        <w:rPr>
          <w:rFonts w:hint="eastAsia" w:asciiTheme="majorEastAsia" w:hAnsiTheme="majorEastAsia" w:eastAsiaTheme="majorEastAsia" w:cstheme="majorEastAsia"/>
          <w:b/>
          <w:color w:val="auto"/>
          <w:sz w:val="24"/>
          <w:highlight w:val="none"/>
        </w:rPr>
        <w:t>4.1承包人的一般义务</w:t>
      </w:r>
    </w:p>
    <w:p w14:paraId="11CA965B">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4.1.1 遵守法律</w:t>
      </w:r>
    </w:p>
    <w:p w14:paraId="1675C7D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承包人在履行合同过程中应遵守法律，并保证发包人免于承担因承包人违反法律而引起的任何责任。</w:t>
      </w:r>
    </w:p>
    <w:p w14:paraId="3D782AD6">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4.1.2 依法纳税</w:t>
      </w:r>
    </w:p>
    <w:p w14:paraId="3EDCA4C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承包人应按有关法律规定纳税，应缴纳的税金包括在合同价格内。</w:t>
      </w:r>
    </w:p>
    <w:p w14:paraId="0FAE088D">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4.1.3 完成各项承包工作</w:t>
      </w:r>
    </w:p>
    <w:p w14:paraId="458DD72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承包人应按合同约定以及监理人根据第3.4 款作出的指示，实施、完成全部工程，并修补工程中的任何缺陷。除第5.2款、第6.2款另有约定外，承包人应提供为完成合同工作所需的劳务、材料、施工设备、工程设备和其他物品，并按合同约定负责临时设施的设计、建造、运行、维护、管理和拆除。</w:t>
      </w:r>
    </w:p>
    <w:p w14:paraId="26BE6150">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4.1.4 对施工作业和施工方法的完备性负责</w:t>
      </w:r>
    </w:p>
    <w:p w14:paraId="2A19E9D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承包人应按合同约定的工作内容和施工进度要求，编制施工组织设计和施工措施计划，并对所有施工作业和施工方法的完备性和安全可靠性负责。</w:t>
      </w:r>
    </w:p>
    <w:p w14:paraId="623613E3">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4.1.5 保证工程施工和人员的安全</w:t>
      </w:r>
    </w:p>
    <w:p w14:paraId="54590F1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承包人应按第9.2 款约定采取施工安全措施，确保工程及其人员、材料、设备和设施的安全，防止因工程施工造成的人身伤害和财产损失。</w:t>
      </w:r>
    </w:p>
    <w:p w14:paraId="5C6DBDAD">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4.1.6 负责施工场地及其周边环境与生态的保护工作</w:t>
      </w:r>
    </w:p>
    <w:p w14:paraId="78E15F1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承包人应按照第9.4 款约定负责施工场地及其周边环境与生态的保护工作。</w:t>
      </w:r>
    </w:p>
    <w:p w14:paraId="2936EB48">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4.1.7 避免施工对公众与他人的利益造成损害</w:t>
      </w:r>
    </w:p>
    <w:p w14:paraId="5C717F5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53C461C1">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4.1.8 为他人提供方便</w:t>
      </w:r>
    </w:p>
    <w:p w14:paraId="48880EC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承包人应按监理人的指示为他人在施工场地或附近实施与工程有关的其他各项工作提供可能的条件。除合同另有约定外，提供有关条件的内容和可能发生的费用，由监理人按第3.5 款商定或确定。</w:t>
      </w:r>
    </w:p>
    <w:p w14:paraId="523BDE26">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4.1.9 工程的维护和照管</w:t>
      </w:r>
    </w:p>
    <w:p w14:paraId="394F42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除合同另有约定外，合同工程完工证书颁发前，承包人应负责照管和维护工程。合同工程完工证书颁发时尚有部分未完工程的，承包人还应负责该未完工程的照管和维护工作，直至完工后移交给发包人为止。</w:t>
      </w:r>
    </w:p>
    <w:p w14:paraId="07E85C12">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4.1.10 其他义务</w:t>
      </w:r>
    </w:p>
    <w:bookmarkEnd w:id="84"/>
    <w:p w14:paraId="11F0B4BE">
      <w:pPr>
        <w:spacing w:line="360" w:lineRule="auto"/>
        <w:ind w:firstLine="447" w:firstLineChars="213"/>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其他义务在专用合同条款中补充约定。</w:t>
      </w:r>
    </w:p>
    <w:p w14:paraId="4D645E0F">
      <w:pPr>
        <w:spacing w:line="360" w:lineRule="auto"/>
        <w:rPr>
          <w:rFonts w:hint="eastAsia" w:asciiTheme="majorEastAsia" w:hAnsiTheme="majorEastAsia" w:eastAsiaTheme="majorEastAsia" w:cstheme="majorEastAsia"/>
          <w:b/>
          <w:color w:val="auto"/>
          <w:sz w:val="24"/>
          <w:highlight w:val="none"/>
        </w:rPr>
      </w:pPr>
      <w:bookmarkStart w:id="85" w:name="_Toc221950749"/>
      <w:r>
        <w:rPr>
          <w:rFonts w:hint="eastAsia" w:asciiTheme="majorEastAsia" w:hAnsiTheme="majorEastAsia" w:eastAsiaTheme="majorEastAsia" w:cstheme="majorEastAsia"/>
          <w:b/>
          <w:color w:val="auto"/>
          <w:sz w:val="24"/>
          <w:highlight w:val="none"/>
        </w:rPr>
        <w:t xml:space="preserve">4.2 </w:t>
      </w:r>
      <w:bookmarkEnd w:id="85"/>
      <w:bookmarkStart w:id="86" w:name="_Toc221950751"/>
      <w:r>
        <w:rPr>
          <w:rFonts w:hint="eastAsia" w:asciiTheme="majorEastAsia" w:hAnsiTheme="majorEastAsia" w:eastAsiaTheme="majorEastAsia" w:cstheme="majorEastAsia"/>
          <w:b/>
          <w:color w:val="auto"/>
          <w:sz w:val="24"/>
          <w:highlight w:val="none"/>
        </w:rPr>
        <w:t>履约担保</w:t>
      </w:r>
    </w:p>
    <w:p w14:paraId="0C9457B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承包人应保证其履约担保在发包人颁发合同工程完工证书前一直有效。发包人应在合同工程完工证书颁发后28 天内将履约担保退还给承包人。</w:t>
      </w:r>
    </w:p>
    <w:bookmarkEnd w:id="86"/>
    <w:p w14:paraId="066DF1F4">
      <w:pPr>
        <w:spacing w:line="360" w:lineRule="auto"/>
        <w:rPr>
          <w:rFonts w:hint="eastAsia" w:asciiTheme="majorEastAsia" w:hAnsiTheme="majorEastAsia" w:eastAsiaTheme="majorEastAsia" w:cstheme="majorEastAsia"/>
          <w:b/>
          <w:color w:val="auto"/>
          <w:sz w:val="24"/>
          <w:highlight w:val="none"/>
        </w:rPr>
      </w:pPr>
      <w:bookmarkStart w:id="87" w:name="_Toc221950754"/>
      <w:r>
        <w:rPr>
          <w:rFonts w:hint="eastAsia" w:asciiTheme="majorEastAsia" w:hAnsiTheme="majorEastAsia" w:eastAsiaTheme="majorEastAsia" w:cstheme="majorEastAsia"/>
          <w:b/>
          <w:color w:val="auto"/>
          <w:sz w:val="24"/>
          <w:highlight w:val="none"/>
        </w:rPr>
        <w:t>4.3 分包</w:t>
      </w:r>
    </w:p>
    <w:p w14:paraId="4D5F0712">
      <w:pPr>
        <w:spacing w:line="360" w:lineRule="auto"/>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highlight w:val="none"/>
        </w:rPr>
        <w:t xml:space="preserve"> </w:t>
      </w:r>
      <w:r>
        <w:rPr>
          <w:rFonts w:hint="eastAsia" w:asciiTheme="majorEastAsia" w:hAnsiTheme="majorEastAsia" w:eastAsiaTheme="majorEastAsia" w:cstheme="majorEastAsia"/>
          <w:color w:val="auto"/>
          <w:szCs w:val="21"/>
          <w:highlight w:val="none"/>
        </w:rPr>
        <w:t>4.3.1 承包人不得将其承包的全部工程转包给第三人，或将其承包的全部工程肢解后以分包的名义转包给第三人。</w:t>
      </w:r>
    </w:p>
    <w:p w14:paraId="20D9D9A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4.3.2 承包人不得将工程主体、关键性工作分包给第三人。除专用合同条款另有约定外，未经发包人同意，承包人不得将工程的其他部分或工作分包给第三人。</w:t>
      </w:r>
    </w:p>
    <w:p w14:paraId="490C513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4.3.3 分包人的资格能力应与其分包工程的标准和规模相适应。</w:t>
      </w:r>
    </w:p>
    <w:p w14:paraId="1FA2F0A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4.3.4 按投标函附录约定分包工程的，承包人应向发包人和监理人提交分包合同副本。</w:t>
      </w:r>
    </w:p>
    <w:p w14:paraId="106CDCC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4.3.5 承包人应与分包人就分包工程向发包人承担连带责任。</w:t>
      </w:r>
    </w:p>
    <w:p w14:paraId="2BC7E17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4.3.6分包分为工程分包和劳务作业分包。工程分包应遵循合同约定或者经发包人书面认定。禁止承包人将本合同工程进行违法分包。分包人应具备与分包工程规模和标准相适应的资质和业绩，在人力、设备、资金等方面具有承担分包工程施工的能力。分包人应自行完成所承包的任务。 </w:t>
      </w:r>
    </w:p>
    <w:p w14:paraId="5234A7B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4.3.7在合同实施过程中，如承包人无力在合同规定的期限内完成合同中的应急防汛、抢险等危及公共安全和工程安全的项目，发包人可对该应急防汛、抢险等项目的部分工程指定分包人。因非承包人原因形成指定分包条件的，发包人的指定分包不得增加承包人的额外费用；因承包人原因形成指定分包条件的，承包人应承担指定分包所增加的费用。</w:t>
      </w:r>
    </w:p>
    <w:p w14:paraId="46FC8B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由指定分包人造成的与其分包工作有关的一切索赔、诉讼和损失赔偿由指定分包人直接对发包人负责，承包人不对此承担责任。</w:t>
      </w:r>
    </w:p>
    <w:p w14:paraId="58FA0DE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4.3.8 承包人和分包人应当签订分包合同，并履行合同约定的义务。分包合同必须遵循承包合同的各项原则，满足承包合同中相应条款的要求。发包人可以对分包合同实施情况进行监督检查。承包人应将分包合同副本提交发包人和监理人。</w:t>
      </w:r>
    </w:p>
    <w:p w14:paraId="2A8383A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4.3.9 除4.3.7项规定的指定分包外，承包人对其分包项目的实施以及分包人的行为向发包人负全部责任。承包人应对分包项目的工程进度、质量、安全、计量和验收等实施监督和管理。</w:t>
      </w:r>
      <w:bookmarkEnd w:id="87"/>
    </w:p>
    <w:p w14:paraId="63042A4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4.3.10分包人应按专用合同条款的约定设立项目管理机构组织管理分包工程的施工活动。</w:t>
      </w:r>
    </w:p>
    <w:p w14:paraId="5D43919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4.4 联合体</w:t>
      </w:r>
    </w:p>
    <w:p w14:paraId="3F764FC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4.4.1 联合体各方应共同与发包人签订合同协议书。联合体各方应为履行合同承担连带责任。</w:t>
      </w:r>
    </w:p>
    <w:p w14:paraId="4B3F290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4.4.2 联合体协议经发包人确认后作为合同附件。在履行合同过程中，未经发包人同意，不得修改联合体协议。</w:t>
      </w:r>
    </w:p>
    <w:p w14:paraId="5DD2A21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4.4.3 联合体牵头人负责与发包人和监理人联系，并接受指示，负责组织联合体各成员全面履行合同。</w:t>
      </w:r>
    </w:p>
    <w:p w14:paraId="20E9B1D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4.5 承包人项目经理</w:t>
      </w:r>
    </w:p>
    <w:p w14:paraId="367EE65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4.5.1 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2526135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4.5.2 承包人项目经理应按合同约定以及监理人按第3.4 款作出的指示，负责组织合同工程的实施。在情况紧急且无法与监理人取得联系时，可采取保证工程和人员生命财产安令的紧急措施，并在采取措施后24小时内向监理人提交书面报告。</w:t>
      </w:r>
    </w:p>
    <w:p w14:paraId="69C4EE1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4.5.3 承包人为履行合同发出的一切函件均应盖有承包人授权的施工场地管理机构章，并由承包人项目经理或其授权代表签字。</w:t>
      </w:r>
    </w:p>
    <w:p w14:paraId="049A368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4.5.4 承包人项目经理可以授权其下属人员履行其某项职责，但事先应将这些人员的姓名和授权范围通知监理人。</w:t>
      </w:r>
    </w:p>
    <w:p w14:paraId="51D8447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4.6 承包人人员的管理</w:t>
      </w:r>
    </w:p>
    <w:p w14:paraId="3A670CD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0D736E4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4.6.2 为完成合同约定的各项工作，承包人应向施工场地派遣或雇佣足够数量的下列人员：</w:t>
      </w:r>
    </w:p>
    <w:p w14:paraId="74B8941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(1）具有相应资格的专业技工和合格的普工；</w:t>
      </w:r>
    </w:p>
    <w:p w14:paraId="62D686C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(2）具有相应施工经验的技术人员；</w:t>
      </w:r>
    </w:p>
    <w:p w14:paraId="41C389A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(3）具有相应岗位资格的各级管理人员。</w:t>
      </w:r>
    </w:p>
    <w:p w14:paraId="49F7E51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4.6.3 承包人安排在施工场地的主要管理人员和技术骨干应相对稳定。承包人更换主要管理人员和技术骨干时，应取得监理人的同意。</w:t>
      </w:r>
    </w:p>
    <w:p w14:paraId="4334E7A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4.6.4 特殊岗位的工作人员均应持有相应的资格证明，监理人有权随时检查。监理人认为有必要时，可进行现场考核。</w:t>
      </w:r>
    </w:p>
    <w:p w14:paraId="5BEC4F0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4.7 撤换承包人项目经理和其他人员</w:t>
      </w:r>
    </w:p>
    <w:p w14:paraId="69548D3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承包人应对其项目经理和其他人员进行有效管理。监理人要求撤换不能胜任本职工作、行为不端或玩忽职守的承包人项目经理和其他人员的，承包人应予以撤换。</w:t>
      </w:r>
    </w:p>
    <w:p w14:paraId="389ABA2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4.8 保障承包人人员的合法权益</w:t>
      </w:r>
    </w:p>
    <w:p w14:paraId="729683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4.8.1 承包人应与其雇佣的人员签订劳动合同，并按时发放工资。</w:t>
      </w:r>
    </w:p>
    <w:p w14:paraId="2AB1F48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4.8.2 承包人应按劳动法的规定安排工作时间，保证其雇佣人员享有休息和休假的权利。因工程施工的特殊需要占用休假日或延长工作时间的，应不超过法律规定的限度，并按法律规定给予补休或付酬。</w:t>
      </w:r>
    </w:p>
    <w:p w14:paraId="38613F0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4.8.3 承包人应为其雇佣人员提供必要的食宿条件，以及符合环境保护和卫生要求的生活环境，在远离城镇的施工场地，还应配备必要的伤病防治和急救的医务人员与医疗设施。</w:t>
      </w:r>
    </w:p>
    <w:p w14:paraId="7D1412B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02E78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4.8.5 承包人应按有关法律规定和合同约定，为其雇佣人员办理保险。</w:t>
      </w:r>
    </w:p>
    <w:p w14:paraId="5D7E2B2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4.8.6 承包人应负责处理其雇佣人员因工伤亡事故的善后事宜。</w:t>
      </w:r>
    </w:p>
    <w:p w14:paraId="09C947C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4.9 工程价款应专款专用</w:t>
      </w:r>
    </w:p>
    <w:p w14:paraId="58964EF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发包人按合同约定支付给承包人的各项价款应专用于合同工程。</w:t>
      </w:r>
    </w:p>
    <w:p w14:paraId="3048972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4.10 承包人现场查勘</w:t>
      </w:r>
    </w:p>
    <w:p w14:paraId="3B09E9E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4.10.1 发包人应将其持有的现场地质勘探资料、水文气象资料提供给承包人，并对其准确胜负责。但承包人应对其阅读上述有关资料后所作出的解释和推断负责。</w:t>
      </w:r>
    </w:p>
    <w:p w14:paraId="20DB872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4.10.2 承包人应对施工场地和周围环境进行查勘，并收集有关地质、水文、气象条件、交通条件、风俗习惯以及其他为完成合同工作有关的当地资料。在全部合同工作中，应视为承包人己充分估计了应承担的责任和风险。</w:t>
      </w:r>
    </w:p>
    <w:p w14:paraId="21D1686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4.11不利物质条件</w:t>
      </w:r>
    </w:p>
    <w:p w14:paraId="10A39F0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4.11.1除专用合同条款另有约定外，不利物质条件是指在施工中遭遇不可预见的外界障碍或自然条件造成施工受阻。</w:t>
      </w:r>
    </w:p>
    <w:p w14:paraId="2F5965D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4.11.2 承包人遇到不利物质条件时，应采取适应不利物质条件的合理措施继续施工，并及时通知监理人。承包人应有权根据第23.1款的约定，要求延长工期及增加费用。监理人收到此类要求后，应在分析上述外界障碍或自然条件是否不可预见及不可预见程度的基础上，按照通用合同条款第15条的约定办理． </w:t>
      </w:r>
    </w:p>
    <w:p w14:paraId="69AF4B2F">
      <w:pPr>
        <w:pStyle w:val="5"/>
        <w:rPr>
          <w:rFonts w:hint="eastAsia" w:asciiTheme="majorEastAsia" w:hAnsiTheme="majorEastAsia" w:eastAsiaTheme="majorEastAsia" w:cstheme="majorEastAsia"/>
          <w:color w:val="auto"/>
          <w:sz w:val="28"/>
          <w:highlight w:val="none"/>
        </w:rPr>
      </w:pPr>
      <w:bookmarkStart w:id="88" w:name="_Toc221950770"/>
      <w:bookmarkStart w:id="89" w:name="_Toc229408501"/>
      <w:bookmarkStart w:id="90" w:name="_Toc222029506"/>
      <w:bookmarkStart w:id="91" w:name="_Toc222033857"/>
      <w:bookmarkStart w:id="92" w:name="_Toc222031008"/>
      <w:bookmarkStart w:id="93" w:name="_Toc222032675"/>
      <w:bookmarkStart w:id="94" w:name="_Toc229305366"/>
      <w:r>
        <w:rPr>
          <w:rFonts w:hint="eastAsia" w:asciiTheme="majorEastAsia" w:hAnsiTheme="majorEastAsia" w:eastAsiaTheme="majorEastAsia" w:cstheme="majorEastAsia"/>
          <w:color w:val="auto"/>
          <w:sz w:val="28"/>
          <w:highlight w:val="none"/>
        </w:rPr>
        <w:t>5. 材料和工程设备</w:t>
      </w:r>
      <w:bookmarkEnd w:id="88"/>
      <w:bookmarkEnd w:id="89"/>
      <w:bookmarkEnd w:id="90"/>
      <w:bookmarkEnd w:id="91"/>
      <w:bookmarkEnd w:id="92"/>
      <w:bookmarkEnd w:id="93"/>
      <w:bookmarkEnd w:id="94"/>
    </w:p>
    <w:p w14:paraId="2496F2A7">
      <w:pPr>
        <w:spacing w:line="360" w:lineRule="auto"/>
        <w:rPr>
          <w:rFonts w:hint="eastAsia" w:asciiTheme="majorEastAsia" w:hAnsiTheme="majorEastAsia" w:eastAsiaTheme="majorEastAsia" w:cstheme="majorEastAsia"/>
          <w:b/>
          <w:color w:val="auto"/>
          <w:sz w:val="24"/>
          <w:highlight w:val="none"/>
        </w:rPr>
      </w:pPr>
      <w:bookmarkStart w:id="95" w:name="_Toc221950773"/>
      <w:r>
        <w:rPr>
          <w:rFonts w:hint="eastAsia" w:asciiTheme="majorEastAsia" w:hAnsiTheme="majorEastAsia" w:eastAsiaTheme="majorEastAsia" w:cstheme="majorEastAsia"/>
          <w:b/>
          <w:color w:val="auto"/>
          <w:sz w:val="24"/>
          <w:highlight w:val="none"/>
        </w:rPr>
        <w:t>5.1 承包人提供的材料和工程设备</w:t>
      </w:r>
    </w:p>
    <w:p w14:paraId="71DF381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5.1.1</w:t>
      </w:r>
      <w:bookmarkEnd w:id="95"/>
      <w:r>
        <w:rPr>
          <w:rFonts w:hint="eastAsia" w:asciiTheme="majorEastAsia" w:hAnsiTheme="majorEastAsia" w:eastAsiaTheme="majorEastAsia" w:cstheme="majorEastAsia"/>
          <w:color w:val="auto"/>
          <w:szCs w:val="21"/>
          <w:highlight w:val="none"/>
        </w:rPr>
        <w:t xml:space="preserve"> 除第5.2款约定由发包人提供的材料和工程设备外，承包人负责采购、运输和保管完成本合同各项工作所需的材料和工程设备。承包人应对其采购的材料和工程设备负责。</w:t>
      </w:r>
      <w:bookmarkStart w:id="96" w:name="_Toc221950777"/>
    </w:p>
    <w:bookmarkEnd w:id="96"/>
    <w:p w14:paraId="51CD8E52">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97" w:name="_Toc221950779"/>
      <w:r>
        <w:rPr>
          <w:rFonts w:hint="eastAsia" w:asciiTheme="majorEastAsia" w:hAnsiTheme="majorEastAsia" w:eastAsiaTheme="majorEastAsia" w:cstheme="majorEastAsia"/>
          <w:color w:val="auto"/>
          <w:szCs w:val="21"/>
          <w:highlight w:val="none"/>
        </w:rPr>
        <w:t>5.1.2 承包人应按专用合同条款的约定，将各项材料和工程设备的供货人及品种、规格、数量和供货时间等报送监理人审批。承包人应向监理人提交其负责提供的材料和工程设备的质量证明文件，并满足合同约定的质量标准。</w:t>
      </w:r>
    </w:p>
    <w:p w14:paraId="79395C3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5.1.3 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p>
    <w:p w14:paraId="371C5F8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5.2 发包人提供的材料和工程设备</w:t>
      </w:r>
    </w:p>
    <w:p w14:paraId="599F3E9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5.2.1 发包人提供的材料和工程设备，应在专用合同条款中写明材料和工程设备的名称、规格、数量、价格、交货方式、交货地点和计划交货日期等。</w:t>
      </w:r>
    </w:p>
    <w:p w14:paraId="46FD9F2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5.2.2 承包人应根据合同进度计划的安排，向监理人报送要求发包人交货的日期计划。发包人应按照监理人与合同双方当事人商定的交货日期，向承包人提交材料和工程设备。</w:t>
      </w:r>
    </w:p>
    <w:p w14:paraId="512FED1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5.2.3 发包人应在材料和工程设备到货7 天前通知承包人，承包人应会同监理人在约定的时间内，赴交货地点共同进行验收。发包人提供的材料和工程设备运至交货地点验收后，由承包人负责接收、卸货、运输和保管。</w:t>
      </w:r>
    </w:p>
    <w:p w14:paraId="5761DAF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5.2.4 发包人要求向承包人提前交货的，承包人不得拒绝，但发包人应承担承包人由此增加的费用。</w:t>
      </w:r>
    </w:p>
    <w:p w14:paraId="026EBAE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5.2.5 承包人要求更改交货日期或地点的，应事先报请监理人批准。由于承包人要求更改交货时间或地点所增加的费用和（或）工期延误由承包人承担。</w:t>
      </w:r>
    </w:p>
    <w:p w14:paraId="1521CFE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5.2.6 发包人提供的材料和工程设备的规格、数量或质量不符合合同要求，或由于发包人原因发生交货日期延误及交货地点变更等情况的，发包人应承担由此增加的费用和（或）工期延误，并向承包人支付合理利润。</w:t>
      </w:r>
    </w:p>
    <w:p w14:paraId="58B7CB8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5.3 材料和工程设备专用于合同工程</w:t>
      </w:r>
    </w:p>
    <w:p w14:paraId="174C262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5.3.1 运入施工场地的材料、工程设备，包括备品备件、安装专用工器具与随机资料，必须专用于合同工程，未经监理人同意，承包人不得运出施工场地或挪作他用。</w:t>
      </w:r>
    </w:p>
    <w:p w14:paraId="20B8D4A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5.3.2 随同工程设备运入施工场地的备品备件、专用工器具与随机资料，应由承包人会同监理人按供货人的装箱单清点后共同封存，未经监理人同意不得启用。承包人因合同工作需要使用上述物品时，应向监理人提出申请。</w:t>
      </w:r>
    </w:p>
    <w:p w14:paraId="09A8310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5.4 禁止使用不合格的材料和工程设备</w:t>
      </w:r>
    </w:p>
    <w:p w14:paraId="549AFE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5.4.1  监理人有权拒绝承包人提供的不合格材料或工程设备，并要求承包人立即进行更换。监理人应在更换后再次进行检查和检验，由此增加的费用和（或）工期延误由承包人承担。</w:t>
      </w:r>
    </w:p>
    <w:p w14:paraId="191248E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5.4.2  监理人发现承包人使用了不合格的材料和工程设备，应即时发出指示要求承包人立即改正，并禁止在工程中继续使用不合格的材料和工程设备。</w:t>
      </w:r>
    </w:p>
    <w:p w14:paraId="429C7DF4">
      <w:pPr>
        <w:spacing w:line="360" w:lineRule="auto"/>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5.4.3  发包人提供的材料或工程设备不符合合同要求的，承包人有权拒绝，并可要求发包人更换，由此增加的费用和（或）工期延误由发包人承担。</w:t>
      </w:r>
      <w:bookmarkEnd w:id="97"/>
      <w:bookmarkStart w:id="98" w:name="_Toc222033858"/>
      <w:bookmarkStart w:id="99" w:name="_Toc229305367"/>
      <w:bookmarkStart w:id="100" w:name="_Toc221950785"/>
      <w:bookmarkStart w:id="101" w:name="_Toc222032676"/>
      <w:bookmarkStart w:id="102" w:name="_Toc229408502"/>
      <w:bookmarkStart w:id="103" w:name="_Toc222031009"/>
      <w:bookmarkStart w:id="104" w:name="_Toc222029507"/>
    </w:p>
    <w:p w14:paraId="6A38D895">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6. 施工设备和临时设施</w:t>
      </w:r>
      <w:bookmarkEnd w:id="98"/>
      <w:bookmarkEnd w:id="99"/>
      <w:bookmarkEnd w:id="100"/>
      <w:bookmarkEnd w:id="101"/>
      <w:bookmarkEnd w:id="102"/>
      <w:bookmarkEnd w:id="103"/>
      <w:bookmarkEnd w:id="104"/>
    </w:p>
    <w:p w14:paraId="4C491483">
      <w:pPr>
        <w:spacing w:line="360" w:lineRule="auto"/>
        <w:rPr>
          <w:rFonts w:hint="eastAsia" w:asciiTheme="majorEastAsia" w:hAnsiTheme="majorEastAsia" w:eastAsiaTheme="majorEastAsia" w:cstheme="majorEastAsia"/>
          <w:b/>
          <w:color w:val="auto"/>
          <w:sz w:val="24"/>
          <w:highlight w:val="none"/>
        </w:rPr>
      </w:pPr>
      <w:bookmarkStart w:id="105" w:name="_Toc221950795"/>
      <w:bookmarkStart w:id="106" w:name="_Toc222033859"/>
      <w:bookmarkStart w:id="107" w:name="_Toc229408503"/>
      <w:bookmarkStart w:id="108" w:name="_Toc229305368"/>
      <w:bookmarkStart w:id="109" w:name="_Toc222029508"/>
      <w:bookmarkStart w:id="110" w:name="_Toc222032677"/>
      <w:bookmarkStart w:id="111" w:name="_Toc222031010"/>
      <w:r>
        <w:rPr>
          <w:rFonts w:hint="eastAsia" w:asciiTheme="majorEastAsia" w:hAnsiTheme="majorEastAsia" w:eastAsiaTheme="majorEastAsia" w:cstheme="majorEastAsia"/>
          <w:b/>
          <w:color w:val="auto"/>
          <w:sz w:val="24"/>
          <w:highlight w:val="none"/>
        </w:rPr>
        <w:t>6.1 承包人提供的施工设备和临时设施</w:t>
      </w:r>
    </w:p>
    <w:p w14:paraId="68D666B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6.1.1 承包人应按合同进度计划的要求，及时配置施工设备和修建临时设施。进入施工场地的承包人设备需经监理人核查后才能投入使用。承包人更换合同约定的承包人设备的，应报监理人批准。</w:t>
      </w:r>
    </w:p>
    <w:p w14:paraId="1644DB8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6.1.2 除专用合同条款另有约定外，承包人应自行承担修建临时设施的费用，需要临时占地的，应由发包人办理申请手续并承担相应费用。</w:t>
      </w:r>
    </w:p>
    <w:p w14:paraId="3E03DBE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6.2 发包人提供的施工设备和临时设施</w:t>
      </w:r>
    </w:p>
    <w:p w14:paraId="499FCB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发包人提供的施工设备或临时设施在专用合同条款中约定。</w:t>
      </w:r>
    </w:p>
    <w:p w14:paraId="6E9C201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6.3 要求承包人增加或更换施工设备</w:t>
      </w:r>
    </w:p>
    <w:p w14:paraId="0CC90C9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承包人使用的施工设备不能满足合同进度计划和（或）质量要求时，监理人有权要求承包人增加或更换施工设备，承包人应及时增加或更换，由此增加的费用和（或）工期延误由承包人承担。</w:t>
      </w:r>
    </w:p>
    <w:p w14:paraId="3D54BD7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6.4 施工设备和临时设施专用于合同工程</w:t>
      </w:r>
    </w:p>
    <w:p w14:paraId="7FFE0F5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6.4.1 除合同另有约定外，运入施工场地的所有施工设备以及在施工场地建设的临时设施应专用于合同工程。未经监理人同意，不得将上述施工设备和临时设施中的任何部分运出施工场地或挪作他用。</w:t>
      </w:r>
    </w:p>
    <w:p w14:paraId="3D451C2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6.4.2 经监理人同意，承包人可根据合同进度计划撤走闲置的施工设备。</w:t>
      </w:r>
    </w:p>
    <w:p w14:paraId="39FD22AC">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7. 交通运输</w:t>
      </w:r>
      <w:bookmarkEnd w:id="105"/>
      <w:bookmarkEnd w:id="106"/>
      <w:bookmarkEnd w:id="107"/>
      <w:bookmarkEnd w:id="108"/>
      <w:bookmarkEnd w:id="109"/>
      <w:bookmarkEnd w:id="110"/>
      <w:bookmarkEnd w:id="111"/>
    </w:p>
    <w:p w14:paraId="34FBB9F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7.1道路通行权和场外设施</w:t>
      </w:r>
    </w:p>
    <w:p w14:paraId="02B0EF8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专用合同条款另有约定外，承包人应根据合同工程的施工需要，负责办理取得出入施工场地的专用和临时道路的通行权，以及取得为工程建设所需修建场外设施的权利，并承担相关费用。发包人应协助承包人办理上述手续。</w:t>
      </w:r>
    </w:p>
    <w:p w14:paraId="71227B47">
      <w:pPr>
        <w:spacing w:line="360" w:lineRule="auto"/>
        <w:rPr>
          <w:rFonts w:hint="eastAsia" w:asciiTheme="majorEastAsia" w:hAnsiTheme="majorEastAsia" w:eastAsiaTheme="majorEastAsia" w:cstheme="majorEastAsia"/>
          <w:b/>
          <w:color w:val="auto"/>
          <w:sz w:val="24"/>
          <w:highlight w:val="none"/>
        </w:rPr>
      </w:pPr>
      <w:bookmarkStart w:id="112" w:name="_Toc221950800"/>
      <w:r>
        <w:rPr>
          <w:rFonts w:hint="eastAsia" w:asciiTheme="majorEastAsia" w:hAnsiTheme="majorEastAsia" w:eastAsiaTheme="majorEastAsia" w:cstheme="majorEastAsia"/>
          <w:b/>
          <w:color w:val="auto"/>
          <w:sz w:val="24"/>
          <w:highlight w:val="none"/>
        </w:rPr>
        <w:t>7.2场内施工道路</w:t>
      </w:r>
    </w:p>
    <w:p w14:paraId="26C37A4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7.2.1 除本合同约定由发包人提供的部分道路和交通设施外，承包人应负责修建、维修、养护和管理其施工所需的全部临时道路和交通设施(包括合同约定由发包人提供的部分道路和交通设施的维修、养护和管理),并承担相应费用。</w:t>
      </w:r>
      <w:bookmarkEnd w:id="112"/>
    </w:p>
    <w:p w14:paraId="5481CAF2">
      <w:pPr>
        <w:spacing w:line="360" w:lineRule="auto"/>
        <w:ind w:firstLine="480"/>
        <w:rPr>
          <w:rFonts w:hint="eastAsia" w:asciiTheme="majorEastAsia" w:hAnsiTheme="majorEastAsia" w:eastAsiaTheme="majorEastAsia" w:cstheme="majorEastAsia"/>
          <w:color w:val="auto"/>
          <w:szCs w:val="21"/>
          <w:highlight w:val="none"/>
        </w:rPr>
      </w:pPr>
      <w:bookmarkStart w:id="113" w:name="_Toc221950801"/>
      <w:r>
        <w:rPr>
          <w:rFonts w:hint="eastAsia" w:asciiTheme="majorEastAsia" w:hAnsiTheme="majorEastAsia" w:eastAsiaTheme="majorEastAsia" w:cstheme="majorEastAsia"/>
          <w:color w:val="auto"/>
          <w:szCs w:val="21"/>
          <w:highlight w:val="none"/>
        </w:rPr>
        <w:t>7.2.2 承包人修建的临时道路和交通设施,应免费提供发包人、监理人以及与本合同有关的其他承包人使用。</w:t>
      </w:r>
      <w:bookmarkEnd w:id="113"/>
    </w:p>
    <w:p w14:paraId="4F191A4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7.3 场外交通</w:t>
      </w:r>
    </w:p>
    <w:p w14:paraId="7CF3C21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7.3.1 承包人车辆外出行驶所需的场外公共道路的通行费、养路费和税款等由承包人承担。</w:t>
      </w:r>
    </w:p>
    <w:p w14:paraId="44AEE92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7.3.2 承包人应遵守有关交通法规，严格按照道路和桥梁的限制荷重安全行驶，并服从交通管理部门的检查和监督。</w:t>
      </w:r>
    </w:p>
    <w:p w14:paraId="23C9985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7.4 超大件和超重件的运输</w:t>
      </w:r>
    </w:p>
    <w:p w14:paraId="30734BD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70FD05B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7.5 道路和桥梁的损坏责任</w:t>
      </w:r>
    </w:p>
    <w:p w14:paraId="46B4935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因承包人运输造成施工场地内外公共道路和桥梁损坏的，由承包人承担修复损坏的全部费用和可能引起的赔偿。</w:t>
      </w:r>
    </w:p>
    <w:p w14:paraId="04405FA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7.6 水路和航空运输</w:t>
      </w:r>
    </w:p>
    <w:p w14:paraId="2C1E72B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本条上述各款的内容适用于水路运输和航空运输，其中“道路”一词的涵义包括河道、航线、船闸、机场、码头、堤防以及水路或航空运输中其他相似结构物；“车辆”一词的涯义包括船舶和飞机等。</w:t>
      </w:r>
    </w:p>
    <w:p w14:paraId="71A4713E">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 xml:space="preserve"> </w:t>
      </w:r>
      <w:bookmarkStart w:id="114" w:name="_Toc222029509"/>
      <w:bookmarkStart w:id="115" w:name="_Toc229408504"/>
      <w:bookmarkStart w:id="116" w:name="_Toc222032678"/>
      <w:bookmarkStart w:id="117" w:name="_Toc229305369"/>
      <w:bookmarkStart w:id="118" w:name="_Toc221950810"/>
      <w:bookmarkStart w:id="119" w:name="_Toc222033860"/>
      <w:bookmarkStart w:id="120" w:name="_Toc222031011"/>
      <w:r>
        <w:rPr>
          <w:rFonts w:hint="eastAsia" w:asciiTheme="majorEastAsia" w:hAnsiTheme="majorEastAsia" w:eastAsiaTheme="majorEastAsia" w:cstheme="majorEastAsia"/>
          <w:color w:val="auto"/>
          <w:sz w:val="28"/>
          <w:highlight w:val="none"/>
        </w:rPr>
        <w:t>8. 测量放线</w:t>
      </w:r>
      <w:bookmarkEnd w:id="114"/>
      <w:bookmarkEnd w:id="115"/>
      <w:bookmarkEnd w:id="116"/>
      <w:bookmarkEnd w:id="117"/>
      <w:bookmarkEnd w:id="118"/>
      <w:bookmarkEnd w:id="119"/>
      <w:bookmarkEnd w:id="120"/>
      <w:bookmarkStart w:id="121" w:name="_Toc221950814"/>
    </w:p>
    <w:p w14:paraId="4477E2D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8.1施工控制网</w:t>
      </w:r>
    </w:p>
    <w:p w14:paraId="70D1DFF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8.1.1 除专用合同条款另有约定外，施工控制网由承包人负责测设，发包人应在本合同协议书签订后的14天内，向承包人提供测量基准点、基准线和水准点及其相关资料。承包人应在收到上述资料后的28天内，将施测的施工控制网资料提交监理人审批。监理人应在收到报批件后的14天内批复承包人。</w:t>
      </w:r>
    </w:p>
    <w:p w14:paraId="4AE846B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8.1.2 承包人应负责管理施工控制网点。施工控制网点丢失或损坏的，承包人应及时修复。承包人应承担施工控制网点的管理与修复费用，并在工程竣工后将施工控制网点移交发包人。</w:t>
      </w:r>
    </w:p>
    <w:p w14:paraId="22845FD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8.2 施工测量</w:t>
      </w:r>
    </w:p>
    <w:p w14:paraId="0BF04BE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8.2.1 承包人应负责施工过程中的全部施工测量放线工作，并配置合格的人员、仪器、设备和其他物品。</w:t>
      </w:r>
    </w:p>
    <w:p w14:paraId="3239F44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8.2.2 监理人可以指示承包人进行抽样复测，当复测中发现错误或出现超过合同约定的误差时，承包人应按监理人指示进行修正或补测，并承担相应的复测费用。</w:t>
      </w:r>
    </w:p>
    <w:p w14:paraId="1FFFC5F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8.3 基准资料错误的责任</w:t>
      </w:r>
    </w:p>
    <w:p w14:paraId="3D4FA5B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p>
    <w:p w14:paraId="7A53BC6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8.4 监理人使用施工控制网</w:t>
      </w:r>
    </w:p>
    <w:p w14:paraId="6294BBA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监理人需要使用施工控制网的，承包人应提供必要的协助，发包人不再为此支付费用。</w:t>
      </w:r>
    </w:p>
    <w:bookmarkEnd w:id="121"/>
    <w:p w14:paraId="346AC65C">
      <w:pPr>
        <w:spacing w:line="360" w:lineRule="auto"/>
        <w:rPr>
          <w:rFonts w:hint="eastAsia" w:asciiTheme="majorEastAsia" w:hAnsiTheme="majorEastAsia" w:eastAsiaTheme="majorEastAsia" w:cstheme="majorEastAsia"/>
          <w:b/>
          <w:color w:val="auto"/>
          <w:sz w:val="24"/>
          <w:highlight w:val="none"/>
        </w:rPr>
      </w:pPr>
      <w:bookmarkStart w:id="122" w:name="_Toc221950821"/>
      <w:r>
        <w:rPr>
          <w:rFonts w:hint="eastAsia" w:asciiTheme="majorEastAsia" w:hAnsiTheme="majorEastAsia" w:eastAsiaTheme="majorEastAsia" w:cstheme="majorEastAsia"/>
          <w:b/>
          <w:color w:val="auto"/>
          <w:sz w:val="24"/>
          <w:highlight w:val="none"/>
        </w:rPr>
        <w:t>8.5补充地质勘探</w:t>
      </w:r>
      <w:bookmarkEnd w:id="122"/>
    </w:p>
    <w:p w14:paraId="3F5220F4">
      <w:pPr>
        <w:spacing w:line="360" w:lineRule="auto"/>
        <w:ind w:firstLine="420" w:firstLineChars="200"/>
        <w:rPr>
          <w:rFonts w:hint="eastAsia" w:asciiTheme="majorEastAsia" w:hAnsiTheme="majorEastAsia" w:eastAsiaTheme="majorEastAsia" w:cstheme="majorEastAsia"/>
          <w:color w:val="auto"/>
          <w:szCs w:val="21"/>
          <w:highlight w:val="none"/>
        </w:rPr>
      </w:pPr>
      <w:bookmarkStart w:id="123" w:name="_Toc221950822"/>
      <w:r>
        <w:rPr>
          <w:rFonts w:hint="eastAsia" w:asciiTheme="majorEastAsia" w:hAnsiTheme="majorEastAsia" w:eastAsiaTheme="majorEastAsia" w:cstheme="majorEastAsia"/>
          <w:color w:val="auto"/>
          <w:szCs w:val="21"/>
          <w:highlight w:val="none"/>
        </w:rPr>
        <w:t>在合同实施期间，监理人可以指示承包人进行必要的补充地质勘探和提供有关资料；承包人为本合同永久工程施工的需要进行补充地质勘探时，须经监理人批准，并应向监理人提交有关资料，上述补充勘探的费用由发包人承担。承包人为其临时工程设计及施工所需进行的补充地质勘探，其费用由承包人承担。</w:t>
      </w:r>
      <w:bookmarkEnd w:id="123"/>
    </w:p>
    <w:p w14:paraId="4A799980">
      <w:pPr>
        <w:pStyle w:val="5"/>
        <w:rPr>
          <w:rFonts w:hint="eastAsia" w:asciiTheme="majorEastAsia" w:hAnsiTheme="majorEastAsia" w:eastAsiaTheme="majorEastAsia" w:cstheme="majorEastAsia"/>
          <w:color w:val="auto"/>
          <w:sz w:val="28"/>
          <w:highlight w:val="none"/>
        </w:rPr>
      </w:pPr>
      <w:bookmarkStart w:id="124" w:name="_Toc229408505"/>
      <w:bookmarkStart w:id="125" w:name="_Toc229305370"/>
      <w:bookmarkStart w:id="126" w:name="_Toc221950823"/>
      <w:bookmarkStart w:id="127" w:name="_Toc222032679"/>
      <w:bookmarkStart w:id="128" w:name="_Toc222029510"/>
      <w:bookmarkStart w:id="129" w:name="_Toc222033861"/>
      <w:bookmarkStart w:id="130" w:name="_Toc222031012"/>
      <w:r>
        <w:rPr>
          <w:rFonts w:hint="eastAsia" w:asciiTheme="majorEastAsia" w:hAnsiTheme="majorEastAsia" w:eastAsiaTheme="majorEastAsia" w:cstheme="majorEastAsia"/>
          <w:color w:val="auto"/>
          <w:sz w:val="28"/>
          <w:highlight w:val="none"/>
        </w:rPr>
        <w:t>9. 施工安全、治安保卫和环境保护</w:t>
      </w:r>
      <w:bookmarkEnd w:id="124"/>
      <w:bookmarkEnd w:id="125"/>
      <w:bookmarkEnd w:id="126"/>
      <w:bookmarkEnd w:id="127"/>
      <w:bookmarkEnd w:id="128"/>
      <w:bookmarkEnd w:id="129"/>
      <w:bookmarkEnd w:id="130"/>
    </w:p>
    <w:p w14:paraId="2FD62889">
      <w:pPr>
        <w:spacing w:line="360" w:lineRule="auto"/>
        <w:rPr>
          <w:rFonts w:hint="eastAsia" w:asciiTheme="majorEastAsia" w:hAnsiTheme="majorEastAsia" w:eastAsiaTheme="majorEastAsia" w:cstheme="majorEastAsia"/>
          <w:b/>
          <w:color w:val="auto"/>
          <w:sz w:val="24"/>
          <w:highlight w:val="none"/>
        </w:rPr>
      </w:pPr>
      <w:bookmarkStart w:id="131" w:name="_Toc221950826"/>
      <w:r>
        <w:rPr>
          <w:rFonts w:hint="eastAsia" w:asciiTheme="majorEastAsia" w:hAnsiTheme="majorEastAsia" w:eastAsiaTheme="majorEastAsia" w:cstheme="majorEastAsia"/>
          <w:b/>
          <w:color w:val="auto"/>
          <w:sz w:val="24"/>
          <w:highlight w:val="none"/>
        </w:rPr>
        <w:t>9.1发包人的施工安全责任</w:t>
      </w:r>
    </w:p>
    <w:p w14:paraId="2B12D71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9.1.1发包人应按合同约定履行安全责任。发包人应委托监理人根据国家有关安全的法律、法规，对承包人的施工安全工作进行全面和全过程的监督和检查。监理人的监督检查不减轻承包人应负的安全责任。</w:t>
      </w:r>
      <w:bookmarkEnd w:id="131"/>
    </w:p>
    <w:p w14:paraId="4FDBAF0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9.1.2发包人应对其现场机构雇佣的全部人员的工伤事故承担责任，但由于承包人原因造成发包人人员工伤的，应由承包人承担责任。</w:t>
      </w:r>
    </w:p>
    <w:p w14:paraId="645EFB53">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9.1.3发包人应负责赔偿以下各种情况造成的第三者人身伤亡和财产损失:</w:t>
      </w:r>
    </w:p>
    <w:p w14:paraId="5EFF7660">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(1)工程或工程的任何部分对土地的占用所造成的第三者财产损失;</w:t>
      </w:r>
    </w:p>
    <w:p w14:paraId="0E8CC6A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(2)由于发包人原因在施工场地及其毗邻地带造成的第三者人身伤亡和财产损失。</w:t>
      </w:r>
    </w:p>
    <w:p w14:paraId="5899440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9.1.4除专用合同条款另有约定外，发包人负责向承包人提供施工现场及施工可能影响的毗邻区域内供水、排水、供电、供气、供热、通信、广播电视等地下管线资料，气象和水文观测资料，拟建工程可能影响的相邻建筑物地下工程的有关资料，并保证有关资料的真实、准确、完整，满足有关技术规程的要求。</w:t>
      </w:r>
    </w:p>
    <w:p w14:paraId="7D90F7E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9.1.5发包人按照已标价工程量清单所列金额和合同约定的计量支付规定，支付安全作业环境及安全施工措施所需费用。</w:t>
      </w:r>
    </w:p>
    <w:p w14:paraId="1AFEFD4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9.1.6发包人负责组织工程参建单位编制保证安全生产的措施方案。工程开工前，就落实保证安全生产的措施进行全面系统的布置，进一步明确承包人的安全生产责任。</w:t>
      </w:r>
    </w:p>
    <w:p w14:paraId="2C62F35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9.1.7发包人负责在拆除工程和爆破工程施工14天前向有关部门或机构报送相关备案资料。</w:t>
      </w:r>
    </w:p>
    <w:p w14:paraId="4C71BDF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9.2承包人的施工安全责任</w:t>
      </w:r>
    </w:p>
    <w:p w14:paraId="7BF2F66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承包人应按合同约定履行安全职责，执行监理人有关安全工作的指示。承包人应按技术标准和要求(合同技术条款)约定的内容和期限，以及监理人的指示，编制施工安全技术措施提交监理人审批。监理人应在技术标准和要求(合同技术条款)约定的期限内批复承包人。</w:t>
      </w:r>
    </w:p>
    <w:p w14:paraId="7A9E74F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9.2.2承包人应加强施工作业安全管理，特别应加强易燃、易爆材料、火工器材、有毒与腐蚀性材料和其他危险品的管理，以及对爆破作业和地下工程施工等危险作业的管理。</w:t>
      </w:r>
    </w:p>
    <w:p w14:paraId="772BFA6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9.2.3承包人应严格按照国家安全标准制定施工安全操作规程，配备必要的安全生产和劳动保护设施，加强对承包人人员的安全教育，并发放安全工作手册和劳动保护用具。</w:t>
      </w:r>
    </w:p>
    <w:p w14:paraId="16137BB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9.2.4承包人应按监理人的指示制定应对灾害的紧急预案，报送监理人审批。承包人还应按预案做好安全检查，配置必要的救助物资和器材，切实保护好有关人员的人身和财产安全。</w:t>
      </w:r>
    </w:p>
    <w:p w14:paraId="4171AA6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9.2.5合同约定的安全作业环境及安全施工措施所需费用应遵守有关规定，并包括在相关工作的合同价格中。因采取合同未约定的安全作业环境及安全施工措施增加的费用，由监理人按第3. 5款商定或确定。</w:t>
      </w:r>
    </w:p>
    <w:p w14:paraId="315E71E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9.2.6承包人应对其履行合同所雇佣的全部人员，包括分包人人员的工伤事故承担责任，但由于发包人原因造成承包人人员工伤事故的，应由发包人承担责任。</w:t>
      </w:r>
    </w:p>
    <w:p w14:paraId="138B752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9.2.7由于承包人原因在施工场地内及其毗邻地带造成的第三者人员伤亡和财产损失，由承包人负责赔偿。</w:t>
      </w:r>
    </w:p>
    <w:p w14:paraId="54756E2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9.2.8 承包人已标价工程量清单应包含工程安全作业环境及安全施工措施所需费用。</w:t>
      </w:r>
    </w:p>
    <w:p w14:paraId="6BACEE7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9.2.9 承包人应建立健全安全生产责任制度和安全生产教育培训制度，制定安全生产规章制度和操作规程，保证本单位建立和完善安全生产条件所需资金的投入，对本工程进行定期和专项安全检查，并做好安全检查记录。</w:t>
      </w:r>
    </w:p>
    <w:p w14:paraId="0D89BC6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9.2.10 承包人应设立安全生产管理机构，施工现场应有专职安全生产管理人员。</w:t>
      </w:r>
    </w:p>
    <w:p w14:paraId="156798E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9.2.11承包人应负责对特种作业人员进行专门的安全作业培训，并保证特种作业人员持证上岗。</w:t>
      </w:r>
    </w:p>
    <w:p w14:paraId="2712570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9.2.12承包人应在施工组织设计中编制安全技术措施和施工现场临时用电方案。对专用合同条款约定的工程，应编制专项施工方案报监理人批准。对专用合同条款约定的专项施工方案，还应组织专家进行论证、审查，其中专家1/2人员应经发包人同意。</w:t>
      </w:r>
    </w:p>
    <w:p w14:paraId="221AD55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9.2.13承包人在使用施工起重机械和整体提升脚手架、模板等自升式架设设施前，应组织有关单位进行验收。</w:t>
      </w:r>
    </w:p>
    <w:p w14:paraId="055FA6E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9.3治安保卫</w:t>
      </w:r>
    </w:p>
    <w:p w14:paraId="2207A31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9.3.1除合同另有约定外，发包人应与当地公安部门协商，在现场建立治安管理机构或联防组织，统一管理施工场地的治安保卫事项，履行合同工程的治安保卫职责。</w:t>
      </w:r>
    </w:p>
    <w:p w14:paraId="06B569A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9.3.2发包人和承包人除应协助现场治安管理机构或联防组织维护施工场地的社会治安外，还应做好包括生活区在内的各自管辖区的治安保卫工作。</w:t>
      </w:r>
    </w:p>
    <w:p w14:paraId="321AD0C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9.3.3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p>
    <w:p w14:paraId="6D14653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9.4环境保护</w:t>
      </w:r>
    </w:p>
    <w:p w14:paraId="22F01DD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9.4.1承包人在施工过程中，应遵守有关环境保护的法律，履行合同约定的环境保护义务，并对违反法律和合同约定义务所造成的环境破坏、人身伤害和财产损失负责。</w:t>
      </w:r>
    </w:p>
    <w:p w14:paraId="7D1B66B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9.4.2承包人应按合同约定的环保工作内容，编制施工环保措施计划，报送监理人审批。</w:t>
      </w:r>
    </w:p>
    <w:p w14:paraId="4CC66C9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9.4.3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18A38AF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9.4.4承包人应按合同约定采取有效措施，对施工开挖的边坡及时进行支护，维护排水设施，并进行水土保护，避免因施工造成的地质灾害。</w:t>
      </w:r>
    </w:p>
    <w:p w14:paraId="46FA64A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9.4.5承包人应按国家饮用水管理标准定期对饮用水源进行监测，防止施工活动污染饮用水源。</w:t>
      </w:r>
    </w:p>
    <w:p w14:paraId="5BE1C45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9.4.6承包人应按合同约定，加强对噪声、粉尘、废气、废水和废油的控制，努力降低噪声，控制粉尘和废气浓度，做好废水和废油的治理和排放。</w:t>
      </w:r>
    </w:p>
    <w:p w14:paraId="28A471E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9.5事故处理</w:t>
      </w:r>
    </w:p>
    <w:p w14:paraId="159C11B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9.5.1发包人负责组织参建单位制定本工程的质量与安全事故应急预案，建立质量与安全事故应急处置指挥部。</w:t>
      </w:r>
    </w:p>
    <w:p w14:paraId="0069F2E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9.5.2承包人应对施工现场易发生重大事故的部位、环节进行监控，配备救援器材、设备，并定期组织演练。</w:t>
      </w:r>
    </w:p>
    <w:p w14:paraId="7060CFD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9.5.3工程开工前，承包人应根据工程的特点制定施工现场施工质量与安全事故应急预案，并报发包人备案。</w:t>
      </w:r>
    </w:p>
    <w:p w14:paraId="094B961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9.5.4施工过程中发生事故时，发包人、承包人应立即启动应急预案。</w:t>
      </w:r>
    </w:p>
    <w:p w14:paraId="6A8239B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9.5.5事故调查处理由发包人按相关规定履行手续，承包人应配合。</w:t>
      </w:r>
    </w:p>
    <w:p w14:paraId="052BD24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9.6水土保持</w:t>
      </w:r>
    </w:p>
    <w:p w14:paraId="22A8903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9.6.1发包人应及时向承包人提供水土保持方案。</w:t>
      </w:r>
    </w:p>
    <w:p w14:paraId="0498ECF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9.6.2承包人在施工过程中，应遵守有关水土保持的法律法规和规章，履行合同约定的水土保持义务，并对其违反法律和合同约定义务所造成的水土流失灾害、人身伤害和财产损失负责。</w:t>
      </w:r>
    </w:p>
    <w:p w14:paraId="786EB60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9.6.3承包人的水土保持措施计划，应满足技术标准和要求(合同技术条款)约定的要求。</w:t>
      </w:r>
    </w:p>
    <w:p w14:paraId="59694C7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9.7文明工地</w:t>
      </w:r>
    </w:p>
    <w:p w14:paraId="659667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9.7.1发包人应按专用合同条款的约定，负责建立创建文明建设工地的组织机构，制定创建文明建设工地的规划和办法。</w:t>
      </w:r>
    </w:p>
    <w:p w14:paraId="5F4D29A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9.7.2承包人应按创建文明建设工地的规划和办法，履行职责，承担相应责任。所需费用应含在已标价工程量清单中。</w:t>
      </w:r>
    </w:p>
    <w:p w14:paraId="289B625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9.8防汛度汛</w:t>
      </w:r>
    </w:p>
    <w:p w14:paraId="17A2563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9.8.1发包人负责组织工程参建单位编制本工程的度汛方案和措施。</w:t>
      </w:r>
    </w:p>
    <w:p w14:paraId="489EE9E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9.8.2承包人应根据发包人编制的本工程度汛方案和措施，制定相应的度汛方案，报发包人批准后实施。</w:t>
      </w:r>
    </w:p>
    <w:p w14:paraId="10AF5C15">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10.进度计划</w:t>
      </w:r>
    </w:p>
    <w:p w14:paraId="3BAFA92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10.1 合同进度计划</w:t>
      </w:r>
    </w:p>
    <w:p w14:paraId="55CCF11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按技术标准和要求(合同技术条款)约定的内容和期限以及监理人的指示，编制详细的施工总进度计划及其说明提交监理人审批。监理人应在技术标准和要求(合同技术条款)约定的期限内批复承包人，否则该进度计划视为已得到批准。经监理人批准的施工进度计划称为合同进度计划，是控制合同工程进度的依据。承包人还应根据合同进度计划，编制更为详细的分阶段或单位工程或分部工程进度计划，报监理人审批。</w:t>
      </w:r>
    </w:p>
    <w:p w14:paraId="23BD0AD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10.2合同进度计划的修订</w:t>
      </w:r>
    </w:p>
    <w:p w14:paraId="597294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不论何种原因造成工程的实际进度与第10.1款的合同进度计划不符时，承包人均应在14天内向监理人提交修订合同进度计划的申清报告，并附有关措施和相关资料，报监理人审批，监理人应在收到申清报告后的14天内批复。当监理人认为需要修订合同进度计划时，承包人应按监理人的指示，在14天内向监理人提交修订的合同进度计划，并附调整计划的相关资料，提交监理人审批。监理人应在收到进度计划后的14天内批复。</w:t>
      </w:r>
    </w:p>
    <w:p w14:paraId="0465477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不论何种原因造成施工进度延迟，承包人均应按监理人的指示，采取有效措施赶上进度。承包人应在向监理人提交修订合同进度计划的同时，编制一份赶工措施报告提交监理人审批。由于发包人原因造成施工进度延迟，应按第11.3款的约定办理;由于承包人原因造成施工进度延迟，应按第11.5款的约定办理。</w:t>
      </w:r>
    </w:p>
    <w:p w14:paraId="76EA784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10.3单位工程进度计划</w:t>
      </w:r>
    </w:p>
    <w:p w14:paraId="2F2E4B3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监理人认为有必要时，承包人应按监理人指示的内容和期限，并根据合同进度计划的进度控制要求，编制单位工程进度计划，提交监理人审批。</w:t>
      </w:r>
    </w:p>
    <w:p w14:paraId="3B7E572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10.4 提交资金流估算表</w:t>
      </w:r>
    </w:p>
    <w:p w14:paraId="2D73B2B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在按第10.1款约定向监理人提交施工总进度计划的同时，按下表约定的格式，向监理人提交按月的资金流估算表。估算表应包括承包人计划可从发包人处得到的全部款额，以供发包人参考。此后，当监理人提出要求时，承包人应在监理人指定的期限内提交修订的资金流估算表。</w:t>
      </w:r>
    </w:p>
    <w:p w14:paraId="6B5457F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资金流估算表</w:t>
      </w:r>
      <w:r>
        <w:rPr>
          <w:rFonts w:hint="eastAsia" w:asciiTheme="majorEastAsia" w:hAnsiTheme="majorEastAsia" w:eastAsiaTheme="majorEastAsia" w:cstheme="majorEastAsia"/>
          <w:color w:val="auto"/>
          <w:szCs w:val="21"/>
          <w:highlight w:val="none"/>
        </w:rPr>
        <w:t>(参考格式)                 金额单位</w:t>
      </w:r>
    </w:p>
    <w:tbl>
      <w:tblPr>
        <w:tblStyle w:val="17"/>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52"/>
        <w:gridCol w:w="452"/>
        <w:gridCol w:w="1047"/>
        <w:gridCol w:w="1259"/>
        <w:gridCol w:w="1151"/>
        <w:gridCol w:w="1027"/>
        <w:gridCol w:w="1031"/>
        <w:gridCol w:w="1031"/>
        <w:gridCol w:w="1145"/>
        <w:gridCol w:w="1259"/>
      </w:tblGrid>
      <w:tr w14:paraId="320BE8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6773DE19">
            <w:pPr>
              <w:spacing w:line="360" w:lineRule="auto"/>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年</w:t>
            </w:r>
          </w:p>
        </w:tc>
        <w:tc>
          <w:tcPr>
            <w:tcW w:w="452" w:type="dxa"/>
            <w:noWrap w:val="0"/>
            <w:vAlign w:val="center"/>
          </w:tcPr>
          <w:p w14:paraId="4306319C">
            <w:pPr>
              <w:spacing w:line="360" w:lineRule="auto"/>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月</w:t>
            </w:r>
          </w:p>
        </w:tc>
        <w:tc>
          <w:tcPr>
            <w:tcW w:w="1047" w:type="dxa"/>
            <w:noWrap w:val="0"/>
            <w:vAlign w:val="center"/>
          </w:tcPr>
          <w:p w14:paraId="74773D8C">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工程</w:t>
            </w:r>
          </w:p>
          <w:p w14:paraId="492DE98F">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预付款</w:t>
            </w:r>
          </w:p>
        </w:tc>
        <w:tc>
          <w:tcPr>
            <w:tcW w:w="1259" w:type="dxa"/>
            <w:noWrap w:val="0"/>
            <w:vAlign w:val="center"/>
          </w:tcPr>
          <w:p w14:paraId="3AB2F706">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完成工作量付款</w:t>
            </w:r>
          </w:p>
        </w:tc>
        <w:tc>
          <w:tcPr>
            <w:tcW w:w="1151" w:type="dxa"/>
            <w:noWrap w:val="0"/>
            <w:vAlign w:val="center"/>
          </w:tcPr>
          <w:p w14:paraId="7911D36B">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质量保留金扣留</w:t>
            </w:r>
          </w:p>
        </w:tc>
        <w:tc>
          <w:tcPr>
            <w:tcW w:w="1027" w:type="dxa"/>
            <w:noWrap w:val="0"/>
            <w:vAlign w:val="center"/>
          </w:tcPr>
          <w:p w14:paraId="519005E8">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材料款</w:t>
            </w:r>
          </w:p>
          <w:p w14:paraId="0701021D">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扣除</w:t>
            </w:r>
          </w:p>
        </w:tc>
        <w:tc>
          <w:tcPr>
            <w:tcW w:w="1031" w:type="dxa"/>
            <w:noWrap w:val="0"/>
            <w:vAlign w:val="center"/>
          </w:tcPr>
          <w:p w14:paraId="6848C39F">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预付款</w:t>
            </w:r>
          </w:p>
          <w:p w14:paraId="4366642C">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扣还</w:t>
            </w:r>
          </w:p>
        </w:tc>
        <w:tc>
          <w:tcPr>
            <w:tcW w:w="1031" w:type="dxa"/>
            <w:noWrap w:val="0"/>
            <w:vAlign w:val="center"/>
          </w:tcPr>
          <w:p w14:paraId="6B2F7489">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其他</w:t>
            </w:r>
          </w:p>
        </w:tc>
        <w:tc>
          <w:tcPr>
            <w:tcW w:w="1145" w:type="dxa"/>
            <w:noWrap w:val="0"/>
            <w:vAlign w:val="center"/>
          </w:tcPr>
          <w:p w14:paraId="1A3739E7">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应收款</w:t>
            </w:r>
          </w:p>
        </w:tc>
        <w:tc>
          <w:tcPr>
            <w:tcW w:w="1259" w:type="dxa"/>
            <w:noWrap w:val="0"/>
            <w:vAlign w:val="center"/>
          </w:tcPr>
          <w:p w14:paraId="0668D95F">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累计</w:t>
            </w:r>
          </w:p>
          <w:p w14:paraId="4646C40A">
            <w:pPr>
              <w:spacing w:line="3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应收款</w:t>
            </w:r>
          </w:p>
        </w:tc>
      </w:tr>
      <w:tr w14:paraId="0ABC8A6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325FCB0D">
            <w:pPr>
              <w:spacing w:line="360" w:lineRule="auto"/>
              <w:jc w:val="center"/>
              <w:rPr>
                <w:rFonts w:hint="eastAsia" w:asciiTheme="majorEastAsia" w:hAnsiTheme="majorEastAsia" w:eastAsiaTheme="majorEastAsia" w:cstheme="majorEastAsia"/>
                <w:color w:val="auto"/>
                <w:sz w:val="24"/>
                <w:highlight w:val="none"/>
              </w:rPr>
            </w:pPr>
          </w:p>
        </w:tc>
        <w:tc>
          <w:tcPr>
            <w:tcW w:w="452" w:type="dxa"/>
            <w:noWrap w:val="0"/>
            <w:vAlign w:val="center"/>
          </w:tcPr>
          <w:p w14:paraId="2A70E0A0">
            <w:pPr>
              <w:spacing w:line="360" w:lineRule="auto"/>
              <w:jc w:val="center"/>
              <w:rPr>
                <w:rFonts w:hint="eastAsia" w:asciiTheme="majorEastAsia" w:hAnsiTheme="majorEastAsia" w:eastAsiaTheme="majorEastAsia" w:cstheme="majorEastAsia"/>
                <w:color w:val="auto"/>
                <w:sz w:val="24"/>
                <w:highlight w:val="none"/>
              </w:rPr>
            </w:pPr>
          </w:p>
        </w:tc>
        <w:tc>
          <w:tcPr>
            <w:tcW w:w="1047" w:type="dxa"/>
            <w:noWrap w:val="0"/>
            <w:vAlign w:val="center"/>
          </w:tcPr>
          <w:p w14:paraId="6E8BC2D0">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5769D396">
            <w:pPr>
              <w:spacing w:line="360" w:lineRule="auto"/>
              <w:jc w:val="center"/>
              <w:rPr>
                <w:rFonts w:hint="eastAsia" w:asciiTheme="majorEastAsia" w:hAnsiTheme="majorEastAsia" w:eastAsiaTheme="majorEastAsia" w:cstheme="majorEastAsia"/>
                <w:color w:val="auto"/>
                <w:sz w:val="24"/>
                <w:highlight w:val="none"/>
              </w:rPr>
            </w:pPr>
          </w:p>
        </w:tc>
        <w:tc>
          <w:tcPr>
            <w:tcW w:w="1151" w:type="dxa"/>
            <w:noWrap w:val="0"/>
            <w:vAlign w:val="center"/>
          </w:tcPr>
          <w:p w14:paraId="5376E122">
            <w:pPr>
              <w:spacing w:line="360" w:lineRule="auto"/>
              <w:jc w:val="center"/>
              <w:rPr>
                <w:rFonts w:hint="eastAsia" w:asciiTheme="majorEastAsia" w:hAnsiTheme="majorEastAsia" w:eastAsiaTheme="majorEastAsia" w:cstheme="majorEastAsia"/>
                <w:color w:val="auto"/>
                <w:sz w:val="24"/>
                <w:highlight w:val="none"/>
              </w:rPr>
            </w:pPr>
          </w:p>
        </w:tc>
        <w:tc>
          <w:tcPr>
            <w:tcW w:w="1027" w:type="dxa"/>
            <w:noWrap w:val="0"/>
            <w:vAlign w:val="center"/>
          </w:tcPr>
          <w:p w14:paraId="2EC00EBC">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center"/>
          </w:tcPr>
          <w:p w14:paraId="4B884632">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top"/>
          </w:tcPr>
          <w:p w14:paraId="21D84F09">
            <w:pPr>
              <w:spacing w:line="360" w:lineRule="auto"/>
              <w:jc w:val="center"/>
              <w:rPr>
                <w:rFonts w:hint="eastAsia" w:asciiTheme="majorEastAsia" w:hAnsiTheme="majorEastAsia" w:eastAsiaTheme="majorEastAsia" w:cstheme="majorEastAsia"/>
                <w:color w:val="auto"/>
                <w:sz w:val="24"/>
                <w:highlight w:val="none"/>
              </w:rPr>
            </w:pPr>
          </w:p>
        </w:tc>
        <w:tc>
          <w:tcPr>
            <w:tcW w:w="1145" w:type="dxa"/>
            <w:noWrap w:val="0"/>
            <w:vAlign w:val="top"/>
          </w:tcPr>
          <w:p w14:paraId="51B5F4F4">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10CFCE6F">
            <w:pPr>
              <w:spacing w:line="360" w:lineRule="auto"/>
              <w:jc w:val="center"/>
              <w:rPr>
                <w:rFonts w:hint="eastAsia" w:asciiTheme="majorEastAsia" w:hAnsiTheme="majorEastAsia" w:eastAsiaTheme="majorEastAsia" w:cstheme="majorEastAsia"/>
                <w:color w:val="auto"/>
                <w:sz w:val="24"/>
                <w:highlight w:val="none"/>
              </w:rPr>
            </w:pPr>
          </w:p>
        </w:tc>
      </w:tr>
      <w:tr w14:paraId="2BEC38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170A6AFE">
            <w:pPr>
              <w:spacing w:line="360" w:lineRule="auto"/>
              <w:jc w:val="center"/>
              <w:rPr>
                <w:rFonts w:hint="eastAsia" w:asciiTheme="majorEastAsia" w:hAnsiTheme="majorEastAsia" w:eastAsiaTheme="majorEastAsia" w:cstheme="majorEastAsia"/>
                <w:color w:val="auto"/>
                <w:sz w:val="24"/>
                <w:highlight w:val="none"/>
              </w:rPr>
            </w:pPr>
          </w:p>
        </w:tc>
        <w:tc>
          <w:tcPr>
            <w:tcW w:w="452" w:type="dxa"/>
            <w:noWrap w:val="0"/>
            <w:vAlign w:val="center"/>
          </w:tcPr>
          <w:p w14:paraId="62123870">
            <w:pPr>
              <w:spacing w:line="360" w:lineRule="auto"/>
              <w:jc w:val="center"/>
              <w:rPr>
                <w:rFonts w:hint="eastAsia" w:asciiTheme="majorEastAsia" w:hAnsiTheme="majorEastAsia" w:eastAsiaTheme="majorEastAsia" w:cstheme="majorEastAsia"/>
                <w:color w:val="auto"/>
                <w:sz w:val="24"/>
                <w:highlight w:val="none"/>
              </w:rPr>
            </w:pPr>
          </w:p>
        </w:tc>
        <w:tc>
          <w:tcPr>
            <w:tcW w:w="1047" w:type="dxa"/>
            <w:noWrap w:val="0"/>
            <w:vAlign w:val="center"/>
          </w:tcPr>
          <w:p w14:paraId="38EB4552">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2AAF6258">
            <w:pPr>
              <w:spacing w:line="360" w:lineRule="auto"/>
              <w:jc w:val="center"/>
              <w:rPr>
                <w:rFonts w:hint="eastAsia" w:asciiTheme="majorEastAsia" w:hAnsiTheme="majorEastAsia" w:eastAsiaTheme="majorEastAsia" w:cstheme="majorEastAsia"/>
                <w:color w:val="auto"/>
                <w:sz w:val="24"/>
                <w:highlight w:val="none"/>
              </w:rPr>
            </w:pPr>
          </w:p>
        </w:tc>
        <w:tc>
          <w:tcPr>
            <w:tcW w:w="1151" w:type="dxa"/>
            <w:noWrap w:val="0"/>
            <w:vAlign w:val="center"/>
          </w:tcPr>
          <w:p w14:paraId="44841531">
            <w:pPr>
              <w:spacing w:line="360" w:lineRule="auto"/>
              <w:jc w:val="center"/>
              <w:rPr>
                <w:rFonts w:hint="eastAsia" w:asciiTheme="majorEastAsia" w:hAnsiTheme="majorEastAsia" w:eastAsiaTheme="majorEastAsia" w:cstheme="majorEastAsia"/>
                <w:color w:val="auto"/>
                <w:sz w:val="24"/>
                <w:highlight w:val="none"/>
              </w:rPr>
            </w:pPr>
          </w:p>
        </w:tc>
        <w:tc>
          <w:tcPr>
            <w:tcW w:w="1027" w:type="dxa"/>
            <w:noWrap w:val="0"/>
            <w:vAlign w:val="center"/>
          </w:tcPr>
          <w:p w14:paraId="774DA94E">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center"/>
          </w:tcPr>
          <w:p w14:paraId="0A37E9F8">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top"/>
          </w:tcPr>
          <w:p w14:paraId="261FB553">
            <w:pPr>
              <w:spacing w:line="360" w:lineRule="auto"/>
              <w:jc w:val="center"/>
              <w:rPr>
                <w:rFonts w:hint="eastAsia" w:asciiTheme="majorEastAsia" w:hAnsiTheme="majorEastAsia" w:eastAsiaTheme="majorEastAsia" w:cstheme="majorEastAsia"/>
                <w:color w:val="auto"/>
                <w:sz w:val="24"/>
                <w:highlight w:val="none"/>
              </w:rPr>
            </w:pPr>
          </w:p>
        </w:tc>
        <w:tc>
          <w:tcPr>
            <w:tcW w:w="1145" w:type="dxa"/>
            <w:noWrap w:val="0"/>
            <w:vAlign w:val="top"/>
          </w:tcPr>
          <w:p w14:paraId="5F01ED53">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44F5821F">
            <w:pPr>
              <w:spacing w:line="360" w:lineRule="auto"/>
              <w:jc w:val="center"/>
              <w:rPr>
                <w:rFonts w:hint="eastAsia" w:asciiTheme="majorEastAsia" w:hAnsiTheme="majorEastAsia" w:eastAsiaTheme="majorEastAsia" w:cstheme="majorEastAsia"/>
                <w:color w:val="auto"/>
                <w:sz w:val="24"/>
                <w:highlight w:val="none"/>
              </w:rPr>
            </w:pPr>
          </w:p>
        </w:tc>
      </w:tr>
      <w:tr w14:paraId="1AD4A92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452" w:type="dxa"/>
            <w:noWrap w:val="0"/>
            <w:vAlign w:val="center"/>
          </w:tcPr>
          <w:p w14:paraId="1E65DE0F">
            <w:pPr>
              <w:spacing w:line="360" w:lineRule="auto"/>
              <w:jc w:val="center"/>
              <w:rPr>
                <w:rFonts w:hint="eastAsia" w:asciiTheme="majorEastAsia" w:hAnsiTheme="majorEastAsia" w:eastAsiaTheme="majorEastAsia" w:cstheme="majorEastAsia"/>
                <w:color w:val="auto"/>
                <w:sz w:val="24"/>
                <w:highlight w:val="none"/>
              </w:rPr>
            </w:pPr>
          </w:p>
        </w:tc>
        <w:tc>
          <w:tcPr>
            <w:tcW w:w="452" w:type="dxa"/>
            <w:noWrap w:val="0"/>
            <w:vAlign w:val="center"/>
          </w:tcPr>
          <w:p w14:paraId="5C562361">
            <w:pPr>
              <w:spacing w:line="360" w:lineRule="auto"/>
              <w:jc w:val="center"/>
              <w:rPr>
                <w:rFonts w:hint="eastAsia" w:asciiTheme="majorEastAsia" w:hAnsiTheme="majorEastAsia" w:eastAsiaTheme="majorEastAsia" w:cstheme="majorEastAsia"/>
                <w:color w:val="auto"/>
                <w:sz w:val="24"/>
                <w:highlight w:val="none"/>
              </w:rPr>
            </w:pPr>
          </w:p>
        </w:tc>
        <w:tc>
          <w:tcPr>
            <w:tcW w:w="1047" w:type="dxa"/>
            <w:noWrap w:val="0"/>
            <w:vAlign w:val="center"/>
          </w:tcPr>
          <w:p w14:paraId="5F060340">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5AA0755F">
            <w:pPr>
              <w:spacing w:line="360" w:lineRule="auto"/>
              <w:jc w:val="center"/>
              <w:rPr>
                <w:rFonts w:hint="eastAsia" w:asciiTheme="majorEastAsia" w:hAnsiTheme="majorEastAsia" w:eastAsiaTheme="majorEastAsia" w:cstheme="majorEastAsia"/>
                <w:color w:val="auto"/>
                <w:sz w:val="24"/>
                <w:highlight w:val="none"/>
              </w:rPr>
            </w:pPr>
          </w:p>
        </w:tc>
        <w:tc>
          <w:tcPr>
            <w:tcW w:w="1151" w:type="dxa"/>
            <w:noWrap w:val="0"/>
            <w:vAlign w:val="center"/>
          </w:tcPr>
          <w:p w14:paraId="0CF3B7E9">
            <w:pPr>
              <w:spacing w:line="360" w:lineRule="auto"/>
              <w:jc w:val="center"/>
              <w:rPr>
                <w:rFonts w:hint="eastAsia" w:asciiTheme="majorEastAsia" w:hAnsiTheme="majorEastAsia" w:eastAsiaTheme="majorEastAsia" w:cstheme="majorEastAsia"/>
                <w:color w:val="auto"/>
                <w:sz w:val="24"/>
                <w:highlight w:val="none"/>
              </w:rPr>
            </w:pPr>
          </w:p>
        </w:tc>
        <w:tc>
          <w:tcPr>
            <w:tcW w:w="1027" w:type="dxa"/>
            <w:noWrap w:val="0"/>
            <w:vAlign w:val="center"/>
          </w:tcPr>
          <w:p w14:paraId="59D24DF6">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center"/>
          </w:tcPr>
          <w:p w14:paraId="7E578C7A">
            <w:pPr>
              <w:spacing w:line="360" w:lineRule="auto"/>
              <w:jc w:val="center"/>
              <w:rPr>
                <w:rFonts w:hint="eastAsia" w:asciiTheme="majorEastAsia" w:hAnsiTheme="majorEastAsia" w:eastAsiaTheme="majorEastAsia" w:cstheme="majorEastAsia"/>
                <w:color w:val="auto"/>
                <w:sz w:val="24"/>
                <w:highlight w:val="none"/>
              </w:rPr>
            </w:pPr>
          </w:p>
        </w:tc>
        <w:tc>
          <w:tcPr>
            <w:tcW w:w="1031" w:type="dxa"/>
            <w:noWrap w:val="0"/>
            <w:vAlign w:val="top"/>
          </w:tcPr>
          <w:p w14:paraId="5578246A">
            <w:pPr>
              <w:spacing w:line="360" w:lineRule="auto"/>
              <w:jc w:val="center"/>
              <w:rPr>
                <w:rFonts w:hint="eastAsia" w:asciiTheme="majorEastAsia" w:hAnsiTheme="majorEastAsia" w:eastAsiaTheme="majorEastAsia" w:cstheme="majorEastAsia"/>
                <w:color w:val="auto"/>
                <w:sz w:val="24"/>
                <w:highlight w:val="none"/>
              </w:rPr>
            </w:pPr>
          </w:p>
        </w:tc>
        <w:tc>
          <w:tcPr>
            <w:tcW w:w="1145" w:type="dxa"/>
            <w:noWrap w:val="0"/>
            <w:vAlign w:val="top"/>
          </w:tcPr>
          <w:p w14:paraId="5059745B">
            <w:pPr>
              <w:spacing w:line="360" w:lineRule="auto"/>
              <w:jc w:val="center"/>
              <w:rPr>
                <w:rFonts w:hint="eastAsia" w:asciiTheme="majorEastAsia" w:hAnsiTheme="majorEastAsia" w:eastAsiaTheme="majorEastAsia" w:cstheme="majorEastAsia"/>
                <w:color w:val="auto"/>
                <w:sz w:val="24"/>
                <w:highlight w:val="none"/>
              </w:rPr>
            </w:pPr>
          </w:p>
        </w:tc>
        <w:tc>
          <w:tcPr>
            <w:tcW w:w="1259" w:type="dxa"/>
            <w:noWrap w:val="0"/>
            <w:vAlign w:val="center"/>
          </w:tcPr>
          <w:p w14:paraId="77E47B0E">
            <w:pPr>
              <w:spacing w:line="360" w:lineRule="auto"/>
              <w:jc w:val="center"/>
              <w:rPr>
                <w:rFonts w:hint="eastAsia" w:asciiTheme="majorEastAsia" w:hAnsiTheme="majorEastAsia" w:eastAsiaTheme="majorEastAsia" w:cstheme="majorEastAsia"/>
                <w:color w:val="auto"/>
                <w:sz w:val="24"/>
                <w:highlight w:val="none"/>
              </w:rPr>
            </w:pPr>
          </w:p>
        </w:tc>
      </w:tr>
    </w:tbl>
    <w:p w14:paraId="0846E9AA">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11 开工和竣工(完工)</w:t>
      </w:r>
    </w:p>
    <w:p w14:paraId="4C0BF46F">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11.1 开工</w:t>
      </w:r>
    </w:p>
    <w:p w14:paraId="349A7B3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11.1.1监理人应在开工日期7天前向承包人发出开工通知。监理人在发出开工通知前应获得发包人同意。工期自监理人发出的开工通知中载明的开工日期起计算。承包人应在开工日期后尽快施工。</w:t>
      </w:r>
    </w:p>
    <w:p w14:paraId="251FBF2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11.1.2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p>
    <w:p w14:paraId="676513A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11.1.3若发包人未能按合同约定向承包人提供开工的必要条件，承包人有权要求延长工期。监理人应在收到承包人的书面要求后，按第3. 5款的约定，与合同双方商定或确定增加的费用和延长的工期。</w:t>
      </w:r>
    </w:p>
    <w:p w14:paraId="62C7C38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11.1.4承包人在接到开工通知后14天内未按进度计划要求及时进场组织施工，监理人可通知承包人在接到通知后7天内提交一份说明其进场延误的书面报告，报送监理人。书面报告应说明不能及时进场的原因和补救措施，由此增加的费用和工期延误责任由承包人承担。</w:t>
      </w:r>
    </w:p>
    <w:p w14:paraId="21B33EE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11.2 竣工(完工)</w:t>
      </w:r>
    </w:p>
    <w:p w14:paraId="252A25A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承包人应在第1.1.4.3目约定的期限内完成合同工程。合同工程实际完工日期在合同工程完工证书中明确。</w:t>
      </w:r>
    </w:p>
    <w:p w14:paraId="0CD7E1E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11.3 发包人的工期延误</w:t>
      </w:r>
    </w:p>
    <w:p w14:paraId="43C80F2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在履行合同过程中，由于发包人的下列原因造成工期延误的，承包人有权要求发包人延长工期和(或)增加费用，并支付合理利润。需要修订合同进度计划的，按照第10.2款的约定办理。</w:t>
      </w:r>
    </w:p>
    <w:p w14:paraId="7CF831C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(1)增加合同工作内容;</w:t>
      </w:r>
    </w:p>
    <w:p w14:paraId="6AC2CBC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(2)改变合同中任何一项工作的质量要求或其他特性;</w:t>
      </w:r>
    </w:p>
    <w:p w14:paraId="1345300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(3)发包人迟延提供材料、工程设备或变更交货地点的;</w:t>
      </w:r>
    </w:p>
    <w:p w14:paraId="51DD87E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(4)因发包人原因导致的暂停施工;</w:t>
      </w:r>
    </w:p>
    <w:p w14:paraId="513CB93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(5)提供图纸延误;</w:t>
      </w:r>
    </w:p>
    <w:p w14:paraId="14639A2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(6)未按合同约定及时支付预付款、进度款;</w:t>
      </w:r>
    </w:p>
    <w:p w14:paraId="43D76BB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(7)发包人造成工期延误的其他原因。</w:t>
      </w:r>
    </w:p>
    <w:p w14:paraId="10C6065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11.4异常恶劣的气候条件</w:t>
      </w:r>
    </w:p>
    <w:p w14:paraId="3CAB250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11.4.1当工程所在地发生危及施工安全的异常恶劣气候时，发包人和承包人应按本合同通用合同条款第12条的约定，及时采取暂停施工或部分暂停施工措施。异常恶劣气候条件解除后，承包人应及时安排复工。</w:t>
      </w:r>
    </w:p>
    <w:p w14:paraId="5BDF124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11.4.2异常恶劣气候条件造成的工期延误和工程损坏，应由发包人与承包人参照本合同通用合同条款第21.3款的约定协商处理。</w:t>
      </w:r>
    </w:p>
    <w:p w14:paraId="541BAA9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11.4.3本合同工程界定异常恶劣气候条件的范围在专用合同条款中约定。</w:t>
      </w:r>
    </w:p>
    <w:p w14:paraId="270866C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11.5 承包人的工期延误</w:t>
      </w:r>
    </w:p>
    <w:p w14:paraId="6511CC7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p>
    <w:p w14:paraId="4E77886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11.6工期提前</w:t>
      </w:r>
    </w:p>
    <w:p w14:paraId="0A37284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要求承包人提前完工，或承包人提出提前完工的建议能够给发包人带来效益的，应由监理人与承包人共同协商采取加快工程进度的措施和修订合同进度计划。发包人应承担承包人由此增加的费用，并向承包人支付专用合同条款约定的相应奖金。</w:t>
      </w:r>
    </w:p>
    <w:p w14:paraId="1C8A401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发包人要求提前完工的，双方协商一致后应签订提前完工协议，协议内容包括:</w:t>
      </w:r>
    </w:p>
    <w:p w14:paraId="5B61098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(1)提前的时间和修订后的进度计划;</w:t>
      </w:r>
    </w:p>
    <w:p w14:paraId="6BB5976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(2)承包人的赶工措施;</w:t>
      </w:r>
    </w:p>
    <w:p w14:paraId="56A93B2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(3)发包人为赶工提供的条件;</w:t>
      </w:r>
    </w:p>
    <w:p w14:paraId="173CE4F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(4)赶工费用(包括利润和奖金)。</w:t>
      </w:r>
    </w:p>
    <w:p w14:paraId="3C41BC3A">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12. 暂停施工</w:t>
      </w:r>
    </w:p>
    <w:p w14:paraId="4B770CF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12.1 承包人暂停施工的责任</w:t>
      </w:r>
    </w:p>
    <w:p w14:paraId="739BB7F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因下列暂停施工增加的费用和(或)工期延误由承包人承担:</w:t>
      </w:r>
    </w:p>
    <w:p w14:paraId="2621B1D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(1)承包人违约引起的暂停施工;</w:t>
      </w:r>
    </w:p>
    <w:p w14:paraId="69D8C11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(2)由于承包人原因为工程合理施工和安全保障所必需的暂停施工;</w:t>
      </w:r>
    </w:p>
    <w:p w14:paraId="19F23F9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(3)承包人擅自暂停施工;</w:t>
      </w:r>
    </w:p>
    <w:p w14:paraId="58FE3F9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(4)承包人其他原因引起的暂停施工;</w:t>
      </w:r>
    </w:p>
    <w:p w14:paraId="073332C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(5)专用合同条款约定由承包人承担的其他暂停施工。</w:t>
      </w:r>
    </w:p>
    <w:p w14:paraId="44E0DB0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12.2 发包人暂停施工的责任</w:t>
      </w:r>
    </w:p>
    <w:p w14:paraId="5E9BE10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由于发包人原因引起的暂停施工造成工期延误，承包人有权要求发包人延长工期和(或)增加费用，并支付合理利润。</w:t>
      </w:r>
    </w:p>
    <w:p w14:paraId="7D25C8E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属于下列任何一种情况引起的暂停施工，均为发包人的责任:</w:t>
      </w:r>
    </w:p>
    <w:p w14:paraId="368FB93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(1)由于发包人违约引起的暂停施工;</w:t>
      </w:r>
    </w:p>
    <w:p w14:paraId="03EA3CB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(2)由于不可抗力的自然或社会因素引起的暂停施工;</w:t>
      </w:r>
    </w:p>
    <w:p w14:paraId="0803A01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(3)专用合同条款中约定的其它由于发包人原因引起的暂停施工。</w:t>
      </w:r>
    </w:p>
    <w:p w14:paraId="6DD2A74B">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12.3 监理人暂停施工指示</w:t>
      </w:r>
    </w:p>
    <w:p w14:paraId="0A6A999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12.3.1监理人认为有必要时，可向承包人作出暂停施工的指示，承包人应按监理人指示暂停施工。不论由于何种原因引起的暂停施工，暂停施工期问承包人应负责妥善保护工程并提供安全保障。</w:t>
      </w:r>
    </w:p>
    <w:p w14:paraId="0570EF4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12.3.2由于发包人的原因发生暂停施工的紧急情况，且监理人未及时下达暂停施工指示的，承包人可先暂停施工，并及时向监理人提出暂停施工的书面清求。监理人应在接到书面清求后的24小时内予以答复，逾期未答复的，视为同意承包人的暂停施工清求。</w:t>
      </w:r>
    </w:p>
    <w:p w14:paraId="5ACF649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12.4 暂停施工后的复工</w:t>
      </w:r>
    </w:p>
    <w:p w14:paraId="5DB487B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12.4.1暂停施工后，监理人应与发包人和承包人协商，采取有效措施积极消除暂停施工的影响。当工程具备复工条件时，监理人应立即向承包人发出复工通知。承包人收到复工通知后，应在监理人指定的期限内复工。</w:t>
      </w:r>
    </w:p>
    <w:p w14:paraId="2193C5C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12.4.2承包人无故拖延和拒绝复工的，由此增加的费用和工期延误由承包人承担;因发包人原因无法按时复工的，承包人有权要求发包人延长工期和(或)增加费用，并支付合理利润。</w:t>
      </w:r>
    </w:p>
    <w:p w14:paraId="45E9EA1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12.5 暂停施工持续56天以上</w:t>
      </w:r>
    </w:p>
    <w:p w14:paraId="59FBCA9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12.5.1监理人发出暂停施工指示后56天内未向承包人发出复工通知，除了该项停工属于第12. 1款的情况外，承包人可向监理人提交书面通知，要求监理人在收到书面通知后28天内准许已暂停施工的工程或其中一部分工程继续施工。如监理人逾期不予批准，则承包人可以通知监理人，将工程受影响的部分视为按第15. 1(1)项的可取消工作。如暂停施工影响到整个工程，可视为发包人违约，应按第22.2款的规定办理。12.5.2项由于承包人责任引起的暂停施工，如承包人在收到监理人暂停施工指示后56天内不认真采取有效的复工措施，造成工期延误，可视为承包人违约，应按第22.1款的约定办理。</w:t>
      </w:r>
    </w:p>
    <w:p w14:paraId="3B17AF54">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13. 工程质量</w:t>
      </w:r>
    </w:p>
    <w:p w14:paraId="65FBE30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13.1 工程质量要求</w:t>
      </w:r>
    </w:p>
    <w:p w14:paraId="0EA77C7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13.1.1工程质量验收按合同约定验收标准执行。</w:t>
      </w:r>
    </w:p>
    <w:p w14:paraId="59C7B2B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13.1.2因承包人原因造成工程质量达不到合同约定验收标准的，监理人有权要求承包人返工直至符合合同要求为止，由此造成的费用增加和(或)工期延误由承包人承担。</w:t>
      </w:r>
    </w:p>
    <w:p w14:paraId="240AD95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13.1.3因发包人原因造成工程质量达不到合同约定验收标准的，发包人应承担由于承包人返工造成的费用增加和(或)工期延误，并支付承包人合理利润。</w:t>
      </w:r>
    </w:p>
    <w:p w14:paraId="11B4540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13.2承包人的质量管理</w:t>
      </w:r>
    </w:p>
    <w:p w14:paraId="4D2C24B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13.2.1承包人应在施工场地设置专门的质量检查机构，配备专职质量检查人员，建立完善的质量检查制度。承包人应按技术标准和要求(合同技术条款)约定的内容和期限，编制工程质量保证措施文件，包括质量检查机构的组织和岗位责任、质量检查人员的组成、质量检查程序和实施细则等，提交监理人审批。监理人应在技术标准和要求(合同技术条款)约定的期限内批复承包人。</w:t>
      </w:r>
    </w:p>
    <w:p w14:paraId="444D62E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13.2.2承包人应加强对施工人员的质量教育和技术培训，定期考核施工人员的劳动技能，严格执行规范和操作规程。</w:t>
      </w:r>
    </w:p>
    <w:p w14:paraId="1D4BA9E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13.3承包人的质量检查</w:t>
      </w:r>
    </w:p>
    <w:p w14:paraId="0F09D59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承包人应按合同约定对材料、工程设备以及工程的所有部位及其施工工艺进行全过程的质量检查和检验，并作详细记录，编制工程质量报表，报送监理人审查。</w:t>
      </w:r>
    </w:p>
    <w:p w14:paraId="252E833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13.4监理人的质量检查</w:t>
      </w:r>
    </w:p>
    <w:p w14:paraId="0D6E42D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p>
    <w:p w14:paraId="1E64590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13.5工程隐蔽部位覆盖前的检查</w:t>
      </w:r>
    </w:p>
    <w:p w14:paraId="4D1AD12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13.5.1 通知监理人检查</w:t>
      </w:r>
    </w:p>
    <w:p w14:paraId="76027AC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问内修整返工后，由监理人重新检查。</w:t>
      </w:r>
    </w:p>
    <w:p w14:paraId="7908D33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13.5.2 监理人未到场检查</w:t>
      </w:r>
    </w:p>
    <w:p w14:paraId="213B032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监理人未按第13.5.1项约定的时问进行检查的，除监理人另有指示外，承包人可自行完成覆盖工作，并作相应记录报送监理人，监理人应签字确认。监理人事后对检查记录有疑问的，可按第13.5.3项的约定重新检查。</w:t>
      </w:r>
    </w:p>
    <w:p w14:paraId="0184722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13.5.3 监理人重新检查</w:t>
      </w:r>
    </w:p>
    <w:p w14:paraId="1386374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1710FA1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13.5.4承包人私自覆盖</w:t>
      </w:r>
    </w:p>
    <w:p w14:paraId="35D1996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承包人未通知监理人到场检查，私自将工程隐蔽部位覆盖的，监理人有权指示承包人钻孔探测或揭开检查，由此增加的费用和(或)工期延误由承包人承担。</w:t>
      </w:r>
    </w:p>
    <w:p w14:paraId="5ED93FD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13.6 清除不合格工程</w:t>
      </w:r>
    </w:p>
    <w:p w14:paraId="0A553BE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13.6.1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3EB76BB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13.6.2由于发包人提供的材料或工程设备不合格造成的工程不合格，需要承包人采取措施补救的，发包人应承担由此增加的费用和(或)工期延误，并支付承包人合理利润。</w:t>
      </w:r>
    </w:p>
    <w:p w14:paraId="2BD0A58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13.7质量评定</w:t>
      </w:r>
    </w:p>
    <w:p w14:paraId="18F91F7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13.7.1发包人应组织承包人进行工程项目划分，并确定单位工程、主要分部工程、重要隐蔽单元工程和关键部位单元工程。</w:t>
      </w:r>
    </w:p>
    <w:p w14:paraId="289189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13.7.2工程实施过程中，单位工程、主要分部工程、重要隐蔽单元工程和关键部位单元工程的项目划分需要调整时，承包人应报发包人确认。</w:t>
      </w:r>
    </w:p>
    <w:p w14:paraId="69CF11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13.7.3承包人应在单元(工序)工程质量自评合格后，报监理人核定质量等级并签证认可。</w:t>
      </w:r>
    </w:p>
    <w:p w14:paraId="6C8B75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13.7.4除专用合同条款另有约定外，承包人应在重要隐蔽单元工程及关键部位单元工程质量自评合格以及监理人抽检后，由监理人组织承包人等单位组成的联合小组，共同检查核定其质量等级并填写签证表。发包人按有关规定完成质量结论报工程质量监督机构核备手续。</w:t>
      </w:r>
    </w:p>
    <w:p w14:paraId="167B13B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13.7.5承包人应在分部工程质量自评合格后，报监理人复核和发包人认定。发包人负责按有关规定完成分部工程质量结论报工程质量监督机构核备(核定)手续。</w:t>
      </w:r>
    </w:p>
    <w:p w14:paraId="7B2A9E5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13.7.6承包人应在单位工程质量自评合格后，报监理人复核和发包人认定。发包人负责按有关规定完成单位工程质量结论报工程质量监督机构核定手续。</w:t>
      </w:r>
    </w:p>
    <w:p w14:paraId="0F5B642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13.7.7除专用合同条款另有约定外，工程质量等级分为合格和优良，应分别达到约定的标准。</w:t>
      </w:r>
    </w:p>
    <w:p w14:paraId="7142785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 xml:space="preserve">13.8质量事故处理  </w:t>
      </w:r>
    </w:p>
    <w:p w14:paraId="115B5FD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13.8.1发生质量事故时，承包人应及时向发包人和监理人报告。</w:t>
      </w:r>
    </w:p>
    <w:p w14:paraId="3CB5233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13.8.2质量事故调查处理由发包人按相关规定履行手续，承包人应配合。</w:t>
      </w:r>
    </w:p>
    <w:p w14:paraId="3FA5DB4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13.8.3承包人应对质量缺陷进行备案。发包人委托监理人对质量缺陷备案情况进行监督检查并履行相关手续。</w:t>
      </w:r>
    </w:p>
    <w:p w14:paraId="5AF8B73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13.8.4除专用合同条款另有约定外，工程竣工验收时，发包人负责向竣工验收委员会汇报并提交历次质量缺陷处理的备案资料。</w:t>
      </w:r>
    </w:p>
    <w:p w14:paraId="43F53AE8">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14.试验和检验</w:t>
      </w:r>
    </w:p>
    <w:p w14:paraId="4D7640D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14.1材料、工程设备和工程的试验和检验</w:t>
      </w:r>
    </w:p>
    <w:p w14:paraId="6AD4E6C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7E28AFD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14.1.2监理人未按合同约定派员参加试验和检验的，除监理人另有指示外，承包人可自行试验和检验，并应立即将试验和检验结果报送监理人，监理人应签字确认。</w:t>
      </w:r>
    </w:p>
    <w:p w14:paraId="3F09910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14.1.3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p>
    <w:p w14:paraId="4E7DF40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14.1.4承包人应按相关规定和标准对水泥、钢材等原材料与中问产品质量进行检验，并报监理人复核。</w:t>
      </w:r>
    </w:p>
    <w:p w14:paraId="605A0C8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14.1.5除专用合同条款另有约定外，水工金属结构、启闭机及机电产品进场后，监理人组织发包人按合同进行交货检查和验收。安装前，承包人应检查产品是否有出厂合格证、设备安装说明书及有关技术文件，对在运输和存放过程中发生的变形、受潮、损坏等问题应作好记录，并进行妥善处理。</w:t>
      </w:r>
    </w:p>
    <w:p w14:paraId="41475AC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14.1.6对专用合同条款约定的试块、试件及有关材料，监理人实行见证取样。见证取样资料由承包人制备，记录应真实齐全，监理人、承包人等参与见证取样人员应在相关文件上签字。</w:t>
      </w:r>
    </w:p>
    <w:p w14:paraId="1D11067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14.2现场材料试验</w:t>
      </w:r>
    </w:p>
    <w:p w14:paraId="3DA1762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14.2.1承包人根据合同约定或监理人指示进行的现场材料试验，应由承包人提供试验场所、试验人员、试验设备器材以及其他必要的试验条件。</w:t>
      </w:r>
    </w:p>
    <w:p w14:paraId="21C2C5E3">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14.2.2监理人在必要时可以使用承包人的试验场所、试验设备器材以及其他试验条件，进行以工程质量检查为目的的复核性材料试验，承包人应予以协助。</w:t>
      </w:r>
    </w:p>
    <w:p w14:paraId="4CE5E1FC">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14.3现场工艺试验</w:t>
      </w:r>
    </w:p>
    <w:p w14:paraId="2257F8C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承包人应按合同约定或监理人指示进行现场工艺试验。对大型的现场工艺试验，监理人认为必要时，应由承包人根据监理人提出的工艺试验要求，编制工艺试验措施计划，报送监理人审批。</w:t>
      </w:r>
    </w:p>
    <w:p w14:paraId="33E44758">
      <w:pPr>
        <w:pStyle w:val="5"/>
        <w:rPr>
          <w:rFonts w:hint="eastAsia" w:asciiTheme="majorEastAsia" w:hAnsiTheme="majorEastAsia" w:eastAsiaTheme="majorEastAsia" w:cstheme="majorEastAsia"/>
          <w:b w:val="0"/>
          <w:color w:val="auto"/>
          <w:sz w:val="28"/>
          <w:highlight w:val="none"/>
        </w:rPr>
      </w:pPr>
      <w:r>
        <w:rPr>
          <w:rFonts w:hint="eastAsia" w:asciiTheme="majorEastAsia" w:hAnsiTheme="majorEastAsia" w:eastAsiaTheme="majorEastAsia" w:cstheme="majorEastAsia"/>
          <w:color w:val="auto"/>
          <w:sz w:val="28"/>
          <w:highlight w:val="none"/>
        </w:rPr>
        <w:t>15．变更</w:t>
      </w:r>
    </w:p>
    <w:p w14:paraId="2E4EDD9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15.1变更的范围和内容</w:t>
      </w:r>
    </w:p>
    <w:p w14:paraId="5A3CE57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在履行合同中发生以下情形之一，应按照本款规定进行变更。</w:t>
      </w:r>
    </w:p>
    <w:p w14:paraId="460A8AA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(1)取消合同中任何一项工作，但被取消的工作不能转由发包人或其他人实施；</w:t>
      </w:r>
    </w:p>
    <w:p w14:paraId="76AC0B7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(2)改变合同中任何一项工作的质量或其他特性；</w:t>
      </w:r>
    </w:p>
    <w:p w14:paraId="5AB1B69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(3)改变合同工程的基线、标高、位置或尺寸；</w:t>
      </w:r>
    </w:p>
    <w:p w14:paraId="03F5292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(4)改变合同中任何一项工作的施工时间或改变已批准的施工工艺或顺序；</w:t>
      </w:r>
    </w:p>
    <w:p w14:paraId="253D61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(5)为完成工程需要追加的额外工作；</w:t>
      </w:r>
    </w:p>
    <w:p w14:paraId="16659B8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(6)增加或减少专用合同条款中约定的关键项目的工程量超过其工程总量的一定数量百分比。</w:t>
      </w:r>
    </w:p>
    <w:p w14:paraId="412C141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上述第(1)一(6)目的变更内容引起工程施工组织和进度计划发生实质性变动和影响其原定的价格时，才予调整该项目的单价。第(6)目情形下单价调整方式在专用合同条款中约定。</w:t>
      </w:r>
    </w:p>
    <w:p w14:paraId="24BBB09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15.2 变更权</w:t>
      </w:r>
    </w:p>
    <w:p w14:paraId="444D659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在履行合同过程中，经发包人同意，监理人可按第15.3款约定的变更程序向承包人作出变更指示，承包人应遵照执行。没有监理人的变更指示，承包人不得擅自变更。</w:t>
      </w:r>
    </w:p>
    <w:p w14:paraId="2764C35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15.3 变更程序</w:t>
      </w:r>
    </w:p>
    <w:p w14:paraId="5833550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15.3.1变更的提出</w:t>
      </w:r>
    </w:p>
    <w:p w14:paraId="478C58B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(1)在合同履行过程中，可能发生第15.1款约定情形的，监理人可向承包人发出变更意向书。</w:t>
      </w:r>
    </w:p>
    <w:p w14:paraId="779BC81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w:t>
      </w:r>
    </w:p>
    <w:p w14:paraId="45EA576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(2)在合同履行过程中，发生第15.1款约定情形的，监理人应按照第15.3.3项约定向承包人发出变更指示。</w:t>
      </w:r>
    </w:p>
    <w:p w14:paraId="4FE4DA3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238BF06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(4)若承包人收到监理人的变更意向书后认为难以实施此项变更，应立即通知监理人，说明原因并附详细依据。监理人与承包人和发包人协商后确定撤销、改变或不改变原变更意向书。</w:t>
      </w:r>
    </w:p>
    <w:p w14:paraId="324001C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15.3.2变更估价</w:t>
      </w:r>
    </w:p>
    <w:p w14:paraId="37A79F9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6698A5F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(2)变更工作影响工期的，承包人应提出调整工期的具体细节。监理人认为有必要时，可要求承包人提交要求提前或延长工期的施工进度计划及相应施工措施等详细资料。</w:t>
      </w:r>
    </w:p>
    <w:p w14:paraId="4122A2F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(3)除专用合同条款对期限另有约定外，监理人收到承包人变更报价书后的14天内，根据第15.4款约定的估价原则，按照第3.5款商定或确定变更价格。</w:t>
      </w:r>
    </w:p>
    <w:p w14:paraId="47D634A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15.3.3变更指示</w:t>
      </w:r>
    </w:p>
    <w:p w14:paraId="34E7ACE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(1)变更指示只能由监理人发出。</w:t>
      </w:r>
    </w:p>
    <w:p w14:paraId="29454AB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(2)变更指示应说明变更的目的、范围、变更内容以及变更的工程量及其进度和技术要求，并附有关图纸和文件。承包人收到变更指示后，应按变更指示进行变更工作。</w:t>
      </w:r>
    </w:p>
    <w:p w14:paraId="43B7C4D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15.4变更的估价原则</w:t>
      </w:r>
    </w:p>
    <w:p w14:paraId="4CD5571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除专用合同条款另有约定外，因变更引起的价格调整按照本款约定处理。</w:t>
      </w:r>
    </w:p>
    <w:p w14:paraId="736A9BF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15.4.1已标价工程量清单中有适用于变更工作的子目的，采用该子目的单价。</w:t>
      </w:r>
    </w:p>
    <w:p w14:paraId="6DE21F8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15.4.2 已标价工程量清单中无适用于变更工作的子目，但有类似子目的，可在合理范围内参照类似子目的单价，由监理人按第3.5款商定或确定变更工作的单价。</w:t>
      </w:r>
    </w:p>
    <w:p w14:paraId="7DCED99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15.4.3 已标价工程量清单中无适用或类似子目的单价，可按照成本加利润的原则，由监理人按第3.5款商定或确定变更工作的单价。</w:t>
      </w:r>
    </w:p>
    <w:p w14:paraId="373A660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15.5承包人的合理化建议</w:t>
      </w:r>
    </w:p>
    <w:p w14:paraId="400A169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15.5.1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47E87E0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15.5.2承包人提出的合理化建议降低了合同价格、缩短了工期或者提高了工程经济效益的，发包人可按国家有关规定在专用合同条款中约定给予奖励。</w:t>
      </w:r>
    </w:p>
    <w:p w14:paraId="2F59B5B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15.6暂列金额</w:t>
      </w:r>
    </w:p>
    <w:p w14:paraId="2F53B5A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暂列金额只能按照监理人的指示使用，并对合同价格进行相应调整。</w:t>
      </w:r>
    </w:p>
    <w:p w14:paraId="03D0302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15.7计日工</w:t>
      </w:r>
    </w:p>
    <w:p w14:paraId="28F9141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15.7.1发包人认为有必要时，由监理人通知承包人以计日工方式实施变更的零星工作。其价款按列入已标价工程量清单中的计日工计价子目及其单价进行计算。</w:t>
      </w:r>
    </w:p>
    <w:p w14:paraId="381CFB7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15.7.2采用计日工计价的任何一项变更工作，应从暂列金额中支付，承包人应在该项变更的实施过程中，每天提交以下报表和有关凭证报送监理人审批:</w:t>
      </w:r>
    </w:p>
    <w:p w14:paraId="2027442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(1)工作名称、内容和数量;      </w:t>
      </w:r>
    </w:p>
    <w:p w14:paraId="29BAB54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(2)投入该工作所有人员的姓名、工种、级别和耗用工时;</w:t>
      </w:r>
    </w:p>
    <w:p w14:paraId="2713572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(3)投入该工作的材料类别和数量;</w:t>
      </w:r>
    </w:p>
    <w:p w14:paraId="69301FE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(4)投入该工作的施工设备型号、台数和耗用台时;</w:t>
      </w:r>
    </w:p>
    <w:p w14:paraId="4DA97CA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(5)监理人要求提交的其他资料和凭证。</w:t>
      </w:r>
    </w:p>
    <w:p w14:paraId="1F76897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15.7.3计日工由承包人汇总后，按第17.3.2项的约定列入进度付款申清单，由监理人复核并经发包人同意后列入进度付款。</w:t>
      </w:r>
    </w:p>
    <w:p w14:paraId="3AC4277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15.8暂估价</w:t>
      </w:r>
    </w:p>
    <w:p w14:paraId="193ABDB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15.8.1 发包人在工程量清单中给定暂估价的材料、工程设备和专业工程属于依法必须招标的范围并达到规定的规模标准的，若承包人不具备承担暂估价项目的能力或具备承担暂估价项目的能力但明确不参与投标的，由发包人和承包人组织招标;若承包人具备承担暂估价项目的能力目_明确参与投标的，由发包人组织招标。暂估价项目中标金额与工程量清单中所列金额差以及相应的税金等其它费用列入合同价格。必须招标的暂估价项目招标组织形式、发包人和承包人组织招标时的权利义务关系在专用合同条款中约定。</w:t>
      </w:r>
    </w:p>
    <w:p w14:paraId="5E5BFEA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15.8.2发包人在工程量清单中给定暂估价的材料和工程设备不属于依法必须招标的范围或未达到规定的规模标准的，应由承包人按第5.1款的约定提供。经监理人确认的材料、工程设备的价格与工程量清单中所列的暂估价的金额差以及相应的税金等其他费用列入合同价格。</w:t>
      </w:r>
    </w:p>
    <w:p w14:paraId="1D8D8D3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15.8.3发包人在工程量清单中给定暂估价的专业工程不属于依法必须招标的范围或未达到规定的规模标准的，由监理人按照第15.4款进行估价，但专用合同条款另有约定的除外。经估价的专业工程与工程量清单中所列的暂估价的金额差以及相应的税金等其他费用列入合同价格。</w:t>
      </w:r>
    </w:p>
    <w:p w14:paraId="37363B5F">
      <w:pPr>
        <w:pStyle w:val="5"/>
        <w:rPr>
          <w:rFonts w:hint="eastAsia" w:asciiTheme="majorEastAsia" w:hAnsiTheme="majorEastAsia" w:eastAsiaTheme="majorEastAsia" w:cstheme="majorEastAsia"/>
          <w:b w:val="0"/>
          <w:color w:val="auto"/>
          <w:sz w:val="28"/>
          <w:highlight w:val="none"/>
        </w:rPr>
      </w:pPr>
      <w:r>
        <w:rPr>
          <w:rFonts w:hint="eastAsia" w:asciiTheme="majorEastAsia" w:hAnsiTheme="majorEastAsia" w:eastAsiaTheme="majorEastAsia" w:cstheme="majorEastAsia"/>
          <w:color w:val="auto"/>
          <w:sz w:val="28"/>
          <w:highlight w:val="none"/>
        </w:rPr>
        <w:t>16  价格调整</w:t>
      </w:r>
    </w:p>
    <w:p w14:paraId="6889D62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16.1物价波动引起的价格调整</w:t>
      </w:r>
    </w:p>
    <w:p w14:paraId="30E5F97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由于物价波动原因引起合同价格需要调整的，其价格调整方式在专用合同条款中约定。</w:t>
      </w:r>
    </w:p>
    <w:p w14:paraId="465C768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16.1.1 采用价格指数调整价格差额</w:t>
      </w:r>
    </w:p>
    <w:p w14:paraId="4C8E8B5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16.1.1.1 价格调整公式</w:t>
      </w:r>
    </w:p>
    <w:p w14:paraId="0FBAEEDC">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因人工、材料和设备等价格波动影响合同价格时，根据投标函附录中的价格指数和权重表约定的数据，按以下公式计算差额并调整合同价格。</w:t>
      </w:r>
    </w:p>
    <w:p w14:paraId="04E3318B">
      <w:pPr>
        <w:spacing w:line="200" w:lineRule="exact"/>
        <w:ind w:firstLine="1785" w:firstLineChars="8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t1</w:t>
      </w:r>
      <w:r>
        <w:rPr>
          <w:rFonts w:hint="eastAsia" w:asciiTheme="majorEastAsia" w:hAnsiTheme="majorEastAsia" w:eastAsiaTheme="majorEastAsia" w:cstheme="majorEastAsia"/>
          <w:color w:val="auto"/>
          <w:szCs w:val="21"/>
          <w:highlight w:val="none"/>
          <w:vertAlign w:val="subscript"/>
        </w:rPr>
        <w:t xml:space="preserve">        </w:t>
      </w:r>
      <w:r>
        <w:rPr>
          <w:rFonts w:hint="eastAsia" w:asciiTheme="majorEastAsia" w:hAnsiTheme="majorEastAsia" w:eastAsiaTheme="majorEastAsia" w:cstheme="majorEastAsia"/>
          <w:color w:val="auto"/>
          <w:szCs w:val="21"/>
          <w:highlight w:val="none"/>
        </w:rPr>
        <w:t xml:space="preserve"> F</w:t>
      </w:r>
      <w:r>
        <w:rPr>
          <w:rFonts w:hint="eastAsia" w:asciiTheme="majorEastAsia" w:hAnsiTheme="majorEastAsia" w:eastAsiaTheme="majorEastAsia" w:cstheme="majorEastAsia"/>
          <w:color w:val="auto"/>
          <w:sz w:val="28"/>
          <w:szCs w:val="28"/>
          <w:highlight w:val="none"/>
          <w:vertAlign w:val="subscript"/>
        </w:rPr>
        <w:t>t2</w:t>
      </w:r>
      <w:r>
        <w:rPr>
          <w:rFonts w:hint="eastAsia" w:asciiTheme="majorEastAsia" w:hAnsiTheme="majorEastAsia" w:eastAsiaTheme="majorEastAsia" w:cstheme="majorEastAsia"/>
          <w:color w:val="auto"/>
          <w:szCs w:val="21"/>
          <w:highlight w:val="none"/>
          <w:vertAlign w:val="subscript"/>
        </w:rPr>
        <w:t xml:space="preserve">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t3</w:t>
      </w:r>
      <w:r>
        <w:rPr>
          <w:rFonts w:hint="eastAsia" w:asciiTheme="majorEastAsia" w:hAnsiTheme="majorEastAsia" w:eastAsiaTheme="majorEastAsia" w:cstheme="majorEastAsia"/>
          <w:color w:val="auto"/>
          <w:szCs w:val="21"/>
          <w:highlight w:val="none"/>
          <w:vertAlign w:val="subscript"/>
        </w:rPr>
        <w:t xml:space="preserve">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w:t>
      </w:r>
      <w:r>
        <w:rPr>
          <w:rFonts w:hint="eastAsia" w:asciiTheme="majorEastAsia" w:hAnsiTheme="majorEastAsia" w:eastAsiaTheme="majorEastAsia" w:cstheme="majorEastAsia"/>
          <w:color w:val="auto"/>
          <w:sz w:val="32"/>
          <w:szCs w:val="32"/>
          <w:highlight w:val="none"/>
          <w:vertAlign w:val="subscript"/>
        </w:rPr>
        <w:t>n</w:t>
      </w:r>
    </w:p>
    <w:p w14:paraId="619C268D">
      <w:pPr>
        <w:spacing w:line="200" w:lineRule="exact"/>
        <w:ind w:firstLine="210" w:firstLineChars="1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△P=P</w:t>
      </w:r>
      <w:r>
        <w:rPr>
          <w:rFonts w:hint="eastAsia" w:asciiTheme="majorEastAsia" w:hAnsiTheme="majorEastAsia" w:eastAsiaTheme="majorEastAsia" w:cstheme="majorEastAsia"/>
          <w:color w:val="auto"/>
          <w:szCs w:val="21"/>
          <w:highlight w:val="none"/>
          <w:vertAlign w:val="subscript"/>
        </w:rPr>
        <w:t>O</w:t>
      </w:r>
      <w:r>
        <w:rPr>
          <w:rFonts w:hint="eastAsia" w:asciiTheme="majorEastAsia" w:hAnsiTheme="majorEastAsia" w:eastAsiaTheme="majorEastAsia" w:cstheme="majorEastAsia"/>
          <w:color w:val="auto"/>
          <w:szCs w:val="21"/>
          <w:highlight w:val="none"/>
        </w:rPr>
        <w:t>［A+｛B</w:t>
      </w:r>
      <w:r>
        <w:rPr>
          <w:rFonts w:hint="eastAsia" w:asciiTheme="majorEastAsia" w:hAnsiTheme="majorEastAsia" w:eastAsiaTheme="majorEastAsia" w:cstheme="majorEastAsia"/>
          <w:color w:val="auto"/>
          <w:szCs w:val="21"/>
          <w:highlight w:val="none"/>
          <w:vertAlign w:val="subscript"/>
        </w:rPr>
        <w:t>1</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Cs w:val="21"/>
          <w:highlight w:val="none"/>
          <w:vertAlign w:val="subscript"/>
        </w:rPr>
        <w:t>2</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Cs w:val="21"/>
          <w:highlight w:val="none"/>
          <w:vertAlign w:val="subscript"/>
        </w:rPr>
        <w:t>3</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Cs w:val="21"/>
          <w:highlight w:val="none"/>
          <w:vertAlign w:val="subscript"/>
        </w:rPr>
        <w:t>n</w:t>
      </w:r>
      <w:r>
        <w:rPr>
          <w:rFonts w:hint="eastAsia" w:asciiTheme="majorEastAsia" w:hAnsiTheme="majorEastAsia" w:eastAsiaTheme="majorEastAsia" w:cstheme="majorEastAsia"/>
          <w:color w:val="auto"/>
          <w:szCs w:val="21"/>
          <w:highlight w:val="none"/>
        </w:rPr>
        <w:t xml:space="preserve">×—｝－1］ </w:t>
      </w:r>
    </w:p>
    <w:p w14:paraId="3A19CCFC">
      <w:pPr>
        <w:spacing w:line="200" w:lineRule="exact"/>
        <w:ind w:firstLine="1785" w:firstLineChars="8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 xml:space="preserve">01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 xml:space="preserve">02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 xml:space="preserve">03              </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0n</w:t>
      </w:r>
    </w:p>
    <w:p w14:paraId="62D997C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式中：△ P 一需调整的价格差额；</w:t>
      </w:r>
    </w:p>
    <w:p w14:paraId="6A625FF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P</w:t>
      </w:r>
      <w:r>
        <w:rPr>
          <w:rFonts w:hint="eastAsia" w:asciiTheme="majorEastAsia" w:hAnsiTheme="majorEastAsia" w:eastAsiaTheme="majorEastAsia" w:cstheme="majorEastAsia"/>
          <w:color w:val="auto"/>
          <w:szCs w:val="21"/>
          <w:highlight w:val="none"/>
          <w:vertAlign w:val="subscript"/>
        </w:rPr>
        <w:t>O</w:t>
      </w:r>
      <w:r>
        <w:rPr>
          <w:rFonts w:hint="eastAsia" w:asciiTheme="majorEastAsia" w:hAnsiTheme="majorEastAsia" w:eastAsiaTheme="majorEastAsia" w:cstheme="majorEastAsia"/>
          <w:color w:val="auto"/>
          <w:szCs w:val="21"/>
          <w:highlight w:val="none"/>
        </w:rPr>
        <w:t>一第17.3.3 项、第17.5.2 项和第17.6.2 项约定的付款证书中承包人应得到的己完成工程量的金额。此项金额应不包括价格调整、不计质量保证金的扣留和支付、预付款的支付和扣回。第15条约定的变更及其他金额已按现行价格计价的，也不计在内；</w:t>
      </w:r>
    </w:p>
    <w:p w14:paraId="2588C71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A ---定值权重（即不调部分的权重）； </w:t>
      </w:r>
    </w:p>
    <w:p w14:paraId="6CEE7C6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 w:val="28"/>
          <w:szCs w:val="28"/>
          <w:highlight w:val="none"/>
          <w:vertAlign w:val="subscript"/>
        </w:rPr>
        <w:t>1</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 w:val="28"/>
          <w:szCs w:val="28"/>
          <w:highlight w:val="none"/>
          <w:vertAlign w:val="subscript"/>
        </w:rPr>
        <w:t>2</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 w:val="28"/>
          <w:szCs w:val="28"/>
          <w:highlight w:val="none"/>
          <w:vertAlign w:val="subscript"/>
        </w:rPr>
        <w:t>3</w:t>
      </w:r>
      <w:r>
        <w:rPr>
          <w:rFonts w:hint="eastAsia" w:asciiTheme="majorEastAsia" w:hAnsiTheme="majorEastAsia" w:eastAsiaTheme="majorEastAsia" w:cstheme="majorEastAsia"/>
          <w:color w:val="auto"/>
          <w:szCs w:val="21"/>
          <w:highlight w:val="none"/>
        </w:rPr>
        <w:t>；……B</w:t>
      </w:r>
      <w:r>
        <w:rPr>
          <w:rFonts w:hint="eastAsia" w:asciiTheme="majorEastAsia" w:hAnsiTheme="majorEastAsia" w:eastAsiaTheme="majorEastAsia" w:cstheme="majorEastAsia"/>
          <w:color w:val="auto"/>
          <w:sz w:val="32"/>
          <w:szCs w:val="32"/>
          <w:highlight w:val="none"/>
          <w:vertAlign w:val="subscript"/>
        </w:rPr>
        <w:t>n</w:t>
      </w:r>
      <w:r>
        <w:rPr>
          <w:rFonts w:hint="eastAsia" w:asciiTheme="majorEastAsia" w:hAnsiTheme="majorEastAsia" w:eastAsiaTheme="majorEastAsia" w:cstheme="majorEastAsia"/>
          <w:color w:val="auto"/>
          <w:szCs w:val="21"/>
          <w:highlight w:val="none"/>
        </w:rPr>
        <w:t>---各可调因子的变值权重（即可调部分的权重）为各可调因子在投标函投标总报价中所占的比例；</w:t>
      </w:r>
    </w:p>
    <w:p w14:paraId="1BC5535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t1</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t2</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t3</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t</w:t>
      </w:r>
      <w:r>
        <w:rPr>
          <w:rFonts w:hint="eastAsia" w:asciiTheme="majorEastAsia" w:hAnsiTheme="majorEastAsia" w:eastAsiaTheme="majorEastAsia" w:cstheme="majorEastAsia"/>
          <w:color w:val="auto"/>
          <w:sz w:val="32"/>
          <w:szCs w:val="32"/>
          <w:highlight w:val="none"/>
          <w:vertAlign w:val="subscript"/>
        </w:rPr>
        <w:t>n</w:t>
      </w:r>
      <w:r>
        <w:rPr>
          <w:rFonts w:hint="eastAsia" w:asciiTheme="majorEastAsia" w:hAnsiTheme="majorEastAsia" w:eastAsiaTheme="majorEastAsia" w:cstheme="majorEastAsia"/>
          <w:color w:val="auto"/>
          <w:szCs w:val="21"/>
          <w:highlight w:val="none"/>
        </w:rPr>
        <w:t>---各可调因子的现行价格指数，指第17.3.3 项、第17.5.2 项和第17.6.2 项约定的付款证书相关周期最后一天的前42天的各可调因子的价格指数；</w:t>
      </w:r>
    </w:p>
    <w:p w14:paraId="630BD04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01</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02</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03</w:t>
      </w:r>
      <w:r>
        <w:rPr>
          <w:rFonts w:hint="eastAsia" w:asciiTheme="majorEastAsia" w:hAnsiTheme="majorEastAsia" w:eastAsiaTheme="majorEastAsia" w:cstheme="majorEastAsia"/>
          <w:color w:val="auto"/>
          <w:szCs w:val="21"/>
          <w:highlight w:val="none"/>
        </w:rPr>
        <w:t>；……F</w:t>
      </w:r>
      <w:r>
        <w:rPr>
          <w:rFonts w:hint="eastAsia" w:asciiTheme="majorEastAsia" w:hAnsiTheme="majorEastAsia" w:eastAsiaTheme="majorEastAsia" w:cstheme="majorEastAsia"/>
          <w:color w:val="auto"/>
          <w:sz w:val="28"/>
          <w:szCs w:val="28"/>
          <w:highlight w:val="none"/>
          <w:vertAlign w:val="subscript"/>
        </w:rPr>
        <w:t>0</w:t>
      </w:r>
      <w:r>
        <w:rPr>
          <w:rFonts w:hint="eastAsia" w:asciiTheme="majorEastAsia" w:hAnsiTheme="majorEastAsia" w:eastAsiaTheme="majorEastAsia" w:cstheme="majorEastAsia"/>
          <w:color w:val="auto"/>
          <w:sz w:val="30"/>
          <w:szCs w:val="30"/>
          <w:highlight w:val="none"/>
          <w:vertAlign w:val="subscript"/>
        </w:rPr>
        <w:t>n</w:t>
      </w:r>
      <w:r>
        <w:rPr>
          <w:rFonts w:hint="eastAsia" w:asciiTheme="majorEastAsia" w:hAnsiTheme="majorEastAsia" w:eastAsiaTheme="majorEastAsia" w:cstheme="majorEastAsia"/>
          <w:color w:val="auto"/>
          <w:szCs w:val="21"/>
          <w:highlight w:val="none"/>
        </w:rPr>
        <w:t>---各可调因子的基本价格指数，指基准日期的各可调因子的价格指数。</w:t>
      </w:r>
    </w:p>
    <w:p w14:paraId="4B83240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59373ED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16.1.1.2暂时确定调整差额</w:t>
      </w:r>
    </w:p>
    <w:p w14:paraId="6AFA7A5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在计算调整差额时得不到现行价格指数的，可暂用上一次价格指数计算，并在以后的付款中再按实际价格指数进行调整。</w:t>
      </w:r>
    </w:p>
    <w:p w14:paraId="3073CE7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16.1.1.3权重的调整</w:t>
      </w:r>
    </w:p>
    <w:p w14:paraId="73F04ADA">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按第15.1款约定的变更导致原定合同中的权重不合理时，由监理人与承包人和发包人协商后进行调整。</w:t>
      </w:r>
    </w:p>
    <w:p w14:paraId="04E2416E">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16.1.1.4承包人工期延误后的价格调整</w:t>
      </w:r>
    </w:p>
    <w:p w14:paraId="74B2092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CD5866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16.1.2采用造价信息调整价格差额</w:t>
      </w:r>
    </w:p>
    <w:p w14:paraId="6DF88CD5">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 </w:t>
      </w:r>
    </w:p>
    <w:p w14:paraId="4D735BEE">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工程造价信息的来源以及价格调整的项目和系数在专用合同条款中约定。</w:t>
      </w:r>
    </w:p>
    <w:p w14:paraId="0D931FF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16.2法律变化引起的价格调整</w:t>
      </w:r>
    </w:p>
    <w:p w14:paraId="7D45553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在基准日后，因法律变化导致承包人在合同履行中所需要的工程费用发生除第 16.1款约定以外的增减时，监理人应根据法律、国家或省、自治区、直辖市有关部门的规定，按第3.5款商定或确定需调整的合同价款。  </w:t>
      </w:r>
    </w:p>
    <w:p w14:paraId="658FBE5F">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17 计量与支付</w:t>
      </w:r>
    </w:p>
    <w:p w14:paraId="645DE6F5">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17.1计量</w:t>
      </w:r>
    </w:p>
    <w:p w14:paraId="0C9BAD5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17.1.1 计量单位</w:t>
      </w:r>
    </w:p>
    <w:p w14:paraId="3337E7E4">
      <w:pPr>
        <w:spacing w:line="360" w:lineRule="auto"/>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计量采用国家法定的计量单位。</w:t>
      </w:r>
    </w:p>
    <w:p w14:paraId="21DC044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17.1.2 计量方法</w:t>
      </w:r>
    </w:p>
    <w:p w14:paraId="4D58EB5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结算工程量应按工程量清单中约定的方法计量。</w:t>
      </w:r>
    </w:p>
    <w:p w14:paraId="15152E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17.1.3 计量周期</w:t>
      </w:r>
    </w:p>
    <w:p w14:paraId="34AB345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除专用合同条款另有约定外，单价子目已完成工程量按月计量，总价子目的计量周期按批准的支付分解报告确定。</w:t>
      </w:r>
    </w:p>
    <w:p w14:paraId="77CCB60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17.1.4单价子目的计量</w:t>
      </w:r>
    </w:p>
    <w:p w14:paraId="05DDD86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(1)已标价工程量清单中的单价子目工程量为估算工程量。结算工程量是承包人实际完成的，并按合同约定的计量方法进行计量的工程量。</w:t>
      </w:r>
    </w:p>
    <w:p w14:paraId="790214F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(2)承包人对已完成的工程进行计量，向监理人提交进度付款申清单、已完成工程量报表和有关计量资料。</w:t>
      </w:r>
    </w:p>
    <w:p w14:paraId="17A6247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28BA7DB">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(4)监理人认为有必要时，可通知承包人共同进行联合测量、计量，承包人应遵照执行。</w:t>
      </w:r>
    </w:p>
    <w:p w14:paraId="542CA6D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7357F16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(6)监理人应在收到承包人提交的工程量报表后的7天内进行复核，监理人未在约定时间内</w:t>
      </w:r>
    </w:p>
    <w:p w14:paraId="594F659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复核的，承包人提交的工程量报表中的工程量视为承包人实际完成的工程量，据此计算工程价款。</w:t>
      </w:r>
    </w:p>
    <w:p w14:paraId="5A03AC8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17.1.5总价子目的计量</w:t>
      </w:r>
    </w:p>
    <w:p w14:paraId="1C3EE77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总价子目的分解和计量按照下述约定进行。</w:t>
      </w:r>
    </w:p>
    <w:p w14:paraId="07E5CE3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(1)总价子目的计量和支付应以总价为基础，不因第16.1款中的因素而进行调整。承包人实际完成的工程量，是进行工程目标管理和控制进度支付的依据。</w:t>
      </w:r>
    </w:p>
    <w:p w14:paraId="17AB77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应按工程量清单的要求对总价子目进行分解，并在签订协议书后的28天内将各子目的总价支付分解表提交监理人审批。分解表应标明其所属子目和分阶段需支付的金额。承包人应按批准的各总价子目支付周期，对已完成的总价子目进行计量，确定分项的应付金额列入进度付款申清单中。</w:t>
      </w:r>
    </w:p>
    <w:p w14:paraId="08FF6679">
      <w:pPr>
        <w:spacing w:line="360" w:lineRule="auto"/>
        <w:ind w:firstLine="105" w:firstLineChars="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(3)监理人对承包人提交的上述资料进行复核，以确定分阶段实际完成的工程量和工程形象目</w:t>
      </w:r>
    </w:p>
    <w:p w14:paraId="4C702A0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标。对其有异议的，可要求承包人按第8.2款约定进行共同复核和抽样复测。</w:t>
      </w:r>
    </w:p>
    <w:p w14:paraId="05147E3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(4)除按照第15条约定的变更外，总价子目的工程量是承包人用于结算的最终工程量。</w:t>
      </w:r>
    </w:p>
    <w:p w14:paraId="304B6DC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17.2预付款</w:t>
      </w:r>
    </w:p>
    <w:p w14:paraId="62B8A83E">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17.2.1预付款</w:t>
      </w:r>
    </w:p>
    <w:p w14:paraId="41FE4CF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预付款用于承包人为合同工程施工购置材料、工程设备、施工设备、修建临时设施以及组织施工队伍进场等，分为工程预付款和工程材料预付款。预付款必须专用于合同工程。预付款的额度和预付办法在专用合同条款中约定。</w:t>
      </w:r>
    </w:p>
    <w:p w14:paraId="134204B4">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17.2.2预付款保函(担保)</w:t>
      </w:r>
    </w:p>
    <w:p w14:paraId="5925852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(1)承包人应在收到第一次工程预付款的同时向发包人提交工程预付款担保，担保金额应与第一次工程预付款金额相同，工程预付款担保在第一次工程预付款被发包人扣回前一直有效。</w:t>
      </w:r>
    </w:p>
    <w:p w14:paraId="3538C19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(2)工程材料预付款的担保在专用合同条款中约定。</w:t>
      </w:r>
    </w:p>
    <w:p w14:paraId="7FCB914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(3)预付款担保的担保金额可根据预付款扣回的金额相应递减。</w:t>
      </w:r>
    </w:p>
    <w:p w14:paraId="5EF1DCE0">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17.2.3预付款的扣回与还清</w:t>
      </w:r>
    </w:p>
    <w:p w14:paraId="4942E1A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预付款在进度付款中扣回，扣回与还清办法在专用合同条款中约定。在颁发合同工程完工证书前，由于不可抗力或其它原因解除合同时，预付款尚未扣清的，尚未扣清的预付款余额应作为承包人的到期应付款。</w:t>
      </w:r>
    </w:p>
    <w:p w14:paraId="5716121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17.3工程进度付款</w:t>
      </w:r>
    </w:p>
    <w:p w14:paraId="1B4AE011">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17.3.1付款周期</w:t>
      </w:r>
    </w:p>
    <w:p w14:paraId="71E69C1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付款周期同计量周期。</w:t>
      </w:r>
    </w:p>
    <w:p w14:paraId="347BCC2A">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17.3.2进度付款申请单</w:t>
      </w:r>
    </w:p>
    <w:p w14:paraId="2F027F5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承包人应在每个付款周期末，按监理人批准的格式和专用合同条款约定的份数，向监理人提交进度付款中请单，并附相应的支持性证明文件。除专用合同条款另有约定外，进度付款申请单应包括下列内容:</w:t>
      </w:r>
    </w:p>
    <w:p w14:paraId="105654A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(1)截至本次付款周期末已实施工程的价款;</w:t>
      </w:r>
    </w:p>
    <w:p w14:paraId="59E2E50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(2)根据第15条应增加和扣减的变更金额;</w:t>
      </w:r>
    </w:p>
    <w:p w14:paraId="1773BFA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(3)根据第23条应增加和扣减的索赔金额;</w:t>
      </w:r>
    </w:p>
    <w:p w14:paraId="48D11C9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(4)根据第17.2款约定应支付的预付款和扣减的返还预付款;</w:t>
      </w:r>
    </w:p>
    <w:p w14:paraId="05E38BA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(5)根据第17.4.1项约定应扣减的质量保证金;</w:t>
      </w:r>
    </w:p>
    <w:p w14:paraId="4F26A3E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(6)根据合同应增加和扣减的其他金额。</w:t>
      </w:r>
    </w:p>
    <w:p w14:paraId="22CE8524">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17.3.3进度付款证书和支付时间</w:t>
      </w:r>
    </w:p>
    <w:p w14:paraId="76FE41E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6E99435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(2)发包人应在监理人收到进度付款申请单后的28天内，将进度应付款支付给承包人。发包人不按期支付的，按专用合同条款的约定支付逾期付款违约金。</w:t>
      </w:r>
    </w:p>
    <w:p w14:paraId="3C7A7E1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(3)监理人出具进度付款证书，不应视为监理人已同意、批准或接受了承包人完成的该部分工</w:t>
      </w:r>
    </w:p>
    <w:p w14:paraId="0EF50CA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作。</w:t>
      </w:r>
    </w:p>
    <w:p w14:paraId="15B1C0B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(4)进度付款涉及政府投资资金的，按照国库集中支付等国家相关规定和专用合同条款的约定</w:t>
      </w:r>
    </w:p>
    <w:p w14:paraId="510892D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办理。</w:t>
      </w:r>
    </w:p>
    <w:p w14:paraId="618D6F43">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17.3.4工程进度付款的修正</w:t>
      </w:r>
    </w:p>
    <w:p w14:paraId="23E8290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在对以往历次已签发的进度付款证书进行汇总和复核中发现错、漏或重复的，监理人有权予以修正，承包人也有权提出修正申清。经双方复核同意的修正，应在本次进度付款中支付或扣除。</w:t>
      </w:r>
    </w:p>
    <w:p w14:paraId="53E9B9D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17.4 质量保证金</w:t>
      </w:r>
    </w:p>
    <w:p w14:paraId="762602C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17.4.1监理人应从第一个工程进度付款周期开始，在发包人的进度付款中，按专用合同条款的约定扣留质量保证金;直至扣留的质量保证金总额达到专用合同条款约定的金额或比例为止。质量保证金的计算额度不包括预付款的支付与扣回金额。</w:t>
      </w:r>
    </w:p>
    <w:p w14:paraId="32825FA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17.4.2合同工程完工证书颁发后14天内，发包人将质量保证金总额的一半支付给承包人。在第1.1.4.5目约定的缺陷责任期(工程质量保修期)满时，发包人将在30个工作日内会同承包人按照合同约定的内容核实承包人是否完成保修责任。如无异议，发包人应当在核实后将剩余的质量保证金支付给承包人。</w:t>
      </w:r>
    </w:p>
    <w:p w14:paraId="39E37EA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17.4.3在第1.1.4.5目约定的缺陷责任期满时，承包人没有完成缺陷责任的，发包人有权扣留与未履行责任剩余工作所需金额相应的质量保证金余额，并有权根据第19.3款约定要求延长缺陷责任期，直至完成剩余工作为止。</w:t>
      </w:r>
    </w:p>
    <w:p w14:paraId="7CE0C5AF">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17.5竣工结算(完工结算)</w:t>
      </w:r>
    </w:p>
    <w:p w14:paraId="72747476">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17.5.1 竣工(完工)付款申请单</w:t>
      </w:r>
    </w:p>
    <w:p w14:paraId="574E3ED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承包人应在合同工程完工证书颁发后28天内，按专用合同条款约定的份数向监理人提交完工付款申请单，并提供相关证明材料。完工付款申请单应包括下列内容:完工结算合同总价、发包人已支付承包人的工程价款、应扣留的质量保证金、应支付的完工付款金额。</w:t>
      </w:r>
    </w:p>
    <w:p w14:paraId="7A86E87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(2)监理人对完工付款申请单有异议的，有权要求承包人进行修正和提供补充资料。经监理人和承包人协商后，由承包人向监理人提交修正后的完工付款申请单。</w:t>
      </w:r>
    </w:p>
    <w:p w14:paraId="25157D1E">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17.5.2 竣工(完工)付款证书及支付时间</w:t>
      </w:r>
    </w:p>
    <w:p w14:paraId="7845271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监理人在收到承包人提交的完工付款申清单后的14天内完成核查，提出发包人到期应支付给承包人的价款送发包人审核并抄送承包人。发包人应在收到后14天内审核完毕，由监理人向承包人出具经发包人签认的完工付款证书。监理人未在约定时间内核查，又未提出具体意见的，视为承包人提交的完工付款申请单已经监理人核查同意;发包人未在约定时间内审核又未提出具体意见的，监理人提出发包人到期应支付给承包人的价款视为已经发包人同意。</w:t>
      </w:r>
    </w:p>
    <w:p w14:paraId="604E7AA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(2)发包人应在监理人出具完工付款证书后的14天内，将应支付款支付给承包人。发包人不按期支付的，按第17.3.3 (2)目的约定，将逾期付款违约金支付给承包人。</w:t>
      </w:r>
    </w:p>
    <w:p w14:paraId="5050834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(3)承包人对发包人签认的完工付款证书有异议的，发包人可出具完工付款申请单中承包人已同意部分的临时付款证书。存在争议的部分，按第24条的约定办理。</w:t>
      </w:r>
    </w:p>
    <w:p w14:paraId="13723E6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(4)完工付款涉及政府投资资金的，按第17.3.3(4)目的约定办理。</w:t>
      </w:r>
    </w:p>
    <w:p w14:paraId="121F1278">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17.6 最终结清</w:t>
      </w:r>
    </w:p>
    <w:p w14:paraId="319C3950">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17.6.1最终结清申请单</w:t>
      </w:r>
    </w:p>
    <w:p w14:paraId="6A27C82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(1)工程质量保修责任终止证书签发后，承包人应按监理人批准的格式提交最终结清申请单。提交最终结清申请单的份数在专用合同条款中约定。</w:t>
      </w:r>
    </w:p>
    <w:p w14:paraId="69137D1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(2)发包人对最终结清申请单内容有异议的，有权要求承包人进行修正和提供补充资料，由</w:t>
      </w:r>
    </w:p>
    <w:p w14:paraId="70FAB22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承包人向监理人提交修正后的最终结清申请单。</w:t>
      </w:r>
    </w:p>
    <w:p w14:paraId="68176A15">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17.6.2最终结清证书和支付时间</w:t>
      </w:r>
    </w:p>
    <w:p w14:paraId="785F8DC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06E46F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(2)发包人应在监理人出具最终结清证书后的14天内，将应支付款支付给承包人。发包人不按期支付的，按第17.3.3 (2)目的约定，将逾期付款违约金支付给承包人。</w:t>
      </w:r>
    </w:p>
    <w:p w14:paraId="7EAC43E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(3)承包人对发包人签认的最终结清证书有异议的，按第24条的约定办理。</w:t>
      </w:r>
    </w:p>
    <w:p w14:paraId="7AF9720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(4)最终结清付款涉及政府投资资金的，按第17.3.3(4)目的约定办理。</w:t>
      </w:r>
    </w:p>
    <w:p w14:paraId="7BF5586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17.7 竣工财务决算</w:t>
      </w:r>
    </w:p>
    <w:p w14:paraId="3F99219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发包人负责编制本工程项目竣工财务决算，承包人应按专用合同条款的约定提供竣工财务决</w:t>
      </w:r>
    </w:p>
    <w:p w14:paraId="02215C7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算编制所需的相关材料。</w:t>
      </w:r>
    </w:p>
    <w:p w14:paraId="6CFF478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17.8 竣工审计</w:t>
      </w:r>
    </w:p>
    <w:p w14:paraId="0813F3D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发包人负责完成本工程竣工审计手续，承包人应完成相关配合工作。</w:t>
      </w:r>
    </w:p>
    <w:p w14:paraId="437E65D0">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18. 竣工验收(验收)</w:t>
      </w:r>
    </w:p>
    <w:p w14:paraId="426363E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18.1验收工作分类</w:t>
      </w:r>
    </w:p>
    <w:p w14:paraId="76F6FF7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本工程验收工作按主持单位分为法人验收和政府验收。法人验收和政府验收的类别在专用合同条款中约定。除专用合同条款另有约定外，法人验收由发包人主持。承包人应完成法人验收和政府验收的配合工作，所需费用应含在已标价工程量清单中。</w:t>
      </w:r>
    </w:p>
    <w:p w14:paraId="673A841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18.2 分部工程验收</w:t>
      </w:r>
    </w:p>
    <w:p w14:paraId="2088C16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18.2.1 分部工程具备验收条件时，承包人应向发包人提交验收申清报告，发包人应在收到验收申请报告之日起10个工作日内决定是否同意进行验收。</w:t>
      </w:r>
    </w:p>
    <w:p w14:paraId="63DBAE8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18.2.2 除专用合同条款另有约定外，监理人主持分部工程验收，承包人应派符合条件的代表参加验收工作组。</w:t>
      </w:r>
    </w:p>
    <w:p w14:paraId="5BDAEE2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18.2.3 分部工程验收通过后，发包人向承包人发送分部工程验收鉴定书。承包人应及时完成分部工程验收鉴定书载明应由承包人处理的遗留问题。</w:t>
      </w:r>
    </w:p>
    <w:p w14:paraId="3158B60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18.3单位工程验收</w:t>
      </w:r>
    </w:p>
    <w:p w14:paraId="1F7276F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18.3.1单位工程具备验收条件时，承包人应向发包人提交验收申请报告，发包人应在收到验收申请报告之日起10个工作日内决定是否同意进行验收。</w:t>
      </w:r>
    </w:p>
    <w:p w14:paraId="1A1553F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18.3.2发包人主持单位工程验收，承包人应派符合条件的代表参加验收工作组。</w:t>
      </w:r>
    </w:p>
    <w:p w14:paraId="150C34A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18.3.3单位工程验收通过后，发包人向承包人发送单位工程验收鉴定书。承包人应及时完成单位工程验收鉴定书载明应由承包人处理的遗留问题。</w:t>
      </w:r>
    </w:p>
    <w:p w14:paraId="44A2783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18.3.4需提前投入使用的单位工程在专用合同条款中明确。</w:t>
      </w:r>
    </w:p>
    <w:p w14:paraId="6852CC3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18.4合同工程完工验收</w:t>
      </w:r>
    </w:p>
    <w:p w14:paraId="193A4D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18.4.1合同工程具备验收条件时，承包人应向发包人提交验收申请报告，发包人应在收到验收申请报告之日起20个工作日内决定是否同意进行验收。</w:t>
      </w:r>
    </w:p>
    <w:p w14:paraId="0A2022B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18.4.2发包人主持合同工程完工验收，承包人应派代表参加验收工作组。</w:t>
      </w:r>
    </w:p>
    <w:p w14:paraId="0AA103F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18.4.3合同工程完工验收通过后，发包人向承包人发送合同工程完工验收鉴定书。承包人应及时完成合同工程完工验收鉴定书载明应由承包人处理的遗留问题。</w:t>
      </w:r>
    </w:p>
    <w:p w14:paraId="7874C7F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18.4.4合同工程完工验收通过后，发包人与承包人应在30个工作日内组织专人负责工程交接，双方交接负责人应在交接记录上签字。承包人应按验收鉴定书约定的时间及时移交工程及其档案资料。工程移交时，承包人应向发包人递交工程质量保修书。在承包人递交了工程质量保修书、完成施工场地清理以及提交有关资料后，发包人应在30个工作日内向承包人颁发合同工程完工证书。</w:t>
      </w:r>
    </w:p>
    <w:p w14:paraId="4B402E6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18.5阶段验收</w:t>
      </w:r>
    </w:p>
    <w:p w14:paraId="7F0EA6A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18.5.1工程建设具备阶段验收条件时，发包人负责提出阶段验收申请报告。承包人应派代表参加阶段验收，并作为被验收单位在验收鉴定书上签字。阶段验收的具体类别在专用合同条款中约定。</w:t>
      </w:r>
    </w:p>
    <w:p w14:paraId="0E6C2A8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18.5.2承包人应及时完成阶段验收鉴定书载明应由承包人处理的遗留问题。</w:t>
      </w:r>
    </w:p>
    <w:p w14:paraId="47DF115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18.6专项验收</w:t>
      </w:r>
    </w:p>
    <w:p w14:paraId="0108762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18.6.1发包人负责提出专项验收申请报告。承包人应按专项验收的相关规定参加专项验收。专项验收的具体类别在专用合同条款中约定。</w:t>
      </w:r>
    </w:p>
    <w:p w14:paraId="5FB0821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18.6.2 承包人应及时完成专项验收成果性文件载明应由承包人处理的遗留问题。</w:t>
      </w:r>
    </w:p>
    <w:p w14:paraId="41DCF0E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18.7竣工验收</w:t>
      </w:r>
    </w:p>
    <w:p w14:paraId="598AC52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18.7.1申请竣工验收前，发包人组织竣工验收自查，承包人应派代表参加。</w:t>
      </w:r>
    </w:p>
    <w:p w14:paraId="4155543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18.7.2 竣工验收分为竣工技术预验收和竣工验收两个阶段。发包人应通知承包人派代表参加技术预验收和竣工验收。</w:t>
      </w:r>
    </w:p>
    <w:p w14:paraId="6D985346">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18.7.3专用合同条款约定工程需要进行技术鉴定的，承包人应提交有关资料并完成配合工作。</w:t>
      </w:r>
    </w:p>
    <w:p w14:paraId="4B929933">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18.7.4 竣工验收需要进行质量检测的，所需费用由发包人承担，但因承包人原因造成质量不合格的除外。</w:t>
      </w:r>
    </w:p>
    <w:p w14:paraId="6E4531C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18.7.5工程质量保修期满以及竣工验收遗留问题和尾工处理完成并通过验收后，发包人负责将处理情况和验收成果报送竣工验收主持单位，申请领取工程竣工证书，并发送承包人。</w:t>
      </w:r>
    </w:p>
    <w:p w14:paraId="08C9531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18.8施工期运行</w:t>
      </w:r>
    </w:p>
    <w:p w14:paraId="0609B30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18.8.1 施工期运行是指合同工程尚未全部完工，其中某单位工程或部分工程已完工，需要投入施工期运行的，经发包人按第18.2款或第18.3款的约定验收合格，证明能确保安全才能在施后工期投入运行。需要在施工期运行的单位工程或部分工程在专用合同条款中约定。</w:t>
      </w:r>
    </w:p>
    <w:p w14:paraId="5A11170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18.8.2 在施工期运行中发现工程或工程设备损坏或存在缺陷的，由承包人按第19.2款约定进行修复。</w:t>
      </w:r>
    </w:p>
    <w:p w14:paraId="2C8B860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18.9 试运行</w:t>
      </w:r>
    </w:p>
    <w:p w14:paraId="5CE9816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18.9.1除专用合同条款另有约定外，承包人应按规定进行工程及工程设备试运行，负责提供试运行所需的人员、器材和必要的条件，并承担全部试运行费用。</w:t>
      </w:r>
    </w:p>
    <w:p w14:paraId="1214358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18.9.2由于承包人的原因导致试运行失败的，承包人应采取措施保证试运行合格，并承担相应费用。由于发包人的原因导致试运行失败的，承包人应采取措施保证试运行合格，发包人应承担由此产生的费用，并支付承包人合理利润。</w:t>
      </w:r>
    </w:p>
    <w:p w14:paraId="5C0DBFA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18.10 竣工(完工)清场</w:t>
      </w:r>
    </w:p>
    <w:p w14:paraId="381BC38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18.10.1工程项目竣工(完工)清场的工作范围和内容在技术标准和要求(合同技术条款)中约定。</w:t>
      </w:r>
    </w:p>
    <w:p w14:paraId="683740F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18.10.2承包人未按监理人的要求恢复临时占地，或者场地清理未达到合同约定的，发包人有权委托其它人恢复或清理，所发生的金额从拟支付给承包人的款项中扣除。</w:t>
      </w:r>
    </w:p>
    <w:p w14:paraId="4C0625D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18.11施工队伍的撤离</w:t>
      </w:r>
    </w:p>
    <w:p w14:paraId="7FB7A5C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合同工程完工证书颁发后的56天内，除了经监理人同意需在缺陷责任期(工程质量保修期)内继续工作和使用的人员、施工设备和临时工程外，其余的人员、施工设备和临时工程均应撤离施工场地或拆除。除合同另有约定外，缺陷责任期(工程质量保修期)满时，承包人的人员和施工设备应全部撤离施工场地。</w:t>
      </w:r>
    </w:p>
    <w:p w14:paraId="0F8694E3">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19.缺陷责任与保修责任</w:t>
      </w:r>
    </w:p>
    <w:p w14:paraId="1CB8121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19.1缺陷责任期(工程质量保修期)的起算时问</w:t>
      </w:r>
    </w:p>
    <w:p w14:paraId="3AAB250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缺陷责任期(工程质量保修期)从工程通过合同工程完工验收后开始计算。在合同工程完工验收前，已经发包人提前验收的单位工程或部分工程，若未投入使用，其缺陷责任期(工程质量保修期)亦从工程通过合同工程完工验收后开始计算;若已投入使用，其缺陷责任期(工程质量保修期)从通过单位工程或部分工程投入使用验收后开始计算。缺陷责任期  (工程质量保修期)的期限在专用合同条款中约定。</w:t>
      </w:r>
    </w:p>
    <w:p w14:paraId="2A6D7C8D">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19.2 缺陷责任</w:t>
      </w:r>
    </w:p>
    <w:p w14:paraId="0ABDE33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19.2.1承包人应在缺陷责任期内对已交付使用的工程承担缺陷责任。</w:t>
      </w:r>
    </w:p>
    <w:p w14:paraId="29B1FB2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19.2.2缺陷责任期内，发包人对已接收使用的工程负责日常维护工作。发包人在使用过程中，发现已接收的工程存在新的缺陷或已修复的缺陷部位或部件又遭损坏的，承包人应负责修复，直至检验合格为止。</w:t>
      </w:r>
    </w:p>
    <w:p w14:paraId="0B54BBB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19.2.3监理人和承包人应共同查清缺陷和(或)损坏的原因。经查明属承包人原因造成的，应由承包人承担修复和查验的费用。经查验属发包人原因造成的，发包人应承担修复和查验的费用，并支付承包人合理利润。</w:t>
      </w:r>
    </w:p>
    <w:p w14:paraId="6168A40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19.2.4承包人不能在合理时间内修复缺陷的，发包人可自行修复或委托其他人修复，所需费用和利润的承担，按第19.2.3项约定办理。</w:t>
      </w:r>
    </w:p>
    <w:p w14:paraId="12784B3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19.3 缺陷责任期的延长</w:t>
      </w:r>
    </w:p>
    <w:p w14:paraId="25A04AB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由于承包人原因造成某项缺陷或损坏使某项工程或工程设备不能按原定目标使用而需要再次检查、检验和修复的，发包人有权要求承包人相应延长缺陷责任期，但缺陷责任期最长不超过2年。</w:t>
      </w:r>
    </w:p>
    <w:p w14:paraId="6826A1B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19.4 进一步试验和试运行</w:t>
      </w:r>
    </w:p>
    <w:p w14:paraId="7E75E30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任何一项缺陷或损坏修复后，经检查证明其影响了工程或工程设备的使用性能，承包人应重新进行合同约定的试验和试运行，试验和试运行的全部费用应由责任方承担。</w:t>
      </w:r>
    </w:p>
    <w:p w14:paraId="607DD7F7">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19.5 承包人的进入权</w:t>
      </w:r>
    </w:p>
    <w:p w14:paraId="64518DD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缺陷责任期内承包人为缺陷修复工作需要，有权进入工程现场，但应遵守发包人的保安和保密规定。</w:t>
      </w:r>
    </w:p>
    <w:p w14:paraId="2D2E912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19.6 缺陷责任期终止证书(工程质量保修责任终止证书)</w:t>
      </w:r>
    </w:p>
    <w:p w14:paraId="179530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合同工程完工验收或投入使用验收后，发包人与承包人应办理工程交接手续，承包人应向发包人递交工程质量保修书。</w:t>
      </w:r>
    </w:p>
    <w:p w14:paraId="6CD9B17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缺陷责任期(工程质量保修期)满后30个工作日内，发包人应向承包人颁发工程质量保修责任终止证书，并退还剩余的质量保证金，但保修责任范围内的质量缺陷未处理完成的应除外。</w:t>
      </w:r>
    </w:p>
    <w:p w14:paraId="4872036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19.7 保修责任</w:t>
      </w:r>
    </w:p>
    <w:p w14:paraId="3954B481">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合同当事人根据有关法律规定，在专用合同条款中约定工程质量保修范围、期限和责任。保修期自实际竣工日期起计算。在全部工程竣工验收前，已经发包人提前验收的单位工程，其保修期的起算日期相应提前。</w:t>
      </w:r>
    </w:p>
    <w:p w14:paraId="359852FF">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20. 保险</w:t>
      </w:r>
    </w:p>
    <w:p w14:paraId="4371935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20.1工程保险</w:t>
      </w:r>
    </w:p>
    <w:p w14:paraId="37DAA30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承包人应以发包人和承包人的共同名义向双方同意的保险人投保建筑工程一切险、安装工程一切险。其具体的投保内容、保险金额、保险费率、保险期限等有关内容在专用合同条款中约定。</w:t>
      </w:r>
    </w:p>
    <w:p w14:paraId="215F06C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20.2 人员工伤事故的保险</w:t>
      </w:r>
    </w:p>
    <w:p w14:paraId="7DD8C67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20.2.1承包人员工伤事故的保险</w:t>
      </w:r>
    </w:p>
    <w:p w14:paraId="7565811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承包人应依照有关法律规定参加工伤保险，为其履行合同所雇佣的全部人员，缴纳工伤保险费，并要求其分包人也进行此项保险。</w:t>
      </w:r>
    </w:p>
    <w:p w14:paraId="74B3BC9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20.2.2发包人员工伤事故的保险</w:t>
      </w:r>
    </w:p>
    <w:p w14:paraId="2E80410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发包人应依照有关法律规定参加工伤保险，为其现场机构雇佣的全部人员，缴纳工伤保险费，并要求其监理人也进行此项保险。</w:t>
      </w:r>
    </w:p>
    <w:p w14:paraId="55C2C62F">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20.3人身意外伤害险</w:t>
      </w:r>
    </w:p>
    <w:p w14:paraId="55F6498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20.3.1发包人应在整个施工期间为其现场机构雇用的全部人员，投保人身意外伤害险，缴纳保险费，并要求其监理人也进行此项保险。</w:t>
      </w:r>
    </w:p>
    <w:p w14:paraId="00F0D91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20.3.2承包人应在整个施工期间为其现场机构雇用的全部人员，投保人身意外伤害险，缴纳保险费，并要求其分包人也进行此项保险。</w:t>
      </w:r>
    </w:p>
    <w:p w14:paraId="00D4DD2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20.4 第三者责任险</w:t>
      </w:r>
    </w:p>
    <w:p w14:paraId="2D8EAEE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20.4.1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6664756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20.4.2在缺陷责任期终止证书颁发前，承包人应以承包人和发包人的共同名义，投保第20. 4. 1项约定的第三者责任险，其保险费率、保险金额等有关内容在专用合同条款中约定。</w:t>
      </w:r>
    </w:p>
    <w:p w14:paraId="347ED57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20.5 其他保险</w:t>
      </w:r>
    </w:p>
    <w:p w14:paraId="64B2DAC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除专用合同条款另有约定外，承包人应为其施工设备、进场的材料和工程设备等办理保险。</w:t>
      </w:r>
    </w:p>
    <w:p w14:paraId="771EBB0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20.6 对各项保险的一般要求</w:t>
      </w:r>
    </w:p>
    <w:p w14:paraId="5BA33A4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20.6.1保险凭证</w:t>
      </w:r>
    </w:p>
    <w:p w14:paraId="2D2F97E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承包人应在专用合同条款约定的期限内向发包人提交各项保险生效的证据和保险单副本，保险单必须与专用合同条款约定的条件保持一致。</w:t>
      </w:r>
    </w:p>
    <w:p w14:paraId="6A6CD5C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20.6.2保险合同条款的变动</w:t>
      </w:r>
    </w:p>
    <w:p w14:paraId="63B4A57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承包人需要变动保险合同条款时，应事先征得发包人同意，并通知监理人。保险人作出变动的，承包人应在收到保险人通知后立即通知发包人和监理人。</w:t>
      </w:r>
    </w:p>
    <w:p w14:paraId="3EE6D7F4">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20.6.3持续保险   </w:t>
      </w:r>
    </w:p>
    <w:p w14:paraId="02C68A9B">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承包人应与保险人保持联系，使保险人能够随时了解工程实施中的变动，并确保按保险合同条款要求持续保险。</w:t>
      </w:r>
    </w:p>
    <w:p w14:paraId="2FA2626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20.6.4保险金不足以补偿损失时，应由承包人和发包人各自负责补偿的范围和金额在专用合同条款中约定。</w:t>
      </w:r>
    </w:p>
    <w:p w14:paraId="2F9C928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20.6.5未按约定投保的补救</w:t>
      </w:r>
    </w:p>
    <w:p w14:paraId="0DC99C6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(1)由于负有投保义务的一方当事人未按合同约定办理保险，或未能使保险持续有效的，另一</w:t>
      </w:r>
    </w:p>
    <w:p w14:paraId="23D14DA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方当事人可代为办理，所需费用由对方当事人承担。</w:t>
      </w:r>
    </w:p>
    <w:p w14:paraId="3CD24CE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(2)由于负有投保义务的一方当事人未按合同约定办理某项保险，导致受益人未能得到保险人的赔偿，原应从该项保险得到的保险金应由负有投保义务的一方当事人支付。</w:t>
      </w:r>
    </w:p>
    <w:p w14:paraId="720878E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20.6.6 报告义务</w:t>
      </w:r>
    </w:p>
    <w:p w14:paraId="6F78B74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当保险事故发生时，投保人应按照保险单规定的条件和期限及时向保险人报告。</w:t>
      </w:r>
    </w:p>
    <w:p w14:paraId="47969BD0">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20.7 风险责任的转移</w:t>
      </w:r>
    </w:p>
    <w:p w14:paraId="22A45C3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工程通过合同工程完工验收并移交给发包人后，原由承包人应承担的风险责任，以及保险的责任、权利和义务同时转移给发包人，但承包人在缺陷责任期(工程质量保修期)前造成的损失和损坏情形除外。</w:t>
      </w:r>
    </w:p>
    <w:p w14:paraId="0C731665">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21.不可抗力</w:t>
      </w:r>
    </w:p>
    <w:p w14:paraId="4D0AF5EE">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21.1不可抗力的确认</w:t>
      </w:r>
    </w:p>
    <w:p w14:paraId="22AB9E9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21.1.1不可抗力是指承包人和发包人在订立合同时不可预见，在工程施工过程中不可避免发生并不能克服的自然灾害和社会性突发事件，如地震、海啸、瘟疫、水灾、骚乱、暴动、战争和专用合同条款约定的其他情形。</w:t>
      </w:r>
    </w:p>
    <w:p w14:paraId="24D330C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21.1.2不可抗力发生后，发包人和承包人应及时认真统计所造成的损失，收集不可抗力造成损失的证据。合同双方对是否属于不可抗力或其损失的意见不一致的，由监理人按第3.5款商定或确定。发生争议时，按第24条的约定办理。</w:t>
      </w:r>
    </w:p>
    <w:p w14:paraId="646BED4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21.2不可抗力的通知</w:t>
      </w:r>
    </w:p>
    <w:p w14:paraId="7E6A2D4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21.2.1合同一方当事人遇到不可抗力事件，使其履行合同义务受到阻碍时，应立即通知合同另一方当事人和监理人，书面说明不可抗力和受阻碍的详细情况，并提供必要的证明。</w:t>
      </w:r>
    </w:p>
    <w:p w14:paraId="28C81A7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21.2.2 如不可抗力持续发生，合同一方当事人应及时向合同另一方当事人和监理人提交中间报告，说明不可抗力和履行合同受阻的情况，并于不可抗力事件结束后28天内提交最终报告及有关资料。</w:t>
      </w:r>
    </w:p>
    <w:p w14:paraId="5132EAD6">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21.3不可抗力后果及其处理</w:t>
      </w:r>
    </w:p>
    <w:p w14:paraId="270F516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21.3.1不可抗力造成损害的责任 </w:t>
      </w:r>
    </w:p>
    <w:p w14:paraId="710987FF">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除专用合同条款另有约定外，不可抗力导致的人员伤亡、财产损失、费用增加和(或)工期延误等后果，由合同双方按以下原则承担:</w:t>
      </w:r>
    </w:p>
    <w:p w14:paraId="4CDB1DA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(1)永久工程，包括已运至施工场地的材料和工程设备的损害，以及因工程损害造成的第三者人员伤亡和财产损失由发包人承担;</w:t>
      </w:r>
    </w:p>
    <w:p w14:paraId="0E39FBE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(2)承包人设备的损坏由承包人承担;</w:t>
      </w:r>
    </w:p>
    <w:p w14:paraId="5882FBF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(3)发包人和承包人各自承担其人员伤亡和其他财产损失及其相关费用;</w:t>
      </w:r>
    </w:p>
    <w:p w14:paraId="435D324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(4)承包人的停工损失由承包人承担，但停工期间应监理人要求照管工程和清理、修复工程的金额由发包人承担;</w:t>
      </w:r>
    </w:p>
    <w:p w14:paraId="7EB6CE1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(5)不能按期竣工的，应合理延长工期，承包人不需支付逾期竣工违约金。发包人要求赶工的，承包人应采取赶工措施，赶工费用由发包人承担。</w:t>
      </w:r>
    </w:p>
    <w:p w14:paraId="7A0AB88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21.3.2延迟履行期间发生的不可抗力</w:t>
      </w:r>
    </w:p>
    <w:p w14:paraId="79284A3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合同一方当事人延迟履行，在延迟履行期问发生不可抗力的，不免除其责任。</w:t>
      </w:r>
    </w:p>
    <w:p w14:paraId="5473E17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21.3.3避免和减少不可抗力损失</w:t>
      </w:r>
    </w:p>
    <w:p w14:paraId="01C779EC">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不可抗力发生后，发包人和承包人均应采取措施尽量避免和减少损失的扩大，任何一方没有采取有效措施导致损失扩大的，应对扩大的损失承担责任。</w:t>
      </w:r>
    </w:p>
    <w:p w14:paraId="096C239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21.3.4因不可抗力解除合同</w:t>
      </w:r>
    </w:p>
    <w:p w14:paraId="21FBC46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合同一方当事人因不可抗力不能履行合同的，应当及时通知对方解除合同。合同解除后，承包人应按照第22. 2. 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p>
    <w:p w14:paraId="61E78DFF">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22 违约</w:t>
      </w:r>
    </w:p>
    <w:p w14:paraId="52FAF674">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22.1承包人违约</w:t>
      </w:r>
    </w:p>
    <w:p w14:paraId="5C468246">
      <w:pPr>
        <w:spacing w:line="360" w:lineRule="auto"/>
        <w:ind w:firstLine="422" w:firstLineChars="20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22.1.1承包人违约的情形</w:t>
      </w:r>
    </w:p>
    <w:p w14:paraId="32910238">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在履行合同过程中发生的下列情况属承包人违约:</w:t>
      </w:r>
    </w:p>
    <w:p w14:paraId="639F0ECF">
      <w:pPr>
        <w:spacing w:line="360" w:lineRule="auto"/>
        <w:ind w:firstLine="359" w:firstLineChars="171"/>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(1)承包人违反第1.8款或第4.3款的约定，私自将合同的全部或部分权利转让给其他人，或私自将合同的全部或部分义务转移给其他人;</w:t>
      </w:r>
    </w:p>
    <w:p w14:paraId="3ACC1EE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(2)承包人违反第5.3款或第6.4款的约定，未经监理人批准，私自将已按合同约定进入施工场地的施工设备、临时设施或材料撤离施工场地;</w:t>
      </w:r>
    </w:p>
    <w:p w14:paraId="3337467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(3)承包人违反第5.4款的约定使用了不合格材料或工程设备，工程质量达不到标准要求，</w:t>
      </w:r>
    </w:p>
    <w:p w14:paraId="1F80A84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又拒绝清除不合格工程;</w:t>
      </w:r>
    </w:p>
    <w:p w14:paraId="42F0B64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(4)承包人未能按合同进度计划及时完成合同约定的工作，已造成或预期造成工期延误;    </w:t>
      </w:r>
    </w:p>
    <w:p w14:paraId="69DAD2E1">
      <w:pPr>
        <w:spacing w:line="360" w:lineRule="auto"/>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(5)承包人在缺陷责任期(工程质量保修期)内，未能对合同工程完工验收鉴定书所列的缺陷清单的内容或缺陷责任期(工程质量保修期)内发生的缺陷进行修复，而又拒绝按监理人指示再进行修补;</w:t>
      </w:r>
    </w:p>
    <w:p w14:paraId="35F632B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(6)承包人无法继续履行或明确表示不履行或实质上已停止履行合同;</w:t>
      </w:r>
    </w:p>
    <w:p w14:paraId="252AAA8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(7)承包人不按合同约定履行义务的其它情况。</w:t>
      </w:r>
    </w:p>
    <w:p w14:paraId="10BEA57B">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22.1.2对承包人违约的处理</w:t>
      </w:r>
    </w:p>
    <w:p w14:paraId="7458810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(1)承包人发生第22.1.1(6)目约定的违约情况时，发包人可通知承包人立即解除合同，并按有关法律处理。</w:t>
      </w:r>
    </w:p>
    <w:p w14:paraId="7837D93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(2)承包人发生除第22.1.1(6)目约定以外的其他违约情况时，监理人可向承包人发出整改通知，要求其在指定的期限内改正。承包人应承担其违约所引起的费用增加和(或)工期延误。</w:t>
      </w:r>
    </w:p>
    <w:p w14:paraId="3D1C78F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(3)经检查证明承包人已采取了有效措施纠正违约行为，具备复工条件的，可由监理人签发复工通知复工。</w:t>
      </w:r>
    </w:p>
    <w:p w14:paraId="77B9E62E">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22.1.3承包人违约解除合同</w:t>
      </w:r>
    </w:p>
    <w:p w14:paraId="21E31E1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15617BE4">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22.1.4合同解除后的估价、付款和结清</w:t>
      </w:r>
    </w:p>
    <w:p w14:paraId="4530505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(1)合同解除后，监理人按第3.5款商定或确定承包人实际完成工作的价值，以及承包人已提供的材料、施工设备、工程设备和临时工程等的价值。</w:t>
      </w:r>
    </w:p>
    <w:p w14:paraId="75940E5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(2)合同解除后，发包人应暂停对承包人的一切付款，查清各项付款和已扣款金额，包括承包人应支付的违约金。</w:t>
      </w:r>
    </w:p>
    <w:p w14:paraId="72D0495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(3)合同解除后，发包人应按第23.4款的约定向承包人索赔由于解除合同给发包人造成的损失。</w:t>
      </w:r>
    </w:p>
    <w:p w14:paraId="3ABBE6D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(4)合同双方确认上述往来款项后，出具最终结清付款证书，结清全部合同款项。</w:t>
      </w:r>
    </w:p>
    <w:p w14:paraId="2FBCB8D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(5)发包人和承包人未能就解除合同后的结清达成一致而形成争议的，按第24条的约定办理。</w:t>
      </w:r>
    </w:p>
    <w:p w14:paraId="53886ECB">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22.1.5协议利益的转让</w:t>
      </w:r>
    </w:p>
    <w:p w14:paraId="2D2E0B6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因承包人违约解除合同的，发包人有权要求承包人将其为实施合同而签订的材料和设备的订货协议或任何服务协议利益转让给发包人，并在解除合同后的14天内，依法办理转让手续。</w:t>
      </w:r>
    </w:p>
    <w:p w14:paraId="465FE43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22.1.6紧急情况下无能力或不愿进行抢救</w:t>
      </w:r>
    </w:p>
    <w:p w14:paraId="610B522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p>
    <w:p w14:paraId="4B5AC515">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22.2 发包人违约</w:t>
      </w:r>
    </w:p>
    <w:p w14:paraId="4D2680A2">
      <w:pPr>
        <w:spacing w:line="360" w:lineRule="auto"/>
        <w:ind w:firstLine="420"/>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b/>
          <w:color w:val="auto"/>
          <w:szCs w:val="21"/>
          <w:highlight w:val="none"/>
        </w:rPr>
        <w:t xml:space="preserve">22.2.1发包人违约的情形   </w:t>
      </w:r>
    </w:p>
    <w:p w14:paraId="659AAFA1">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在履行合同过程中发生的下列情形，属发包人违约:</w:t>
      </w:r>
    </w:p>
    <w:p w14:paraId="15C0F5A6">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(1)发包人未能按合同约定支付预付款或合同价款，或拖延、拒绝批准付款申清和支付凭证，</w:t>
      </w:r>
    </w:p>
    <w:p w14:paraId="0D8D7C5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导致付款延误的;</w:t>
      </w:r>
    </w:p>
    <w:p w14:paraId="1E8D39B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(2)发包人原因造成停工的;</w:t>
      </w:r>
    </w:p>
    <w:p w14:paraId="09421CE2">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(3)监理人无正当理由没有在约定期限内发出复工指示，导致承包人无法复工的;</w:t>
      </w:r>
    </w:p>
    <w:p w14:paraId="02552A32">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(4)发包人无法继续履行或明确表示不履行或实质上已停止履行合同的;</w:t>
      </w:r>
    </w:p>
    <w:p w14:paraId="51DAA2A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(5)发包人不履行合同约定其他义务的。</w:t>
      </w:r>
    </w:p>
    <w:p w14:paraId="16FC3E5E">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22.2.2承包人有权暂停施工</w:t>
      </w:r>
    </w:p>
    <w:p w14:paraId="4E517D7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3FD76FF1">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22.2.3发包人违约解除合同</w:t>
      </w:r>
    </w:p>
    <w:p w14:paraId="40ED4FA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(1)发生第22.2.1(4)目的违约情况时，承包人可书面通知发包人解除合同。</w:t>
      </w:r>
    </w:p>
    <w:p w14:paraId="34D0C461">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(2)承包人按22.2.2项暂停施工28天后，发包人仍不纠正违约行为的，承包人可向发包人发出解除合同通知。但承包人的这一行动不免除发包人承担的违约责任，也不影响承包人根据合同约定享有的索赔权利。</w:t>
      </w:r>
    </w:p>
    <w:p w14:paraId="6C967A49">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 xml:space="preserve"> 22.2.4解除合同后的付款</w:t>
      </w:r>
    </w:p>
    <w:p w14:paraId="2FB2B29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因发包人违约解除合同的，发包人应在解除合同后28天内向承包人支付下列金额，承包人应在此期限内及时向发包人提交要求支付下列金额的有关资料和凭证:</w:t>
      </w:r>
    </w:p>
    <w:p w14:paraId="6A38412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(1)合同解除日以前所完成工作的价款;</w:t>
      </w:r>
    </w:p>
    <w:p w14:paraId="49B829E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(2)承包人为该工程施工订购并已付款的材料、工程设备和其他物品的金额。发包人付还后，</w:t>
      </w:r>
    </w:p>
    <w:p w14:paraId="1936B73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该材料、工程设备和其他物品归发包人所有;</w:t>
      </w:r>
    </w:p>
    <w:p w14:paraId="787D2AC0">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(3)承包人为完成工程所发生的，而发包人未支付的金额;</w:t>
      </w:r>
    </w:p>
    <w:p w14:paraId="40FFADB1">
      <w:pPr>
        <w:spacing w:line="360" w:lineRule="auto"/>
        <w:ind w:firstLine="210" w:firstLineChars="1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(4)承包人撤离施工场地以及遣散承包人人员的金额;</w:t>
      </w:r>
    </w:p>
    <w:p w14:paraId="2969944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(5)由于解除合同应赔偿的承包人损失;</w:t>
      </w:r>
    </w:p>
    <w:p w14:paraId="5C3A1E8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(6)按合同约定在合同解除日前应支付给承包人的其他金额。</w:t>
      </w:r>
    </w:p>
    <w:p w14:paraId="02512E4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发包人应按本项约定支付上述金额并退还质量保证金和履约担保，但有权要求承包人支付应偿还给发包人的各项金额。</w:t>
      </w:r>
    </w:p>
    <w:p w14:paraId="103C2863">
      <w:pPr>
        <w:spacing w:line="360" w:lineRule="auto"/>
        <w:rPr>
          <w:rFonts w:hint="eastAsia" w:asciiTheme="majorEastAsia" w:hAnsiTheme="majorEastAsia" w:eastAsiaTheme="majorEastAsia" w:cstheme="majorEastAsia"/>
          <w:b/>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b/>
          <w:color w:val="auto"/>
          <w:szCs w:val="21"/>
          <w:highlight w:val="none"/>
        </w:rPr>
        <w:t>22.2.5解除合同后的承包人撤离</w:t>
      </w:r>
    </w:p>
    <w:p w14:paraId="2C504D1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因发包人违约而解除合同后，承包人应妥善做好已竣工工程和已购材料、设备的保护和移交工作，按发包人要求将承包人设备和人员撤出施工场地。承包人撤出施工场地应遵守第18. 7. 1项的约定，发包人应为承包人撤出提供必要条件。</w:t>
      </w:r>
    </w:p>
    <w:p w14:paraId="64FF2C1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22.3 第三人造成的违约</w:t>
      </w:r>
    </w:p>
    <w:p w14:paraId="232630E0">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在履行合同过程中，一方当事人因第三人的原因造成违约的，应当向对方当事人承担违约责任。一方当事人和第三人之问的纠纷，依照法律规定或者按照约定解决。</w:t>
      </w:r>
    </w:p>
    <w:p w14:paraId="2DDC6C03">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23.索赔</w:t>
      </w:r>
    </w:p>
    <w:p w14:paraId="0822B6A1">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23.1 承包人索赔的提出</w:t>
      </w:r>
    </w:p>
    <w:p w14:paraId="4E98E60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根据合同约定，承包人认为有权得到追加付款和(或)延长工期的，应按以下程序向发包人提出索赔:</w:t>
      </w:r>
    </w:p>
    <w:p w14:paraId="26FC9AF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(1)承包人应在知道或应当知道索赔事件发生后28天内，向监理人递交索赔意向通知书，并说明发生索赔事件的事由。承包人未在前述28天内发出索赔意向通知书的，丧失要求追加付款和  (或)延长工期的权利;</w:t>
      </w:r>
    </w:p>
    <w:p w14:paraId="4741058F">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(2)承包人应在发出索赔意向通知书后28天内，向监理人正式递交索赔通知书。索赔通知书应详细说明索赔理由以及要求追加的付款金额和(或)延长的工期，并附必要的记录和证明材料; </w:t>
      </w:r>
    </w:p>
    <w:p w14:paraId="2BCD4572">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(3)索赔事件具有连续影响的，承包人应按合理时问问隔继续递交延续索赔通知，说明连续影响的实际情况和记录，列出累计的追加付款金额和(或)工期延长天数;</w:t>
      </w:r>
    </w:p>
    <w:p w14:paraId="79587B9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(4)在索赔事件影响结束后的28天内，承包人应向监理人递交最终索赔通知书，说明最终要求索赔的追加付款金额和延长的工期，并附必要的记录和证明材料。</w:t>
      </w:r>
    </w:p>
    <w:p w14:paraId="3A0AF942">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23.2承包人索赔处理程序</w:t>
      </w:r>
    </w:p>
    <w:p w14:paraId="301F723A">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(1)监理人收到承包人提交的索赔通知书后，应及时审查索赔通知书的内容、查验承包人的记录和证明材料，必要时监理人可要求承包人提交全部原始记录副本。</w:t>
      </w:r>
    </w:p>
    <w:p w14:paraId="3E6B5828">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(2)监理人应按第3.5款商定或确定追加的付款和(或)延长的工期，并在收到上述索赔通知书或有关索赔的进一步证明材料后的42天内，将索赔处理结果答复承包人。</w:t>
      </w:r>
    </w:p>
    <w:p w14:paraId="14C210D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(3)承包人接受索赔处理结果的，发包人应在作出索赔处理结果答复后28天内完成赔付。承包人不接受索赔处理结果的，按第24条的约定办理。</w:t>
      </w:r>
    </w:p>
    <w:p w14:paraId="26C1B27C">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23.3承包人提出索赔的期限</w:t>
      </w:r>
    </w:p>
    <w:p w14:paraId="6A7860C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23.3.1承包人按第17.5款的约定接受了完工付款证书后，应被认为已无权再提出在合同工程完工证书颁发前所发生的任何索赔。</w:t>
      </w:r>
    </w:p>
    <w:p w14:paraId="6E83EE7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23.3.2承包人按第17.6款的约定提交的最终结清申请单中，只限于提出合同工程完工证书颁发后发生的索赔。提出索赔的期限自接受最终结清证书时终止。</w:t>
      </w:r>
    </w:p>
    <w:p w14:paraId="51221B39">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23.4发包人的索赔</w:t>
      </w:r>
    </w:p>
    <w:p w14:paraId="0655D0B2">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23.4.1发生索赔事件后，监理人应及时书面通知承包人，详细说明发包人有权得到的索赔金额和(或)延长缺陷责任期的细节和依据。发包人提出索赔的期限和要求与第23. 3款的约定相同，延长缺陷责任期的通知应在缺陷责任期届满前发出。</w:t>
      </w:r>
    </w:p>
    <w:p w14:paraId="461E4D34">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23.4.2监理人按第3.5款商定或确定发包人从承包人处得到赔付的金额和(或)缺陷责任期的延长期。承包人应付给发包人的金额可从拟支付给承包人的合同价款中扣除，或由承包人以其他方式支付给发包人。</w:t>
      </w:r>
    </w:p>
    <w:p w14:paraId="6E5B0D6D">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23.4.3承包人对监理人按第23.4.1项发出的索赔书面通知内容持异议时，应在收到书面通知后的14天内，将持有异议的书面报告及其证明材料提交监理人。监理人应在收到承包人书面报告后的14天内，将异议的处理意见通知承包人，并按第23.4.2项的约定执行赔付。若承包人不接受监理人的索赔处理意见，可按本合同第24条的规定办理。</w:t>
      </w:r>
    </w:p>
    <w:p w14:paraId="5CE149EE">
      <w:pPr>
        <w:pStyle w:val="5"/>
        <w:rPr>
          <w:rFonts w:hint="eastAsia" w:asciiTheme="majorEastAsia" w:hAnsiTheme="majorEastAsia" w:eastAsiaTheme="majorEastAsia" w:cstheme="majorEastAsia"/>
          <w:color w:val="auto"/>
          <w:sz w:val="28"/>
          <w:highlight w:val="none"/>
        </w:rPr>
      </w:pPr>
      <w:r>
        <w:rPr>
          <w:rFonts w:hint="eastAsia" w:asciiTheme="majorEastAsia" w:hAnsiTheme="majorEastAsia" w:eastAsiaTheme="majorEastAsia" w:cstheme="majorEastAsia"/>
          <w:color w:val="auto"/>
          <w:sz w:val="28"/>
          <w:highlight w:val="none"/>
        </w:rPr>
        <w:t>24.争议的解决</w:t>
      </w:r>
    </w:p>
    <w:p w14:paraId="078F895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24.1 争议的解决方式</w:t>
      </w:r>
    </w:p>
    <w:p w14:paraId="73762C1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0BF0B14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(1)向约定的仲裁委员会申请仲裁;</w:t>
      </w:r>
    </w:p>
    <w:p w14:paraId="0D6CE51E">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(2)向有管辖权的人民法院提起诉讼。</w:t>
      </w:r>
    </w:p>
    <w:p w14:paraId="2E577B23">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24.2 友好解决</w:t>
      </w:r>
    </w:p>
    <w:p w14:paraId="03CF26E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在提请争议评审、仲裁或者诉讼前，以及在争议评审、仲裁或诉讼过程中，发包人和承包人均可共同努力友好协商解决争议。</w:t>
      </w:r>
    </w:p>
    <w:p w14:paraId="4C043BBA">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24.3争议评审</w:t>
      </w:r>
    </w:p>
    <w:p w14:paraId="38F0396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24.3.1采用争议评审的，发包人和承包人应在开工日后的28天内或在争议发生后，协商成立争议评审组。争议评审组由有合同管理和工程实践经验的专家组成。</w:t>
      </w:r>
    </w:p>
    <w:p w14:paraId="65D8DB2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 2合同双方的争议，应首先由申请人向争议评审组提交一份详细的评审申请报告，并附必要的文件、图纸和证明材料，申请人还应将上述报告的副本同时提交给被申请人和监理人。</w:t>
      </w:r>
    </w:p>
    <w:p w14:paraId="4F3B053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24.3.3 被申请人在收到申请人评审申请报告副本后的28天内，向争议评审组提交一份答辩报告，并附证明材料。被申请人应将答辩报告的副本同时提交给申请人和监理人。</w:t>
      </w:r>
    </w:p>
    <w:p w14:paraId="346966D5">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24.3.4 除专用合同条款另有约定外，争议评审组在收到合同双方报告后的14天内，邀请双方代表和有关人员举行调查会，向双方调查争议细节;必要时争议评审组可要求双方进一步提供补充材料。</w:t>
      </w:r>
    </w:p>
    <w:p w14:paraId="066DAD17">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24.3.5 除专用合同条款另有约定外，在调查会结束后的14天内，争议评审组应在不受任何干扰的情况下进行独立、公正的评审，作出书面评审意见，并说明理由。在争议评审期问，争议双方暂按总监理工程师的确定执行。</w:t>
      </w:r>
    </w:p>
    <w:p w14:paraId="22CE6AFF">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24.3.6发包人和承包人接受评审意见的，由监理人根据评审意见拟定执行协议，经争议双方签字后作为合同的补充文件，并遵照执行。</w:t>
      </w:r>
    </w:p>
    <w:p w14:paraId="73FBAE7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24.3.7发包人或承包人不接受评审意见，并要求提交仲裁或提起诉讼的，应在收到评审意见后的14天内将仲裁或起诉意向书面通知另一方，并抄送监理人，但在仲裁或诉讼结束前应暂按总监理工程师的确定执行。</w:t>
      </w:r>
    </w:p>
    <w:p w14:paraId="1244E2BF">
      <w:pPr>
        <w:spacing w:line="360" w:lineRule="auto"/>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24.4仲裁</w:t>
      </w:r>
    </w:p>
    <w:p w14:paraId="1A0C8279">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24.4.1若合同双方商定直接向仲裁机构申请仲裁，应签订仲裁协议并约定仲裁机构。</w:t>
      </w:r>
    </w:p>
    <w:p w14:paraId="439D6481">
      <w:pPr>
        <w:spacing w:line="360" w:lineRule="auto"/>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24.4.2若合同双方未能达成仲裁协议，则本合同的仲裁条款无效，任一方均有权向人民法院提起诉讼。</w:t>
      </w:r>
    </w:p>
    <w:p w14:paraId="5FC0883D">
      <w:pPr>
        <w:spacing w:line="360" w:lineRule="auto"/>
        <w:ind w:firstLine="420"/>
        <w:rPr>
          <w:rFonts w:hint="eastAsia" w:asciiTheme="majorEastAsia" w:hAnsiTheme="majorEastAsia" w:eastAsiaTheme="majorEastAsia" w:cstheme="majorEastAsia"/>
          <w:color w:val="auto"/>
          <w:szCs w:val="21"/>
          <w:highlight w:val="none"/>
        </w:rPr>
      </w:pPr>
    </w:p>
    <w:p w14:paraId="3A0D5078">
      <w:pPr>
        <w:spacing w:line="360" w:lineRule="auto"/>
        <w:ind w:firstLine="420"/>
        <w:rPr>
          <w:rFonts w:hint="eastAsia" w:asciiTheme="majorEastAsia" w:hAnsiTheme="majorEastAsia" w:eastAsiaTheme="majorEastAsia" w:cstheme="majorEastAsia"/>
          <w:color w:val="auto"/>
          <w:szCs w:val="21"/>
          <w:highlight w:val="none"/>
        </w:rPr>
      </w:pPr>
    </w:p>
    <w:p w14:paraId="15C78279">
      <w:pPr>
        <w:spacing w:line="360" w:lineRule="auto"/>
        <w:ind w:firstLine="420"/>
        <w:rPr>
          <w:rFonts w:hint="eastAsia" w:asciiTheme="majorEastAsia" w:hAnsiTheme="majorEastAsia" w:eastAsiaTheme="majorEastAsia" w:cstheme="majorEastAsia"/>
          <w:color w:val="auto"/>
          <w:szCs w:val="21"/>
          <w:highlight w:val="none"/>
        </w:rPr>
      </w:pPr>
    </w:p>
    <w:p w14:paraId="5B41E592">
      <w:pPr>
        <w:spacing w:line="360" w:lineRule="auto"/>
        <w:ind w:firstLine="420"/>
        <w:rPr>
          <w:rFonts w:hint="eastAsia" w:asciiTheme="majorEastAsia" w:hAnsiTheme="majorEastAsia" w:eastAsiaTheme="majorEastAsia" w:cstheme="majorEastAsia"/>
          <w:color w:val="auto"/>
          <w:szCs w:val="21"/>
          <w:highlight w:val="none"/>
        </w:rPr>
      </w:pPr>
    </w:p>
    <w:p w14:paraId="7077568C">
      <w:pPr>
        <w:spacing w:line="360" w:lineRule="auto"/>
        <w:ind w:firstLine="420"/>
        <w:rPr>
          <w:rFonts w:hint="eastAsia" w:asciiTheme="majorEastAsia" w:hAnsiTheme="majorEastAsia" w:eastAsiaTheme="majorEastAsia" w:cstheme="majorEastAsia"/>
          <w:color w:val="auto"/>
          <w:szCs w:val="21"/>
          <w:highlight w:val="none"/>
        </w:rPr>
      </w:pPr>
    </w:p>
    <w:p w14:paraId="1A55DABA">
      <w:pPr>
        <w:spacing w:line="360" w:lineRule="auto"/>
        <w:ind w:firstLine="420"/>
        <w:rPr>
          <w:rFonts w:hint="eastAsia" w:asciiTheme="majorEastAsia" w:hAnsiTheme="majorEastAsia" w:eastAsiaTheme="majorEastAsia" w:cstheme="majorEastAsia"/>
          <w:color w:val="auto"/>
          <w:szCs w:val="21"/>
          <w:highlight w:val="none"/>
        </w:rPr>
      </w:pPr>
    </w:p>
    <w:p w14:paraId="3E9E913E">
      <w:pPr>
        <w:spacing w:line="360" w:lineRule="auto"/>
        <w:ind w:firstLine="420"/>
        <w:rPr>
          <w:rFonts w:hint="eastAsia" w:asciiTheme="majorEastAsia" w:hAnsiTheme="majorEastAsia" w:eastAsiaTheme="majorEastAsia" w:cstheme="majorEastAsia"/>
          <w:color w:val="auto"/>
          <w:szCs w:val="21"/>
          <w:highlight w:val="none"/>
        </w:rPr>
      </w:pPr>
    </w:p>
    <w:p w14:paraId="3F406F26">
      <w:pPr>
        <w:spacing w:line="360" w:lineRule="auto"/>
        <w:ind w:firstLine="420"/>
        <w:rPr>
          <w:rFonts w:hint="eastAsia" w:asciiTheme="majorEastAsia" w:hAnsiTheme="majorEastAsia" w:eastAsiaTheme="majorEastAsia" w:cstheme="majorEastAsia"/>
          <w:color w:val="auto"/>
          <w:szCs w:val="21"/>
          <w:highlight w:val="none"/>
        </w:rPr>
      </w:pPr>
    </w:p>
    <w:p w14:paraId="33737D55">
      <w:pPr>
        <w:spacing w:line="360" w:lineRule="auto"/>
        <w:ind w:firstLine="420"/>
        <w:rPr>
          <w:rFonts w:hint="eastAsia" w:asciiTheme="majorEastAsia" w:hAnsiTheme="majorEastAsia" w:eastAsiaTheme="majorEastAsia" w:cstheme="majorEastAsia"/>
          <w:color w:val="auto"/>
          <w:szCs w:val="21"/>
          <w:highlight w:val="none"/>
        </w:rPr>
      </w:pPr>
    </w:p>
    <w:p w14:paraId="6DE0AF3E">
      <w:pPr>
        <w:pStyle w:val="4"/>
        <w:jc w:val="center"/>
        <w:rPr>
          <w:rFonts w:hint="eastAsia" w:asciiTheme="majorEastAsia" w:hAnsiTheme="majorEastAsia" w:eastAsiaTheme="majorEastAsia" w:cstheme="majorEastAsia"/>
          <w:color w:val="auto"/>
          <w:sz w:val="28"/>
          <w:szCs w:val="28"/>
          <w:highlight w:val="none"/>
        </w:rPr>
      </w:pPr>
      <w:bookmarkStart w:id="132" w:name="_Toc222029526"/>
      <w:bookmarkStart w:id="133" w:name="_Toc229305386"/>
      <w:bookmarkStart w:id="134" w:name="_Toc221951110"/>
      <w:bookmarkStart w:id="135" w:name="_Toc222033877"/>
      <w:bookmarkStart w:id="136" w:name="_Toc229408521"/>
      <w:bookmarkStart w:id="137" w:name="_Toc222032695"/>
      <w:bookmarkStart w:id="138" w:name="_Toc222031028"/>
      <w:bookmarkStart w:id="139" w:name="_Toc221948340"/>
      <w:bookmarkStart w:id="140" w:name="_Toc309533344"/>
      <w:bookmarkStart w:id="141" w:name="_Toc309533740"/>
      <w:bookmarkStart w:id="142" w:name="_Toc310088848"/>
      <w:bookmarkStart w:id="143" w:name="_Toc21212"/>
      <w:bookmarkStart w:id="144" w:name="_Toc311205797"/>
      <w:r>
        <w:rPr>
          <w:rFonts w:hint="eastAsia" w:asciiTheme="majorEastAsia" w:hAnsiTheme="majorEastAsia" w:eastAsiaTheme="majorEastAsia" w:cstheme="majorEastAsia"/>
          <w:color w:val="auto"/>
          <w:sz w:val="28"/>
          <w:szCs w:val="28"/>
          <w:highlight w:val="none"/>
        </w:rPr>
        <w:br w:type="page"/>
      </w:r>
      <w:bookmarkStart w:id="145" w:name="_Toc27570"/>
      <w:r>
        <w:rPr>
          <w:rFonts w:hint="eastAsia" w:asciiTheme="majorEastAsia" w:hAnsiTheme="majorEastAsia" w:eastAsiaTheme="majorEastAsia" w:cstheme="majorEastAsia"/>
          <w:color w:val="auto"/>
          <w:sz w:val="28"/>
          <w:szCs w:val="28"/>
          <w:highlight w:val="none"/>
        </w:rPr>
        <w:t>第二节 专用合同条</w:t>
      </w:r>
      <w:bookmarkEnd w:id="132"/>
      <w:bookmarkEnd w:id="133"/>
      <w:bookmarkEnd w:id="134"/>
      <w:bookmarkEnd w:id="135"/>
      <w:bookmarkEnd w:id="136"/>
      <w:bookmarkEnd w:id="137"/>
      <w:bookmarkEnd w:id="138"/>
      <w:bookmarkEnd w:id="139"/>
      <w:r>
        <w:rPr>
          <w:rFonts w:hint="eastAsia" w:asciiTheme="majorEastAsia" w:hAnsiTheme="majorEastAsia" w:eastAsiaTheme="majorEastAsia" w:cstheme="majorEastAsia"/>
          <w:color w:val="auto"/>
          <w:sz w:val="28"/>
          <w:szCs w:val="28"/>
          <w:highlight w:val="none"/>
        </w:rPr>
        <w:t>款</w:t>
      </w:r>
      <w:bookmarkEnd w:id="140"/>
      <w:bookmarkEnd w:id="141"/>
      <w:bookmarkEnd w:id="142"/>
      <w:bookmarkEnd w:id="143"/>
      <w:bookmarkEnd w:id="144"/>
      <w:bookmarkEnd w:id="145"/>
    </w:p>
    <w:p w14:paraId="2ACFE0BB">
      <w:pPr>
        <w:spacing w:line="400" w:lineRule="exact"/>
        <w:rPr>
          <w:rFonts w:hint="eastAsia" w:asciiTheme="majorEastAsia" w:hAnsiTheme="majorEastAsia" w:eastAsiaTheme="majorEastAsia" w:cstheme="majorEastAsia"/>
          <w:b/>
          <w:color w:val="auto"/>
          <w:sz w:val="28"/>
          <w:szCs w:val="28"/>
          <w:highlight w:val="none"/>
        </w:rPr>
      </w:pPr>
      <w:bookmarkStart w:id="146" w:name="_Toc222029527"/>
      <w:bookmarkStart w:id="147" w:name="_Toc222032696"/>
      <w:bookmarkStart w:id="148" w:name="_Toc222033878"/>
      <w:bookmarkStart w:id="149" w:name="_Toc309534173"/>
      <w:bookmarkStart w:id="150" w:name="_Toc309533741"/>
      <w:bookmarkStart w:id="151" w:name="_Toc309533345"/>
      <w:bookmarkStart w:id="152" w:name="_Toc222031029"/>
      <w:bookmarkStart w:id="153" w:name="_Toc221951111"/>
      <w:bookmarkStart w:id="154" w:name="_Toc229305387"/>
      <w:r>
        <w:rPr>
          <w:rFonts w:hint="eastAsia" w:asciiTheme="majorEastAsia" w:hAnsiTheme="majorEastAsia" w:eastAsiaTheme="majorEastAsia" w:cstheme="majorEastAsia"/>
          <w:b/>
          <w:color w:val="auto"/>
          <w:sz w:val="28"/>
          <w:szCs w:val="28"/>
          <w:highlight w:val="none"/>
        </w:rPr>
        <w:t>1  一般约定</w:t>
      </w:r>
      <w:bookmarkEnd w:id="146"/>
      <w:bookmarkEnd w:id="147"/>
      <w:bookmarkEnd w:id="148"/>
      <w:bookmarkEnd w:id="149"/>
      <w:bookmarkEnd w:id="150"/>
      <w:bookmarkEnd w:id="151"/>
      <w:bookmarkEnd w:id="152"/>
      <w:bookmarkEnd w:id="153"/>
      <w:bookmarkEnd w:id="154"/>
    </w:p>
    <w:p w14:paraId="3D396C38">
      <w:pPr>
        <w:spacing w:line="400" w:lineRule="exact"/>
        <w:rPr>
          <w:rFonts w:hint="eastAsia" w:asciiTheme="majorEastAsia" w:hAnsiTheme="majorEastAsia" w:eastAsiaTheme="majorEastAsia" w:cstheme="majorEastAsia"/>
          <w:b/>
          <w:color w:val="auto"/>
          <w:sz w:val="24"/>
          <w:highlight w:val="none"/>
        </w:rPr>
      </w:pPr>
      <w:bookmarkStart w:id="155" w:name="_Toc221951112"/>
      <w:r>
        <w:rPr>
          <w:rFonts w:hint="eastAsia" w:asciiTheme="majorEastAsia" w:hAnsiTheme="majorEastAsia" w:eastAsiaTheme="majorEastAsia" w:cstheme="majorEastAsia"/>
          <w:b/>
          <w:color w:val="auto"/>
          <w:sz w:val="24"/>
          <w:highlight w:val="none"/>
        </w:rPr>
        <w:t>1.1  词语定义</w:t>
      </w:r>
      <w:bookmarkEnd w:id="155"/>
    </w:p>
    <w:p w14:paraId="478146D3">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56" w:name="_Toc221951113"/>
      <w:bookmarkStart w:id="157" w:name="_Toc309533346"/>
      <w:r>
        <w:rPr>
          <w:rFonts w:hint="eastAsia" w:asciiTheme="majorEastAsia" w:hAnsiTheme="majorEastAsia" w:eastAsiaTheme="majorEastAsia" w:cstheme="majorEastAsia"/>
          <w:color w:val="auto"/>
          <w:szCs w:val="21"/>
          <w:highlight w:val="none"/>
        </w:rPr>
        <w:t>1.1.2  合同当事人和人员</w:t>
      </w:r>
      <w:bookmarkEnd w:id="156"/>
      <w:bookmarkEnd w:id="157"/>
    </w:p>
    <w:p w14:paraId="194F946B">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58" w:name="_Toc221951114"/>
      <w:r>
        <w:rPr>
          <w:rFonts w:hint="eastAsia" w:asciiTheme="majorEastAsia" w:hAnsiTheme="majorEastAsia" w:eastAsiaTheme="majorEastAsia" w:cstheme="majorEastAsia"/>
          <w:color w:val="auto"/>
          <w:szCs w:val="21"/>
          <w:highlight w:val="none"/>
        </w:rPr>
        <w:t>1.1.2.2 发包人：</w:t>
      </w:r>
      <w:bookmarkEnd w:id="158"/>
      <w:bookmarkStart w:id="159" w:name="_Toc221951115"/>
    </w:p>
    <w:p w14:paraId="12F850A7">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1.1.2.3 承包人：(签约后填入承包人的名称)   </w:t>
      </w:r>
      <w:bookmarkEnd w:id="159"/>
    </w:p>
    <w:p w14:paraId="4CBC0F87">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60" w:name="_Toc221951116"/>
      <w:r>
        <w:rPr>
          <w:rFonts w:hint="eastAsia" w:asciiTheme="majorEastAsia" w:hAnsiTheme="majorEastAsia" w:eastAsiaTheme="majorEastAsia" w:cstheme="majorEastAsia"/>
          <w:color w:val="auto"/>
          <w:szCs w:val="21"/>
          <w:highlight w:val="none"/>
        </w:rPr>
        <w:t>1.1.2.5 分包人：无</w:t>
      </w:r>
    </w:p>
    <w:p w14:paraId="4A268DA5">
      <w:pPr>
        <w:spacing w:line="400" w:lineRule="exact"/>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bookmarkEnd w:id="160"/>
      <w:bookmarkStart w:id="161" w:name="_Toc221951117"/>
      <w:r>
        <w:rPr>
          <w:rFonts w:hint="eastAsia" w:asciiTheme="majorEastAsia" w:hAnsiTheme="majorEastAsia" w:eastAsiaTheme="majorEastAsia" w:cstheme="majorEastAsia"/>
          <w:color w:val="auto"/>
          <w:szCs w:val="21"/>
          <w:highlight w:val="none"/>
        </w:rPr>
        <w:t>1.1.2.6 监理人：</w:t>
      </w:r>
      <w:bookmarkEnd w:id="161"/>
    </w:p>
    <w:p w14:paraId="1C28E464">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62" w:name="_Toc221951125"/>
      <w:r>
        <w:rPr>
          <w:rFonts w:hint="eastAsia" w:asciiTheme="majorEastAsia" w:hAnsiTheme="majorEastAsia" w:eastAsiaTheme="majorEastAsia" w:cstheme="majorEastAsia"/>
          <w:color w:val="auto"/>
          <w:szCs w:val="21"/>
          <w:highlight w:val="none"/>
        </w:rPr>
        <w:t>1.1.4   日  期</w:t>
      </w:r>
      <w:bookmarkEnd w:id="162"/>
      <w:bookmarkStart w:id="163" w:name="_Toc221951126"/>
    </w:p>
    <w:p w14:paraId="065FDB4B">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1.1.4.5  缺陷责任期：（工期质量保修期）本项目缺陷责任期限为</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个月，缺陷责任期自移交证书颁发之日开始计算。</w:t>
      </w:r>
      <w:bookmarkEnd w:id="163"/>
    </w:p>
    <w:p w14:paraId="2F0E0B30">
      <w:pPr>
        <w:spacing w:line="400" w:lineRule="exact"/>
        <w:rPr>
          <w:rFonts w:hint="eastAsia" w:asciiTheme="majorEastAsia" w:hAnsiTheme="majorEastAsia" w:eastAsiaTheme="majorEastAsia" w:cstheme="majorEastAsia"/>
          <w:b/>
          <w:color w:val="auto"/>
          <w:sz w:val="24"/>
          <w:highlight w:val="none"/>
        </w:rPr>
      </w:pPr>
      <w:bookmarkStart w:id="164" w:name="_Toc221951127"/>
      <w:r>
        <w:rPr>
          <w:rFonts w:hint="eastAsia" w:asciiTheme="majorEastAsia" w:hAnsiTheme="majorEastAsia" w:eastAsiaTheme="majorEastAsia" w:cstheme="majorEastAsia"/>
          <w:b/>
          <w:color w:val="auto"/>
          <w:sz w:val="24"/>
          <w:highlight w:val="none"/>
        </w:rPr>
        <w:t>1.4  合同文件的优先顺序</w:t>
      </w:r>
      <w:bookmarkEnd w:id="164"/>
    </w:p>
    <w:p w14:paraId="2AA518A3">
      <w:pPr>
        <w:spacing w:line="400" w:lineRule="exact"/>
        <w:ind w:firstLine="420" w:firstLineChars="200"/>
        <w:jc w:val="left"/>
        <w:rPr>
          <w:rFonts w:hint="eastAsia" w:asciiTheme="majorEastAsia" w:hAnsiTheme="majorEastAsia" w:eastAsiaTheme="majorEastAsia" w:cstheme="majorEastAsia"/>
          <w:color w:val="auto"/>
          <w:szCs w:val="21"/>
          <w:highlight w:val="none"/>
        </w:rPr>
      </w:pPr>
      <w:bookmarkStart w:id="165" w:name="_Toc221951128"/>
      <w:r>
        <w:rPr>
          <w:rFonts w:hint="eastAsia" w:asciiTheme="majorEastAsia" w:hAnsiTheme="majorEastAsia" w:eastAsiaTheme="majorEastAsia" w:cstheme="majorEastAsia"/>
          <w:color w:val="auto"/>
          <w:szCs w:val="21"/>
          <w:highlight w:val="none"/>
        </w:rPr>
        <w:t>进入合同文件的各项文件及其优先顺序是</w:t>
      </w:r>
      <w:bookmarkEnd w:id="165"/>
      <w:r>
        <w:rPr>
          <w:rFonts w:hint="eastAsia" w:asciiTheme="majorEastAsia" w:hAnsiTheme="majorEastAsia" w:eastAsiaTheme="majorEastAsia" w:cstheme="majorEastAsia"/>
          <w:color w:val="auto"/>
          <w:szCs w:val="21"/>
          <w:highlight w:val="none"/>
        </w:rPr>
        <w:t>：</w:t>
      </w:r>
    </w:p>
    <w:p w14:paraId="4056BF69">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（1）合同协议书及补充合同协议书；</w:t>
      </w:r>
    </w:p>
    <w:p w14:paraId="4F98E4A4">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（2）中标通知书；</w:t>
      </w:r>
    </w:p>
    <w:p w14:paraId="5A708E7F">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（3）投标函及投标函附录；</w:t>
      </w:r>
    </w:p>
    <w:p w14:paraId="74CD8B63">
      <w:pPr>
        <w:spacing w:line="400" w:lineRule="exact"/>
        <w:ind w:left="420"/>
        <w:jc w:val="left"/>
        <w:rPr>
          <w:rFonts w:hint="default" w:asciiTheme="majorEastAsia" w:hAnsiTheme="majorEastAsia" w:eastAsiaTheme="majorEastAsia" w:cstheme="majorEastAsia"/>
          <w:color w:val="auto"/>
          <w:szCs w:val="21"/>
          <w:highlight w:val="none"/>
          <w:lang w:val="en-US" w:eastAsia="zh-CN"/>
        </w:rPr>
      </w:pPr>
      <w:r>
        <w:rPr>
          <w:rFonts w:hint="eastAsia" w:asciiTheme="majorEastAsia" w:hAnsiTheme="majorEastAsia" w:eastAsiaTheme="majorEastAsia" w:cstheme="majorEastAsia"/>
          <w:color w:val="auto"/>
          <w:szCs w:val="21"/>
          <w:highlight w:val="none"/>
        </w:rPr>
        <w:t>（4）专用合同条款；</w:t>
      </w:r>
    </w:p>
    <w:p w14:paraId="504FD42C">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（5）通用合同条款；</w:t>
      </w:r>
    </w:p>
    <w:p w14:paraId="0C1DD308">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（6）技术标准和要求；</w:t>
      </w:r>
    </w:p>
    <w:p w14:paraId="02AF9373">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（7）图纸；</w:t>
      </w:r>
    </w:p>
    <w:p w14:paraId="59A44D33">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（8）已标价工程量清单；</w:t>
      </w:r>
    </w:p>
    <w:p w14:paraId="2EF9D036">
      <w:pPr>
        <w:spacing w:line="400" w:lineRule="exact"/>
        <w:ind w:left="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（9）经双方确认进入合同的其他文件；</w:t>
      </w:r>
    </w:p>
    <w:p w14:paraId="7BF46392">
      <w:pPr>
        <w:spacing w:line="400" w:lineRule="exact"/>
        <w:rPr>
          <w:rFonts w:hint="eastAsia" w:asciiTheme="majorEastAsia" w:hAnsiTheme="majorEastAsia" w:eastAsiaTheme="majorEastAsia" w:cstheme="majorEastAsia"/>
          <w:b/>
          <w:color w:val="auto"/>
          <w:sz w:val="24"/>
          <w:highlight w:val="none"/>
        </w:rPr>
      </w:pPr>
      <w:bookmarkStart w:id="166" w:name="_Toc221951129"/>
      <w:r>
        <w:rPr>
          <w:rFonts w:hint="eastAsia" w:asciiTheme="majorEastAsia" w:hAnsiTheme="majorEastAsia" w:eastAsiaTheme="majorEastAsia" w:cstheme="majorEastAsia"/>
          <w:b/>
          <w:color w:val="auto"/>
          <w:sz w:val="24"/>
          <w:highlight w:val="none"/>
        </w:rPr>
        <w:t>1.7  联络</w:t>
      </w:r>
      <w:bookmarkEnd w:id="166"/>
    </w:p>
    <w:p w14:paraId="32105C85">
      <w:pPr>
        <w:spacing w:line="400" w:lineRule="exact"/>
        <w:ind w:firstLine="420" w:firstLineChars="200"/>
        <w:rPr>
          <w:rFonts w:hint="eastAsia" w:asciiTheme="majorEastAsia" w:hAnsiTheme="majorEastAsia" w:eastAsiaTheme="majorEastAsia" w:cstheme="majorEastAsia"/>
          <w:b/>
          <w:bCs/>
          <w:color w:val="auto"/>
          <w:sz w:val="24"/>
          <w:highlight w:val="none"/>
        </w:rPr>
      </w:pPr>
      <w:bookmarkStart w:id="167" w:name="_Toc221951130"/>
      <w:bookmarkStart w:id="168" w:name="_Toc309533347"/>
      <w:r>
        <w:rPr>
          <w:rFonts w:hint="eastAsia" w:asciiTheme="majorEastAsia" w:hAnsiTheme="majorEastAsia" w:eastAsiaTheme="majorEastAsia" w:cstheme="majorEastAsia"/>
          <w:color w:val="auto"/>
          <w:szCs w:val="21"/>
          <w:highlight w:val="none"/>
        </w:rPr>
        <w:t>1.7.2  来往函件均应按技术标准和要求（合同技术条款）约定的期限送达</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b/>
          <w:bCs/>
          <w:color w:val="auto"/>
          <w:szCs w:val="21"/>
          <w:highlight w:val="none"/>
        </w:rPr>
        <w:t>。</w:t>
      </w:r>
      <w:bookmarkEnd w:id="167"/>
      <w:bookmarkEnd w:id="168"/>
    </w:p>
    <w:p w14:paraId="050F98A9">
      <w:pPr>
        <w:spacing w:line="400" w:lineRule="exact"/>
        <w:rPr>
          <w:rFonts w:hint="eastAsia" w:asciiTheme="majorEastAsia" w:hAnsiTheme="majorEastAsia" w:eastAsiaTheme="majorEastAsia" w:cstheme="majorEastAsia"/>
          <w:b/>
          <w:color w:val="auto"/>
          <w:sz w:val="28"/>
          <w:szCs w:val="28"/>
          <w:highlight w:val="none"/>
        </w:rPr>
      </w:pPr>
      <w:bookmarkStart w:id="169" w:name="_Toc229305388"/>
      <w:bookmarkStart w:id="170" w:name="_Toc309533348"/>
      <w:bookmarkStart w:id="171" w:name="_Toc309533742"/>
      <w:bookmarkStart w:id="172" w:name="_Toc222029528"/>
      <w:bookmarkStart w:id="173" w:name="_Toc222031030"/>
      <w:bookmarkStart w:id="174" w:name="_Toc222033879"/>
      <w:bookmarkStart w:id="175" w:name="_Toc221951131"/>
      <w:bookmarkStart w:id="176" w:name="_Toc222032697"/>
      <w:bookmarkStart w:id="177" w:name="_Toc309534174"/>
      <w:r>
        <w:rPr>
          <w:rFonts w:hint="eastAsia" w:asciiTheme="majorEastAsia" w:hAnsiTheme="majorEastAsia" w:eastAsiaTheme="majorEastAsia" w:cstheme="majorEastAsia"/>
          <w:b/>
          <w:color w:val="auto"/>
          <w:sz w:val="28"/>
          <w:szCs w:val="28"/>
          <w:highlight w:val="none"/>
        </w:rPr>
        <w:t>2  发包人义务</w:t>
      </w:r>
      <w:bookmarkEnd w:id="169"/>
      <w:bookmarkEnd w:id="170"/>
      <w:bookmarkEnd w:id="171"/>
      <w:bookmarkEnd w:id="172"/>
      <w:bookmarkEnd w:id="173"/>
      <w:bookmarkEnd w:id="174"/>
      <w:bookmarkEnd w:id="175"/>
      <w:bookmarkEnd w:id="176"/>
      <w:bookmarkEnd w:id="177"/>
    </w:p>
    <w:p w14:paraId="4AC649E2">
      <w:pPr>
        <w:spacing w:line="400" w:lineRule="exact"/>
        <w:rPr>
          <w:rFonts w:hint="eastAsia" w:asciiTheme="majorEastAsia" w:hAnsiTheme="majorEastAsia" w:eastAsiaTheme="majorEastAsia" w:cstheme="majorEastAsia"/>
          <w:b/>
          <w:color w:val="auto"/>
          <w:sz w:val="24"/>
          <w:highlight w:val="none"/>
        </w:rPr>
      </w:pPr>
      <w:bookmarkStart w:id="178" w:name="_Toc221951132"/>
      <w:r>
        <w:rPr>
          <w:rFonts w:hint="eastAsia" w:asciiTheme="majorEastAsia" w:hAnsiTheme="majorEastAsia" w:eastAsiaTheme="majorEastAsia" w:cstheme="majorEastAsia"/>
          <w:b/>
          <w:color w:val="auto"/>
          <w:sz w:val="24"/>
          <w:highlight w:val="none"/>
        </w:rPr>
        <w:t>2.3  提供施工场地</w:t>
      </w:r>
      <w:bookmarkEnd w:id="178"/>
    </w:p>
    <w:p w14:paraId="68A14DE4">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179" w:name="_Toc221951133"/>
      <w:r>
        <w:rPr>
          <w:rFonts w:hint="eastAsia" w:asciiTheme="majorEastAsia" w:hAnsiTheme="majorEastAsia" w:eastAsiaTheme="majorEastAsia" w:cstheme="majorEastAsia"/>
          <w:color w:val="auto"/>
          <w:szCs w:val="21"/>
          <w:highlight w:val="none"/>
        </w:rPr>
        <w:t>2.3.2发包人提供的施工用地范围为：</w:t>
      </w:r>
      <w:bookmarkEnd w:id="179"/>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3DC056EB">
      <w:pPr>
        <w:spacing w:line="400" w:lineRule="exact"/>
        <w:ind w:firstLine="420" w:firstLineChars="200"/>
        <w:jc w:val="left"/>
        <w:rPr>
          <w:rFonts w:hint="eastAsia"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color w:val="auto"/>
          <w:szCs w:val="21"/>
          <w:highlight w:val="none"/>
        </w:rPr>
        <w:t>2.3.3承包人自行勘察的施工用地范围为：</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w:t>
      </w:r>
    </w:p>
    <w:p w14:paraId="0100CD48">
      <w:pPr>
        <w:spacing w:line="400" w:lineRule="exact"/>
        <w:rPr>
          <w:rFonts w:hint="eastAsia" w:asciiTheme="majorEastAsia" w:hAnsiTheme="majorEastAsia" w:eastAsiaTheme="majorEastAsia" w:cstheme="majorEastAsia"/>
          <w:b/>
          <w:color w:val="auto"/>
          <w:sz w:val="24"/>
          <w:highlight w:val="none"/>
        </w:rPr>
      </w:pPr>
      <w:bookmarkStart w:id="180" w:name="_Toc221951134"/>
      <w:r>
        <w:rPr>
          <w:rFonts w:hint="eastAsia" w:asciiTheme="majorEastAsia" w:hAnsiTheme="majorEastAsia" w:eastAsiaTheme="majorEastAsia" w:cstheme="majorEastAsia"/>
          <w:b/>
          <w:color w:val="auto"/>
          <w:sz w:val="24"/>
          <w:highlight w:val="none"/>
        </w:rPr>
        <w:t>2.8  其他义务</w:t>
      </w:r>
      <w:bookmarkEnd w:id="180"/>
      <w:r>
        <w:rPr>
          <w:rFonts w:hint="eastAsia" w:asciiTheme="majorEastAsia" w:hAnsiTheme="majorEastAsia" w:eastAsiaTheme="majorEastAsia" w:cstheme="majorEastAsia"/>
          <w:b/>
          <w:color w:val="auto"/>
          <w:sz w:val="24"/>
          <w:highlight w:val="none"/>
        </w:rPr>
        <w:t xml:space="preserve">  </w:t>
      </w:r>
    </w:p>
    <w:p w14:paraId="461CAA55">
      <w:pPr>
        <w:spacing w:line="400" w:lineRule="exact"/>
        <w:ind w:firstLine="480"/>
        <w:rPr>
          <w:rFonts w:hint="eastAsia" w:asciiTheme="majorEastAsia" w:hAnsiTheme="majorEastAsia" w:eastAsiaTheme="majorEastAsia" w:cstheme="majorEastAsia"/>
          <w:color w:val="auto"/>
          <w:szCs w:val="21"/>
          <w:highlight w:val="none"/>
        </w:rPr>
      </w:pPr>
      <w:bookmarkStart w:id="181" w:name="_Toc221951136"/>
      <w:r>
        <w:rPr>
          <w:rFonts w:hint="eastAsia" w:asciiTheme="majorEastAsia" w:hAnsiTheme="majorEastAsia" w:eastAsiaTheme="majorEastAsia" w:cstheme="majorEastAsia"/>
          <w:color w:val="auto"/>
          <w:sz w:val="24"/>
          <w:highlight w:val="none"/>
        </w:rPr>
        <w:t xml:space="preserve">(1) </w:t>
      </w:r>
      <w:bookmarkEnd w:id="181"/>
      <w:r>
        <w:rPr>
          <w:rFonts w:hint="eastAsia" w:asciiTheme="majorEastAsia" w:hAnsiTheme="majorEastAsia" w:eastAsiaTheme="majorEastAsia" w:cstheme="majorEastAsia"/>
          <w:color w:val="auto"/>
          <w:szCs w:val="21"/>
          <w:highlight w:val="none"/>
        </w:rPr>
        <w:t>发包人应按照《吉林省水利工程施工企业信用评价实施意见（试行）》，对施工企业合同履行情况进行监督检查，并建立施工企业合同履行情况台账。</w:t>
      </w:r>
    </w:p>
    <w:p w14:paraId="4CAB6AB1">
      <w:pPr>
        <w:spacing w:line="400" w:lineRule="exact"/>
        <w:rPr>
          <w:rFonts w:hint="eastAsia" w:asciiTheme="majorEastAsia" w:hAnsiTheme="majorEastAsia" w:eastAsiaTheme="majorEastAsia" w:cstheme="majorEastAsia"/>
          <w:b/>
          <w:color w:val="auto"/>
          <w:sz w:val="28"/>
          <w:szCs w:val="28"/>
          <w:highlight w:val="none"/>
        </w:rPr>
      </w:pPr>
      <w:bookmarkStart w:id="182" w:name="_Toc222033880"/>
      <w:bookmarkStart w:id="183" w:name="_Toc222031031"/>
      <w:bookmarkStart w:id="184" w:name="_Toc309533349"/>
      <w:bookmarkStart w:id="185" w:name="_Toc309533743"/>
      <w:bookmarkStart w:id="186" w:name="_Toc222032698"/>
      <w:bookmarkStart w:id="187" w:name="_Toc221951140"/>
      <w:bookmarkStart w:id="188" w:name="_Toc229305389"/>
      <w:bookmarkStart w:id="189" w:name="_Toc309534175"/>
      <w:bookmarkStart w:id="190" w:name="_Toc222029529"/>
      <w:r>
        <w:rPr>
          <w:rFonts w:hint="eastAsia" w:asciiTheme="majorEastAsia" w:hAnsiTheme="majorEastAsia" w:eastAsiaTheme="majorEastAsia" w:cstheme="majorEastAsia"/>
          <w:b/>
          <w:color w:val="auto"/>
          <w:sz w:val="28"/>
          <w:szCs w:val="28"/>
          <w:highlight w:val="none"/>
        </w:rPr>
        <w:t>3  监理人</w:t>
      </w:r>
      <w:bookmarkEnd w:id="182"/>
      <w:bookmarkEnd w:id="183"/>
      <w:bookmarkEnd w:id="184"/>
      <w:bookmarkEnd w:id="185"/>
      <w:bookmarkEnd w:id="186"/>
      <w:bookmarkEnd w:id="187"/>
      <w:bookmarkEnd w:id="188"/>
      <w:bookmarkEnd w:id="189"/>
      <w:bookmarkEnd w:id="190"/>
    </w:p>
    <w:p w14:paraId="44536478">
      <w:pPr>
        <w:spacing w:line="400" w:lineRule="exact"/>
        <w:rPr>
          <w:rFonts w:hint="eastAsia" w:asciiTheme="majorEastAsia" w:hAnsiTheme="majorEastAsia" w:eastAsiaTheme="majorEastAsia" w:cstheme="majorEastAsia"/>
          <w:b/>
          <w:color w:val="auto"/>
          <w:sz w:val="24"/>
          <w:highlight w:val="none"/>
        </w:rPr>
      </w:pPr>
      <w:bookmarkStart w:id="191" w:name="_Toc221951141"/>
      <w:r>
        <w:rPr>
          <w:rFonts w:hint="eastAsia" w:asciiTheme="majorEastAsia" w:hAnsiTheme="majorEastAsia" w:eastAsiaTheme="majorEastAsia" w:cstheme="majorEastAsia"/>
          <w:b/>
          <w:color w:val="auto"/>
          <w:sz w:val="24"/>
          <w:highlight w:val="none"/>
        </w:rPr>
        <w:t>3.1  监理人的职责和权力</w:t>
      </w:r>
      <w:bookmarkEnd w:id="191"/>
    </w:p>
    <w:p w14:paraId="025D63AE">
      <w:pPr>
        <w:spacing w:line="400" w:lineRule="exact"/>
        <w:ind w:left="420" w:leftChars="200"/>
        <w:rPr>
          <w:rFonts w:hint="default" w:asciiTheme="majorEastAsia" w:hAnsiTheme="majorEastAsia" w:eastAsiaTheme="majorEastAsia" w:cstheme="majorEastAsia"/>
          <w:color w:val="auto"/>
          <w:szCs w:val="21"/>
          <w:highlight w:val="none"/>
          <w:lang w:val="en-US" w:eastAsia="zh-CN"/>
        </w:rPr>
      </w:pPr>
      <w:bookmarkStart w:id="192" w:name="_Toc221951142"/>
      <w:r>
        <w:rPr>
          <w:rFonts w:hint="eastAsia" w:asciiTheme="majorEastAsia" w:hAnsiTheme="majorEastAsia" w:eastAsiaTheme="majorEastAsia" w:cstheme="majorEastAsia"/>
          <w:color w:val="auto"/>
          <w:szCs w:val="21"/>
          <w:highlight w:val="none"/>
        </w:rPr>
        <w:t>3.1.1</w:t>
      </w:r>
      <w:bookmarkEnd w:id="192"/>
      <w:r>
        <w:rPr>
          <w:rFonts w:hint="eastAsia" w:asciiTheme="majorEastAsia" w:hAnsiTheme="majorEastAsia" w:eastAsiaTheme="majorEastAsia" w:cstheme="majorEastAsia"/>
          <w:color w:val="auto"/>
          <w:szCs w:val="21"/>
          <w:highlight w:val="none"/>
        </w:rPr>
        <w:t>　</w:t>
      </w:r>
      <w:bookmarkStart w:id="193" w:name="_Toc221951143"/>
      <w:r>
        <w:rPr>
          <w:rFonts w:hint="eastAsia" w:asciiTheme="majorEastAsia" w:hAnsiTheme="majorEastAsia" w:eastAsiaTheme="majorEastAsia" w:cstheme="majorEastAsia"/>
          <w:color w:val="auto"/>
          <w:szCs w:val="21"/>
          <w:highlight w:val="none"/>
        </w:rPr>
        <w:t>监理人须根据发包人事先批准的权力范围行使权力，发包人批准的权力范围：</w:t>
      </w:r>
      <w:bookmarkEnd w:id="193"/>
      <w:bookmarkStart w:id="194" w:name="_Toc221951144"/>
      <w:r>
        <w:rPr>
          <w:rFonts w:hint="eastAsia" w:asciiTheme="majorEastAsia" w:hAnsiTheme="majorEastAsia" w:eastAsiaTheme="majorEastAsia" w:cstheme="majorEastAsia"/>
          <w:color w:val="auto"/>
          <w:szCs w:val="21"/>
          <w:highlight w:val="none"/>
          <w:u w:val="single"/>
          <w:lang w:val="en-US" w:eastAsia="zh-CN"/>
        </w:rPr>
        <w:t xml:space="preserve">      </w:t>
      </w:r>
    </w:p>
    <w:bookmarkEnd w:id="194"/>
    <w:p w14:paraId="6C35D5D0">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尽管有以上规定，但当监理人认为出现了危及生命、工程或毗邻财产安全的紧急事件时，在不免除合同规定承包人责任的情况下，监理人可以指示承包人实施为消除或减少这种危险所必须进行的工作即使没有发包人的事先批准，承包人也应立即遵照执行。应按第15条的规定增加相应的费用，并通知承包人。</w:t>
      </w:r>
    </w:p>
    <w:p w14:paraId="6E3B011B">
      <w:pPr>
        <w:spacing w:line="400" w:lineRule="exact"/>
        <w:rPr>
          <w:rFonts w:hint="eastAsia" w:asciiTheme="majorEastAsia" w:hAnsiTheme="majorEastAsia" w:eastAsiaTheme="majorEastAsia" w:cstheme="majorEastAsia"/>
          <w:b/>
          <w:color w:val="auto"/>
          <w:sz w:val="28"/>
          <w:szCs w:val="28"/>
          <w:highlight w:val="none"/>
        </w:rPr>
      </w:pPr>
      <w:bookmarkStart w:id="195" w:name="_Toc309534176"/>
      <w:bookmarkStart w:id="196" w:name="_Toc222033881"/>
      <w:bookmarkStart w:id="197" w:name="_Toc222029530"/>
      <w:bookmarkStart w:id="198" w:name="_Toc309533350"/>
      <w:bookmarkStart w:id="199" w:name="_Toc309533744"/>
      <w:bookmarkStart w:id="200" w:name="_Toc222031032"/>
      <w:bookmarkStart w:id="201" w:name="_Toc221951150"/>
      <w:bookmarkStart w:id="202" w:name="_Toc222032699"/>
      <w:bookmarkStart w:id="203" w:name="_Toc229305390"/>
      <w:r>
        <w:rPr>
          <w:rFonts w:hint="eastAsia" w:asciiTheme="majorEastAsia" w:hAnsiTheme="majorEastAsia" w:eastAsiaTheme="majorEastAsia" w:cstheme="majorEastAsia"/>
          <w:b/>
          <w:color w:val="auto"/>
          <w:sz w:val="28"/>
          <w:szCs w:val="28"/>
          <w:highlight w:val="none"/>
        </w:rPr>
        <w:t>4  承包人</w:t>
      </w:r>
      <w:bookmarkEnd w:id="195"/>
      <w:bookmarkEnd w:id="196"/>
      <w:bookmarkEnd w:id="197"/>
      <w:bookmarkEnd w:id="198"/>
      <w:bookmarkEnd w:id="199"/>
      <w:bookmarkEnd w:id="200"/>
      <w:bookmarkEnd w:id="201"/>
      <w:bookmarkEnd w:id="202"/>
      <w:bookmarkEnd w:id="203"/>
    </w:p>
    <w:p w14:paraId="54E0BB40">
      <w:pPr>
        <w:spacing w:line="400" w:lineRule="exact"/>
        <w:rPr>
          <w:rFonts w:hint="eastAsia" w:asciiTheme="majorEastAsia" w:hAnsiTheme="majorEastAsia" w:eastAsiaTheme="majorEastAsia" w:cstheme="majorEastAsia"/>
          <w:b/>
          <w:color w:val="auto"/>
          <w:sz w:val="24"/>
          <w:highlight w:val="none"/>
        </w:rPr>
      </w:pPr>
      <w:bookmarkStart w:id="204" w:name="_Toc221951151"/>
      <w:r>
        <w:rPr>
          <w:rFonts w:hint="eastAsia" w:asciiTheme="majorEastAsia" w:hAnsiTheme="majorEastAsia" w:eastAsiaTheme="majorEastAsia" w:cstheme="majorEastAsia"/>
          <w:b/>
          <w:color w:val="auto"/>
          <w:sz w:val="24"/>
          <w:highlight w:val="none"/>
        </w:rPr>
        <w:t>4.1  承包人的一般义务</w:t>
      </w:r>
      <w:bookmarkEnd w:id="204"/>
    </w:p>
    <w:p w14:paraId="2252EFE2">
      <w:pPr>
        <w:spacing w:line="400" w:lineRule="exact"/>
        <w:ind w:firstLine="480"/>
        <w:rPr>
          <w:rFonts w:hint="eastAsia" w:asciiTheme="majorEastAsia" w:hAnsiTheme="majorEastAsia" w:eastAsiaTheme="majorEastAsia" w:cstheme="majorEastAsia"/>
          <w:color w:val="auto"/>
          <w:szCs w:val="21"/>
          <w:highlight w:val="none"/>
        </w:rPr>
      </w:pPr>
      <w:bookmarkStart w:id="205" w:name="_Toc221951152"/>
      <w:r>
        <w:rPr>
          <w:rFonts w:hint="eastAsia" w:asciiTheme="majorEastAsia" w:hAnsiTheme="majorEastAsia" w:eastAsiaTheme="majorEastAsia" w:cstheme="majorEastAsia"/>
          <w:color w:val="auto"/>
          <w:szCs w:val="21"/>
          <w:highlight w:val="none"/>
        </w:rPr>
        <w:t>4.1.10  其他义务</w:t>
      </w:r>
      <w:bookmarkEnd w:id="205"/>
    </w:p>
    <w:p w14:paraId="14DE6F96">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（1）承包人应加强工程建设资金管理，做到专款专用；实行项目资金专户管理和（或）独立核算制度、财务管理人员（财务主管和出纳）须是本单位人员，项目资金的使用由项目经理负责签字、审批。</w:t>
      </w:r>
    </w:p>
    <w:p w14:paraId="2A75C0BA">
      <w:pPr>
        <w:spacing w:line="400" w:lineRule="exact"/>
        <w:ind w:firstLine="315" w:firstLineChars="15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（2）施工中所用的材料由承包人自行采购。材料质量必须满足设计及规范要求，材料必须经发包人及监理工程师验收，验收合格后方可在工程中采用。</w:t>
      </w:r>
    </w:p>
    <w:p w14:paraId="400974F4">
      <w:pPr>
        <w:spacing w:line="400" w:lineRule="exact"/>
        <w:ind w:firstLine="315" w:firstLineChars="15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（3）监理人对承包人的施工计划、方法、措施以及设计图纸的审查与批准，或对于承包人所实施工程的检查和检验，并不意味着可变更或减轻承包人应承担的全部合同义务与责任。</w:t>
      </w:r>
    </w:p>
    <w:p w14:paraId="36021FDE">
      <w:pPr>
        <w:spacing w:line="400" w:lineRule="exact"/>
        <w:ind w:firstLine="315" w:firstLineChars="15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承包人在施工过程中应及时足额支付民工工资，如若发生未及时足额支付民工工资的纠纷，所造成的一切后果由承包人承担。如因承包人拖欠民工工资造成群体上访事件，发包人将在履约保证金额度内直接支付民工工资。</w:t>
      </w:r>
    </w:p>
    <w:p w14:paraId="54D9A4DD">
      <w:pPr>
        <w:spacing w:line="400" w:lineRule="exact"/>
        <w:rPr>
          <w:rFonts w:hint="eastAsia" w:asciiTheme="majorEastAsia" w:hAnsiTheme="majorEastAsia" w:eastAsiaTheme="majorEastAsia" w:cstheme="majorEastAsia"/>
          <w:b/>
          <w:color w:val="auto"/>
          <w:sz w:val="24"/>
          <w:highlight w:val="none"/>
        </w:rPr>
      </w:pPr>
      <w:bookmarkStart w:id="206" w:name="_Toc221951153"/>
      <w:r>
        <w:rPr>
          <w:rFonts w:hint="eastAsia" w:asciiTheme="majorEastAsia" w:hAnsiTheme="majorEastAsia" w:eastAsiaTheme="majorEastAsia" w:cstheme="majorEastAsia"/>
          <w:b/>
          <w:color w:val="auto"/>
          <w:sz w:val="24"/>
          <w:highlight w:val="none"/>
        </w:rPr>
        <w:t>4.3  分包</w:t>
      </w:r>
      <w:bookmarkEnd w:id="206"/>
    </w:p>
    <w:p w14:paraId="11EDD8D8">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承包人不得将全部工程或工程的任何部分分包。</w:t>
      </w:r>
    </w:p>
    <w:p w14:paraId="6B4E232D">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4.6  承包人人员的管理</w:t>
      </w:r>
    </w:p>
    <w:p w14:paraId="02649EEB">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4.6.5派驻工程施工期间的项目经理（注册建造师）、技术负责人、质量管理人员、安全管理人员等主要管理人员，除因工作单位调动、职务升降、疾病、亡故、司法处理、因非承包方原因致使工程项目停工超过120天（含）等特殊情况外，不得擅自更换。因上述情况需要更换的，更换后的人员资格不低于投标文件中确定的人员资格，并履行相关变更手续。人员发生变更的，该工程业绩属于变更后的人员业绩。</w:t>
      </w:r>
    </w:p>
    <w:p w14:paraId="72EA5937">
      <w:pPr>
        <w:spacing w:line="400" w:lineRule="exact"/>
        <w:rPr>
          <w:rFonts w:hint="eastAsia" w:asciiTheme="majorEastAsia" w:hAnsiTheme="majorEastAsia" w:eastAsiaTheme="majorEastAsia" w:cstheme="majorEastAsia"/>
          <w:b/>
          <w:color w:val="auto"/>
          <w:sz w:val="24"/>
          <w:highlight w:val="none"/>
        </w:rPr>
      </w:pPr>
      <w:bookmarkStart w:id="207" w:name="_Toc221951158"/>
      <w:r>
        <w:rPr>
          <w:rFonts w:hint="eastAsia" w:asciiTheme="majorEastAsia" w:hAnsiTheme="majorEastAsia" w:eastAsiaTheme="majorEastAsia" w:cstheme="majorEastAsia"/>
          <w:b/>
          <w:color w:val="auto"/>
          <w:sz w:val="24"/>
          <w:highlight w:val="none"/>
        </w:rPr>
        <w:t>4.11  不利物质条件</w:t>
      </w:r>
      <w:bookmarkEnd w:id="207"/>
    </w:p>
    <w:p w14:paraId="03356B77">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208" w:name="_Toc221951159"/>
      <w:r>
        <w:rPr>
          <w:rFonts w:hint="eastAsia" w:asciiTheme="majorEastAsia" w:hAnsiTheme="majorEastAsia" w:eastAsiaTheme="majorEastAsia" w:cstheme="majorEastAsia"/>
          <w:color w:val="auto"/>
          <w:szCs w:val="21"/>
          <w:highlight w:val="none"/>
        </w:rPr>
        <w:t>4.11.1 不利物质条件的范围：</w:t>
      </w:r>
      <w:bookmarkEnd w:id="208"/>
      <w:bookmarkStart w:id="209" w:name="_Toc222032700"/>
      <w:bookmarkStart w:id="210" w:name="_Toc309533351"/>
      <w:bookmarkStart w:id="211" w:name="_Toc229305391"/>
      <w:bookmarkStart w:id="212" w:name="_Toc222033882"/>
      <w:bookmarkStart w:id="213" w:name="_Toc222031033"/>
      <w:bookmarkStart w:id="214" w:name="_Toc309534177"/>
      <w:bookmarkStart w:id="215" w:name="_Toc221951160"/>
      <w:bookmarkStart w:id="216" w:name="_Toc309533745"/>
      <w:bookmarkStart w:id="217" w:name="_Toc222029531"/>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057DBF3C">
      <w:pPr>
        <w:spacing w:line="400" w:lineRule="exact"/>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5  材料和工程设备</w:t>
      </w:r>
      <w:bookmarkEnd w:id="209"/>
      <w:bookmarkEnd w:id="210"/>
      <w:bookmarkEnd w:id="211"/>
      <w:bookmarkEnd w:id="212"/>
      <w:bookmarkEnd w:id="213"/>
      <w:bookmarkEnd w:id="214"/>
      <w:bookmarkEnd w:id="215"/>
      <w:bookmarkEnd w:id="216"/>
      <w:bookmarkEnd w:id="217"/>
    </w:p>
    <w:p w14:paraId="656706F9">
      <w:pPr>
        <w:spacing w:line="400" w:lineRule="exact"/>
        <w:rPr>
          <w:rFonts w:hint="eastAsia" w:asciiTheme="majorEastAsia" w:hAnsiTheme="majorEastAsia" w:eastAsiaTheme="majorEastAsia" w:cstheme="majorEastAsia"/>
          <w:b/>
          <w:color w:val="auto"/>
          <w:sz w:val="24"/>
          <w:highlight w:val="none"/>
        </w:rPr>
      </w:pPr>
      <w:bookmarkStart w:id="218" w:name="_Toc221951161"/>
      <w:r>
        <w:rPr>
          <w:rFonts w:hint="eastAsia" w:asciiTheme="majorEastAsia" w:hAnsiTheme="majorEastAsia" w:eastAsiaTheme="majorEastAsia" w:cstheme="majorEastAsia"/>
          <w:b/>
          <w:color w:val="auto"/>
          <w:sz w:val="24"/>
          <w:highlight w:val="none"/>
        </w:rPr>
        <w:t>5.2  发包人提供的材料和工程设备</w:t>
      </w:r>
      <w:bookmarkEnd w:id="218"/>
    </w:p>
    <w:p w14:paraId="1A9C4CCD">
      <w:pPr>
        <w:spacing w:line="400" w:lineRule="exact"/>
        <w:ind w:firstLine="465"/>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本工程发包人不提供材料和工程设备，材料和工程设备均由承包人自行采购。</w:t>
      </w:r>
      <w:bookmarkStart w:id="219" w:name="_Toc309533746"/>
      <w:bookmarkStart w:id="220" w:name="_Toc222032701"/>
      <w:bookmarkStart w:id="221" w:name="_Toc309534178"/>
      <w:bookmarkStart w:id="222" w:name="_Toc222031034"/>
      <w:bookmarkStart w:id="223" w:name="_Toc221951166"/>
      <w:bookmarkStart w:id="224" w:name="_Toc222029532"/>
      <w:bookmarkStart w:id="225" w:name="_Toc309533352"/>
      <w:bookmarkStart w:id="226" w:name="_Toc229305392"/>
      <w:bookmarkStart w:id="227" w:name="_Toc222033883"/>
    </w:p>
    <w:p w14:paraId="49EE5E49">
      <w:pPr>
        <w:spacing w:line="400" w:lineRule="exact"/>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6  施工设备和临时设施</w:t>
      </w:r>
      <w:bookmarkEnd w:id="219"/>
      <w:bookmarkEnd w:id="220"/>
      <w:bookmarkEnd w:id="221"/>
      <w:bookmarkEnd w:id="222"/>
      <w:bookmarkEnd w:id="223"/>
      <w:bookmarkEnd w:id="224"/>
      <w:bookmarkEnd w:id="225"/>
      <w:bookmarkEnd w:id="226"/>
      <w:bookmarkEnd w:id="227"/>
      <w:r>
        <w:rPr>
          <w:rFonts w:hint="eastAsia" w:asciiTheme="majorEastAsia" w:hAnsiTheme="majorEastAsia" w:eastAsiaTheme="majorEastAsia" w:cstheme="majorEastAsia"/>
          <w:b/>
          <w:color w:val="auto"/>
          <w:sz w:val="28"/>
          <w:szCs w:val="28"/>
          <w:highlight w:val="none"/>
        </w:rPr>
        <w:t xml:space="preserve"> </w:t>
      </w:r>
    </w:p>
    <w:p w14:paraId="7CC16826">
      <w:pPr>
        <w:spacing w:line="400" w:lineRule="exact"/>
        <w:rPr>
          <w:rFonts w:hint="eastAsia" w:asciiTheme="majorEastAsia" w:hAnsiTheme="majorEastAsia" w:eastAsiaTheme="majorEastAsia" w:cstheme="majorEastAsia"/>
          <w:b/>
          <w:color w:val="auto"/>
          <w:sz w:val="24"/>
          <w:highlight w:val="none"/>
        </w:rPr>
      </w:pPr>
      <w:bookmarkStart w:id="228" w:name="_Toc221951167"/>
      <w:r>
        <w:rPr>
          <w:rFonts w:hint="eastAsia" w:asciiTheme="majorEastAsia" w:hAnsiTheme="majorEastAsia" w:eastAsiaTheme="majorEastAsia" w:cstheme="majorEastAsia"/>
          <w:b/>
          <w:color w:val="auto"/>
          <w:sz w:val="24"/>
          <w:highlight w:val="none"/>
        </w:rPr>
        <w:t>6.2  发包人提供的施工设备和临时设施</w:t>
      </w:r>
      <w:bookmarkEnd w:id="228"/>
    </w:p>
    <w:p w14:paraId="36E330EB">
      <w:pPr>
        <w:spacing w:line="400" w:lineRule="exac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b/>
          <w:color w:val="auto"/>
          <w:sz w:val="24"/>
          <w:highlight w:val="none"/>
        </w:rPr>
        <w:t xml:space="preserve">   </w:t>
      </w:r>
      <w:r>
        <w:rPr>
          <w:rFonts w:hint="eastAsia" w:asciiTheme="majorEastAsia" w:hAnsiTheme="majorEastAsia" w:eastAsiaTheme="majorEastAsia" w:cstheme="majorEastAsia"/>
          <w:b/>
          <w:color w:val="auto"/>
          <w:szCs w:val="21"/>
          <w:highlight w:val="none"/>
        </w:rPr>
        <w:t xml:space="preserve"> </w:t>
      </w:r>
      <w:r>
        <w:rPr>
          <w:rFonts w:hint="eastAsia" w:asciiTheme="majorEastAsia" w:hAnsiTheme="majorEastAsia" w:eastAsiaTheme="majorEastAsia" w:cstheme="majorEastAsia"/>
          <w:color w:val="auto"/>
          <w:szCs w:val="21"/>
          <w:highlight w:val="none"/>
        </w:rPr>
        <w:t>（1）发包人在本工程实施过程中不提供任何工程设备。</w:t>
      </w:r>
    </w:p>
    <w:p w14:paraId="639CA372">
      <w:pPr>
        <w:pStyle w:val="14"/>
        <w:spacing w:after="0" w:line="400" w:lineRule="exact"/>
        <w:ind w:firstLine="48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 (2)发包人提供的临时设施：发包人在本工程实施过程中不提供任何临时设施。所有临时设施均由承包人修建，其中临时房屋按发包人要求建设，费用已计入承包合同价中。</w:t>
      </w:r>
    </w:p>
    <w:p w14:paraId="71C2276B">
      <w:pPr>
        <w:spacing w:line="400" w:lineRule="exact"/>
        <w:rPr>
          <w:rFonts w:hint="eastAsia" w:asciiTheme="majorEastAsia" w:hAnsiTheme="majorEastAsia" w:eastAsiaTheme="majorEastAsia" w:cstheme="majorEastAsia"/>
          <w:b/>
          <w:color w:val="auto"/>
          <w:sz w:val="28"/>
          <w:szCs w:val="28"/>
          <w:highlight w:val="none"/>
        </w:rPr>
      </w:pPr>
      <w:bookmarkStart w:id="229" w:name="_Toc222031035"/>
      <w:bookmarkStart w:id="230" w:name="_Toc309534179"/>
      <w:bookmarkStart w:id="231" w:name="_Toc222029533"/>
      <w:bookmarkStart w:id="232" w:name="_Toc222032702"/>
      <w:bookmarkStart w:id="233" w:name="_Toc221951178"/>
      <w:bookmarkStart w:id="234" w:name="_Toc309533353"/>
      <w:bookmarkStart w:id="235" w:name="_Toc309533747"/>
      <w:bookmarkStart w:id="236" w:name="_Toc222033884"/>
      <w:r>
        <w:rPr>
          <w:rFonts w:hint="eastAsia" w:asciiTheme="majorEastAsia" w:hAnsiTheme="majorEastAsia" w:eastAsiaTheme="majorEastAsia" w:cstheme="majorEastAsia"/>
          <w:b/>
          <w:color w:val="auto"/>
          <w:sz w:val="28"/>
          <w:szCs w:val="28"/>
          <w:highlight w:val="none"/>
        </w:rPr>
        <w:t>7  交通运输</w:t>
      </w:r>
      <w:bookmarkEnd w:id="229"/>
      <w:bookmarkEnd w:id="230"/>
      <w:bookmarkEnd w:id="231"/>
      <w:bookmarkEnd w:id="232"/>
      <w:bookmarkEnd w:id="233"/>
      <w:bookmarkEnd w:id="234"/>
      <w:bookmarkEnd w:id="235"/>
      <w:bookmarkEnd w:id="236"/>
    </w:p>
    <w:p w14:paraId="5787F5B1">
      <w:pPr>
        <w:spacing w:line="400" w:lineRule="exact"/>
        <w:rPr>
          <w:rFonts w:hint="eastAsia" w:asciiTheme="majorEastAsia" w:hAnsiTheme="majorEastAsia" w:eastAsiaTheme="majorEastAsia" w:cstheme="majorEastAsia"/>
          <w:b/>
          <w:color w:val="auto"/>
          <w:sz w:val="24"/>
          <w:highlight w:val="none"/>
        </w:rPr>
      </w:pPr>
      <w:bookmarkStart w:id="237" w:name="_Toc221951179"/>
      <w:r>
        <w:rPr>
          <w:rFonts w:hint="eastAsia" w:asciiTheme="majorEastAsia" w:hAnsiTheme="majorEastAsia" w:eastAsiaTheme="majorEastAsia" w:cstheme="majorEastAsia"/>
          <w:b/>
          <w:color w:val="auto"/>
          <w:sz w:val="24"/>
          <w:highlight w:val="none"/>
        </w:rPr>
        <w:t>7.1  道路通行权和场外设施</w:t>
      </w:r>
      <w:bookmarkEnd w:id="237"/>
    </w:p>
    <w:p w14:paraId="0502F143">
      <w:pPr>
        <w:spacing w:line="400" w:lineRule="exact"/>
        <w:ind w:firstLine="48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道路的通行权和场外设施的约定：取得道路通行权、修建场外设施权的办理人为承包人。相关费用包含在合同价格中，由承包人承担。</w:t>
      </w:r>
      <w:r>
        <w:rPr>
          <w:rFonts w:hint="eastAsia" w:asciiTheme="majorEastAsia" w:hAnsiTheme="majorEastAsia" w:eastAsiaTheme="majorEastAsia" w:cstheme="majorEastAsia"/>
          <w:color w:val="auto"/>
          <w:highlight w:val="none"/>
        </w:rPr>
        <w:t>招标人提供的施工材料运输路线及运距只作为投标人参考使用，若因其他原因造成费用增加由承包人自行解决。</w:t>
      </w:r>
    </w:p>
    <w:p w14:paraId="45545F23">
      <w:pPr>
        <w:spacing w:line="400" w:lineRule="exact"/>
        <w:rPr>
          <w:rFonts w:hint="eastAsia" w:asciiTheme="majorEastAsia" w:hAnsiTheme="majorEastAsia" w:eastAsiaTheme="majorEastAsia" w:cstheme="majorEastAsia"/>
          <w:b/>
          <w:color w:val="auto"/>
          <w:sz w:val="28"/>
          <w:szCs w:val="28"/>
          <w:highlight w:val="none"/>
        </w:rPr>
      </w:pPr>
      <w:bookmarkStart w:id="238" w:name="_Toc309533354"/>
      <w:bookmarkStart w:id="239" w:name="_Toc309534180"/>
      <w:bookmarkStart w:id="240" w:name="_Toc309533748"/>
      <w:r>
        <w:rPr>
          <w:rFonts w:hint="eastAsia" w:asciiTheme="majorEastAsia" w:hAnsiTheme="majorEastAsia" w:eastAsiaTheme="majorEastAsia" w:cstheme="majorEastAsia"/>
          <w:b/>
          <w:color w:val="auto"/>
          <w:sz w:val="28"/>
          <w:szCs w:val="28"/>
          <w:highlight w:val="none"/>
        </w:rPr>
        <w:t>8 测量放线</w:t>
      </w:r>
      <w:bookmarkEnd w:id="238"/>
      <w:bookmarkEnd w:id="239"/>
      <w:bookmarkEnd w:id="240"/>
    </w:p>
    <w:p w14:paraId="41FA3377">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8.1施工控制网</w:t>
      </w:r>
    </w:p>
    <w:p w14:paraId="5F0CACD1">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Cs w:val="21"/>
          <w:highlight w:val="none"/>
        </w:rPr>
        <w:t>8.1.1施工控制网的约定：</w:t>
      </w:r>
      <w:r>
        <w:rPr>
          <w:rFonts w:hint="eastAsia" w:asciiTheme="majorEastAsia" w:hAnsiTheme="majorEastAsia" w:eastAsiaTheme="majorEastAsia" w:cstheme="majorEastAsia"/>
          <w:color w:val="auto"/>
          <w:highlight w:val="none"/>
        </w:rPr>
        <w:t>发包人在签订合同后7天内向承包人提供测量基准点、基准线和水准点及其相关资料。承包人应在收到上述资料的14天内完成施工控制网布设，并将施测的施工控制网资料提交监理人审批。</w:t>
      </w:r>
    </w:p>
    <w:p w14:paraId="4996B7FD">
      <w:pPr>
        <w:spacing w:line="400" w:lineRule="exact"/>
        <w:rPr>
          <w:rFonts w:hint="eastAsia" w:asciiTheme="majorEastAsia" w:hAnsiTheme="majorEastAsia" w:eastAsiaTheme="majorEastAsia" w:cstheme="majorEastAsia"/>
          <w:b/>
          <w:color w:val="auto"/>
          <w:sz w:val="28"/>
          <w:szCs w:val="28"/>
          <w:highlight w:val="none"/>
        </w:rPr>
      </w:pPr>
      <w:bookmarkStart w:id="241" w:name="_Toc309533355"/>
      <w:bookmarkStart w:id="242" w:name="_Toc309533749"/>
      <w:bookmarkStart w:id="243" w:name="_Toc309534181"/>
      <w:r>
        <w:rPr>
          <w:rFonts w:hint="eastAsia" w:asciiTheme="majorEastAsia" w:hAnsiTheme="majorEastAsia" w:eastAsiaTheme="majorEastAsia" w:cstheme="majorEastAsia"/>
          <w:b/>
          <w:color w:val="auto"/>
          <w:sz w:val="28"/>
          <w:szCs w:val="28"/>
          <w:highlight w:val="none"/>
        </w:rPr>
        <w:t>9  施工安全、治安保卫和环境保护</w:t>
      </w:r>
      <w:bookmarkEnd w:id="241"/>
      <w:bookmarkEnd w:id="242"/>
      <w:bookmarkEnd w:id="243"/>
    </w:p>
    <w:p w14:paraId="3AD36353">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9.1 发包人的施工安全责任</w:t>
      </w:r>
    </w:p>
    <w:p w14:paraId="7077E149">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9.1.4 发包人提供</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资料，其余资料由承包人负责收集。</w:t>
      </w:r>
    </w:p>
    <w:p w14:paraId="67E5331A">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9.2 承包人的施工安全责任</w:t>
      </w:r>
    </w:p>
    <w:p w14:paraId="4AF59C42">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9.2.12下列工程应编制专项施工方案：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highlight w:val="none"/>
        </w:rPr>
        <w:t>。其中</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highlight w:val="none"/>
        </w:rPr>
        <w:t>应组织专家论证和审查。</w:t>
      </w:r>
    </w:p>
    <w:p w14:paraId="5A7C8FF6">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9.7 文明工地</w:t>
      </w:r>
    </w:p>
    <w:p w14:paraId="3A9761E5">
      <w:pPr>
        <w:spacing w:line="400" w:lineRule="exact"/>
        <w:ind w:firstLine="420" w:firstLineChars="200"/>
        <w:jc w:val="left"/>
        <w:rPr>
          <w:rFonts w:hint="eastAsia" w:asciiTheme="majorEastAsia" w:hAnsiTheme="majorEastAsia" w:eastAsiaTheme="majorEastAsia" w:cstheme="majorEastAsia"/>
          <w:color w:val="auto"/>
          <w:szCs w:val="21"/>
          <w:highlight w:val="none"/>
          <w:u w:val="single"/>
        </w:rPr>
      </w:pPr>
      <w:r>
        <w:rPr>
          <w:rFonts w:hint="eastAsia" w:asciiTheme="majorEastAsia" w:hAnsiTheme="majorEastAsia" w:eastAsiaTheme="majorEastAsia" w:cstheme="majorEastAsia"/>
          <w:color w:val="auto"/>
          <w:szCs w:val="21"/>
          <w:highlight w:val="none"/>
        </w:rPr>
        <w:t>9.7.1 本合同文明工地的约定：工程未发生严重违法乱纪事件和重大质量、安全事故且符合水利系统文明建设工地考核标准的要求。</w:t>
      </w:r>
    </w:p>
    <w:p w14:paraId="0399F2E3">
      <w:pPr>
        <w:spacing w:line="400" w:lineRule="exact"/>
        <w:rPr>
          <w:rFonts w:hint="eastAsia" w:asciiTheme="majorEastAsia" w:hAnsiTheme="majorEastAsia" w:eastAsiaTheme="majorEastAsia" w:cstheme="majorEastAsia"/>
          <w:b/>
          <w:color w:val="auto"/>
          <w:sz w:val="28"/>
          <w:szCs w:val="28"/>
          <w:highlight w:val="none"/>
        </w:rPr>
      </w:pPr>
      <w:bookmarkStart w:id="244" w:name="_Toc222031038"/>
      <w:bookmarkStart w:id="245" w:name="_Toc222033887"/>
      <w:bookmarkStart w:id="246" w:name="_Toc222032705"/>
      <w:bookmarkStart w:id="247" w:name="_Toc222029536"/>
      <w:bookmarkStart w:id="248" w:name="_Toc229305394"/>
      <w:bookmarkStart w:id="249" w:name="_Toc221951188"/>
      <w:bookmarkStart w:id="250" w:name="_Toc309533750"/>
      <w:bookmarkStart w:id="251" w:name="_Toc309534182"/>
      <w:bookmarkStart w:id="252" w:name="_Toc309533356"/>
      <w:r>
        <w:rPr>
          <w:rFonts w:hint="eastAsia" w:asciiTheme="majorEastAsia" w:hAnsiTheme="majorEastAsia" w:eastAsiaTheme="majorEastAsia" w:cstheme="majorEastAsia"/>
          <w:b/>
          <w:color w:val="auto"/>
          <w:sz w:val="28"/>
          <w:szCs w:val="28"/>
          <w:highlight w:val="none"/>
        </w:rPr>
        <w:t>11 开工和竣工</w:t>
      </w:r>
      <w:bookmarkEnd w:id="244"/>
      <w:bookmarkEnd w:id="245"/>
      <w:bookmarkEnd w:id="246"/>
      <w:bookmarkEnd w:id="247"/>
      <w:bookmarkEnd w:id="248"/>
      <w:bookmarkEnd w:id="249"/>
      <w:r>
        <w:rPr>
          <w:rFonts w:hint="eastAsia" w:asciiTheme="majorEastAsia" w:hAnsiTheme="majorEastAsia" w:eastAsiaTheme="majorEastAsia" w:cstheme="majorEastAsia"/>
          <w:b/>
          <w:color w:val="auto"/>
          <w:sz w:val="28"/>
          <w:szCs w:val="28"/>
          <w:highlight w:val="none"/>
        </w:rPr>
        <w:t>（完工）</w:t>
      </w:r>
      <w:bookmarkEnd w:id="250"/>
      <w:bookmarkEnd w:id="251"/>
      <w:bookmarkEnd w:id="252"/>
    </w:p>
    <w:p w14:paraId="74948D19">
      <w:pPr>
        <w:spacing w:line="400" w:lineRule="exact"/>
        <w:rPr>
          <w:rFonts w:hint="eastAsia" w:asciiTheme="majorEastAsia" w:hAnsiTheme="majorEastAsia" w:eastAsiaTheme="majorEastAsia" w:cstheme="majorEastAsia"/>
          <w:b/>
          <w:color w:val="auto"/>
          <w:sz w:val="24"/>
          <w:highlight w:val="none"/>
        </w:rPr>
      </w:pPr>
      <w:bookmarkStart w:id="253" w:name="_Toc221951189"/>
      <w:r>
        <w:rPr>
          <w:rFonts w:hint="eastAsia" w:asciiTheme="majorEastAsia" w:hAnsiTheme="majorEastAsia" w:eastAsiaTheme="majorEastAsia" w:cstheme="majorEastAsia"/>
          <w:b/>
          <w:color w:val="auto"/>
          <w:sz w:val="24"/>
          <w:highlight w:val="none"/>
        </w:rPr>
        <w:t>11.4 异常恶劣的气候条件</w:t>
      </w:r>
      <w:bookmarkEnd w:id="253"/>
      <w:r>
        <w:rPr>
          <w:rFonts w:hint="eastAsia" w:asciiTheme="majorEastAsia" w:hAnsiTheme="majorEastAsia" w:eastAsiaTheme="majorEastAsia" w:cstheme="majorEastAsia"/>
          <w:b/>
          <w:color w:val="auto"/>
          <w:sz w:val="24"/>
          <w:highlight w:val="none"/>
        </w:rPr>
        <w:t xml:space="preserve"> </w:t>
      </w:r>
    </w:p>
    <w:p w14:paraId="2470F6E2">
      <w:pPr>
        <w:spacing w:line="400" w:lineRule="exact"/>
        <w:ind w:firstLine="480"/>
        <w:rPr>
          <w:rFonts w:hint="eastAsia" w:asciiTheme="majorEastAsia" w:hAnsiTheme="majorEastAsia" w:eastAsiaTheme="majorEastAsia" w:cstheme="majorEastAsia"/>
          <w:color w:val="auto"/>
          <w:szCs w:val="21"/>
          <w:highlight w:val="none"/>
        </w:rPr>
      </w:pPr>
      <w:bookmarkStart w:id="254" w:name="_Toc221951191"/>
      <w:r>
        <w:rPr>
          <w:rFonts w:hint="eastAsia" w:asciiTheme="majorEastAsia" w:hAnsiTheme="majorEastAsia" w:eastAsiaTheme="majorEastAsia" w:cstheme="majorEastAsia"/>
          <w:color w:val="auto"/>
          <w:szCs w:val="21"/>
          <w:highlight w:val="none"/>
        </w:rPr>
        <w:t>本合同工程界定异常恶劣气候条件的范围为：</w:t>
      </w:r>
      <w:bookmarkEnd w:id="254"/>
    </w:p>
    <w:p w14:paraId="52CE3D90">
      <w:pPr>
        <w:spacing w:line="400" w:lineRule="exact"/>
        <w:ind w:firstLine="480"/>
        <w:rPr>
          <w:rFonts w:hint="eastAsia" w:asciiTheme="majorEastAsia" w:hAnsiTheme="majorEastAsia" w:eastAsiaTheme="majorEastAsia" w:cstheme="majorEastAsia"/>
          <w:color w:val="auto"/>
          <w:szCs w:val="21"/>
          <w:highlight w:val="none"/>
        </w:rPr>
      </w:pPr>
      <w:bookmarkStart w:id="255" w:name="_Toc221951192"/>
      <w:r>
        <w:rPr>
          <w:rFonts w:hint="eastAsia" w:asciiTheme="majorEastAsia" w:hAnsiTheme="majorEastAsia" w:eastAsiaTheme="majorEastAsia" w:cstheme="majorEastAsia"/>
          <w:color w:val="auto"/>
          <w:szCs w:val="21"/>
          <w:highlight w:val="none"/>
        </w:rPr>
        <w:t>（1）日降雨量大于30 ㎜的雨日超过3 天； `</w:t>
      </w:r>
      <w:bookmarkEnd w:id="255"/>
    </w:p>
    <w:p w14:paraId="6FCE328F">
      <w:pPr>
        <w:spacing w:line="400" w:lineRule="exact"/>
        <w:ind w:firstLine="480"/>
        <w:rPr>
          <w:rFonts w:hint="eastAsia" w:asciiTheme="majorEastAsia" w:hAnsiTheme="majorEastAsia" w:eastAsiaTheme="majorEastAsia" w:cstheme="majorEastAsia"/>
          <w:color w:val="auto"/>
          <w:szCs w:val="21"/>
          <w:highlight w:val="none"/>
        </w:rPr>
      </w:pPr>
      <w:bookmarkStart w:id="256" w:name="_Toc221951193"/>
      <w:r>
        <w:rPr>
          <w:rFonts w:hint="eastAsia" w:asciiTheme="majorEastAsia" w:hAnsiTheme="majorEastAsia" w:eastAsiaTheme="majorEastAsia" w:cstheme="majorEastAsia"/>
          <w:color w:val="auto"/>
          <w:szCs w:val="21"/>
          <w:highlight w:val="none"/>
        </w:rPr>
        <w:t>（2）风速大于10m/s的 6 级以上台风灾害；</w:t>
      </w:r>
      <w:bookmarkEnd w:id="256"/>
    </w:p>
    <w:p w14:paraId="47BB8B76">
      <w:pPr>
        <w:spacing w:line="400" w:lineRule="exact"/>
        <w:ind w:firstLine="480"/>
        <w:rPr>
          <w:rFonts w:hint="eastAsia" w:asciiTheme="majorEastAsia" w:hAnsiTheme="majorEastAsia" w:eastAsiaTheme="majorEastAsia" w:cstheme="majorEastAsia"/>
          <w:color w:val="auto"/>
          <w:szCs w:val="21"/>
          <w:highlight w:val="none"/>
        </w:rPr>
      </w:pPr>
      <w:bookmarkStart w:id="257" w:name="_Toc221951194"/>
      <w:r>
        <w:rPr>
          <w:rFonts w:hint="eastAsia" w:asciiTheme="majorEastAsia" w:hAnsiTheme="majorEastAsia" w:eastAsiaTheme="majorEastAsia" w:cstheme="majorEastAsia"/>
          <w:color w:val="auto"/>
          <w:szCs w:val="21"/>
          <w:highlight w:val="none"/>
        </w:rPr>
        <w:t>（3）</w:t>
      </w:r>
      <w:bookmarkEnd w:id="257"/>
      <w:r>
        <w:rPr>
          <w:rFonts w:hint="eastAsia" w:asciiTheme="majorEastAsia" w:hAnsiTheme="majorEastAsia" w:eastAsiaTheme="majorEastAsia" w:cstheme="majorEastAsia"/>
          <w:color w:val="auto"/>
          <w:szCs w:val="21"/>
          <w:highlight w:val="none"/>
        </w:rPr>
        <w:t>日气温超过35℃的高温大于3天；</w:t>
      </w:r>
    </w:p>
    <w:p w14:paraId="71F986FA">
      <w:pPr>
        <w:spacing w:line="400" w:lineRule="exact"/>
        <w:ind w:firstLine="480"/>
        <w:rPr>
          <w:rFonts w:hint="eastAsia" w:asciiTheme="majorEastAsia" w:hAnsiTheme="majorEastAsia" w:eastAsiaTheme="majorEastAsia" w:cstheme="majorEastAsia"/>
          <w:color w:val="auto"/>
          <w:szCs w:val="21"/>
          <w:highlight w:val="none"/>
        </w:rPr>
      </w:pPr>
      <w:bookmarkStart w:id="258" w:name="_Toc221951196"/>
      <w:r>
        <w:rPr>
          <w:rFonts w:hint="eastAsia" w:asciiTheme="majorEastAsia" w:hAnsiTheme="majorEastAsia" w:eastAsiaTheme="majorEastAsia" w:cstheme="majorEastAsia"/>
          <w:color w:val="auto"/>
          <w:szCs w:val="21"/>
          <w:highlight w:val="none"/>
        </w:rPr>
        <w:t>（4）</w:t>
      </w:r>
      <w:bookmarkEnd w:id="258"/>
      <w:r>
        <w:rPr>
          <w:rFonts w:hint="eastAsia" w:asciiTheme="majorEastAsia" w:hAnsiTheme="majorEastAsia" w:eastAsiaTheme="majorEastAsia" w:cstheme="majorEastAsia"/>
          <w:color w:val="auto"/>
          <w:szCs w:val="21"/>
          <w:highlight w:val="none"/>
        </w:rPr>
        <w:t>造成工程损坏的冰雹和大雪灾害：</w:t>
      </w:r>
      <w:r>
        <w:rPr>
          <w:rFonts w:hint="eastAsia" w:asciiTheme="majorEastAsia" w:hAnsiTheme="majorEastAsia" w:eastAsiaTheme="majorEastAsia" w:cstheme="majorEastAsia"/>
          <w:color w:val="auto"/>
          <w:highlight w:val="none"/>
        </w:rPr>
        <w:t>日</w:t>
      </w:r>
      <w:r>
        <w:rPr>
          <w:rFonts w:hint="eastAsia" w:asciiTheme="majorEastAsia" w:hAnsiTheme="majorEastAsia" w:eastAsiaTheme="majorEastAsia" w:cstheme="majorEastAsia"/>
          <w:color w:val="auto"/>
          <w:highlight w:val="none"/>
        </w:rPr>
        <w:fldChar w:fldCharType="begin"/>
      </w:r>
      <w:r>
        <w:rPr>
          <w:rFonts w:hint="eastAsia" w:asciiTheme="majorEastAsia" w:hAnsiTheme="majorEastAsia" w:eastAsiaTheme="majorEastAsia" w:cstheme="majorEastAsia"/>
          <w:color w:val="auto"/>
          <w:highlight w:val="none"/>
        </w:rPr>
        <w:instrText xml:space="preserve"> HYPERLINK "http://wenwen.soso.com/z/Search.e?sp=S%E9%99%8D%E9%9B%AA%E9%87%8F&amp;ch=w.search.yjjlink&amp;cid=w.search.yjjlink" \t "_blank" </w:instrText>
      </w:r>
      <w:r>
        <w:rPr>
          <w:rFonts w:hint="eastAsia" w:asciiTheme="majorEastAsia" w:hAnsiTheme="majorEastAsia" w:eastAsiaTheme="majorEastAsia" w:cstheme="majorEastAsia"/>
          <w:color w:val="auto"/>
          <w:highlight w:val="none"/>
        </w:rPr>
        <w:fldChar w:fldCharType="separate"/>
      </w:r>
      <w:r>
        <w:rPr>
          <w:rStyle w:val="24"/>
          <w:rFonts w:hint="eastAsia" w:asciiTheme="majorEastAsia" w:hAnsiTheme="majorEastAsia" w:eastAsiaTheme="majorEastAsia" w:cstheme="majorEastAsia"/>
          <w:color w:val="auto"/>
          <w:highlight w:val="none"/>
        </w:rPr>
        <w:t>降雪量</w:t>
      </w:r>
      <w:r>
        <w:rPr>
          <w:rFonts w:hint="eastAsia" w:asciiTheme="majorEastAsia" w:hAnsiTheme="majorEastAsia" w:eastAsiaTheme="majorEastAsia" w:cstheme="majorEastAsia"/>
          <w:color w:val="auto"/>
          <w:highlight w:val="none"/>
        </w:rPr>
        <w:fldChar w:fldCharType="end"/>
      </w:r>
      <w:r>
        <w:rPr>
          <w:rFonts w:hint="eastAsia" w:asciiTheme="majorEastAsia" w:hAnsiTheme="majorEastAsia" w:eastAsiaTheme="majorEastAsia" w:cstheme="majorEastAsia"/>
          <w:color w:val="auto"/>
          <w:highlight w:val="none"/>
        </w:rPr>
        <w:t>10mm及以上</w:t>
      </w:r>
      <w:r>
        <w:rPr>
          <w:rFonts w:hint="eastAsia" w:asciiTheme="majorEastAsia" w:hAnsiTheme="majorEastAsia" w:eastAsiaTheme="majorEastAsia" w:cstheme="majorEastAsia"/>
          <w:color w:val="auto"/>
          <w:szCs w:val="21"/>
          <w:highlight w:val="none"/>
        </w:rPr>
        <w:t>。</w:t>
      </w:r>
    </w:p>
    <w:p w14:paraId="1045B48F">
      <w:pPr>
        <w:spacing w:line="400" w:lineRule="exact"/>
        <w:ind w:firstLine="480"/>
        <w:rPr>
          <w:rFonts w:hint="eastAsia" w:asciiTheme="majorEastAsia" w:hAnsiTheme="majorEastAsia" w:eastAsiaTheme="majorEastAsia" w:cstheme="majorEastAsia"/>
          <w:color w:val="auto"/>
          <w:szCs w:val="21"/>
          <w:highlight w:val="none"/>
        </w:rPr>
      </w:pPr>
      <w:bookmarkStart w:id="259" w:name="_Toc221951197"/>
      <w:r>
        <w:rPr>
          <w:rFonts w:hint="eastAsia" w:asciiTheme="majorEastAsia" w:hAnsiTheme="majorEastAsia" w:eastAsiaTheme="majorEastAsia" w:cstheme="majorEastAsia"/>
          <w:color w:val="auto"/>
          <w:szCs w:val="21"/>
          <w:highlight w:val="none"/>
        </w:rPr>
        <w:t>（5）其他异常恶劣气候灾害。</w:t>
      </w:r>
      <w:bookmarkEnd w:id="259"/>
    </w:p>
    <w:p w14:paraId="2D1EEE7C">
      <w:pPr>
        <w:spacing w:line="400" w:lineRule="exact"/>
        <w:rPr>
          <w:rFonts w:hint="eastAsia" w:asciiTheme="majorEastAsia" w:hAnsiTheme="majorEastAsia" w:eastAsiaTheme="majorEastAsia" w:cstheme="majorEastAsia"/>
          <w:b/>
          <w:color w:val="auto"/>
          <w:sz w:val="24"/>
          <w:highlight w:val="none"/>
        </w:rPr>
      </w:pPr>
      <w:bookmarkStart w:id="260" w:name="_Toc221951198"/>
      <w:r>
        <w:rPr>
          <w:rFonts w:hint="eastAsia" w:asciiTheme="majorEastAsia" w:hAnsiTheme="majorEastAsia" w:eastAsiaTheme="majorEastAsia" w:cstheme="majorEastAsia"/>
          <w:b/>
          <w:color w:val="auto"/>
          <w:sz w:val="24"/>
          <w:highlight w:val="none"/>
        </w:rPr>
        <w:t>11.5 承包人工期延误</w:t>
      </w:r>
      <w:bookmarkEnd w:id="260"/>
      <w:r>
        <w:rPr>
          <w:rFonts w:hint="eastAsia" w:asciiTheme="majorEastAsia" w:hAnsiTheme="majorEastAsia" w:eastAsiaTheme="majorEastAsia" w:cstheme="majorEastAsia"/>
          <w:b/>
          <w:color w:val="auto"/>
          <w:sz w:val="24"/>
          <w:highlight w:val="none"/>
        </w:rPr>
        <w:t xml:space="preserve"> </w:t>
      </w:r>
    </w:p>
    <w:p w14:paraId="12F4D81B">
      <w:pPr>
        <w:spacing w:line="400" w:lineRule="exact"/>
        <w:ind w:firstLine="420" w:firstLineChars="200"/>
        <w:rPr>
          <w:rFonts w:hint="eastAsia" w:asciiTheme="majorEastAsia" w:hAnsiTheme="majorEastAsia" w:eastAsiaTheme="majorEastAsia" w:cstheme="majorEastAsia"/>
          <w:bCs/>
          <w:color w:val="auto"/>
          <w:szCs w:val="21"/>
          <w:highlight w:val="none"/>
        </w:rPr>
      </w:pPr>
      <w:bookmarkStart w:id="261" w:name="_Toc221951200"/>
      <w:r>
        <w:rPr>
          <w:rFonts w:hint="eastAsia" w:asciiTheme="majorEastAsia" w:hAnsiTheme="majorEastAsia" w:eastAsiaTheme="majorEastAsia" w:cstheme="majorEastAsia"/>
          <w:bCs/>
          <w:color w:val="auto"/>
          <w:szCs w:val="21"/>
          <w:highlight w:val="none"/>
        </w:rPr>
        <w:t>（1）逾期完工违约金表</w:t>
      </w:r>
      <w:bookmarkEnd w:id="261"/>
    </w:p>
    <w:tbl>
      <w:tblPr>
        <w:tblStyle w:val="17"/>
        <w:tblW w:w="0" w:type="auto"/>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77"/>
        <w:gridCol w:w="4257"/>
        <w:gridCol w:w="2310"/>
        <w:gridCol w:w="2310"/>
      </w:tblGrid>
      <w:tr w14:paraId="46C9B11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77" w:type="dxa"/>
            <w:noWrap w:val="0"/>
            <w:vAlign w:val="center"/>
          </w:tcPr>
          <w:p w14:paraId="6DBCFA0B">
            <w:pPr>
              <w:spacing w:line="400" w:lineRule="exact"/>
              <w:jc w:val="center"/>
              <w:rPr>
                <w:rFonts w:hint="eastAsia" w:asciiTheme="majorEastAsia" w:hAnsiTheme="majorEastAsia" w:eastAsiaTheme="majorEastAsia" w:cstheme="majorEastAsia"/>
                <w:b/>
                <w:color w:val="auto"/>
                <w:szCs w:val="21"/>
                <w:highlight w:val="none"/>
              </w:rPr>
            </w:pPr>
            <w:bookmarkStart w:id="262" w:name="_Toc221951201"/>
            <w:r>
              <w:rPr>
                <w:rFonts w:hint="eastAsia" w:asciiTheme="majorEastAsia" w:hAnsiTheme="majorEastAsia" w:eastAsiaTheme="majorEastAsia" w:cstheme="majorEastAsia"/>
                <w:b/>
                <w:color w:val="auto"/>
                <w:szCs w:val="21"/>
                <w:highlight w:val="none"/>
              </w:rPr>
              <w:t>序号</w:t>
            </w:r>
            <w:bookmarkEnd w:id="262"/>
          </w:p>
        </w:tc>
        <w:tc>
          <w:tcPr>
            <w:tcW w:w="4257" w:type="dxa"/>
            <w:noWrap w:val="0"/>
            <w:vAlign w:val="center"/>
          </w:tcPr>
          <w:p w14:paraId="73B4CB19">
            <w:pPr>
              <w:spacing w:line="400" w:lineRule="exact"/>
              <w:jc w:val="center"/>
              <w:rPr>
                <w:rFonts w:hint="eastAsia" w:asciiTheme="majorEastAsia" w:hAnsiTheme="majorEastAsia" w:eastAsiaTheme="majorEastAsia" w:cstheme="majorEastAsia"/>
                <w:b/>
                <w:color w:val="auto"/>
                <w:szCs w:val="21"/>
                <w:highlight w:val="none"/>
              </w:rPr>
            </w:pPr>
            <w:bookmarkStart w:id="263" w:name="_Toc221951202"/>
            <w:r>
              <w:rPr>
                <w:rFonts w:hint="eastAsia" w:asciiTheme="majorEastAsia" w:hAnsiTheme="majorEastAsia" w:eastAsiaTheme="majorEastAsia" w:cstheme="majorEastAsia"/>
                <w:b/>
                <w:color w:val="auto"/>
                <w:szCs w:val="21"/>
                <w:highlight w:val="none"/>
              </w:rPr>
              <w:t>项目及其说明</w:t>
            </w:r>
            <w:bookmarkEnd w:id="263"/>
          </w:p>
        </w:tc>
        <w:tc>
          <w:tcPr>
            <w:tcW w:w="2310" w:type="dxa"/>
            <w:noWrap w:val="0"/>
            <w:vAlign w:val="center"/>
          </w:tcPr>
          <w:p w14:paraId="4E545382">
            <w:pPr>
              <w:spacing w:line="400" w:lineRule="exact"/>
              <w:jc w:val="center"/>
              <w:rPr>
                <w:rFonts w:hint="eastAsia" w:asciiTheme="majorEastAsia" w:hAnsiTheme="majorEastAsia" w:eastAsiaTheme="majorEastAsia" w:cstheme="majorEastAsia"/>
                <w:b/>
                <w:color w:val="auto"/>
                <w:szCs w:val="21"/>
                <w:highlight w:val="none"/>
              </w:rPr>
            </w:pPr>
            <w:bookmarkStart w:id="264" w:name="_Toc221951203"/>
            <w:r>
              <w:rPr>
                <w:rFonts w:hint="eastAsia" w:asciiTheme="majorEastAsia" w:hAnsiTheme="majorEastAsia" w:eastAsiaTheme="majorEastAsia" w:cstheme="majorEastAsia"/>
                <w:b/>
                <w:color w:val="auto"/>
                <w:szCs w:val="21"/>
                <w:highlight w:val="none"/>
              </w:rPr>
              <w:t>要求完工日期</w:t>
            </w:r>
            <w:bookmarkEnd w:id="264"/>
          </w:p>
        </w:tc>
        <w:tc>
          <w:tcPr>
            <w:tcW w:w="2310" w:type="dxa"/>
            <w:noWrap w:val="0"/>
            <w:vAlign w:val="center"/>
          </w:tcPr>
          <w:p w14:paraId="6052F036">
            <w:pPr>
              <w:spacing w:line="400" w:lineRule="exact"/>
              <w:jc w:val="center"/>
              <w:rPr>
                <w:rFonts w:hint="eastAsia" w:asciiTheme="majorEastAsia" w:hAnsiTheme="majorEastAsia" w:eastAsiaTheme="majorEastAsia" w:cstheme="majorEastAsia"/>
                <w:b/>
                <w:color w:val="auto"/>
                <w:szCs w:val="21"/>
                <w:highlight w:val="none"/>
              </w:rPr>
            </w:pPr>
            <w:bookmarkStart w:id="265" w:name="_Toc221951204"/>
            <w:r>
              <w:rPr>
                <w:rFonts w:hint="eastAsia" w:asciiTheme="majorEastAsia" w:hAnsiTheme="majorEastAsia" w:eastAsiaTheme="majorEastAsia" w:cstheme="majorEastAsia"/>
                <w:b/>
                <w:color w:val="auto"/>
                <w:szCs w:val="21"/>
                <w:highlight w:val="none"/>
              </w:rPr>
              <w:t>违约金(元/天)</w:t>
            </w:r>
            <w:bookmarkEnd w:id="265"/>
          </w:p>
        </w:tc>
      </w:tr>
      <w:tr w14:paraId="0ED7543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30" w:hRule="exact"/>
        </w:trPr>
        <w:tc>
          <w:tcPr>
            <w:tcW w:w="977" w:type="dxa"/>
            <w:noWrap w:val="0"/>
            <w:vAlign w:val="center"/>
          </w:tcPr>
          <w:p w14:paraId="28387069">
            <w:pPr>
              <w:spacing w:line="400" w:lineRule="exact"/>
              <w:jc w:val="center"/>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w:t>
            </w:r>
          </w:p>
        </w:tc>
        <w:tc>
          <w:tcPr>
            <w:tcW w:w="4257" w:type="dxa"/>
            <w:noWrap w:val="0"/>
            <w:vAlign w:val="center"/>
          </w:tcPr>
          <w:p w14:paraId="39384607">
            <w:pPr>
              <w:spacing w:line="260" w:lineRule="exact"/>
              <w:jc w:val="center"/>
              <w:rPr>
                <w:rFonts w:hint="eastAsia" w:asciiTheme="majorEastAsia" w:hAnsiTheme="majorEastAsia" w:eastAsiaTheme="majorEastAsia" w:cstheme="majorEastAsia"/>
                <w:color w:val="auto"/>
                <w:szCs w:val="21"/>
                <w:highlight w:val="none"/>
              </w:rPr>
            </w:pPr>
          </w:p>
        </w:tc>
        <w:tc>
          <w:tcPr>
            <w:tcW w:w="2310" w:type="dxa"/>
            <w:noWrap w:val="0"/>
            <w:vAlign w:val="center"/>
          </w:tcPr>
          <w:p w14:paraId="2A94EF97">
            <w:pPr>
              <w:spacing w:line="400" w:lineRule="exact"/>
              <w:jc w:val="center"/>
              <w:rPr>
                <w:rFonts w:hint="eastAsia" w:asciiTheme="majorEastAsia" w:hAnsiTheme="majorEastAsia" w:eastAsiaTheme="majorEastAsia" w:cstheme="majorEastAsia"/>
                <w:color w:val="auto"/>
                <w:szCs w:val="21"/>
                <w:highlight w:val="none"/>
                <w:lang w:val="en-US" w:eastAsia="zh-CN"/>
              </w:rPr>
            </w:pPr>
          </w:p>
        </w:tc>
        <w:tc>
          <w:tcPr>
            <w:tcW w:w="2310" w:type="dxa"/>
            <w:noWrap w:val="0"/>
            <w:vAlign w:val="center"/>
          </w:tcPr>
          <w:p w14:paraId="3DF2646E">
            <w:pPr>
              <w:spacing w:line="400" w:lineRule="exact"/>
              <w:jc w:val="center"/>
              <w:rPr>
                <w:rFonts w:hint="eastAsia" w:asciiTheme="majorEastAsia" w:hAnsiTheme="majorEastAsia" w:eastAsiaTheme="majorEastAsia" w:cstheme="majorEastAsia"/>
                <w:color w:val="auto"/>
                <w:szCs w:val="21"/>
                <w:highlight w:val="none"/>
              </w:rPr>
            </w:pPr>
          </w:p>
        </w:tc>
      </w:tr>
    </w:tbl>
    <w:p w14:paraId="40A5500A">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266" w:name="_Toc221951205"/>
      <w:r>
        <w:rPr>
          <w:rFonts w:hint="eastAsia" w:asciiTheme="majorEastAsia" w:hAnsiTheme="majorEastAsia" w:eastAsiaTheme="majorEastAsia" w:cstheme="majorEastAsia"/>
          <w:color w:val="auto"/>
          <w:szCs w:val="21"/>
          <w:highlight w:val="none"/>
        </w:rPr>
        <w:t>（2）全部逾期完工违约金的总限额为不超过合同总价的</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bookmarkEnd w:id="266"/>
    </w:p>
    <w:p w14:paraId="4E2457F1">
      <w:pPr>
        <w:spacing w:line="400" w:lineRule="exact"/>
        <w:rPr>
          <w:rFonts w:hint="eastAsia" w:asciiTheme="majorEastAsia" w:hAnsiTheme="majorEastAsia" w:eastAsiaTheme="majorEastAsia" w:cstheme="majorEastAsia"/>
          <w:b/>
          <w:color w:val="auto"/>
          <w:sz w:val="24"/>
          <w:highlight w:val="none"/>
        </w:rPr>
      </w:pPr>
      <w:bookmarkStart w:id="267" w:name="_Toc222029537"/>
      <w:bookmarkStart w:id="268" w:name="_Toc222031039"/>
      <w:bookmarkStart w:id="269" w:name="_Toc221951206"/>
      <w:bookmarkStart w:id="270" w:name="_Toc229305395"/>
      <w:bookmarkStart w:id="271" w:name="_Toc222033888"/>
      <w:bookmarkStart w:id="272" w:name="_Toc222032706"/>
      <w:r>
        <w:rPr>
          <w:rFonts w:hint="eastAsia" w:asciiTheme="majorEastAsia" w:hAnsiTheme="majorEastAsia" w:eastAsiaTheme="majorEastAsia" w:cstheme="majorEastAsia"/>
          <w:b/>
          <w:color w:val="auto"/>
          <w:sz w:val="24"/>
          <w:highlight w:val="none"/>
        </w:rPr>
        <w:t>11.6 工期提前</w:t>
      </w:r>
    </w:p>
    <w:p w14:paraId="3B82B3CD">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 xml:space="preserve">工期提前的奖金约定：无奖励。 </w:t>
      </w:r>
    </w:p>
    <w:p w14:paraId="374F6765">
      <w:pPr>
        <w:spacing w:line="400" w:lineRule="exact"/>
        <w:rPr>
          <w:rFonts w:hint="eastAsia" w:asciiTheme="majorEastAsia" w:hAnsiTheme="majorEastAsia" w:eastAsiaTheme="majorEastAsia" w:cstheme="majorEastAsia"/>
          <w:b/>
          <w:color w:val="auto"/>
          <w:sz w:val="28"/>
          <w:szCs w:val="28"/>
          <w:highlight w:val="none"/>
        </w:rPr>
      </w:pPr>
      <w:bookmarkStart w:id="273" w:name="_Toc309533357"/>
      <w:bookmarkStart w:id="274" w:name="_Toc309534183"/>
      <w:bookmarkStart w:id="275" w:name="_Toc309533751"/>
      <w:r>
        <w:rPr>
          <w:rFonts w:hint="eastAsia" w:asciiTheme="majorEastAsia" w:hAnsiTheme="majorEastAsia" w:eastAsiaTheme="majorEastAsia" w:cstheme="majorEastAsia"/>
          <w:b/>
          <w:color w:val="auto"/>
          <w:sz w:val="28"/>
          <w:szCs w:val="28"/>
          <w:highlight w:val="none"/>
        </w:rPr>
        <w:t>12 暂停施工</w:t>
      </w:r>
      <w:bookmarkEnd w:id="267"/>
      <w:bookmarkEnd w:id="268"/>
      <w:bookmarkEnd w:id="269"/>
      <w:bookmarkEnd w:id="270"/>
      <w:bookmarkEnd w:id="271"/>
      <w:bookmarkEnd w:id="272"/>
      <w:bookmarkEnd w:id="273"/>
      <w:bookmarkEnd w:id="274"/>
      <w:bookmarkEnd w:id="275"/>
    </w:p>
    <w:p w14:paraId="37CCDB12">
      <w:pPr>
        <w:spacing w:line="400" w:lineRule="exact"/>
        <w:rPr>
          <w:rFonts w:hint="eastAsia" w:asciiTheme="majorEastAsia" w:hAnsiTheme="majorEastAsia" w:eastAsiaTheme="majorEastAsia" w:cstheme="majorEastAsia"/>
          <w:b/>
          <w:color w:val="auto"/>
          <w:sz w:val="24"/>
          <w:highlight w:val="none"/>
        </w:rPr>
      </w:pPr>
      <w:bookmarkStart w:id="276" w:name="_Toc221951207"/>
      <w:r>
        <w:rPr>
          <w:rFonts w:hint="eastAsia" w:asciiTheme="majorEastAsia" w:hAnsiTheme="majorEastAsia" w:eastAsiaTheme="majorEastAsia" w:cstheme="majorEastAsia"/>
          <w:b/>
          <w:color w:val="auto"/>
          <w:sz w:val="24"/>
          <w:highlight w:val="none"/>
        </w:rPr>
        <w:t>12.1 承包人暂停施工的责任</w:t>
      </w:r>
      <w:bookmarkEnd w:id="276"/>
    </w:p>
    <w:p w14:paraId="16CE96F7">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277" w:name="_Toc221951209"/>
      <w:r>
        <w:rPr>
          <w:rFonts w:hint="eastAsia" w:asciiTheme="majorEastAsia" w:hAnsiTheme="majorEastAsia" w:eastAsiaTheme="majorEastAsia" w:cstheme="majorEastAsia"/>
          <w:color w:val="auto"/>
          <w:szCs w:val="21"/>
          <w:highlight w:val="none"/>
        </w:rPr>
        <w:t>(5) 承包人承担暂停施工责任的其他情形：</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bookmarkEnd w:id="277"/>
    </w:p>
    <w:p w14:paraId="25B2398B">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12.2 发包人暂停施工的责任</w:t>
      </w:r>
    </w:p>
    <w:p w14:paraId="60C01A93">
      <w:pPr>
        <w:spacing w:line="400" w:lineRule="exact"/>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bCs/>
          <w:color w:val="auto"/>
          <w:szCs w:val="21"/>
          <w:highlight w:val="none"/>
        </w:rPr>
        <w:t xml:space="preserve">    </w:t>
      </w:r>
      <w:r>
        <w:rPr>
          <w:rFonts w:hint="eastAsia" w:asciiTheme="majorEastAsia" w:hAnsiTheme="majorEastAsia" w:eastAsiaTheme="majorEastAsia" w:cstheme="majorEastAsia"/>
          <w:bCs/>
          <w:color w:val="auto"/>
          <w:szCs w:val="21"/>
          <w:highlight w:val="none"/>
        </w:rPr>
        <w:t xml:space="preserve"> </w:t>
      </w:r>
      <w:bookmarkStart w:id="278" w:name="_Toc309533358"/>
      <w:r>
        <w:rPr>
          <w:rFonts w:hint="eastAsia" w:asciiTheme="majorEastAsia" w:hAnsiTheme="majorEastAsia" w:eastAsiaTheme="majorEastAsia" w:cstheme="majorEastAsia"/>
          <w:bCs/>
          <w:color w:val="auto"/>
          <w:szCs w:val="21"/>
          <w:highlight w:val="none"/>
        </w:rPr>
        <w:t>(3) 发包人承担暂停施工责任其他情形：</w:t>
      </w:r>
      <w:bookmarkEnd w:id="278"/>
      <w:r>
        <w:rPr>
          <w:rFonts w:hint="eastAsia" w:asciiTheme="majorEastAsia" w:hAnsiTheme="majorEastAsia" w:eastAsiaTheme="majorEastAsia" w:cstheme="majorEastAsia"/>
          <w:bCs/>
          <w:color w:val="auto"/>
          <w:szCs w:val="21"/>
          <w:highlight w:val="none"/>
          <w:u w:val="single"/>
          <w:lang w:val="en-US" w:eastAsia="zh-CN"/>
        </w:rPr>
        <w:t xml:space="preserve">                </w:t>
      </w:r>
      <w:r>
        <w:rPr>
          <w:rFonts w:hint="eastAsia" w:asciiTheme="majorEastAsia" w:hAnsiTheme="majorEastAsia" w:eastAsiaTheme="majorEastAsia" w:cstheme="majorEastAsia"/>
          <w:color w:val="auto"/>
          <w:highlight w:val="none"/>
        </w:rPr>
        <w:t>。</w:t>
      </w:r>
    </w:p>
    <w:p w14:paraId="472D51F0">
      <w:pPr>
        <w:spacing w:line="400" w:lineRule="exact"/>
        <w:rPr>
          <w:rFonts w:hint="eastAsia" w:asciiTheme="majorEastAsia" w:hAnsiTheme="majorEastAsia" w:eastAsiaTheme="majorEastAsia" w:cstheme="majorEastAsia"/>
          <w:b/>
          <w:color w:val="auto"/>
          <w:sz w:val="28"/>
          <w:szCs w:val="28"/>
          <w:highlight w:val="none"/>
        </w:rPr>
      </w:pPr>
      <w:bookmarkStart w:id="279" w:name="_Toc309533752"/>
      <w:bookmarkStart w:id="280" w:name="_Toc309534184"/>
      <w:bookmarkStart w:id="281" w:name="_Toc309533359"/>
      <w:r>
        <w:rPr>
          <w:rFonts w:hint="eastAsia" w:asciiTheme="majorEastAsia" w:hAnsiTheme="majorEastAsia" w:eastAsiaTheme="majorEastAsia" w:cstheme="majorEastAsia"/>
          <w:b/>
          <w:color w:val="auto"/>
          <w:sz w:val="28"/>
          <w:szCs w:val="28"/>
          <w:highlight w:val="none"/>
        </w:rPr>
        <w:t>13 工程质量</w:t>
      </w:r>
      <w:bookmarkEnd w:id="279"/>
      <w:bookmarkEnd w:id="280"/>
      <w:bookmarkEnd w:id="281"/>
      <w:r>
        <w:rPr>
          <w:rFonts w:hint="eastAsia" w:asciiTheme="majorEastAsia" w:hAnsiTheme="majorEastAsia" w:eastAsiaTheme="majorEastAsia" w:cstheme="majorEastAsia"/>
          <w:b/>
          <w:color w:val="auto"/>
          <w:sz w:val="28"/>
          <w:szCs w:val="28"/>
          <w:highlight w:val="none"/>
        </w:rPr>
        <w:t xml:space="preserve"> </w:t>
      </w:r>
    </w:p>
    <w:p w14:paraId="7669993C">
      <w:pPr>
        <w:spacing w:line="400" w:lineRule="exact"/>
        <w:ind w:firstLine="482"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13.7  质量评定</w:t>
      </w:r>
    </w:p>
    <w:p w14:paraId="61329D7C">
      <w:pPr>
        <w:spacing w:line="400" w:lineRule="exact"/>
        <w:ind w:firstLine="482"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13.7  质量评定</w:t>
      </w:r>
    </w:p>
    <w:p w14:paraId="1EA8E186">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13.7.4 重要隐蔽单元工程和关键部位单元质量评定的约定：</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w:t>
      </w:r>
    </w:p>
    <w:p w14:paraId="2517B58B">
      <w:pPr>
        <w:spacing w:line="400" w:lineRule="exact"/>
        <w:ind w:firstLine="420" w:firstLineChars="200"/>
        <w:jc w:val="left"/>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13.7.7 工程合格标准为：</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。优良标准为：</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u w:val="single"/>
          <w:lang w:val="en-US" w:eastAsia="zh-CN"/>
        </w:rPr>
        <w:t xml:space="preserve">     </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。达到优良的奖金为</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w:t>
      </w:r>
    </w:p>
    <w:p w14:paraId="3C0ECC87">
      <w:pPr>
        <w:spacing w:line="400" w:lineRule="exact"/>
        <w:ind w:firstLine="482" w:firstLineChars="200"/>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13.8  质量事故处理</w:t>
      </w:r>
    </w:p>
    <w:p w14:paraId="7BC7C848">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13.8.4 工程竣工验收时，</w:t>
      </w:r>
      <w:r>
        <w:rPr>
          <w:rFonts w:hint="eastAsia" w:asciiTheme="majorEastAsia" w:hAnsiTheme="majorEastAsia" w:eastAsiaTheme="majorEastAsia" w:cstheme="majorEastAsia"/>
          <w:b/>
          <w:color w:val="auto"/>
          <w:highlight w:val="none"/>
          <w:u w:val="single"/>
          <w:lang w:val="en-US" w:eastAsia="zh-CN"/>
        </w:rPr>
        <w:t xml:space="preserve">     </w:t>
      </w:r>
      <w:r>
        <w:rPr>
          <w:rFonts w:hint="eastAsia" w:asciiTheme="majorEastAsia" w:hAnsiTheme="majorEastAsia" w:eastAsiaTheme="majorEastAsia" w:cstheme="majorEastAsia"/>
          <w:color w:val="auto"/>
          <w:highlight w:val="none"/>
        </w:rPr>
        <w:t>向竣工验收委员会汇报并提交历次质量缺陷处理的备案资料。</w:t>
      </w:r>
    </w:p>
    <w:p w14:paraId="4A53C2BB">
      <w:pPr>
        <w:spacing w:line="400" w:lineRule="exact"/>
        <w:rPr>
          <w:rFonts w:hint="eastAsia" w:asciiTheme="majorEastAsia" w:hAnsiTheme="majorEastAsia" w:eastAsiaTheme="majorEastAsia" w:cstheme="majorEastAsia"/>
          <w:b/>
          <w:color w:val="auto"/>
          <w:sz w:val="28"/>
          <w:szCs w:val="28"/>
          <w:highlight w:val="none"/>
        </w:rPr>
      </w:pPr>
      <w:bookmarkStart w:id="282" w:name="_Toc309533360"/>
      <w:bookmarkStart w:id="283" w:name="_Toc309533753"/>
      <w:bookmarkStart w:id="284" w:name="_Toc309534185"/>
      <w:r>
        <w:rPr>
          <w:rFonts w:hint="eastAsia" w:asciiTheme="majorEastAsia" w:hAnsiTheme="majorEastAsia" w:eastAsiaTheme="majorEastAsia" w:cstheme="majorEastAsia"/>
          <w:b/>
          <w:color w:val="auto"/>
          <w:sz w:val="28"/>
          <w:szCs w:val="28"/>
          <w:highlight w:val="none"/>
        </w:rPr>
        <w:t>14.试验和检验</w:t>
      </w:r>
      <w:bookmarkEnd w:id="282"/>
      <w:bookmarkEnd w:id="283"/>
      <w:bookmarkEnd w:id="284"/>
    </w:p>
    <w:p w14:paraId="693FDC0D">
      <w:pPr>
        <w:spacing w:line="400" w:lineRule="exact"/>
        <w:ind w:firstLine="420" w:firstLineChars="200"/>
        <w:rPr>
          <w:rFonts w:hint="eastAsia" w:asciiTheme="majorEastAsia" w:hAnsiTheme="majorEastAsia" w:eastAsiaTheme="majorEastAsia" w:cstheme="majorEastAsia"/>
          <w:color w:val="auto"/>
          <w:highlight w:val="none"/>
        </w:rPr>
      </w:pPr>
      <w:bookmarkStart w:id="285" w:name="_Toc309533361"/>
      <w:bookmarkStart w:id="286" w:name="_Toc222029539"/>
      <w:bookmarkStart w:id="287" w:name="_Toc309533754"/>
      <w:bookmarkStart w:id="288" w:name="_Toc222033890"/>
      <w:bookmarkStart w:id="289" w:name="_Toc221951213"/>
      <w:bookmarkStart w:id="290" w:name="_Toc309534186"/>
      <w:bookmarkStart w:id="291" w:name="_Toc222032708"/>
      <w:bookmarkStart w:id="292" w:name="_Toc222031041"/>
      <w:bookmarkStart w:id="293" w:name="_Toc229305396"/>
      <w:r>
        <w:rPr>
          <w:rFonts w:hint="eastAsia" w:asciiTheme="majorEastAsia" w:hAnsiTheme="majorEastAsia" w:eastAsiaTheme="majorEastAsia" w:cstheme="majorEastAsia"/>
          <w:color w:val="auto"/>
          <w:highlight w:val="none"/>
        </w:rPr>
        <w:t>14.1 材料、工程设备和工程的试验和检验</w:t>
      </w:r>
    </w:p>
    <w:p w14:paraId="577F2C35">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14.1.5 水工金属结构、启闭机及机电产品进场后的交货检查和验收中，由发包人组织监理、设计、生产厂家、承包人</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u w:val="single"/>
          <w:lang w:val="en-US" w:eastAsia="zh-CN"/>
        </w:rPr>
        <w:t xml:space="preserve">                </w:t>
      </w:r>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rPr>
        <w:t>，由承包人负责</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highlight w:val="none"/>
        </w:rPr>
        <w:t>。</w:t>
      </w:r>
    </w:p>
    <w:p w14:paraId="3EE729E9">
      <w:pPr>
        <w:spacing w:line="400" w:lineRule="exact"/>
        <w:ind w:firstLine="420" w:firstLineChars="200"/>
        <w:rPr>
          <w:rFonts w:hint="eastAsia" w:asciiTheme="majorEastAsia" w:hAnsiTheme="majorEastAsia" w:eastAsiaTheme="majorEastAsia" w:cstheme="majorEastAsia"/>
          <w:color w:val="auto"/>
          <w:kern w:val="0"/>
          <w:szCs w:val="21"/>
          <w:highlight w:val="none"/>
        </w:rPr>
      </w:pPr>
      <w:r>
        <w:rPr>
          <w:rFonts w:hint="eastAsia" w:asciiTheme="majorEastAsia" w:hAnsiTheme="majorEastAsia" w:eastAsiaTheme="majorEastAsia" w:cstheme="majorEastAsia"/>
          <w:color w:val="auto"/>
          <w:highlight w:val="none"/>
        </w:rPr>
        <w:t>14.1.6 本工程实行见证取样的试块、试件及有关材料：</w:t>
      </w:r>
      <w:r>
        <w:rPr>
          <w:rFonts w:hint="eastAsia" w:asciiTheme="majorEastAsia" w:hAnsiTheme="majorEastAsia" w:eastAsiaTheme="majorEastAsia" w:cstheme="majorEastAsia"/>
          <w:color w:val="auto"/>
          <w:highlight w:val="none"/>
          <w:u w:val="single"/>
          <w:lang w:val="en-US" w:eastAsia="zh-CN"/>
        </w:rPr>
        <w:t xml:space="preserve">                         </w:t>
      </w:r>
      <w:r>
        <w:rPr>
          <w:rFonts w:hint="eastAsia" w:asciiTheme="majorEastAsia" w:hAnsiTheme="majorEastAsia" w:eastAsiaTheme="majorEastAsia" w:cstheme="majorEastAsia"/>
          <w:color w:val="auto"/>
          <w:highlight w:val="none"/>
          <w:lang w:val="en-US" w:eastAsia="zh-CN"/>
        </w:rPr>
        <w:t xml:space="preserve"> </w:t>
      </w:r>
      <w:r>
        <w:rPr>
          <w:rFonts w:hint="eastAsia" w:asciiTheme="majorEastAsia" w:hAnsiTheme="majorEastAsia" w:eastAsiaTheme="majorEastAsia" w:cstheme="majorEastAsia"/>
          <w:color w:val="auto"/>
          <w:highlight w:val="none"/>
        </w:rPr>
        <w:t>。</w:t>
      </w:r>
    </w:p>
    <w:p w14:paraId="4D08CAB4">
      <w:pPr>
        <w:spacing w:line="400" w:lineRule="exact"/>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15 变更</w:t>
      </w:r>
      <w:bookmarkEnd w:id="285"/>
      <w:bookmarkEnd w:id="286"/>
      <w:bookmarkEnd w:id="287"/>
      <w:bookmarkEnd w:id="288"/>
      <w:bookmarkEnd w:id="289"/>
      <w:bookmarkEnd w:id="290"/>
      <w:bookmarkEnd w:id="291"/>
      <w:bookmarkEnd w:id="292"/>
      <w:bookmarkEnd w:id="293"/>
    </w:p>
    <w:p w14:paraId="13C95A71">
      <w:pPr>
        <w:spacing w:line="400" w:lineRule="exact"/>
        <w:rPr>
          <w:rFonts w:hint="eastAsia" w:asciiTheme="majorEastAsia" w:hAnsiTheme="majorEastAsia" w:eastAsiaTheme="majorEastAsia" w:cstheme="majorEastAsia"/>
          <w:b/>
          <w:color w:val="auto"/>
          <w:sz w:val="24"/>
          <w:highlight w:val="none"/>
        </w:rPr>
      </w:pPr>
      <w:bookmarkStart w:id="294" w:name="_Toc221951218"/>
      <w:r>
        <w:rPr>
          <w:rFonts w:hint="eastAsia" w:asciiTheme="majorEastAsia" w:hAnsiTheme="majorEastAsia" w:eastAsiaTheme="majorEastAsia" w:cstheme="majorEastAsia"/>
          <w:b/>
          <w:color w:val="auto"/>
          <w:sz w:val="24"/>
          <w:highlight w:val="none"/>
        </w:rPr>
        <w:t>15.5 承包人的合理化建议</w:t>
      </w:r>
    </w:p>
    <w:p w14:paraId="1A86A5D1">
      <w:pPr>
        <w:spacing w:line="400" w:lineRule="exact"/>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15.5.2 </w:t>
      </w:r>
      <w:bookmarkEnd w:id="294"/>
      <w:bookmarkStart w:id="295" w:name="_Toc221951219"/>
      <w:r>
        <w:rPr>
          <w:rFonts w:hint="eastAsia" w:asciiTheme="majorEastAsia" w:hAnsiTheme="majorEastAsia" w:eastAsiaTheme="majorEastAsia" w:cstheme="majorEastAsia"/>
          <w:color w:val="auto"/>
          <w:szCs w:val="21"/>
          <w:highlight w:val="none"/>
        </w:rPr>
        <w:t>承包人实现合理化建议的奖励金额为：</w:t>
      </w:r>
      <w:bookmarkEnd w:id="295"/>
      <w:bookmarkStart w:id="296" w:name="_Toc221951220"/>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bookmarkEnd w:id="296"/>
    </w:p>
    <w:p w14:paraId="2522993D">
      <w:pPr>
        <w:spacing w:line="400" w:lineRule="exact"/>
        <w:rPr>
          <w:rFonts w:hint="eastAsia" w:asciiTheme="majorEastAsia" w:hAnsiTheme="majorEastAsia" w:eastAsiaTheme="majorEastAsia" w:cstheme="majorEastAsia"/>
          <w:b/>
          <w:color w:val="auto"/>
          <w:sz w:val="24"/>
          <w:highlight w:val="none"/>
        </w:rPr>
      </w:pPr>
      <w:bookmarkStart w:id="297" w:name="_Toc221951221"/>
      <w:r>
        <w:rPr>
          <w:rFonts w:hint="eastAsia" w:asciiTheme="majorEastAsia" w:hAnsiTheme="majorEastAsia" w:eastAsiaTheme="majorEastAsia" w:cstheme="majorEastAsia"/>
          <w:b/>
          <w:color w:val="auto"/>
          <w:sz w:val="24"/>
          <w:highlight w:val="none"/>
        </w:rPr>
        <w:t>15.8 暂估价</w:t>
      </w:r>
      <w:bookmarkEnd w:id="297"/>
    </w:p>
    <w:p w14:paraId="071D508F">
      <w:pPr>
        <w:spacing w:line="400" w:lineRule="exact"/>
        <w:ind w:firstLine="420"/>
        <w:rPr>
          <w:rFonts w:hint="eastAsia" w:asciiTheme="majorEastAsia" w:hAnsiTheme="majorEastAsia" w:eastAsiaTheme="majorEastAsia" w:cstheme="majorEastAsia"/>
          <w:color w:val="auto"/>
          <w:szCs w:val="21"/>
          <w:highlight w:val="none"/>
        </w:rPr>
      </w:pPr>
      <w:bookmarkStart w:id="298" w:name="_Toc221951222"/>
      <w:r>
        <w:rPr>
          <w:rFonts w:hint="eastAsia" w:asciiTheme="majorEastAsia" w:hAnsiTheme="majorEastAsia" w:eastAsiaTheme="majorEastAsia" w:cstheme="majorEastAsia"/>
          <w:color w:val="auto"/>
          <w:szCs w:val="21"/>
          <w:highlight w:val="none"/>
        </w:rPr>
        <w:t>15.8.1 （1）发包人和承包人组织招标的暂估价项目：</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 xml:space="preserve"> ；发包人组织招标的</w:t>
      </w:r>
      <w:bookmarkEnd w:id="298"/>
      <w:r>
        <w:rPr>
          <w:rFonts w:hint="eastAsia" w:asciiTheme="majorEastAsia" w:hAnsiTheme="majorEastAsia" w:eastAsiaTheme="majorEastAsia" w:cstheme="majorEastAsia"/>
          <w:color w:val="auto"/>
          <w:szCs w:val="21"/>
          <w:highlight w:val="none"/>
        </w:rPr>
        <w:t>暂估价项目：</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44DFDCEA">
      <w:pPr>
        <w:spacing w:line="400" w:lineRule="exact"/>
        <w:ind w:firstLine="420"/>
        <w:jc w:val="left"/>
        <w:rPr>
          <w:rFonts w:hint="eastAsia" w:asciiTheme="majorEastAsia" w:hAnsiTheme="majorEastAsia" w:eastAsiaTheme="majorEastAsia" w:cstheme="majorEastAsia"/>
          <w:color w:val="auto"/>
          <w:szCs w:val="21"/>
          <w:highlight w:val="none"/>
          <w:lang w:val="en-US" w:eastAsia="zh-CN"/>
        </w:rPr>
      </w:pPr>
      <w:bookmarkStart w:id="299" w:name="_Toc309533755"/>
      <w:bookmarkStart w:id="300" w:name="_Toc309533362"/>
      <w:bookmarkStart w:id="301" w:name="_Toc309534187"/>
      <w:bookmarkStart w:id="302" w:name="_Toc229305397"/>
      <w:r>
        <w:rPr>
          <w:rFonts w:hint="eastAsia" w:asciiTheme="majorEastAsia" w:hAnsiTheme="majorEastAsia" w:eastAsiaTheme="majorEastAsia" w:cstheme="majorEastAsia"/>
          <w:color w:val="auto"/>
          <w:szCs w:val="21"/>
          <w:highlight w:val="none"/>
        </w:rPr>
        <w:t>（2）发包人和承包人以招标方式选择暂估价项目供应商和分包人时，双方的权利义务关系：</w:t>
      </w:r>
      <w:r>
        <w:rPr>
          <w:rFonts w:hint="eastAsia" w:asciiTheme="majorEastAsia" w:hAnsiTheme="majorEastAsia" w:eastAsiaTheme="majorEastAsia" w:cstheme="majorEastAsia"/>
          <w:color w:val="auto"/>
          <w:szCs w:val="21"/>
          <w:highlight w:val="none"/>
          <w:lang w:val="en-US" w:eastAsia="zh-CN"/>
        </w:rPr>
        <w:t xml:space="preserve"> </w:t>
      </w:r>
    </w:p>
    <w:p w14:paraId="7B788D84">
      <w:pPr>
        <w:spacing w:line="400" w:lineRule="exact"/>
        <w:ind w:firstLine="42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56C80D0C">
      <w:pPr>
        <w:spacing w:line="400" w:lineRule="exact"/>
        <w:rPr>
          <w:rFonts w:hint="eastAsia" w:asciiTheme="majorEastAsia" w:hAnsiTheme="majorEastAsia" w:eastAsiaTheme="majorEastAsia" w:cstheme="majorEastAsia"/>
          <w:b/>
          <w:color w:val="auto"/>
          <w:sz w:val="28"/>
          <w:szCs w:val="28"/>
          <w:highlight w:val="none"/>
        </w:rPr>
      </w:pPr>
      <w:r>
        <w:rPr>
          <w:rFonts w:hint="eastAsia" w:asciiTheme="majorEastAsia" w:hAnsiTheme="majorEastAsia" w:eastAsiaTheme="majorEastAsia" w:cstheme="majorEastAsia"/>
          <w:b/>
          <w:color w:val="auto"/>
          <w:sz w:val="28"/>
          <w:szCs w:val="28"/>
          <w:highlight w:val="none"/>
        </w:rPr>
        <w:t>16 价格调整</w:t>
      </w:r>
      <w:bookmarkEnd w:id="299"/>
      <w:bookmarkEnd w:id="300"/>
      <w:bookmarkEnd w:id="301"/>
      <w:bookmarkEnd w:id="302"/>
    </w:p>
    <w:p w14:paraId="137A364D">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16.1 物价波动引起的价格调整</w:t>
      </w:r>
    </w:p>
    <w:p w14:paraId="2E88E7B6">
      <w:pPr>
        <w:spacing w:line="400" w:lineRule="exact"/>
        <w:ind w:firstLine="411" w:firstLineChars="196"/>
        <w:rPr>
          <w:rFonts w:hint="eastAsia" w:asciiTheme="majorEastAsia" w:hAnsiTheme="majorEastAsia" w:eastAsiaTheme="majorEastAsia" w:cstheme="majorEastAsia"/>
          <w:color w:val="auto"/>
          <w:szCs w:val="21"/>
          <w:highlight w:val="none"/>
        </w:rPr>
      </w:pPr>
      <w:bookmarkStart w:id="303" w:name="_Toc309533756"/>
      <w:bookmarkStart w:id="304" w:name="_Toc221951223"/>
      <w:bookmarkStart w:id="305" w:name="_Toc222033891"/>
      <w:bookmarkStart w:id="306" w:name="_Toc309533363"/>
      <w:bookmarkStart w:id="307" w:name="_Toc222032709"/>
      <w:bookmarkStart w:id="308" w:name="_Toc229305398"/>
      <w:bookmarkStart w:id="309" w:name="_Toc309534188"/>
      <w:bookmarkStart w:id="310" w:name="_Toc222031042"/>
      <w:bookmarkStart w:id="311" w:name="_Toc222029540"/>
      <w:r>
        <w:rPr>
          <w:rFonts w:hint="eastAsia" w:asciiTheme="majorEastAsia" w:hAnsiTheme="majorEastAsia" w:eastAsiaTheme="majorEastAsia" w:cstheme="majorEastAsia"/>
          <w:color w:val="auto"/>
          <w:szCs w:val="21"/>
          <w:highlight w:val="none"/>
        </w:rPr>
        <w:t>合同执行过程中因人工、材料、设备和机械台班等价格波动影响不予考虑，有经验的承包商在报价中应考虑价格波动因素。</w:t>
      </w:r>
    </w:p>
    <w:bookmarkEnd w:id="303"/>
    <w:bookmarkEnd w:id="304"/>
    <w:bookmarkEnd w:id="305"/>
    <w:bookmarkEnd w:id="306"/>
    <w:bookmarkEnd w:id="307"/>
    <w:bookmarkEnd w:id="308"/>
    <w:bookmarkEnd w:id="309"/>
    <w:bookmarkEnd w:id="310"/>
    <w:bookmarkEnd w:id="311"/>
    <w:p w14:paraId="0A13ADF4">
      <w:pPr>
        <w:spacing w:line="400" w:lineRule="exact"/>
        <w:rPr>
          <w:rFonts w:hint="eastAsia" w:asciiTheme="majorEastAsia" w:hAnsiTheme="majorEastAsia" w:eastAsiaTheme="majorEastAsia" w:cstheme="majorEastAsia"/>
          <w:b/>
          <w:color w:val="auto"/>
          <w:sz w:val="28"/>
          <w:szCs w:val="28"/>
          <w:highlight w:val="none"/>
        </w:rPr>
      </w:pPr>
      <w:bookmarkStart w:id="312" w:name="_Toc222032710"/>
      <w:bookmarkStart w:id="313" w:name="_Toc222033892"/>
      <w:bookmarkStart w:id="314" w:name="_Toc229305399"/>
      <w:bookmarkStart w:id="315" w:name="_Toc221951271"/>
      <w:bookmarkStart w:id="316" w:name="_Toc222029541"/>
      <w:bookmarkStart w:id="317" w:name="_Toc222031043"/>
      <w:bookmarkStart w:id="318" w:name="_Toc309534189"/>
      <w:bookmarkStart w:id="319" w:name="_Toc309533757"/>
      <w:bookmarkStart w:id="320" w:name="_Toc309533364"/>
      <w:r>
        <w:rPr>
          <w:rFonts w:hint="eastAsia" w:asciiTheme="majorEastAsia" w:hAnsiTheme="majorEastAsia" w:eastAsiaTheme="majorEastAsia" w:cstheme="majorEastAsia"/>
          <w:b/>
          <w:color w:val="auto"/>
          <w:sz w:val="28"/>
          <w:szCs w:val="28"/>
          <w:highlight w:val="none"/>
        </w:rPr>
        <w:t>17 计量与支付</w:t>
      </w:r>
    </w:p>
    <w:p w14:paraId="3C8A4AF7">
      <w:pPr>
        <w:spacing w:line="400" w:lineRule="exact"/>
        <w:rPr>
          <w:rFonts w:hint="eastAsia" w:asciiTheme="majorEastAsia" w:hAnsiTheme="majorEastAsia" w:eastAsiaTheme="majorEastAsia" w:cstheme="majorEastAsia"/>
          <w:b/>
          <w:color w:val="auto"/>
          <w:sz w:val="24"/>
          <w:highlight w:val="none"/>
        </w:rPr>
      </w:pPr>
      <w:bookmarkStart w:id="321" w:name="_Toc221951224"/>
      <w:r>
        <w:rPr>
          <w:rFonts w:hint="eastAsia" w:asciiTheme="majorEastAsia" w:hAnsiTheme="majorEastAsia" w:eastAsiaTheme="majorEastAsia" w:cstheme="majorEastAsia"/>
          <w:b/>
          <w:color w:val="auto"/>
          <w:sz w:val="24"/>
          <w:highlight w:val="none"/>
        </w:rPr>
        <w:t>17.2 预付款</w:t>
      </w:r>
      <w:bookmarkEnd w:id="321"/>
      <w:bookmarkStart w:id="322" w:name="_Toc221951226"/>
    </w:p>
    <w:p w14:paraId="5218EFA6">
      <w:pPr>
        <w:spacing w:line="400" w:lineRule="exact"/>
        <w:ind w:firstLine="420" w:firstLineChars="200"/>
        <w:rPr>
          <w:rFonts w:hint="default" w:asciiTheme="majorEastAsia" w:hAnsiTheme="majorEastAsia" w:eastAsiaTheme="majorEastAsia" w:cstheme="majorEastAsia"/>
          <w:color w:val="auto"/>
          <w:highlight w:val="none"/>
          <w:lang w:val="en-US" w:eastAsia="zh-CN"/>
        </w:rPr>
      </w:pPr>
      <w:r>
        <w:rPr>
          <w:rFonts w:hint="eastAsia" w:asciiTheme="majorEastAsia" w:hAnsiTheme="majorEastAsia" w:eastAsiaTheme="majorEastAsia" w:cstheme="majorEastAsia"/>
          <w:color w:val="auto"/>
          <w:highlight w:val="none"/>
        </w:rPr>
        <w:t>17.2.1预付款</w:t>
      </w:r>
      <w:bookmarkEnd w:id="322"/>
      <w:r>
        <w:rPr>
          <w:rFonts w:hint="eastAsia" w:asciiTheme="majorEastAsia" w:hAnsiTheme="majorEastAsia" w:eastAsiaTheme="majorEastAsia" w:cstheme="majorEastAsia"/>
          <w:color w:val="auto"/>
          <w:highlight w:val="none"/>
          <w:u w:val="single"/>
        </w:rPr>
        <w:t xml:space="preserve"> </w:t>
      </w:r>
      <w:r>
        <w:rPr>
          <w:rFonts w:hint="eastAsia" w:asciiTheme="majorEastAsia" w:hAnsiTheme="majorEastAsia" w:eastAsiaTheme="majorEastAsia" w:cstheme="majorEastAsia"/>
          <w:color w:val="auto"/>
          <w:highlight w:val="none"/>
          <w:u w:val="single"/>
          <w:lang w:val="en-US" w:eastAsia="zh-CN"/>
        </w:rPr>
        <w:t xml:space="preserve">                              。</w:t>
      </w:r>
    </w:p>
    <w:p w14:paraId="1C7C0B7E">
      <w:pPr>
        <w:spacing w:line="400" w:lineRule="exact"/>
        <w:ind w:firstLine="420" w:firstLineChars="200"/>
        <w:rPr>
          <w:rFonts w:hint="default" w:asciiTheme="majorEastAsia" w:hAnsiTheme="majorEastAsia" w:eastAsiaTheme="majorEastAsia" w:cstheme="majorEastAsia"/>
          <w:color w:val="auto"/>
          <w:szCs w:val="21"/>
          <w:highlight w:val="none"/>
          <w:lang w:val="en-US" w:eastAsia="zh-CN"/>
        </w:rPr>
      </w:pPr>
      <w:bookmarkStart w:id="323" w:name="_Toc221951235"/>
      <w:r>
        <w:rPr>
          <w:rFonts w:hint="eastAsia" w:asciiTheme="majorEastAsia" w:hAnsiTheme="majorEastAsia" w:eastAsiaTheme="majorEastAsia" w:cstheme="majorEastAsia"/>
          <w:color w:val="auto"/>
          <w:highlight w:val="none"/>
        </w:rPr>
        <w:t>17.2.2 预付款保函</w:t>
      </w:r>
      <w:bookmarkEnd w:id="323"/>
      <w:r>
        <w:rPr>
          <w:rFonts w:hint="eastAsia" w:asciiTheme="majorEastAsia" w:hAnsiTheme="majorEastAsia" w:eastAsiaTheme="majorEastAsia" w:cstheme="majorEastAsia"/>
          <w:color w:val="auto"/>
          <w:highlight w:val="none"/>
        </w:rPr>
        <w:t>（担保）</w:t>
      </w:r>
      <w:r>
        <w:rPr>
          <w:rFonts w:hint="eastAsia" w:asciiTheme="majorEastAsia" w:hAnsiTheme="majorEastAsia" w:eastAsiaTheme="majorEastAsia" w:cstheme="majorEastAsia"/>
          <w:color w:val="auto"/>
          <w:highlight w:val="none"/>
          <w:u w:val="single"/>
          <w:lang w:val="en-US" w:eastAsia="zh-CN"/>
        </w:rPr>
        <w:t xml:space="preserve">                  。</w:t>
      </w:r>
    </w:p>
    <w:p w14:paraId="7985961E">
      <w:pPr>
        <w:spacing w:line="400" w:lineRule="exact"/>
        <w:ind w:firstLine="420" w:firstLineChars="200"/>
        <w:rPr>
          <w:rFonts w:hint="default" w:asciiTheme="majorEastAsia" w:hAnsiTheme="majorEastAsia" w:eastAsiaTheme="majorEastAsia" w:cstheme="majorEastAsia"/>
          <w:color w:val="auto"/>
          <w:szCs w:val="21"/>
          <w:highlight w:val="none"/>
          <w:lang w:val="en-US" w:eastAsia="zh-CN"/>
        </w:rPr>
      </w:pPr>
      <w:bookmarkStart w:id="324" w:name="_Toc221951237"/>
      <w:r>
        <w:rPr>
          <w:rFonts w:hint="eastAsia" w:asciiTheme="majorEastAsia" w:hAnsiTheme="majorEastAsia" w:eastAsiaTheme="majorEastAsia" w:cstheme="majorEastAsia"/>
          <w:color w:val="auto"/>
          <w:szCs w:val="21"/>
          <w:highlight w:val="none"/>
        </w:rPr>
        <w:t>17.2.3 预付款的扣回与还清</w:t>
      </w:r>
      <w:bookmarkEnd w:id="324"/>
      <w:r>
        <w:rPr>
          <w:rFonts w:hint="eastAsia" w:asciiTheme="majorEastAsia" w:hAnsiTheme="majorEastAsia" w:eastAsiaTheme="majorEastAsia" w:cstheme="majorEastAsia"/>
          <w:color w:val="auto"/>
          <w:szCs w:val="21"/>
          <w:highlight w:val="none"/>
          <w:u w:val="single"/>
          <w:lang w:val="en-US" w:eastAsia="zh-CN"/>
        </w:rPr>
        <w:t xml:space="preserve">                   。</w:t>
      </w:r>
    </w:p>
    <w:p w14:paraId="55640D4A">
      <w:pPr>
        <w:spacing w:line="400" w:lineRule="exact"/>
        <w:rPr>
          <w:rFonts w:hint="eastAsia" w:asciiTheme="majorEastAsia" w:hAnsiTheme="majorEastAsia" w:eastAsiaTheme="majorEastAsia" w:cstheme="majorEastAsia"/>
          <w:b/>
          <w:color w:val="auto"/>
          <w:sz w:val="24"/>
          <w:highlight w:val="none"/>
        </w:rPr>
      </w:pPr>
      <w:bookmarkStart w:id="325" w:name="_Toc221951260"/>
      <w:r>
        <w:rPr>
          <w:rFonts w:hint="eastAsia" w:asciiTheme="majorEastAsia" w:hAnsiTheme="majorEastAsia" w:eastAsiaTheme="majorEastAsia" w:cstheme="majorEastAsia"/>
          <w:b/>
          <w:color w:val="auto"/>
          <w:sz w:val="24"/>
          <w:highlight w:val="none"/>
        </w:rPr>
        <w:t>17.4 质量保证金</w:t>
      </w:r>
      <w:bookmarkEnd w:id="325"/>
    </w:p>
    <w:p w14:paraId="0879921E">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26" w:name="_Toc221951262"/>
      <w:r>
        <w:rPr>
          <w:rFonts w:hint="eastAsia" w:asciiTheme="majorEastAsia" w:hAnsiTheme="majorEastAsia" w:eastAsiaTheme="majorEastAsia" w:cstheme="majorEastAsia"/>
          <w:color w:val="auto"/>
          <w:szCs w:val="21"/>
          <w:highlight w:val="none"/>
        </w:rPr>
        <w:t>17.4.1</w:t>
      </w:r>
      <w:bookmarkEnd w:id="326"/>
      <w:r>
        <w:rPr>
          <w:rFonts w:hint="eastAsia" w:asciiTheme="majorEastAsia" w:hAnsiTheme="majorEastAsia" w:eastAsiaTheme="majorEastAsia" w:cstheme="majorEastAsia"/>
          <w:color w:val="auto"/>
          <w:szCs w:val="21"/>
          <w:highlight w:val="none"/>
        </w:rPr>
        <w:t>扣留的质量保证金总额为工程价款结算总额的3%。</w:t>
      </w:r>
    </w:p>
    <w:p w14:paraId="1F0CF8D6">
      <w:pPr>
        <w:spacing w:line="400" w:lineRule="exact"/>
        <w:rPr>
          <w:rFonts w:hint="eastAsia" w:asciiTheme="majorEastAsia" w:hAnsiTheme="majorEastAsia" w:eastAsiaTheme="majorEastAsia" w:cstheme="majorEastAsia"/>
          <w:b/>
          <w:color w:val="auto"/>
          <w:sz w:val="24"/>
          <w:highlight w:val="none"/>
        </w:rPr>
      </w:pPr>
      <w:bookmarkStart w:id="327" w:name="_Toc221951265"/>
      <w:r>
        <w:rPr>
          <w:rFonts w:hint="eastAsia" w:asciiTheme="majorEastAsia" w:hAnsiTheme="majorEastAsia" w:eastAsiaTheme="majorEastAsia" w:cstheme="majorEastAsia"/>
          <w:b/>
          <w:color w:val="auto"/>
          <w:sz w:val="24"/>
          <w:highlight w:val="none"/>
        </w:rPr>
        <w:t>17.5 竣工（完工）结算</w:t>
      </w:r>
      <w:bookmarkEnd w:id="327"/>
    </w:p>
    <w:p w14:paraId="4193E62D">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28" w:name="_Toc221951266"/>
      <w:r>
        <w:rPr>
          <w:rFonts w:hint="eastAsia" w:asciiTheme="majorEastAsia" w:hAnsiTheme="majorEastAsia" w:eastAsiaTheme="majorEastAsia" w:cstheme="majorEastAsia"/>
          <w:color w:val="auto"/>
          <w:szCs w:val="21"/>
          <w:highlight w:val="none"/>
        </w:rPr>
        <w:t>17.5.1  竣工（完工）付款申请单</w:t>
      </w:r>
      <w:bookmarkEnd w:id="328"/>
    </w:p>
    <w:p w14:paraId="7B562C3B">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29" w:name="_Toc221951267"/>
      <w:r>
        <w:rPr>
          <w:rFonts w:hint="eastAsia" w:asciiTheme="majorEastAsia" w:hAnsiTheme="majorEastAsia" w:eastAsiaTheme="majorEastAsia" w:cstheme="majorEastAsia"/>
          <w:color w:val="auto"/>
          <w:szCs w:val="21"/>
          <w:highlight w:val="none"/>
        </w:rPr>
        <w:t>（1）承包人应提交完工付款申请单一式</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 xml:space="preserve"> 份。</w:t>
      </w:r>
      <w:bookmarkEnd w:id="329"/>
    </w:p>
    <w:p w14:paraId="3DEC09EA">
      <w:pPr>
        <w:spacing w:line="400" w:lineRule="exact"/>
        <w:rPr>
          <w:rFonts w:hint="eastAsia" w:asciiTheme="majorEastAsia" w:hAnsiTheme="majorEastAsia" w:eastAsiaTheme="majorEastAsia" w:cstheme="majorEastAsia"/>
          <w:b/>
          <w:color w:val="auto"/>
          <w:sz w:val="24"/>
          <w:highlight w:val="none"/>
        </w:rPr>
      </w:pPr>
      <w:bookmarkStart w:id="330" w:name="_Toc221951268"/>
      <w:r>
        <w:rPr>
          <w:rFonts w:hint="eastAsia" w:asciiTheme="majorEastAsia" w:hAnsiTheme="majorEastAsia" w:eastAsiaTheme="majorEastAsia" w:cstheme="majorEastAsia"/>
          <w:b/>
          <w:color w:val="auto"/>
          <w:sz w:val="24"/>
          <w:highlight w:val="none"/>
        </w:rPr>
        <w:t>17.6 最终结清</w:t>
      </w:r>
      <w:bookmarkEnd w:id="330"/>
    </w:p>
    <w:p w14:paraId="3BCB3684">
      <w:pPr>
        <w:spacing w:line="400" w:lineRule="exact"/>
        <w:ind w:firstLine="480"/>
        <w:rPr>
          <w:rFonts w:hint="eastAsia" w:asciiTheme="majorEastAsia" w:hAnsiTheme="majorEastAsia" w:eastAsiaTheme="majorEastAsia" w:cstheme="majorEastAsia"/>
          <w:color w:val="auto"/>
          <w:highlight w:val="none"/>
        </w:rPr>
      </w:pPr>
      <w:bookmarkStart w:id="331" w:name="_Toc221951269"/>
      <w:r>
        <w:rPr>
          <w:rFonts w:hint="eastAsia" w:asciiTheme="majorEastAsia" w:hAnsiTheme="majorEastAsia" w:eastAsiaTheme="majorEastAsia" w:cstheme="majorEastAsia"/>
          <w:color w:val="auto"/>
          <w:highlight w:val="none"/>
        </w:rPr>
        <w:t>17.6 1  最终结清申请单</w:t>
      </w:r>
      <w:bookmarkEnd w:id="331"/>
    </w:p>
    <w:p w14:paraId="552CED90">
      <w:pPr>
        <w:spacing w:line="400" w:lineRule="exact"/>
        <w:ind w:firstLine="480"/>
        <w:rPr>
          <w:rFonts w:hint="eastAsia" w:asciiTheme="majorEastAsia" w:hAnsiTheme="majorEastAsia" w:eastAsiaTheme="majorEastAsia" w:cstheme="majorEastAsia"/>
          <w:color w:val="auto"/>
          <w:szCs w:val="21"/>
          <w:highlight w:val="none"/>
        </w:rPr>
      </w:pPr>
      <w:bookmarkStart w:id="332" w:name="_Toc221951270"/>
      <w:r>
        <w:rPr>
          <w:rFonts w:hint="eastAsia" w:asciiTheme="majorEastAsia" w:hAnsiTheme="majorEastAsia" w:eastAsiaTheme="majorEastAsia" w:cstheme="majorEastAsia"/>
          <w:color w:val="auto"/>
          <w:szCs w:val="21"/>
          <w:highlight w:val="none"/>
        </w:rPr>
        <w:t>（1）承包人应提交最终结清申请单一式</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份。</w:t>
      </w:r>
      <w:bookmarkEnd w:id="332"/>
    </w:p>
    <w:p w14:paraId="156139DE">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17.7 竣工财务决算</w:t>
      </w:r>
    </w:p>
    <w:p w14:paraId="2835A008">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承包人应为竣工财务决算编制提供的资料：</w:t>
      </w:r>
      <w:r>
        <w:rPr>
          <w:rFonts w:hint="eastAsia" w:asciiTheme="majorEastAsia" w:hAnsiTheme="majorEastAsia" w:eastAsiaTheme="majorEastAsia" w:cstheme="majorEastAsia"/>
          <w:color w:val="auto"/>
          <w:highlight w:val="none"/>
          <w:u w:val="single"/>
          <w:lang w:val="en-US" w:eastAsia="zh-CN"/>
        </w:rPr>
        <w:t xml:space="preserve">              </w:t>
      </w:r>
      <w:r>
        <w:rPr>
          <w:rFonts w:hint="eastAsia" w:asciiTheme="majorEastAsia" w:hAnsiTheme="majorEastAsia" w:eastAsiaTheme="majorEastAsia" w:cstheme="majorEastAsia"/>
          <w:color w:val="auto"/>
          <w:highlight w:val="none"/>
        </w:rPr>
        <w:t>。</w:t>
      </w:r>
    </w:p>
    <w:p w14:paraId="483515C4">
      <w:pPr>
        <w:spacing w:line="400" w:lineRule="exact"/>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b/>
          <w:color w:val="auto"/>
          <w:sz w:val="28"/>
          <w:szCs w:val="28"/>
          <w:highlight w:val="none"/>
        </w:rPr>
        <w:t>18 竣工验收</w:t>
      </w:r>
      <w:bookmarkEnd w:id="312"/>
      <w:bookmarkEnd w:id="313"/>
      <w:bookmarkEnd w:id="314"/>
      <w:bookmarkEnd w:id="315"/>
      <w:bookmarkEnd w:id="316"/>
      <w:bookmarkEnd w:id="317"/>
      <w:r>
        <w:rPr>
          <w:rFonts w:hint="eastAsia" w:asciiTheme="majorEastAsia" w:hAnsiTheme="majorEastAsia" w:eastAsiaTheme="majorEastAsia" w:cstheme="majorEastAsia"/>
          <w:b/>
          <w:color w:val="auto"/>
          <w:sz w:val="28"/>
          <w:szCs w:val="28"/>
          <w:highlight w:val="none"/>
        </w:rPr>
        <w:t>（验收）</w:t>
      </w:r>
      <w:bookmarkEnd w:id="318"/>
      <w:bookmarkEnd w:id="319"/>
      <w:bookmarkEnd w:id="320"/>
    </w:p>
    <w:p w14:paraId="161392BF">
      <w:pPr>
        <w:spacing w:line="400" w:lineRule="exact"/>
        <w:rPr>
          <w:rFonts w:hint="eastAsia" w:asciiTheme="majorEastAsia" w:hAnsiTheme="majorEastAsia" w:eastAsiaTheme="majorEastAsia" w:cstheme="majorEastAsia"/>
          <w:b/>
          <w:color w:val="auto"/>
          <w:sz w:val="24"/>
          <w:highlight w:val="none"/>
        </w:rPr>
      </w:pPr>
      <w:bookmarkStart w:id="333" w:name="_Toc221951272"/>
      <w:r>
        <w:rPr>
          <w:rFonts w:hint="eastAsia" w:asciiTheme="majorEastAsia" w:hAnsiTheme="majorEastAsia" w:eastAsiaTheme="majorEastAsia" w:cstheme="majorEastAsia"/>
          <w:b/>
          <w:color w:val="auto"/>
          <w:sz w:val="24"/>
          <w:highlight w:val="none"/>
        </w:rPr>
        <w:t xml:space="preserve">18.1 </w:t>
      </w:r>
      <w:bookmarkEnd w:id="333"/>
      <w:r>
        <w:rPr>
          <w:rFonts w:hint="eastAsia" w:asciiTheme="majorEastAsia" w:hAnsiTheme="majorEastAsia" w:eastAsiaTheme="majorEastAsia" w:cstheme="majorEastAsia"/>
          <w:b/>
          <w:color w:val="auto"/>
          <w:sz w:val="24"/>
          <w:highlight w:val="none"/>
        </w:rPr>
        <w:t>验收工作分类</w:t>
      </w:r>
    </w:p>
    <w:p w14:paraId="006BC66A">
      <w:pPr>
        <w:spacing w:line="400" w:lineRule="exact"/>
        <w:rPr>
          <w:rFonts w:hint="eastAsia" w:asciiTheme="majorEastAsia" w:hAnsiTheme="majorEastAsia" w:eastAsiaTheme="majorEastAsia" w:cstheme="majorEastAsia"/>
          <w:b/>
          <w:color w:val="auto"/>
          <w:szCs w:val="21"/>
          <w:highlight w:val="none"/>
          <w:u w:val="single"/>
        </w:rPr>
      </w:pPr>
      <w:r>
        <w:rPr>
          <w:rFonts w:hint="eastAsia" w:asciiTheme="majorEastAsia" w:hAnsiTheme="majorEastAsia" w:eastAsiaTheme="majorEastAsia" w:cstheme="majorEastAsia"/>
          <w:color w:val="auto"/>
          <w:highlight w:val="none"/>
        </w:rPr>
        <w:t xml:space="preserve">   </w:t>
      </w:r>
      <w:bookmarkStart w:id="334" w:name="_Toc221951274"/>
      <w:r>
        <w:rPr>
          <w:rFonts w:hint="eastAsia" w:asciiTheme="majorEastAsia" w:hAnsiTheme="majorEastAsia" w:eastAsiaTheme="majorEastAsia" w:cstheme="majorEastAsia"/>
          <w:color w:val="auto"/>
          <w:szCs w:val="21"/>
          <w:highlight w:val="none"/>
        </w:rPr>
        <w:t>本工程法人验收包括：</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 xml:space="preserve"> ；政府验收包括：</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。验收条件：</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，验收程序为：</w:t>
      </w:r>
      <w:r>
        <w:rPr>
          <w:rFonts w:hint="eastAsia" w:asciiTheme="majorEastAsia" w:hAnsiTheme="majorEastAsia" w:eastAsiaTheme="majorEastAsia" w:cstheme="majorEastAsia"/>
          <w:color w:val="auto"/>
          <w:szCs w:val="21"/>
          <w:highlight w:val="none"/>
          <w:u w:val="single"/>
          <w:lang w:val="en-US" w:eastAsia="zh-CN"/>
        </w:rPr>
        <w:t xml:space="preserve">                   。</w:t>
      </w:r>
    </w:p>
    <w:p w14:paraId="2D704012">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18.2 分部工程验收</w:t>
      </w:r>
    </w:p>
    <w:p w14:paraId="5E8865AB">
      <w:pPr>
        <w:spacing w:line="400" w:lineRule="exact"/>
        <w:ind w:firstLine="420" w:firstLineChars="20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highlight w:val="none"/>
        </w:rPr>
        <w:t>18.2.2 本工程分部工程验收</w:t>
      </w:r>
      <w:r>
        <w:rPr>
          <w:rFonts w:hint="eastAsia" w:asciiTheme="majorEastAsia" w:hAnsiTheme="majorEastAsia" w:eastAsiaTheme="majorEastAsia" w:cstheme="majorEastAsia"/>
          <w:color w:val="auto"/>
          <w:szCs w:val="21"/>
          <w:highlight w:val="none"/>
        </w:rPr>
        <w:t>由发包人委托监理人主持。</w:t>
      </w:r>
    </w:p>
    <w:p w14:paraId="196A4B15">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18.3 单位工程验收</w:t>
      </w:r>
    </w:p>
    <w:p w14:paraId="1B4EC46C">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18.3.4 提前投入使用的的单位工程包括：</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24B4995A">
      <w:pPr>
        <w:spacing w:line="400" w:lineRule="exact"/>
        <w:rPr>
          <w:rFonts w:hint="eastAsia" w:asciiTheme="majorEastAsia" w:hAnsiTheme="majorEastAsia" w:eastAsiaTheme="majorEastAsia" w:cstheme="majorEastAsia"/>
          <w:b/>
          <w:bCs/>
          <w:color w:val="auto"/>
          <w:sz w:val="24"/>
          <w:highlight w:val="none"/>
        </w:rPr>
      </w:pPr>
      <w:r>
        <w:rPr>
          <w:rFonts w:hint="eastAsia" w:asciiTheme="majorEastAsia" w:hAnsiTheme="majorEastAsia" w:eastAsiaTheme="majorEastAsia" w:cstheme="majorEastAsia"/>
          <w:b/>
          <w:bCs/>
          <w:color w:val="auto"/>
          <w:sz w:val="24"/>
          <w:highlight w:val="none"/>
        </w:rPr>
        <w:t>18.5 阶段验收</w:t>
      </w:r>
    </w:p>
    <w:p w14:paraId="6B3A419F">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18.5.1 本合同工程阶段验收类别包括：</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bookmarkEnd w:id="334"/>
    <w:p w14:paraId="6EA88E6E">
      <w:pPr>
        <w:spacing w:line="400" w:lineRule="exact"/>
        <w:rPr>
          <w:rFonts w:hint="eastAsia" w:asciiTheme="majorEastAsia" w:hAnsiTheme="majorEastAsia" w:eastAsiaTheme="majorEastAsia" w:cstheme="majorEastAsia"/>
          <w:b/>
          <w:color w:val="auto"/>
          <w:sz w:val="24"/>
          <w:highlight w:val="none"/>
        </w:rPr>
      </w:pPr>
      <w:bookmarkStart w:id="335" w:name="_Toc221951285"/>
      <w:r>
        <w:rPr>
          <w:rFonts w:hint="eastAsia" w:asciiTheme="majorEastAsia" w:hAnsiTheme="majorEastAsia" w:eastAsiaTheme="majorEastAsia" w:cstheme="majorEastAsia"/>
          <w:b/>
          <w:color w:val="auto"/>
          <w:sz w:val="24"/>
          <w:highlight w:val="none"/>
        </w:rPr>
        <w:t>18.6 专项验收</w:t>
      </w:r>
      <w:bookmarkEnd w:id="335"/>
      <w:r>
        <w:rPr>
          <w:rFonts w:hint="eastAsia" w:asciiTheme="majorEastAsia" w:hAnsiTheme="majorEastAsia" w:eastAsiaTheme="majorEastAsia" w:cstheme="majorEastAsia"/>
          <w:b/>
          <w:color w:val="auto"/>
          <w:sz w:val="24"/>
          <w:highlight w:val="none"/>
        </w:rPr>
        <w:t xml:space="preserve">   </w:t>
      </w:r>
    </w:p>
    <w:p w14:paraId="35806882">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36" w:name="_Toc221951286"/>
      <w:r>
        <w:rPr>
          <w:rFonts w:hint="eastAsia" w:asciiTheme="majorEastAsia" w:hAnsiTheme="majorEastAsia" w:eastAsiaTheme="majorEastAsia" w:cstheme="majorEastAsia"/>
          <w:color w:val="auto"/>
          <w:szCs w:val="21"/>
          <w:highlight w:val="none"/>
        </w:rPr>
        <w:t xml:space="preserve">18.6.2 </w:t>
      </w:r>
      <w:bookmarkEnd w:id="336"/>
      <w:r>
        <w:rPr>
          <w:rFonts w:hint="eastAsia" w:asciiTheme="majorEastAsia" w:hAnsiTheme="majorEastAsia" w:eastAsiaTheme="majorEastAsia" w:cstheme="majorEastAsia"/>
          <w:color w:val="auto"/>
          <w:szCs w:val="21"/>
          <w:highlight w:val="none"/>
        </w:rPr>
        <w:t>本合同工程专项验收类别包括：</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7D449C30">
      <w:pPr>
        <w:spacing w:line="400" w:lineRule="exact"/>
        <w:rPr>
          <w:rFonts w:hint="eastAsia" w:asciiTheme="majorEastAsia" w:hAnsiTheme="majorEastAsia" w:eastAsiaTheme="majorEastAsia" w:cstheme="majorEastAsia"/>
          <w:b/>
          <w:color w:val="auto"/>
          <w:sz w:val="24"/>
          <w:highlight w:val="none"/>
        </w:rPr>
      </w:pPr>
      <w:bookmarkStart w:id="337" w:name="_Toc221951289"/>
      <w:r>
        <w:rPr>
          <w:rFonts w:hint="eastAsia" w:asciiTheme="majorEastAsia" w:hAnsiTheme="majorEastAsia" w:eastAsiaTheme="majorEastAsia" w:cstheme="majorEastAsia"/>
          <w:b/>
          <w:color w:val="auto"/>
          <w:sz w:val="24"/>
          <w:highlight w:val="none"/>
        </w:rPr>
        <w:t>18.7 竣工</w:t>
      </w:r>
      <w:bookmarkEnd w:id="337"/>
      <w:r>
        <w:rPr>
          <w:rFonts w:hint="eastAsia" w:asciiTheme="majorEastAsia" w:hAnsiTheme="majorEastAsia" w:eastAsiaTheme="majorEastAsia" w:cstheme="majorEastAsia"/>
          <w:b/>
          <w:color w:val="auto"/>
          <w:sz w:val="24"/>
          <w:highlight w:val="none"/>
        </w:rPr>
        <w:t>验收</w:t>
      </w:r>
    </w:p>
    <w:p w14:paraId="6B3D923C">
      <w:pPr>
        <w:spacing w:line="400" w:lineRule="exact"/>
        <w:ind w:firstLine="420" w:firstLineChars="200"/>
        <w:rPr>
          <w:rFonts w:hint="eastAsia" w:asciiTheme="majorEastAsia" w:hAnsiTheme="majorEastAsia" w:eastAsiaTheme="majorEastAsia" w:cstheme="majorEastAsia"/>
          <w:color w:val="auto"/>
          <w:szCs w:val="21"/>
          <w:highlight w:val="none"/>
        </w:rPr>
      </w:pPr>
      <w:bookmarkStart w:id="338" w:name="_Toc221951290"/>
      <w:r>
        <w:rPr>
          <w:rFonts w:hint="eastAsia" w:asciiTheme="majorEastAsia" w:hAnsiTheme="majorEastAsia" w:eastAsiaTheme="majorEastAsia" w:cstheme="majorEastAsia"/>
          <w:color w:val="auto"/>
          <w:szCs w:val="21"/>
          <w:highlight w:val="none"/>
        </w:rPr>
        <w:t>18.7.3 本工程</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竣工验收技术鉴定。</w:t>
      </w:r>
      <w:bookmarkEnd w:id="338"/>
    </w:p>
    <w:p w14:paraId="4B820305">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18.8 施工期运行</w:t>
      </w:r>
    </w:p>
    <w:p w14:paraId="74095B20">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18.8.1 需要在施工期运行的单位工程或工程设备为：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6644A272">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18.9 试运行</w:t>
      </w:r>
    </w:p>
    <w:p w14:paraId="3EBA79DC">
      <w:pPr>
        <w:spacing w:line="40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18.9.1 试运行的组织：</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；费用承担：</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w:t>
      </w:r>
    </w:p>
    <w:p w14:paraId="773415A0">
      <w:pPr>
        <w:spacing w:line="360" w:lineRule="exact"/>
        <w:rPr>
          <w:rFonts w:hint="eastAsia" w:asciiTheme="majorEastAsia" w:hAnsiTheme="majorEastAsia" w:eastAsiaTheme="majorEastAsia" w:cstheme="majorEastAsia"/>
          <w:b/>
          <w:color w:val="auto"/>
          <w:sz w:val="28"/>
          <w:szCs w:val="28"/>
          <w:highlight w:val="none"/>
        </w:rPr>
      </w:pPr>
      <w:bookmarkStart w:id="339" w:name="_Toc309534190"/>
      <w:bookmarkStart w:id="340" w:name="_Toc309533365"/>
      <w:bookmarkStart w:id="341" w:name="_Toc309533758"/>
      <w:r>
        <w:rPr>
          <w:rFonts w:hint="eastAsia" w:asciiTheme="majorEastAsia" w:hAnsiTheme="majorEastAsia" w:eastAsiaTheme="majorEastAsia" w:cstheme="majorEastAsia"/>
          <w:b/>
          <w:color w:val="auto"/>
          <w:sz w:val="28"/>
          <w:szCs w:val="28"/>
          <w:highlight w:val="none"/>
        </w:rPr>
        <w:t>19 缺陷责任与保修责任</w:t>
      </w:r>
      <w:bookmarkEnd w:id="339"/>
      <w:bookmarkEnd w:id="340"/>
      <w:bookmarkEnd w:id="341"/>
    </w:p>
    <w:p w14:paraId="44084473">
      <w:pPr>
        <w:spacing w:line="36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19.1 缺陷责任期（工程质量保修期）的起算时间</w:t>
      </w:r>
    </w:p>
    <w:p w14:paraId="3C96A97C">
      <w:pPr>
        <w:spacing w:line="360" w:lineRule="exact"/>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本工程缺陷责任期（工程质量保修期）计算如下：缺陷责任期限为</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个月，缺陷责任期自移交证书颁发之日开始计算。</w:t>
      </w:r>
    </w:p>
    <w:p w14:paraId="295B55EC">
      <w:pPr>
        <w:spacing w:line="400" w:lineRule="exact"/>
        <w:rPr>
          <w:rFonts w:hint="eastAsia" w:asciiTheme="majorEastAsia" w:hAnsiTheme="majorEastAsia" w:eastAsiaTheme="majorEastAsia" w:cstheme="majorEastAsia"/>
          <w:b/>
          <w:color w:val="auto"/>
          <w:sz w:val="28"/>
          <w:szCs w:val="28"/>
          <w:highlight w:val="none"/>
        </w:rPr>
      </w:pPr>
      <w:bookmarkStart w:id="342" w:name="_Toc229305400"/>
      <w:bookmarkStart w:id="343" w:name="_Toc309533366"/>
      <w:bookmarkStart w:id="344" w:name="_Toc222031044"/>
      <w:bookmarkStart w:id="345" w:name="_Toc309534191"/>
      <w:bookmarkStart w:id="346" w:name="_Toc222029542"/>
      <w:bookmarkStart w:id="347" w:name="_Toc309533759"/>
      <w:bookmarkStart w:id="348" w:name="_Toc222032711"/>
      <w:bookmarkStart w:id="349" w:name="_Toc221951299"/>
      <w:bookmarkStart w:id="350" w:name="_Toc222033893"/>
      <w:r>
        <w:rPr>
          <w:rFonts w:hint="eastAsia" w:asciiTheme="majorEastAsia" w:hAnsiTheme="majorEastAsia" w:eastAsiaTheme="majorEastAsia" w:cstheme="majorEastAsia"/>
          <w:b/>
          <w:color w:val="auto"/>
          <w:sz w:val="28"/>
          <w:szCs w:val="28"/>
          <w:highlight w:val="none"/>
        </w:rPr>
        <w:t>20 保险</w:t>
      </w:r>
      <w:bookmarkEnd w:id="342"/>
      <w:bookmarkEnd w:id="343"/>
      <w:bookmarkEnd w:id="344"/>
      <w:bookmarkEnd w:id="345"/>
      <w:bookmarkEnd w:id="346"/>
      <w:bookmarkEnd w:id="347"/>
      <w:bookmarkEnd w:id="348"/>
      <w:bookmarkEnd w:id="349"/>
      <w:bookmarkEnd w:id="350"/>
    </w:p>
    <w:p w14:paraId="522869ED">
      <w:pPr>
        <w:spacing w:line="400" w:lineRule="exact"/>
        <w:rPr>
          <w:rFonts w:hint="eastAsia" w:asciiTheme="majorEastAsia" w:hAnsiTheme="majorEastAsia" w:eastAsiaTheme="majorEastAsia" w:cstheme="majorEastAsia"/>
          <w:b/>
          <w:color w:val="auto"/>
          <w:sz w:val="24"/>
          <w:highlight w:val="none"/>
        </w:rPr>
      </w:pPr>
      <w:bookmarkStart w:id="351" w:name="_Toc221951321"/>
      <w:r>
        <w:rPr>
          <w:rFonts w:hint="eastAsia" w:asciiTheme="majorEastAsia" w:hAnsiTheme="majorEastAsia" w:eastAsiaTheme="majorEastAsia" w:cstheme="majorEastAsia"/>
          <w:b/>
          <w:color w:val="auto"/>
          <w:sz w:val="24"/>
          <w:highlight w:val="none"/>
        </w:rPr>
        <w:t>20.1 工程保险</w:t>
      </w:r>
      <w:bookmarkEnd w:id="351"/>
    </w:p>
    <w:p w14:paraId="2A0C6B60">
      <w:pPr>
        <w:spacing w:line="400" w:lineRule="exact"/>
        <w:ind w:firstLine="480"/>
        <w:rPr>
          <w:rFonts w:hint="eastAsia" w:asciiTheme="majorEastAsia" w:hAnsiTheme="majorEastAsia" w:eastAsiaTheme="majorEastAsia" w:cstheme="majorEastAsia"/>
          <w:color w:val="auto"/>
          <w:szCs w:val="21"/>
          <w:highlight w:val="none"/>
        </w:rPr>
      </w:pPr>
      <w:bookmarkStart w:id="352" w:name="_Toc221951323"/>
      <w:r>
        <w:rPr>
          <w:rFonts w:hint="eastAsia" w:asciiTheme="majorEastAsia" w:hAnsiTheme="majorEastAsia" w:eastAsiaTheme="majorEastAsia" w:cstheme="majorEastAsia"/>
          <w:color w:val="auto"/>
          <w:szCs w:val="21"/>
          <w:highlight w:val="none"/>
        </w:rPr>
        <w:t>建筑工程一切险和（或）安装工程一切险投保人：</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 xml:space="preserve">； </w:t>
      </w:r>
    </w:p>
    <w:p w14:paraId="5E027C25">
      <w:pPr>
        <w:spacing w:line="400" w:lineRule="exact"/>
        <w:ind w:firstLine="525" w:firstLineChars="250"/>
        <w:jc w:val="lef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投保内容：</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5DDA0BFE">
      <w:pPr>
        <w:spacing w:line="400" w:lineRule="exact"/>
        <w:ind w:firstLine="48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保险金额、保险费率和保险期限：</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3E0BE496">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20.4 第三者责任险</w:t>
      </w:r>
      <w:bookmarkEnd w:id="352"/>
    </w:p>
    <w:p w14:paraId="2AFD6748">
      <w:pPr>
        <w:spacing w:line="400" w:lineRule="exact"/>
        <w:ind w:firstLine="480"/>
        <w:rPr>
          <w:rFonts w:hint="eastAsia" w:asciiTheme="majorEastAsia" w:hAnsiTheme="majorEastAsia" w:eastAsiaTheme="majorEastAsia" w:cstheme="majorEastAsia"/>
          <w:color w:val="auto"/>
          <w:szCs w:val="21"/>
          <w:highlight w:val="none"/>
        </w:rPr>
      </w:pPr>
      <w:bookmarkStart w:id="353" w:name="_Toc221951325"/>
      <w:r>
        <w:rPr>
          <w:rFonts w:hint="eastAsia" w:asciiTheme="majorEastAsia" w:hAnsiTheme="majorEastAsia" w:eastAsiaTheme="majorEastAsia" w:cstheme="majorEastAsia"/>
          <w:color w:val="auto"/>
          <w:szCs w:val="21"/>
          <w:highlight w:val="none"/>
        </w:rPr>
        <w:t>20.4.2第三者责任险保险费率：</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w:t>
      </w:r>
    </w:p>
    <w:p w14:paraId="5DBAC00D">
      <w:pPr>
        <w:spacing w:line="400" w:lineRule="exact"/>
        <w:ind w:firstLine="480"/>
        <w:rPr>
          <w:rFonts w:hint="eastAsia" w:asciiTheme="majorEastAsia" w:hAnsiTheme="majorEastAsia" w:eastAsiaTheme="majorEastAsia" w:cstheme="majorEastAsia"/>
          <w:color w:val="auto"/>
          <w:highlight w:val="none"/>
        </w:rPr>
      </w:pPr>
      <w:r>
        <w:rPr>
          <w:rFonts w:hint="eastAsia" w:asciiTheme="majorEastAsia" w:hAnsiTheme="majorEastAsia" w:eastAsiaTheme="majorEastAsia" w:cstheme="majorEastAsia"/>
          <w:color w:val="auto"/>
          <w:szCs w:val="21"/>
          <w:highlight w:val="none"/>
        </w:rPr>
        <w:t>第三者责任险保险金额：</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r>
        <w:rPr>
          <w:rFonts w:hint="eastAsia" w:asciiTheme="majorEastAsia" w:hAnsiTheme="majorEastAsia" w:eastAsiaTheme="majorEastAsia" w:cstheme="majorEastAsia"/>
          <w:color w:val="auto"/>
          <w:sz w:val="24"/>
          <w:highlight w:val="none"/>
        </w:rPr>
        <w:t xml:space="preserve"> </w:t>
      </w:r>
    </w:p>
    <w:p w14:paraId="525D49C6">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20.5 其他保险</w:t>
      </w:r>
      <w:bookmarkEnd w:id="353"/>
    </w:p>
    <w:p w14:paraId="0B645457">
      <w:pPr>
        <w:spacing w:line="400" w:lineRule="exact"/>
        <w:ind w:firstLine="480"/>
        <w:rPr>
          <w:rFonts w:hint="eastAsia" w:asciiTheme="majorEastAsia" w:hAnsiTheme="majorEastAsia" w:eastAsiaTheme="majorEastAsia" w:cstheme="majorEastAsia"/>
          <w:color w:val="auto"/>
          <w:szCs w:val="21"/>
          <w:highlight w:val="none"/>
        </w:rPr>
      </w:pPr>
      <w:bookmarkStart w:id="354" w:name="_Toc221951327"/>
      <w:r>
        <w:rPr>
          <w:rFonts w:hint="eastAsia" w:asciiTheme="majorEastAsia" w:hAnsiTheme="majorEastAsia" w:eastAsiaTheme="majorEastAsia" w:cstheme="majorEastAsia"/>
          <w:color w:val="auto"/>
          <w:szCs w:val="21"/>
          <w:highlight w:val="none"/>
        </w:rPr>
        <w:t>需要投保的其它内容：</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61B4F0EE">
      <w:pPr>
        <w:spacing w:line="400" w:lineRule="exact"/>
        <w:ind w:firstLine="48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保险金额、保险费率和保险期限：</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6DC730F1">
      <w:pPr>
        <w:spacing w:line="400" w:lineRule="exact"/>
        <w:rPr>
          <w:rFonts w:hint="eastAsia" w:asciiTheme="majorEastAsia" w:hAnsiTheme="majorEastAsia" w:eastAsiaTheme="majorEastAsia" w:cstheme="majorEastAsia"/>
          <w:b/>
          <w:color w:val="auto"/>
          <w:sz w:val="24"/>
          <w:highlight w:val="none"/>
        </w:rPr>
      </w:pPr>
      <w:r>
        <w:rPr>
          <w:rFonts w:hint="eastAsia" w:asciiTheme="majorEastAsia" w:hAnsiTheme="majorEastAsia" w:eastAsiaTheme="majorEastAsia" w:cstheme="majorEastAsia"/>
          <w:b/>
          <w:color w:val="auto"/>
          <w:sz w:val="24"/>
          <w:highlight w:val="none"/>
        </w:rPr>
        <w:t>20.6 对各项保险的一般要求</w:t>
      </w:r>
      <w:bookmarkEnd w:id="354"/>
    </w:p>
    <w:p w14:paraId="095FA38E">
      <w:pPr>
        <w:spacing w:line="400" w:lineRule="exact"/>
        <w:ind w:firstLine="525" w:firstLineChars="250"/>
        <w:rPr>
          <w:rFonts w:hint="eastAsia" w:asciiTheme="majorEastAsia" w:hAnsiTheme="majorEastAsia" w:eastAsiaTheme="majorEastAsia" w:cstheme="majorEastAsia"/>
          <w:color w:val="auto"/>
          <w:szCs w:val="21"/>
          <w:highlight w:val="none"/>
        </w:rPr>
      </w:pPr>
      <w:bookmarkStart w:id="355" w:name="_Toc221951328"/>
      <w:r>
        <w:rPr>
          <w:rFonts w:hint="eastAsia" w:asciiTheme="majorEastAsia" w:hAnsiTheme="majorEastAsia" w:eastAsiaTheme="majorEastAsia" w:cstheme="majorEastAsia"/>
          <w:color w:val="auto"/>
          <w:szCs w:val="21"/>
          <w:highlight w:val="none"/>
        </w:rPr>
        <w:t>20.6.1  保险凭证</w:t>
      </w:r>
      <w:bookmarkEnd w:id="355"/>
    </w:p>
    <w:p w14:paraId="0EAD4E3D">
      <w:pPr>
        <w:spacing w:line="400" w:lineRule="exact"/>
        <w:ind w:firstLine="525" w:firstLineChars="2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承包人就在工程开工前向发包人提交各项保险生效的证据和保险单副本，保险单必须与专用合同条款约定的条件保持一致。</w:t>
      </w:r>
    </w:p>
    <w:p w14:paraId="22E3CE68">
      <w:pPr>
        <w:spacing w:line="400" w:lineRule="exact"/>
        <w:ind w:firstLine="480"/>
        <w:rPr>
          <w:rFonts w:hint="eastAsia" w:asciiTheme="majorEastAsia" w:hAnsiTheme="majorEastAsia" w:eastAsiaTheme="majorEastAsia" w:cstheme="majorEastAsia"/>
          <w:color w:val="auto"/>
          <w:szCs w:val="21"/>
          <w:highlight w:val="none"/>
        </w:rPr>
      </w:pPr>
      <w:bookmarkStart w:id="356" w:name="_Toc221951329"/>
      <w:r>
        <w:rPr>
          <w:rFonts w:hint="eastAsia" w:asciiTheme="majorEastAsia" w:hAnsiTheme="majorEastAsia" w:eastAsiaTheme="majorEastAsia" w:cstheme="majorEastAsia"/>
          <w:color w:val="auto"/>
          <w:szCs w:val="21"/>
          <w:highlight w:val="none"/>
        </w:rPr>
        <w:t>承包人提交保险凭证的期限：</w:t>
      </w:r>
      <w:r>
        <w:rPr>
          <w:rFonts w:hint="eastAsia" w:asciiTheme="majorEastAsia" w:hAnsiTheme="majorEastAsia" w:eastAsiaTheme="majorEastAsia" w:cstheme="majorEastAsia"/>
          <w:color w:val="auto"/>
          <w:szCs w:val="21"/>
          <w:highlight w:val="none"/>
          <w:u w:val="single"/>
        </w:rPr>
        <w:t xml:space="preserve"> </w:t>
      </w:r>
      <w:bookmarkEnd w:id="356"/>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3DDE0B40">
      <w:pPr>
        <w:spacing w:line="400" w:lineRule="exact"/>
        <w:ind w:firstLine="480"/>
        <w:rPr>
          <w:rFonts w:hint="eastAsia" w:asciiTheme="majorEastAsia" w:hAnsiTheme="majorEastAsia" w:eastAsiaTheme="majorEastAsia" w:cstheme="majorEastAsia"/>
          <w:color w:val="auto"/>
          <w:szCs w:val="21"/>
          <w:highlight w:val="none"/>
        </w:rPr>
      </w:pPr>
      <w:bookmarkStart w:id="357" w:name="_Toc221951330"/>
      <w:r>
        <w:rPr>
          <w:rFonts w:hint="eastAsia" w:asciiTheme="majorEastAsia" w:hAnsiTheme="majorEastAsia" w:eastAsiaTheme="majorEastAsia" w:cstheme="majorEastAsia"/>
          <w:color w:val="auto"/>
          <w:szCs w:val="21"/>
          <w:highlight w:val="none"/>
        </w:rPr>
        <w:t>保险条件：</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bookmarkEnd w:id="357"/>
    </w:p>
    <w:p w14:paraId="29ABA588">
      <w:pPr>
        <w:numPr>
          <w:ilvl w:val="2"/>
          <w:numId w:val="1"/>
        </w:numPr>
        <w:spacing w:line="400" w:lineRule="exact"/>
        <w:rPr>
          <w:rFonts w:hint="eastAsia" w:asciiTheme="majorEastAsia" w:hAnsiTheme="majorEastAsia" w:eastAsiaTheme="majorEastAsia" w:cstheme="majorEastAsia"/>
          <w:color w:val="auto"/>
          <w:szCs w:val="21"/>
          <w:highlight w:val="none"/>
        </w:rPr>
      </w:pPr>
      <w:bookmarkStart w:id="358" w:name="_Toc221951331"/>
      <w:r>
        <w:rPr>
          <w:rFonts w:hint="eastAsia" w:asciiTheme="majorEastAsia" w:hAnsiTheme="majorEastAsia" w:eastAsiaTheme="majorEastAsia" w:cstheme="majorEastAsia"/>
          <w:color w:val="auto"/>
          <w:szCs w:val="21"/>
          <w:highlight w:val="none"/>
        </w:rPr>
        <w:t>保险金不足的补偿</w:t>
      </w:r>
      <w:bookmarkEnd w:id="358"/>
    </w:p>
    <w:p w14:paraId="55F0643A">
      <w:pPr>
        <w:spacing w:line="400" w:lineRule="exact"/>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承包人负责补偿的范围与金额：</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p w14:paraId="0E517DAD">
      <w:pPr>
        <w:spacing w:line="360" w:lineRule="exact"/>
        <w:ind w:firstLine="315" w:firstLineChars="1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发包人负责补偿的范围与金额：</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u w:val="single"/>
        </w:rPr>
        <w:t>。</w:t>
      </w:r>
      <w:r>
        <w:rPr>
          <w:rFonts w:hint="eastAsia" w:asciiTheme="majorEastAsia" w:hAnsiTheme="majorEastAsia" w:eastAsiaTheme="majorEastAsia" w:cstheme="majorEastAsia"/>
          <w:color w:val="auto"/>
          <w:sz w:val="24"/>
          <w:highlight w:val="none"/>
        </w:rPr>
        <w:t xml:space="preserve">                                                                                                                                                                                                                                                                                                                                                                                                                                                                                                                                                                                                                                                                                                                                                                                                                                                                                                                                                                                                                                                                                                                                                                                                                                                                                                                                                                                                                                                                                                                                                                                                                                                                                                                                                                                                                                                                                                                                                                                                                                               </w:t>
      </w:r>
      <w:r>
        <w:rPr>
          <w:rFonts w:hint="eastAsia" w:asciiTheme="majorEastAsia" w:hAnsiTheme="majorEastAsia" w:eastAsiaTheme="majorEastAsia" w:cstheme="majorEastAsia"/>
          <w:b/>
          <w:color w:val="auto"/>
          <w:sz w:val="28"/>
          <w:szCs w:val="28"/>
          <w:highlight w:val="none"/>
        </w:rPr>
        <w:t xml:space="preserve"> </w:t>
      </w:r>
    </w:p>
    <w:p w14:paraId="492DF753">
      <w:pPr>
        <w:spacing w:line="360" w:lineRule="exact"/>
        <w:rPr>
          <w:rFonts w:hint="eastAsia" w:asciiTheme="majorEastAsia" w:hAnsiTheme="majorEastAsia" w:eastAsiaTheme="majorEastAsia" w:cstheme="majorEastAsia"/>
          <w:b/>
          <w:color w:val="auto"/>
          <w:sz w:val="28"/>
          <w:szCs w:val="28"/>
          <w:highlight w:val="none"/>
        </w:rPr>
      </w:pPr>
      <w:bookmarkStart w:id="359" w:name="_Toc222032712"/>
      <w:bookmarkStart w:id="360" w:name="_Toc309533760"/>
      <w:bookmarkStart w:id="361" w:name="_Toc309534192"/>
      <w:bookmarkStart w:id="362" w:name="_Toc309533367"/>
      <w:bookmarkStart w:id="363" w:name="_Toc222029543"/>
      <w:bookmarkStart w:id="364" w:name="_Toc229305401"/>
      <w:bookmarkStart w:id="365" w:name="_Toc221951334"/>
      <w:bookmarkStart w:id="366" w:name="_Toc222031045"/>
      <w:bookmarkStart w:id="367" w:name="_Toc222033894"/>
      <w:r>
        <w:rPr>
          <w:rFonts w:hint="eastAsia" w:asciiTheme="majorEastAsia" w:hAnsiTheme="majorEastAsia" w:eastAsiaTheme="majorEastAsia" w:cstheme="majorEastAsia"/>
          <w:b/>
          <w:color w:val="auto"/>
          <w:sz w:val="28"/>
          <w:szCs w:val="28"/>
          <w:highlight w:val="none"/>
        </w:rPr>
        <w:t>24. 争议的解决</w:t>
      </w:r>
      <w:bookmarkEnd w:id="359"/>
      <w:bookmarkEnd w:id="360"/>
      <w:bookmarkEnd w:id="361"/>
      <w:bookmarkEnd w:id="362"/>
      <w:bookmarkEnd w:id="363"/>
      <w:bookmarkEnd w:id="364"/>
      <w:bookmarkEnd w:id="365"/>
      <w:bookmarkEnd w:id="366"/>
      <w:bookmarkEnd w:id="367"/>
    </w:p>
    <w:p w14:paraId="1627ECC6">
      <w:pPr>
        <w:spacing w:line="360" w:lineRule="exact"/>
        <w:ind w:firstLine="482" w:firstLineChars="200"/>
        <w:rPr>
          <w:rFonts w:hint="eastAsia" w:asciiTheme="majorEastAsia" w:hAnsiTheme="majorEastAsia" w:eastAsiaTheme="majorEastAsia" w:cstheme="majorEastAsia"/>
          <w:b/>
          <w:color w:val="auto"/>
          <w:sz w:val="24"/>
          <w:highlight w:val="none"/>
        </w:rPr>
      </w:pPr>
      <w:bookmarkStart w:id="368" w:name="_Toc221951335"/>
      <w:r>
        <w:rPr>
          <w:rFonts w:hint="eastAsia" w:asciiTheme="majorEastAsia" w:hAnsiTheme="majorEastAsia" w:eastAsiaTheme="majorEastAsia" w:cstheme="majorEastAsia"/>
          <w:b/>
          <w:color w:val="auto"/>
          <w:sz w:val="24"/>
          <w:highlight w:val="none"/>
        </w:rPr>
        <w:t>24.1  争议的解决方式</w:t>
      </w:r>
    </w:p>
    <w:p w14:paraId="3D126A19">
      <w:pPr>
        <w:spacing w:line="360" w:lineRule="exact"/>
        <w:ind w:firstLine="42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highlight w:val="none"/>
        </w:rPr>
        <w:t>合同当事人友好协商解决不成、不愿提请争议评审或不接受争议评审组意见的，约定的合同争议解决方式</w:t>
      </w:r>
      <w:r>
        <w:rPr>
          <w:rFonts w:hint="eastAsia" w:asciiTheme="majorEastAsia" w:hAnsiTheme="majorEastAsia" w:eastAsiaTheme="majorEastAsia" w:cstheme="majorEastAsia"/>
          <w:color w:val="auto"/>
          <w:szCs w:val="21"/>
          <w:highlight w:val="none"/>
          <w:u w:val="single"/>
          <w:lang w:val="en-US" w:eastAsia="zh-CN"/>
        </w:rPr>
        <w:t xml:space="preserve">                          </w:t>
      </w:r>
      <w:r>
        <w:rPr>
          <w:rFonts w:hint="eastAsia" w:asciiTheme="majorEastAsia" w:hAnsiTheme="majorEastAsia" w:eastAsiaTheme="majorEastAsia" w:cstheme="majorEastAsia"/>
          <w:color w:val="auto"/>
          <w:szCs w:val="21"/>
          <w:highlight w:val="none"/>
        </w:rPr>
        <w:t>。</w:t>
      </w:r>
    </w:p>
    <w:bookmarkEnd w:id="368"/>
    <w:p w14:paraId="27371459">
      <w:pPr>
        <w:spacing w:line="400" w:lineRule="exact"/>
        <w:ind w:firstLine="640" w:firstLineChars="200"/>
        <w:rPr>
          <w:rFonts w:hint="eastAsia" w:asciiTheme="majorEastAsia" w:hAnsiTheme="majorEastAsia" w:eastAsiaTheme="majorEastAsia" w:cstheme="majorEastAsia"/>
          <w:bCs/>
          <w:color w:val="auto"/>
          <w:sz w:val="32"/>
          <w:highlight w:val="none"/>
        </w:rPr>
      </w:pPr>
    </w:p>
    <w:p w14:paraId="2CEDC225">
      <w:pPr>
        <w:spacing w:line="360" w:lineRule="auto"/>
        <w:rPr>
          <w:rFonts w:hint="eastAsia" w:asciiTheme="majorEastAsia" w:hAnsiTheme="majorEastAsia" w:eastAsiaTheme="majorEastAsia" w:cstheme="majorEastAsia"/>
          <w:color w:val="auto"/>
          <w:highlight w:val="none"/>
        </w:rPr>
      </w:pPr>
    </w:p>
    <w:p w14:paraId="24607300">
      <w:pPr>
        <w:spacing w:line="360" w:lineRule="auto"/>
        <w:rPr>
          <w:rFonts w:hint="eastAsia" w:asciiTheme="majorEastAsia" w:hAnsiTheme="majorEastAsia" w:eastAsiaTheme="majorEastAsia" w:cstheme="majorEastAsia"/>
          <w:color w:val="auto"/>
          <w:highlight w:val="none"/>
        </w:rPr>
      </w:pPr>
    </w:p>
    <w:p w14:paraId="44E3585B">
      <w:pPr>
        <w:pStyle w:val="4"/>
        <w:jc w:val="center"/>
        <w:rPr>
          <w:rFonts w:hint="eastAsia" w:asciiTheme="majorEastAsia" w:hAnsiTheme="majorEastAsia" w:eastAsiaTheme="majorEastAsia" w:cstheme="majorEastAsia"/>
          <w:color w:val="auto"/>
          <w:sz w:val="28"/>
          <w:szCs w:val="28"/>
          <w:highlight w:val="none"/>
        </w:rPr>
      </w:pPr>
      <w:bookmarkStart w:id="369" w:name="_Toc294120764"/>
      <w:bookmarkStart w:id="370" w:name="_Toc309533761"/>
      <w:bookmarkStart w:id="371" w:name="_Toc294119969"/>
      <w:bookmarkStart w:id="372" w:name="_Toc294120144"/>
      <w:bookmarkStart w:id="373" w:name="_Toc211162712"/>
      <w:bookmarkStart w:id="374" w:name="_Toc294117154"/>
      <w:bookmarkStart w:id="375" w:name="_Toc310088849"/>
      <w:bookmarkStart w:id="376" w:name="_Toc295906945"/>
      <w:bookmarkStart w:id="377" w:name="_Toc294122013"/>
      <w:bookmarkStart w:id="378" w:name="_Toc247079379"/>
      <w:bookmarkStart w:id="379" w:name="_Toc294120945"/>
      <w:bookmarkStart w:id="380" w:name="_Toc309534193"/>
      <w:bookmarkStart w:id="381" w:name="_Toc294117573"/>
      <w:bookmarkStart w:id="382" w:name="_Toc311205798"/>
      <w:bookmarkStart w:id="383" w:name="_Toc294120581"/>
      <w:bookmarkStart w:id="384" w:name="_Toc309533368"/>
      <w:r>
        <w:rPr>
          <w:rFonts w:hint="eastAsia" w:asciiTheme="majorEastAsia" w:hAnsiTheme="majorEastAsia" w:eastAsiaTheme="majorEastAsia" w:cstheme="majorEastAsia"/>
          <w:color w:val="auto"/>
          <w:sz w:val="28"/>
          <w:szCs w:val="28"/>
          <w:highlight w:val="none"/>
        </w:rPr>
        <w:br w:type="page"/>
      </w:r>
      <w:bookmarkStart w:id="385" w:name="_Toc24686"/>
      <w:bookmarkStart w:id="386" w:name="_Toc21877"/>
      <w:r>
        <w:rPr>
          <w:rFonts w:hint="eastAsia" w:asciiTheme="majorEastAsia" w:hAnsiTheme="majorEastAsia" w:eastAsiaTheme="majorEastAsia" w:cstheme="majorEastAsia"/>
          <w:color w:val="auto"/>
          <w:sz w:val="28"/>
          <w:szCs w:val="28"/>
          <w:highlight w:val="none"/>
        </w:rPr>
        <w:t>第三节 合同附件格式</w:t>
      </w:r>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p>
    <w:p w14:paraId="22DA9BDE">
      <w:pPr>
        <w:pStyle w:val="4"/>
        <w:jc w:val="left"/>
        <w:rPr>
          <w:rFonts w:hint="eastAsia" w:asciiTheme="majorEastAsia" w:hAnsiTheme="majorEastAsia" w:eastAsiaTheme="majorEastAsia" w:cstheme="majorEastAsia"/>
          <w:color w:val="auto"/>
          <w:sz w:val="28"/>
          <w:szCs w:val="28"/>
          <w:highlight w:val="none"/>
        </w:rPr>
      </w:pPr>
      <w:bookmarkStart w:id="387" w:name="_Toc18287"/>
      <w:bookmarkStart w:id="388" w:name="_Toc310088850"/>
      <w:bookmarkStart w:id="389" w:name="_Toc311205799"/>
      <w:bookmarkStart w:id="390" w:name="_Toc8192"/>
      <w:r>
        <w:rPr>
          <w:rFonts w:hint="eastAsia" w:asciiTheme="majorEastAsia" w:hAnsiTheme="majorEastAsia" w:eastAsiaTheme="majorEastAsia" w:cstheme="majorEastAsia"/>
          <w:color w:val="auto"/>
          <w:sz w:val="28"/>
          <w:szCs w:val="28"/>
          <w:highlight w:val="none"/>
        </w:rPr>
        <w:t>附件一： 合同协议书</w:t>
      </w:r>
      <w:bookmarkEnd w:id="387"/>
      <w:bookmarkEnd w:id="388"/>
      <w:bookmarkEnd w:id="389"/>
      <w:bookmarkEnd w:id="390"/>
    </w:p>
    <w:p w14:paraId="2494346E">
      <w:pPr>
        <w:spacing w:line="360" w:lineRule="auto"/>
        <w:ind w:firstLine="643" w:firstLineChars="200"/>
        <w:jc w:val="center"/>
        <w:rPr>
          <w:rFonts w:hint="eastAsia" w:asciiTheme="majorEastAsia" w:hAnsiTheme="majorEastAsia" w:eastAsiaTheme="majorEastAsia" w:cstheme="majorEastAsia"/>
          <w:b/>
          <w:color w:val="auto"/>
          <w:sz w:val="32"/>
          <w:szCs w:val="32"/>
          <w:highlight w:val="none"/>
        </w:rPr>
      </w:pPr>
      <w:r>
        <w:rPr>
          <w:rFonts w:hint="eastAsia" w:asciiTheme="majorEastAsia" w:hAnsiTheme="majorEastAsia" w:eastAsiaTheme="majorEastAsia" w:cstheme="majorEastAsia"/>
          <w:b/>
          <w:color w:val="auto"/>
          <w:sz w:val="32"/>
          <w:szCs w:val="32"/>
          <w:highlight w:val="none"/>
        </w:rPr>
        <w:t>合同协议书</w:t>
      </w:r>
    </w:p>
    <w:p w14:paraId="118FA30A">
      <w:pPr>
        <w:spacing w:line="360" w:lineRule="auto"/>
        <w:ind w:firstLine="420" w:firstLineChars="200"/>
        <w:rPr>
          <w:rFonts w:hint="eastAsia" w:asciiTheme="majorEastAsia" w:hAnsiTheme="majorEastAsia" w:eastAsiaTheme="majorEastAsia" w:cstheme="majorEastAsia"/>
          <w:color w:val="auto"/>
          <w:szCs w:val="21"/>
          <w:highlight w:val="none"/>
        </w:rPr>
      </w:pPr>
    </w:p>
    <w:p w14:paraId="53442ED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（发包人名称，以下简称“发包人” ）为实施</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（项目名称），己接受</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（承包人名称，以下简称“承包人” ）对该项目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标段施工的投标。发包人和承包人共同达成如下协议。</w:t>
      </w:r>
    </w:p>
    <w:p w14:paraId="7F028BB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1．本协议书与下列文件一起构成合同文件：</w:t>
      </w:r>
    </w:p>
    <w:p w14:paraId="1370FF13">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(l）中标通知书；</w:t>
      </w:r>
    </w:p>
    <w:p w14:paraId="4326736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(2）投标函及投标函附录；</w:t>
      </w:r>
    </w:p>
    <w:p w14:paraId="37E313E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(3）专用合同条款；</w:t>
      </w:r>
    </w:p>
    <w:p w14:paraId="5C677A0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(4）通用合同条款；</w:t>
      </w:r>
    </w:p>
    <w:p w14:paraId="4F42C95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(5）技术标准和要求；</w:t>
      </w:r>
    </w:p>
    <w:p w14:paraId="4FB879A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(6）图纸；</w:t>
      </w:r>
    </w:p>
    <w:p w14:paraId="623BEF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(7）已标价工程量清单；</w:t>
      </w:r>
    </w:p>
    <w:p w14:paraId="62A0BF3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(8）其他合同文件。</w:t>
      </w:r>
    </w:p>
    <w:p w14:paraId="2717B60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2．上述文件互相补充和解释，如有不明确或不一致之处，以合同约定次序在先者为准。</w:t>
      </w:r>
    </w:p>
    <w:p w14:paraId="5AC4B155">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3．签约合同价：人民币（大写）</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元（￥</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w:t>
      </w:r>
    </w:p>
    <w:p w14:paraId="612F3B21">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4．承包人项目经理：</w:t>
      </w:r>
      <w:r>
        <w:rPr>
          <w:rFonts w:hint="eastAsia" w:asciiTheme="majorEastAsia" w:hAnsiTheme="majorEastAsia" w:eastAsiaTheme="majorEastAsia" w:cstheme="majorEastAsia"/>
          <w:color w:val="auto"/>
          <w:szCs w:val="21"/>
          <w:highlight w:val="none"/>
          <w:u w:val="single"/>
        </w:rPr>
        <w:t xml:space="preserve">                     </w:t>
      </w:r>
    </w:p>
    <w:p w14:paraId="75AF64FA">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5．工程质量符合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标准。</w:t>
      </w:r>
    </w:p>
    <w:p w14:paraId="5A55B38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6．承包人承诺按合同约定承担工程的实施、完成及缺陷修复。</w:t>
      </w:r>
    </w:p>
    <w:p w14:paraId="130411C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7．发包人承诺按合同约定的条件、时间和方式向承包人支付合同价款。</w:t>
      </w:r>
    </w:p>
    <w:p w14:paraId="3E28A72D">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8．承包人应按照监理人指示开工，工期为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日历天（开工日期</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日，完工日期</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w:t>
      </w:r>
    </w:p>
    <w:p w14:paraId="507838E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9．本协议书一式</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份，合同双方各执一份。</w:t>
      </w:r>
    </w:p>
    <w:p w14:paraId="4F6E2FF9">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10．合同未尽事宜，双方另行签订补充协议。补充协议是合同的组成部分。</w:t>
      </w:r>
    </w:p>
    <w:p w14:paraId="3345D13B">
      <w:pPr>
        <w:spacing w:line="360" w:lineRule="auto"/>
        <w:ind w:firstLine="420" w:firstLineChars="200"/>
        <w:rPr>
          <w:rFonts w:hint="eastAsia" w:asciiTheme="majorEastAsia" w:hAnsiTheme="majorEastAsia" w:eastAsiaTheme="majorEastAsia" w:cstheme="majorEastAsia"/>
          <w:color w:val="auto"/>
          <w:szCs w:val="21"/>
          <w:highlight w:val="none"/>
        </w:rPr>
      </w:pPr>
    </w:p>
    <w:p w14:paraId="5BD3563B">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发包人：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（盖单位章）        承包人：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（盖单位章）</w:t>
      </w:r>
    </w:p>
    <w:p w14:paraId="4143BD50">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法定代表人或其委托代理人：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（签字）    法定代表人或其委托代理人：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（签字）</w:t>
      </w:r>
    </w:p>
    <w:p w14:paraId="37D703CF">
      <w:pPr>
        <w:spacing w:line="360" w:lineRule="auto"/>
        <w:ind w:firstLine="1155" w:firstLineChars="5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日                            </w:t>
      </w:r>
      <w:bookmarkStart w:id="391" w:name="_Toc247079381"/>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w:t>
      </w:r>
    </w:p>
    <w:p w14:paraId="6B72A89A">
      <w:pPr>
        <w:spacing w:line="360" w:lineRule="auto"/>
        <w:ind w:firstLine="1320" w:firstLineChars="550"/>
        <w:rPr>
          <w:rFonts w:hint="eastAsia" w:asciiTheme="majorEastAsia" w:hAnsiTheme="majorEastAsia" w:eastAsiaTheme="majorEastAsia" w:cstheme="majorEastAsia"/>
          <w:color w:val="auto"/>
          <w:sz w:val="24"/>
          <w:highlight w:val="none"/>
        </w:rPr>
      </w:pPr>
    </w:p>
    <w:p w14:paraId="3A6A347B">
      <w:pPr>
        <w:pStyle w:val="4"/>
        <w:jc w:val="left"/>
        <w:rPr>
          <w:rFonts w:hint="eastAsia" w:asciiTheme="majorEastAsia" w:hAnsiTheme="majorEastAsia" w:eastAsiaTheme="majorEastAsia" w:cstheme="majorEastAsia"/>
          <w:color w:val="auto"/>
          <w:sz w:val="28"/>
          <w:szCs w:val="28"/>
          <w:highlight w:val="none"/>
        </w:rPr>
      </w:pPr>
      <w:bookmarkStart w:id="392" w:name="_Toc168476291"/>
      <w:bookmarkStart w:id="393" w:name="_Toc168475888"/>
      <w:bookmarkStart w:id="394" w:name="_Toc23550"/>
      <w:bookmarkStart w:id="395" w:name="_Toc309533762"/>
      <w:bookmarkStart w:id="396" w:name="_Toc309533369"/>
      <w:bookmarkStart w:id="397" w:name="_Toc17873"/>
      <w:bookmarkStart w:id="398" w:name="_Toc311205800"/>
      <w:bookmarkStart w:id="399" w:name="_Toc310088851"/>
      <w:r>
        <w:rPr>
          <w:rFonts w:hint="eastAsia" w:asciiTheme="majorEastAsia" w:hAnsiTheme="majorEastAsia" w:eastAsiaTheme="majorEastAsia" w:cstheme="majorEastAsia"/>
          <w:color w:val="auto"/>
          <w:sz w:val="28"/>
          <w:szCs w:val="28"/>
          <w:highlight w:val="none"/>
        </w:rPr>
        <w:t>附件二：</w:t>
      </w:r>
      <w:bookmarkEnd w:id="392"/>
      <w:bookmarkEnd w:id="393"/>
      <w:r>
        <w:rPr>
          <w:rFonts w:hint="eastAsia" w:asciiTheme="majorEastAsia" w:hAnsiTheme="majorEastAsia" w:eastAsiaTheme="majorEastAsia" w:cstheme="majorEastAsia"/>
          <w:color w:val="auto"/>
          <w:sz w:val="28"/>
          <w:szCs w:val="28"/>
          <w:highlight w:val="none"/>
        </w:rPr>
        <w:t xml:space="preserve"> 履约担保</w:t>
      </w:r>
      <w:bookmarkEnd w:id="394"/>
      <w:bookmarkEnd w:id="395"/>
      <w:bookmarkEnd w:id="396"/>
      <w:bookmarkEnd w:id="397"/>
      <w:bookmarkEnd w:id="398"/>
      <w:bookmarkEnd w:id="399"/>
    </w:p>
    <w:p w14:paraId="687E98E6">
      <w:pPr>
        <w:spacing w:line="360" w:lineRule="auto"/>
        <w:ind w:firstLine="3694" w:firstLineChars="1150"/>
        <w:rPr>
          <w:rFonts w:hint="eastAsia" w:asciiTheme="majorEastAsia" w:hAnsiTheme="majorEastAsia" w:eastAsiaTheme="majorEastAsia" w:cstheme="majorEastAsia"/>
          <w:b/>
          <w:color w:val="auto"/>
          <w:sz w:val="32"/>
          <w:szCs w:val="32"/>
          <w:highlight w:val="none"/>
        </w:rPr>
      </w:pPr>
      <w:bookmarkStart w:id="400" w:name="_Toc168476292"/>
      <w:bookmarkStart w:id="401" w:name="_Toc168475889"/>
      <w:bookmarkStart w:id="402" w:name="_Toc144974833"/>
      <w:r>
        <w:rPr>
          <w:rFonts w:hint="eastAsia" w:asciiTheme="majorEastAsia" w:hAnsiTheme="majorEastAsia" w:eastAsiaTheme="majorEastAsia" w:cstheme="majorEastAsia"/>
          <w:b/>
          <w:color w:val="auto"/>
          <w:sz w:val="32"/>
          <w:szCs w:val="32"/>
          <w:highlight w:val="none"/>
        </w:rPr>
        <w:t xml:space="preserve">履   约   担   保 </w:t>
      </w:r>
    </w:p>
    <w:p w14:paraId="4EEC166C">
      <w:pPr>
        <w:spacing w:line="360" w:lineRule="auto"/>
        <w:rPr>
          <w:rFonts w:hint="eastAsia" w:asciiTheme="majorEastAsia" w:hAnsiTheme="majorEastAsia" w:eastAsiaTheme="majorEastAsia" w:cstheme="majorEastAsia"/>
          <w:b/>
          <w:color w:val="auto"/>
          <w:sz w:val="20"/>
          <w:szCs w:val="20"/>
          <w:highlight w:val="none"/>
        </w:rPr>
      </w:pPr>
    </w:p>
    <w:p w14:paraId="6C78B57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（发包人名称）：</w:t>
      </w:r>
    </w:p>
    <w:p w14:paraId="605950AB">
      <w:pPr>
        <w:spacing w:line="360" w:lineRule="auto"/>
        <w:rPr>
          <w:rFonts w:hint="eastAsia" w:asciiTheme="majorEastAsia" w:hAnsiTheme="majorEastAsia" w:eastAsiaTheme="majorEastAsia" w:cstheme="majorEastAsia"/>
          <w:color w:val="auto"/>
          <w:szCs w:val="21"/>
          <w:highlight w:val="none"/>
        </w:rPr>
      </w:pPr>
    </w:p>
    <w:p w14:paraId="56EAB71F">
      <w:pPr>
        <w:spacing w:line="360" w:lineRule="auto"/>
        <w:ind w:firstLine="525" w:firstLineChars="25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鉴于</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（发包人名称）（以下简称“发包人”）已接受</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（承包人名称）（以下称“承包人”）于</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日递交的</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（项目名称）的投标文件。我方愿意无条件地、不可撤销地就承包人履行与你方订立的合同，向你方提供担保。</w:t>
      </w:r>
    </w:p>
    <w:p w14:paraId="250FB5F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 担保金额人民币（大写）</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元（¥</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元）。</w:t>
      </w:r>
    </w:p>
    <w:p w14:paraId="22B2985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 担保有效期自发包人与承包人签订的合同生效之日起至发包人签发工程完工证书之日止。</w:t>
      </w:r>
    </w:p>
    <w:p w14:paraId="6595BBE4">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 在本保有效期内，因承包人违反合同约定的义务给你方造成经济损失时，我行在收到你方以书面形式提出的在担保金额内的赔偿要求后，无条件地在７天内予以支付。</w:t>
      </w:r>
    </w:p>
    <w:p w14:paraId="36DBA9CE">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 发包人和承包人按《通用合同条款》第15条变更合同时，我方承担本保规定的义务不变。</w:t>
      </w:r>
    </w:p>
    <w:p w14:paraId="0D96759F">
      <w:pPr>
        <w:spacing w:line="360" w:lineRule="auto"/>
        <w:rPr>
          <w:rFonts w:hint="eastAsia" w:asciiTheme="majorEastAsia" w:hAnsiTheme="majorEastAsia" w:eastAsiaTheme="majorEastAsia" w:cstheme="majorEastAsia"/>
          <w:color w:val="auto"/>
          <w:szCs w:val="21"/>
          <w:highlight w:val="none"/>
        </w:rPr>
      </w:pPr>
    </w:p>
    <w:p w14:paraId="35F8C152">
      <w:pPr>
        <w:spacing w:line="360" w:lineRule="auto"/>
        <w:rPr>
          <w:rFonts w:hint="eastAsia" w:asciiTheme="majorEastAsia" w:hAnsiTheme="majorEastAsia" w:eastAsiaTheme="majorEastAsia" w:cstheme="majorEastAsia"/>
          <w:color w:val="auto"/>
          <w:szCs w:val="21"/>
          <w:highlight w:val="none"/>
        </w:rPr>
      </w:pPr>
    </w:p>
    <w:p w14:paraId="30FF501D">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担保人：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（盖单位章）</w:t>
      </w:r>
    </w:p>
    <w:p w14:paraId="4CAB6217">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法定代表人或其委托代理人：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（签字）</w:t>
      </w:r>
    </w:p>
    <w:p w14:paraId="7B4A9E70">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地    址：</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p>
    <w:p w14:paraId="50AEC575">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邮政编码：</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p>
    <w:p w14:paraId="3B534006">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电    话：</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w:t>
      </w:r>
    </w:p>
    <w:p w14:paraId="29F9F4A3">
      <w:pPr>
        <w:spacing w:line="360" w:lineRule="auto"/>
        <w:ind w:firstLine="3059" w:firstLineChars="14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传    真：</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w:t>
      </w:r>
    </w:p>
    <w:p w14:paraId="2ED43DBA">
      <w:pPr>
        <w:spacing w:line="360" w:lineRule="auto"/>
        <w:ind w:firstLine="3689" w:firstLineChars="1757"/>
        <w:rPr>
          <w:rFonts w:hint="eastAsia" w:asciiTheme="majorEastAsia" w:hAnsiTheme="majorEastAsia" w:eastAsiaTheme="majorEastAsia" w:cstheme="majorEastAsia"/>
          <w:color w:val="auto"/>
          <w:szCs w:val="21"/>
          <w:highlight w:val="none"/>
          <w:u w:val="single"/>
        </w:rPr>
      </w:pPr>
    </w:p>
    <w:p w14:paraId="0237990C">
      <w:pPr>
        <w:spacing w:line="360" w:lineRule="auto"/>
        <w:ind w:firstLine="4109" w:firstLineChars="19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年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月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w:t>
      </w:r>
    </w:p>
    <w:p w14:paraId="0AE67162">
      <w:pPr>
        <w:spacing w:line="360" w:lineRule="auto"/>
        <w:rPr>
          <w:rFonts w:hint="eastAsia" w:asciiTheme="majorEastAsia" w:hAnsiTheme="majorEastAsia" w:eastAsiaTheme="majorEastAsia" w:cstheme="majorEastAsia"/>
          <w:color w:val="auto"/>
          <w:highlight w:val="none"/>
        </w:rPr>
      </w:pPr>
    </w:p>
    <w:p w14:paraId="34436A36">
      <w:pPr>
        <w:spacing w:line="360" w:lineRule="auto"/>
        <w:rPr>
          <w:rFonts w:hint="eastAsia" w:asciiTheme="majorEastAsia" w:hAnsiTheme="majorEastAsia" w:eastAsiaTheme="majorEastAsia" w:cstheme="majorEastAsia"/>
          <w:color w:val="auto"/>
          <w:highlight w:val="none"/>
        </w:rPr>
      </w:pPr>
    </w:p>
    <w:p w14:paraId="37BBDC27">
      <w:pPr>
        <w:rPr>
          <w:rFonts w:hint="eastAsia" w:asciiTheme="majorEastAsia" w:hAnsiTheme="majorEastAsia" w:eastAsiaTheme="majorEastAsia" w:cstheme="majorEastAsia"/>
          <w:b/>
          <w:color w:val="auto"/>
          <w:highlight w:val="none"/>
        </w:rPr>
      </w:pPr>
      <w:r>
        <w:rPr>
          <w:rFonts w:hint="eastAsia" w:asciiTheme="majorEastAsia" w:hAnsiTheme="majorEastAsia" w:eastAsiaTheme="majorEastAsia" w:cstheme="majorEastAsia"/>
          <w:b/>
          <w:color w:val="auto"/>
          <w:highlight w:val="none"/>
        </w:rPr>
        <w:t>注：委托代理人应附授权委托书。</w:t>
      </w:r>
    </w:p>
    <w:p w14:paraId="0A8D2572">
      <w:pPr>
        <w:rPr>
          <w:rFonts w:hint="eastAsia" w:asciiTheme="majorEastAsia" w:hAnsiTheme="majorEastAsia" w:eastAsiaTheme="majorEastAsia" w:cstheme="majorEastAsia"/>
          <w:color w:val="auto"/>
          <w:highlight w:val="none"/>
        </w:rPr>
      </w:pPr>
    </w:p>
    <w:p w14:paraId="0F0D4A49">
      <w:pPr>
        <w:rPr>
          <w:rFonts w:hint="eastAsia" w:asciiTheme="majorEastAsia" w:hAnsiTheme="majorEastAsia" w:eastAsiaTheme="majorEastAsia" w:cstheme="majorEastAsia"/>
          <w:color w:val="auto"/>
          <w:highlight w:val="none"/>
        </w:rPr>
      </w:pPr>
    </w:p>
    <w:p w14:paraId="60BD2AB5">
      <w:pPr>
        <w:rPr>
          <w:rFonts w:hint="eastAsia" w:asciiTheme="majorEastAsia" w:hAnsiTheme="majorEastAsia" w:eastAsiaTheme="majorEastAsia" w:cstheme="majorEastAsia"/>
          <w:color w:val="auto"/>
          <w:highlight w:val="none"/>
        </w:rPr>
      </w:pPr>
    </w:p>
    <w:p w14:paraId="3383CA8A">
      <w:pPr>
        <w:rPr>
          <w:rFonts w:hint="eastAsia" w:asciiTheme="majorEastAsia" w:hAnsiTheme="majorEastAsia" w:eastAsiaTheme="majorEastAsia" w:cstheme="majorEastAsia"/>
          <w:color w:val="auto"/>
          <w:highlight w:val="none"/>
        </w:rPr>
      </w:pPr>
    </w:p>
    <w:p w14:paraId="628E7D6B">
      <w:pPr>
        <w:rPr>
          <w:rFonts w:hint="eastAsia" w:asciiTheme="majorEastAsia" w:hAnsiTheme="majorEastAsia" w:eastAsiaTheme="majorEastAsia" w:cstheme="majorEastAsia"/>
          <w:color w:val="auto"/>
          <w:highlight w:val="none"/>
        </w:rPr>
      </w:pPr>
    </w:p>
    <w:p w14:paraId="4448FFCA">
      <w:pPr>
        <w:rPr>
          <w:rFonts w:hint="eastAsia" w:asciiTheme="majorEastAsia" w:hAnsiTheme="majorEastAsia" w:eastAsiaTheme="majorEastAsia" w:cstheme="majorEastAsia"/>
          <w:color w:val="auto"/>
          <w:highlight w:val="none"/>
        </w:rPr>
      </w:pPr>
    </w:p>
    <w:p w14:paraId="3DDFE62E">
      <w:pPr>
        <w:rPr>
          <w:rFonts w:hint="eastAsia" w:asciiTheme="majorEastAsia" w:hAnsiTheme="majorEastAsia" w:eastAsiaTheme="majorEastAsia" w:cstheme="majorEastAsia"/>
          <w:color w:val="auto"/>
          <w:highlight w:val="none"/>
        </w:rPr>
      </w:pPr>
    </w:p>
    <w:p w14:paraId="28978481">
      <w:pPr>
        <w:rPr>
          <w:rFonts w:hint="eastAsia" w:asciiTheme="majorEastAsia" w:hAnsiTheme="majorEastAsia" w:eastAsiaTheme="majorEastAsia" w:cstheme="majorEastAsia"/>
          <w:color w:val="auto"/>
          <w:highlight w:val="none"/>
        </w:rPr>
      </w:pPr>
    </w:p>
    <w:p w14:paraId="687EEA1B">
      <w:pPr>
        <w:rPr>
          <w:rFonts w:hint="eastAsia" w:asciiTheme="majorEastAsia" w:hAnsiTheme="majorEastAsia" w:eastAsiaTheme="majorEastAsia" w:cstheme="majorEastAsia"/>
          <w:color w:val="auto"/>
          <w:highlight w:val="none"/>
        </w:rPr>
      </w:pPr>
    </w:p>
    <w:p w14:paraId="6FFC5127">
      <w:pPr>
        <w:rPr>
          <w:rFonts w:hint="eastAsia" w:asciiTheme="majorEastAsia" w:hAnsiTheme="majorEastAsia" w:eastAsiaTheme="majorEastAsia" w:cstheme="majorEastAsia"/>
          <w:color w:val="auto"/>
          <w:highlight w:val="none"/>
        </w:rPr>
      </w:pPr>
    </w:p>
    <w:p w14:paraId="4600F344">
      <w:pPr>
        <w:rPr>
          <w:rFonts w:hint="eastAsia" w:asciiTheme="majorEastAsia" w:hAnsiTheme="majorEastAsia" w:eastAsiaTheme="majorEastAsia" w:cstheme="majorEastAsia"/>
          <w:color w:val="auto"/>
          <w:highlight w:val="none"/>
        </w:rPr>
      </w:pPr>
    </w:p>
    <w:bookmarkEnd w:id="400"/>
    <w:bookmarkEnd w:id="401"/>
    <w:bookmarkEnd w:id="402"/>
    <w:p w14:paraId="3A4BDE86">
      <w:pPr>
        <w:pStyle w:val="4"/>
        <w:jc w:val="left"/>
        <w:rPr>
          <w:rFonts w:hint="eastAsia" w:asciiTheme="majorEastAsia" w:hAnsiTheme="majorEastAsia" w:eastAsiaTheme="majorEastAsia" w:cstheme="majorEastAsia"/>
          <w:color w:val="auto"/>
          <w:sz w:val="28"/>
          <w:szCs w:val="28"/>
          <w:highlight w:val="none"/>
        </w:rPr>
      </w:pPr>
      <w:bookmarkStart w:id="403" w:name="_Toc311205801"/>
      <w:bookmarkStart w:id="404" w:name="_Toc3763"/>
      <w:bookmarkStart w:id="405" w:name="_Toc310088852"/>
      <w:bookmarkStart w:id="406" w:name="_Toc13834"/>
      <w:r>
        <w:rPr>
          <w:rFonts w:hint="eastAsia" w:asciiTheme="majorEastAsia" w:hAnsiTheme="majorEastAsia" w:eastAsiaTheme="majorEastAsia" w:cstheme="majorEastAsia"/>
          <w:color w:val="auto"/>
          <w:sz w:val="28"/>
          <w:szCs w:val="28"/>
          <w:highlight w:val="none"/>
        </w:rPr>
        <w:t>附件三： 预付款担保函</w:t>
      </w:r>
      <w:bookmarkEnd w:id="403"/>
      <w:bookmarkEnd w:id="404"/>
      <w:bookmarkEnd w:id="405"/>
      <w:bookmarkEnd w:id="406"/>
    </w:p>
    <w:p w14:paraId="6457CFD3">
      <w:pPr>
        <w:spacing w:line="360" w:lineRule="auto"/>
        <w:jc w:val="center"/>
        <w:rPr>
          <w:rFonts w:hint="eastAsia" w:asciiTheme="majorEastAsia" w:hAnsiTheme="majorEastAsia" w:eastAsiaTheme="majorEastAsia" w:cstheme="majorEastAsia"/>
          <w:b/>
          <w:color w:val="auto"/>
          <w:sz w:val="32"/>
          <w:szCs w:val="32"/>
          <w:highlight w:val="none"/>
        </w:rPr>
      </w:pPr>
      <w:r>
        <w:rPr>
          <w:rFonts w:hint="eastAsia" w:asciiTheme="majorEastAsia" w:hAnsiTheme="majorEastAsia" w:eastAsiaTheme="majorEastAsia" w:cstheme="majorEastAsia"/>
          <w:b/>
          <w:color w:val="auto"/>
          <w:sz w:val="32"/>
          <w:szCs w:val="32"/>
          <w:highlight w:val="none"/>
        </w:rPr>
        <w:t>预 付 款 担 保 函</w:t>
      </w:r>
    </w:p>
    <w:p w14:paraId="7805C22F">
      <w:pPr>
        <w:spacing w:line="360" w:lineRule="auto"/>
        <w:rPr>
          <w:rFonts w:hint="eastAsia" w:asciiTheme="majorEastAsia" w:hAnsiTheme="majorEastAsia" w:eastAsiaTheme="majorEastAsia" w:cstheme="majorEastAsia"/>
          <w:color w:val="auto"/>
          <w:sz w:val="20"/>
          <w:szCs w:val="20"/>
          <w:highlight w:val="none"/>
        </w:rPr>
      </w:pPr>
    </w:p>
    <w:p w14:paraId="20F3A483">
      <w:pPr>
        <w:spacing w:line="360" w:lineRule="auto"/>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（发包人名称）：</w:t>
      </w:r>
    </w:p>
    <w:p w14:paraId="06A3A77C">
      <w:pPr>
        <w:spacing w:line="360" w:lineRule="auto"/>
        <w:rPr>
          <w:rFonts w:hint="eastAsia" w:asciiTheme="majorEastAsia" w:hAnsiTheme="majorEastAsia" w:eastAsiaTheme="majorEastAsia" w:cstheme="majorEastAsia"/>
          <w:color w:val="auto"/>
          <w:szCs w:val="21"/>
          <w:highlight w:val="none"/>
        </w:rPr>
      </w:pPr>
    </w:p>
    <w:p w14:paraId="583B5E22">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根据</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（承包人名称，以下简称“承包人”）与</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（发包人名称，以下简称“发包人”）于</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年</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月</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日签订的</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（项目名称）合同协议书，承包人按约定的金额向发包人提交一份预付款担保，即有权得到发包人支付相等金额的预付款。我方愿意就你方提供给承包人的预付款提供担保。</w:t>
      </w:r>
    </w:p>
    <w:p w14:paraId="2D98A786">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1. 担保金额人民币（大写）</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元（¥</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元）。</w:t>
      </w:r>
    </w:p>
    <w:p w14:paraId="7779BDB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2. 担保有效期自预付款支付给承包人起生效，至发包人签发的进度付款证书说明已完全扣清止。</w:t>
      </w:r>
    </w:p>
    <w:p w14:paraId="15AB12B0">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3. 在本担保有效期内，因承包人违反合同约定的义务而要求收回预付度付款时，我方在收到你方的书面通知后，无条件地在７天内予以支付。但本担保的担保金额，在任何时候不应超过预付款金额减去发包人按合同约定在向承包人签发的进度付款证书中已扣回的金额。</w:t>
      </w:r>
    </w:p>
    <w:p w14:paraId="62667727">
      <w:pPr>
        <w:spacing w:line="360" w:lineRule="auto"/>
        <w:ind w:firstLine="420" w:firstLineChars="200"/>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4. 发包人和承包人按《通用合同条款》第15条变更合同时，我方承担本担保规定的义务不变。</w:t>
      </w:r>
    </w:p>
    <w:p w14:paraId="775B273D">
      <w:pPr>
        <w:spacing w:line="360" w:lineRule="auto"/>
        <w:rPr>
          <w:rFonts w:hint="eastAsia" w:asciiTheme="majorEastAsia" w:hAnsiTheme="majorEastAsia" w:eastAsiaTheme="majorEastAsia" w:cstheme="majorEastAsia"/>
          <w:color w:val="auto"/>
          <w:szCs w:val="21"/>
          <w:highlight w:val="none"/>
        </w:rPr>
      </w:pPr>
    </w:p>
    <w:p w14:paraId="359D8972">
      <w:pPr>
        <w:spacing w:line="360" w:lineRule="auto"/>
        <w:ind w:firstLine="3599" w:firstLineChars="1714"/>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担保人：</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（盖单位章）</w:t>
      </w:r>
    </w:p>
    <w:p w14:paraId="7656B51B">
      <w:pPr>
        <w:spacing w:line="360" w:lineRule="auto"/>
        <w:ind w:firstLine="3599" w:firstLineChars="1714"/>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法定代表人或其委托代理人呢：</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（签字）</w:t>
      </w:r>
    </w:p>
    <w:p w14:paraId="5F2D40CC">
      <w:pPr>
        <w:spacing w:line="360" w:lineRule="auto"/>
        <w:ind w:firstLine="3599" w:firstLineChars="1714"/>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地    址：</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 xml:space="preserve">        </w:t>
      </w:r>
    </w:p>
    <w:p w14:paraId="17E55C7C">
      <w:pPr>
        <w:spacing w:line="360" w:lineRule="auto"/>
        <w:ind w:firstLine="3599" w:firstLineChars="1714"/>
        <w:rPr>
          <w:rFonts w:hint="eastAsia" w:asciiTheme="majorEastAsia" w:hAnsiTheme="majorEastAsia" w:eastAsiaTheme="majorEastAsia" w:cstheme="majorEastAsia"/>
          <w:color w:val="auto"/>
          <w:szCs w:val="21"/>
          <w:highlight w:val="none"/>
          <w:u w:val="single"/>
        </w:rPr>
      </w:pPr>
      <w:r>
        <w:rPr>
          <w:rFonts w:hint="eastAsia" w:asciiTheme="majorEastAsia" w:hAnsiTheme="majorEastAsia" w:eastAsiaTheme="majorEastAsia" w:cstheme="majorEastAsia"/>
          <w:color w:val="auto"/>
          <w:szCs w:val="21"/>
          <w:highlight w:val="none"/>
        </w:rPr>
        <w:t>邮政编码：</w:t>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r>
        <w:rPr>
          <w:rFonts w:hint="eastAsia" w:asciiTheme="majorEastAsia" w:hAnsiTheme="majorEastAsia" w:eastAsiaTheme="majorEastAsia" w:cstheme="majorEastAsia"/>
          <w:color w:val="auto"/>
          <w:szCs w:val="21"/>
          <w:highlight w:val="none"/>
          <w:u w:val="single"/>
        </w:rPr>
        <w:tab/>
      </w:r>
    </w:p>
    <w:p w14:paraId="12812498">
      <w:pPr>
        <w:spacing w:line="360" w:lineRule="auto"/>
        <w:ind w:firstLine="3599" w:firstLineChars="1714"/>
        <w:rPr>
          <w:rFonts w:hint="eastAsia" w:asciiTheme="majorEastAsia" w:hAnsiTheme="majorEastAsia" w:eastAsiaTheme="majorEastAsia" w:cstheme="majorEastAsia"/>
          <w:color w:val="auto"/>
          <w:szCs w:val="21"/>
          <w:highlight w:val="none"/>
          <w:u w:val="single"/>
        </w:rPr>
      </w:pPr>
      <w:r>
        <w:rPr>
          <w:rFonts w:hint="eastAsia" w:asciiTheme="majorEastAsia" w:hAnsiTheme="majorEastAsia" w:eastAsiaTheme="majorEastAsia" w:cstheme="majorEastAsia"/>
          <w:color w:val="auto"/>
          <w:szCs w:val="21"/>
          <w:highlight w:val="none"/>
        </w:rPr>
        <w:t>电    话：</w:t>
      </w:r>
      <w:r>
        <w:rPr>
          <w:rFonts w:hint="eastAsia" w:asciiTheme="majorEastAsia" w:hAnsiTheme="majorEastAsia" w:eastAsiaTheme="majorEastAsia" w:cstheme="majorEastAsia"/>
          <w:color w:val="auto"/>
          <w:szCs w:val="21"/>
          <w:highlight w:val="none"/>
          <w:u w:val="single"/>
        </w:rPr>
        <w:t xml:space="preserve">                            </w:t>
      </w:r>
    </w:p>
    <w:p w14:paraId="01FFCD63">
      <w:pPr>
        <w:spacing w:line="360" w:lineRule="auto"/>
        <w:ind w:firstLine="3599" w:firstLineChars="1714"/>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传    真：</w:t>
      </w:r>
      <w:r>
        <w:rPr>
          <w:rFonts w:hint="eastAsia" w:asciiTheme="majorEastAsia" w:hAnsiTheme="majorEastAsia" w:eastAsiaTheme="majorEastAsia" w:cstheme="majorEastAsia"/>
          <w:color w:val="auto"/>
          <w:szCs w:val="21"/>
          <w:highlight w:val="none"/>
          <w:u w:val="single"/>
        </w:rPr>
        <w:t xml:space="preserve">                            </w:t>
      </w:r>
    </w:p>
    <w:p w14:paraId="4087FAAE">
      <w:pPr>
        <w:spacing w:line="360" w:lineRule="auto"/>
        <w:ind w:firstLine="4109" w:firstLineChars="1957"/>
        <w:rPr>
          <w:rFonts w:hint="eastAsia" w:asciiTheme="majorEastAsia" w:hAnsiTheme="majorEastAsia" w:eastAsiaTheme="majorEastAsia" w:cstheme="majorEastAsia"/>
          <w:color w:val="auto"/>
          <w:szCs w:val="21"/>
          <w:highlight w:val="none"/>
        </w:rPr>
      </w:pPr>
      <w:r>
        <w:rPr>
          <w:rFonts w:hint="eastAsia" w:asciiTheme="majorEastAsia" w:hAnsiTheme="majorEastAsia" w:eastAsiaTheme="majorEastAsia" w:cstheme="majorEastAsia"/>
          <w:color w:val="auto"/>
          <w:szCs w:val="21"/>
          <w:highlight w:val="none"/>
        </w:rPr>
        <w:t xml:space="preserve">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 年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 xml:space="preserve">月 </w:t>
      </w:r>
      <w:r>
        <w:rPr>
          <w:rFonts w:hint="eastAsia" w:asciiTheme="majorEastAsia" w:hAnsiTheme="majorEastAsia" w:eastAsiaTheme="majorEastAsia" w:cstheme="majorEastAsia"/>
          <w:color w:val="auto"/>
          <w:szCs w:val="21"/>
          <w:highlight w:val="none"/>
          <w:u w:val="single"/>
        </w:rPr>
        <w:t xml:space="preserve">     </w:t>
      </w:r>
      <w:r>
        <w:rPr>
          <w:rFonts w:hint="eastAsia" w:asciiTheme="majorEastAsia" w:hAnsiTheme="majorEastAsia" w:eastAsiaTheme="majorEastAsia" w:cstheme="majorEastAsia"/>
          <w:color w:val="auto"/>
          <w:szCs w:val="21"/>
          <w:highlight w:val="none"/>
        </w:rPr>
        <w:t>日</w:t>
      </w:r>
    </w:p>
    <w:p w14:paraId="53052D00">
      <w:pPr>
        <w:spacing w:line="360" w:lineRule="auto"/>
        <w:rPr>
          <w:rFonts w:hint="eastAsia" w:asciiTheme="majorEastAsia" w:hAnsiTheme="majorEastAsia" w:eastAsiaTheme="majorEastAsia" w:cstheme="majorEastAsia"/>
          <w:color w:val="auto"/>
          <w:highlight w:val="none"/>
        </w:rPr>
      </w:pPr>
    </w:p>
    <w:p w14:paraId="71579DF6">
      <w:pPr>
        <w:spacing w:line="360" w:lineRule="auto"/>
        <w:rPr>
          <w:rFonts w:hint="eastAsia" w:asciiTheme="majorEastAsia" w:hAnsiTheme="majorEastAsia" w:eastAsiaTheme="majorEastAsia" w:cstheme="majorEastAsia"/>
          <w:color w:val="auto"/>
          <w:highlight w:val="none"/>
        </w:rPr>
      </w:pPr>
    </w:p>
    <w:p w14:paraId="5FC607D9">
      <w:pPr>
        <w:spacing w:line="360" w:lineRule="auto"/>
        <w:rPr>
          <w:rFonts w:hint="eastAsia" w:asciiTheme="majorEastAsia" w:hAnsiTheme="majorEastAsia" w:eastAsiaTheme="majorEastAsia" w:cstheme="majorEastAsia"/>
          <w:b/>
          <w:color w:val="auto"/>
          <w:highlight w:val="none"/>
        </w:rPr>
      </w:pPr>
      <w:r>
        <w:rPr>
          <w:rFonts w:hint="eastAsia" w:asciiTheme="majorEastAsia" w:hAnsiTheme="majorEastAsia" w:eastAsiaTheme="majorEastAsia" w:cstheme="majorEastAsia"/>
          <w:b/>
          <w:color w:val="auto"/>
          <w:highlight w:val="none"/>
        </w:rPr>
        <w:t>注：委托代理人应附授权委托书</w:t>
      </w:r>
    </w:p>
    <w:p w14:paraId="16EBDBCB">
      <w:pPr>
        <w:spacing w:line="360" w:lineRule="auto"/>
        <w:ind w:firstLine="1320" w:firstLineChars="550"/>
        <w:rPr>
          <w:rFonts w:hint="eastAsia" w:asciiTheme="majorEastAsia" w:hAnsiTheme="majorEastAsia" w:eastAsiaTheme="majorEastAsia" w:cstheme="majorEastAsia"/>
          <w:color w:val="auto"/>
          <w:sz w:val="24"/>
          <w:highlight w:val="none"/>
        </w:rPr>
      </w:pPr>
    </w:p>
    <w:p w14:paraId="7A8540F4">
      <w:pPr>
        <w:spacing w:line="360" w:lineRule="auto"/>
        <w:ind w:firstLine="1320" w:firstLineChars="550"/>
        <w:rPr>
          <w:rFonts w:hint="eastAsia" w:ascii="黑体" w:eastAsia="黑体"/>
          <w:color w:val="auto"/>
          <w:sz w:val="24"/>
          <w:highlight w:val="none"/>
        </w:rPr>
      </w:pPr>
    </w:p>
    <w:p w14:paraId="54B0625A">
      <w:pPr>
        <w:spacing w:line="360" w:lineRule="auto"/>
        <w:ind w:firstLine="1320" w:firstLineChars="550"/>
        <w:rPr>
          <w:rFonts w:hint="eastAsia" w:ascii="黑体" w:eastAsia="黑体"/>
          <w:color w:val="auto"/>
          <w:sz w:val="24"/>
          <w:highlight w:val="none"/>
        </w:rPr>
      </w:pPr>
    </w:p>
    <w:p w14:paraId="69F67818">
      <w:pPr>
        <w:spacing w:line="360" w:lineRule="auto"/>
        <w:ind w:firstLine="1320" w:firstLineChars="550"/>
        <w:rPr>
          <w:rFonts w:hint="eastAsia" w:ascii="黑体" w:eastAsia="黑体"/>
          <w:color w:val="auto"/>
          <w:sz w:val="24"/>
          <w:highlight w:val="none"/>
        </w:rPr>
      </w:pPr>
    </w:p>
    <w:bookmarkEnd w:id="391"/>
    <w:p w14:paraId="0BDED1EB">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407" w:name="_Toc20929"/>
      <w:r>
        <w:rPr>
          <w:rFonts w:hint="eastAsia" w:ascii="宋体" w:hAnsi="宋体" w:eastAsia="宋体" w:cs="宋体"/>
          <w:b/>
          <w:bCs/>
          <w:color w:val="auto"/>
          <w:sz w:val="36"/>
          <w:szCs w:val="36"/>
          <w:highlight w:val="none"/>
        </w:rPr>
        <w:t>第五章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工程量清单</w:t>
      </w:r>
      <w:bookmarkEnd w:id="407"/>
    </w:p>
    <w:p w14:paraId="37F01494">
      <w:pPr>
        <w:pStyle w:val="7"/>
        <w:spacing w:line="308"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另册</w:t>
      </w:r>
    </w:p>
    <w:p w14:paraId="5AAAA005">
      <w:pPr>
        <w:rPr>
          <w:rFonts w:hint="eastAsia"/>
          <w:color w:val="auto"/>
          <w:highlight w:val="none"/>
        </w:rPr>
        <w:sectPr>
          <w:footerReference r:id="rId8" w:type="default"/>
          <w:pgSz w:w="11907" w:h="16840"/>
          <w:pgMar w:top="1417" w:right="1418" w:bottom="1417" w:left="1418" w:header="851" w:footer="992" w:gutter="0"/>
          <w:pgNumType w:fmt="decimal"/>
          <w:cols w:space="720" w:num="1"/>
        </w:sectPr>
      </w:pPr>
    </w:p>
    <w:p w14:paraId="7FA5645A">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i w:val="0"/>
          <w:iCs w:val="0"/>
          <w:color w:val="auto"/>
          <w:sz w:val="24"/>
          <w:szCs w:val="24"/>
          <w:highlight w:val="none"/>
          <w:lang w:val="en-US" w:eastAsia="zh-CN"/>
        </w:rPr>
      </w:pPr>
      <w:bookmarkStart w:id="408" w:name="_Toc30136"/>
      <w:r>
        <w:rPr>
          <w:rFonts w:hint="eastAsia" w:ascii="宋体" w:hAnsi="宋体" w:eastAsia="宋体" w:cs="宋体"/>
          <w:b/>
          <w:bCs/>
          <w:color w:val="auto"/>
          <w:sz w:val="36"/>
          <w:szCs w:val="36"/>
          <w:highlight w:val="none"/>
        </w:rPr>
        <w:t>第六章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图纸</w:t>
      </w:r>
      <w:bookmarkEnd w:id="408"/>
    </w:p>
    <w:p w14:paraId="4C9FA18B">
      <w:pPr>
        <w:pStyle w:val="7"/>
        <w:spacing w:line="287" w:lineRule="auto"/>
        <w:jc w:val="center"/>
        <w:rPr>
          <w:rFonts w:hint="eastAsia" w:ascii="宋体" w:hAnsi="宋体" w:eastAsia="宋体" w:cs="宋体"/>
          <w:i w:val="0"/>
          <w:iCs w:val="0"/>
          <w:color w:val="auto"/>
          <w:spacing w:val="0"/>
          <w:w w:val="100"/>
          <w:position w:val="0"/>
          <w:highlight w:val="none"/>
        </w:rPr>
      </w:pPr>
      <w:r>
        <w:rPr>
          <w:rFonts w:hint="eastAsia" w:ascii="宋体" w:hAnsi="宋体" w:eastAsia="宋体" w:cs="宋体"/>
          <w:i w:val="0"/>
          <w:iCs w:val="0"/>
          <w:color w:val="auto"/>
          <w:sz w:val="24"/>
          <w:szCs w:val="24"/>
          <w:highlight w:val="none"/>
          <w:lang w:val="en-US" w:eastAsia="zh-CN"/>
        </w:rPr>
        <w:t>无</w:t>
      </w:r>
      <w:r>
        <w:rPr>
          <w:rFonts w:hint="eastAsia" w:ascii="宋体" w:hAnsi="宋体" w:eastAsia="宋体" w:cs="宋体"/>
          <w:i w:val="0"/>
          <w:iCs w:val="0"/>
          <w:color w:val="auto"/>
          <w:spacing w:val="0"/>
          <w:w w:val="100"/>
          <w:position w:val="0"/>
          <w:sz w:val="28"/>
          <w:szCs w:val="28"/>
          <w:highlight w:val="none"/>
          <w14:textOutline w14:w="5103" w14:cap="sq" w14:cmpd="sng">
            <w14:solidFill>
              <w14:srgbClr w14:val="000000"/>
            </w14:solidFill>
            <w14:prstDash w14:val="solid"/>
            <w14:bevel/>
          </w14:textOutline>
        </w:rPr>
        <w:br w:type="page"/>
      </w:r>
    </w:p>
    <w:p w14:paraId="0381F50C">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i w:val="0"/>
          <w:iCs w:val="0"/>
          <w:color w:val="auto"/>
          <w:sz w:val="24"/>
          <w:szCs w:val="24"/>
          <w:highlight w:val="none"/>
          <w:lang w:val="en-US" w:eastAsia="zh-CN"/>
        </w:rPr>
      </w:pPr>
      <w:bookmarkStart w:id="409" w:name="_Toc15082"/>
      <w:r>
        <w:rPr>
          <w:rFonts w:hint="eastAsia" w:ascii="宋体" w:hAnsi="宋体" w:eastAsia="宋体" w:cs="宋体"/>
          <w:b/>
          <w:bCs/>
          <w:color w:val="auto"/>
          <w:sz w:val="36"/>
          <w:szCs w:val="36"/>
          <w:highlight w:val="none"/>
        </w:rPr>
        <w:t>第七章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技术标准和要求</w:t>
      </w:r>
      <w:bookmarkEnd w:id="409"/>
    </w:p>
    <w:p w14:paraId="2C425AC5">
      <w:pPr>
        <w:pStyle w:val="7"/>
        <w:spacing w:line="308" w:lineRule="auto"/>
        <w:ind w:firstLine="480" w:firstLineChars="200"/>
        <w:jc w:val="both"/>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依据文件的要求，本工程项目的材料、设备、施工须达到现行中华人民共和国以及省、自治区、直辖市或行业的有关工程施工验收规范和标准的要求。</w:t>
      </w:r>
    </w:p>
    <w:p w14:paraId="235B4D11">
      <w:pPr>
        <w:rPr>
          <w:rFonts w:hint="eastAsia" w:ascii="宋体" w:hAnsi="宋体" w:eastAsia="宋体" w:cs="宋体"/>
          <w:i w:val="0"/>
          <w:iCs w:val="0"/>
          <w:color w:val="auto"/>
          <w:spacing w:val="0"/>
          <w:w w:val="100"/>
          <w:position w:val="0"/>
          <w:highlight w:val="none"/>
        </w:rPr>
      </w:pPr>
      <w:r>
        <w:rPr>
          <w:rFonts w:hint="eastAsia" w:ascii="宋体" w:hAnsi="宋体" w:eastAsia="宋体" w:cs="宋体"/>
          <w:i w:val="0"/>
          <w:iCs w:val="0"/>
          <w:color w:val="auto"/>
          <w:spacing w:val="0"/>
          <w:w w:val="100"/>
          <w:position w:val="0"/>
          <w:highlight w:val="none"/>
        </w:rPr>
        <w:br w:type="page"/>
      </w:r>
    </w:p>
    <w:p w14:paraId="18B63592">
      <w:pPr>
        <w:pStyle w:val="2"/>
        <w:keepNext/>
        <w:keepLines w:val="0"/>
        <w:pageBreakBefore w:val="0"/>
        <w:widowControl/>
        <w:kinsoku w:val="0"/>
        <w:wordWrap w:val="0"/>
        <w:overflowPunct/>
        <w:topLinePunct w:val="0"/>
        <w:autoSpaceDE w:val="0"/>
        <w:autoSpaceDN w:val="0"/>
        <w:bidi w:val="0"/>
        <w:adjustRightInd w:val="0"/>
        <w:snapToGrid w:val="0"/>
        <w:jc w:val="center"/>
        <w:textAlignment w:val="baseline"/>
        <w:rPr>
          <w:rFonts w:hint="eastAsia" w:ascii="宋体" w:hAnsi="宋体" w:eastAsia="宋体" w:cs="宋体"/>
          <w:b/>
          <w:bCs/>
          <w:color w:val="auto"/>
          <w:sz w:val="36"/>
          <w:szCs w:val="36"/>
          <w:highlight w:val="none"/>
        </w:rPr>
      </w:pPr>
      <w:bookmarkStart w:id="410" w:name="_Toc19007"/>
      <w:r>
        <w:rPr>
          <w:rFonts w:hint="eastAsia" w:ascii="宋体" w:hAnsi="宋体" w:eastAsia="宋体" w:cs="宋体"/>
          <w:b/>
          <w:bCs/>
          <w:color w:val="auto"/>
          <w:sz w:val="36"/>
          <w:szCs w:val="36"/>
          <w:highlight w:val="none"/>
        </w:rPr>
        <w:t>第八章</w:t>
      </w:r>
      <w:r>
        <w:rPr>
          <w:rFonts w:hint="eastAsia" w:ascii="宋体" w:hAnsi="宋体" w:eastAsia="宋体" w:cs="宋体"/>
          <w:b/>
          <w:bCs/>
          <w:color w:val="auto"/>
          <w:sz w:val="36"/>
          <w:szCs w:val="36"/>
          <w:highlight w:val="none"/>
          <w:lang w:eastAsia="zh-CN"/>
        </w:rPr>
        <w:t>、</w:t>
      </w:r>
      <w:r>
        <w:rPr>
          <w:rFonts w:hint="eastAsia" w:ascii="宋体" w:hAnsi="宋体" w:eastAsia="宋体" w:cs="宋体"/>
          <w:b/>
          <w:bCs/>
          <w:color w:val="auto"/>
          <w:sz w:val="36"/>
          <w:szCs w:val="36"/>
          <w:highlight w:val="none"/>
        </w:rPr>
        <w:t>磋商响应文件格式</w:t>
      </w:r>
      <w:bookmarkEnd w:id="410"/>
    </w:p>
    <w:p w14:paraId="08825143">
      <w:pPr>
        <w:pStyle w:val="7"/>
        <w:spacing w:line="308" w:lineRule="auto"/>
        <w:jc w:val="center"/>
        <w:rPr>
          <w:rFonts w:hint="eastAsia" w:ascii="宋体" w:hAnsi="宋体" w:eastAsia="宋体" w:cs="宋体"/>
          <w:i w:val="0"/>
          <w:iCs w:val="0"/>
          <w:color w:val="auto"/>
          <w:sz w:val="24"/>
          <w:szCs w:val="24"/>
          <w:highlight w:val="none"/>
          <w:lang w:val="en-US" w:eastAsia="zh-CN"/>
        </w:rPr>
      </w:pPr>
    </w:p>
    <w:p w14:paraId="3C46D386">
      <w:pPr>
        <w:snapToGrid w:val="0"/>
        <w:spacing w:before="120" w:beforeLines="50" w:after="120" w:afterLines="50" w:line="288" w:lineRule="auto"/>
        <w:ind w:firstLine="573"/>
        <w:jc w:val="center"/>
        <w:rPr>
          <w:rFonts w:hint="eastAsia" w:ascii="宋体" w:hAnsi="宋体" w:eastAsia="宋体" w:cs="宋体"/>
          <w:i w:val="0"/>
          <w:iCs w:val="0"/>
          <w:color w:val="auto"/>
          <w:sz w:val="24"/>
          <w:szCs w:val="32"/>
          <w:highlight w:val="none"/>
        </w:rPr>
      </w:pPr>
      <w:r>
        <w:rPr>
          <w:rFonts w:hint="eastAsia" w:ascii="宋体" w:hAnsi="宋体" w:eastAsia="宋体" w:cs="宋体"/>
          <w:i w:val="0"/>
          <w:iCs w:val="0"/>
          <w:color w:val="auto"/>
          <w:sz w:val="24"/>
          <w:szCs w:val="32"/>
          <w:highlight w:val="none"/>
        </w:rPr>
        <w:t>请按照以下竞磋响应文件要求制作竞磋响应文件。</w:t>
      </w:r>
    </w:p>
    <w:p w14:paraId="72E75369">
      <w:pPr>
        <w:rPr>
          <w:rFonts w:hint="eastAsia" w:ascii="宋体" w:hAnsi="宋体" w:eastAsia="宋体" w:cs="宋体"/>
          <w:i w:val="0"/>
          <w:iCs w:val="0"/>
          <w:color w:val="auto"/>
          <w:spacing w:val="0"/>
          <w:w w:val="100"/>
          <w:position w:val="0"/>
          <w:sz w:val="20"/>
          <w:szCs w:val="20"/>
          <w:highlight w:val="none"/>
        </w:rPr>
      </w:pPr>
      <w:r>
        <w:rPr>
          <w:rFonts w:hint="eastAsia" w:ascii="宋体" w:hAnsi="宋体" w:eastAsia="宋体" w:cs="宋体"/>
          <w:i w:val="0"/>
          <w:iCs w:val="0"/>
          <w:color w:val="auto"/>
          <w:spacing w:val="0"/>
          <w:w w:val="100"/>
          <w:position w:val="0"/>
          <w:sz w:val="20"/>
          <w:szCs w:val="20"/>
          <w:highlight w:val="none"/>
        </w:rPr>
        <w:br w:type="page"/>
      </w:r>
    </w:p>
    <w:p w14:paraId="3DD0BC37">
      <w:pPr>
        <w:pStyle w:val="9"/>
        <w:spacing w:before="120" w:beforeLines="50" w:after="120" w:afterLines="50" w:line="288" w:lineRule="auto"/>
        <w:jc w:val="center"/>
        <w:outlineLvl w:val="9"/>
        <w:rPr>
          <w:rFonts w:hint="eastAsia" w:ascii="宋体" w:hAnsi="宋体" w:eastAsia="宋体" w:cs="宋体"/>
          <w:i w:val="0"/>
          <w:iCs w:val="0"/>
          <w:color w:val="auto"/>
          <w:sz w:val="48"/>
          <w:szCs w:val="48"/>
          <w:highlight w:val="none"/>
        </w:rPr>
      </w:pPr>
      <w:bookmarkStart w:id="411" w:name="_Toc15251"/>
    </w:p>
    <w:p w14:paraId="41746F61">
      <w:pPr>
        <w:pStyle w:val="9"/>
        <w:spacing w:before="120" w:beforeLines="50" w:after="120" w:afterLines="50" w:line="288" w:lineRule="auto"/>
        <w:jc w:val="center"/>
        <w:outlineLvl w:val="9"/>
        <w:rPr>
          <w:rFonts w:hint="eastAsia" w:ascii="宋体" w:hAnsi="宋体" w:eastAsia="宋体" w:cs="宋体"/>
          <w:i w:val="0"/>
          <w:iCs w:val="0"/>
          <w:color w:val="auto"/>
          <w:sz w:val="48"/>
          <w:szCs w:val="48"/>
          <w:highlight w:val="none"/>
        </w:rPr>
      </w:pPr>
    </w:p>
    <w:p w14:paraId="6ECC73EA">
      <w:pPr>
        <w:pStyle w:val="9"/>
        <w:spacing w:before="120" w:beforeLines="50" w:after="120" w:afterLines="50" w:line="288" w:lineRule="auto"/>
        <w:jc w:val="center"/>
        <w:outlineLvl w:val="1"/>
        <w:rPr>
          <w:rFonts w:hint="eastAsia" w:ascii="宋体" w:hAnsi="宋体" w:eastAsia="宋体" w:cs="宋体"/>
          <w:i w:val="0"/>
          <w:iCs w:val="0"/>
          <w:color w:val="auto"/>
          <w:sz w:val="48"/>
          <w:szCs w:val="48"/>
          <w:highlight w:val="none"/>
        </w:rPr>
      </w:pPr>
      <w:bookmarkStart w:id="412" w:name="_Toc26861"/>
      <w:r>
        <w:rPr>
          <w:rFonts w:hint="eastAsia" w:ascii="宋体" w:hAnsi="宋体" w:eastAsia="宋体" w:cs="宋体"/>
          <w:i w:val="0"/>
          <w:iCs w:val="0"/>
          <w:color w:val="auto"/>
          <w:sz w:val="48"/>
          <w:szCs w:val="48"/>
          <w:highlight w:val="none"/>
        </w:rPr>
        <w:t>竞磋响应文件</w:t>
      </w:r>
      <w:bookmarkEnd w:id="411"/>
      <w:bookmarkEnd w:id="412"/>
    </w:p>
    <w:p w14:paraId="4EFB9B79">
      <w:pPr>
        <w:pStyle w:val="9"/>
        <w:spacing w:before="120" w:beforeLines="50" w:after="120" w:afterLines="50" w:line="288" w:lineRule="auto"/>
        <w:rPr>
          <w:rFonts w:hint="eastAsia" w:ascii="宋体" w:hAnsi="宋体" w:eastAsia="宋体" w:cs="宋体"/>
          <w:i w:val="0"/>
          <w:iCs w:val="0"/>
          <w:color w:val="auto"/>
          <w:sz w:val="32"/>
          <w:highlight w:val="none"/>
        </w:rPr>
      </w:pPr>
    </w:p>
    <w:p w14:paraId="1DBB4CBA">
      <w:pPr>
        <w:pStyle w:val="9"/>
        <w:spacing w:before="120" w:beforeLines="50" w:after="120" w:afterLines="50" w:line="288" w:lineRule="auto"/>
        <w:rPr>
          <w:rFonts w:hint="eastAsia" w:ascii="宋体" w:hAnsi="宋体" w:eastAsia="宋体" w:cs="宋体"/>
          <w:i w:val="0"/>
          <w:iCs w:val="0"/>
          <w:color w:val="auto"/>
          <w:sz w:val="32"/>
          <w:highlight w:val="none"/>
        </w:rPr>
      </w:pPr>
    </w:p>
    <w:p w14:paraId="02AD8093">
      <w:pPr>
        <w:pStyle w:val="9"/>
        <w:spacing w:before="120" w:beforeLines="50" w:after="120" w:afterLines="50" w:line="288" w:lineRule="auto"/>
        <w:rPr>
          <w:rFonts w:hint="eastAsia" w:ascii="宋体" w:hAnsi="宋体" w:eastAsia="宋体" w:cs="宋体"/>
          <w:i w:val="0"/>
          <w:iCs w:val="0"/>
          <w:color w:val="auto"/>
          <w:sz w:val="32"/>
          <w:highlight w:val="none"/>
        </w:rPr>
      </w:pPr>
    </w:p>
    <w:p w14:paraId="0124C691">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r>
        <w:rPr>
          <w:rFonts w:hint="eastAsia" w:ascii="宋体" w:hAnsi="宋体" w:eastAsia="宋体" w:cs="宋体"/>
          <w:i w:val="0"/>
          <w:iCs w:val="0"/>
          <w:color w:val="auto"/>
          <w:sz w:val="28"/>
          <w:szCs w:val="28"/>
          <w:highlight w:val="none"/>
        </w:rPr>
        <w:t>项目名称:</w:t>
      </w:r>
    </w:p>
    <w:p w14:paraId="60E67F5D">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4EF39F6F">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7F506F07">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r>
        <w:rPr>
          <w:rFonts w:hint="eastAsia" w:ascii="宋体" w:hAnsi="宋体" w:eastAsia="宋体" w:cs="宋体"/>
          <w:i w:val="0"/>
          <w:iCs w:val="0"/>
          <w:color w:val="auto"/>
          <w:sz w:val="28"/>
          <w:szCs w:val="28"/>
          <w:highlight w:val="none"/>
        </w:rPr>
        <w:t>项目编号:</w:t>
      </w:r>
    </w:p>
    <w:p w14:paraId="25202694">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2452DD79">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6377A5B4">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7483222E">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r>
        <w:rPr>
          <w:rFonts w:hint="eastAsia" w:ascii="宋体" w:hAnsi="宋体" w:eastAsia="宋体" w:cs="宋体"/>
          <w:i w:val="0"/>
          <w:iCs w:val="0"/>
          <w:color w:val="auto"/>
          <w:sz w:val="28"/>
          <w:szCs w:val="28"/>
          <w:highlight w:val="none"/>
        </w:rPr>
        <w:t>竞磋商：</w:t>
      </w:r>
    </w:p>
    <w:p w14:paraId="7CE48C7F">
      <w:pPr>
        <w:pStyle w:val="9"/>
        <w:spacing w:before="120" w:beforeLines="50" w:after="120" w:afterLines="50" w:line="288" w:lineRule="auto"/>
        <w:ind w:firstLine="826" w:firstLineChars="295"/>
        <w:rPr>
          <w:rFonts w:hint="eastAsia" w:ascii="宋体" w:hAnsi="宋体" w:eastAsia="宋体" w:cs="宋体"/>
          <w:i w:val="0"/>
          <w:iCs w:val="0"/>
          <w:color w:val="auto"/>
          <w:sz w:val="28"/>
          <w:szCs w:val="28"/>
          <w:highlight w:val="none"/>
        </w:rPr>
      </w:pPr>
    </w:p>
    <w:p w14:paraId="18F747B1">
      <w:pPr>
        <w:pStyle w:val="9"/>
        <w:spacing w:before="120" w:beforeLines="50" w:after="120" w:afterLines="50" w:line="288" w:lineRule="auto"/>
        <w:rPr>
          <w:rFonts w:hint="eastAsia" w:ascii="宋体" w:hAnsi="宋体" w:eastAsia="宋体" w:cs="宋体"/>
          <w:i w:val="0"/>
          <w:iCs w:val="0"/>
          <w:color w:val="auto"/>
          <w:sz w:val="28"/>
          <w:szCs w:val="28"/>
          <w:highlight w:val="none"/>
        </w:rPr>
      </w:pPr>
    </w:p>
    <w:p w14:paraId="737B6F5C">
      <w:pPr>
        <w:pStyle w:val="9"/>
        <w:spacing w:before="120" w:beforeLines="50" w:after="120" w:afterLines="50" w:line="288" w:lineRule="auto"/>
        <w:ind w:firstLine="1666" w:firstLineChars="595"/>
        <w:rPr>
          <w:rFonts w:hint="eastAsia" w:ascii="宋体" w:hAnsi="宋体" w:eastAsia="宋体" w:cs="宋体"/>
          <w:i w:val="0"/>
          <w:iCs w:val="0"/>
          <w:color w:val="auto"/>
          <w:sz w:val="28"/>
          <w:szCs w:val="28"/>
          <w:highlight w:val="none"/>
        </w:rPr>
      </w:pPr>
    </w:p>
    <w:p w14:paraId="40697D90">
      <w:pPr>
        <w:pStyle w:val="9"/>
        <w:spacing w:before="120" w:beforeLines="50" w:after="120" w:afterLines="50" w:line="288" w:lineRule="auto"/>
        <w:ind w:firstLine="1666" w:firstLineChars="595"/>
        <w:rPr>
          <w:rFonts w:hint="eastAsia" w:ascii="宋体" w:hAnsi="宋体" w:eastAsia="宋体" w:cs="宋体"/>
          <w:i w:val="0"/>
          <w:iCs w:val="0"/>
          <w:color w:val="auto"/>
          <w:sz w:val="28"/>
          <w:szCs w:val="28"/>
          <w:highlight w:val="none"/>
        </w:rPr>
      </w:pPr>
    </w:p>
    <w:p w14:paraId="6C2BB327">
      <w:pPr>
        <w:pStyle w:val="9"/>
        <w:spacing w:before="120" w:beforeLines="50" w:after="120" w:afterLines="50" w:line="288" w:lineRule="auto"/>
        <w:ind w:firstLine="3211" w:firstLineChars="1147"/>
        <w:rPr>
          <w:rFonts w:hint="eastAsia" w:ascii="宋体" w:hAnsi="宋体" w:eastAsia="宋体" w:cs="宋体"/>
          <w:i w:val="0"/>
          <w:iCs w:val="0"/>
          <w:color w:val="auto"/>
          <w:sz w:val="32"/>
          <w:highlight w:val="none"/>
        </w:rPr>
      </w:pPr>
      <w:r>
        <w:rPr>
          <w:rFonts w:hint="eastAsia" w:ascii="宋体" w:hAnsi="宋体" w:eastAsia="宋体" w:cs="宋体"/>
          <w:i w:val="0"/>
          <w:iCs w:val="0"/>
          <w:color w:val="auto"/>
          <w:sz w:val="28"/>
          <w:szCs w:val="28"/>
          <w:highlight w:val="none"/>
        </w:rPr>
        <w:t>年月日</w:t>
      </w:r>
    </w:p>
    <w:p w14:paraId="734070BE">
      <w:pPr>
        <w:widowControl/>
        <w:spacing w:before="120" w:beforeLines="50" w:after="120" w:afterLines="50" w:line="288" w:lineRule="auto"/>
        <w:jc w:val="left"/>
        <w:rPr>
          <w:rFonts w:hint="eastAsia" w:ascii="宋体" w:hAnsi="宋体" w:eastAsia="宋体" w:cs="宋体"/>
          <w:i w:val="0"/>
          <w:iCs w:val="0"/>
          <w:color w:val="auto"/>
          <w:sz w:val="18"/>
          <w:szCs w:val="18"/>
          <w:highlight w:val="none"/>
        </w:rPr>
      </w:pPr>
    </w:p>
    <w:p w14:paraId="75397832">
      <w:pPr>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i w:val="0"/>
          <w:iCs w:val="0"/>
          <w:color w:val="auto"/>
          <w:sz w:val="30"/>
          <w:szCs w:val="30"/>
          <w:highlight w:val="none"/>
        </w:rPr>
      </w:pPr>
      <w:bookmarkStart w:id="413" w:name="_Toc12789073"/>
      <w:r>
        <w:rPr>
          <w:rFonts w:hint="eastAsia" w:ascii="宋体" w:hAnsi="宋体" w:eastAsia="宋体" w:cs="宋体"/>
          <w:i w:val="0"/>
          <w:iCs w:val="0"/>
          <w:color w:val="auto"/>
          <w:sz w:val="21"/>
          <w:szCs w:val="21"/>
          <w:highlight w:val="none"/>
        </w:rPr>
        <w:br w:type="page"/>
      </w:r>
      <w:bookmarkStart w:id="414" w:name="_Toc383497235"/>
      <w:bookmarkStart w:id="415" w:name="_Toc21355"/>
      <w:bookmarkStart w:id="416" w:name="_Toc380477268"/>
      <w:bookmarkStart w:id="417" w:name="_Toc380477377"/>
      <w:bookmarkStart w:id="418" w:name="_Toc22879"/>
      <w:r>
        <w:rPr>
          <w:rFonts w:hint="eastAsia" w:ascii="宋体" w:hAnsi="宋体" w:eastAsia="宋体" w:cs="宋体"/>
          <w:i w:val="0"/>
          <w:iCs w:val="0"/>
          <w:color w:val="auto"/>
          <w:sz w:val="30"/>
          <w:szCs w:val="30"/>
          <w:highlight w:val="none"/>
        </w:rPr>
        <w:t>目录</w:t>
      </w:r>
      <w:bookmarkEnd w:id="414"/>
      <w:bookmarkEnd w:id="415"/>
      <w:bookmarkEnd w:id="416"/>
      <w:bookmarkEnd w:id="417"/>
      <w:bookmarkEnd w:id="418"/>
    </w:p>
    <w:p w14:paraId="09E377F5">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rPr>
        <w:t>一、</w:t>
      </w:r>
      <w:r>
        <w:rPr>
          <w:rFonts w:hint="eastAsia" w:ascii="宋体" w:hAnsi="宋体" w:eastAsia="宋体" w:cs="宋体"/>
          <w:i w:val="0"/>
          <w:iCs w:val="0"/>
          <w:color w:val="auto"/>
          <w:sz w:val="21"/>
          <w:szCs w:val="21"/>
          <w:highlight w:val="none"/>
          <w:lang w:eastAsia="zh-CN"/>
        </w:rPr>
        <w:t>磋商</w:t>
      </w:r>
      <w:r>
        <w:rPr>
          <w:rFonts w:hint="eastAsia" w:ascii="宋体" w:hAnsi="宋体" w:eastAsia="宋体" w:cs="宋体"/>
          <w:i w:val="0"/>
          <w:iCs w:val="0"/>
          <w:color w:val="auto"/>
          <w:sz w:val="21"/>
          <w:szCs w:val="21"/>
          <w:highlight w:val="none"/>
        </w:rPr>
        <w:t>函及</w:t>
      </w:r>
      <w:r>
        <w:rPr>
          <w:rFonts w:hint="eastAsia" w:ascii="宋体" w:hAnsi="宋体" w:eastAsia="宋体" w:cs="宋体"/>
          <w:i w:val="0"/>
          <w:iCs w:val="0"/>
          <w:color w:val="auto"/>
          <w:sz w:val="21"/>
          <w:szCs w:val="21"/>
          <w:highlight w:val="none"/>
          <w:lang w:eastAsia="zh-CN"/>
        </w:rPr>
        <w:t>磋商</w:t>
      </w:r>
      <w:r>
        <w:rPr>
          <w:rFonts w:hint="eastAsia" w:ascii="宋体" w:hAnsi="宋体" w:eastAsia="宋体" w:cs="宋体"/>
          <w:i w:val="0"/>
          <w:iCs w:val="0"/>
          <w:color w:val="auto"/>
          <w:sz w:val="21"/>
          <w:szCs w:val="21"/>
          <w:highlight w:val="none"/>
        </w:rPr>
        <w:t>函附录</w:t>
      </w:r>
      <w:r>
        <w:rPr>
          <w:rFonts w:hint="eastAsia" w:ascii="宋体" w:hAnsi="宋体" w:eastAsia="宋体" w:cs="宋体"/>
          <w:i w:val="0"/>
          <w:iCs w:val="0"/>
          <w:color w:val="auto"/>
          <w:sz w:val="21"/>
          <w:szCs w:val="21"/>
          <w:highlight w:val="none"/>
          <w:lang w:eastAsia="zh-CN"/>
        </w:rPr>
        <w:t>及联合体协议书（如有）</w:t>
      </w:r>
    </w:p>
    <w:p w14:paraId="3A149F1A">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二、报价一览表</w:t>
      </w:r>
    </w:p>
    <w:p w14:paraId="17FEC777">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三、法定代表人身份证明或附有法人身份证明的授权委托书</w:t>
      </w:r>
    </w:p>
    <w:p w14:paraId="08C03A52">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四、已标价工程量清单</w:t>
      </w:r>
    </w:p>
    <w:p w14:paraId="54A7B1B7">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五、项目管理机构</w:t>
      </w:r>
    </w:p>
    <w:p w14:paraId="4DE26140">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六、资格审查资料</w:t>
      </w:r>
    </w:p>
    <w:p w14:paraId="6C0408B7">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七、其他材料</w:t>
      </w:r>
    </w:p>
    <w:p w14:paraId="4EB88BA8">
      <w:pPr>
        <w:pageBreakBefore w:val="0"/>
        <w:widowControl w:val="0"/>
        <w:kinsoku/>
        <w:wordWrap/>
        <w:overflowPunct/>
        <w:topLinePunct w:val="0"/>
        <w:autoSpaceDE/>
        <w:autoSpaceDN/>
        <w:bidi w:val="0"/>
        <w:adjustRightInd/>
        <w:snapToGrid/>
        <w:spacing w:line="600" w:lineRule="exact"/>
        <w:textAlignment w:val="auto"/>
        <w:outlineLvl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八、技术部分</w:t>
      </w:r>
      <w:r>
        <w:rPr>
          <w:rFonts w:hint="eastAsia" w:ascii="宋体" w:hAnsi="宋体" w:eastAsia="宋体" w:cs="宋体"/>
          <w:i w:val="0"/>
          <w:iCs w:val="0"/>
          <w:color w:val="auto"/>
          <w:sz w:val="21"/>
          <w:szCs w:val="21"/>
          <w:highlight w:val="none"/>
        </w:rPr>
        <w:br w:type="page"/>
      </w:r>
      <w:r>
        <w:rPr>
          <w:rFonts w:hint="eastAsia" w:ascii="宋体" w:hAnsi="宋体" w:eastAsia="宋体" w:cs="宋体"/>
          <w:i w:val="0"/>
          <w:iCs w:val="0"/>
          <w:color w:val="auto"/>
          <w:sz w:val="21"/>
          <w:szCs w:val="21"/>
          <w:highlight w:val="none"/>
        </w:rPr>
        <w:t>说明：</w:t>
      </w:r>
    </w:p>
    <w:p w14:paraId="62E79ABC">
      <w:pPr>
        <w:pStyle w:val="33"/>
        <w:numPr>
          <w:ilvl w:val="0"/>
          <w:numId w:val="2"/>
        </w:numPr>
        <w:spacing w:before="120" w:beforeLines="50" w:after="120" w:afterLines="50" w:line="288" w:lineRule="auto"/>
        <w:ind w:firstLineChars="0"/>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lang w:eastAsia="zh-CN"/>
        </w:rPr>
        <w:t>磋商</w:t>
      </w:r>
      <w:r>
        <w:rPr>
          <w:rFonts w:hint="eastAsia" w:ascii="宋体" w:hAnsi="宋体" w:eastAsia="宋体" w:cs="宋体"/>
          <w:i w:val="0"/>
          <w:iCs w:val="0"/>
          <w:color w:val="auto"/>
          <w:szCs w:val="21"/>
          <w:highlight w:val="none"/>
        </w:rPr>
        <w:t>函、</w:t>
      </w:r>
      <w:r>
        <w:rPr>
          <w:rFonts w:hint="eastAsia" w:ascii="宋体" w:hAnsi="宋体" w:eastAsia="宋体" w:cs="宋体"/>
          <w:i w:val="0"/>
          <w:iCs w:val="0"/>
          <w:color w:val="auto"/>
          <w:szCs w:val="21"/>
          <w:highlight w:val="none"/>
          <w:lang w:eastAsia="zh-CN"/>
        </w:rPr>
        <w:t>磋商</w:t>
      </w:r>
      <w:r>
        <w:rPr>
          <w:rFonts w:hint="eastAsia" w:ascii="宋体" w:hAnsi="宋体" w:eastAsia="宋体" w:cs="宋体"/>
          <w:i w:val="0"/>
          <w:iCs w:val="0"/>
          <w:color w:val="auto"/>
          <w:szCs w:val="21"/>
          <w:highlight w:val="none"/>
        </w:rPr>
        <w:t>函附录、法定代表人授权委托书、报价文件均需加盖供应商公章</w:t>
      </w:r>
    </w:p>
    <w:p w14:paraId="1DFE16F8">
      <w:pPr>
        <w:pStyle w:val="33"/>
        <w:numPr>
          <w:ilvl w:val="0"/>
          <w:numId w:val="2"/>
        </w:numPr>
        <w:spacing w:before="120" w:beforeLines="50" w:after="120" w:afterLines="50" w:line="288" w:lineRule="auto"/>
        <w:ind w:firstLineChars="0"/>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lang w:eastAsia="zh-CN"/>
        </w:rPr>
        <w:t>磋商</w:t>
      </w:r>
      <w:r>
        <w:rPr>
          <w:rFonts w:hint="eastAsia" w:ascii="宋体" w:hAnsi="宋体" w:eastAsia="宋体" w:cs="宋体"/>
          <w:i w:val="0"/>
          <w:iCs w:val="0"/>
          <w:color w:val="auto"/>
          <w:szCs w:val="21"/>
          <w:highlight w:val="none"/>
        </w:rPr>
        <w:t>函中应明确本次竞磋的项目名称和项目编号（项目名称、编号见本竞磋公告）。</w:t>
      </w:r>
    </w:p>
    <w:p w14:paraId="7E466DEA">
      <w:pPr>
        <w:pStyle w:val="33"/>
        <w:numPr>
          <w:ilvl w:val="0"/>
          <w:numId w:val="2"/>
        </w:numPr>
        <w:spacing w:before="120" w:beforeLines="50" w:after="120" w:afterLines="50" w:line="288" w:lineRule="auto"/>
        <w:ind w:firstLineChars="0"/>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响应文件应统一标注页码，包括公司资质文件中的复印件也应标注页码。</w:t>
      </w:r>
    </w:p>
    <w:p w14:paraId="61B63D67">
      <w:pPr>
        <w:pStyle w:val="33"/>
        <w:numPr>
          <w:ilvl w:val="0"/>
          <w:numId w:val="2"/>
        </w:numPr>
        <w:spacing w:before="120" w:beforeLines="50" w:after="120" w:afterLines="50" w:line="288" w:lineRule="auto"/>
        <w:ind w:firstLineChars="0"/>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其他内容：供应商根据对竞磋的理解还需提供用于磋商小组评分的其他佐证材料（格式无固定要求）</w:t>
      </w:r>
      <w:r>
        <w:rPr>
          <w:rFonts w:hint="eastAsia" w:ascii="宋体" w:hAnsi="宋体" w:eastAsia="宋体" w:cs="宋体"/>
          <w:i w:val="0"/>
          <w:iCs w:val="0"/>
          <w:color w:val="auto"/>
          <w:szCs w:val="21"/>
          <w:highlight w:val="none"/>
          <w:lang w:eastAsia="zh-CN"/>
        </w:rPr>
        <w:t>。</w:t>
      </w:r>
    </w:p>
    <w:p w14:paraId="5E6AE48A">
      <w:pPr>
        <w:spacing w:line="360" w:lineRule="auto"/>
        <w:jc w:val="center"/>
        <w:rPr>
          <w:rFonts w:hint="eastAsia" w:ascii="宋体" w:hAnsi="宋体" w:eastAsia="宋体" w:cs="宋体"/>
          <w:i w:val="0"/>
          <w:iCs w:val="0"/>
          <w:color w:val="auto"/>
          <w:szCs w:val="21"/>
          <w:highlight w:val="none"/>
          <w:lang w:eastAsia="zh-CN"/>
        </w:rPr>
      </w:pPr>
    </w:p>
    <w:p w14:paraId="4E045DFB">
      <w:pPr>
        <w:pStyle w:val="33"/>
        <w:spacing w:before="120" w:beforeLines="50" w:after="120" w:afterLines="50" w:line="288" w:lineRule="auto"/>
        <w:ind w:left="360" w:firstLine="0" w:firstLineChars="0"/>
        <w:rPr>
          <w:rFonts w:hint="eastAsia" w:ascii="宋体" w:hAnsi="宋体" w:eastAsia="宋体" w:cs="宋体"/>
          <w:i w:val="0"/>
          <w:iCs w:val="0"/>
          <w:color w:val="auto"/>
          <w:szCs w:val="21"/>
          <w:highlight w:val="none"/>
        </w:rPr>
      </w:pPr>
    </w:p>
    <w:p w14:paraId="695A09BC">
      <w:pPr>
        <w:pStyle w:val="33"/>
        <w:spacing w:before="120" w:beforeLines="50" w:after="120" w:afterLines="50" w:line="288" w:lineRule="auto"/>
        <w:ind w:firstLine="0" w:firstLineChars="0"/>
        <w:rPr>
          <w:rFonts w:hint="eastAsia" w:ascii="宋体" w:hAnsi="宋体" w:eastAsia="宋体" w:cs="宋体"/>
          <w:i w:val="0"/>
          <w:iCs w:val="0"/>
          <w:color w:val="auto"/>
          <w:sz w:val="18"/>
          <w:szCs w:val="18"/>
          <w:highlight w:val="none"/>
        </w:rPr>
      </w:pPr>
      <w:r>
        <w:rPr>
          <w:rFonts w:hint="eastAsia" w:ascii="宋体" w:hAnsi="宋体" w:eastAsia="宋体" w:cs="宋体"/>
          <w:i w:val="0"/>
          <w:iCs w:val="0"/>
          <w:color w:val="auto"/>
          <w:sz w:val="18"/>
          <w:szCs w:val="18"/>
          <w:highlight w:val="none"/>
        </w:rPr>
        <w:br w:type="page"/>
      </w:r>
    </w:p>
    <w:p w14:paraId="4D8803EB">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19" w:name="_Toc22669"/>
      <w:bookmarkStart w:id="420" w:name="_Toc10892"/>
      <w:r>
        <w:rPr>
          <w:rFonts w:hint="eastAsia" w:ascii="宋体" w:hAnsi="宋体" w:eastAsia="宋体" w:cs="宋体"/>
          <w:b/>
          <w:bCs/>
          <w:i w:val="0"/>
          <w:iCs w:val="0"/>
          <w:snapToGrid w:val="0"/>
          <w:color w:val="auto"/>
          <w:kern w:val="0"/>
          <w:sz w:val="32"/>
          <w:szCs w:val="28"/>
          <w:highlight w:val="none"/>
          <w:lang w:val="en-US" w:eastAsia="zh-CN" w:bidi="ar-SA"/>
        </w:rPr>
        <w:t>一、磋商函</w:t>
      </w:r>
      <w:bookmarkEnd w:id="419"/>
      <w:bookmarkEnd w:id="420"/>
    </w:p>
    <w:p w14:paraId="1FD81CDF">
      <w:pPr>
        <w:spacing w:before="120" w:beforeLines="50" w:after="120" w:afterLines="50" w:line="288" w:lineRule="auto"/>
        <w:rPr>
          <w:rFonts w:hint="eastAsia" w:ascii="宋体" w:hAnsi="宋体" w:eastAsia="宋体" w:cs="宋体"/>
          <w:i w:val="0"/>
          <w:iCs w:val="0"/>
          <w:color w:val="auto"/>
          <w:sz w:val="24"/>
          <w:szCs w:val="24"/>
          <w:highlight w:val="none"/>
          <w:u w:val="single"/>
          <w:lang w:eastAsia="zh-CN"/>
        </w:rPr>
      </w:pPr>
      <w:r>
        <w:rPr>
          <w:rFonts w:hint="eastAsia" w:ascii="宋体" w:hAnsi="宋体" w:eastAsia="宋体" w:cs="宋体"/>
          <w:i w:val="0"/>
          <w:iCs w:val="0"/>
          <w:color w:val="auto"/>
          <w:sz w:val="24"/>
          <w:szCs w:val="24"/>
          <w:highlight w:val="none"/>
        </w:rPr>
        <w:t>采购项目名称：</w:t>
      </w:r>
    </w:p>
    <w:p w14:paraId="1BC1537D">
      <w:pPr>
        <w:tabs>
          <w:tab w:val="left" w:pos="6300"/>
        </w:tabs>
        <w:snapToGrid w:val="0"/>
        <w:spacing w:before="120" w:beforeLines="50" w:after="120" w:afterLines="50" w:line="288"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项目编号：</w:t>
      </w:r>
      <w:r>
        <w:rPr>
          <w:rFonts w:hint="eastAsia" w:ascii="宋体" w:hAnsi="宋体" w:eastAsia="宋体" w:cs="宋体"/>
          <w:i w:val="0"/>
          <w:iCs w:val="0"/>
          <w:color w:val="auto"/>
          <w:sz w:val="24"/>
          <w:szCs w:val="24"/>
          <w:highlight w:val="none"/>
          <w:u w:val="single"/>
        </w:rPr>
        <w:t>　　</w:t>
      </w:r>
    </w:p>
    <w:p w14:paraId="06E40795">
      <w:pPr>
        <w:tabs>
          <w:tab w:val="left" w:pos="6300"/>
        </w:tabs>
        <w:snapToGrid w:val="0"/>
        <w:spacing w:before="120" w:beforeLines="50" w:after="120" w:afterLines="50" w:line="288"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致：</w:t>
      </w:r>
      <w:r>
        <w:rPr>
          <w:rFonts w:hint="eastAsia" w:ascii="宋体" w:hAnsi="宋体" w:eastAsia="宋体" w:cs="宋体"/>
          <w:i w:val="0"/>
          <w:iCs w:val="0"/>
          <w:color w:val="auto"/>
          <w:sz w:val="24"/>
          <w:szCs w:val="24"/>
          <w:highlight w:val="none"/>
          <w:u w:val="single"/>
        </w:rPr>
        <w:t>（采购人名称）</w:t>
      </w:r>
    </w:p>
    <w:p w14:paraId="47FE94B6">
      <w:pPr>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（供应商名称）系中华人民共和国合法企业，注册地址：我方就参加本次</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有关事项郑重声明如下：</w:t>
      </w:r>
    </w:p>
    <w:p w14:paraId="12275CE9">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一、我方完全理解并接受该项目</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所有要求，愿意以人民币</w:t>
      </w:r>
      <w:r>
        <w:rPr>
          <w:rFonts w:hint="eastAsia" w:ascii="宋体" w:hAnsi="宋体" w:eastAsia="宋体" w:cs="宋体"/>
          <w:i w:val="0"/>
          <w:iCs w:val="0"/>
          <w:color w:val="auto"/>
          <w:sz w:val="24"/>
          <w:szCs w:val="24"/>
          <w:highlight w:val="none"/>
          <w:u w:val="single"/>
        </w:rPr>
        <w:t>（大写）（¥）</w:t>
      </w:r>
      <w:r>
        <w:rPr>
          <w:rFonts w:hint="eastAsia" w:ascii="宋体" w:hAnsi="宋体" w:eastAsia="宋体" w:cs="宋体"/>
          <w:i w:val="0"/>
          <w:iCs w:val="0"/>
          <w:color w:val="auto"/>
          <w:sz w:val="24"/>
          <w:szCs w:val="24"/>
          <w:highlight w:val="none"/>
        </w:rPr>
        <w:t>的报价，计划工期</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，按合同约定实施和完成承包工程，修补工程中的任何缺陷，工程质量达到</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w:t>
      </w:r>
    </w:p>
    <w:p w14:paraId="355E3CF8">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二、我方提交的所有响应文件、资料都是准确和真实的，如有虚假或隐瞒，我方愿意承担一切法律责任。</w:t>
      </w:r>
    </w:p>
    <w:p w14:paraId="5EE3A4EF">
      <w:pPr>
        <w:tabs>
          <w:tab w:val="left" w:pos="6300"/>
        </w:tabs>
        <w:snapToGrid w:val="0"/>
        <w:spacing w:before="120" w:beforeLines="50" w:after="120" w:afterLines="50" w:line="288" w:lineRule="auto"/>
        <w:ind w:firstLine="480" w:firstLineChars="200"/>
        <w:outlineLvl w:val="1"/>
        <w:rPr>
          <w:rFonts w:hint="eastAsia" w:ascii="宋体" w:hAnsi="宋体" w:eastAsia="宋体" w:cs="宋体"/>
          <w:i w:val="0"/>
          <w:iCs w:val="0"/>
          <w:color w:val="auto"/>
          <w:sz w:val="24"/>
          <w:szCs w:val="24"/>
          <w:highlight w:val="none"/>
        </w:rPr>
      </w:pPr>
      <w:bookmarkStart w:id="421" w:name="_Toc16807"/>
      <w:bookmarkStart w:id="422" w:name="_Toc5522"/>
      <w:r>
        <w:rPr>
          <w:rFonts w:hint="eastAsia" w:ascii="宋体" w:hAnsi="宋体" w:eastAsia="宋体" w:cs="宋体"/>
          <w:i w:val="0"/>
          <w:iCs w:val="0"/>
          <w:color w:val="auto"/>
          <w:sz w:val="24"/>
          <w:szCs w:val="24"/>
          <w:highlight w:val="none"/>
        </w:rPr>
        <w:t>三、我方承诺按照</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要求，提供</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项目的相关服务。</w:t>
      </w:r>
      <w:bookmarkEnd w:id="421"/>
      <w:bookmarkEnd w:id="422"/>
    </w:p>
    <w:p w14:paraId="322ACCA8">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四、我方按</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要求提交的响应文件为：</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响应文件正本1份，副本</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份。</w:t>
      </w:r>
    </w:p>
    <w:p w14:paraId="2F7EB404">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五、我方承诺：本次</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有效期为60天。在此期间，本响应文件将始终对我们具有约束力，并可随时被接受。</w:t>
      </w:r>
    </w:p>
    <w:p w14:paraId="2A146F62">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六、我方</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过程中二次报价在</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有效期和合同有效期内，该报价固定不变。</w:t>
      </w:r>
    </w:p>
    <w:p w14:paraId="6CA5C6FA">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七、我方承诺按照竞争性磋商文件规定向你方递交履约担保。</w:t>
      </w:r>
    </w:p>
    <w:p w14:paraId="253309AC">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八、我方理解，最低报价不是成交的唯一条件。</w:t>
      </w:r>
    </w:p>
    <w:p w14:paraId="65DF839B">
      <w:pPr>
        <w:tabs>
          <w:tab w:val="left" w:pos="6300"/>
        </w:tabs>
        <w:snapToGrid w:val="0"/>
        <w:spacing w:before="120" w:beforeLines="50" w:after="120" w:afterLines="50" w:line="288"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九、若我方成交，愿意按有关规定及</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要求履行全部职责。</w:t>
      </w:r>
    </w:p>
    <w:p w14:paraId="66AB3BDB">
      <w:pPr>
        <w:tabs>
          <w:tab w:val="left" w:pos="6300"/>
        </w:tabs>
        <w:snapToGrid w:val="0"/>
        <w:spacing w:before="120" w:beforeLines="50" w:after="120" w:afterLines="50" w:line="288" w:lineRule="auto"/>
        <w:ind w:firstLine="570"/>
        <w:rPr>
          <w:rFonts w:hint="eastAsia" w:ascii="宋体" w:hAnsi="宋体" w:eastAsia="宋体" w:cs="宋体"/>
          <w:i w:val="0"/>
          <w:iCs w:val="0"/>
          <w:color w:val="auto"/>
          <w:sz w:val="24"/>
          <w:szCs w:val="24"/>
          <w:highlight w:val="none"/>
        </w:rPr>
      </w:pPr>
    </w:p>
    <w:p w14:paraId="3284863E">
      <w:pPr>
        <w:tabs>
          <w:tab w:val="left" w:pos="6300"/>
        </w:tabs>
        <w:snapToGrid w:val="0"/>
        <w:spacing w:before="120" w:beforeLines="50" w:after="120" w:afterLines="50" w:line="288" w:lineRule="auto"/>
        <w:ind w:firstLine="5460" w:firstLineChars="2275"/>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供应商：(盖单位章)</w:t>
      </w:r>
    </w:p>
    <w:p w14:paraId="37D9A1A3">
      <w:pPr>
        <w:tabs>
          <w:tab w:val="left" w:pos="6300"/>
        </w:tabs>
        <w:snapToGrid w:val="0"/>
        <w:spacing w:before="120" w:beforeLines="50" w:after="120" w:afterLines="50" w:line="288" w:lineRule="auto"/>
        <w:ind w:firstLine="5460" w:firstLineChars="2275"/>
        <w:rPr>
          <w:rFonts w:hint="eastAsia" w:ascii="宋体" w:hAnsi="宋体" w:eastAsia="宋体" w:cs="宋体"/>
          <w:i w:val="0"/>
          <w:iCs w:val="0"/>
          <w:color w:val="auto"/>
          <w:sz w:val="24"/>
          <w:szCs w:val="24"/>
          <w:highlight w:val="none"/>
        </w:rPr>
      </w:pPr>
    </w:p>
    <w:p w14:paraId="0A6F92CE">
      <w:pPr>
        <w:tabs>
          <w:tab w:val="left" w:pos="6300"/>
        </w:tabs>
        <w:snapToGrid w:val="0"/>
        <w:spacing w:before="120" w:beforeLines="50" w:after="120" w:afterLines="50" w:line="288" w:lineRule="auto"/>
        <w:jc w:val="right"/>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法定代表人或其授权委托代理人：(签字)</w:t>
      </w:r>
    </w:p>
    <w:p w14:paraId="2E8078A2">
      <w:pPr>
        <w:tabs>
          <w:tab w:val="left" w:pos="6300"/>
        </w:tabs>
        <w:snapToGrid w:val="0"/>
        <w:spacing w:before="120" w:beforeLines="50" w:after="120" w:afterLines="50" w:line="288" w:lineRule="auto"/>
        <w:ind w:firstLine="570"/>
        <w:rPr>
          <w:rFonts w:hint="eastAsia" w:ascii="宋体" w:hAnsi="宋体" w:eastAsia="宋体" w:cs="宋体"/>
          <w:i w:val="0"/>
          <w:iCs w:val="0"/>
          <w:color w:val="auto"/>
          <w:sz w:val="24"/>
          <w:szCs w:val="24"/>
          <w:highlight w:val="none"/>
        </w:rPr>
      </w:pPr>
    </w:p>
    <w:p w14:paraId="6FD3F44D">
      <w:pPr>
        <w:tabs>
          <w:tab w:val="left" w:pos="6300"/>
        </w:tabs>
        <w:snapToGrid w:val="0"/>
        <w:spacing w:before="120" w:beforeLines="50" w:after="120" w:afterLines="50" w:line="288" w:lineRule="auto"/>
        <w:ind w:firstLine="5760" w:firstLineChars="2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年月日</w:t>
      </w:r>
    </w:p>
    <w:p w14:paraId="7C4C60BA">
      <w:pPr>
        <w:spacing w:before="120" w:beforeLines="50" w:after="120" w:afterLines="50" w:line="288" w:lineRule="auto"/>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br w:type="page"/>
      </w:r>
    </w:p>
    <w:p w14:paraId="4C55CF7A">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23" w:name="_Toc1242"/>
      <w:bookmarkStart w:id="424" w:name="_Toc2467"/>
      <w:r>
        <w:rPr>
          <w:rFonts w:hint="eastAsia" w:ascii="宋体" w:hAnsi="宋体" w:eastAsia="宋体" w:cs="宋体"/>
          <w:b/>
          <w:bCs/>
          <w:i w:val="0"/>
          <w:iCs w:val="0"/>
          <w:snapToGrid w:val="0"/>
          <w:color w:val="auto"/>
          <w:kern w:val="0"/>
          <w:sz w:val="32"/>
          <w:szCs w:val="28"/>
          <w:highlight w:val="none"/>
          <w:lang w:val="en-US" w:eastAsia="zh-CN" w:bidi="ar-SA"/>
        </w:rPr>
        <w:t>二、磋商函附录</w:t>
      </w:r>
      <w:bookmarkEnd w:id="423"/>
      <w:bookmarkEnd w:id="424"/>
    </w:p>
    <w:p w14:paraId="5AA83CEE">
      <w:pPr>
        <w:autoSpaceDE w:val="0"/>
        <w:autoSpaceDN w:val="0"/>
        <w:adjustRightInd w:val="0"/>
        <w:jc w:val="left"/>
        <w:rPr>
          <w:rFonts w:hint="eastAsia" w:ascii="宋体" w:hAnsi="宋体" w:eastAsia="宋体" w:cs="宋体"/>
          <w:b/>
          <w:bCs/>
          <w:i w:val="0"/>
          <w:iCs w:val="0"/>
          <w:snapToGrid w:val="0"/>
          <w:color w:val="auto"/>
          <w:kern w:val="0"/>
          <w:sz w:val="32"/>
          <w:szCs w:val="28"/>
          <w:highlight w:val="none"/>
          <w:lang w:val="en-US" w:eastAsia="zh-CN" w:bidi="ar-SA"/>
        </w:rPr>
      </w:pPr>
    </w:p>
    <w:tbl>
      <w:tblPr>
        <w:tblStyle w:val="17"/>
        <w:tblW w:w="9556" w:type="dxa"/>
        <w:jc w:val="center"/>
        <w:tblLayout w:type="fixed"/>
        <w:tblCellMar>
          <w:top w:w="0" w:type="dxa"/>
          <w:left w:w="108" w:type="dxa"/>
          <w:bottom w:w="0" w:type="dxa"/>
          <w:right w:w="108" w:type="dxa"/>
        </w:tblCellMar>
      </w:tblPr>
      <w:tblGrid>
        <w:gridCol w:w="846"/>
        <w:gridCol w:w="2026"/>
        <w:gridCol w:w="5262"/>
        <w:gridCol w:w="1422"/>
      </w:tblGrid>
      <w:tr w14:paraId="01E6C0DB">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6D547902">
            <w:pPr>
              <w:autoSpaceDE w:val="0"/>
              <w:autoSpaceDN w:val="0"/>
              <w:adjustRightInd w:val="0"/>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序号</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69EE4D37">
            <w:pPr>
              <w:autoSpaceDE w:val="0"/>
              <w:autoSpaceDN w:val="0"/>
              <w:adjustRightInd w:val="0"/>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条款名称</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11FCE800">
            <w:pPr>
              <w:autoSpaceDE w:val="0"/>
              <w:autoSpaceDN w:val="0"/>
              <w:adjustRightInd w:val="0"/>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约定内容</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0AD8D258">
            <w:pPr>
              <w:autoSpaceDE w:val="0"/>
              <w:autoSpaceDN w:val="0"/>
              <w:adjustRightInd w:val="0"/>
              <w:ind w:firstLine="120" w:firstLineChars="5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是否响应</w:t>
            </w:r>
          </w:p>
        </w:tc>
      </w:tr>
      <w:tr w14:paraId="53779E87">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26C30CD5">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1</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00B71B43">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项目经理</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6B29B711">
            <w:pPr>
              <w:autoSpaceDE w:val="0"/>
              <w:autoSpaceDN w:val="0"/>
              <w:adjustRightInd w:val="0"/>
              <w:jc w:val="lef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姓名</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629A717F">
            <w:pPr>
              <w:autoSpaceDE w:val="0"/>
              <w:autoSpaceDN w:val="0"/>
              <w:adjustRightInd w:val="0"/>
              <w:ind w:firstLine="480"/>
              <w:jc w:val="both"/>
              <w:rPr>
                <w:rFonts w:hint="eastAsia" w:ascii="宋体" w:hAnsi="宋体" w:eastAsia="宋体" w:cs="宋体"/>
                <w:i w:val="0"/>
                <w:iCs w:val="0"/>
                <w:color w:val="auto"/>
                <w:kern w:val="0"/>
                <w:sz w:val="24"/>
                <w:szCs w:val="24"/>
                <w:highlight w:val="none"/>
              </w:rPr>
            </w:pPr>
          </w:p>
        </w:tc>
      </w:tr>
      <w:tr w14:paraId="7A673258">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58F68283">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2</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1C6B6EB7">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rPr>
              <w:t>计划工期</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0F6C6091">
            <w:pPr>
              <w:autoSpaceDE w:val="0"/>
              <w:autoSpaceDN w:val="0"/>
              <w:adjustRightInd w:val="0"/>
              <w:snapToGrid w:val="0"/>
              <w:spacing w:before="60" w:beforeLines="25" w:line="300" w:lineRule="auto"/>
              <w:jc w:val="left"/>
              <w:rPr>
                <w:rFonts w:hint="eastAsia" w:ascii="宋体" w:hAnsi="宋体" w:eastAsia="宋体" w:cs="宋体"/>
                <w:i w:val="0"/>
                <w:iCs w:val="0"/>
                <w:color w:val="auto"/>
                <w:sz w:val="24"/>
                <w:szCs w:val="24"/>
                <w:highlight w:val="none"/>
                <w:lang w:val="zh-CN"/>
              </w:rPr>
            </w:pPr>
          </w:p>
        </w:tc>
        <w:tc>
          <w:tcPr>
            <w:tcW w:w="1422" w:type="dxa"/>
            <w:tcBorders>
              <w:top w:val="single" w:color="auto" w:sz="4" w:space="0"/>
              <w:left w:val="single" w:color="auto" w:sz="4" w:space="0"/>
              <w:bottom w:val="single" w:color="auto" w:sz="4" w:space="0"/>
              <w:right w:val="single" w:color="auto" w:sz="4" w:space="0"/>
            </w:tcBorders>
            <w:noWrap w:val="0"/>
            <w:vAlign w:val="center"/>
          </w:tcPr>
          <w:p w14:paraId="6250423E">
            <w:pPr>
              <w:autoSpaceDE w:val="0"/>
              <w:autoSpaceDN w:val="0"/>
              <w:adjustRightInd w:val="0"/>
              <w:ind w:firstLine="480"/>
              <w:jc w:val="both"/>
              <w:rPr>
                <w:rFonts w:hint="eastAsia" w:ascii="宋体" w:hAnsi="宋体" w:eastAsia="宋体" w:cs="宋体"/>
                <w:i w:val="0"/>
                <w:iCs w:val="0"/>
                <w:color w:val="auto"/>
                <w:kern w:val="0"/>
                <w:sz w:val="24"/>
                <w:szCs w:val="24"/>
                <w:highlight w:val="none"/>
              </w:rPr>
            </w:pPr>
          </w:p>
        </w:tc>
      </w:tr>
      <w:tr w14:paraId="71BD4137">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7929B439">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3</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082BA8A1">
            <w:pPr>
              <w:spacing w:line="2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质量要求</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7763599B">
            <w:pPr>
              <w:spacing w:line="240" w:lineRule="exact"/>
              <w:ind w:firstLine="420"/>
              <w:jc w:val="center"/>
              <w:rPr>
                <w:rFonts w:hint="eastAsia" w:ascii="宋体" w:hAnsi="宋体" w:eastAsia="宋体" w:cs="宋体"/>
                <w:i w:val="0"/>
                <w:iCs w:val="0"/>
                <w:color w:val="auto"/>
                <w:sz w:val="24"/>
                <w:szCs w:val="24"/>
                <w:highlight w:val="none"/>
              </w:rPr>
            </w:pPr>
          </w:p>
        </w:tc>
        <w:tc>
          <w:tcPr>
            <w:tcW w:w="1422" w:type="dxa"/>
            <w:tcBorders>
              <w:top w:val="single" w:color="auto" w:sz="4" w:space="0"/>
              <w:left w:val="single" w:color="auto" w:sz="4" w:space="0"/>
              <w:bottom w:val="single" w:color="auto" w:sz="4" w:space="0"/>
              <w:right w:val="single" w:color="auto" w:sz="4" w:space="0"/>
            </w:tcBorders>
            <w:noWrap w:val="0"/>
            <w:vAlign w:val="center"/>
          </w:tcPr>
          <w:p w14:paraId="38636A3C">
            <w:pPr>
              <w:ind w:firstLine="480"/>
              <w:rPr>
                <w:rFonts w:hint="eastAsia" w:ascii="宋体" w:hAnsi="宋体" w:eastAsia="宋体" w:cs="宋体"/>
                <w:i w:val="0"/>
                <w:iCs w:val="0"/>
                <w:color w:val="auto"/>
                <w:sz w:val="24"/>
                <w:szCs w:val="24"/>
                <w:highlight w:val="none"/>
              </w:rPr>
            </w:pPr>
          </w:p>
        </w:tc>
      </w:tr>
      <w:tr w14:paraId="58F19321">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2A72FEA4">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4</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2CF10B26">
            <w:pPr>
              <w:spacing w:line="2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磋商有效期</w:t>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3836AE23">
            <w:pPr>
              <w:spacing w:line="240" w:lineRule="exact"/>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9</w:t>
            </w:r>
            <w:r>
              <w:rPr>
                <w:rFonts w:hint="eastAsia" w:ascii="宋体" w:hAnsi="宋体" w:eastAsia="宋体" w:cs="宋体"/>
                <w:i w:val="0"/>
                <w:iCs w:val="0"/>
                <w:color w:val="auto"/>
                <w:sz w:val="24"/>
                <w:szCs w:val="24"/>
                <w:highlight w:val="none"/>
              </w:rPr>
              <w:t>0天</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7A48D9ED">
            <w:pPr>
              <w:ind w:firstLine="480"/>
              <w:rPr>
                <w:rFonts w:hint="eastAsia" w:ascii="宋体" w:hAnsi="宋体" w:eastAsia="宋体" w:cs="宋体"/>
                <w:i w:val="0"/>
                <w:iCs w:val="0"/>
                <w:color w:val="auto"/>
                <w:sz w:val="24"/>
                <w:szCs w:val="24"/>
                <w:highlight w:val="none"/>
              </w:rPr>
            </w:pPr>
          </w:p>
        </w:tc>
      </w:tr>
      <w:tr w14:paraId="6A315798">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1C4DC8B9">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5</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7735998B">
            <w:pPr>
              <w:spacing w:line="24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HYPERLINK \l "_Toc382374849"</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rPr>
              <w:t>竞争性磋商项目需求</w:t>
            </w:r>
            <w:r>
              <w:rPr>
                <w:rFonts w:hint="eastAsia" w:ascii="宋体" w:hAnsi="宋体" w:eastAsia="宋体" w:cs="宋体"/>
                <w:i w:val="0"/>
                <w:iCs w:val="0"/>
                <w:color w:val="auto"/>
                <w:sz w:val="24"/>
                <w:szCs w:val="24"/>
                <w:highlight w:val="none"/>
              </w:rPr>
              <w:fldChar w:fldCharType="end"/>
            </w:r>
          </w:p>
        </w:tc>
        <w:tc>
          <w:tcPr>
            <w:tcW w:w="5262" w:type="dxa"/>
            <w:tcBorders>
              <w:top w:val="single" w:color="auto" w:sz="4" w:space="0"/>
              <w:left w:val="single" w:color="auto" w:sz="4" w:space="0"/>
              <w:bottom w:val="single" w:color="auto" w:sz="4" w:space="0"/>
              <w:right w:val="single" w:color="auto" w:sz="4" w:space="0"/>
            </w:tcBorders>
            <w:noWrap w:val="0"/>
            <w:vAlign w:val="center"/>
          </w:tcPr>
          <w:p w14:paraId="1D1BC8D5">
            <w:pPr>
              <w:spacing w:line="240" w:lineRule="exact"/>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符合磋商文件规定</w:t>
            </w:r>
          </w:p>
        </w:tc>
        <w:tc>
          <w:tcPr>
            <w:tcW w:w="1422" w:type="dxa"/>
            <w:tcBorders>
              <w:top w:val="single" w:color="auto" w:sz="4" w:space="0"/>
              <w:left w:val="single" w:color="auto" w:sz="4" w:space="0"/>
              <w:bottom w:val="single" w:color="auto" w:sz="4" w:space="0"/>
              <w:right w:val="single" w:color="auto" w:sz="4" w:space="0"/>
            </w:tcBorders>
            <w:noWrap w:val="0"/>
            <w:vAlign w:val="center"/>
          </w:tcPr>
          <w:p w14:paraId="1D903BDC">
            <w:pPr>
              <w:ind w:firstLine="480"/>
              <w:rPr>
                <w:rFonts w:hint="eastAsia" w:ascii="宋体" w:hAnsi="宋体" w:eastAsia="宋体" w:cs="宋体"/>
                <w:i w:val="0"/>
                <w:iCs w:val="0"/>
                <w:color w:val="auto"/>
                <w:sz w:val="24"/>
                <w:szCs w:val="24"/>
                <w:highlight w:val="none"/>
              </w:rPr>
            </w:pPr>
          </w:p>
        </w:tc>
      </w:tr>
      <w:tr w14:paraId="0BA37031">
        <w:tblPrEx>
          <w:tblCellMar>
            <w:top w:w="0" w:type="dxa"/>
            <w:left w:w="108" w:type="dxa"/>
            <w:bottom w:w="0" w:type="dxa"/>
            <w:right w:w="108" w:type="dxa"/>
          </w:tblCellMar>
        </w:tblPrEx>
        <w:trPr>
          <w:trHeight w:val="743" w:hRule="atLeast"/>
          <w:jc w:val="center"/>
        </w:trPr>
        <w:tc>
          <w:tcPr>
            <w:tcW w:w="846" w:type="dxa"/>
            <w:tcBorders>
              <w:top w:val="single" w:color="auto" w:sz="4" w:space="0"/>
              <w:left w:val="single" w:color="auto" w:sz="4" w:space="0"/>
              <w:bottom w:val="single" w:color="auto" w:sz="4" w:space="0"/>
              <w:right w:val="single" w:color="auto" w:sz="4" w:space="0"/>
            </w:tcBorders>
            <w:noWrap w:val="0"/>
            <w:vAlign w:val="center"/>
          </w:tcPr>
          <w:p w14:paraId="5AA6531A">
            <w:pPr>
              <w:autoSpaceDE w:val="0"/>
              <w:autoSpaceDN w:val="0"/>
              <w:adjustRightInd w:val="0"/>
              <w:spacing w:line="24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w:t>
            </w:r>
          </w:p>
        </w:tc>
        <w:tc>
          <w:tcPr>
            <w:tcW w:w="2026" w:type="dxa"/>
            <w:tcBorders>
              <w:top w:val="single" w:color="auto" w:sz="4" w:space="0"/>
              <w:left w:val="single" w:color="auto" w:sz="4" w:space="0"/>
              <w:bottom w:val="single" w:color="auto" w:sz="4" w:space="0"/>
              <w:right w:val="single" w:color="auto" w:sz="4" w:space="0"/>
            </w:tcBorders>
            <w:noWrap w:val="0"/>
            <w:vAlign w:val="center"/>
          </w:tcPr>
          <w:p w14:paraId="6293C9F7">
            <w:pPr>
              <w:spacing w:line="240" w:lineRule="exact"/>
              <w:jc w:val="center"/>
              <w:rPr>
                <w:rFonts w:hint="eastAsia" w:ascii="宋体" w:hAnsi="宋体" w:eastAsia="宋体" w:cs="宋体"/>
                <w:i w:val="0"/>
                <w:iCs w:val="0"/>
                <w:color w:val="auto"/>
                <w:sz w:val="24"/>
                <w:szCs w:val="24"/>
                <w:highlight w:val="none"/>
              </w:rPr>
            </w:pPr>
          </w:p>
        </w:tc>
        <w:tc>
          <w:tcPr>
            <w:tcW w:w="5262" w:type="dxa"/>
            <w:tcBorders>
              <w:top w:val="single" w:color="auto" w:sz="4" w:space="0"/>
              <w:left w:val="single" w:color="auto" w:sz="4" w:space="0"/>
              <w:bottom w:val="single" w:color="auto" w:sz="4" w:space="0"/>
              <w:right w:val="single" w:color="auto" w:sz="4" w:space="0"/>
            </w:tcBorders>
            <w:noWrap w:val="0"/>
            <w:vAlign w:val="center"/>
          </w:tcPr>
          <w:p w14:paraId="3F402AA7">
            <w:pPr>
              <w:spacing w:line="240" w:lineRule="exact"/>
              <w:jc w:val="center"/>
              <w:rPr>
                <w:rFonts w:hint="eastAsia" w:ascii="宋体" w:hAnsi="宋体" w:eastAsia="宋体" w:cs="宋体"/>
                <w:i w:val="0"/>
                <w:iCs w:val="0"/>
                <w:color w:val="auto"/>
                <w:sz w:val="24"/>
                <w:szCs w:val="24"/>
                <w:highlight w:val="none"/>
              </w:rPr>
            </w:pPr>
          </w:p>
        </w:tc>
        <w:tc>
          <w:tcPr>
            <w:tcW w:w="1422" w:type="dxa"/>
            <w:tcBorders>
              <w:top w:val="single" w:color="auto" w:sz="4" w:space="0"/>
              <w:left w:val="single" w:color="auto" w:sz="4" w:space="0"/>
              <w:bottom w:val="single" w:color="auto" w:sz="4" w:space="0"/>
              <w:right w:val="single" w:color="auto" w:sz="4" w:space="0"/>
            </w:tcBorders>
            <w:noWrap w:val="0"/>
            <w:vAlign w:val="center"/>
          </w:tcPr>
          <w:p w14:paraId="61EEF683">
            <w:pPr>
              <w:ind w:firstLine="480"/>
              <w:rPr>
                <w:rFonts w:hint="eastAsia" w:ascii="宋体" w:hAnsi="宋体" w:eastAsia="宋体" w:cs="宋体"/>
                <w:i w:val="0"/>
                <w:iCs w:val="0"/>
                <w:color w:val="auto"/>
                <w:sz w:val="24"/>
                <w:szCs w:val="24"/>
                <w:highlight w:val="none"/>
              </w:rPr>
            </w:pPr>
          </w:p>
        </w:tc>
      </w:tr>
    </w:tbl>
    <w:p w14:paraId="3017B5E3">
      <w:pPr>
        <w:rPr>
          <w:rFonts w:hint="eastAsia" w:ascii="宋体" w:hAnsi="宋体" w:eastAsia="宋体" w:cs="宋体"/>
          <w:i w:val="0"/>
          <w:iCs w:val="0"/>
          <w:color w:val="auto"/>
          <w:sz w:val="24"/>
          <w:szCs w:val="24"/>
          <w:highlight w:val="none"/>
        </w:rPr>
      </w:pPr>
    </w:p>
    <w:p w14:paraId="1E2AA7B8">
      <w:pPr>
        <w:pStyle w:val="2"/>
        <w:keepNext/>
        <w:keepLines/>
        <w:pageBreakBefore w:val="0"/>
        <w:widowControl w:val="0"/>
        <w:kinsoku/>
        <w:wordWrap/>
        <w:overflowPunct/>
        <w:topLinePunct w:val="0"/>
        <w:autoSpaceDE/>
        <w:autoSpaceDN/>
        <w:bidi w:val="0"/>
        <w:adjustRightInd/>
        <w:snapToGrid/>
        <w:spacing w:line="413"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r>
        <w:rPr>
          <w:rFonts w:hint="eastAsia" w:ascii="宋体" w:hAnsi="宋体" w:eastAsia="宋体" w:cs="宋体"/>
          <w:i w:val="0"/>
          <w:iCs w:val="0"/>
          <w:color w:val="auto"/>
          <w:szCs w:val="28"/>
          <w:highlight w:val="none"/>
        </w:rPr>
        <w:br w:type="page"/>
      </w:r>
      <w:bookmarkStart w:id="425" w:name="_Toc6755"/>
      <w:bookmarkStart w:id="426" w:name="_Toc26170"/>
      <w:bookmarkStart w:id="427" w:name="_Toc23914"/>
      <w:r>
        <w:rPr>
          <w:rFonts w:hint="eastAsia" w:ascii="宋体" w:hAnsi="宋体" w:eastAsia="宋体" w:cs="宋体"/>
          <w:b/>
          <w:bCs/>
          <w:i w:val="0"/>
          <w:iCs w:val="0"/>
          <w:snapToGrid w:val="0"/>
          <w:color w:val="auto"/>
          <w:kern w:val="0"/>
          <w:sz w:val="32"/>
          <w:szCs w:val="28"/>
          <w:highlight w:val="none"/>
          <w:lang w:val="en-US" w:eastAsia="zh-CN" w:bidi="ar-SA"/>
        </w:rPr>
        <w:t>三、联合体协议书</w:t>
      </w:r>
      <w:bookmarkEnd w:id="425"/>
      <w:bookmarkEnd w:id="426"/>
      <w:bookmarkEnd w:id="427"/>
    </w:p>
    <w:p w14:paraId="52078EC8">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（所有成员单位名称）自愿组成（联合体名称）联合体，共同参加</w:t>
      </w:r>
      <w:r>
        <w:rPr>
          <w:rFonts w:hint="eastAsia" w:ascii="宋体" w:hAnsi="宋体" w:eastAsia="宋体" w:cs="宋体"/>
          <w:i w:val="0"/>
          <w:iCs w:val="0"/>
          <w:color w:val="auto"/>
          <w:sz w:val="24"/>
          <w:szCs w:val="24"/>
          <w:highlight w:val="none"/>
          <w:u w:val="single"/>
        </w:rPr>
        <w:t>（项目名称）</w:t>
      </w:r>
      <w:r>
        <w:rPr>
          <w:rFonts w:hint="eastAsia" w:ascii="宋体" w:hAnsi="宋体" w:eastAsia="宋体" w:cs="宋体"/>
          <w:i w:val="0"/>
          <w:iCs w:val="0"/>
          <w:color w:val="auto"/>
          <w:sz w:val="24"/>
          <w:szCs w:val="24"/>
          <w:highlight w:val="none"/>
          <w:lang w:eastAsia="zh-CN"/>
        </w:rPr>
        <w:t>采购</w:t>
      </w:r>
      <w:r>
        <w:rPr>
          <w:rFonts w:hint="eastAsia" w:ascii="宋体" w:hAnsi="宋体" w:eastAsia="宋体" w:cs="宋体"/>
          <w:i w:val="0"/>
          <w:iCs w:val="0"/>
          <w:color w:val="auto"/>
          <w:sz w:val="24"/>
          <w:szCs w:val="24"/>
          <w:highlight w:val="none"/>
        </w:rPr>
        <w:t>。现就联合体</w:t>
      </w:r>
      <w:r>
        <w:rPr>
          <w:rFonts w:hint="eastAsia" w:ascii="宋体" w:hAnsi="宋体" w:eastAsia="宋体" w:cs="宋体"/>
          <w:i w:val="0"/>
          <w:iCs w:val="0"/>
          <w:color w:val="auto"/>
          <w:sz w:val="24"/>
          <w:szCs w:val="24"/>
          <w:highlight w:val="none"/>
          <w:lang w:eastAsia="zh-CN"/>
        </w:rPr>
        <w:t>采购</w:t>
      </w:r>
      <w:r>
        <w:rPr>
          <w:rFonts w:hint="eastAsia" w:ascii="宋体" w:hAnsi="宋体" w:eastAsia="宋体" w:cs="宋体"/>
          <w:i w:val="0"/>
          <w:iCs w:val="0"/>
          <w:color w:val="auto"/>
          <w:sz w:val="24"/>
          <w:szCs w:val="24"/>
          <w:highlight w:val="none"/>
        </w:rPr>
        <w:t>事宜订立如下协议。</w:t>
      </w:r>
    </w:p>
    <w:p w14:paraId="6DCAD213">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1、（某成员单位名称）为（联合体名称）牵头人。</w:t>
      </w:r>
    </w:p>
    <w:p w14:paraId="47D683CF">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2、联合体牵头人合法代表联合体各成员负责本</w:t>
      </w:r>
      <w:r>
        <w:rPr>
          <w:rFonts w:hint="eastAsia" w:ascii="宋体" w:hAnsi="宋体" w:eastAsia="宋体" w:cs="宋体"/>
          <w:i w:val="0"/>
          <w:iCs w:val="0"/>
          <w:color w:val="auto"/>
          <w:sz w:val="24"/>
          <w:szCs w:val="24"/>
          <w:highlight w:val="none"/>
          <w:lang w:eastAsia="zh-CN"/>
        </w:rPr>
        <w:t>采购</w:t>
      </w:r>
      <w:r>
        <w:rPr>
          <w:rFonts w:hint="eastAsia" w:ascii="宋体" w:hAnsi="宋体" w:eastAsia="宋体" w:cs="宋体"/>
          <w:i w:val="0"/>
          <w:iCs w:val="0"/>
          <w:color w:val="auto"/>
          <w:sz w:val="24"/>
          <w:szCs w:val="24"/>
          <w:highlight w:val="none"/>
        </w:rPr>
        <w:t>项目</w:t>
      </w:r>
      <w:r>
        <w:rPr>
          <w:rFonts w:hint="eastAsia" w:ascii="宋体" w:hAnsi="宋体" w:eastAsia="宋体" w:cs="宋体"/>
          <w:i w:val="0"/>
          <w:iCs w:val="0"/>
          <w:color w:val="auto"/>
          <w:sz w:val="24"/>
          <w:szCs w:val="24"/>
          <w:highlight w:val="none"/>
          <w:lang w:eastAsia="zh-CN"/>
        </w:rPr>
        <w:t>响应</w:t>
      </w:r>
      <w:r>
        <w:rPr>
          <w:rFonts w:hint="eastAsia" w:ascii="宋体" w:hAnsi="宋体" w:eastAsia="宋体" w:cs="宋体"/>
          <w:i w:val="0"/>
          <w:iCs w:val="0"/>
          <w:color w:val="auto"/>
          <w:sz w:val="24"/>
          <w:szCs w:val="24"/>
          <w:highlight w:val="none"/>
        </w:rPr>
        <w:t>文件编制和合同谈判活动，并代表联合体提交和接收相关的资料、信息及指示，并处理与之有关的一切事务，负责合同实施阶段的主办、组织和协调工作。</w:t>
      </w:r>
    </w:p>
    <w:p w14:paraId="7F16F61B">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3、联合体将严格按照</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文件的各项要求，递交</w:t>
      </w:r>
      <w:r>
        <w:rPr>
          <w:rFonts w:hint="eastAsia" w:ascii="宋体" w:hAnsi="宋体" w:eastAsia="宋体" w:cs="宋体"/>
          <w:i w:val="0"/>
          <w:iCs w:val="0"/>
          <w:color w:val="auto"/>
          <w:sz w:val="24"/>
          <w:szCs w:val="24"/>
          <w:highlight w:val="none"/>
          <w:lang w:eastAsia="zh-CN"/>
        </w:rPr>
        <w:t>响应</w:t>
      </w:r>
      <w:r>
        <w:rPr>
          <w:rFonts w:hint="eastAsia" w:ascii="宋体" w:hAnsi="宋体" w:eastAsia="宋体" w:cs="宋体"/>
          <w:i w:val="0"/>
          <w:iCs w:val="0"/>
          <w:color w:val="auto"/>
          <w:sz w:val="24"/>
          <w:szCs w:val="24"/>
          <w:highlight w:val="none"/>
        </w:rPr>
        <w:t>文件，履行合同，并对外承担连带责任。</w:t>
      </w:r>
    </w:p>
    <w:p w14:paraId="153ED755">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、联合体各成员单位内部的职责分工如下：。</w:t>
      </w:r>
    </w:p>
    <w:p w14:paraId="1C100CA2">
      <w:pPr>
        <w:topLinePunct/>
        <w:spacing w:line="440" w:lineRule="exact"/>
        <w:ind w:firstLine="480" w:firstLineChars="200"/>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、本协议书自签署之日起生效，合同履行完毕后自动失效。</w:t>
      </w:r>
    </w:p>
    <w:p w14:paraId="4DB0D8A0">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、本协议书一式份，联合体成员和</w:t>
      </w:r>
      <w:r>
        <w:rPr>
          <w:rFonts w:hint="eastAsia" w:ascii="宋体" w:hAnsi="宋体" w:eastAsia="宋体" w:cs="宋体"/>
          <w:i w:val="0"/>
          <w:iCs w:val="0"/>
          <w:color w:val="auto"/>
          <w:sz w:val="24"/>
          <w:szCs w:val="24"/>
          <w:highlight w:val="none"/>
          <w:lang w:eastAsia="zh-CN"/>
        </w:rPr>
        <w:t>采购</w:t>
      </w:r>
      <w:r>
        <w:rPr>
          <w:rFonts w:hint="eastAsia" w:ascii="宋体" w:hAnsi="宋体" w:eastAsia="宋体" w:cs="宋体"/>
          <w:i w:val="0"/>
          <w:iCs w:val="0"/>
          <w:color w:val="auto"/>
          <w:sz w:val="24"/>
          <w:szCs w:val="24"/>
          <w:highlight w:val="none"/>
        </w:rPr>
        <w:t>人各执一份。</w:t>
      </w:r>
    </w:p>
    <w:p w14:paraId="44EAE1FD">
      <w:pPr>
        <w:topLinePunct/>
        <w:spacing w:line="440" w:lineRule="exact"/>
        <w:rPr>
          <w:rFonts w:hint="eastAsia" w:ascii="宋体" w:hAnsi="宋体" w:eastAsia="宋体" w:cs="宋体"/>
          <w:i w:val="0"/>
          <w:iCs w:val="0"/>
          <w:color w:val="auto"/>
          <w:sz w:val="24"/>
          <w:szCs w:val="24"/>
          <w:highlight w:val="none"/>
        </w:rPr>
      </w:pPr>
    </w:p>
    <w:p w14:paraId="4E4EAD88">
      <w:pPr>
        <w:topLinePunct/>
        <w:spacing w:line="440" w:lineRule="exact"/>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注：本协议书由委托代理人签字的，应附法定代表人签字的授权委托书。</w:t>
      </w:r>
    </w:p>
    <w:p w14:paraId="6EC39B12">
      <w:pPr>
        <w:topLinePunct/>
        <w:spacing w:line="440" w:lineRule="exact"/>
        <w:rPr>
          <w:rFonts w:hint="eastAsia" w:ascii="宋体" w:hAnsi="宋体" w:eastAsia="宋体" w:cs="宋体"/>
          <w:i w:val="0"/>
          <w:iCs w:val="0"/>
          <w:color w:val="auto"/>
          <w:sz w:val="24"/>
          <w:szCs w:val="24"/>
          <w:highlight w:val="none"/>
        </w:rPr>
      </w:pPr>
    </w:p>
    <w:p w14:paraId="2DD7EEA4">
      <w:pPr>
        <w:topLinePunct/>
        <w:spacing w:line="440" w:lineRule="exact"/>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牵头人名称：（盖单位章）</w:t>
      </w:r>
    </w:p>
    <w:p w14:paraId="279D741D">
      <w:pPr>
        <w:topLinePunct/>
        <w:spacing w:line="440" w:lineRule="exact"/>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法定代表人：（签字或盖章）</w:t>
      </w:r>
    </w:p>
    <w:p w14:paraId="529F77DA">
      <w:pPr>
        <w:topLinePunct/>
        <w:spacing w:line="440" w:lineRule="exact"/>
        <w:jc w:val="right"/>
        <w:rPr>
          <w:rFonts w:hint="eastAsia" w:ascii="宋体" w:hAnsi="宋体" w:eastAsia="宋体" w:cs="宋体"/>
          <w:i w:val="0"/>
          <w:iCs w:val="0"/>
          <w:color w:val="auto"/>
          <w:sz w:val="24"/>
          <w:szCs w:val="24"/>
          <w:highlight w:val="none"/>
        </w:rPr>
      </w:pPr>
    </w:p>
    <w:p w14:paraId="767E987A">
      <w:pPr>
        <w:topLinePunct/>
        <w:spacing w:line="440" w:lineRule="exact"/>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成员名称：（盖单位章）</w:t>
      </w:r>
    </w:p>
    <w:p w14:paraId="5FC72F10">
      <w:pPr>
        <w:topLinePunct/>
        <w:spacing w:line="440" w:lineRule="exact"/>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法定代表人：（签字或盖章）</w:t>
      </w:r>
    </w:p>
    <w:p w14:paraId="294A3609">
      <w:pPr>
        <w:topLinePunct/>
        <w:spacing w:line="440" w:lineRule="exact"/>
        <w:jc w:val="right"/>
        <w:rPr>
          <w:rFonts w:hint="eastAsia" w:ascii="宋体" w:hAnsi="宋体" w:eastAsia="宋体" w:cs="宋体"/>
          <w:i w:val="0"/>
          <w:iCs w:val="0"/>
          <w:color w:val="auto"/>
          <w:sz w:val="24"/>
          <w:szCs w:val="24"/>
          <w:highlight w:val="none"/>
          <w:lang w:eastAsia="zh-CN"/>
        </w:rPr>
      </w:pPr>
    </w:p>
    <w:p w14:paraId="58541C86">
      <w:pPr>
        <w:topLinePunct/>
        <w:spacing w:line="440" w:lineRule="exact"/>
        <w:jc w:val="right"/>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p>
    <w:p w14:paraId="06C03E82">
      <w:pPr>
        <w:topLinePunct/>
        <w:spacing w:line="440" w:lineRule="exact"/>
        <w:jc w:val="right"/>
        <w:rPr>
          <w:rFonts w:hint="eastAsia" w:ascii="宋体" w:hAnsi="宋体" w:eastAsia="宋体" w:cs="宋体"/>
          <w:i w:val="0"/>
          <w:iCs w:val="0"/>
          <w:color w:val="auto"/>
          <w:sz w:val="24"/>
          <w:szCs w:val="24"/>
          <w:highlight w:val="none"/>
        </w:rPr>
      </w:pPr>
    </w:p>
    <w:p w14:paraId="361BCF16">
      <w:pPr>
        <w:topLinePunct/>
        <w:spacing w:line="440" w:lineRule="exact"/>
        <w:jc w:val="right"/>
        <w:rPr>
          <w:rFonts w:hint="eastAsia" w:ascii="宋体" w:hAnsi="宋体" w:eastAsia="宋体" w:cs="宋体"/>
          <w:i w:val="0"/>
          <w:iCs w:val="0"/>
          <w:color w:val="auto"/>
          <w:sz w:val="24"/>
          <w:szCs w:val="24"/>
          <w:highlight w:val="none"/>
        </w:rPr>
      </w:pPr>
    </w:p>
    <w:p w14:paraId="2D5372F0">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9"/>
        <w:rPr>
          <w:rFonts w:hint="eastAsia" w:ascii="宋体" w:hAnsi="宋体" w:eastAsia="宋体" w:cs="宋体"/>
          <w:i w:val="0"/>
          <w:iCs w:val="0"/>
          <w:color w:val="auto"/>
          <w:sz w:val="24"/>
          <w:szCs w:val="24"/>
          <w:highlight w:val="none"/>
        </w:rPr>
        <w:sectPr>
          <w:pgSz w:w="11907" w:h="16840"/>
          <w:pgMar w:top="1417" w:right="1418" w:bottom="1417" w:left="1418" w:header="851" w:footer="992" w:gutter="0"/>
          <w:pgNumType w:fmt="decimal"/>
          <w:cols w:space="720" w:num="1"/>
        </w:sectPr>
      </w:pPr>
      <w:r>
        <w:rPr>
          <w:rFonts w:hint="eastAsia" w:ascii="宋体" w:hAnsi="宋体" w:eastAsia="宋体" w:cs="宋体"/>
          <w:i w:val="0"/>
          <w:iCs w:val="0"/>
          <w:color w:val="auto"/>
          <w:sz w:val="24"/>
          <w:szCs w:val="24"/>
          <w:highlight w:val="none"/>
        </w:rPr>
        <w:t>年月日</w:t>
      </w:r>
    </w:p>
    <w:p w14:paraId="629CC241">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28" w:name="_Toc21550"/>
      <w:bookmarkStart w:id="429" w:name="_Toc23940"/>
      <w:r>
        <w:rPr>
          <w:rFonts w:hint="eastAsia" w:ascii="宋体" w:hAnsi="宋体" w:eastAsia="宋体" w:cs="宋体"/>
          <w:b/>
          <w:bCs/>
          <w:i w:val="0"/>
          <w:iCs w:val="0"/>
          <w:snapToGrid w:val="0"/>
          <w:color w:val="auto"/>
          <w:kern w:val="0"/>
          <w:sz w:val="32"/>
          <w:szCs w:val="28"/>
          <w:highlight w:val="none"/>
          <w:lang w:val="en-US" w:eastAsia="zh-CN" w:bidi="ar-SA"/>
        </w:rPr>
        <w:t>四、法定代表人资格证明</w:t>
      </w:r>
      <w:bookmarkEnd w:id="428"/>
      <w:bookmarkEnd w:id="429"/>
    </w:p>
    <w:p w14:paraId="0EAEF361">
      <w:pPr>
        <w:spacing w:line="360" w:lineRule="auto"/>
        <w:ind w:firstLine="420" w:firstLineChars="200"/>
        <w:rPr>
          <w:rFonts w:hint="eastAsia" w:ascii="宋体" w:hAnsi="宋体" w:eastAsia="宋体" w:cs="宋体"/>
          <w:i w:val="0"/>
          <w:iCs w:val="0"/>
          <w:color w:val="auto"/>
          <w:szCs w:val="21"/>
          <w:highlight w:val="none"/>
        </w:rPr>
      </w:pPr>
      <w:bookmarkStart w:id="430" w:name="_Toc21365"/>
    </w:p>
    <w:p w14:paraId="2D7495BE">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供应商名称：</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24C6BABE">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单位性质：</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4FAA303B">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地址：</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6EFB45E4">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成立时间：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2147FF3B">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经营期限：</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 xml:space="preserve"> </w:t>
      </w:r>
    </w:p>
    <w:p w14:paraId="3D26D7A3">
      <w:pPr>
        <w:spacing w:line="360" w:lineRule="auto"/>
        <w:ind w:firstLine="480" w:firstLineChars="200"/>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姓名：</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性别：</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身份证号码：</w:t>
      </w:r>
      <w:r>
        <w:rPr>
          <w:rFonts w:hint="eastAsia" w:ascii="宋体" w:hAnsi="宋体" w:eastAsia="宋体" w:cs="宋体"/>
          <w:i w:val="0"/>
          <w:iCs w:val="0"/>
          <w:color w:val="auto"/>
          <w:sz w:val="24"/>
          <w:szCs w:val="24"/>
          <w:highlight w:val="none"/>
          <w:u w:val="single"/>
        </w:rPr>
        <w:t xml:space="preserve">                     </w:t>
      </w:r>
    </w:p>
    <w:p w14:paraId="0D20D191">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职务：</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_系</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（投标人名称）的法定代表人。</w:t>
      </w:r>
    </w:p>
    <w:p w14:paraId="29C0EF5B">
      <w:pPr>
        <w:spacing w:line="360" w:lineRule="auto"/>
        <w:ind w:firstLine="960" w:firstLineChars="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特此证明。</w:t>
      </w:r>
    </w:p>
    <w:p w14:paraId="03B52835">
      <w:pPr>
        <w:spacing w:line="360" w:lineRule="auto"/>
        <w:ind w:firstLine="480" w:firstLineChars="200"/>
        <w:rPr>
          <w:rFonts w:hint="eastAsia" w:ascii="宋体" w:hAnsi="宋体" w:eastAsia="宋体" w:cs="宋体"/>
          <w:i w:val="0"/>
          <w:iCs w:val="0"/>
          <w:color w:val="auto"/>
          <w:sz w:val="24"/>
          <w:szCs w:val="24"/>
          <w:highlight w:val="none"/>
        </w:rPr>
      </w:pPr>
    </w:p>
    <w:tbl>
      <w:tblPr>
        <w:tblStyle w:val="17"/>
        <w:tblpPr w:leftFromText="180" w:rightFromText="180" w:vertAnchor="text" w:horzAnchor="margin" w:tblpXSpec="center" w:tblpY="43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60"/>
      </w:tblGrid>
      <w:tr w14:paraId="49C654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7" w:hRule="atLeast"/>
        </w:trPr>
        <w:tc>
          <w:tcPr>
            <w:tcW w:w="4160" w:type="dxa"/>
            <w:tcBorders>
              <w:right w:val="single" w:color="auto" w:sz="18" w:space="0"/>
            </w:tcBorders>
            <w:noWrap w:val="0"/>
            <w:vAlign w:val="top"/>
          </w:tcPr>
          <w:p w14:paraId="62197FD4">
            <w:pPr>
              <w:spacing w:line="480" w:lineRule="auto"/>
              <w:jc w:val="center"/>
              <w:rPr>
                <w:rFonts w:hint="eastAsia" w:ascii="宋体" w:hAnsi="宋体" w:eastAsia="宋体" w:cs="宋体"/>
                <w:i w:val="0"/>
                <w:iCs w:val="0"/>
                <w:color w:val="auto"/>
                <w:sz w:val="24"/>
                <w:szCs w:val="24"/>
                <w:highlight w:val="none"/>
              </w:rPr>
            </w:pPr>
          </w:p>
          <w:p w14:paraId="4E48F53F">
            <w:pPr>
              <w:spacing w:line="48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法定代表人身份证复印件</w:t>
            </w:r>
          </w:p>
        </w:tc>
      </w:tr>
    </w:tbl>
    <w:p w14:paraId="3D59976C">
      <w:pPr>
        <w:spacing w:line="360" w:lineRule="auto"/>
        <w:ind w:firstLine="480" w:firstLineChars="200"/>
        <w:rPr>
          <w:rFonts w:hint="eastAsia" w:ascii="宋体" w:hAnsi="宋体" w:eastAsia="宋体" w:cs="宋体"/>
          <w:i w:val="0"/>
          <w:iCs w:val="0"/>
          <w:color w:val="auto"/>
          <w:sz w:val="24"/>
          <w:szCs w:val="24"/>
          <w:highlight w:val="none"/>
        </w:rPr>
      </w:pPr>
    </w:p>
    <w:p w14:paraId="40B78F49">
      <w:pPr>
        <w:spacing w:line="360" w:lineRule="auto"/>
        <w:ind w:firstLine="480" w:firstLineChars="200"/>
        <w:rPr>
          <w:rFonts w:hint="eastAsia" w:ascii="宋体" w:hAnsi="宋体" w:eastAsia="宋体" w:cs="宋体"/>
          <w:i w:val="0"/>
          <w:iCs w:val="0"/>
          <w:color w:val="auto"/>
          <w:sz w:val="24"/>
          <w:szCs w:val="24"/>
          <w:highlight w:val="none"/>
        </w:rPr>
      </w:pPr>
    </w:p>
    <w:p w14:paraId="1A47E77A">
      <w:pPr>
        <w:spacing w:line="360" w:lineRule="auto"/>
        <w:ind w:firstLine="480" w:firstLineChars="200"/>
        <w:rPr>
          <w:rFonts w:hint="eastAsia" w:ascii="宋体" w:hAnsi="宋体" w:eastAsia="宋体" w:cs="宋体"/>
          <w:i w:val="0"/>
          <w:iCs w:val="0"/>
          <w:color w:val="auto"/>
          <w:sz w:val="24"/>
          <w:szCs w:val="24"/>
          <w:highlight w:val="none"/>
        </w:rPr>
      </w:pPr>
    </w:p>
    <w:p w14:paraId="615FAC38">
      <w:pPr>
        <w:spacing w:line="360" w:lineRule="auto"/>
        <w:ind w:firstLine="480" w:firstLineChars="200"/>
        <w:rPr>
          <w:rFonts w:hint="eastAsia" w:ascii="宋体" w:hAnsi="宋体" w:eastAsia="宋体" w:cs="宋体"/>
          <w:i w:val="0"/>
          <w:iCs w:val="0"/>
          <w:color w:val="auto"/>
          <w:sz w:val="24"/>
          <w:szCs w:val="24"/>
          <w:highlight w:val="none"/>
        </w:rPr>
      </w:pPr>
    </w:p>
    <w:p w14:paraId="74674D56">
      <w:pPr>
        <w:spacing w:line="360" w:lineRule="auto"/>
        <w:ind w:firstLine="480" w:firstLineChars="200"/>
        <w:rPr>
          <w:rFonts w:hint="eastAsia" w:ascii="宋体" w:hAnsi="宋体" w:eastAsia="宋体" w:cs="宋体"/>
          <w:i w:val="0"/>
          <w:iCs w:val="0"/>
          <w:color w:val="auto"/>
          <w:sz w:val="24"/>
          <w:szCs w:val="24"/>
          <w:highlight w:val="none"/>
        </w:rPr>
      </w:pPr>
    </w:p>
    <w:p w14:paraId="1AD28902">
      <w:pPr>
        <w:spacing w:line="360" w:lineRule="auto"/>
        <w:ind w:firstLine="480" w:firstLineChars="200"/>
        <w:rPr>
          <w:rFonts w:hint="eastAsia" w:ascii="宋体" w:hAnsi="宋体" w:eastAsia="宋体" w:cs="宋体"/>
          <w:i w:val="0"/>
          <w:iCs w:val="0"/>
          <w:color w:val="auto"/>
          <w:sz w:val="24"/>
          <w:szCs w:val="24"/>
          <w:highlight w:val="none"/>
        </w:rPr>
      </w:pPr>
    </w:p>
    <w:p w14:paraId="3FCCE723">
      <w:pPr>
        <w:spacing w:line="360" w:lineRule="auto"/>
        <w:ind w:firstLine="480" w:firstLineChars="200"/>
        <w:rPr>
          <w:rFonts w:hint="eastAsia" w:ascii="宋体" w:hAnsi="宋体" w:eastAsia="宋体" w:cs="宋体"/>
          <w:i w:val="0"/>
          <w:iCs w:val="0"/>
          <w:color w:val="auto"/>
          <w:sz w:val="24"/>
          <w:szCs w:val="24"/>
          <w:highlight w:val="none"/>
        </w:rPr>
      </w:pPr>
    </w:p>
    <w:p w14:paraId="17B2E296">
      <w:pPr>
        <w:spacing w:line="360" w:lineRule="auto"/>
        <w:ind w:firstLine="480" w:firstLineChars="200"/>
        <w:rPr>
          <w:rFonts w:hint="eastAsia" w:ascii="宋体" w:hAnsi="宋体" w:eastAsia="宋体" w:cs="宋体"/>
          <w:i w:val="0"/>
          <w:iCs w:val="0"/>
          <w:color w:val="auto"/>
          <w:sz w:val="24"/>
          <w:szCs w:val="24"/>
          <w:highlight w:val="none"/>
        </w:rPr>
      </w:pPr>
    </w:p>
    <w:p w14:paraId="4660E3FB">
      <w:pPr>
        <w:spacing w:line="360" w:lineRule="auto"/>
        <w:ind w:firstLine="480" w:firstLineChars="200"/>
        <w:rPr>
          <w:rFonts w:hint="eastAsia" w:ascii="宋体" w:hAnsi="宋体" w:eastAsia="宋体" w:cs="宋体"/>
          <w:i w:val="0"/>
          <w:iCs w:val="0"/>
          <w:color w:val="auto"/>
          <w:sz w:val="24"/>
          <w:szCs w:val="24"/>
          <w:highlight w:val="none"/>
        </w:rPr>
      </w:pPr>
    </w:p>
    <w:p w14:paraId="16AA634B">
      <w:pPr>
        <w:spacing w:line="360" w:lineRule="auto"/>
        <w:ind w:firstLine="480" w:firstLineChars="200"/>
        <w:rPr>
          <w:rFonts w:hint="eastAsia" w:ascii="宋体" w:hAnsi="宋体" w:eastAsia="宋体" w:cs="宋体"/>
          <w:i w:val="0"/>
          <w:iCs w:val="0"/>
          <w:color w:val="auto"/>
          <w:sz w:val="24"/>
          <w:szCs w:val="24"/>
          <w:highlight w:val="none"/>
        </w:rPr>
      </w:pPr>
    </w:p>
    <w:p w14:paraId="1503D00C">
      <w:pPr>
        <w:spacing w:line="360" w:lineRule="auto"/>
        <w:ind w:firstLine="480" w:firstLineChars="200"/>
        <w:rPr>
          <w:rFonts w:hint="eastAsia" w:ascii="宋体" w:hAnsi="宋体" w:eastAsia="宋体" w:cs="宋体"/>
          <w:i w:val="0"/>
          <w:iCs w:val="0"/>
          <w:color w:val="auto"/>
          <w:sz w:val="24"/>
          <w:szCs w:val="24"/>
          <w:highlight w:val="none"/>
        </w:rPr>
      </w:pPr>
    </w:p>
    <w:p w14:paraId="2D280501">
      <w:pPr>
        <w:spacing w:line="360" w:lineRule="auto"/>
        <w:jc w:val="righ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（盖单位章）</w:t>
      </w:r>
    </w:p>
    <w:p w14:paraId="137B28AC">
      <w:pPr>
        <w:spacing w:line="360" w:lineRule="auto"/>
        <w:ind w:firstLine="5160" w:firstLineChars="2150"/>
        <w:rPr>
          <w:rFonts w:hint="eastAsia" w:ascii="宋体" w:hAnsi="宋体" w:eastAsia="宋体" w:cs="宋体"/>
          <w:i w:val="0"/>
          <w:iCs w:val="0"/>
          <w:color w:val="auto"/>
          <w:sz w:val="24"/>
          <w:szCs w:val="24"/>
          <w:highlight w:val="none"/>
          <w:u w:val="single"/>
        </w:rPr>
      </w:pPr>
    </w:p>
    <w:p w14:paraId="08C51A96">
      <w:pPr>
        <w:spacing w:line="360" w:lineRule="auto"/>
        <w:ind w:firstLine="5160" w:firstLineChars="215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64F9D6EC">
      <w:pPr>
        <w:rPr>
          <w:rFonts w:hint="eastAsia" w:ascii="宋体" w:hAnsi="宋体" w:eastAsia="宋体" w:cs="宋体"/>
          <w:b/>
          <w:bCs/>
          <w:i w:val="0"/>
          <w:iCs w:val="0"/>
          <w:color w:val="auto"/>
          <w:sz w:val="24"/>
          <w:szCs w:val="24"/>
          <w:highlight w:val="none"/>
          <w:lang w:eastAsia="zh-CN"/>
        </w:rPr>
      </w:pPr>
      <w:r>
        <w:rPr>
          <w:rFonts w:hint="eastAsia" w:ascii="宋体" w:hAnsi="宋体" w:eastAsia="宋体" w:cs="宋体"/>
          <w:b/>
          <w:bCs/>
          <w:i w:val="0"/>
          <w:iCs w:val="0"/>
          <w:color w:val="auto"/>
          <w:sz w:val="24"/>
          <w:szCs w:val="24"/>
          <w:highlight w:val="none"/>
          <w:lang w:eastAsia="zh-CN"/>
        </w:rPr>
        <w:br w:type="page"/>
      </w:r>
    </w:p>
    <w:p w14:paraId="13601FCD">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31" w:name="_Toc4200"/>
      <w:r>
        <w:rPr>
          <w:rFonts w:hint="eastAsia" w:ascii="宋体" w:hAnsi="宋体" w:eastAsia="宋体" w:cs="宋体"/>
          <w:b/>
          <w:bCs/>
          <w:i w:val="0"/>
          <w:iCs w:val="0"/>
          <w:snapToGrid w:val="0"/>
          <w:color w:val="auto"/>
          <w:kern w:val="0"/>
          <w:sz w:val="32"/>
          <w:szCs w:val="28"/>
          <w:highlight w:val="none"/>
          <w:lang w:val="en-US" w:eastAsia="zh-CN" w:bidi="ar-SA"/>
        </w:rPr>
        <w:t>五、法定代表人授权委托书</w:t>
      </w:r>
      <w:bookmarkEnd w:id="430"/>
      <w:bookmarkEnd w:id="431"/>
    </w:p>
    <w:p w14:paraId="08EF2D0D">
      <w:pPr>
        <w:spacing w:line="360" w:lineRule="auto"/>
        <w:ind w:firstLine="422" w:firstLineChars="200"/>
        <w:rPr>
          <w:rFonts w:hint="eastAsia" w:ascii="宋体" w:hAnsi="宋体" w:eastAsia="宋体" w:cs="宋体"/>
          <w:b/>
          <w:i w:val="0"/>
          <w:iCs w:val="0"/>
          <w:color w:val="auto"/>
          <w:szCs w:val="21"/>
          <w:highlight w:val="none"/>
        </w:rPr>
      </w:pPr>
    </w:p>
    <w:p w14:paraId="59E48A3D">
      <w:pPr>
        <w:spacing w:line="360" w:lineRule="auto"/>
        <w:ind w:firstLine="420" w:firstLineChars="200"/>
        <w:rPr>
          <w:rFonts w:hint="eastAsia" w:ascii="宋体" w:hAnsi="宋体" w:eastAsia="宋体" w:cs="宋体"/>
          <w:i w:val="0"/>
          <w:iCs w:val="0"/>
          <w:color w:val="auto"/>
          <w:szCs w:val="21"/>
          <w:highlight w:val="none"/>
        </w:rPr>
      </w:pPr>
    </w:p>
    <w:p w14:paraId="1DC82BF2">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（姓名）系</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名称）的法定代表人，现委托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（姓名）为我方代理人。代理人根据授权，以我方名义签署、澄清、说明、补正、递交、撤回、修改</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（项目名称）</w:t>
      </w:r>
      <w:r>
        <w:rPr>
          <w:rFonts w:hint="eastAsia" w:ascii="宋体" w:hAnsi="宋体" w:eastAsia="宋体" w:cs="宋体"/>
          <w:i w:val="0"/>
          <w:iCs w:val="0"/>
          <w:color w:val="auto"/>
          <w:sz w:val="24"/>
          <w:szCs w:val="24"/>
          <w:highlight w:val="none"/>
          <w:u w:val="none"/>
          <w:lang w:val="en-US" w:eastAsia="zh-CN"/>
        </w:rPr>
        <w:t>响应</w:t>
      </w:r>
      <w:r>
        <w:rPr>
          <w:rFonts w:hint="eastAsia" w:ascii="宋体" w:hAnsi="宋体" w:eastAsia="宋体" w:cs="宋体"/>
          <w:i w:val="0"/>
          <w:iCs w:val="0"/>
          <w:color w:val="auto"/>
          <w:sz w:val="24"/>
          <w:szCs w:val="24"/>
          <w:highlight w:val="none"/>
        </w:rPr>
        <w:t>文件、签订合同和处理有关事宜，其法律后果由我方承担。</w:t>
      </w:r>
    </w:p>
    <w:p w14:paraId="7D72D34F">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委托期限：</w:t>
      </w:r>
      <w:r>
        <w:rPr>
          <w:rFonts w:hint="eastAsia" w:ascii="宋体" w:hAnsi="宋体" w:eastAsia="宋体" w:cs="宋体"/>
          <w:i w:val="0"/>
          <w:iCs w:val="0"/>
          <w:color w:val="auto"/>
          <w:sz w:val="24"/>
          <w:szCs w:val="24"/>
          <w:highlight w:val="none"/>
          <w:u w:val="single"/>
        </w:rPr>
        <w:t xml:space="preserve">                                </w:t>
      </w:r>
    </w:p>
    <w:p w14:paraId="00B15F8D">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代理人无转委托权。</w:t>
      </w:r>
    </w:p>
    <w:tbl>
      <w:tblPr>
        <w:tblStyle w:val="17"/>
        <w:tblpPr w:leftFromText="180" w:rightFromText="180" w:vertAnchor="text" w:horzAnchor="margin" w:tblpXSpec="center" w:tblpY="43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60"/>
        <w:gridCol w:w="687"/>
        <w:gridCol w:w="4156"/>
      </w:tblGrid>
      <w:tr w14:paraId="47C1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7" w:hRule="atLeast"/>
        </w:trPr>
        <w:tc>
          <w:tcPr>
            <w:tcW w:w="4160" w:type="dxa"/>
            <w:tcBorders>
              <w:right w:val="single" w:color="auto" w:sz="18" w:space="0"/>
            </w:tcBorders>
            <w:noWrap w:val="0"/>
            <w:vAlign w:val="top"/>
          </w:tcPr>
          <w:p w14:paraId="7FF5193D">
            <w:pPr>
              <w:spacing w:line="480" w:lineRule="auto"/>
              <w:jc w:val="center"/>
              <w:rPr>
                <w:rFonts w:hint="eastAsia" w:ascii="宋体" w:hAnsi="宋体" w:eastAsia="宋体" w:cs="宋体"/>
                <w:i w:val="0"/>
                <w:iCs w:val="0"/>
                <w:color w:val="auto"/>
                <w:sz w:val="24"/>
                <w:szCs w:val="24"/>
                <w:highlight w:val="none"/>
              </w:rPr>
            </w:pPr>
          </w:p>
          <w:p w14:paraId="3DF1F901">
            <w:pPr>
              <w:spacing w:line="48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法定代表人身份证复印件</w:t>
            </w:r>
          </w:p>
        </w:tc>
        <w:tc>
          <w:tcPr>
            <w:tcW w:w="687" w:type="dxa"/>
            <w:tcBorders>
              <w:top w:val="nil"/>
              <w:left w:val="single" w:color="auto" w:sz="18" w:space="0"/>
              <w:bottom w:val="nil"/>
            </w:tcBorders>
            <w:noWrap w:val="0"/>
            <w:vAlign w:val="top"/>
          </w:tcPr>
          <w:p w14:paraId="226041F9">
            <w:pPr>
              <w:spacing w:line="480" w:lineRule="auto"/>
              <w:jc w:val="center"/>
              <w:rPr>
                <w:rFonts w:hint="eastAsia" w:ascii="宋体" w:hAnsi="宋体" w:eastAsia="宋体" w:cs="宋体"/>
                <w:i w:val="0"/>
                <w:iCs w:val="0"/>
                <w:color w:val="auto"/>
                <w:sz w:val="24"/>
                <w:szCs w:val="24"/>
                <w:highlight w:val="none"/>
              </w:rPr>
            </w:pPr>
          </w:p>
        </w:tc>
        <w:tc>
          <w:tcPr>
            <w:tcW w:w="4156" w:type="dxa"/>
            <w:tcBorders>
              <w:left w:val="single" w:color="auto" w:sz="18" w:space="0"/>
            </w:tcBorders>
            <w:noWrap w:val="0"/>
            <w:vAlign w:val="top"/>
          </w:tcPr>
          <w:p w14:paraId="5F4883EE">
            <w:pPr>
              <w:spacing w:line="480" w:lineRule="auto"/>
              <w:jc w:val="center"/>
              <w:rPr>
                <w:rFonts w:hint="eastAsia" w:ascii="宋体" w:hAnsi="宋体" w:eastAsia="宋体" w:cs="宋体"/>
                <w:i w:val="0"/>
                <w:iCs w:val="0"/>
                <w:color w:val="auto"/>
                <w:sz w:val="24"/>
                <w:szCs w:val="24"/>
                <w:highlight w:val="none"/>
              </w:rPr>
            </w:pPr>
          </w:p>
          <w:p w14:paraId="6B74DB68">
            <w:pPr>
              <w:spacing w:line="48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授权委托人身份证复印件</w:t>
            </w:r>
          </w:p>
        </w:tc>
      </w:tr>
    </w:tbl>
    <w:p w14:paraId="29562EDA">
      <w:pPr>
        <w:spacing w:line="360" w:lineRule="auto"/>
        <w:ind w:firstLine="480" w:firstLineChars="200"/>
        <w:rPr>
          <w:rFonts w:hint="eastAsia" w:ascii="宋体" w:hAnsi="宋体" w:eastAsia="宋体" w:cs="宋体"/>
          <w:i w:val="0"/>
          <w:iCs w:val="0"/>
          <w:color w:val="auto"/>
          <w:sz w:val="24"/>
          <w:szCs w:val="24"/>
          <w:highlight w:val="none"/>
        </w:rPr>
      </w:pPr>
    </w:p>
    <w:p w14:paraId="368A60D4">
      <w:pPr>
        <w:spacing w:line="360" w:lineRule="auto"/>
        <w:ind w:firstLine="482" w:firstLineChars="200"/>
        <w:rPr>
          <w:rFonts w:hint="eastAsia" w:ascii="宋体" w:hAnsi="宋体" w:eastAsia="宋体" w:cs="宋体"/>
          <w:b/>
          <w:i w:val="0"/>
          <w:iCs w:val="0"/>
          <w:color w:val="auto"/>
          <w:sz w:val="24"/>
          <w:szCs w:val="24"/>
          <w:highlight w:val="none"/>
        </w:rPr>
      </w:pPr>
    </w:p>
    <w:p w14:paraId="4D0F9632">
      <w:pPr>
        <w:spacing w:line="360" w:lineRule="auto"/>
        <w:ind w:firstLine="482" w:firstLineChars="200"/>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附：法定代表人身份证明</w:t>
      </w:r>
    </w:p>
    <w:p w14:paraId="228CED94">
      <w:pPr>
        <w:spacing w:line="360" w:lineRule="auto"/>
        <w:rPr>
          <w:rFonts w:hint="eastAsia" w:ascii="宋体" w:hAnsi="宋体" w:eastAsia="宋体" w:cs="宋体"/>
          <w:i w:val="0"/>
          <w:iCs w:val="0"/>
          <w:color w:val="auto"/>
          <w:sz w:val="24"/>
          <w:szCs w:val="24"/>
          <w:highlight w:val="none"/>
        </w:rPr>
      </w:pPr>
    </w:p>
    <w:p w14:paraId="520D91D2">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投标人：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（盖单位章）</w:t>
      </w:r>
    </w:p>
    <w:p w14:paraId="5E5C0E11">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法定代表人：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w:t>
      </w:r>
    </w:p>
    <w:p w14:paraId="5FE1B742">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身份证号码： </w:t>
      </w:r>
      <w:r>
        <w:rPr>
          <w:rFonts w:hint="eastAsia" w:ascii="宋体" w:hAnsi="宋体" w:eastAsia="宋体" w:cs="宋体"/>
          <w:i w:val="0"/>
          <w:iCs w:val="0"/>
          <w:color w:val="auto"/>
          <w:sz w:val="24"/>
          <w:szCs w:val="24"/>
          <w:highlight w:val="none"/>
          <w:u w:val="single"/>
        </w:rPr>
        <w:t xml:space="preserve">                    </w:t>
      </w:r>
    </w:p>
    <w:p w14:paraId="27190460">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委托代理人：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（签字）</w:t>
      </w:r>
    </w:p>
    <w:p w14:paraId="3A826760">
      <w:pPr>
        <w:spacing w:line="70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身份证号码： </w:t>
      </w:r>
      <w:r>
        <w:rPr>
          <w:rFonts w:hint="eastAsia" w:ascii="宋体" w:hAnsi="宋体" w:eastAsia="宋体" w:cs="宋体"/>
          <w:i w:val="0"/>
          <w:iCs w:val="0"/>
          <w:color w:val="auto"/>
          <w:sz w:val="24"/>
          <w:szCs w:val="24"/>
          <w:highlight w:val="none"/>
          <w:u w:val="single"/>
        </w:rPr>
        <w:t xml:space="preserve">                    </w:t>
      </w:r>
    </w:p>
    <w:p w14:paraId="7E3FF96F">
      <w:pPr>
        <w:spacing w:line="360" w:lineRule="auto"/>
        <w:ind w:firstLine="5400" w:firstLineChars="2250"/>
        <w:rPr>
          <w:rFonts w:hint="eastAsia" w:ascii="宋体" w:hAnsi="宋体" w:eastAsia="宋体" w:cs="宋体"/>
          <w:i w:val="0"/>
          <w:iCs w:val="0"/>
          <w:color w:val="auto"/>
          <w:sz w:val="24"/>
          <w:szCs w:val="24"/>
          <w:highlight w:val="none"/>
        </w:rPr>
      </w:pPr>
    </w:p>
    <w:p w14:paraId="7A127C09">
      <w:pPr>
        <w:spacing w:line="36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日</w:t>
      </w:r>
    </w:p>
    <w:p w14:paraId="40F037A5">
      <w:pPr>
        <w:keepNext w:val="0"/>
        <w:keepLines w:val="0"/>
        <w:pageBreakBefore w:val="0"/>
        <w:widowControl w:val="0"/>
        <w:kinsoku/>
        <w:wordWrap/>
        <w:overflowPunct/>
        <w:topLinePunct w:val="0"/>
        <w:autoSpaceDE/>
        <w:autoSpaceDN/>
        <w:bidi w:val="0"/>
        <w:adjustRightInd/>
        <w:snapToGrid/>
        <w:spacing w:before="156" w:beforeLines="50" w:after="156"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r>
        <w:rPr>
          <w:rFonts w:hint="eastAsia" w:ascii="宋体" w:hAnsi="宋体" w:eastAsia="宋体" w:cs="宋体"/>
          <w:i w:val="0"/>
          <w:iCs w:val="0"/>
          <w:color w:val="auto"/>
          <w:sz w:val="21"/>
          <w:szCs w:val="21"/>
          <w:highlight w:val="none"/>
        </w:rPr>
        <w:br w:type="page"/>
      </w:r>
      <w:bookmarkStart w:id="432" w:name="_Toc344207608"/>
      <w:bookmarkStart w:id="433" w:name="_Toc11683"/>
      <w:bookmarkStart w:id="434" w:name="_Toc15384"/>
      <w:bookmarkStart w:id="435" w:name="_Toc380477274"/>
      <w:bookmarkStart w:id="436" w:name="_Toc383497241"/>
      <w:bookmarkStart w:id="437" w:name="_Toc380477383"/>
      <w:bookmarkStart w:id="438" w:name="_Toc16682"/>
      <w:r>
        <w:rPr>
          <w:rFonts w:hint="eastAsia" w:ascii="宋体" w:hAnsi="宋体" w:eastAsia="宋体" w:cs="宋体"/>
          <w:b/>
          <w:bCs/>
          <w:i w:val="0"/>
          <w:iCs w:val="0"/>
          <w:snapToGrid w:val="0"/>
          <w:color w:val="auto"/>
          <w:kern w:val="0"/>
          <w:sz w:val="32"/>
          <w:szCs w:val="28"/>
          <w:highlight w:val="none"/>
          <w:lang w:val="en-US" w:eastAsia="zh-CN" w:bidi="ar-SA"/>
        </w:rPr>
        <w:t>六、已标价工程量清单</w:t>
      </w:r>
      <w:bookmarkEnd w:id="432"/>
      <w:bookmarkEnd w:id="433"/>
      <w:bookmarkEnd w:id="434"/>
      <w:bookmarkEnd w:id="435"/>
      <w:bookmarkEnd w:id="436"/>
      <w:bookmarkEnd w:id="437"/>
      <w:bookmarkEnd w:id="438"/>
    </w:p>
    <w:p w14:paraId="16BD31FB">
      <w:pPr>
        <w:spacing w:before="156" w:beforeLines="50" w:after="156" w:afterLines="50" w:line="288" w:lineRule="auto"/>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highlight w:val="none"/>
        </w:rPr>
        <w:br w:type="page"/>
      </w:r>
    </w:p>
    <w:p w14:paraId="192AE516">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pPr>
      <w:bookmarkStart w:id="439" w:name="_Toc23351"/>
      <w:bookmarkStart w:id="440" w:name="_Toc29608"/>
      <w:r>
        <w:rPr>
          <w:rFonts w:hint="eastAsia" w:ascii="宋体" w:hAnsi="宋体" w:eastAsia="宋体" w:cs="宋体"/>
          <w:b/>
          <w:bCs/>
          <w:i w:val="0"/>
          <w:iCs w:val="0"/>
          <w:snapToGrid w:val="0"/>
          <w:color w:val="auto"/>
          <w:kern w:val="0"/>
          <w:sz w:val="32"/>
          <w:szCs w:val="28"/>
          <w:highlight w:val="none"/>
          <w:lang w:val="en-US" w:eastAsia="zh-CN" w:bidi="ar-SA"/>
        </w:rPr>
        <w:t>七、</w:t>
      </w:r>
      <w:bookmarkEnd w:id="413"/>
      <w:bookmarkEnd w:id="439"/>
      <w:bookmarkStart w:id="441" w:name="_Toc310088880"/>
      <w:bookmarkStart w:id="442" w:name="_Toc29206"/>
      <w:bookmarkStart w:id="443" w:name="_Toc311205829"/>
      <w:bookmarkStart w:id="444" w:name="_Toc95203382"/>
      <w:bookmarkStart w:id="445" w:name="_Toc309533776"/>
      <w:bookmarkStart w:id="446" w:name="_Toc14292"/>
      <w:bookmarkStart w:id="447" w:name="_Toc10769"/>
      <w:r>
        <w:rPr>
          <w:rFonts w:hint="eastAsia" w:ascii="宋体" w:hAnsi="宋体" w:eastAsia="宋体" w:cs="宋体"/>
          <w:b/>
          <w:bCs/>
          <w:i w:val="0"/>
          <w:iCs w:val="0"/>
          <w:snapToGrid w:val="0"/>
          <w:color w:val="auto"/>
          <w:kern w:val="0"/>
          <w:sz w:val="32"/>
          <w:szCs w:val="28"/>
          <w:highlight w:val="none"/>
          <w:lang w:val="en-US" w:eastAsia="zh-CN" w:bidi="ar-SA"/>
        </w:rPr>
        <w:t>报价一览表</w:t>
      </w:r>
      <w:bookmarkEnd w:id="440"/>
      <w:bookmarkEnd w:id="441"/>
      <w:bookmarkEnd w:id="442"/>
      <w:bookmarkEnd w:id="443"/>
      <w:bookmarkEnd w:id="444"/>
      <w:bookmarkEnd w:id="445"/>
    </w:p>
    <w:p w14:paraId="54A9503D">
      <w:pPr>
        <w:autoSpaceDE w:val="0"/>
        <w:autoSpaceDN w:val="0"/>
        <w:adjustRightInd w:val="0"/>
        <w:spacing w:line="400" w:lineRule="exact"/>
        <w:ind w:firstLine="452" w:firstLineChars="250"/>
        <w:jc w:val="left"/>
        <w:rPr>
          <w:rFonts w:hint="eastAsia" w:ascii="宋体" w:hAnsi="宋体" w:eastAsia="宋体" w:cs="宋体"/>
          <w:b/>
          <w:bCs/>
          <w:i w:val="0"/>
          <w:iCs w:val="0"/>
          <w:color w:val="auto"/>
          <w:sz w:val="18"/>
          <w:szCs w:val="18"/>
          <w:highlight w:val="none"/>
          <w:lang w:val="zh-CN"/>
        </w:rPr>
      </w:pPr>
    </w:p>
    <w:p w14:paraId="07D3BBE2">
      <w:pPr>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采购</w:t>
      </w:r>
      <w:r>
        <w:rPr>
          <w:rFonts w:hint="eastAsia" w:ascii="宋体" w:hAnsi="宋体" w:eastAsia="宋体" w:cs="宋体"/>
          <w:bCs/>
          <w:i w:val="0"/>
          <w:iCs w:val="0"/>
          <w:color w:val="auto"/>
          <w:sz w:val="24"/>
          <w:szCs w:val="24"/>
          <w:highlight w:val="none"/>
        </w:rPr>
        <w:t>项目名称：</w:t>
      </w:r>
    </w:p>
    <w:p w14:paraId="7F9FB251">
      <w:pPr>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xml:space="preserve">项目编号：                                      </w:t>
      </w:r>
    </w:p>
    <w:p w14:paraId="18854CF4">
      <w:pPr>
        <w:jc w:val="both"/>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开标时间：    年   月   日    时（北京时间）</w:t>
      </w:r>
    </w:p>
    <w:tbl>
      <w:tblPr>
        <w:tblStyle w:val="17"/>
        <w:tblW w:w="985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017"/>
        <w:gridCol w:w="1452"/>
        <w:gridCol w:w="1277"/>
        <w:gridCol w:w="1277"/>
        <w:gridCol w:w="1675"/>
        <w:gridCol w:w="2156"/>
      </w:tblGrid>
      <w:tr w14:paraId="1DAE12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192" w:hRule="atLeast"/>
          <w:jc w:val="center"/>
        </w:trPr>
        <w:tc>
          <w:tcPr>
            <w:tcW w:w="2017" w:type="dxa"/>
            <w:noWrap w:val="0"/>
            <w:vAlign w:val="center"/>
          </w:tcPr>
          <w:p w14:paraId="159036BA">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投标人</w:t>
            </w:r>
          </w:p>
          <w:p w14:paraId="307A8348">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名称</w:t>
            </w:r>
          </w:p>
        </w:tc>
        <w:tc>
          <w:tcPr>
            <w:tcW w:w="1452" w:type="dxa"/>
            <w:noWrap w:val="0"/>
            <w:vAlign w:val="center"/>
          </w:tcPr>
          <w:p w14:paraId="4CF23176">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企业施工</w:t>
            </w:r>
          </w:p>
          <w:p w14:paraId="012D62BD">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资质等级</w:t>
            </w:r>
          </w:p>
        </w:tc>
        <w:tc>
          <w:tcPr>
            <w:tcW w:w="1277" w:type="dxa"/>
            <w:noWrap w:val="0"/>
            <w:vAlign w:val="center"/>
          </w:tcPr>
          <w:p w14:paraId="5A055346">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投标报价</w:t>
            </w:r>
          </w:p>
          <w:p w14:paraId="43E8A52F">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（元）</w:t>
            </w:r>
          </w:p>
        </w:tc>
        <w:tc>
          <w:tcPr>
            <w:tcW w:w="1277" w:type="dxa"/>
            <w:noWrap w:val="0"/>
            <w:vAlign w:val="center"/>
          </w:tcPr>
          <w:p w14:paraId="2A186539">
            <w:pPr>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lang w:val="en-US" w:eastAsia="zh-CN"/>
              </w:rPr>
              <w:t>磋商</w:t>
            </w:r>
            <w:r>
              <w:rPr>
                <w:rFonts w:hint="eastAsia" w:ascii="宋体" w:hAnsi="宋体" w:eastAsia="宋体" w:cs="宋体"/>
                <w:b/>
                <w:bCs/>
                <w:i w:val="0"/>
                <w:iCs w:val="0"/>
                <w:color w:val="auto"/>
                <w:sz w:val="24"/>
                <w:szCs w:val="24"/>
                <w:highlight w:val="none"/>
              </w:rPr>
              <w:t>保证金</w:t>
            </w:r>
          </w:p>
        </w:tc>
        <w:tc>
          <w:tcPr>
            <w:tcW w:w="1675" w:type="dxa"/>
            <w:noWrap w:val="0"/>
            <w:vAlign w:val="center"/>
          </w:tcPr>
          <w:p w14:paraId="3357F0B4">
            <w:pPr>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计划工期</w:t>
            </w:r>
          </w:p>
        </w:tc>
        <w:tc>
          <w:tcPr>
            <w:tcW w:w="2156" w:type="dxa"/>
            <w:noWrap w:val="0"/>
            <w:vAlign w:val="center"/>
          </w:tcPr>
          <w:p w14:paraId="34C4065F">
            <w:pPr>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rPr>
              <w:t>质量</w:t>
            </w:r>
            <w:r>
              <w:rPr>
                <w:rFonts w:hint="eastAsia" w:ascii="宋体" w:hAnsi="宋体" w:eastAsia="宋体" w:cs="宋体"/>
                <w:b/>
                <w:bCs/>
                <w:i w:val="0"/>
                <w:iCs w:val="0"/>
                <w:color w:val="auto"/>
                <w:sz w:val="24"/>
                <w:szCs w:val="24"/>
                <w:highlight w:val="none"/>
                <w:lang w:val="en-US" w:eastAsia="zh-CN"/>
              </w:rPr>
              <w:t>标准</w:t>
            </w:r>
          </w:p>
        </w:tc>
      </w:tr>
      <w:tr w14:paraId="5AE7B87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071" w:hRule="atLeast"/>
          <w:jc w:val="center"/>
        </w:trPr>
        <w:tc>
          <w:tcPr>
            <w:tcW w:w="2017" w:type="dxa"/>
            <w:noWrap w:val="0"/>
            <w:vAlign w:val="top"/>
          </w:tcPr>
          <w:p w14:paraId="59A82DC7">
            <w:pPr>
              <w:rPr>
                <w:rFonts w:hint="eastAsia" w:ascii="宋体" w:hAnsi="宋体" w:eastAsia="宋体" w:cs="宋体"/>
                <w:bCs/>
                <w:i w:val="0"/>
                <w:iCs w:val="0"/>
                <w:color w:val="auto"/>
                <w:sz w:val="24"/>
                <w:szCs w:val="24"/>
                <w:highlight w:val="none"/>
              </w:rPr>
            </w:pPr>
          </w:p>
        </w:tc>
        <w:tc>
          <w:tcPr>
            <w:tcW w:w="1452" w:type="dxa"/>
            <w:noWrap w:val="0"/>
            <w:vAlign w:val="top"/>
          </w:tcPr>
          <w:p w14:paraId="2FB91E63">
            <w:pPr>
              <w:rPr>
                <w:rFonts w:hint="eastAsia" w:ascii="宋体" w:hAnsi="宋体" w:eastAsia="宋体" w:cs="宋体"/>
                <w:bCs/>
                <w:i w:val="0"/>
                <w:iCs w:val="0"/>
                <w:color w:val="auto"/>
                <w:sz w:val="24"/>
                <w:szCs w:val="24"/>
                <w:highlight w:val="none"/>
              </w:rPr>
            </w:pPr>
          </w:p>
        </w:tc>
        <w:tc>
          <w:tcPr>
            <w:tcW w:w="1277" w:type="dxa"/>
            <w:noWrap w:val="0"/>
            <w:vAlign w:val="top"/>
          </w:tcPr>
          <w:p w14:paraId="74902B76">
            <w:pPr>
              <w:jc w:val="left"/>
              <w:rPr>
                <w:rFonts w:hint="eastAsia" w:ascii="宋体" w:hAnsi="宋体" w:eastAsia="宋体" w:cs="宋体"/>
                <w:bCs/>
                <w:i w:val="0"/>
                <w:iCs w:val="0"/>
                <w:color w:val="auto"/>
                <w:sz w:val="24"/>
                <w:szCs w:val="24"/>
                <w:highlight w:val="none"/>
              </w:rPr>
            </w:pPr>
          </w:p>
        </w:tc>
        <w:tc>
          <w:tcPr>
            <w:tcW w:w="1277" w:type="dxa"/>
            <w:noWrap w:val="0"/>
            <w:vAlign w:val="top"/>
          </w:tcPr>
          <w:p w14:paraId="606B1A50">
            <w:pPr>
              <w:jc w:val="left"/>
              <w:rPr>
                <w:rFonts w:hint="eastAsia" w:ascii="宋体" w:hAnsi="宋体" w:eastAsia="宋体" w:cs="宋体"/>
                <w:bCs/>
                <w:i w:val="0"/>
                <w:iCs w:val="0"/>
                <w:color w:val="auto"/>
                <w:sz w:val="24"/>
                <w:szCs w:val="24"/>
                <w:highlight w:val="none"/>
              </w:rPr>
            </w:pPr>
          </w:p>
        </w:tc>
        <w:tc>
          <w:tcPr>
            <w:tcW w:w="1675" w:type="dxa"/>
            <w:noWrap w:val="0"/>
            <w:vAlign w:val="top"/>
          </w:tcPr>
          <w:p w14:paraId="69D36D92">
            <w:pPr>
              <w:rPr>
                <w:rFonts w:hint="eastAsia" w:ascii="宋体" w:hAnsi="宋体" w:eastAsia="宋体" w:cs="宋体"/>
                <w:bCs/>
                <w:i w:val="0"/>
                <w:iCs w:val="0"/>
                <w:color w:val="auto"/>
                <w:sz w:val="24"/>
                <w:szCs w:val="24"/>
                <w:highlight w:val="none"/>
              </w:rPr>
            </w:pPr>
          </w:p>
        </w:tc>
        <w:tc>
          <w:tcPr>
            <w:tcW w:w="2156" w:type="dxa"/>
            <w:noWrap w:val="0"/>
            <w:vAlign w:val="top"/>
          </w:tcPr>
          <w:p w14:paraId="6D728F5C">
            <w:pPr>
              <w:rPr>
                <w:rFonts w:hint="eastAsia" w:ascii="宋体" w:hAnsi="宋体" w:eastAsia="宋体" w:cs="宋体"/>
                <w:bCs/>
                <w:i w:val="0"/>
                <w:iCs w:val="0"/>
                <w:color w:val="auto"/>
                <w:sz w:val="24"/>
                <w:szCs w:val="24"/>
                <w:highlight w:val="none"/>
              </w:rPr>
            </w:pPr>
          </w:p>
        </w:tc>
      </w:tr>
    </w:tbl>
    <w:p w14:paraId="1E83CDAA">
      <w:pPr>
        <w:rPr>
          <w:rFonts w:hint="eastAsia" w:ascii="宋体" w:hAnsi="宋体" w:eastAsia="宋体" w:cs="宋体"/>
          <w:bCs/>
          <w:i w:val="0"/>
          <w:iCs w:val="0"/>
          <w:color w:val="auto"/>
          <w:sz w:val="24"/>
          <w:szCs w:val="24"/>
          <w:highlight w:val="none"/>
        </w:rPr>
      </w:pPr>
    </w:p>
    <w:p w14:paraId="223C7A99">
      <w:pPr>
        <w:spacing w:line="360" w:lineRule="auto"/>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 xml:space="preserve">注： </w:t>
      </w:r>
      <w:r>
        <w:rPr>
          <w:rFonts w:hint="eastAsia" w:ascii="宋体" w:hAnsi="宋体" w:eastAsia="宋体" w:cs="宋体"/>
          <w:bCs/>
          <w:i w:val="0"/>
          <w:iCs w:val="0"/>
          <w:color w:val="auto"/>
          <w:sz w:val="24"/>
          <w:szCs w:val="24"/>
          <w:highlight w:val="none"/>
        </w:rPr>
        <w:t>※</w:t>
      </w:r>
      <w:r>
        <w:rPr>
          <w:rFonts w:hint="eastAsia" w:ascii="宋体" w:hAnsi="宋体" w:eastAsia="宋体" w:cs="宋体"/>
          <w:b/>
          <w:bCs/>
          <w:i w:val="0"/>
          <w:iCs w:val="0"/>
          <w:color w:val="auto"/>
          <w:sz w:val="24"/>
          <w:szCs w:val="24"/>
          <w:highlight w:val="none"/>
        </w:rPr>
        <w:t>1、填报的内容必须和投标文件及投标函中的内容一致。</w:t>
      </w:r>
    </w:p>
    <w:p w14:paraId="646246D8">
      <w:pPr>
        <w:spacing w:line="360" w:lineRule="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xml:space="preserve">    </w:t>
      </w:r>
    </w:p>
    <w:p w14:paraId="48407286">
      <w:pPr>
        <w:spacing w:line="360" w:lineRule="auto"/>
        <w:rPr>
          <w:rFonts w:hint="eastAsia" w:ascii="宋体" w:hAnsi="宋体" w:eastAsia="宋体" w:cs="宋体"/>
          <w:bCs/>
          <w:i w:val="0"/>
          <w:iCs w:val="0"/>
          <w:color w:val="auto"/>
          <w:sz w:val="24"/>
          <w:szCs w:val="24"/>
          <w:highlight w:val="none"/>
        </w:rPr>
      </w:pPr>
    </w:p>
    <w:p w14:paraId="68557462">
      <w:pPr>
        <w:ind w:left="5040"/>
        <w:jc w:val="left"/>
        <w:rPr>
          <w:rFonts w:hint="eastAsia" w:ascii="宋体" w:hAnsi="宋体" w:eastAsia="宋体" w:cs="宋体"/>
          <w:bCs/>
          <w:i w:val="0"/>
          <w:iCs w:val="0"/>
          <w:color w:val="auto"/>
          <w:sz w:val="24"/>
          <w:szCs w:val="24"/>
          <w:highlight w:val="none"/>
        </w:rPr>
      </w:pPr>
    </w:p>
    <w:p w14:paraId="71F2630B">
      <w:pPr>
        <w:ind w:left="5040"/>
        <w:jc w:val="left"/>
        <w:rPr>
          <w:rFonts w:hint="eastAsia" w:ascii="宋体" w:hAnsi="宋体" w:eastAsia="宋体" w:cs="宋体"/>
          <w:bCs/>
          <w:i w:val="0"/>
          <w:iCs w:val="0"/>
          <w:color w:val="auto"/>
          <w:sz w:val="24"/>
          <w:szCs w:val="24"/>
          <w:highlight w:val="none"/>
        </w:rPr>
      </w:pPr>
    </w:p>
    <w:p w14:paraId="62121C73">
      <w:pPr>
        <w:ind w:left="5040"/>
        <w:jc w:val="left"/>
        <w:rPr>
          <w:rFonts w:hint="eastAsia" w:ascii="宋体" w:hAnsi="宋体" w:eastAsia="宋体" w:cs="宋体"/>
          <w:bCs/>
          <w:i w:val="0"/>
          <w:iCs w:val="0"/>
          <w:color w:val="auto"/>
          <w:sz w:val="24"/>
          <w:szCs w:val="24"/>
          <w:highlight w:val="none"/>
        </w:rPr>
      </w:pPr>
    </w:p>
    <w:p w14:paraId="2C1AFC61">
      <w:pPr>
        <w:ind w:left="5040"/>
        <w:jc w:val="left"/>
        <w:rPr>
          <w:rFonts w:hint="eastAsia" w:ascii="宋体" w:hAnsi="宋体" w:eastAsia="宋体" w:cs="宋体"/>
          <w:bCs/>
          <w:i w:val="0"/>
          <w:iCs w:val="0"/>
          <w:color w:val="auto"/>
          <w:sz w:val="24"/>
          <w:szCs w:val="24"/>
          <w:highlight w:val="none"/>
        </w:rPr>
      </w:pPr>
    </w:p>
    <w:p w14:paraId="365E3012">
      <w:pPr>
        <w:ind w:left="5040"/>
        <w:jc w:val="left"/>
        <w:rPr>
          <w:rFonts w:hint="eastAsia" w:ascii="宋体" w:hAnsi="宋体" w:eastAsia="宋体" w:cs="宋体"/>
          <w:bCs/>
          <w:i w:val="0"/>
          <w:iCs w:val="0"/>
          <w:color w:val="auto"/>
          <w:sz w:val="24"/>
          <w:szCs w:val="24"/>
          <w:highlight w:val="none"/>
        </w:rPr>
      </w:pPr>
    </w:p>
    <w:p w14:paraId="5DCC7645">
      <w:pPr>
        <w:ind w:left="5040"/>
        <w:jc w:val="left"/>
        <w:rPr>
          <w:rFonts w:hint="eastAsia" w:ascii="宋体" w:hAnsi="宋体" w:eastAsia="宋体" w:cs="宋体"/>
          <w:bCs/>
          <w:i w:val="0"/>
          <w:iCs w:val="0"/>
          <w:color w:val="auto"/>
          <w:sz w:val="24"/>
          <w:szCs w:val="24"/>
          <w:highlight w:val="none"/>
        </w:rPr>
      </w:pPr>
    </w:p>
    <w:p w14:paraId="5B803067">
      <w:pPr>
        <w:ind w:left="5040"/>
        <w:jc w:val="left"/>
        <w:rPr>
          <w:rFonts w:hint="eastAsia" w:ascii="宋体" w:hAnsi="宋体" w:eastAsia="宋体" w:cs="宋体"/>
          <w:bCs/>
          <w:i w:val="0"/>
          <w:iCs w:val="0"/>
          <w:color w:val="auto"/>
          <w:sz w:val="24"/>
          <w:szCs w:val="24"/>
          <w:highlight w:val="none"/>
        </w:rPr>
      </w:pPr>
    </w:p>
    <w:p w14:paraId="081EF33B">
      <w:pPr>
        <w:jc w:val="right"/>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投  标 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（盖章）</w:t>
      </w:r>
    </w:p>
    <w:p w14:paraId="5FB5B544">
      <w:pPr>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xml:space="preserve">  </w:t>
      </w:r>
    </w:p>
    <w:p w14:paraId="52AE2EE8">
      <w:pPr>
        <w:jc w:val="right"/>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法定代表人或其委托代理人：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（签字）</w:t>
      </w:r>
    </w:p>
    <w:p w14:paraId="0A886D95">
      <w:pPr>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 xml:space="preserve">                                      </w:t>
      </w:r>
    </w:p>
    <w:p w14:paraId="7C128722">
      <w:pPr>
        <w:rPr>
          <w:rFonts w:hint="eastAsia" w:ascii="宋体" w:hAnsi="宋体" w:eastAsia="宋体" w:cs="宋体"/>
          <w:i w:val="0"/>
          <w:iCs w:val="0"/>
          <w:color w:val="auto"/>
          <w:highlight w:val="none"/>
        </w:rPr>
      </w:pPr>
      <w:r>
        <w:rPr>
          <w:rFonts w:hint="eastAsia" w:ascii="宋体" w:hAnsi="宋体" w:eastAsia="宋体" w:cs="宋体"/>
          <w:bCs/>
          <w:i w:val="0"/>
          <w:iCs w:val="0"/>
          <w:color w:val="auto"/>
          <w:sz w:val="24"/>
          <w:szCs w:val="24"/>
          <w:highlight w:val="none"/>
        </w:rPr>
        <w:t xml:space="preserve">                                                     </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年</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月</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日</w:t>
      </w:r>
    </w:p>
    <w:p w14:paraId="5E6ADB01">
      <w:pPr>
        <w:jc w:val="center"/>
        <w:rPr>
          <w:rFonts w:hint="eastAsia" w:ascii="宋体" w:hAnsi="宋体" w:eastAsia="宋体" w:cs="宋体"/>
          <w:i w:val="0"/>
          <w:iCs w:val="0"/>
          <w:color w:val="auto"/>
          <w:highlight w:val="none"/>
        </w:rPr>
      </w:pPr>
    </w:p>
    <w:p w14:paraId="671778B8">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1479AF3E">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i w:val="0"/>
          <w:iCs w:val="0"/>
          <w:color w:val="auto"/>
          <w:sz w:val="21"/>
          <w:szCs w:val="21"/>
          <w:highlight w:val="none"/>
        </w:rPr>
      </w:pPr>
      <w:bookmarkStart w:id="448" w:name="_Toc3447"/>
      <w:bookmarkStart w:id="449" w:name="_Toc18988"/>
      <w:r>
        <w:rPr>
          <w:rFonts w:hint="eastAsia" w:ascii="宋体" w:hAnsi="宋体" w:eastAsia="宋体" w:cs="宋体"/>
          <w:b/>
          <w:bCs/>
          <w:i w:val="0"/>
          <w:iCs w:val="0"/>
          <w:snapToGrid w:val="0"/>
          <w:color w:val="auto"/>
          <w:kern w:val="0"/>
          <w:sz w:val="32"/>
          <w:szCs w:val="28"/>
          <w:highlight w:val="none"/>
          <w:lang w:val="en-US" w:eastAsia="zh-CN" w:bidi="ar-SA"/>
        </w:rPr>
        <w:t>八、资格审查材料</w:t>
      </w:r>
      <w:bookmarkEnd w:id="448"/>
      <w:bookmarkEnd w:id="449"/>
    </w:p>
    <w:p w14:paraId="4516BE73">
      <w:pPr>
        <w:pStyle w:val="4"/>
        <w:spacing w:before="120" w:beforeLines="50" w:after="120" w:afterLines="50" w:line="288" w:lineRule="auto"/>
        <w:jc w:val="center"/>
        <w:rPr>
          <w:rFonts w:hint="eastAsia" w:ascii="宋体" w:hAnsi="宋体" w:eastAsia="宋体" w:cs="宋体"/>
          <w:i w:val="0"/>
          <w:iCs w:val="0"/>
          <w:color w:val="auto"/>
          <w:sz w:val="21"/>
          <w:szCs w:val="21"/>
          <w:highlight w:val="none"/>
        </w:rPr>
      </w:pPr>
      <w:bookmarkStart w:id="450" w:name="_Toc300659772"/>
      <w:bookmarkStart w:id="451" w:name="_Toc335231770"/>
      <w:bookmarkStart w:id="452" w:name="_Toc12832"/>
      <w:r>
        <w:rPr>
          <w:rFonts w:hint="eastAsia" w:ascii="宋体" w:hAnsi="宋体" w:eastAsia="宋体" w:cs="宋体"/>
          <w:i w:val="0"/>
          <w:iCs w:val="0"/>
          <w:color w:val="auto"/>
          <w:kern w:val="0"/>
          <w:sz w:val="21"/>
          <w:szCs w:val="21"/>
          <w:highlight w:val="none"/>
        </w:rPr>
        <w:t>（一）供应商基本情况表</w:t>
      </w:r>
      <w:bookmarkEnd w:id="450"/>
      <w:bookmarkEnd w:id="451"/>
      <w:bookmarkEnd w:id="452"/>
    </w:p>
    <w:tbl>
      <w:tblPr>
        <w:tblStyle w:val="17"/>
        <w:tblW w:w="0" w:type="auto"/>
        <w:tblInd w:w="0" w:type="dxa"/>
        <w:tblLayout w:type="fixed"/>
        <w:tblCellMar>
          <w:top w:w="0" w:type="dxa"/>
          <w:left w:w="108" w:type="dxa"/>
          <w:bottom w:w="0" w:type="dxa"/>
          <w:right w:w="108" w:type="dxa"/>
        </w:tblCellMar>
      </w:tblPr>
      <w:tblGrid>
        <w:gridCol w:w="2028"/>
        <w:gridCol w:w="1013"/>
        <w:gridCol w:w="1014"/>
        <w:gridCol w:w="827"/>
        <w:gridCol w:w="553"/>
        <w:gridCol w:w="263"/>
        <w:gridCol w:w="1406"/>
        <w:gridCol w:w="1013"/>
        <w:gridCol w:w="1022"/>
      </w:tblGrid>
      <w:tr w14:paraId="1CB6FFEB">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5F3DB446">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供应商名称</w:t>
            </w:r>
          </w:p>
        </w:tc>
        <w:tc>
          <w:tcPr>
            <w:tcW w:w="7111" w:type="dxa"/>
            <w:gridSpan w:val="8"/>
            <w:tcBorders>
              <w:top w:val="single" w:color="auto" w:sz="4" w:space="0"/>
              <w:left w:val="single" w:color="auto" w:sz="4" w:space="0"/>
              <w:bottom w:val="single" w:color="auto" w:sz="4" w:space="0"/>
              <w:right w:val="single" w:color="auto" w:sz="4" w:space="0"/>
            </w:tcBorders>
            <w:noWrap w:val="0"/>
            <w:vAlign w:val="center"/>
          </w:tcPr>
          <w:p w14:paraId="63CA7399">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619E8CD">
        <w:tblPrEx>
          <w:tblCellMar>
            <w:top w:w="0" w:type="dxa"/>
            <w:left w:w="108" w:type="dxa"/>
            <w:bottom w:w="0" w:type="dxa"/>
            <w:right w:w="108" w:type="dxa"/>
          </w:tblCellMar>
        </w:tblPrEx>
        <w:trPr>
          <w:trHeight w:val="563"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49E2F022">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注册地址</w:t>
            </w:r>
          </w:p>
        </w:tc>
        <w:tc>
          <w:tcPr>
            <w:tcW w:w="3670" w:type="dxa"/>
            <w:gridSpan w:val="5"/>
            <w:tcBorders>
              <w:top w:val="single" w:color="auto" w:sz="4" w:space="0"/>
              <w:left w:val="single" w:color="auto" w:sz="4" w:space="0"/>
              <w:bottom w:val="single" w:color="auto" w:sz="4" w:space="0"/>
              <w:right w:val="single" w:color="auto" w:sz="4" w:space="0"/>
            </w:tcBorders>
            <w:noWrap w:val="0"/>
            <w:vAlign w:val="center"/>
          </w:tcPr>
          <w:p w14:paraId="2416CD5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06" w:type="dxa"/>
            <w:tcBorders>
              <w:top w:val="single" w:color="auto" w:sz="4" w:space="0"/>
              <w:left w:val="single" w:color="auto" w:sz="4" w:space="0"/>
              <w:bottom w:val="single" w:color="auto" w:sz="4" w:space="0"/>
              <w:right w:val="single" w:color="auto" w:sz="4" w:space="0"/>
            </w:tcBorders>
            <w:noWrap w:val="0"/>
            <w:vAlign w:val="center"/>
          </w:tcPr>
          <w:p w14:paraId="5156A93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邮政编码</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5C86C06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E39E81D">
        <w:tblPrEx>
          <w:tblCellMar>
            <w:top w:w="0" w:type="dxa"/>
            <w:left w:w="108" w:type="dxa"/>
            <w:bottom w:w="0" w:type="dxa"/>
            <w:right w:w="108" w:type="dxa"/>
          </w:tblCellMar>
        </w:tblPrEx>
        <w:trPr>
          <w:trHeight w:val="538" w:hRule="atLeast"/>
        </w:trPr>
        <w:tc>
          <w:tcPr>
            <w:tcW w:w="2028" w:type="dxa"/>
            <w:vMerge w:val="restart"/>
            <w:tcBorders>
              <w:top w:val="single" w:color="auto" w:sz="4" w:space="0"/>
              <w:left w:val="single" w:color="auto" w:sz="4" w:space="0"/>
              <w:right w:val="single" w:color="auto" w:sz="4" w:space="0"/>
            </w:tcBorders>
            <w:noWrap w:val="0"/>
            <w:vAlign w:val="center"/>
          </w:tcPr>
          <w:p w14:paraId="4FC8E71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联系方式</w:t>
            </w:r>
          </w:p>
        </w:tc>
        <w:tc>
          <w:tcPr>
            <w:tcW w:w="1013" w:type="dxa"/>
            <w:tcBorders>
              <w:top w:val="single" w:color="auto" w:sz="4" w:space="0"/>
              <w:left w:val="single" w:color="auto" w:sz="4" w:space="0"/>
              <w:bottom w:val="single" w:color="auto" w:sz="4" w:space="0"/>
              <w:right w:val="single" w:color="auto" w:sz="4" w:space="0"/>
            </w:tcBorders>
            <w:noWrap w:val="0"/>
            <w:vAlign w:val="center"/>
          </w:tcPr>
          <w:p w14:paraId="04238A0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联系人</w:t>
            </w:r>
          </w:p>
        </w:tc>
        <w:tc>
          <w:tcPr>
            <w:tcW w:w="2657" w:type="dxa"/>
            <w:gridSpan w:val="4"/>
            <w:tcBorders>
              <w:top w:val="single" w:color="auto" w:sz="4" w:space="0"/>
              <w:left w:val="single" w:color="auto" w:sz="4" w:space="0"/>
              <w:bottom w:val="single" w:color="auto" w:sz="4" w:space="0"/>
              <w:right w:val="single" w:color="auto" w:sz="4" w:space="0"/>
            </w:tcBorders>
            <w:noWrap w:val="0"/>
            <w:vAlign w:val="center"/>
          </w:tcPr>
          <w:p w14:paraId="2AD4121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06" w:type="dxa"/>
            <w:tcBorders>
              <w:top w:val="single" w:color="auto" w:sz="4" w:space="0"/>
              <w:left w:val="single" w:color="auto" w:sz="4" w:space="0"/>
              <w:bottom w:val="single" w:color="auto" w:sz="4" w:space="0"/>
              <w:right w:val="single" w:color="auto" w:sz="4" w:space="0"/>
            </w:tcBorders>
            <w:noWrap w:val="0"/>
            <w:vAlign w:val="center"/>
          </w:tcPr>
          <w:p w14:paraId="147D35DC">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电话</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36499CBF">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4178CE6">
        <w:tblPrEx>
          <w:tblCellMar>
            <w:top w:w="0" w:type="dxa"/>
            <w:left w:w="108" w:type="dxa"/>
            <w:bottom w:w="0" w:type="dxa"/>
            <w:right w:w="108" w:type="dxa"/>
          </w:tblCellMar>
        </w:tblPrEx>
        <w:trPr>
          <w:trHeight w:val="563" w:hRule="atLeast"/>
        </w:trPr>
        <w:tc>
          <w:tcPr>
            <w:tcW w:w="2028" w:type="dxa"/>
            <w:vMerge w:val="continue"/>
            <w:tcBorders>
              <w:left w:val="single" w:color="auto" w:sz="4" w:space="0"/>
              <w:bottom w:val="single" w:color="auto" w:sz="4" w:space="0"/>
              <w:right w:val="single" w:color="auto" w:sz="4" w:space="0"/>
            </w:tcBorders>
            <w:noWrap w:val="0"/>
            <w:vAlign w:val="center"/>
          </w:tcPr>
          <w:p w14:paraId="689A4D2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7F9EE81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传真</w:t>
            </w:r>
          </w:p>
        </w:tc>
        <w:tc>
          <w:tcPr>
            <w:tcW w:w="2657" w:type="dxa"/>
            <w:gridSpan w:val="4"/>
            <w:tcBorders>
              <w:top w:val="single" w:color="auto" w:sz="4" w:space="0"/>
              <w:left w:val="single" w:color="auto" w:sz="4" w:space="0"/>
              <w:bottom w:val="single" w:color="auto" w:sz="4" w:space="0"/>
              <w:right w:val="single" w:color="auto" w:sz="4" w:space="0"/>
            </w:tcBorders>
            <w:noWrap w:val="0"/>
            <w:vAlign w:val="center"/>
          </w:tcPr>
          <w:p w14:paraId="137331C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06" w:type="dxa"/>
            <w:tcBorders>
              <w:top w:val="single" w:color="auto" w:sz="4" w:space="0"/>
              <w:left w:val="single" w:color="auto" w:sz="4" w:space="0"/>
              <w:bottom w:val="single" w:color="auto" w:sz="4" w:space="0"/>
              <w:right w:val="single" w:color="auto" w:sz="4" w:space="0"/>
            </w:tcBorders>
            <w:noWrap w:val="0"/>
            <w:vAlign w:val="center"/>
          </w:tcPr>
          <w:p w14:paraId="523332EE">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网址</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3A276F0C">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06811A8">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126E8B06">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组织结构</w:t>
            </w:r>
          </w:p>
        </w:tc>
        <w:tc>
          <w:tcPr>
            <w:tcW w:w="3670" w:type="dxa"/>
            <w:gridSpan w:val="5"/>
            <w:tcBorders>
              <w:top w:val="single" w:color="auto" w:sz="4" w:space="0"/>
              <w:left w:val="single" w:color="auto" w:sz="4" w:space="0"/>
              <w:bottom w:val="single" w:color="auto" w:sz="4" w:space="0"/>
              <w:right w:val="single" w:color="auto" w:sz="4" w:space="0"/>
            </w:tcBorders>
            <w:noWrap w:val="0"/>
            <w:vAlign w:val="center"/>
          </w:tcPr>
          <w:p w14:paraId="4C1DBFA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06" w:type="dxa"/>
            <w:tcBorders>
              <w:top w:val="single" w:color="auto" w:sz="4" w:space="0"/>
              <w:left w:val="single" w:color="auto" w:sz="4" w:space="0"/>
              <w:bottom w:val="single" w:color="auto" w:sz="4" w:space="0"/>
              <w:right w:val="single" w:color="auto" w:sz="4" w:space="0"/>
            </w:tcBorders>
            <w:noWrap w:val="0"/>
            <w:vAlign w:val="center"/>
          </w:tcPr>
          <w:p w14:paraId="0B64B98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企业规模</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602D36E8">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大/中/小/微型</w:t>
            </w:r>
          </w:p>
        </w:tc>
      </w:tr>
      <w:tr w14:paraId="1C2F2AB6">
        <w:tblPrEx>
          <w:tblCellMar>
            <w:top w:w="0" w:type="dxa"/>
            <w:left w:w="108" w:type="dxa"/>
            <w:bottom w:w="0" w:type="dxa"/>
            <w:right w:w="108" w:type="dxa"/>
          </w:tblCellMar>
        </w:tblPrEx>
        <w:trPr>
          <w:trHeight w:val="1082"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0113E0A8">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法定代表人</w:t>
            </w:r>
          </w:p>
        </w:tc>
        <w:tc>
          <w:tcPr>
            <w:tcW w:w="1013" w:type="dxa"/>
            <w:tcBorders>
              <w:top w:val="single" w:color="auto" w:sz="4" w:space="0"/>
              <w:left w:val="single" w:color="auto" w:sz="4" w:space="0"/>
              <w:bottom w:val="single" w:color="auto" w:sz="4" w:space="0"/>
              <w:right w:val="single" w:color="auto" w:sz="4" w:space="0"/>
            </w:tcBorders>
            <w:noWrap w:val="0"/>
            <w:vAlign w:val="center"/>
          </w:tcPr>
          <w:p w14:paraId="08B77CD5">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姓名</w:t>
            </w:r>
          </w:p>
        </w:tc>
        <w:tc>
          <w:tcPr>
            <w:tcW w:w="1014" w:type="dxa"/>
            <w:tcBorders>
              <w:top w:val="single" w:color="auto" w:sz="4" w:space="0"/>
              <w:left w:val="single" w:color="auto" w:sz="4" w:space="0"/>
              <w:bottom w:val="single" w:color="auto" w:sz="4" w:space="0"/>
              <w:right w:val="single" w:color="auto" w:sz="4" w:space="0"/>
            </w:tcBorders>
            <w:noWrap w:val="0"/>
            <w:vAlign w:val="center"/>
          </w:tcPr>
          <w:p w14:paraId="06A52F5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380" w:type="dxa"/>
            <w:gridSpan w:val="2"/>
            <w:tcBorders>
              <w:top w:val="single" w:color="auto" w:sz="4" w:space="0"/>
              <w:left w:val="single" w:color="auto" w:sz="4" w:space="0"/>
              <w:bottom w:val="single" w:color="auto" w:sz="4" w:space="0"/>
              <w:right w:val="single" w:color="auto" w:sz="4" w:space="0"/>
            </w:tcBorders>
            <w:noWrap w:val="0"/>
            <w:vAlign w:val="center"/>
          </w:tcPr>
          <w:p w14:paraId="75059EA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技术职称</w:t>
            </w:r>
          </w:p>
        </w:tc>
        <w:tc>
          <w:tcPr>
            <w:tcW w:w="1669" w:type="dxa"/>
            <w:gridSpan w:val="2"/>
            <w:tcBorders>
              <w:top w:val="single" w:color="auto" w:sz="4" w:space="0"/>
              <w:left w:val="single" w:color="auto" w:sz="4" w:space="0"/>
              <w:bottom w:val="single" w:color="auto" w:sz="4" w:space="0"/>
              <w:right w:val="single" w:color="auto" w:sz="4" w:space="0"/>
            </w:tcBorders>
            <w:noWrap w:val="0"/>
            <w:vAlign w:val="center"/>
          </w:tcPr>
          <w:p w14:paraId="44CA16B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20AFEBC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电话</w:t>
            </w:r>
          </w:p>
        </w:tc>
        <w:tc>
          <w:tcPr>
            <w:tcW w:w="1022" w:type="dxa"/>
            <w:tcBorders>
              <w:top w:val="single" w:color="auto" w:sz="4" w:space="0"/>
              <w:left w:val="single" w:color="auto" w:sz="4" w:space="0"/>
              <w:bottom w:val="single" w:color="auto" w:sz="4" w:space="0"/>
              <w:right w:val="single" w:color="auto" w:sz="4" w:space="0"/>
            </w:tcBorders>
            <w:noWrap w:val="0"/>
            <w:vAlign w:val="center"/>
          </w:tcPr>
          <w:p w14:paraId="1DF35B04">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7336232">
        <w:tblPrEx>
          <w:tblCellMar>
            <w:top w:w="0" w:type="dxa"/>
            <w:left w:w="108" w:type="dxa"/>
            <w:bottom w:w="0" w:type="dxa"/>
            <w:right w:w="108" w:type="dxa"/>
          </w:tblCellMar>
        </w:tblPrEx>
        <w:trPr>
          <w:trHeight w:val="1107"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3CE9A835">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技术负责人</w:t>
            </w:r>
          </w:p>
        </w:tc>
        <w:tc>
          <w:tcPr>
            <w:tcW w:w="1013" w:type="dxa"/>
            <w:tcBorders>
              <w:top w:val="single" w:color="auto" w:sz="4" w:space="0"/>
              <w:left w:val="single" w:color="auto" w:sz="4" w:space="0"/>
              <w:bottom w:val="single" w:color="auto" w:sz="4" w:space="0"/>
              <w:right w:val="single" w:color="auto" w:sz="4" w:space="0"/>
            </w:tcBorders>
            <w:noWrap w:val="0"/>
            <w:vAlign w:val="center"/>
          </w:tcPr>
          <w:p w14:paraId="0710927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姓名</w:t>
            </w:r>
          </w:p>
        </w:tc>
        <w:tc>
          <w:tcPr>
            <w:tcW w:w="1014" w:type="dxa"/>
            <w:tcBorders>
              <w:top w:val="single" w:color="auto" w:sz="4" w:space="0"/>
              <w:left w:val="single" w:color="auto" w:sz="4" w:space="0"/>
              <w:bottom w:val="single" w:color="auto" w:sz="4" w:space="0"/>
              <w:right w:val="single" w:color="auto" w:sz="4" w:space="0"/>
            </w:tcBorders>
            <w:noWrap w:val="0"/>
            <w:vAlign w:val="center"/>
          </w:tcPr>
          <w:p w14:paraId="2C5947C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380" w:type="dxa"/>
            <w:gridSpan w:val="2"/>
            <w:tcBorders>
              <w:top w:val="single" w:color="auto" w:sz="4" w:space="0"/>
              <w:left w:val="single" w:color="auto" w:sz="4" w:space="0"/>
              <w:bottom w:val="single" w:color="auto" w:sz="4" w:space="0"/>
              <w:right w:val="single" w:color="auto" w:sz="4" w:space="0"/>
            </w:tcBorders>
            <w:noWrap w:val="0"/>
            <w:vAlign w:val="center"/>
          </w:tcPr>
          <w:p w14:paraId="00E2261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技术职称</w:t>
            </w:r>
          </w:p>
        </w:tc>
        <w:tc>
          <w:tcPr>
            <w:tcW w:w="1669" w:type="dxa"/>
            <w:gridSpan w:val="2"/>
            <w:tcBorders>
              <w:top w:val="single" w:color="auto" w:sz="4" w:space="0"/>
              <w:left w:val="single" w:color="auto" w:sz="4" w:space="0"/>
              <w:bottom w:val="single" w:color="auto" w:sz="4" w:space="0"/>
              <w:right w:val="single" w:color="auto" w:sz="4" w:space="0"/>
            </w:tcBorders>
            <w:noWrap w:val="0"/>
            <w:vAlign w:val="center"/>
          </w:tcPr>
          <w:p w14:paraId="4024BA0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13" w:type="dxa"/>
            <w:tcBorders>
              <w:top w:val="single" w:color="auto" w:sz="4" w:space="0"/>
              <w:left w:val="single" w:color="auto" w:sz="4" w:space="0"/>
              <w:bottom w:val="single" w:color="auto" w:sz="4" w:space="0"/>
              <w:right w:val="single" w:color="auto" w:sz="4" w:space="0"/>
            </w:tcBorders>
            <w:noWrap w:val="0"/>
            <w:vAlign w:val="center"/>
          </w:tcPr>
          <w:p w14:paraId="5DAB79E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电话</w:t>
            </w:r>
          </w:p>
        </w:tc>
        <w:tc>
          <w:tcPr>
            <w:tcW w:w="1022" w:type="dxa"/>
            <w:tcBorders>
              <w:top w:val="single" w:color="auto" w:sz="4" w:space="0"/>
              <w:left w:val="single" w:color="auto" w:sz="4" w:space="0"/>
              <w:bottom w:val="single" w:color="auto" w:sz="4" w:space="0"/>
              <w:right w:val="single" w:color="auto" w:sz="4" w:space="0"/>
            </w:tcBorders>
            <w:noWrap w:val="0"/>
            <w:vAlign w:val="center"/>
          </w:tcPr>
          <w:p w14:paraId="13B7C134">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592A3FAD">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15C8F78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成立时间</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0067125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5084" w:type="dxa"/>
            <w:gridSpan w:val="6"/>
            <w:tcBorders>
              <w:top w:val="single" w:color="auto" w:sz="4" w:space="0"/>
              <w:left w:val="single" w:color="auto" w:sz="4" w:space="0"/>
              <w:bottom w:val="single" w:color="auto" w:sz="4" w:space="0"/>
              <w:right w:val="single" w:color="auto" w:sz="4" w:space="0"/>
            </w:tcBorders>
            <w:noWrap w:val="0"/>
            <w:vAlign w:val="center"/>
          </w:tcPr>
          <w:p w14:paraId="1515744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员工总人数：</w:t>
            </w:r>
          </w:p>
        </w:tc>
      </w:tr>
      <w:tr w14:paraId="1711F9D5">
        <w:tblPrEx>
          <w:tblCellMar>
            <w:top w:w="0" w:type="dxa"/>
            <w:left w:w="108" w:type="dxa"/>
            <w:bottom w:w="0" w:type="dxa"/>
            <w:right w:w="108" w:type="dxa"/>
          </w:tblCellMar>
        </w:tblPrEx>
        <w:trPr>
          <w:trHeight w:val="563"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584167DD">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企业资质等级</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49BD663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restart"/>
            <w:tcBorders>
              <w:top w:val="single" w:color="auto" w:sz="4" w:space="0"/>
              <w:left w:val="single" w:color="auto" w:sz="4" w:space="0"/>
              <w:bottom w:val="nil"/>
              <w:right w:val="single" w:color="auto" w:sz="4" w:space="0"/>
            </w:tcBorders>
            <w:noWrap w:val="0"/>
            <w:vAlign w:val="center"/>
          </w:tcPr>
          <w:p w14:paraId="00A803E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其中</w:t>
            </w: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6FAA10C7">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高级职称人员</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0A75743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32700834">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17DD836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营业执照号</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3E79552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continue"/>
            <w:tcBorders>
              <w:top w:val="nil"/>
              <w:left w:val="single" w:color="auto" w:sz="4" w:space="0"/>
              <w:bottom w:val="nil"/>
              <w:right w:val="single" w:color="auto" w:sz="4" w:space="0"/>
            </w:tcBorders>
            <w:noWrap w:val="0"/>
            <w:vAlign w:val="center"/>
          </w:tcPr>
          <w:p w14:paraId="645F66F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7E55A46E">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中级职称人员</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2358A06B">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E4EF4B6">
        <w:tblPrEx>
          <w:tblCellMar>
            <w:top w:w="0" w:type="dxa"/>
            <w:left w:w="108" w:type="dxa"/>
            <w:bottom w:w="0" w:type="dxa"/>
            <w:right w:w="108" w:type="dxa"/>
          </w:tblCellMar>
        </w:tblPrEx>
        <w:trPr>
          <w:trHeight w:val="563"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6722EE2C">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注册资金</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05DAB8E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continue"/>
            <w:tcBorders>
              <w:top w:val="nil"/>
              <w:left w:val="single" w:color="auto" w:sz="4" w:space="0"/>
              <w:bottom w:val="nil"/>
              <w:right w:val="single" w:color="auto" w:sz="4" w:space="0"/>
            </w:tcBorders>
            <w:noWrap w:val="0"/>
            <w:vAlign w:val="center"/>
          </w:tcPr>
          <w:p w14:paraId="0B32F84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730EAA7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初级职称人员</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00E54BE6">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9C5447D">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073AB52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开户银行</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3F10FBE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continue"/>
            <w:tcBorders>
              <w:top w:val="nil"/>
              <w:left w:val="single" w:color="auto" w:sz="4" w:space="0"/>
              <w:bottom w:val="nil"/>
              <w:right w:val="single" w:color="auto" w:sz="4" w:space="0"/>
            </w:tcBorders>
            <w:noWrap w:val="0"/>
            <w:vAlign w:val="center"/>
          </w:tcPr>
          <w:p w14:paraId="55F08B2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616260F2">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技工</w:t>
            </w: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6FB49430">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573134CA">
        <w:tblPrEx>
          <w:tblCellMar>
            <w:top w:w="0" w:type="dxa"/>
            <w:left w:w="108" w:type="dxa"/>
            <w:bottom w:w="0" w:type="dxa"/>
            <w:right w:w="108" w:type="dxa"/>
          </w:tblCellMar>
        </w:tblPrEx>
        <w:trPr>
          <w:trHeight w:val="538"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2D32016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账号</w:t>
            </w:r>
          </w:p>
        </w:tc>
        <w:tc>
          <w:tcPr>
            <w:tcW w:w="2027" w:type="dxa"/>
            <w:gridSpan w:val="2"/>
            <w:tcBorders>
              <w:top w:val="single" w:color="auto" w:sz="4" w:space="0"/>
              <w:left w:val="single" w:color="auto" w:sz="4" w:space="0"/>
              <w:bottom w:val="single" w:color="auto" w:sz="4" w:space="0"/>
              <w:right w:val="single" w:color="auto" w:sz="4" w:space="0"/>
            </w:tcBorders>
            <w:noWrap w:val="0"/>
            <w:vAlign w:val="center"/>
          </w:tcPr>
          <w:p w14:paraId="0A026EB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827" w:type="dxa"/>
            <w:vMerge w:val="continue"/>
            <w:tcBorders>
              <w:top w:val="nil"/>
              <w:left w:val="single" w:color="auto" w:sz="4" w:space="0"/>
              <w:bottom w:val="single" w:color="auto" w:sz="4" w:space="0"/>
              <w:right w:val="single" w:color="auto" w:sz="4" w:space="0"/>
            </w:tcBorders>
            <w:noWrap w:val="0"/>
            <w:vAlign w:val="center"/>
          </w:tcPr>
          <w:p w14:paraId="12742B3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222" w:type="dxa"/>
            <w:gridSpan w:val="3"/>
            <w:tcBorders>
              <w:top w:val="single" w:color="auto" w:sz="4" w:space="0"/>
              <w:left w:val="single" w:color="auto" w:sz="4" w:space="0"/>
              <w:bottom w:val="single" w:color="auto" w:sz="4" w:space="0"/>
              <w:right w:val="single" w:color="auto" w:sz="4" w:space="0"/>
            </w:tcBorders>
            <w:noWrap w:val="0"/>
            <w:vAlign w:val="center"/>
          </w:tcPr>
          <w:p w14:paraId="023AE61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2035" w:type="dxa"/>
            <w:gridSpan w:val="2"/>
            <w:tcBorders>
              <w:top w:val="single" w:color="auto" w:sz="4" w:space="0"/>
              <w:left w:val="single" w:color="auto" w:sz="4" w:space="0"/>
              <w:bottom w:val="single" w:color="auto" w:sz="4" w:space="0"/>
              <w:right w:val="single" w:color="auto" w:sz="4" w:space="0"/>
            </w:tcBorders>
            <w:noWrap w:val="0"/>
            <w:vAlign w:val="center"/>
          </w:tcPr>
          <w:p w14:paraId="22D6ED91">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099101F3">
        <w:tblPrEx>
          <w:tblCellMar>
            <w:top w:w="0" w:type="dxa"/>
            <w:left w:w="108" w:type="dxa"/>
            <w:bottom w:w="0" w:type="dxa"/>
            <w:right w:w="108" w:type="dxa"/>
          </w:tblCellMar>
        </w:tblPrEx>
        <w:trPr>
          <w:trHeight w:val="1125"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2E0BD8B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经营范围</w:t>
            </w:r>
          </w:p>
        </w:tc>
        <w:tc>
          <w:tcPr>
            <w:tcW w:w="7111" w:type="dxa"/>
            <w:gridSpan w:val="8"/>
            <w:tcBorders>
              <w:top w:val="nil"/>
              <w:left w:val="single" w:color="auto" w:sz="4" w:space="0"/>
              <w:bottom w:val="single" w:color="auto" w:sz="4" w:space="0"/>
              <w:right w:val="single" w:color="auto" w:sz="4" w:space="0"/>
            </w:tcBorders>
            <w:noWrap w:val="0"/>
            <w:vAlign w:val="center"/>
          </w:tcPr>
          <w:p w14:paraId="2BE61D7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4F8C329">
        <w:tblPrEx>
          <w:tblCellMar>
            <w:top w:w="0" w:type="dxa"/>
            <w:left w:w="108" w:type="dxa"/>
            <w:bottom w:w="0" w:type="dxa"/>
            <w:right w:w="108" w:type="dxa"/>
          </w:tblCellMar>
        </w:tblPrEx>
        <w:trPr>
          <w:trHeight w:val="583" w:hRule="atLeast"/>
        </w:trPr>
        <w:tc>
          <w:tcPr>
            <w:tcW w:w="2028" w:type="dxa"/>
            <w:tcBorders>
              <w:top w:val="single" w:color="auto" w:sz="4" w:space="0"/>
              <w:left w:val="single" w:color="auto" w:sz="4" w:space="0"/>
              <w:bottom w:val="single" w:color="auto" w:sz="4" w:space="0"/>
              <w:right w:val="single" w:color="auto" w:sz="4" w:space="0"/>
            </w:tcBorders>
            <w:noWrap w:val="0"/>
            <w:vAlign w:val="center"/>
          </w:tcPr>
          <w:p w14:paraId="14CF373B">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备注</w:t>
            </w:r>
          </w:p>
        </w:tc>
        <w:tc>
          <w:tcPr>
            <w:tcW w:w="7111" w:type="dxa"/>
            <w:gridSpan w:val="8"/>
            <w:tcBorders>
              <w:top w:val="single" w:color="auto" w:sz="4" w:space="0"/>
              <w:left w:val="single" w:color="auto" w:sz="4" w:space="0"/>
              <w:bottom w:val="single" w:color="auto" w:sz="4" w:space="0"/>
              <w:right w:val="single" w:color="auto" w:sz="4" w:space="0"/>
            </w:tcBorders>
            <w:noWrap w:val="0"/>
            <w:vAlign w:val="center"/>
          </w:tcPr>
          <w:p w14:paraId="4BE4E191">
            <w:pPr>
              <w:autoSpaceDE w:val="0"/>
              <w:autoSpaceDN w:val="0"/>
              <w:adjustRightInd w:val="0"/>
              <w:jc w:val="center"/>
              <w:rPr>
                <w:rFonts w:hint="eastAsia" w:ascii="宋体" w:hAnsi="宋体" w:eastAsia="宋体" w:cs="宋体"/>
                <w:i w:val="0"/>
                <w:iCs w:val="0"/>
                <w:color w:val="auto"/>
                <w:kern w:val="0"/>
                <w:sz w:val="21"/>
                <w:szCs w:val="21"/>
                <w:highlight w:val="none"/>
              </w:rPr>
            </w:pPr>
          </w:p>
        </w:tc>
      </w:tr>
    </w:tbl>
    <w:p w14:paraId="1D5B4B78">
      <w:pPr>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 w:val="21"/>
          <w:szCs w:val="21"/>
          <w:highlight w:val="none"/>
        </w:rPr>
        <w:t>备注：本表后应附企业法人营业执照（副本）、资质证书、安全生产许可证等材料的复印件</w:t>
      </w:r>
      <w:r>
        <w:rPr>
          <w:rFonts w:hint="eastAsia" w:ascii="宋体" w:hAnsi="宋体" w:eastAsia="宋体" w:cs="宋体"/>
          <w:i w:val="0"/>
          <w:iCs w:val="0"/>
          <w:color w:val="auto"/>
          <w:szCs w:val="21"/>
          <w:highlight w:val="none"/>
        </w:rPr>
        <w:t>。</w:t>
      </w:r>
    </w:p>
    <w:p w14:paraId="3A0E0472">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FE403BB">
      <w:pPr>
        <w:pStyle w:val="4"/>
        <w:keepNext w:val="0"/>
        <w:keepLines w:val="0"/>
        <w:spacing w:before="120" w:beforeLines="50" w:after="120" w:afterLines="50" w:line="288" w:lineRule="auto"/>
        <w:jc w:val="center"/>
        <w:rPr>
          <w:rFonts w:hint="eastAsia" w:ascii="宋体" w:hAnsi="宋体" w:eastAsia="宋体" w:cs="宋体"/>
          <w:b/>
          <w:i w:val="0"/>
          <w:iCs w:val="0"/>
          <w:color w:val="auto"/>
          <w:kern w:val="0"/>
          <w:sz w:val="21"/>
          <w:szCs w:val="21"/>
          <w:highlight w:val="none"/>
          <w:lang w:val="en-US" w:eastAsia="zh-CN"/>
        </w:rPr>
      </w:pPr>
      <w:bookmarkStart w:id="453" w:name="_Toc3236"/>
      <w:r>
        <w:rPr>
          <w:rFonts w:hint="eastAsia" w:ascii="宋体" w:hAnsi="宋体" w:eastAsia="宋体" w:cs="宋体"/>
          <w:b/>
          <w:i w:val="0"/>
          <w:iCs w:val="0"/>
          <w:color w:val="auto"/>
          <w:kern w:val="0"/>
          <w:sz w:val="21"/>
          <w:szCs w:val="21"/>
          <w:highlight w:val="none"/>
        </w:rPr>
        <w:t>（二）</w:t>
      </w:r>
      <w:bookmarkEnd w:id="453"/>
      <w:r>
        <w:rPr>
          <w:rFonts w:hint="eastAsia" w:ascii="宋体" w:hAnsi="宋体" w:eastAsia="宋体" w:cs="宋体"/>
          <w:b/>
          <w:i w:val="0"/>
          <w:iCs w:val="0"/>
          <w:color w:val="auto"/>
          <w:kern w:val="0"/>
          <w:sz w:val="21"/>
          <w:szCs w:val="21"/>
          <w:highlight w:val="none"/>
          <w:lang w:val="en-US" w:eastAsia="zh-CN"/>
        </w:rPr>
        <w:t>承诺函</w:t>
      </w:r>
    </w:p>
    <w:p w14:paraId="57ED5378">
      <w:pPr>
        <w:spacing w:line="200" w:lineRule="exact"/>
        <w:jc w:val="left"/>
        <w:rPr>
          <w:rFonts w:hint="eastAsia" w:ascii="宋体" w:hAnsi="宋体" w:eastAsia="宋体" w:cs="宋体"/>
          <w:i w:val="0"/>
          <w:iCs w:val="0"/>
          <w:color w:val="auto"/>
          <w:sz w:val="21"/>
          <w:szCs w:val="21"/>
          <w:highlight w:val="none"/>
        </w:rPr>
      </w:pPr>
    </w:p>
    <w:p w14:paraId="4ED443BA">
      <w:pPr>
        <w:spacing w:line="239" w:lineRule="auto"/>
        <w:ind w:left="279" w:leftChars="133" w:firstLine="630" w:firstLineChars="300"/>
        <w:jc w:val="left"/>
        <w:rPr>
          <w:rFonts w:hint="eastAsia" w:ascii="宋体" w:hAnsi="宋体" w:eastAsia="宋体" w:cs="宋体"/>
          <w:i w:val="0"/>
          <w:iCs w:val="0"/>
          <w:color w:val="auto"/>
          <w:sz w:val="21"/>
          <w:szCs w:val="21"/>
          <w:highlight w:val="none"/>
        </w:rPr>
      </w:pPr>
    </w:p>
    <w:p w14:paraId="14058DE1">
      <w:pPr>
        <w:pStyle w:val="4"/>
        <w:jc w:val="center"/>
        <w:outlineLvl w:val="9"/>
        <w:rPr>
          <w:rFonts w:hint="eastAsia" w:ascii="宋体" w:hAnsi="宋体" w:eastAsia="宋体" w:cs="宋体"/>
          <w:b w:val="0"/>
          <w:bCs w:val="0"/>
          <w:i w:val="0"/>
          <w:iCs w:val="0"/>
          <w:color w:val="auto"/>
          <w:kern w:val="0"/>
          <w:sz w:val="30"/>
          <w:szCs w:val="30"/>
          <w:highlight w:val="none"/>
        </w:rPr>
      </w:pPr>
    </w:p>
    <w:p w14:paraId="42C85659">
      <w:pPr>
        <w:pStyle w:val="4"/>
        <w:rPr>
          <w:rFonts w:hint="eastAsia" w:ascii="宋体" w:hAnsi="宋体" w:eastAsia="宋体" w:cs="宋体"/>
          <w:b w:val="0"/>
          <w:bCs w:val="0"/>
          <w:i w:val="0"/>
          <w:iCs w:val="0"/>
          <w:color w:val="auto"/>
          <w:kern w:val="0"/>
          <w:sz w:val="24"/>
          <w:szCs w:val="24"/>
          <w:highlight w:val="none"/>
        </w:rPr>
      </w:pPr>
      <w:r>
        <w:rPr>
          <w:rFonts w:hint="eastAsia" w:ascii="宋体" w:hAnsi="宋体" w:eastAsia="宋体" w:cs="宋体"/>
          <w:b w:val="0"/>
          <w:bCs w:val="0"/>
          <w:i w:val="0"/>
          <w:iCs w:val="0"/>
          <w:color w:val="auto"/>
          <w:kern w:val="0"/>
          <w:sz w:val="24"/>
          <w:szCs w:val="24"/>
          <w:highlight w:val="none"/>
        </w:rPr>
        <w:t>致：</w:t>
      </w:r>
      <w:r>
        <w:rPr>
          <w:rFonts w:hint="eastAsia" w:ascii="宋体" w:hAnsi="宋体" w:eastAsia="宋体" w:cs="宋体"/>
          <w:b w:val="0"/>
          <w:bCs w:val="0"/>
          <w:i w:val="0"/>
          <w:iCs w:val="0"/>
          <w:color w:val="auto"/>
          <w:kern w:val="0"/>
          <w:sz w:val="24"/>
          <w:szCs w:val="24"/>
          <w:highlight w:val="none"/>
          <w:u w:val="single"/>
          <w:lang w:val="en-US" w:eastAsia="zh-CN"/>
        </w:rPr>
        <w:t>（采购人、采购代理机构）</w:t>
      </w:r>
    </w:p>
    <w:p w14:paraId="358E0497">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我单位</w:t>
      </w:r>
      <w:r>
        <w:rPr>
          <w:rFonts w:hint="eastAsia" w:ascii="宋体" w:hAnsi="宋体" w:eastAsia="宋体" w:cs="宋体"/>
          <w:i w:val="0"/>
          <w:iCs w:val="0"/>
          <w:color w:val="auto"/>
          <w:sz w:val="24"/>
          <w:highlight w:val="none"/>
          <w:u w:val="single"/>
        </w:rPr>
        <w:t>(公司)</w:t>
      </w:r>
      <w:r>
        <w:rPr>
          <w:rFonts w:hint="eastAsia" w:ascii="宋体" w:hAnsi="宋体" w:eastAsia="宋体" w:cs="宋体"/>
          <w:i w:val="0"/>
          <w:iCs w:val="0"/>
          <w:color w:val="auto"/>
          <w:sz w:val="24"/>
          <w:highlight w:val="none"/>
        </w:rPr>
        <w:t>参与</w:t>
      </w:r>
      <w:r>
        <w:rPr>
          <w:rFonts w:hint="eastAsia" w:ascii="宋体" w:hAnsi="宋体" w:eastAsia="宋体" w:cs="宋体"/>
          <w:i w:val="0"/>
          <w:iCs w:val="0"/>
          <w:color w:val="auto"/>
          <w:sz w:val="24"/>
          <w:highlight w:val="none"/>
          <w:u w:val="single"/>
        </w:rPr>
        <w:t>(采购项目名称、项目编号)</w:t>
      </w:r>
      <w:r>
        <w:rPr>
          <w:rFonts w:hint="eastAsia" w:ascii="宋体" w:hAnsi="宋体" w:eastAsia="宋体" w:cs="宋体"/>
          <w:i w:val="0"/>
          <w:iCs w:val="0"/>
          <w:color w:val="auto"/>
          <w:sz w:val="24"/>
          <w:highlight w:val="none"/>
        </w:rPr>
        <w:t>采购项目的政府采购活动，现承诺如下：</w:t>
      </w:r>
    </w:p>
    <w:p w14:paraId="1DBB721A">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1.具有良好的商业信誉和健全的财务会计制度；</w:t>
      </w:r>
    </w:p>
    <w:p w14:paraId="19A752C9">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2.具有依法缴纳税收的良好记录；</w:t>
      </w:r>
    </w:p>
    <w:p w14:paraId="69E7E556">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3.具有依法缴纳社会保障金的良好记录。</w:t>
      </w:r>
    </w:p>
    <w:p w14:paraId="291F687B">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我方在采购项目评审(评标)环节结束后，随时接受采购人、采购代理机构的检查验证，配合提供相关证明材料，证明符合《中华人民共和国政府采购法》规定的供应商基本资格条件。</w:t>
      </w:r>
    </w:p>
    <w:p w14:paraId="7007A1EE">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我单位(公司)对上述承诺的真实性负责。如有虚假，将依法承担相应责任。</w:t>
      </w:r>
    </w:p>
    <w:p w14:paraId="466E6216">
      <w:pPr>
        <w:spacing w:line="360" w:lineRule="auto"/>
        <w:ind w:firstLine="480" w:firstLineChars="2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特此承诺。</w:t>
      </w:r>
    </w:p>
    <w:p w14:paraId="7BB2239C">
      <w:pPr>
        <w:spacing w:line="360" w:lineRule="auto"/>
        <w:rPr>
          <w:rFonts w:hint="eastAsia" w:ascii="宋体" w:hAnsi="宋体" w:eastAsia="宋体" w:cs="宋体"/>
          <w:i w:val="0"/>
          <w:iCs w:val="0"/>
          <w:color w:val="auto"/>
          <w:sz w:val="24"/>
          <w:highlight w:val="none"/>
        </w:rPr>
      </w:pPr>
    </w:p>
    <w:p w14:paraId="31D927EF">
      <w:pPr>
        <w:spacing w:line="360" w:lineRule="auto"/>
        <w:rPr>
          <w:rFonts w:hint="eastAsia" w:ascii="宋体" w:hAnsi="宋体" w:eastAsia="宋体" w:cs="宋体"/>
          <w:i w:val="0"/>
          <w:iCs w:val="0"/>
          <w:color w:val="auto"/>
          <w:sz w:val="24"/>
          <w:highlight w:val="none"/>
        </w:rPr>
      </w:pPr>
    </w:p>
    <w:p w14:paraId="05AEFF9E">
      <w:pPr>
        <w:spacing w:line="360" w:lineRule="auto"/>
        <w:rPr>
          <w:rFonts w:hint="eastAsia" w:ascii="宋体" w:hAnsi="宋体" w:eastAsia="宋体" w:cs="宋体"/>
          <w:i w:val="0"/>
          <w:iCs w:val="0"/>
          <w:color w:val="auto"/>
          <w:sz w:val="24"/>
          <w:highlight w:val="none"/>
        </w:rPr>
      </w:pPr>
    </w:p>
    <w:p w14:paraId="0BE66C8A">
      <w:pPr>
        <w:spacing w:line="360" w:lineRule="auto"/>
        <w:ind w:firstLine="5760" w:firstLineChars="24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盖章：</w:t>
      </w:r>
    </w:p>
    <w:p w14:paraId="530C3806">
      <w:pPr>
        <w:spacing w:line="360" w:lineRule="auto"/>
        <w:ind w:firstLine="5760" w:firstLineChars="24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签字：</w:t>
      </w:r>
    </w:p>
    <w:p w14:paraId="6CDD386A">
      <w:pPr>
        <w:spacing w:line="360" w:lineRule="auto"/>
        <w:ind w:firstLine="5760" w:firstLineChars="2400"/>
        <w:rPr>
          <w:rFonts w:hint="eastAsia" w:ascii="宋体" w:hAnsi="宋体" w:eastAsia="宋体" w:cs="宋体"/>
          <w:i w:val="0"/>
          <w:iCs w:val="0"/>
          <w:color w:val="auto"/>
          <w:sz w:val="24"/>
          <w:highlight w:val="none"/>
        </w:rPr>
      </w:pPr>
      <w:r>
        <w:rPr>
          <w:rFonts w:hint="eastAsia" w:ascii="宋体" w:hAnsi="宋体" w:eastAsia="宋体" w:cs="宋体"/>
          <w:i w:val="0"/>
          <w:iCs w:val="0"/>
          <w:color w:val="auto"/>
          <w:sz w:val="24"/>
          <w:highlight w:val="none"/>
        </w:rPr>
        <w:t>日期：</w:t>
      </w:r>
    </w:p>
    <w:p w14:paraId="5F420216">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F0E3770">
      <w:pPr>
        <w:pStyle w:val="4"/>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rPr>
          <w:rFonts w:hint="eastAsia" w:ascii="宋体" w:hAnsi="宋体" w:eastAsia="宋体" w:cs="宋体"/>
          <w:b/>
          <w:i w:val="0"/>
          <w:iCs w:val="0"/>
          <w:color w:val="auto"/>
          <w:kern w:val="0"/>
          <w:sz w:val="21"/>
          <w:szCs w:val="21"/>
          <w:highlight w:val="none"/>
        </w:rPr>
      </w:pPr>
      <w:r>
        <w:rPr>
          <w:rFonts w:hint="eastAsia" w:ascii="宋体" w:hAnsi="宋体" w:eastAsia="宋体" w:cs="宋体"/>
          <w:b/>
          <w:i w:val="0"/>
          <w:iCs w:val="0"/>
          <w:color w:val="auto"/>
          <w:kern w:val="0"/>
          <w:sz w:val="21"/>
          <w:szCs w:val="21"/>
          <w:highlight w:val="none"/>
        </w:rPr>
        <w:t>（三）近年类似项目情况表</w:t>
      </w:r>
    </w:p>
    <w:tbl>
      <w:tblPr>
        <w:tblStyle w:val="17"/>
        <w:tblW w:w="9239" w:type="dxa"/>
        <w:jc w:val="center"/>
        <w:tblLayout w:type="fixed"/>
        <w:tblCellMar>
          <w:top w:w="0" w:type="dxa"/>
          <w:left w:w="108" w:type="dxa"/>
          <w:bottom w:w="0" w:type="dxa"/>
          <w:right w:w="108" w:type="dxa"/>
        </w:tblCellMar>
      </w:tblPr>
      <w:tblGrid>
        <w:gridCol w:w="2458"/>
        <w:gridCol w:w="6781"/>
      </w:tblGrid>
      <w:tr w14:paraId="226C3956">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3BE7BE7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项目名称</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579B11E2">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F10BC25">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1936663E">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项目所在地</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4D374CB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7026F87">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09D3651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发包人名称</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4F86858D">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748B224">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64A827B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发包人地址</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5D5DF5C0">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7D889C8">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712C92C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发包人电话</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DA91CB6">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4FE600D">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03DAD0CA">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合同价格</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93CA1B8">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B69A1E0">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28D08C5D">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开工日期</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7036D2C3">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CA2F463">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32E01E38">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竣工日期</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5E56A08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3D6DA05A">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0FC8DC2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承担的工作</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0CE851E">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B798D1F">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4FAC1D55">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工程质量</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3CCB252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3DCEEE00">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59FB8D07">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项目经理</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2B5D5AF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35B6E29">
        <w:tblPrEx>
          <w:tblCellMar>
            <w:top w:w="0" w:type="dxa"/>
            <w:left w:w="108" w:type="dxa"/>
            <w:bottom w:w="0" w:type="dxa"/>
            <w:right w:w="108" w:type="dxa"/>
          </w:tblCellMar>
        </w:tblPrEx>
        <w:trPr>
          <w:trHeight w:val="680"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6DAF0DB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技术负责人</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2CD125D6">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8CCE87D">
        <w:tblPrEx>
          <w:tblCellMar>
            <w:top w:w="0" w:type="dxa"/>
            <w:left w:w="108" w:type="dxa"/>
            <w:bottom w:w="0" w:type="dxa"/>
            <w:right w:w="108" w:type="dxa"/>
          </w:tblCellMar>
        </w:tblPrEx>
        <w:trPr>
          <w:trHeight w:val="713"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2FA0EF54">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项目描述</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568E7C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478B58B0">
        <w:tblPrEx>
          <w:tblCellMar>
            <w:top w:w="0" w:type="dxa"/>
            <w:left w:w="108" w:type="dxa"/>
            <w:bottom w:w="0" w:type="dxa"/>
            <w:right w:w="108" w:type="dxa"/>
          </w:tblCellMar>
        </w:tblPrEx>
        <w:trPr>
          <w:trHeight w:val="731" w:hRule="atLeast"/>
          <w:jc w:val="center"/>
        </w:trPr>
        <w:tc>
          <w:tcPr>
            <w:tcW w:w="2458" w:type="dxa"/>
            <w:tcBorders>
              <w:top w:val="single" w:color="auto" w:sz="4" w:space="0"/>
              <w:left w:val="single" w:color="auto" w:sz="4" w:space="0"/>
              <w:bottom w:val="single" w:color="auto" w:sz="4" w:space="0"/>
              <w:right w:val="single" w:color="auto" w:sz="4" w:space="0"/>
            </w:tcBorders>
            <w:noWrap w:val="0"/>
            <w:vAlign w:val="center"/>
          </w:tcPr>
          <w:p w14:paraId="316A8FC4">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备注</w:t>
            </w:r>
          </w:p>
        </w:tc>
        <w:tc>
          <w:tcPr>
            <w:tcW w:w="6781" w:type="dxa"/>
            <w:tcBorders>
              <w:top w:val="single" w:color="auto" w:sz="4" w:space="0"/>
              <w:left w:val="single" w:color="auto" w:sz="4" w:space="0"/>
              <w:bottom w:val="single" w:color="auto" w:sz="4" w:space="0"/>
              <w:right w:val="single" w:color="auto" w:sz="4" w:space="0"/>
            </w:tcBorders>
            <w:noWrap w:val="0"/>
            <w:vAlign w:val="center"/>
          </w:tcPr>
          <w:p w14:paraId="0394702B">
            <w:pPr>
              <w:autoSpaceDE w:val="0"/>
              <w:autoSpaceDN w:val="0"/>
              <w:adjustRightInd w:val="0"/>
              <w:jc w:val="center"/>
              <w:rPr>
                <w:rFonts w:hint="eastAsia" w:ascii="宋体" w:hAnsi="宋体" w:eastAsia="宋体" w:cs="宋体"/>
                <w:i w:val="0"/>
                <w:iCs w:val="0"/>
                <w:color w:val="auto"/>
                <w:kern w:val="0"/>
                <w:sz w:val="21"/>
                <w:szCs w:val="21"/>
                <w:highlight w:val="none"/>
              </w:rPr>
            </w:pPr>
          </w:p>
        </w:tc>
      </w:tr>
    </w:tbl>
    <w:p w14:paraId="70282B5E">
      <w:pPr>
        <w:pStyle w:val="9"/>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备注：1、本表后附竣工验收证明的复印件加盖公章，具体年份要求见投标人须知前附表。每张表格只填写一个项目，并标明序号。</w:t>
      </w:r>
    </w:p>
    <w:p w14:paraId="3E6452ED">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3BC1CB52">
      <w:pPr>
        <w:pStyle w:val="4"/>
        <w:keepNext/>
        <w:keepLines/>
        <w:pageBreakBefore w:val="0"/>
        <w:widowControl w:val="0"/>
        <w:tabs>
          <w:tab w:val="left" w:pos="1152"/>
          <w:tab w:val="left" w:pos="1440"/>
        </w:tabs>
        <w:kinsoku/>
        <w:wordWrap/>
        <w:overflowPunct/>
        <w:topLinePunct w:val="0"/>
        <w:autoSpaceDE/>
        <w:autoSpaceDN/>
        <w:bidi w:val="0"/>
        <w:adjustRightInd w:val="0"/>
        <w:snapToGrid w:val="0"/>
        <w:spacing w:line="317" w:lineRule="auto"/>
        <w:ind w:left="1151" w:hanging="1151"/>
        <w:jc w:val="center"/>
        <w:textAlignment w:val="auto"/>
        <w:outlineLvl w:val="2"/>
        <w:rPr>
          <w:rFonts w:hint="eastAsia" w:ascii="宋体" w:hAnsi="宋体" w:eastAsia="宋体" w:cs="宋体"/>
          <w:b/>
          <w:i w:val="0"/>
          <w:iCs w:val="0"/>
          <w:color w:val="auto"/>
          <w:kern w:val="0"/>
          <w:sz w:val="21"/>
          <w:szCs w:val="21"/>
          <w:highlight w:val="none"/>
          <w:lang w:val="en-US" w:eastAsia="zh-CN" w:bidi="ar-SA"/>
        </w:rPr>
      </w:pPr>
      <w:r>
        <w:rPr>
          <w:rFonts w:hint="eastAsia" w:ascii="宋体" w:hAnsi="宋体" w:eastAsia="宋体" w:cs="宋体"/>
          <w:b/>
          <w:i w:val="0"/>
          <w:iCs w:val="0"/>
          <w:color w:val="auto"/>
          <w:kern w:val="0"/>
          <w:sz w:val="21"/>
          <w:szCs w:val="21"/>
          <w:highlight w:val="none"/>
          <w:lang w:val="en-US" w:eastAsia="zh-CN" w:bidi="ar-SA"/>
        </w:rPr>
        <w:t>(四)项目管理机构组成表</w:t>
      </w:r>
    </w:p>
    <w:tbl>
      <w:tblPr>
        <w:tblStyle w:val="17"/>
        <w:tblW w:w="9114" w:type="dxa"/>
        <w:tblInd w:w="0" w:type="dxa"/>
        <w:tblLayout w:type="fixed"/>
        <w:tblCellMar>
          <w:top w:w="0" w:type="dxa"/>
          <w:left w:w="108" w:type="dxa"/>
          <w:bottom w:w="0" w:type="dxa"/>
          <w:right w:w="108" w:type="dxa"/>
        </w:tblCellMar>
      </w:tblPr>
      <w:tblGrid>
        <w:gridCol w:w="720"/>
        <w:gridCol w:w="721"/>
        <w:gridCol w:w="721"/>
        <w:gridCol w:w="1262"/>
        <w:gridCol w:w="902"/>
        <w:gridCol w:w="1150"/>
        <w:gridCol w:w="1066"/>
        <w:gridCol w:w="1434"/>
        <w:gridCol w:w="1138"/>
      </w:tblGrid>
      <w:tr w14:paraId="22011A58">
        <w:tblPrEx>
          <w:tblCellMar>
            <w:top w:w="0" w:type="dxa"/>
            <w:left w:w="108" w:type="dxa"/>
            <w:bottom w:w="0" w:type="dxa"/>
            <w:right w:w="108" w:type="dxa"/>
          </w:tblCellMar>
        </w:tblPrEx>
        <w:trPr>
          <w:trHeight w:val="545" w:hRule="atLeast"/>
        </w:trPr>
        <w:tc>
          <w:tcPr>
            <w:tcW w:w="720" w:type="dxa"/>
            <w:vMerge w:val="restart"/>
            <w:tcBorders>
              <w:top w:val="single" w:color="auto" w:sz="4" w:space="0"/>
              <w:left w:val="single" w:color="auto" w:sz="4" w:space="0"/>
              <w:bottom w:val="nil"/>
              <w:right w:val="single" w:color="auto" w:sz="4" w:space="0"/>
            </w:tcBorders>
            <w:noWrap w:val="0"/>
            <w:vAlign w:val="center"/>
          </w:tcPr>
          <w:p w14:paraId="1DC211D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职务</w:t>
            </w:r>
          </w:p>
        </w:tc>
        <w:tc>
          <w:tcPr>
            <w:tcW w:w="721" w:type="dxa"/>
            <w:vMerge w:val="restart"/>
            <w:tcBorders>
              <w:top w:val="single" w:color="auto" w:sz="4" w:space="0"/>
              <w:left w:val="single" w:color="auto" w:sz="4" w:space="0"/>
              <w:bottom w:val="nil"/>
              <w:right w:val="single" w:color="auto" w:sz="4" w:space="0"/>
            </w:tcBorders>
            <w:noWrap w:val="0"/>
            <w:vAlign w:val="center"/>
          </w:tcPr>
          <w:p w14:paraId="760054C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姓名</w:t>
            </w:r>
          </w:p>
        </w:tc>
        <w:tc>
          <w:tcPr>
            <w:tcW w:w="721" w:type="dxa"/>
            <w:vMerge w:val="restart"/>
            <w:tcBorders>
              <w:top w:val="single" w:color="auto" w:sz="4" w:space="0"/>
              <w:left w:val="single" w:color="auto" w:sz="4" w:space="0"/>
              <w:bottom w:val="nil"/>
              <w:right w:val="single" w:color="auto" w:sz="4" w:space="0"/>
            </w:tcBorders>
            <w:noWrap w:val="0"/>
            <w:vAlign w:val="center"/>
          </w:tcPr>
          <w:p w14:paraId="4B036F30">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职称</w:t>
            </w:r>
          </w:p>
        </w:tc>
        <w:tc>
          <w:tcPr>
            <w:tcW w:w="5814" w:type="dxa"/>
            <w:gridSpan w:val="5"/>
            <w:tcBorders>
              <w:top w:val="single" w:color="auto" w:sz="4" w:space="0"/>
              <w:left w:val="single" w:color="auto" w:sz="4" w:space="0"/>
              <w:bottom w:val="single" w:color="auto" w:sz="4" w:space="0"/>
              <w:right w:val="single" w:color="auto" w:sz="4" w:space="0"/>
            </w:tcBorders>
            <w:noWrap w:val="0"/>
            <w:vAlign w:val="center"/>
          </w:tcPr>
          <w:p w14:paraId="6ABF87F3">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执业或职业资格证明</w:t>
            </w:r>
          </w:p>
        </w:tc>
        <w:tc>
          <w:tcPr>
            <w:tcW w:w="1138" w:type="dxa"/>
            <w:vMerge w:val="restart"/>
            <w:tcBorders>
              <w:top w:val="single" w:color="auto" w:sz="4" w:space="0"/>
              <w:left w:val="single" w:color="auto" w:sz="4" w:space="0"/>
              <w:right w:val="single" w:color="auto" w:sz="4" w:space="0"/>
            </w:tcBorders>
            <w:noWrap w:val="0"/>
            <w:vAlign w:val="center"/>
          </w:tcPr>
          <w:p w14:paraId="3BDEC11F">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备注</w:t>
            </w:r>
          </w:p>
        </w:tc>
      </w:tr>
      <w:tr w14:paraId="0176C519">
        <w:tblPrEx>
          <w:tblCellMar>
            <w:top w:w="0" w:type="dxa"/>
            <w:left w:w="108" w:type="dxa"/>
            <w:bottom w:w="0" w:type="dxa"/>
            <w:right w:w="108" w:type="dxa"/>
          </w:tblCellMar>
        </w:tblPrEx>
        <w:trPr>
          <w:trHeight w:val="600" w:hRule="atLeast"/>
        </w:trPr>
        <w:tc>
          <w:tcPr>
            <w:tcW w:w="720" w:type="dxa"/>
            <w:vMerge w:val="continue"/>
            <w:tcBorders>
              <w:top w:val="nil"/>
              <w:left w:val="single" w:color="auto" w:sz="4" w:space="0"/>
              <w:bottom w:val="single" w:color="auto" w:sz="4" w:space="0"/>
              <w:right w:val="single" w:color="auto" w:sz="4" w:space="0"/>
            </w:tcBorders>
            <w:noWrap w:val="0"/>
            <w:vAlign w:val="center"/>
          </w:tcPr>
          <w:p w14:paraId="4FDE36E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vMerge w:val="continue"/>
            <w:tcBorders>
              <w:top w:val="nil"/>
              <w:left w:val="single" w:color="auto" w:sz="4" w:space="0"/>
              <w:bottom w:val="single" w:color="auto" w:sz="4" w:space="0"/>
              <w:right w:val="single" w:color="auto" w:sz="4" w:space="0"/>
            </w:tcBorders>
            <w:noWrap w:val="0"/>
            <w:vAlign w:val="center"/>
          </w:tcPr>
          <w:p w14:paraId="12ABA0E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vMerge w:val="continue"/>
            <w:tcBorders>
              <w:top w:val="nil"/>
              <w:left w:val="single" w:color="auto" w:sz="4" w:space="0"/>
              <w:bottom w:val="single" w:color="auto" w:sz="4" w:space="0"/>
              <w:right w:val="single" w:color="auto" w:sz="4" w:space="0"/>
            </w:tcBorders>
            <w:noWrap w:val="0"/>
            <w:vAlign w:val="center"/>
          </w:tcPr>
          <w:p w14:paraId="03F0EFB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41A89566">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证书名称</w:t>
            </w:r>
          </w:p>
        </w:tc>
        <w:tc>
          <w:tcPr>
            <w:tcW w:w="902" w:type="dxa"/>
            <w:tcBorders>
              <w:top w:val="single" w:color="auto" w:sz="4" w:space="0"/>
              <w:left w:val="single" w:color="auto" w:sz="4" w:space="0"/>
              <w:bottom w:val="single" w:color="auto" w:sz="4" w:space="0"/>
              <w:right w:val="single" w:color="auto" w:sz="4" w:space="0"/>
            </w:tcBorders>
            <w:noWrap w:val="0"/>
            <w:vAlign w:val="center"/>
          </w:tcPr>
          <w:p w14:paraId="315A8D59">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级别</w:t>
            </w: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6A9FFA8">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证号</w:t>
            </w:r>
          </w:p>
        </w:tc>
        <w:tc>
          <w:tcPr>
            <w:tcW w:w="1066" w:type="dxa"/>
            <w:tcBorders>
              <w:top w:val="single" w:color="auto" w:sz="4" w:space="0"/>
              <w:left w:val="single" w:color="auto" w:sz="4" w:space="0"/>
              <w:bottom w:val="single" w:color="auto" w:sz="4" w:space="0"/>
              <w:right w:val="single" w:color="auto" w:sz="4" w:space="0"/>
            </w:tcBorders>
            <w:noWrap w:val="0"/>
            <w:vAlign w:val="center"/>
          </w:tcPr>
          <w:p w14:paraId="04EC810C">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专业</w:t>
            </w:r>
          </w:p>
        </w:tc>
        <w:tc>
          <w:tcPr>
            <w:tcW w:w="1434" w:type="dxa"/>
            <w:tcBorders>
              <w:top w:val="single" w:color="auto" w:sz="4" w:space="0"/>
              <w:left w:val="single" w:color="auto" w:sz="4" w:space="0"/>
              <w:bottom w:val="single" w:color="auto" w:sz="4" w:space="0"/>
              <w:right w:val="single" w:color="auto" w:sz="4" w:space="0"/>
            </w:tcBorders>
            <w:noWrap w:val="0"/>
            <w:vAlign w:val="center"/>
          </w:tcPr>
          <w:p w14:paraId="2E85A851">
            <w:pPr>
              <w:autoSpaceDE w:val="0"/>
              <w:autoSpaceDN w:val="0"/>
              <w:adjustRightInd w:val="0"/>
              <w:jc w:val="center"/>
              <w:rPr>
                <w:rFonts w:hint="eastAsia" w:ascii="宋体" w:hAnsi="宋体" w:eastAsia="宋体" w:cs="宋体"/>
                <w:i w:val="0"/>
                <w:iCs w:val="0"/>
                <w:color w:val="auto"/>
                <w:kern w:val="0"/>
                <w:sz w:val="21"/>
                <w:szCs w:val="21"/>
                <w:highlight w:val="none"/>
              </w:rPr>
            </w:pPr>
            <w:r>
              <w:rPr>
                <w:rFonts w:hint="eastAsia" w:ascii="宋体" w:hAnsi="宋体" w:eastAsia="宋体" w:cs="宋体"/>
                <w:i w:val="0"/>
                <w:iCs w:val="0"/>
                <w:color w:val="auto"/>
                <w:kern w:val="0"/>
                <w:sz w:val="21"/>
                <w:szCs w:val="21"/>
                <w:highlight w:val="none"/>
              </w:rPr>
              <w:t>养老保险</w:t>
            </w:r>
          </w:p>
        </w:tc>
        <w:tc>
          <w:tcPr>
            <w:tcW w:w="1138" w:type="dxa"/>
            <w:vMerge w:val="continue"/>
            <w:tcBorders>
              <w:left w:val="single" w:color="auto" w:sz="4" w:space="0"/>
              <w:bottom w:val="single" w:color="auto" w:sz="4" w:space="0"/>
              <w:right w:val="single" w:color="auto" w:sz="4" w:space="0"/>
            </w:tcBorders>
            <w:noWrap w:val="0"/>
            <w:vAlign w:val="center"/>
          </w:tcPr>
          <w:p w14:paraId="46EC161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8697D86">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01BA943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312C1E4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4131FA3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6DCAFA5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6A8A949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322834B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2C79372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A90569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4BBE33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2F1E4D6">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2FEFC2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27EB5F6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3818DC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67FAAC6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67E3DF5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3E85044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789F3D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507CE12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53B6251F">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4D72800">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3292911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86DA36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46C7468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60D9342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3026F3D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1F84B1E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96B6FF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1261BF2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617E400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024E79F9">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48F5990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0B1069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4B22E4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7A9A6AB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2A43B3E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4CFB250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513A52C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5650B76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39F1A254">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5CF3EB9B">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272E67E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D53909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197F63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431E32E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2425318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22FF3EC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2517CE6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3281BAE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6D59EC4">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4085E76">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67F31FB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2510CA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CC2D4B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1AD73DD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2A89F75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65BB2C9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3C4244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4583725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A6F974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9B53525">
        <w:tblPrEx>
          <w:tblCellMar>
            <w:top w:w="0" w:type="dxa"/>
            <w:left w:w="108" w:type="dxa"/>
            <w:bottom w:w="0" w:type="dxa"/>
            <w:right w:w="108" w:type="dxa"/>
          </w:tblCellMar>
        </w:tblPrEx>
        <w:trPr>
          <w:trHeight w:val="545" w:hRule="atLeast"/>
        </w:trPr>
        <w:tc>
          <w:tcPr>
            <w:tcW w:w="720" w:type="dxa"/>
            <w:tcBorders>
              <w:top w:val="nil"/>
              <w:left w:val="single" w:color="auto" w:sz="4" w:space="0"/>
              <w:bottom w:val="single" w:color="auto" w:sz="4" w:space="0"/>
              <w:right w:val="single" w:color="auto" w:sz="4" w:space="0"/>
            </w:tcBorders>
            <w:noWrap w:val="0"/>
            <w:vAlign w:val="center"/>
          </w:tcPr>
          <w:p w14:paraId="73F2E6F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nil"/>
              <w:left w:val="single" w:color="auto" w:sz="4" w:space="0"/>
              <w:bottom w:val="single" w:color="auto" w:sz="4" w:space="0"/>
              <w:right w:val="single" w:color="auto" w:sz="4" w:space="0"/>
            </w:tcBorders>
            <w:noWrap w:val="0"/>
            <w:vAlign w:val="center"/>
          </w:tcPr>
          <w:p w14:paraId="4C5FFC0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nil"/>
              <w:left w:val="single" w:color="auto" w:sz="4" w:space="0"/>
              <w:bottom w:val="single" w:color="auto" w:sz="4" w:space="0"/>
              <w:right w:val="single" w:color="auto" w:sz="4" w:space="0"/>
            </w:tcBorders>
            <w:noWrap w:val="0"/>
            <w:vAlign w:val="center"/>
          </w:tcPr>
          <w:p w14:paraId="05F490A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nil"/>
              <w:left w:val="single" w:color="auto" w:sz="4" w:space="0"/>
              <w:bottom w:val="single" w:color="auto" w:sz="4" w:space="0"/>
              <w:right w:val="single" w:color="auto" w:sz="4" w:space="0"/>
            </w:tcBorders>
            <w:noWrap w:val="0"/>
            <w:vAlign w:val="center"/>
          </w:tcPr>
          <w:p w14:paraId="697EE45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nil"/>
              <w:left w:val="single" w:color="auto" w:sz="4" w:space="0"/>
              <w:bottom w:val="single" w:color="auto" w:sz="4" w:space="0"/>
              <w:right w:val="single" w:color="auto" w:sz="4" w:space="0"/>
            </w:tcBorders>
            <w:noWrap w:val="0"/>
            <w:vAlign w:val="center"/>
          </w:tcPr>
          <w:p w14:paraId="42FC5FD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nil"/>
              <w:left w:val="single" w:color="auto" w:sz="4" w:space="0"/>
              <w:bottom w:val="single" w:color="auto" w:sz="4" w:space="0"/>
              <w:right w:val="single" w:color="auto" w:sz="4" w:space="0"/>
            </w:tcBorders>
            <w:noWrap w:val="0"/>
            <w:vAlign w:val="center"/>
          </w:tcPr>
          <w:p w14:paraId="211CEC7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nil"/>
              <w:left w:val="single" w:color="auto" w:sz="4" w:space="0"/>
              <w:bottom w:val="single" w:color="auto" w:sz="4" w:space="0"/>
              <w:right w:val="single" w:color="auto" w:sz="4" w:space="0"/>
            </w:tcBorders>
            <w:noWrap w:val="0"/>
            <w:vAlign w:val="center"/>
          </w:tcPr>
          <w:p w14:paraId="21330D3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nil"/>
              <w:left w:val="single" w:color="auto" w:sz="4" w:space="0"/>
              <w:bottom w:val="single" w:color="auto" w:sz="4" w:space="0"/>
              <w:right w:val="single" w:color="auto" w:sz="4" w:space="0"/>
            </w:tcBorders>
            <w:noWrap w:val="0"/>
            <w:vAlign w:val="center"/>
          </w:tcPr>
          <w:p w14:paraId="55326D6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nil"/>
              <w:left w:val="single" w:color="auto" w:sz="4" w:space="0"/>
              <w:bottom w:val="single" w:color="auto" w:sz="4" w:space="0"/>
              <w:right w:val="single" w:color="auto" w:sz="4" w:space="0"/>
            </w:tcBorders>
            <w:noWrap w:val="0"/>
            <w:vAlign w:val="center"/>
          </w:tcPr>
          <w:p w14:paraId="17D3BA32">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3135F787">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7AD15D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1DBF22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996D07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09DEE7D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0D529FA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71E3F0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642479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38618DF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6315B72D">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B818039">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8181B4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45C064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39301F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7E7620D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22B3E7B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032F56E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60ACDBF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1172C55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37A01DC0">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6128754F">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61FC17F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1C45B9F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9CDB44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368138A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6DD14FA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E6D1F5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1531271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D9C78B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D5D574E">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ADD7F76">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002BC54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33E04AF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3416C12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198707B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353F6AE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759531A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3ABE0DE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7A8E4221">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6F49280F">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552F7A9">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6E8E6B1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06AC87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5173D3B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1F1CA39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427D39E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5A42B51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50D8972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651334A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3ABCEA1C">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02B4C273">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19BBA8A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33C05C9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6F1D0EB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12EC22FD">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03EDF81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1C07600E">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576653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2866F36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57A75B75">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730D97FF">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28898E4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3BDE42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022A71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5661E70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34B4E14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2D9E488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19AB115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343763A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2237EEAA">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16D88D60">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08CE1E2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464EB14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B4BE45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3B876349">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47B92FD2">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65097F83">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0277447A">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58A9AFB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45C00C78">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5B8343D9">
        <w:tblPrEx>
          <w:tblCellMar>
            <w:top w:w="0" w:type="dxa"/>
            <w:left w:w="108" w:type="dxa"/>
            <w:bottom w:w="0" w:type="dxa"/>
            <w:right w:w="108" w:type="dxa"/>
          </w:tblCellMar>
        </w:tblPrEx>
        <w:trPr>
          <w:trHeight w:val="545"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6358FBE0">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4C5D21D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3E163C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4C58239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7BDA73EC">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68E2D70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649FD5F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1910736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7D8971D6">
            <w:pPr>
              <w:autoSpaceDE w:val="0"/>
              <w:autoSpaceDN w:val="0"/>
              <w:adjustRightInd w:val="0"/>
              <w:jc w:val="center"/>
              <w:rPr>
                <w:rFonts w:hint="eastAsia" w:ascii="宋体" w:hAnsi="宋体" w:eastAsia="宋体" w:cs="宋体"/>
                <w:i w:val="0"/>
                <w:iCs w:val="0"/>
                <w:color w:val="auto"/>
                <w:kern w:val="0"/>
                <w:sz w:val="21"/>
                <w:szCs w:val="21"/>
                <w:highlight w:val="none"/>
              </w:rPr>
            </w:pPr>
          </w:p>
        </w:tc>
      </w:tr>
      <w:tr w14:paraId="2E59448A">
        <w:tblPrEx>
          <w:tblCellMar>
            <w:top w:w="0" w:type="dxa"/>
            <w:left w:w="108" w:type="dxa"/>
            <w:bottom w:w="0" w:type="dxa"/>
            <w:right w:w="108" w:type="dxa"/>
          </w:tblCellMar>
        </w:tblPrEx>
        <w:trPr>
          <w:trHeight w:val="573" w:hRule="atLeast"/>
        </w:trPr>
        <w:tc>
          <w:tcPr>
            <w:tcW w:w="720" w:type="dxa"/>
            <w:tcBorders>
              <w:top w:val="single" w:color="auto" w:sz="4" w:space="0"/>
              <w:left w:val="single" w:color="auto" w:sz="4" w:space="0"/>
              <w:bottom w:val="single" w:color="auto" w:sz="4" w:space="0"/>
              <w:right w:val="single" w:color="auto" w:sz="4" w:space="0"/>
            </w:tcBorders>
            <w:noWrap w:val="0"/>
            <w:vAlign w:val="center"/>
          </w:tcPr>
          <w:p w14:paraId="011E43FF">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7EA4352B">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721" w:type="dxa"/>
            <w:tcBorders>
              <w:top w:val="single" w:color="auto" w:sz="4" w:space="0"/>
              <w:left w:val="single" w:color="auto" w:sz="4" w:space="0"/>
              <w:bottom w:val="single" w:color="auto" w:sz="4" w:space="0"/>
              <w:right w:val="single" w:color="auto" w:sz="4" w:space="0"/>
            </w:tcBorders>
            <w:noWrap w:val="0"/>
            <w:vAlign w:val="center"/>
          </w:tcPr>
          <w:p w14:paraId="0E3AA148">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center"/>
          </w:tcPr>
          <w:p w14:paraId="63464D1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902" w:type="dxa"/>
            <w:tcBorders>
              <w:top w:val="single" w:color="auto" w:sz="4" w:space="0"/>
              <w:left w:val="single" w:color="auto" w:sz="4" w:space="0"/>
              <w:bottom w:val="single" w:color="auto" w:sz="4" w:space="0"/>
              <w:right w:val="single" w:color="auto" w:sz="4" w:space="0"/>
            </w:tcBorders>
            <w:noWrap w:val="0"/>
            <w:vAlign w:val="center"/>
          </w:tcPr>
          <w:p w14:paraId="15C69404">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50" w:type="dxa"/>
            <w:tcBorders>
              <w:top w:val="single" w:color="auto" w:sz="4" w:space="0"/>
              <w:left w:val="single" w:color="auto" w:sz="4" w:space="0"/>
              <w:bottom w:val="single" w:color="auto" w:sz="4" w:space="0"/>
              <w:right w:val="single" w:color="auto" w:sz="4" w:space="0"/>
            </w:tcBorders>
            <w:noWrap w:val="0"/>
            <w:vAlign w:val="center"/>
          </w:tcPr>
          <w:p w14:paraId="463E8327">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066" w:type="dxa"/>
            <w:tcBorders>
              <w:top w:val="single" w:color="auto" w:sz="4" w:space="0"/>
              <w:left w:val="single" w:color="auto" w:sz="4" w:space="0"/>
              <w:bottom w:val="single" w:color="auto" w:sz="4" w:space="0"/>
              <w:right w:val="single" w:color="auto" w:sz="4" w:space="0"/>
            </w:tcBorders>
            <w:noWrap w:val="0"/>
            <w:vAlign w:val="center"/>
          </w:tcPr>
          <w:p w14:paraId="446C8E05">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434" w:type="dxa"/>
            <w:tcBorders>
              <w:top w:val="single" w:color="auto" w:sz="4" w:space="0"/>
              <w:left w:val="single" w:color="auto" w:sz="4" w:space="0"/>
              <w:bottom w:val="single" w:color="auto" w:sz="4" w:space="0"/>
              <w:right w:val="single" w:color="auto" w:sz="4" w:space="0"/>
            </w:tcBorders>
            <w:noWrap w:val="0"/>
            <w:vAlign w:val="center"/>
          </w:tcPr>
          <w:p w14:paraId="01D67F86">
            <w:pPr>
              <w:autoSpaceDE w:val="0"/>
              <w:autoSpaceDN w:val="0"/>
              <w:adjustRightInd w:val="0"/>
              <w:jc w:val="center"/>
              <w:rPr>
                <w:rFonts w:hint="eastAsia" w:ascii="宋体" w:hAnsi="宋体" w:eastAsia="宋体" w:cs="宋体"/>
                <w:i w:val="0"/>
                <w:iCs w:val="0"/>
                <w:color w:val="auto"/>
                <w:kern w:val="0"/>
                <w:sz w:val="21"/>
                <w:szCs w:val="21"/>
                <w:highlight w:val="none"/>
              </w:rPr>
            </w:pPr>
          </w:p>
        </w:tc>
        <w:tc>
          <w:tcPr>
            <w:tcW w:w="1138" w:type="dxa"/>
            <w:tcBorders>
              <w:top w:val="single" w:color="auto" w:sz="4" w:space="0"/>
              <w:left w:val="single" w:color="auto" w:sz="4" w:space="0"/>
              <w:bottom w:val="single" w:color="auto" w:sz="4" w:space="0"/>
              <w:right w:val="single" w:color="auto" w:sz="4" w:space="0"/>
            </w:tcBorders>
            <w:noWrap w:val="0"/>
            <w:vAlign w:val="center"/>
          </w:tcPr>
          <w:p w14:paraId="7350079A">
            <w:pPr>
              <w:autoSpaceDE w:val="0"/>
              <w:autoSpaceDN w:val="0"/>
              <w:adjustRightInd w:val="0"/>
              <w:jc w:val="center"/>
              <w:rPr>
                <w:rFonts w:hint="eastAsia" w:ascii="宋体" w:hAnsi="宋体" w:eastAsia="宋体" w:cs="宋体"/>
                <w:i w:val="0"/>
                <w:iCs w:val="0"/>
                <w:color w:val="auto"/>
                <w:kern w:val="0"/>
                <w:sz w:val="21"/>
                <w:szCs w:val="21"/>
                <w:highlight w:val="none"/>
              </w:rPr>
            </w:pPr>
          </w:p>
        </w:tc>
      </w:tr>
    </w:tbl>
    <w:p w14:paraId="5DF1212C">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FA60112">
      <w:pPr>
        <w:pStyle w:val="4"/>
        <w:keepNext/>
        <w:keepLines/>
        <w:pageBreakBefore w:val="0"/>
        <w:widowControl w:val="0"/>
        <w:tabs>
          <w:tab w:val="left" w:pos="1152"/>
          <w:tab w:val="left" w:pos="1440"/>
        </w:tabs>
        <w:kinsoku/>
        <w:wordWrap/>
        <w:overflowPunct/>
        <w:topLinePunct w:val="0"/>
        <w:autoSpaceDE/>
        <w:autoSpaceDN/>
        <w:bidi w:val="0"/>
        <w:adjustRightInd w:val="0"/>
        <w:snapToGrid w:val="0"/>
        <w:spacing w:line="317" w:lineRule="auto"/>
        <w:ind w:left="1151" w:hanging="1151"/>
        <w:jc w:val="center"/>
        <w:textAlignment w:val="auto"/>
        <w:outlineLvl w:val="2"/>
        <w:rPr>
          <w:rFonts w:hint="eastAsia" w:ascii="宋体" w:hAnsi="宋体" w:eastAsia="宋体" w:cs="宋体"/>
          <w:b/>
          <w:i w:val="0"/>
          <w:iCs w:val="0"/>
          <w:color w:val="auto"/>
          <w:kern w:val="0"/>
          <w:sz w:val="21"/>
          <w:szCs w:val="21"/>
          <w:highlight w:val="none"/>
          <w:lang w:val="en-US" w:eastAsia="zh-CN" w:bidi="ar-SA"/>
        </w:rPr>
      </w:pPr>
      <w:r>
        <w:rPr>
          <w:rFonts w:hint="eastAsia" w:ascii="宋体" w:hAnsi="宋体" w:eastAsia="宋体" w:cs="宋体"/>
          <w:b/>
          <w:i w:val="0"/>
          <w:iCs w:val="0"/>
          <w:color w:val="auto"/>
          <w:kern w:val="0"/>
          <w:sz w:val="21"/>
          <w:szCs w:val="21"/>
          <w:highlight w:val="none"/>
          <w:lang w:val="en-US" w:eastAsia="zh-CN" w:bidi="ar-SA"/>
        </w:rPr>
        <w:t>（五）主要人员简历表</w:t>
      </w:r>
    </w:p>
    <w:p w14:paraId="5DE3AB9D">
      <w:pPr>
        <w:spacing w:line="420" w:lineRule="exact"/>
        <w:ind w:firstLine="420" w:firstLineChars="2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shd w:val="clear" w:color="auto" w:fill="FFFFFF"/>
        </w:rPr>
        <w:t>项目经理应附</w:t>
      </w:r>
      <w:r>
        <w:rPr>
          <w:rFonts w:hint="eastAsia" w:ascii="宋体" w:hAnsi="宋体" w:eastAsia="宋体" w:cs="宋体"/>
          <w:i w:val="0"/>
          <w:iCs w:val="0"/>
          <w:color w:val="auto"/>
          <w:sz w:val="21"/>
          <w:szCs w:val="21"/>
          <w:highlight w:val="none"/>
          <w:shd w:val="clear" w:color="auto" w:fill="FFFFFF"/>
          <w:lang w:val="en-US" w:eastAsia="zh-CN"/>
        </w:rPr>
        <w:t>身份证、毕业证、</w:t>
      </w:r>
      <w:r>
        <w:rPr>
          <w:rFonts w:hint="eastAsia" w:ascii="宋体" w:hAnsi="宋体" w:eastAsia="宋体" w:cs="宋体"/>
          <w:i w:val="0"/>
          <w:iCs w:val="0"/>
          <w:color w:val="auto"/>
          <w:sz w:val="21"/>
          <w:szCs w:val="21"/>
          <w:highlight w:val="none"/>
          <w:shd w:val="clear" w:color="auto" w:fill="FFFFFF"/>
        </w:rPr>
        <w:t>建造师注册证书、安全生产考核合格证书、社保证明复印件，无在建承诺书等证明材料。</w:t>
      </w:r>
    </w:p>
    <w:tbl>
      <w:tblPr>
        <w:tblStyle w:val="17"/>
        <w:tblW w:w="0" w:type="auto"/>
        <w:tblInd w:w="42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2"/>
        <w:gridCol w:w="969"/>
        <w:gridCol w:w="1042"/>
        <w:gridCol w:w="1194"/>
        <w:gridCol w:w="1726"/>
        <w:gridCol w:w="620"/>
        <w:gridCol w:w="2003"/>
      </w:tblGrid>
      <w:tr w14:paraId="05942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59BC4767">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姓名</w:t>
            </w:r>
          </w:p>
        </w:tc>
        <w:tc>
          <w:tcPr>
            <w:tcW w:w="969" w:type="dxa"/>
            <w:tcBorders>
              <w:top w:val="single" w:color="auto" w:sz="4" w:space="0"/>
              <w:left w:val="single" w:color="auto" w:sz="4" w:space="0"/>
              <w:bottom w:val="single" w:color="auto" w:sz="4" w:space="0"/>
              <w:right w:val="single" w:color="auto" w:sz="4" w:space="0"/>
            </w:tcBorders>
            <w:noWrap w:val="0"/>
            <w:vAlign w:val="center"/>
          </w:tcPr>
          <w:p w14:paraId="046789C1">
            <w:pPr>
              <w:jc w:val="center"/>
              <w:rPr>
                <w:rFonts w:hint="eastAsia" w:ascii="宋体" w:hAnsi="宋体" w:eastAsia="宋体" w:cs="宋体"/>
                <w:i w:val="0"/>
                <w:iCs w:val="0"/>
                <w:color w:val="auto"/>
                <w:sz w:val="21"/>
                <w:szCs w:val="21"/>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0C8777B6">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年龄</w:t>
            </w:r>
          </w:p>
        </w:tc>
        <w:tc>
          <w:tcPr>
            <w:tcW w:w="1194" w:type="dxa"/>
            <w:tcBorders>
              <w:top w:val="single" w:color="auto" w:sz="4" w:space="0"/>
              <w:left w:val="single" w:color="auto" w:sz="4" w:space="0"/>
              <w:bottom w:val="single" w:color="auto" w:sz="4" w:space="0"/>
              <w:right w:val="single" w:color="auto" w:sz="4" w:space="0"/>
            </w:tcBorders>
            <w:noWrap w:val="0"/>
            <w:vAlign w:val="center"/>
          </w:tcPr>
          <w:p w14:paraId="4CA6E145">
            <w:pPr>
              <w:jc w:val="center"/>
              <w:rPr>
                <w:rFonts w:hint="eastAsia" w:ascii="宋体" w:hAnsi="宋体" w:eastAsia="宋体" w:cs="宋体"/>
                <w:i w:val="0"/>
                <w:iCs w:val="0"/>
                <w:color w:val="auto"/>
                <w:sz w:val="21"/>
                <w:szCs w:val="21"/>
                <w:highlight w:val="none"/>
              </w:rPr>
            </w:pPr>
          </w:p>
        </w:tc>
        <w:tc>
          <w:tcPr>
            <w:tcW w:w="1726" w:type="dxa"/>
            <w:tcBorders>
              <w:top w:val="single" w:color="auto" w:sz="4" w:space="0"/>
              <w:left w:val="single" w:color="auto" w:sz="4" w:space="0"/>
              <w:bottom w:val="single" w:color="auto" w:sz="4" w:space="0"/>
              <w:right w:val="single" w:color="auto" w:sz="4" w:space="0"/>
            </w:tcBorders>
            <w:noWrap w:val="0"/>
            <w:vAlign w:val="center"/>
          </w:tcPr>
          <w:p w14:paraId="2F0C491F">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学历</w:t>
            </w:r>
          </w:p>
        </w:tc>
        <w:tc>
          <w:tcPr>
            <w:tcW w:w="2623" w:type="dxa"/>
            <w:gridSpan w:val="2"/>
            <w:tcBorders>
              <w:top w:val="single" w:color="auto" w:sz="4" w:space="0"/>
              <w:left w:val="single" w:color="auto" w:sz="4" w:space="0"/>
              <w:bottom w:val="single" w:color="auto" w:sz="4" w:space="0"/>
              <w:right w:val="single" w:color="auto" w:sz="4" w:space="0"/>
            </w:tcBorders>
            <w:noWrap w:val="0"/>
            <w:vAlign w:val="center"/>
          </w:tcPr>
          <w:p w14:paraId="3CC4B883">
            <w:pPr>
              <w:jc w:val="center"/>
              <w:rPr>
                <w:rFonts w:hint="eastAsia" w:ascii="宋体" w:hAnsi="宋体" w:eastAsia="宋体" w:cs="宋体"/>
                <w:i w:val="0"/>
                <w:iCs w:val="0"/>
                <w:color w:val="auto"/>
                <w:sz w:val="21"/>
                <w:szCs w:val="21"/>
                <w:highlight w:val="none"/>
              </w:rPr>
            </w:pPr>
          </w:p>
        </w:tc>
      </w:tr>
      <w:tr w14:paraId="5DCB4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61C1659B">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职称</w:t>
            </w:r>
          </w:p>
        </w:tc>
        <w:tc>
          <w:tcPr>
            <w:tcW w:w="969" w:type="dxa"/>
            <w:tcBorders>
              <w:top w:val="single" w:color="auto" w:sz="4" w:space="0"/>
              <w:left w:val="single" w:color="auto" w:sz="4" w:space="0"/>
              <w:bottom w:val="single" w:color="auto" w:sz="4" w:space="0"/>
              <w:right w:val="single" w:color="auto" w:sz="4" w:space="0"/>
            </w:tcBorders>
            <w:noWrap w:val="0"/>
            <w:vAlign w:val="center"/>
          </w:tcPr>
          <w:p w14:paraId="4F272D50">
            <w:pPr>
              <w:jc w:val="center"/>
              <w:rPr>
                <w:rFonts w:hint="eastAsia" w:ascii="宋体" w:hAnsi="宋体" w:eastAsia="宋体" w:cs="宋体"/>
                <w:i w:val="0"/>
                <w:iCs w:val="0"/>
                <w:color w:val="auto"/>
                <w:sz w:val="21"/>
                <w:szCs w:val="21"/>
                <w:highlight w:val="none"/>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14:paraId="7F02076B">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职务</w:t>
            </w:r>
          </w:p>
        </w:tc>
        <w:tc>
          <w:tcPr>
            <w:tcW w:w="1194" w:type="dxa"/>
            <w:tcBorders>
              <w:top w:val="single" w:color="auto" w:sz="4" w:space="0"/>
              <w:left w:val="single" w:color="auto" w:sz="4" w:space="0"/>
              <w:bottom w:val="single" w:color="auto" w:sz="4" w:space="0"/>
              <w:right w:val="single" w:color="auto" w:sz="4" w:space="0"/>
            </w:tcBorders>
            <w:noWrap w:val="0"/>
            <w:vAlign w:val="center"/>
          </w:tcPr>
          <w:p w14:paraId="6F37A114">
            <w:pPr>
              <w:jc w:val="center"/>
              <w:rPr>
                <w:rFonts w:hint="eastAsia" w:ascii="宋体" w:hAnsi="宋体" w:eastAsia="宋体" w:cs="宋体"/>
                <w:i w:val="0"/>
                <w:iCs w:val="0"/>
                <w:color w:val="auto"/>
                <w:sz w:val="21"/>
                <w:szCs w:val="21"/>
                <w:highlight w:val="none"/>
              </w:rPr>
            </w:pPr>
          </w:p>
        </w:tc>
        <w:tc>
          <w:tcPr>
            <w:tcW w:w="1726" w:type="dxa"/>
            <w:tcBorders>
              <w:top w:val="single" w:color="auto" w:sz="4" w:space="0"/>
              <w:left w:val="single" w:color="auto" w:sz="4" w:space="0"/>
              <w:bottom w:val="single" w:color="auto" w:sz="4" w:space="0"/>
              <w:right w:val="single" w:color="auto" w:sz="4" w:space="0"/>
            </w:tcBorders>
            <w:noWrap w:val="0"/>
            <w:vAlign w:val="center"/>
          </w:tcPr>
          <w:p w14:paraId="6FF8BA47">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拟在本工程任职</w:t>
            </w:r>
          </w:p>
        </w:tc>
        <w:tc>
          <w:tcPr>
            <w:tcW w:w="2623" w:type="dxa"/>
            <w:gridSpan w:val="2"/>
            <w:tcBorders>
              <w:top w:val="single" w:color="auto" w:sz="4" w:space="0"/>
              <w:left w:val="single" w:color="auto" w:sz="4" w:space="0"/>
              <w:bottom w:val="single" w:color="auto" w:sz="4" w:space="0"/>
              <w:right w:val="single" w:color="auto" w:sz="4" w:space="0"/>
            </w:tcBorders>
            <w:noWrap w:val="0"/>
            <w:vAlign w:val="center"/>
          </w:tcPr>
          <w:p w14:paraId="07BA1347">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项目经理</w:t>
            </w:r>
          </w:p>
        </w:tc>
      </w:tr>
      <w:tr w14:paraId="44E4C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3033" w:type="dxa"/>
            <w:gridSpan w:val="3"/>
            <w:tcBorders>
              <w:top w:val="single" w:color="auto" w:sz="4" w:space="0"/>
              <w:left w:val="single" w:color="auto" w:sz="4" w:space="0"/>
              <w:bottom w:val="single" w:color="auto" w:sz="4" w:space="0"/>
              <w:right w:val="single" w:color="auto" w:sz="4" w:space="0"/>
            </w:tcBorders>
            <w:noWrap w:val="0"/>
            <w:vAlign w:val="center"/>
          </w:tcPr>
          <w:p w14:paraId="2F74DE77">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注册建造师执业资格等级</w:t>
            </w:r>
          </w:p>
        </w:tc>
        <w:tc>
          <w:tcPr>
            <w:tcW w:w="1194" w:type="dxa"/>
            <w:tcBorders>
              <w:top w:val="single" w:color="auto" w:sz="4" w:space="0"/>
              <w:left w:val="single" w:color="auto" w:sz="4" w:space="0"/>
              <w:bottom w:val="single" w:color="auto" w:sz="4" w:space="0"/>
              <w:right w:val="single" w:color="auto" w:sz="4" w:space="0"/>
            </w:tcBorders>
            <w:noWrap w:val="0"/>
            <w:vAlign w:val="center"/>
          </w:tcPr>
          <w:p w14:paraId="1C295113">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级</w:t>
            </w:r>
          </w:p>
        </w:tc>
        <w:tc>
          <w:tcPr>
            <w:tcW w:w="1726" w:type="dxa"/>
            <w:tcBorders>
              <w:top w:val="single" w:color="auto" w:sz="4" w:space="0"/>
              <w:left w:val="single" w:color="auto" w:sz="4" w:space="0"/>
              <w:bottom w:val="single" w:color="auto" w:sz="4" w:space="0"/>
              <w:right w:val="single" w:color="auto" w:sz="4" w:space="0"/>
            </w:tcBorders>
            <w:noWrap w:val="0"/>
            <w:vAlign w:val="center"/>
          </w:tcPr>
          <w:p w14:paraId="5A775DF2">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建造师专业</w:t>
            </w:r>
          </w:p>
        </w:tc>
        <w:tc>
          <w:tcPr>
            <w:tcW w:w="2623" w:type="dxa"/>
            <w:gridSpan w:val="2"/>
            <w:tcBorders>
              <w:top w:val="single" w:color="auto" w:sz="4" w:space="0"/>
              <w:left w:val="single" w:color="auto" w:sz="4" w:space="0"/>
              <w:bottom w:val="single" w:color="auto" w:sz="4" w:space="0"/>
              <w:right w:val="single" w:color="auto" w:sz="4" w:space="0"/>
            </w:tcBorders>
            <w:noWrap w:val="0"/>
            <w:vAlign w:val="center"/>
          </w:tcPr>
          <w:p w14:paraId="4CC99287">
            <w:pPr>
              <w:jc w:val="center"/>
              <w:rPr>
                <w:rFonts w:hint="eastAsia" w:ascii="宋体" w:hAnsi="宋体" w:eastAsia="宋体" w:cs="宋体"/>
                <w:i w:val="0"/>
                <w:iCs w:val="0"/>
                <w:color w:val="auto"/>
                <w:sz w:val="21"/>
                <w:szCs w:val="21"/>
                <w:highlight w:val="none"/>
              </w:rPr>
            </w:pPr>
          </w:p>
        </w:tc>
      </w:tr>
      <w:tr w14:paraId="38E39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576" w:type="dxa"/>
            <w:gridSpan w:val="7"/>
            <w:tcBorders>
              <w:top w:val="single" w:color="auto" w:sz="4" w:space="0"/>
              <w:left w:val="single" w:color="auto" w:sz="4" w:space="0"/>
              <w:bottom w:val="single" w:color="auto" w:sz="4" w:space="0"/>
              <w:right w:val="single" w:color="auto" w:sz="4" w:space="0"/>
            </w:tcBorders>
            <w:noWrap w:val="0"/>
            <w:vAlign w:val="center"/>
          </w:tcPr>
          <w:p w14:paraId="7900C795">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主要工作经历</w:t>
            </w:r>
          </w:p>
        </w:tc>
      </w:tr>
      <w:tr w14:paraId="5E1ED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03B6EF6C">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时间</w:t>
            </w: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459F1C52">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参加过的类似项目名称</w:t>
            </w: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6F041800">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工程概况说明</w:t>
            </w:r>
          </w:p>
        </w:tc>
        <w:tc>
          <w:tcPr>
            <w:tcW w:w="2003" w:type="dxa"/>
            <w:tcBorders>
              <w:top w:val="single" w:color="auto" w:sz="4" w:space="0"/>
              <w:left w:val="single" w:color="auto" w:sz="4" w:space="0"/>
              <w:bottom w:val="single" w:color="auto" w:sz="4" w:space="0"/>
              <w:right w:val="single" w:color="auto" w:sz="4" w:space="0"/>
            </w:tcBorders>
            <w:noWrap w:val="0"/>
            <w:vAlign w:val="center"/>
          </w:tcPr>
          <w:p w14:paraId="6FECE44E">
            <w:pPr>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完成时间</w:t>
            </w:r>
          </w:p>
        </w:tc>
      </w:tr>
      <w:tr w14:paraId="0D781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622B2538">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64A2B571">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460B49DE">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0BAB3772">
            <w:pPr>
              <w:jc w:val="center"/>
              <w:rPr>
                <w:rFonts w:hint="eastAsia" w:ascii="宋体" w:hAnsi="宋体" w:eastAsia="宋体" w:cs="宋体"/>
                <w:i w:val="0"/>
                <w:iCs w:val="0"/>
                <w:color w:val="auto"/>
                <w:sz w:val="21"/>
                <w:szCs w:val="21"/>
                <w:highlight w:val="none"/>
              </w:rPr>
            </w:pPr>
          </w:p>
        </w:tc>
      </w:tr>
      <w:tr w14:paraId="3D796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4CB716F9">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49DABF5B">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63593C20">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67A3A2A7">
            <w:pPr>
              <w:jc w:val="center"/>
              <w:rPr>
                <w:rFonts w:hint="eastAsia" w:ascii="宋体" w:hAnsi="宋体" w:eastAsia="宋体" w:cs="宋体"/>
                <w:i w:val="0"/>
                <w:iCs w:val="0"/>
                <w:color w:val="auto"/>
                <w:sz w:val="21"/>
                <w:szCs w:val="21"/>
                <w:highlight w:val="none"/>
              </w:rPr>
            </w:pPr>
          </w:p>
        </w:tc>
      </w:tr>
      <w:tr w14:paraId="40770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5991D9BC">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1A0C2BFC">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2A0C157F">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72816C9C">
            <w:pPr>
              <w:jc w:val="center"/>
              <w:rPr>
                <w:rFonts w:hint="eastAsia" w:ascii="宋体" w:hAnsi="宋体" w:eastAsia="宋体" w:cs="宋体"/>
                <w:i w:val="0"/>
                <w:iCs w:val="0"/>
                <w:color w:val="auto"/>
                <w:sz w:val="21"/>
                <w:szCs w:val="21"/>
                <w:highlight w:val="none"/>
              </w:rPr>
            </w:pPr>
          </w:p>
        </w:tc>
      </w:tr>
      <w:tr w14:paraId="40638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27CA1D43">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029C24FC">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22491899">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4A2758CF">
            <w:pPr>
              <w:jc w:val="center"/>
              <w:rPr>
                <w:rFonts w:hint="eastAsia" w:ascii="宋体" w:hAnsi="宋体" w:eastAsia="宋体" w:cs="宋体"/>
                <w:i w:val="0"/>
                <w:iCs w:val="0"/>
                <w:color w:val="auto"/>
                <w:sz w:val="21"/>
                <w:szCs w:val="21"/>
                <w:highlight w:val="none"/>
              </w:rPr>
            </w:pPr>
          </w:p>
        </w:tc>
      </w:tr>
      <w:tr w14:paraId="0B1BD7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7D64612A">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4504777B">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16D580C8">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1114385F">
            <w:pPr>
              <w:jc w:val="center"/>
              <w:rPr>
                <w:rFonts w:hint="eastAsia" w:ascii="宋体" w:hAnsi="宋体" w:eastAsia="宋体" w:cs="宋体"/>
                <w:i w:val="0"/>
                <w:iCs w:val="0"/>
                <w:color w:val="auto"/>
                <w:sz w:val="21"/>
                <w:szCs w:val="21"/>
                <w:highlight w:val="none"/>
              </w:rPr>
            </w:pPr>
          </w:p>
        </w:tc>
      </w:tr>
      <w:tr w14:paraId="5CFBD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065CCA63">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65A6846A">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1355CE26">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555AC29F">
            <w:pPr>
              <w:jc w:val="center"/>
              <w:rPr>
                <w:rFonts w:hint="eastAsia" w:ascii="宋体" w:hAnsi="宋体" w:eastAsia="宋体" w:cs="宋体"/>
                <w:i w:val="0"/>
                <w:iCs w:val="0"/>
                <w:color w:val="auto"/>
                <w:sz w:val="21"/>
                <w:szCs w:val="21"/>
                <w:highlight w:val="none"/>
              </w:rPr>
            </w:pPr>
          </w:p>
        </w:tc>
      </w:tr>
      <w:tr w14:paraId="44D72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4F069316">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74C51C76">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6574C14A">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47AFEAD4">
            <w:pPr>
              <w:jc w:val="center"/>
              <w:rPr>
                <w:rFonts w:hint="eastAsia" w:ascii="宋体" w:hAnsi="宋体" w:eastAsia="宋体" w:cs="宋体"/>
                <w:i w:val="0"/>
                <w:iCs w:val="0"/>
                <w:color w:val="auto"/>
                <w:sz w:val="21"/>
                <w:szCs w:val="21"/>
                <w:highlight w:val="none"/>
              </w:rPr>
            </w:pPr>
          </w:p>
        </w:tc>
      </w:tr>
      <w:tr w14:paraId="478E3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4D67F7BF">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0078D082">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6749ADB9">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7BD935B4">
            <w:pPr>
              <w:jc w:val="center"/>
              <w:rPr>
                <w:rFonts w:hint="eastAsia" w:ascii="宋体" w:hAnsi="宋体" w:eastAsia="宋体" w:cs="宋体"/>
                <w:i w:val="0"/>
                <w:iCs w:val="0"/>
                <w:color w:val="auto"/>
                <w:sz w:val="21"/>
                <w:szCs w:val="21"/>
                <w:highlight w:val="none"/>
              </w:rPr>
            </w:pPr>
          </w:p>
        </w:tc>
      </w:tr>
      <w:tr w14:paraId="50A0B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0EB643A3">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630A80F7">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4915CB7A">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23244CEC">
            <w:pPr>
              <w:jc w:val="center"/>
              <w:rPr>
                <w:rFonts w:hint="eastAsia" w:ascii="宋体" w:hAnsi="宋体" w:eastAsia="宋体" w:cs="宋体"/>
                <w:i w:val="0"/>
                <w:iCs w:val="0"/>
                <w:color w:val="auto"/>
                <w:sz w:val="21"/>
                <w:szCs w:val="21"/>
                <w:highlight w:val="none"/>
              </w:rPr>
            </w:pPr>
          </w:p>
        </w:tc>
      </w:tr>
      <w:tr w14:paraId="3CF55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022" w:type="dxa"/>
            <w:tcBorders>
              <w:top w:val="single" w:color="auto" w:sz="4" w:space="0"/>
              <w:left w:val="single" w:color="auto" w:sz="4" w:space="0"/>
              <w:bottom w:val="single" w:color="auto" w:sz="4" w:space="0"/>
              <w:right w:val="single" w:color="auto" w:sz="4" w:space="0"/>
            </w:tcBorders>
            <w:noWrap w:val="0"/>
            <w:vAlign w:val="center"/>
          </w:tcPr>
          <w:p w14:paraId="523A8278">
            <w:pPr>
              <w:jc w:val="center"/>
              <w:rPr>
                <w:rFonts w:hint="eastAsia" w:ascii="宋体" w:hAnsi="宋体" w:eastAsia="宋体" w:cs="宋体"/>
                <w:i w:val="0"/>
                <w:iCs w:val="0"/>
                <w:color w:val="auto"/>
                <w:sz w:val="21"/>
                <w:szCs w:val="21"/>
                <w:highlight w:val="none"/>
              </w:rPr>
            </w:pPr>
          </w:p>
        </w:tc>
        <w:tc>
          <w:tcPr>
            <w:tcW w:w="3205" w:type="dxa"/>
            <w:gridSpan w:val="3"/>
            <w:tcBorders>
              <w:top w:val="single" w:color="auto" w:sz="4" w:space="0"/>
              <w:left w:val="single" w:color="auto" w:sz="4" w:space="0"/>
              <w:bottom w:val="single" w:color="auto" w:sz="4" w:space="0"/>
              <w:right w:val="single" w:color="auto" w:sz="4" w:space="0"/>
            </w:tcBorders>
            <w:noWrap w:val="0"/>
            <w:vAlign w:val="center"/>
          </w:tcPr>
          <w:p w14:paraId="4D197ED4">
            <w:pPr>
              <w:jc w:val="center"/>
              <w:rPr>
                <w:rFonts w:hint="eastAsia" w:ascii="宋体" w:hAnsi="宋体" w:eastAsia="宋体" w:cs="宋体"/>
                <w:i w:val="0"/>
                <w:iCs w:val="0"/>
                <w:color w:val="auto"/>
                <w:sz w:val="21"/>
                <w:szCs w:val="21"/>
                <w:highlight w:val="none"/>
              </w:rPr>
            </w:pPr>
          </w:p>
        </w:tc>
        <w:tc>
          <w:tcPr>
            <w:tcW w:w="2346" w:type="dxa"/>
            <w:gridSpan w:val="2"/>
            <w:tcBorders>
              <w:top w:val="single" w:color="auto" w:sz="4" w:space="0"/>
              <w:left w:val="single" w:color="auto" w:sz="4" w:space="0"/>
              <w:bottom w:val="single" w:color="auto" w:sz="4" w:space="0"/>
              <w:right w:val="single" w:color="auto" w:sz="4" w:space="0"/>
            </w:tcBorders>
            <w:noWrap w:val="0"/>
            <w:vAlign w:val="center"/>
          </w:tcPr>
          <w:p w14:paraId="118310C4">
            <w:pPr>
              <w:jc w:val="center"/>
              <w:rPr>
                <w:rFonts w:hint="eastAsia" w:ascii="宋体" w:hAnsi="宋体" w:eastAsia="宋体" w:cs="宋体"/>
                <w:i w:val="0"/>
                <w:iCs w:val="0"/>
                <w:color w:val="auto"/>
                <w:sz w:val="21"/>
                <w:szCs w:val="21"/>
                <w:highlight w:val="none"/>
              </w:rPr>
            </w:pPr>
          </w:p>
        </w:tc>
        <w:tc>
          <w:tcPr>
            <w:tcW w:w="2003" w:type="dxa"/>
            <w:tcBorders>
              <w:top w:val="single" w:color="auto" w:sz="4" w:space="0"/>
              <w:left w:val="single" w:color="auto" w:sz="4" w:space="0"/>
              <w:bottom w:val="single" w:color="auto" w:sz="4" w:space="0"/>
              <w:right w:val="single" w:color="auto" w:sz="4" w:space="0"/>
            </w:tcBorders>
            <w:noWrap w:val="0"/>
            <w:vAlign w:val="center"/>
          </w:tcPr>
          <w:p w14:paraId="3E3D7311">
            <w:pPr>
              <w:jc w:val="center"/>
              <w:rPr>
                <w:rFonts w:hint="eastAsia" w:ascii="宋体" w:hAnsi="宋体" w:eastAsia="宋体" w:cs="宋体"/>
                <w:i w:val="0"/>
                <w:iCs w:val="0"/>
                <w:color w:val="auto"/>
                <w:sz w:val="21"/>
                <w:szCs w:val="21"/>
                <w:highlight w:val="none"/>
              </w:rPr>
            </w:pPr>
          </w:p>
        </w:tc>
      </w:tr>
    </w:tbl>
    <w:p w14:paraId="76C87A3D">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440C45EB">
      <w:pPr>
        <w:spacing w:line="420" w:lineRule="exact"/>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附件：主要项目管理人员简历表</w:t>
      </w:r>
    </w:p>
    <w:p w14:paraId="230D8B04">
      <w:pPr>
        <w:spacing w:line="420" w:lineRule="exact"/>
        <w:ind w:firstLine="420" w:firstLineChars="200"/>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主要项目管理人员</w:t>
      </w:r>
      <w:r>
        <w:rPr>
          <w:rFonts w:hint="eastAsia" w:ascii="宋体" w:hAnsi="宋体" w:eastAsia="宋体" w:cs="宋体"/>
          <w:i w:val="0"/>
          <w:iCs w:val="0"/>
          <w:color w:val="auto"/>
          <w:kern w:val="0"/>
          <w:sz w:val="21"/>
          <w:szCs w:val="21"/>
          <w:highlight w:val="none"/>
        </w:rPr>
        <w:t>应附</w:t>
      </w:r>
      <w:r>
        <w:rPr>
          <w:rFonts w:hint="eastAsia" w:ascii="宋体" w:hAnsi="宋体" w:eastAsia="宋体" w:cs="宋体"/>
          <w:i w:val="0"/>
          <w:iCs w:val="0"/>
          <w:color w:val="auto"/>
          <w:kern w:val="0"/>
          <w:sz w:val="21"/>
          <w:szCs w:val="21"/>
          <w:highlight w:val="none"/>
          <w:lang w:val="en-US" w:eastAsia="zh-CN"/>
        </w:rPr>
        <w:t>身份证、毕业证、</w:t>
      </w:r>
      <w:r>
        <w:rPr>
          <w:rFonts w:hint="eastAsia" w:ascii="宋体" w:hAnsi="宋体" w:eastAsia="宋体" w:cs="宋体"/>
          <w:i w:val="0"/>
          <w:iCs w:val="0"/>
          <w:color w:val="auto"/>
          <w:kern w:val="0"/>
          <w:sz w:val="21"/>
          <w:szCs w:val="21"/>
          <w:highlight w:val="none"/>
        </w:rPr>
        <w:t>职称证或岗位证书、社保证明复印件等证明材料。</w:t>
      </w:r>
    </w:p>
    <w:tbl>
      <w:tblPr>
        <w:tblStyle w:val="17"/>
        <w:tblW w:w="0" w:type="auto"/>
        <w:tblInd w:w="0" w:type="dxa"/>
        <w:tblLayout w:type="fixed"/>
        <w:tblCellMar>
          <w:top w:w="0" w:type="dxa"/>
          <w:left w:w="108" w:type="dxa"/>
          <w:bottom w:w="0" w:type="dxa"/>
          <w:right w:w="108" w:type="dxa"/>
        </w:tblCellMar>
      </w:tblPr>
      <w:tblGrid>
        <w:gridCol w:w="449"/>
        <w:gridCol w:w="1728"/>
        <w:gridCol w:w="2422"/>
        <w:gridCol w:w="1557"/>
        <w:gridCol w:w="3043"/>
      </w:tblGrid>
      <w:tr w14:paraId="10A9EEBA">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06EDBCC2">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岗位名称</w:t>
            </w:r>
          </w:p>
        </w:tc>
        <w:tc>
          <w:tcPr>
            <w:tcW w:w="7022" w:type="dxa"/>
            <w:gridSpan w:val="3"/>
            <w:tcBorders>
              <w:top w:val="single" w:color="auto" w:sz="4" w:space="0"/>
              <w:left w:val="single" w:color="auto" w:sz="4" w:space="0"/>
              <w:bottom w:val="single" w:color="auto" w:sz="4" w:space="0"/>
              <w:right w:val="single" w:color="auto" w:sz="4" w:space="0"/>
            </w:tcBorders>
            <w:noWrap w:val="0"/>
            <w:vAlign w:val="top"/>
          </w:tcPr>
          <w:p w14:paraId="20A5C51A">
            <w:pPr>
              <w:spacing w:line="420" w:lineRule="exact"/>
              <w:jc w:val="center"/>
              <w:rPr>
                <w:rFonts w:hint="eastAsia" w:ascii="宋体" w:hAnsi="宋体" w:eastAsia="宋体" w:cs="宋体"/>
                <w:i w:val="0"/>
                <w:iCs w:val="0"/>
                <w:color w:val="auto"/>
                <w:sz w:val="21"/>
                <w:szCs w:val="21"/>
                <w:highlight w:val="none"/>
              </w:rPr>
            </w:pPr>
          </w:p>
        </w:tc>
      </w:tr>
      <w:tr w14:paraId="33B40496">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5F51F52A">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姓名</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7CA394CC">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75A5D71B">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年龄</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40291042">
            <w:pPr>
              <w:spacing w:line="420" w:lineRule="exact"/>
              <w:rPr>
                <w:rFonts w:hint="eastAsia" w:ascii="宋体" w:hAnsi="宋体" w:eastAsia="宋体" w:cs="宋体"/>
                <w:i w:val="0"/>
                <w:iCs w:val="0"/>
                <w:color w:val="auto"/>
                <w:sz w:val="21"/>
                <w:szCs w:val="21"/>
                <w:highlight w:val="none"/>
              </w:rPr>
            </w:pPr>
          </w:p>
        </w:tc>
      </w:tr>
      <w:tr w14:paraId="7EF89B69">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687A733D">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性别</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12AEBC63">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08BDC23B">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毕业学校</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6C97B6ED">
            <w:pPr>
              <w:spacing w:line="420" w:lineRule="exact"/>
              <w:rPr>
                <w:rFonts w:hint="eastAsia" w:ascii="宋体" w:hAnsi="宋体" w:eastAsia="宋体" w:cs="宋体"/>
                <w:i w:val="0"/>
                <w:iCs w:val="0"/>
                <w:color w:val="auto"/>
                <w:sz w:val="21"/>
                <w:szCs w:val="21"/>
                <w:highlight w:val="none"/>
              </w:rPr>
            </w:pPr>
          </w:p>
        </w:tc>
      </w:tr>
      <w:tr w14:paraId="488E4B53">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6C17AA30">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学历和专业</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01EFDAFE">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0D2C30E1">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毕业时间</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13BFADB4">
            <w:pPr>
              <w:spacing w:line="420" w:lineRule="exact"/>
              <w:rPr>
                <w:rFonts w:hint="eastAsia" w:ascii="宋体" w:hAnsi="宋体" w:eastAsia="宋体" w:cs="宋体"/>
                <w:i w:val="0"/>
                <w:iCs w:val="0"/>
                <w:color w:val="auto"/>
                <w:sz w:val="21"/>
                <w:szCs w:val="21"/>
                <w:highlight w:val="none"/>
              </w:rPr>
            </w:pPr>
          </w:p>
        </w:tc>
      </w:tr>
      <w:tr w14:paraId="360EEE28">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758E73CA">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拥有的执业资格</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7F318F10">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457ED058">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专业职称</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72411E9D">
            <w:pPr>
              <w:spacing w:line="420" w:lineRule="exact"/>
              <w:rPr>
                <w:rFonts w:hint="eastAsia" w:ascii="宋体" w:hAnsi="宋体" w:eastAsia="宋体" w:cs="宋体"/>
                <w:i w:val="0"/>
                <w:iCs w:val="0"/>
                <w:color w:val="auto"/>
                <w:sz w:val="21"/>
                <w:szCs w:val="21"/>
                <w:highlight w:val="none"/>
              </w:rPr>
            </w:pPr>
          </w:p>
        </w:tc>
      </w:tr>
      <w:tr w14:paraId="531EA01A">
        <w:tblPrEx>
          <w:tblCellMar>
            <w:top w:w="0" w:type="dxa"/>
            <w:left w:w="108" w:type="dxa"/>
            <w:bottom w:w="0" w:type="dxa"/>
            <w:right w:w="108" w:type="dxa"/>
          </w:tblCellMar>
        </w:tblPrEx>
        <w:trPr>
          <w:trHeight w:val="425" w:hRule="atLeast"/>
        </w:trPr>
        <w:tc>
          <w:tcPr>
            <w:tcW w:w="2177" w:type="dxa"/>
            <w:gridSpan w:val="2"/>
            <w:tcBorders>
              <w:top w:val="single" w:color="auto" w:sz="4" w:space="0"/>
              <w:left w:val="single" w:color="auto" w:sz="4" w:space="0"/>
              <w:bottom w:val="single" w:color="auto" w:sz="4" w:space="0"/>
              <w:right w:val="single" w:color="auto" w:sz="4" w:space="0"/>
            </w:tcBorders>
            <w:noWrap w:val="0"/>
            <w:vAlign w:val="top"/>
          </w:tcPr>
          <w:p w14:paraId="70B05E34">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执业资格证书编号</w:t>
            </w:r>
          </w:p>
        </w:tc>
        <w:tc>
          <w:tcPr>
            <w:tcW w:w="2422" w:type="dxa"/>
            <w:tcBorders>
              <w:top w:val="single" w:color="auto" w:sz="4" w:space="0"/>
              <w:left w:val="single" w:color="auto" w:sz="4" w:space="0"/>
              <w:bottom w:val="single" w:color="auto" w:sz="4" w:space="0"/>
              <w:right w:val="single" w:color="auto" w:sz="4" w:space="0"/>
            </w:tcBorders>
            <w:noWrap w:val="0"/>
            <w:vAlign w:val="top"/>
          </w:tcPr>
          <w:p w14:paraId="20F003B4">
            <w:pPr>
              <w:spacing w:line="420" w:lineRule="exact"/>
              <w:jc w:val="center"/>
              <w:rPr>
                <w:rFonts w:hint="eastAsia" w:ascii="宋体" w:hAnsi="宋体" w:eastAsia="宋体" w:cs="宋体"/>
                <w:i w:val="0"/>
                <w:iCs w:val="0"/>
                <w:color w:val="auto"/>
                <w:sz w:val="21"/>
                <w:szCs w:val="21"/>
                <w:highlight w:val="none"/>
              </w:rPr>
            </w:pPr>
          </w:p>
        </w:tc>
        <w:tc>
          <w:tcPr>
            <w:tcW w:w="1557" w:type="dxa"/>
            <w:tcBorders>
              <w:top w:val="single" w:color="auto" w:sz="4" w:space="0"/>
              <w:left w:val="single" w:color="auto" w:sz="4" w:space="0"/>
              <w:bottom w:val="single" w:color="auto" w:sz="4" w:space="0"/>
              <w:right w:val="single" w:color="auto" w:sz="4" w:space="0"/>
            </w:tcBorders>
            <w:noWrap w:val="0"/>
            <w:vAlign w:val="top"/>
          </w:tcPr>
          <w:p w14:paraId="7D8EC63A">
            <w:pPr>
              <w:spacing w:line="420" w:lineRule="exact"/>
              <w:jc w:val="cente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工作年限</w:t>
            </w:r>
          </w:p>
        </w:tc>
        <w:tc>
          <w:tcPr>
            <w:tcW w:w="3043" w:type="dxa"/>
            <w:tcBorders>
              <w:top w:val="single" w:color="auto" w:sz="4" w:space="0"/>
              <w:left w:val="single" w:color="auto" w:sz="4" w:space="0"/>
              <w:bottom w:val="single" w:color="auto" w:sz="4" w:space="0"/>
              <w:right w:val="single" w:color="auto" w:sz="4" w:space="0"/>
            </w:tcBorders>
            <w:noWrap w:val="0"/>
            <w:vAlign w:val="top"/>
          </w:tcPr>
          <w:p w14:paraId="6EE8983E">
            <w:pPr>
              <w:spacing w:line="420" w:lineRule="exact"/>
              <w:rPr>
                <w:rFonts w:hint="eastAsia" w:ascii="宋体" w:hAnsi="宋体" w:eastAsia="宋体" w:cs="宋体"/>
                <w:i w:val="0"/>
                <w:iCs w:val="0"/>
                <w:color w:val="auto"/>
                <w:sz w:val="21"/>
                <w:szCs w:val="21"/>
                <w:highlight w:val="none"/>
              </w:rPr>
            </w:pPr>
          </w:p>
        </w:tc>
      </w:tr>
      <w:tr w14:paraId="551F85EA">
        <w:tblPrEx>
          <w:tblCellMar>
            <w:top w:w="0" w:type="dxa"/>
            <w:left w:w="108" w:type="dxa"/>
            <w:bottom w:w="0" w:type="dxa"/>
            <w:right w:w="108" w:type="dxa"/>
          </w:tblCellMar>
        </w:tblPrEx>
        <w:trPr>
          <w:trHeight w:val="5445" w:hRule="atLeast"/>
        </w:trPr>
        <w:tc>
          <w:tcPr>
            <w:tcW w:w="449" w:type="dxa"/>
            <w:tcBorders>
              <w:top w:val="single" w:color="auto" w:sz="4" w:space="0"/>
              <w:left w:val="single" w:color="auto" w:sz="4" w:space="0"/>
              <w:bottom w:val="single" w:color="auto" w:sz="4" w:space="0"/>
              <w:right w:val="single" w:color="auto" w:sz="4" w:space="0"/>
            </w:tcBorders>
            <w:noWrap w:val="0"/>
            <w:vAlign w:val="top"/>
          </w:tcPr>
          <w:p w14:paraId="0EB9F369">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主</w:t>
            </w:r>
          </w:p>
          <w:p w14:paraId="10D88F5C">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要</w:t>
            </w:r>
          </w:p>
          <w:p w14:paraId="285A7393">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工</w:t>
            </w:r>
          </w:p>
          <w:p w14:paraId="2E409B2A">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作</w:t>
            </w:r>
          </w:p>
          <w:p w14:paraId="69A698E3">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业</w:t>
            </w:r>
          </w:p>
          <w:p w14:paraId="41E59FF6">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绩</w:t>
            </w:r>
          </w:p>
          <w:p w14:paraId="4B1FFDDC">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及</w:t>
            </w:r>
          </w:p>
          <w:p w14:paraId="750A220F">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担</w:t>
            </w:r>
          </w:p>
          <w:p w14:paraId="7000D7F4">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任</w:t>
            </w:r>
          </w:p>
          <w:p w14:paraId="3B898628">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的</w:t>
            </w:r>
          </w:p>
          <w:p w14:paraId="47C26127">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主</w:t>
            </w:r>
          </w:p>
          <w:p w14:paraId="65D14901">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要</w:t>
            </w:r>
          </w:p>
          <w:p w14:paraId="33507E50">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工</w:t>
            </w:r>
          </w:p>
          <w:p w14:paraId="2ED6C3B0">
            <w:pPr>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作</w:t>
            </w:r>
          </w:p>
        </w:tc>
        <w:tc>
          <w:tcPr>
            <w:tcW w:w="8750" w:type="dxa"/>
            <w:gridSpan w:val="4"/>
            <w:tcBorders>
              <w:top w:val="single" w:color="auto" w:sz="4" w:space="0"/>
              <w:left w:val="single" w:color="auto" w:sz="4" w:space="0"/>
              <w:bottom w:val="single" w:color="auto" w:sz="4" w:space="0"/>
              <w:right w:val="single" w:color="auto" w:sz="4" w:space="0"/>
            </w:tcBorders>
            <w:noWrap w:val="0"/>
            <w:vAlign w:val="top"/>
          </w:tcPr>
          <w:p w14:paraId="20A5EA3D">
            <w:pPr>
              <w:widowControl/>
              <w:jc w:val="left"/>
              <w:rPr>
                <w:rFonts w:hint="eastAsia" w:ascii="宋体" w:hAnsi="宋体" w:eastAsia="宋体" w:cs="宋体"/>
                <w:i w:val="0"/>
                <w:iCs w:val="0"/>
                <w:color w:val="auto"/>
                <w:sz w:val="21"/>
                <w:szCs w:val="21"/>
                <w:highlight w:val="none"/>
              </w:rPr>
            </w:pPr>
          </w:p>
          <w:p w14:paraId="291BAB6A">
            <w:pPr>
              <w:widowControl/>
              <w:jc w:val="left"/>
              <w:rPr>
                <w:rFonts w:hint="eastAsia" w:ascii="宋体" w:hAnsi="宋体" w:eastAsia="宋体" w:cs="宋体"/>
                <w:i w:val="0"/>
                <w:iCs w:val="0"/>
                <w:color w:val="auto"/>
                <w:sz w:val="21"/>
                <w:szCs w:val="21"/>
                <w:highlight w:val="none"/>
              </w:rPr>
            </w:pPr>
          </w:p>
          <w:p w14:paraId="5912684E">
            <w:pPr>
              <w:widowControl/>
              <w:jc w:val="left"/>
              <w:rPr>
                <w:rFonts w:hint="eastAsia" w:ascii="宋体" w:hAnsi="宋体" w:eastAsia="宋体" w:cs="宋体"/>
                <w:i w:val="0"/>
                <w:iCs w:val="0"/>
                <w:color w:val="auto"/>
                <w:sz w:val="21"/>
                <w:szCs w:val="21"/>
                <w:highlight w:val="none"/>
              </w:rPr>
            </w:pPr>
          </w:p>
          <w:p w14:paraId="00D0FFCC">
            <w:pPr>
              <w:widowControl/>
              <w:jc w:val="left"/>
              <w:rPr>
                <w:rFonts w:hint="eastAsia" w:ascii="宋体" w:hAnsi="宋体" w:eastAsia="宋体" w:cs="宋体"/>
                <w:i w:val="0"/>
                <w:iCs w:val="0"/>
                <w:color w:val="auto"/>
                <w:sz w:val="21"/>
                <w:szCs w:val="21"/>
                <w:highlight w:val="none"/>
              </w:rPr>
            </w:pPr>
          </w:p>
          <w:p w14:paraId="6CE56C89">
            <w:pPr>
              <w:widowControl/>
              <w:jc w:val="left"/>
              <w:rPr>
                <w:rFonts w:hint="eastAsia" w:ascii="宋体" w:hAnsi="宋体" w:eastAsia="宋体" w:cs="宋体"/>
                <w:i w:val="0"/>
                <w:iCs w:val="0"/>
                <w:color w:val="auto"/>
                <w:sz w:val="21"/>
                <w:szCs w:val="21"/>
                <w:highlight w:val="none"/>
              </w:rPr>
            </w:pPr>
          </w:p>
          <w:p w14:paraId="5E3C0C18">
            <w:pPr>
              <w:widowControl/>
              <w:jc w:val="left"/>
              <w:rPr>
                <w:rFonts w:hint="eastAsia" w:ascii="宋体" w:hAnsi="宋体" w:eastAsia="宋体" w:cs="宋体"/>
                <w:i w:val="0"/>
                <w:iCs w:val="0"/>
                <w:color w:val="auto"/>
                <w:sz w:val="21"/>
                <w:szCs w:val="21"/>
                <w:highlight w:val="none"/>
              </w:rPr>
            </w:pPr>
          </w:p>
          <w:p w14:paraId="47B7F47A">
            <w:pPr>
              <w:widowControl/>
              <w:jc w:val="left"/>
              <w:rPr>
                <w:rFonts w:hint="eastAsia" w:ascii="宋体" w:hAnsi="宋体" w:eastAsia="宋体" w:cs="宋体"/>
                <w:i w:val="0"/>
                <w:iCs w:val="0"/>
                <w:color w:val="auto"/>
                <w:sz w:val="21"/>
                <w:szCs w:val="21"/>
                <w:highlight w:val="none"/>
              </w:rPr>
            </w:pPr>
          </w:p>
          <w:p w14:paraId="58810B64">
            <w:pPr>
              <w:widowControl/>
              <w:jc w:val="left"/>
              <w:rPr>
                <w:rFonts w:hint="eastAsia" w:ascii="宋体" w:hAnsi="宋体" w:eastAsia="宋体" w:cs="宋体"/>
                <w:i w:val="0"/>
                <w:iCs w:val="0"/>
                <w:color w:val="auto"/>
                <w:sz w:val="21"/>
                <w:szCs w:val="21"/>
                <w:highlight w:val="none"/>
              </w:rPr>
            </w:pPr>
          </w:p>
          <w:p w14:paraId="6CE5123F">
            <w:pPr>
              <w:widowControl/>
              <w:jc w:val="left"/>
              <w:rPr>
                <w:rFonts w:hint="eastAsia" w:ascii="宋体" w:hAnsi="宋体" w:eastAsia="宋体" w:cs="宋体"/>
                <w:i w:val="0"/>
                <w:iCs w:val="0"/>
                <w:color w:val="auto"/>
                <w:sz w:val="21"/>
                <w:szCs w:val="21"/>
                <w:highlight w:val="none"/>
              </w:rPr>
            </w:pPr>
          </w:p>
          <w:p w14:paraId="76F9CE48">
            <w:pPr>
              <w:spacing w:line="420" w:lineRule="exact"/>
              <w:rPr>
                <w:rFonts w:hint="eastAsia" w:ascii="宋体" w:hAnsi="宋体" w:eastAsia="宋体" w:cs="宋体"/>
                <w:i w:val="0"/>
                <w:iCs w:val="0"/>
                <w:color w:val="auto"/>
                <w:sz w:val="21"/>
                <w:szCs w:val="21"/>
                <w:highlight w:val="none"/>
              </w:rPr>
            </w:pPr>
          </w:p>
        </w:tc>
      </w:tr>
    </w:tbl>
    <w:p w14:paraId="33332BAD">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br w:type="page"/>
      </w:r>
    </w:p>
    <w:p w14:paraId="0C330181">
      <w:pP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附3：承诺书</w:t>
      </w:r>
    </w:p>
    <w:p w14:paraId="62121BFC">
      <w:pPr>
        <w:spacing w:before="240" w:beforeLines="100" w:after="240" w:afterLines="100"/>
        <w:jc w:val="center"/>
        <w:rPr>
          <w:rFonts w:hint="eastAsia" w:ascii="宋体" w:hAnsi="宋体" w:eastAsia="宋体" w:cs="宋体"/>
          <w:i w:val="0"/>
          <w:iCs w:val="0"/>
          <w:color w:val="auto"/>
          <w:sz w:val="28"/>
          <w:szCs w:val="28"/>
          <w:highlight w:val="none"/>
        </w:rPr>
      </w:pPr>
      <w:r>
        <w:rPr>
          <w:rFonts w:hint="eastAsia" w:ascii="宋体" w:hAnsi="宋体" w:eastAsia="宋体" w:cs="宋体"/>
          <w:b/>
          <w:bCs/>
          <w:i w:val="0"/>
          <w:iCs w:val="0"/>
          <w:color w:val="auto"/>
          <w:sz w:val="28"/>
          <w:szCs w:val="28"/>
          <w:highlight w:val="none"/>
          <w:lang w:eastAsia="zh-CN"/>
        </w:rPr>
        <w:t>项目经理</w:t>
      </w:r>
      <w:r>
        <w:rPr>
          <w:rFonts w:hint="eastAsia" w:ascii="宋体" w:hAnsi="宋体" w:eastAsia="宋体" w:cs="宋体"/>
          <w:b/>
          <w:bCs/>
          <w:i w:val="0"/>
          <w:iCs w:val="0"/>
          <w:color w:val="auto"/>
          <w:sz w:val="28"/>
          <w:szCs w:val="28"/>
          <w:highlight w:val="none"/>
        </w:rPr>
        <w:t>承诺书</w:t>
      </w:r>
    </w:p>
    <w:p w14:paraId="174E760C">
      <w:pPr>
        <w:spacing w:after="240" w:afterLines="100" w:line="440" w:lineRule="exact"/>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position w:val="-7"/>
          <w:sz w:val="24"/>
          <w:szCs w:val="20"/>
          <w:highlight w:val="none"/>
        </w:rPr>
        <w:t>————————</w:t>
      </w:r>
      <w:r>
        <w:rPr>
          <w:rFonts w:hint="eastAsia" w:ascii="宋体" w:hAnsi="宋体" w:eastAsia="宋体" w:cs="宋体"/>
          <w:i w:val="0"/>
          <w:iCs w:val="0"/>
          <w:color w:val="auto"/>
          <w:sz w:val="24"/>
          <w:szCs w:val="20"/>
          <w:highlight w:val="none"/>
        </w:rPr>
        <w:t>（招标人名称）：</w:t>
      </w:r>
    </w:p>
    <w:p w14:paraId="1EA5ECCA">
      <w:pPr>
        <w:spacing w:line="440" w:lineRule="exact"/>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我方在此声明，我方拟派往（项目名称）（以下简称“本工程”）的</w:t>
      </w: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w:t>
      </w: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姓名）现阶段没有担任任何在施建设工程项目的</w:t>
      </w: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w:t>
      </w:r>
    </w:p>
    <w:p w14:paraId="325E4312">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近三年没有出现行贿受贿等违法违规或失信行为、允许他人以自己的名义从事执业活动等行为；</w:t>
      </w:r>
    </w:p>
    <w:p w14:paraId="2EB7E52F">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近三年没有严重违约及严重工程质量、安全问题记录；</w:t>
      </w:r>
    </w:p>
    <w:p w14:paraId="47D26FE6">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提供的所有证件、业绩等证明材料真实有效；</w:t>
      </w:r>
    </w:p>
    <w:p w14:paraId="3DBB908F">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中标后，</w:t>
      </w:r>
      <w:r>
        <w:rPr>
          <w:rFonts w:hint="eastAsia" w:ascii="宋体" w:hAnsi="宋体" w:eastAsia="宋体" w:cs="宋体"/>
          <w:i w:val="0"/>
          <w:iCs w:val="0"/>
          <w:color w:val="auto"/>
          <w:sz w:val="24"/>
          <w:szCs w:val="20"/>
          <w:highlight w:val="none"/>
          <w:lang w:eastAsia="zh-CN"/>
        </w:rPr>
        <w:t>项目经理</w:t>
      </w:r>
      <w:r>
        <w:rPr>
          <w:rFonts w:hint="eastAsia" w:ascii="宋体" w:hAnsi="宋体" w:eastAsia="宋体" w:cs="宋体"/>
          <w:i w:val="0"/>
          <w:iCs w:val="0"/>
          <w:color w:val="auto"/>
          <w:sz w:val="24"/>
          <w:szCs w:val="20"/>
          <w:highlight w:val="none"/>
        </w:rPr>
        <w:t>将按合同约定和相关规定要求，按时到岗，在岗履职，全力配合招标人要求，保质保量完成工程项目。</w:t>
      </w:r>
    </w:p>
    <w:p w14:paraId="2790F317">
      <w:pPr>
        <w:spacing w:line="440" w:lineRule="exact"/>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我方保证上述信息的真实和准确，并愿意承担因我方就此弄虚作假所引起的一切法律后果。</w:t>
      </w:r>
    </w:p>
    <w:p w14:paraId="32B02DB1">
      <w:pPr>
        <w:spacing w:line="440" w:lineRule="exact"/>
        <w:ind w:firstLine="480" w:firstLineChars="200"/>
        <w:rPr>
          <w:rFonts w:hint="eastAsia" w:ascii="宋体" w:hAnsi="宋体" w:eastAsia="宋体" w:cs="宋体"/>
          <w:i w:val="0"/>
          <w:iCs w:val="0"/>
          <w:color w:val="auto"/>
          <w:sz w:val="24"/>
          <w:szCs w:val="20"/>
          <w:highlight w:val="none"/>
        </w:rPr>
      </w:pPr>
    </w:p>
    <w:p w14:paraId="57EABFBF">
      <w:pPr>
        <w:spacing w:line="440" w:lineRule="exact"/>
        <w:ind w:firstLine="480" w:firstLineChars="200"/>
        <w:rPr>
          <w:rFonts w:hint="eastAsia" w:ascii="宋体" w:hAnsi="宋体" w:eastAsia="宋体" w:cs="宋体"/>
          <w:i w:val="0"/>
          <w:iCs w:val="0"/>
          <w:color w:val="auto"/>
          <w:sz w:val="24"/>
          <w:szCs w:val="20"/>
          <w:highlight w:val="none"/>
        </w:rPr>
      </w:pPr>
    </w:p>
    <w:p w14:paraId="3EB3A134">
      <w:pPr>
        <w:spacing w:line="440" w:lineRule="exact"/>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特此承诺</w:t>
      </w:r>
    </w:p>
    <w:p w14:paraId="438A89A5">
      <w:pPr>
        <w:spacing w:line="440" w:lineRule="exact"/>
        <w:ind w:firstLine="480" w:firstLineChars="200"/>
        <w:rPr>
          <w:rFonts w:hint="eastAsia" w:ascii="宋体" w:hAnsi="宋体" w:eastAsia="宋体" w:cs="宋体"/>
          <w:i w:val="0"/>
          <w:iCs w:val="0"/>
          <w:color w:val="auto"/>
          <w:sz w:val="24"/>
          <w:szCs w:val="20"/>
          <w:highlight w:val="none"/>
        </w:rPr>
      </w:pPr>
    </w:p>
    <w:p w14:paraId="13252C8E">
      <w:pPr>
        <w:spacing w:line="440" w:lineRule="exact"/>
        <w:ind w:firstLine="480" w:firstLineChars="200"/>
        <w:rPr>
          <w:rFonts w:hint="eastAsia" w:ascii="宋体" w:hAnsi="宋体" w:eastAsia="宋体" w:cs="宋体"/>
          <w:i w:val="0"/>
          <w:iCs w:val="0"/>
          <w:color w:val="auto"/>
          <w:sz w:val="24"/>
          <w:szCs w:val="20"/>
          <w:highlight w:val="none"/>
        </w:rPr>
      </w:pPr>
    </w:p>
    <w:p w14:paraId="5B3E6692">
      <w:pPr>
        <w:spacing w:line="440" w:lineRule="exact"/>
        <w:rPr>
          <w:rFonts w:hint="eastAsia" w:ascii="宋体" w:hAnsi="宋体" w:eastAsia="宋体" w:cs="宋体"/>
          <w:i w:val="0"/>
          <w:iCs w:val="0"/>
          <w:color w:val="auto"/>
          <w:sz w:val="24"/>
          <w:szCs w:val="20"/>
          <w:highlight w:val="none"/>
        </w:rPr>
      </w:pPr>
    </w:p>
    <w:p w14:paraId="5A14E8A2">
      <w:pPr>
        <w:keepNext w:val="0"/>
        <w:keepLines w:val="0"/>
        <w:pageBreakBefore w:val="0"/>
        <w:widowControl w:val="0"/>
        <w:kinsoku/>
        <w:overflowPunct/>
        <w:topLinePunct w:val="0"/>
        <w:autoSpaceDE/>
        <w:autoSpaceDN/>
        <w:bidi w:val="0"/>
        <w:adjustRightInd/>
        <w:snapToGrid/>
        <w:spacing w:line="360" w:lineRule="auto"/>
        <w:jc w:val="right"/>
        <w:textAlignment w:val="auto"/>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投标人：（盖单位章）</w:t>
      </w:r>
    </w:p>
    <w:p w14:paraId="52A769EC">
      <w:pPr>
        <w:keepNext w:val="0"/>
        <w:keepLines w:val="0"/>
        <w:pageBreakBefore w:val="0"/>
        <w:widowControl w:val="0"/>
        <w:kinsoku/>
        <w:wordWrap w:val="0"/>
        <w:overflowPunct/>
        <w:topLinePunct w:val="0"/>
        <w:autoSpaceDE/>
        <w:autoSpaceDN/>
        <w:bidi w:val="0"/>
        <w:adjustRightInd/>
        <w:snapToGrid/>
        <w:spacing w:line="360" w:lineRule="auto"/>
        <w:jc w:val="right"/>
        <w:textAlignment w:val="auto"/>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法定代表人：（签字）</w:t>
      </w:r>
    </w:p>
    <w:p w14:paraId="2F747F00">
      <w:pPr>
        <w:keepNext w:val="0"/>
        <w:keepLines w:val="0"/>
        <w:pageBreakBefore w:val="0"/>
        <w:widowControl w:val="0"/>
        <w:kinsoku/>
        <w:overflowPunct/>
        <w:topLinePunct w:val="0"/>
        <w:autoSpaceDE/>
        <w:autoSpaceDN/>
        <w:bidi w:val="0"/>
        <w:adjustRightInd/>
        <w:snapToGrid/>
        <w:spacing w:line="360" w:lineRule="auto"/>
        <w:ind w:right="-106" w:rightChars="0"/>
        <w:textAlignment w:val="auto"/>
        <w:rPr>
          <w:rFonts w:hint="eastAsia" w:ascii="宋体" w:hAnsi="宋体" w:eastAsia="宋体" w:cs="宋体"/>
          <w:i w:val="0"/>
          <w:iCs w:val="0"/>
          <w:color w:val="auto"/>
          <w:sz w:val="24"/>
          <w:szCs w:val="20"/>
          <w:highlight w:val="none"/>
          <w:lang w:eastAsia="zh-CN"/>
        </w:rPr>
      </w:pPr>
    </w:p>
    <w:p w14:paraId="54A7A339">
      <w:pPr>
        <w:keepNext w:val="0"/>
        <w:keepLines w:val="0"/>
        <w:pageBreakBefore w:val="0"/>
        <w:widowControl w:val="0"/>
        <w:kinsoku/>
        <w:overflowPunct/>
        <w:topLinePunct w:val="0"/>
        <w:autoSpaceDE/>
        <w:autoSpaceDN/>
        <w:bidi w:val="0"/>
        <w:adjustRightInd/>
        <w:snapToGrid/>
        <w:spacing w:line="360" w:lineRule="auto"/>
        <w:ind w:firstLine="7200" w:firstLineChars="3000"/>
        <w:jc w:val="left"/>
        <w:textAlignment w:val="auto"/>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年月日</w:t>
      </w:r>
    </w:p>
    <w:p w14:paraId="489BE5E1">
      <w:pPr>
        <w:pStyle w:val="3"/>
        <w:spacing w:before="0" w:after="0" w:line="360" w:lineRule="auto"/>
        <w:jc w:val="center"/>
        <w:outlineLvl w:val="9"/>
        <w:rPr>
          <w:rFonts w:hint="eastAsia" w:ascii="宋体" w:hAnsi="宋体" w:eastAsia="宋体" w:cs="宋体"/>
          <w:i w:val="0"/>
          <w:iCs w:val="0"/>
          <w:color w:val="auto"/>
          <w:sz w:val="30"/>
          <w:szCs w:val="30"/>
          <w:highlight w:val="none"/>
        </w:rPr>
        <w:sectPr>
          <w:headerReference r:id="rId9" w:type="default"/>
          <w:pgSz w:w="11907" w:h="16840"/>
          <w:pgMar w:top="1418" w:right="1418" w:bottom="1418" w:left="1418" w:header="851" w:footer="992" w:gutter="0"/>
          <w:pgNumType w:fmt="decimal"/>
          <w:cols w:space="720" w:num="1"/>
          <w:docGrid w:linePitch="381" w:charSpace="-5735"/>
        </w:sectPr>
      </w:pPr>
    </w:p>
    <w:p w14:paraId="0FFB6BEB">
      <w:pPr>
        <w:spacing w:before="240" w:beforeLines="100" w:after="240" w:afterLines="100" w:line="360" w:lineRule="auto"/>
        <w:jc w:val="center"/>
        <w:rPr>
          <w:rFonts w:hint="eastAsia" w:ascii="宋体" w:hAnsi="宋体" w:eastAsia="宋体" w:cs="宋体"/>
          <w:b/>
          <w:bCs/>
          <w:i w:val="0"/>
          <w:iCs w:val="0"/>
          <w:color w:val="auto"/>
          <w:sz w:val="28"/>
          <w:szCs w:val="28"/>
          <w:highlight w:val="none"/>
        </w:rPr>
      </w:pPr>
      <w:r>
        <w:rPr>
          <w:rFonts w:hint="eastAsia" w:ascii="宋体" w:hAnsi="宋体" w:eastAsia="宋体" w:cs="宋体"/>
          <w:b/>
          <w:bCs/>
          <w:i w:val="0"/>
          <w:iCs w:val="0"/>
          <w:color w:val="auto"/>
          <w:sz w:val="28"/>
          <w:szCs w:val="28"/>
          <w:highlight w:val="none"/>
        </w:rPr>
        <w:t>项目管理机构承诺书</w:t>
      </w:r>
    </w:p>
    <w:p w14:paraId="1CA944CD">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position w:val="-7"/>
          <w:sz w:val="24"/>
          <w:szCs w:val="20"/>
          <w:highlight w:val="none"/>
        </w:rPr>
        <w:t>————————</w:t>
      </w:r>
      <w:r>
        <w:rPr>
          <w:rFonts w:hint="eastAsia" w:ascii="宋体" w:hAnsi="宋体" w:eastAsia="宋体" w:cs="宋体"/>
          <w:i w:val="0"/>
          <w:iCs w:val="0"/>
          <w:color w:val="auto"/>
          <w:sz w:val="24"/>
          <w:szCs w:val="20"/>
          <w:highlight w:val="none"/>
        </w:rPr>
        <w:t>（招标人名称）：</w:t>
      </w:r>
    </w:p>
    <w:p w14:paraId="5C1F83AE">
      <w:pPr>
        <w:spacing w:line="360" w:lineRule="auto"/>
        <w:ind w:firstLine="480" w:firstLineChars="200"/>
        <w:rPr>
          <w:rFonts w:hint="eastAsia" w:ascii="宋体" w:hAnsi="宋体" w:eastAsia="宋体" w:cs="宋体"/>
          <w:i w:val="0"/>
          <w:iCs w:val="0"/>
          <w:color w:val="auto"/>
          <w:sz w:val="24"/>
          <w:szCs w:val="20"/>
          <w:highlight w:val="none"/>
        </w:rPr>
      </w:pPr>
    </w:p>
    <w:p w14:paraId="2341EF27">
      <w:pPr>
        <w:autoSpaceDE w:val="0"/>
        <w:autoSpaceDN w:val="0"/>
        <w:adjustRightInd w:val="0"/>
        <w:spacing w:line="360" w:lineRule="auto"/>
        <w:ind w:firstLine="480" w:firstLineChars="200"/>
        <w:jc w:val="left"/>
        <w:rPr>
          <w:rFonts w:hint="eastAsia" w:ascii="宋体" w:hAnsi="宋体" w:eastAsia="宋体" w:cs="宋体"/>
          <w:i w:val="0"/>
          <w:iCs w:val="0"/>
          <w:color w:val="auto"/>
          <w:sz w:val="24"/>
          <w:szCs w:val="20"/>
          <w:highlight w:val="none"/>
          <w:lang w:val="zh-CN"/>
        </w:rPr>
      </w:pPr>
      <w:r>
        <w:rPr>
          <w:rFonts w:hint="eastAsia" w:ascii="宋体" w:hAnsi="宋体" w:eastAsia="宋体" w:cs="宋体"/>
          <w:i w:val="0"/>
          <w:iCs w:val="0"/>
          <w:color w:val="auto"/>
          <w:sz w:val="24"/>
          <w:szCs w:val="20"/>
          <w:highlight w:val="none"/>
        </w:rPr>
        <w:t>我方在此声明，</w:t>
      </w:r>
      <w:r>
        <w:rPr>
          <w:rFonts w:hint="eastAsia" w:ascii="宋体" w:hAnsi="宋体" w:eastAsia="宋体" w:cs="宋体"/>
          <w:i w:val="0"/>
          <w:iCs w:val="0"/>
          <w:color w:val="auto"/>
          <w:sz w:val="24"/>
          <w:szCs w:val="20"/>
          <w:highlight w:val="none"/>
          <w:lang w:val="zh-CN"/>
        </w:rPr>
        <w:t>我方拟派往（项目名称）（以下简称“本工程”）的</w:t>
      </w:r>
      <w:r>
        <w:rPr>
          <w:rFonts w:hint="eastAsia" w:ascii="宋体" w:hAnsi="宋体" w:eastAsia="宋体" w:cs="宋体"/>
          <w:i w:val="0"/>
          <w:iCs w:val="0"/>
          <w:color w:val="auto"/>
          <w:sz w:val="24"/>
          <w:szCs w:val="20"/>
          <w:highlight w:val="none"/>
          <w:u w:val="single"/>
          <w:lang w:val="zh-CN"/>
        </w:rPr>
        <w:t>（项目管理机构成员姓名）</w:t>
      </w:r>
      <w:r>
        <w:rPr>
          <w:rFonts w:hint="eastAsia" w:ascii="宋体" w:hAnsi="宋体" w:eastAsia="宋体" w:cs="宋体"/>
          <w:i w:val="0"/>
          <w:iCs w:val="0"/>
          <w:color w:val="auto"/>
          <w:sz w:val="24"/>
          <w:szCs w:val="20"/>
          <w:highlight w:val="none"/>
          <w:lang w:val="zh-CN"/>
        </w:rPr>
        <w:t>现阶段没有担任任何在施建设工程项目的管理机构成员。</w:t>
      </w:r>
    </w:p>
    <w:p w14:paraId="626D24A4">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如中标后，我公司保证项目管理机构人员（包括项目经理及项目机构其他管理人员）全部到达施工现场工作，并与投标文件中所列的人员一致，保证本项目的施工质量、安全及施工工期。</w:t>
      </w:r>
    </w:p>
    <w:p w14:paraId="4D8F69C7">
      <w:pPr>
        <w:spacing w:line="360" w:lineRule="auto"/>
        <w:ind w:firstLine="480" w:firstLineChars="200"/>
        <w:rPr>
          <w:rFonts w:hint="eastAsia" w:ascii="宋体" w:hAnsi="宋体" w:eastAsia="宋体" w:cs="宋体"/>
          <w:i w:val="0"/>
          <w:iCs w:val="0"/>
          <w:color w:val="auto"/>
          <w:sz w:val="24"/>
          <w:szCs w:val="20"/>
          <w:highlight w:val="none"/>
          <w:lang w:eastAsia="zh-CN"/>
        </w:rPr>
      </w:pPr>
    </w:p>
    <w:p w14:paraId="4DB49281">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我方保证上述信息的真实和准确，并愿意承担因我方就此弄虚作假所引起的一切后果。</w:t>
      </w:r>
    </w:p>
    <w:p w14:paraId="17EA0460">
      <w:pPr>
        <w:spacing w:line="360" w:lineRule="auto"/>
        <w:ind w:firstLine="480" w:firstLineChars="200"/>
        <w:rPr>
          <w:rFonts w:hint="eastAsia" w:ascii="宋体" w:hAnsi="宋体" w:eastAsia="宋体" w:cs="宋体"/>
          <w:i w:val="0"/>
          <w:iCs w:val="0"/>
          <w:color w:val="auto"/>
          <w:sz w:val="24"/>
          <w:szCs w:val="20"/>
          <w:highlight w:val="none"/>
        </w:rPr>
      </w:pPr>
    </w:p>
    <w:p w14:paraId="63A1E1AB">
      <w:pPr>
        <w:spacing w:line="360" w:lineRule="auto"/>
        <w:ind w:firstLine="480" w:firstLineChars="200"/>
        <w:rPr>
          <w:rFonts w:hint="eastAsia" w:ascii="宋体" w:hAnsi="宋体" w:eastAsia="宋体" w:cs="宋体"/>
          <w:i w:val="0"/>
          <w:iCs w:val="0"/>
          <w:color w:val="auto"/>
          <w:sz w:val="24"/>
          <w:szCs w:val="20"/>
          <w:highlight w:val="none"/>
        </w:rPr>
      </w:pPr>
    </w:p>
    <w:p w14:paraId="4F731941">
      <w:pPr>
        <w:spacing w:line="360" w:lineRule="auto"/>
        <w:ind w:firstLine="480" w:firstLineChars="200"/>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特此承诺！</w:t>
      </w:r>
    </w:p>
    <w:p w14:paraId="1215F0D5">
      <w:pPr>
        <w:spacing w:line="360" w:lineRule="auto"/>
        <w:ind w:firstLine="480" w:firstLineChars="200"/>
        <w:rPr>
          <w:rFonts w:hint="eastAsia" w:ascii="宋体" w:hAnsi="宋体" w:eastAsia="宋体" w:cs="宋体"/>
          <w:i w:val="0"/>
          <w:iCs w:val="0"/>
          <w:color w:val="auto"/>
          <w:sz w:val="24"/>
          <w:szCs w:val="20"/>
          <w:highlight w:val="none"/>
        </w:rPr>
      </w:pPr>
    </w:p>
    <w:p w14:paraId="35202B66">
      <w:pPr>
        <w:spacing w:line="360" w:lineRule="auto"/>
        <w:ind w:firstLine="480" w:firstLineChars="200"/>
        <w:rPr>
          <w:rFonts w:hint="eastAsia" w:ascii="宋体" w:hAnsi="宋体" w:eastAsia="宋体" w:cs="宋体"/>
          <w:i w:val="0"/>
          <w:iCs w:val="0"/>
          <w:color w:val="auto"/>
          <w:sz w:val="24"/>
          <w:szCs w:val="20"/>
          <w:highlight w:val="none"/>
        </w:rPr>
      </w:pPr>
    </w:p>
    <w:p w14:paraId="79180EA9">
      <w:pPr>
        <w:spacing w:line="360" w:lineRule="auto"/>
        <w:rPr>
          <w:rFonts w:hint="eastAsia" w:ascii="宋体" w:hAnsi="宋体" w:eastAsia="宋体" w:cs="宋体"/>
          <w:i w:val="0"/>
          <w:iCs w:val="0"/>
          <w:color w:val="auto"/>
          <w:sz w:val="24"/>
          <w:szCs w:val="20"/>
          <w:highlight w:val="none"/>
        </w:rPr>
      </w:pPr>
    </w:p>
    <w:p w14:paraId="76399DAF">
      <w:pPr>
        <w:spacing w:line="360" w:lineRule="auto"/>
        <w:ind w:firstLine="480" w:firstLineChars="200"/>
        <w:rPr>
          <w:rFonts w:hint="eastAsia" w:ascii="宋体" w:hAnsi="宋体" w:eastAsia="宋体" w:cs="宋体"/>
          <w:i w:val="0"/>
          <w:iCs w:val="0"/>
          <w:color w:val="auto"/>
          <w:sz w:val="24"/>
          <w:szCs w:val="20"/>
          <w:highlight w:val="none"/>
        </w:rPr>
      </w:pPr>
    </w:p>
    <w:p w14:paraId="7406C3D0">
      <w:pPr>
        <w:spacing w:line="360" w:lineRule="auto"/>
        <w:ind w:firstLine="480" w:firstLineChars="200"/>
        <w:rPr>
          <w:rFonts w:hint="eastAsia" w:ascii="宋体" w:hAnsi="宋体" w:eastAsia="宋体" w:cs="宋体"/>
          <w:i w:val="0"/>
          <w:iCs w:val="0"/>
          <w:color w:val="auto"/>
          <w:sz w:val="24"/>
          <w:szCs w:val="20"/>
          <w:highlight w:val="none"/>
        </w:rPr>
      </w:pPr>
    </w:p>
    <w:p w14:paraId="45693208">
      <w:pPr>
        <w:spacing w:line="440" w:lineRule="exact"/>
        <w:jc w:val="right"/>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投标人：（盖单位章）</w:t>
      </w:r>
    </w:p>
    <w:p w14:paraId="7E23FC7E">
      <w:pPr>
        <w:spacing w:line="440" w:lineRule="exact"/>
        <w:jc w:val="right"/>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法定代表人：（签字）</w:t>
      </w:r>
    </w:p>
    <w:p w14:paraId="3802AA54">
      <w:pPr>
        <w:spacing w:line="360" w:lineRule="auto"/>
        <w:jc w:val="right"/>
        <w:rPr>
          <w:rFonts w:hint="eastAsia" w:ascii="宋体" w:hAnsi="宋体" w:eastAsia="宋体" w:cs="宋体"/>
          <w:i w:val="0"/>
          <w:iCs w:val="0"/>
          <w:color w:val="auto"/>
          <w:sz w:val="24"/>
          <w:szCs w:val="20"/>
          <w:highlight w:val="none"/>
        </w:rPr>
      </w:pPr>
      <w:r>
        <w:rPr>
          <w:rFonts w:hint="eastAsia" w:ascii="宋体" w:hAnsi="宋体" w:eastAsia="宋体" w:cs="宋体"/>
          <w:i w:val="0"/>
          <w:iCs w:val="0"/>
          <w:color w:val="auto"/>
          <w:sz w:val="24"/>
          <w:szCs w:val="20"/>
          <w:highlight w:val="none"/>
        </w:rPr>
        <w:t>年</w:t>
      </w:r>
      <w:r>
        <w:rPr>
          <w:rFonts w:hint="eastAsia" w:ascii="宋体" w:hAnsi="宋体" w:eastAsia="宋体" w:cs="宋体"/>
          <w:i w:val="0"/>
          <w:iCs w:val="0"/>
          <w:color w:val="auto"/>
          <w:sz w:val="24"/>
          <w:szCs w:val="20"/>
          <w:highlight w:val="none"/>
          <w:lang w:val="en-US" w:eastAsia="zh-CN"/>
        </w:rPr>
        <w:t xml:space="preserve">   </w:t>
      </w:r>
      <w:r>
        <w:rPr>
          <w:rFonts w:hint="eastAsia" w:ascii="宋体" w:hAnsi="宋体" w:eastAsia="宋体" w:cs="宋体"/>
          <w:i w:val="0"/>
          <w:iCs w:val="0"/>
          <w:color w:val="auto"/>
          <w:sz w:val="24"/>
          <w:szCs w:val="20"/>
          <w:highlight w:val="none"/>
        </w:rPr>
        <w:t>月</w:t>
      </w:r>
      <w:r>
        <w:rPr>
          <w:rFonts w:hint="eastAsia" w:ascii="宋体" w:hAnsi="宋体" w:eastAsia="宋体" w:cs="宋体"/>
          <w:i w:val="0"/>
          <w:iCs w:val="0"/>
          <w:color w:val="auto"/>
          <w:sz w:val="24"/>
          <w:szCs w:val="20"/>
          <w:highlight w:val="none"/>
          <w:lang w:val="en-US" w:eastAsia="zh-CN"/>
        </w:rPr>
        <w:t xml:space="preserve">   </w:t>
      </w:r>
      <w:r>
        <w:rPr>
          <w:rFonts w:hint="eastAsia" w:ascii="宋体" w:hAnsi="宋体" w:eastAsia="宋体" w:cs="宋体"/>
          <w:i w:val="0"/>
          <w:iCs w:val="0"/>
          <w:color w:val="auto"/>
          <w:sz w:val="24"/>
          <w:szCs w:val="20"/>
          <w:highlight w:val="none"/>
        </w:rPr>
        <w:t>日</w:t>
      </w:r>
    </w:p>
    <w:p w14:paraId="692B1A8C">
      <w:pPr>
        <w:pStyle w:val="3"/>
        <w:spacing w:before="0" w:after="0" w:line="360" w:lineRule="auto"/>
        <w:jc w:val="center"/>
        <w:outlineLvl w:val="9"/>
        <w:rPr>
          <w:rFonts w:hint="eastAsia" w:ascii="宋体" w:hAnsi="宋体" w:eastAsia="宋体" w:cs="宋体"/>
          <w:i w:val="0"/>
          <w:iCs w:val="0"/>
          <w:color w:val="auto"/>
          <w:sz w:val="28"/>
          <w:szCs w:val="28"/>
          <w:highlight w:val="none"/>
        </w:rPr>
        <w:sectPr>
          <w:pgSz w:w="11907" w:h="16840"/>
          <w:pgMar w:top="1418" w:right="1418" w:bottom="1418" w:left="1418" w:header="851" w:footer="992" w:gutter="0"/>
          <w:pgNumType w:fmt="decimal"/>
          <w:cols w:space="720" w:num="1"/>
          <w:docGrid w:linePitch="381" w:charSpace="-5735"/>
        </w:sectPr>
      </w:pPr>
    </w:p>
    <w:p w14:paraId="248B5625">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en-US" w:eastAsia="zh-CN" w:bidi="ar-SA"/>
        </w:rPr>
        <w:sectPr>
          <w:pgSz w:w="11907" w:h="16840"/>
          <w:pgMar w:top="1418" w:right="1418" w:bottom="1418" w:left="1418" w:header="851" w:footer="992" w:gutter="0"/>
          <w:pgNumType w:fmt="decimal"/>
          <w:cols w:space="720" w:num="1"/>
          <w:docGrid w:linePitch="381" w:charSpace="-5735"/>
        </w:sectPr>
      </w:pPr>
      <w:bookmarkStart w:id="454" w:name="_Toc2010"/>
      <w:r>
        <w:rPr>
          <w:rFonts w:hint="eastAsia" w:ascii="宋体" w:hAnsi="宋体" w:eastAsia="宋体" w:cs="宋体"/>
          <w:b/>
          <w:bCs/>
          <w:i w:val="0"/>
          <w:iCs w:val="0"/>
          <w:snapToGrid w:val="0"/>
          <w:color w:val="auto"/>
          <w:kern w:val="0"/>
          <w:sz w:val="32"/>
          <w:szCs w:val="28"/>
          <w:highlight w:val="none"/>
          <w:lang w:val="en-US" w:eastAsia="zh-CN" w:bidi="ar-SA"/>
        </w:rPr>
        <w:t>九、</w:t>
      </w:r>
      <w:r>
        <w:rPr>
          <w:rFonts w:hint="eastAsia" w:ascii="宋体" w:hAnsi="宋体" w:eastAsia="宋体" w:cs="宋体"/>
          <w:b/>
          <w:bCs/>
          <w:i w:val="0"/>
          <w:iCs w:val="0"/>
          <w:snapToGrid w:val="0"/>
          <w:color w:val="auto"/>
          <w:kern w:val="0"/>
          <w:sz w:val="32"/>
          <w:szCs w:val="28"/>
          <w:highlight w:val="none"/>
          <w:lang w:val="zh-CN" w:eastAsia="zh-CN" w:bidi="ar-SA"/>
        </w:rPr>
        <w:t>优惠条件</w:t>
      </w:r>
      <w:r>
        <w:rPr>
          <w:rFonts w:hint="eastAsia" w:ascii="宋体" w:hAnsi="宋体" w:eastAsia="宋体" w:cs="宋体"/>
          <w:b/>
          <w:bCs/>
          <w:i w:val="0"/>
          <w:iCs w:val="0"/>
          <w:snapToGrid w:val="0"/>
          <w:color w:val="auto"/>
          <w:kern w:val="0"/>
          <w:sz w:val="32"/>
          <w:szCs w:val="28"/>
          <w:highlight w:val="none"/>
          <w:lang w:val="en-US" w:eastAsia="zh-CN" w:bidi="ar-SA"/>
        </w:rPr>
        <w:t>及服务承诺</w:t>
      </w:r>
      <w:bookmarkEnd w:id="446"/>
      <w:bookmarkEnd w:id="447"/>
      <w:bookmarkEnd w:id="454"/>
    </w:p>
    <w:p w14:paraId="46AE9883">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zh-CN" w:eastAsia="zh-CN" w:bidi="ar-SA"/>
        </w:rPr>
      </w:pPr>
      <w:bookmarkStart w:id="455" w:name="_Toc26001"/>
      <w:bookmarkStart w:id="456" w:name="_Toc31451"/>
      <w:bookmarkStart w:id="457" w:name="_Toc6738"/>
      <w:r>
        <w:rPr>
          <w:rFonts w:hint="eastAsia" w:ascii="宋体" w:hAnsi="宋体" w:eastAsia="宋体" w:cs="宋体"/>
          <w:b/>
          <w:bCs/>
          <w:i w:val="0"/>
          <w:iCs w:val="0"/>
          <w:snapToGrid w:val="0"/>
          <w:color w:val="auto"/>
          <w:kern w:val="0"/>
          <w:sz w:val="32"/>
          <w:szCs w:val="28"/>
          <w:highlight w:val="none"/>
          <w:lang w:val="zh-CN" w:eastAsia="zh-CN" w:bidi="ar-SA"/>
        </w:rPr>
        <w:t>十、技术部分</w:t>
      </w:r>
      <w:bookmarkEnd w:id="455"/>
      <w:bookmarkEnd w:id="456"/>
      <w:bookmarkEnd w:id="457"/>
    </w:p>
    <w:p w14:paraId="6E2B53C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bookmarkStart w:id="458" w:name="_Toc500518676"/>
      <w:bookmarkStart w:id="459" w:name="_Toc500513571"/>
      <w:bookmarkStart w:id="460" w:name="_Toc18750"/>
      <w:bookmarkStart w:id="461" w:name="_Toc25576"/>
      <w:bookmarkStart w:id="462" w:name="_Toc419879314"/>
      <w:bookmarkStart w:id="463" w:name="_Toc421532573"/>
      <w:bookmarkStart w:id="464" w:name="_Toc500513527"/>
      <w:bookmarkStart w:id="465" w:name="_Toc15050"/>
      <w:bookmarkStart w:id="466" w:name="_Toc18212"/>
    </w:p>
    <w:p w14:paraId="6B3113C0">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r>
        <w:rPr>
          <w:rFonts w:hint="eastAsia" w:ascii="宋体" w:hAnsi="宋体" w:eastAsia="宋体" w:cs="宋体"/>
          <w:b w:val="0"/>
          <w:i w:val="0"/>
          <w:iCs w:val="0"/>
          <w:color w:val="auto"/>
          <w:szCs w:val="18"/>
          <w:highlight w:val="none"/>
        </w:rPr>
        <w:br w:type="page"/>
      </w:r>
      <w:bookmarkStart w:id="467" w:name="_Toc296536701"/>
      <w:bookmarkStart w:id="468" w:name="_Toc207164821"/>
      <w:bookmarkStart w:id="469" w:name="_Toc288149109"/>
      <w:bookmarkStart w:id="470" w:name="_Toc288154073"/>
      <w:r>
        <w:rPr>
          <w:rFonts w:hint="eastAsia" w:ascii="宋体" w:hAnsi="宋体" w:eastAsia="宋体" w:cs="宋体"/>
          <w:b/>
          <w:bCs/>
          <w:i w:val="0"/>
          <w:iCs w:val="0"/>
          <w:color w:val="auto"/>
          <w:sz w:val="24"/>
          <w:szCs w:val="24"/>
          <w:highlight w:val="none"/>
          <w:lang w:val="zh-CN"/>
        </w:rPr>
        <w:t>附表一：拟投入本项目的主要施工设备表</w:t>
      </w:r>
      <w:bookmarkEnd w:id="467"/>
      <w:bookmarkEnd w:id="468"/>
      <w:bookmarkEnd w:id="469"/>
      <w:bookmarkEnd w:id="470"/>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2"/>
        <w:gridCol w:w="1171"/>
        <w:gridCol w:w="891"/>
        <w:gridCol w:w="892"/>
        <w:gridCol w:w="892"/>
        <w:gridCol w:w="892"/>
        <w:gridCol w:w="1104"/>
        <w:gridCol w:w="681"/>
        <w:gridCol w:w="1132"/>
        <w:gridCol w:w="653"/>
      </w:tblGrid>
      <w:tr w14:paraId="32B88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612" w:type="dxa"/>
            <w:noWrap w:val="0"/>
            <w:vAlign w:val="center"/>
          </w:tcPr>
          <w:p w14:paraId="369EE05F">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序号</w:t>
            </w:r>
          </w:p>
        </w:tc>
        <w:tc>
          <w:tcPr>
            <w:tcW w:w="1171" w:type="dxa"/>
            <w:noWrap w:val="0"/>
            <w:vAlign w:val="center"/>
          </w:tcPr>
          <w:p w14:paraId="3FAA46D0">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设备</w:t>
            </w:r>
          </w:p>
          <w:p w14:paraId="073CBFBC">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名称</w:t>
            </w:r>
          </w:p>
        </w:tc>
        <w:tc>
          <w:tcPr>
            <w:tcW w:w="891" w:type="dxa"/>
            <w:noWrap w:val="0"/>
            <w:vAlign w:val="center"/>
          </w:tcPr>
          <w:p w14:paraId="0C36080B">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型号</w:t>
            </w:r>
          </w:p>
          <w:p w14:paraId="2CD15E6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规格</w:t>
            </w:r>
          </w:p>
        </w:tc>
        <w:tc>
          <w:tcPr>
            <w:tcW w:w="892" w:type="dxa"/>
            <w:noWrap w:val="0"/>
            <w:vAlign w:val="center"/>
          </w:tcPr>
          <w:p w14:paraId="5F09D164">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数量</w:t>
            </w:r>
          </w:p>
        </w:tc>
        <w:tc>
          <w:tcPr>
            <w:tcW w:w="892" w:type="dxa"/>
            <w:noWrap w:val="0"/>
            <w:vAlign w:val="center"/>
          </w:tcPr>
          <w:p w14:paraId="5338768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国别</w:t>
            </w:r>
          </w:p>
          <w:p w14:paraId="3D3E2055">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产地</w:t>
            </w:r>
          </w:p>
        </w:tc>
        <w:tc>
          <w:tcPr>
            <w:tcW w:w="892" w:type="dxa"/>
            <w:noWrap w:val="0"/>
            <w:vAlign w:val="center"/>
          </w:tcPr>
          <w:p w14:paraId="44771DB7">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制造</w:t>
            </w:r>
          </w:p>
          <w:p w14:paraId="768002A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年份</w:t>
            </w:r>
          </w:p>
        </w:tc>
        <w:tc>
          <w:tcPr>
            <w:tcW w:w="1104" w:type="dxa"/>
            <w:noWrap w:val="0"/>
            <w:vAlign w:val="center"/>
          </w:tcPr>
          <w:p w14:paraId="30251F8A">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额定功率</w:t>
            </w:r>
          </w:p>
          <w:p w14:paraId="71FA8BE2">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(KW)</w:t>
            </w:r>
          </w:p>
        </w:tc>
        <w:tc>
          <w:tcPr>
            <w:tcW w:w="681" w:type="dxa"/>
            <w:noWrap w:val="0"/>
            <w:vAlign w:val="center"/>
          </w:tcPr>
          <w:p w14:paraId="2597BF60">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生产</w:t>
            </w:r>
          </w:p>
          <w:p w14:paraId="2A27EA9F">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能力</w:t>
            </w:r>
          </w:p>
        </w:tc>
        <w:tc>
          <w:tcPr>
            <w:tcW w:w="1132" w:type="dxa"/>
            <w:noWrap w:val="0"/>
            <w:vAlign w:val="center"/>
          </w:tcPr>
          <w:p w14:paraId="17191769">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用于施工</w:t>
            </w:r>
          </w:p>
          <w:p w14:paraId="0BAF6537">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部位</w:t>
            </w:r>
          </w:p>
        </w:tc>
        <w:tc>
          <w:tcPr>
            <w:tcW w:w="653" w:type="dxa"/>
            <w:noWrap w:val="0"/>
            <w:vAlign w:val="center"/>
          </w:tcPr>
          <w:p w14:paraId="0A12AD73">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备注</w:t>
            </w:r>
          </w:p>
        </w:tc>
      </w:tr>
      <w:tr w14:paraId="7E9AA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03246B0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3471A9A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7A99BE7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F78B89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745A1A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65842C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499B1B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7DBCFC1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930C0E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42F189B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525F8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73624C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18D1F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C9FF58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0EC409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CF9FD1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9EA439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41886D0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45FCD6F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C9183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347B6FB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37F69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014FE03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67F5644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5EC6BB8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3F5AED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6D0F60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222C82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6855504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27A5A38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2554E88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70B292F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6EA5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76FA42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6E41BF6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318209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335AC9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7E7949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13563E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48DD0B1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778540A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5605E4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2DD6BB8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3E11C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0A30C85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03ACA49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46893A2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9DF1AD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3DFE80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1AD5CB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583598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B7FED0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21D2D9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1013FD2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7FD1D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4DB40C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57460F5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6B71D5A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BEA0E7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949F7A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6E7920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1A9342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3AF9016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9B1DA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6F9BFAB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DE7D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0001641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0D9A751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D5CFAA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91436A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84F28B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7A6BCB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402C00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2B326F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7703D1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44A85FC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592A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B730AC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3648ADB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4F59345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7930EC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E90F85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993F01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38711A2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CBC9A2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C7567C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4B642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E17B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12B4F96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107DD30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47FD13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4F8610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B1FC2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F60CD1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320EB7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45D484C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103CE0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102A435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C2A3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5C49317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1B28E0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DDB137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B33BBD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633BBC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5C012F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72103F3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484B2F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A2C38E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10A3F71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7B663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53FE801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7A940D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59D767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0DFFDE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806D1D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A8E8DE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600311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30EBFB8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6039C0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4EB4307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2B6E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4ABE82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4DDBC3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191BBF0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E37C87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AC1CFD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2D3614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002AE58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E244F6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997C35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7853677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E983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746C50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172FA8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1EF121E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006880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6C35B7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C1F6DE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0EC9702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11C54E3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804503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E2406F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6E5D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2B97EC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7A58D64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65B8EBE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130092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8424C8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8DFC1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7835D0B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033FA2A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B36FA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A295E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CDBF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7869A1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7E58A9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9A96C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62E60A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241174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88A661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242A0FC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55A1140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23E7D9D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D50019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8265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6D46EB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0EC896E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0CB4029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2C30FF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9275FB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A0C6AA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33347A7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20F03F7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BF13D4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3F16A00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4A0D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1B06D6D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560FAAF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306B3F2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558A19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E49F8D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859266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0AE6544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14341BF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CD8C43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6544960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454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3D220F1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13461C6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1742BB9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F28831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D6B81E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C35531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20E7A1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757EF9C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C9A90B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02D393B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0EA7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51EA887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F3D954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4E5F71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D566C2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AF30EF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E4038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2C16A08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4E29B7B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03FA7C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766E0A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08E4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24F439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4937AF3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51A3C64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1C7908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87C3FE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C4840B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AE2896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3D82F1B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6F5FC1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689AD09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2803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460AEFE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66083C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3E7347F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831ED7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0E26D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34814F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2D1431D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175D4A2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5791528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7A4E816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301A3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612" w:type="dxa"/>
            <w:noWrap w:val="0"/>
            <w:vAlign w:val="center"/>
          </w:tcPr>
          <w:p w14:paraId="2EF97CB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7091053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32480CC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75F20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05A155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F9B658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533BC13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3894215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665340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6790C7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6BA0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12" w:type="dxa"/>
            <w:noWrap w:val="0"/>
            <w:vAlign w:val="center"/>
          </w:tcPr>
          <w:p w14:paraId="44A232D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71" w:type="dxa"/>
            <w:noWrap w:val="0"/>
            <w:vAlign w:val="center"/>
          </w:tcPr>
          <w:p w14:paraId="6415E36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1" w:type="dxa"/>
            <w:noWrap w:val="0"/>
            <w:vAlign w:val="center"/>
          </w:tcPr>
          <w:p w14:paraId="5F5B8F8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E65FC7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02032C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2EA303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4" w:type="dxa"/>
            <w:noWrap w:val="0"/>
            <w:vAlign w:val="center"/>
          </w:tcPr>
          <w:p w14:paraId="21A7C8E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81" w:type="dxa"/>
            <w:noWrap w:val="0"/>
            <w:vAlign w:val="center"/>
          </w:tcPr>
          <w:p w14:paraId="620F589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342EAE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653" w:type="dxa"/>
            <w:noWrap w:val="0"/>
            <w:vAlign w:val="center"/>
          </w:tcPr>
          <w:p w14:paraId="379DC63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bl>
    <w:p w14:paraId="2136EBE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p w14:paraId="5CBA50D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p w14:paraId="159CE59C">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bookmarkStart w:id="471" w:name="_Toc288154074"/>
      <w:bookmarkStart w:id="472" w:name="_Toc288149110"/>
      <w:bookmarkStart w:id="473" w:name="_Toc207164822"/>
      <w:bookmarkStart w:id="474" w:name="_Toc296536702"/>
    </w:p>
    <w:p w14:paraId="09C7FF0A">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p>
    <w:p w14:paraId="6D70A6E2">
      <w:pPr>
        <w:autoSpaceDE w:val="0"/>
        <w:autoSpaceDN w:val="0"/>
        <w:adjustRightInd w:val="0"/>
        <w:spacing w:line="400" w:lineRule="exact"/>
        <w:ind w:firstLine="241" w:firstLineChars="100"/>
        <w:jc w:val="left"/>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附表二：拟配备本项目的试验和检测仪器设备表</w:t>
      </w:r>
      <w:bookmarkEnd w:id="471"/>
      <w:bookmarkEnd w:id="472"/>
      <w:bookmarkEnd w:id="473"/>
      <w:bookmarkEnd w:id="474"/>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3"/>
        <w:gridCol w:w="1132"/>
        <w:gridCol w:w="892"/>
        <w:gridCol w:w="892"/>
        <w:gridCol w:w="893"/>
        <w:gridCol w:w="894"/>
        <w:gridCol w:w="1105"/>
        <w:gridCol w:w="1452"/>
        <w:gridCol w:w="907"/>
      </w:tblGrid>
      <w:tr w14:paraId="0C43F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jc w:val="center"/>
        </w:trPr>
        <w:tc>
          <w:tcPr>
            <w:tcW w:w="653" w:type="dxa"/>
            <w:noWrap w:val="0"/>
            <w:vAlign w:val="center"/>
          </w:tcPr>
          <w:p w14:paraId="2583CB3D">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序号</w:t>
            </w:r>
          </w:p>
        </w:tc>
        <w:tc>
          <w:tcPr>
            <w:tcW w:w="1132" w:type="dxa"/>
            <w:noWrap w:val="0"/>
            <w:vAlign w:val="center"/>
          </w:tcPr>
          <w:p w14:paraId="77BB63A0">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仪器设备</w:t>
            </w:r>
          </w:p>
          <w:p w14:paraId="50AC9F9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名称</w:t>
            </w:r>
          </w:p>
        </w:tc>
        <w:tc>
          <w:tcPr>
            <w:tcW w:w="892" w:type="dxa"/>
            <w:noWrap w:val="0"/>
            <w:vAlign w:val="center"/>
          </w:tcPr>
          <w:p w14:paraId="0286A7A3">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型号</w:t>
            </w:r>
          </w:p>
          <w:p w14:paraId="6978739E">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规格</w:t>
            </w:r>
          </w:p>
        </w:tc>
        <w:tc>
          <w:tcPr>
            <w:tcW w:w="892" w:type="dxa"/>
            <w:noWrap w:val="0"/>
            <w:vAlign w:val="center"/>
          </w:tcPr>
          <w:p w14:paraId="1B83C1C0">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数量</w:t>
            </w:r>
          </w:p>
        </w:tc>
        <w:tc>
          <w:tcPr>
            <w:tcW w:w="893" w:type="dxa"/>
            <w:noWrap w:val="0"/>
            <w:vAlign w:val="center"/>
          </w:tcPr>
          <w:p w14:paraId="4725D52C">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国别</w:t>
            </w:r>
          </w:p>
          <w:p w14:paraId="7D44A63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产地</w:t>
            </w:r>
          </w:p>
        </w:tc>
        <w:tc>
          <w:tcPr>
            <w:tcW w:w="894" w:type="dxa"/>
            <w:noWrap w:val="0"/>
            <w:vAlign w:val="center"/>
          </w:tcPr>
          <w:p w14:paraId="020CC66C">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制造</w:t>
            </w:r>
          </w:p>
          <w:p w14:paraId="72D7612F">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年份</w:t>
            </w:r>
          </w:p>
        </w:tc>
        <w:tc>
          <w:tcPr>
            <w:tcW w:w="1105" w:type="dxa"/>
            <w:noWrap w:val="0"/>
            <w:vAlign w:val="center"/>
          </w:tcPr>
          <w:p w14:paraId="3A1EFBB7">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已使用</w:t>
            </w:r>
          </w:p>
          <w:p w14:paraId="10E4EBF8">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台时数</w:t>
            </w:r>
          </w:p>
        </w:tc>
        <w:tc>
          <w:tcPr>
            <w:tcW w:w="1452" w:type="dxa"/>
            <w:noWrap w:val="0"/>
            <w:vAlign w:val="center"/>
          </w:tcPr>
          <w:p w14:paraId="2C80D63E">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用途</w:t>
            </w:r>
          </w:p>
        </w:tc>
        <w:tc>
          <w:tcPr>
            <w:tcW w:w="907" w:type="dxa"/>
            <w:noWrap w:val="0"/>
            <w:vAlign w:val="center"/>
          </w:tcPr>
          <w:p w14:paraId="2CF54194">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备注</w:t>
            </w:r>
          </w:p>
        </w:tc>
      </w:tr>
      <w:tr w14:paraId="04DDC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53BB550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2D31F12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1A1423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BB95F9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614CF98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4FC3049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8C3BD2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6793A2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1BE4397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CFF6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59E90B0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A460A7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49467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6F20A8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ADC2E5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88F8AF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750FBCB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A153AA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39F5D2A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A4A2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64C1B9C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67C4C8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F85712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0878C1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3B22E6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271AF8B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6556B5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59A713D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2BE4BCD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402D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2DADB14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D4603D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B87C67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BE53F1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C8EFC2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18ACE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8316D0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D03C99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7CD0E39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ECFB4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29C1D29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3F7D7A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BDE557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20C77E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7161AB8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49F126D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320BF19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25ACF3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86B0A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7EC0A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4F95467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EFE37F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CA7587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5BC06B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A3483F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74C1769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27E3C25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3DEAEA9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2AAEC67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C259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1124DB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A833E1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1B5EBD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F86694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A5DB74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7A9B3FA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02B3E8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E7BBF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56559D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7FC51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4899C94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E95E5C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F31145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9EFC71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CA96F7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E99E41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2D4172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A9C2C2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7C59D1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BDDC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3C14BD4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54145A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43F972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67227C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73C394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5F63E87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416873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1E3E2C4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583A09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7DC5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5965E8E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C1F754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F963CE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9C5C0A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05307F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5FA749A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2E5EE11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0E866CC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63319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5B42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F5588C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5ACEDC0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1BFAEA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27CFB8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6F28FD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3775D5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2726B23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1B700AF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1E9A60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999C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72F67F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F973D2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4A9700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DB4B9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298C09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1A39C3A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7CA7771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EC5A9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930BF5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9CA6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68A3685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8AE89D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6AE353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68D5C0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04806FB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161FB6A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6B75914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301CAC8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6F8550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1251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7E5751E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D78AFB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3FFE3E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98322F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31FBEBE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726CF9F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0BC905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55A2EE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0F24B50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1615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7C40933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53973CE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371703F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7AD6C8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8A75C9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2FF7E99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2722E2E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6C8C0A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184F2D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6F04A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3A1134C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40ACC76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AE885B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955293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6CDE7C5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5276647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777C68F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44912C6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652343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45C5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6A8F58D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40D238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1F1F23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0E0E5A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7E2BD38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66BF902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87503C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7896A52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0648E86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F2D5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33FF3A7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5983C4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86A444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1966297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067D519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05ABAC2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063732E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65E330F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09D0AA1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4AEAF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BDBB46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65AEB1D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8703F1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619D62D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2FF5595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4E8333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1BC21FA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7D4519F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78E4693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216AC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7B13FDF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182FC65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1C2E98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7633A9B3">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59B8377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5324E67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30A2266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78E3D11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56DE4DE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1DB92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669F10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4AD9F0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75BA79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DDD99B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5ED870FA">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46CBFA3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47D1BB9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2FE6AFA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579B68D">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5F93C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5257F68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0502E58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514771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7FFF13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445629A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2B0A6DD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07C4DA7F">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773CB7C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1D667C2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3AFCE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53" w:type="dxa"/>
            <w:noWrap w:val="0"/>
            <w:vAlign w:val="center"/>
          </w:tcPr>
          <w:p w14:paraId="13E7342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3B339136">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54C90484">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487079C2">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6A9C769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72CBFF0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0B335A15">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51A9956C">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4FCD68D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r w14:paraId="09094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653" w:type="dxa"/>
            <w:noWrap w:val="0"/>
            <w:vAlign w:val="center"/>
          </w:tcPr>
          <w:p w14:paraId="763410A8">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32" w:type="dxa"/>
            <w:noWrap w:val="0"/>
            <w:vAlign w:val="center"/>
          </w:tcPr>
          <w:p w14:paraId="76227160">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29E85E3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2" w:type="dxa"/>
            <w:noWrap w:val="0"/>
            <w:vAlign w:val="center"/>
          </w:tcPr>
          <w:p w14:paraId="0F3FB74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3" w:type="dxa"/>
            <w:noWrap w:val="0"/>
            <w:vAlign w:val="center"/>
          </w:tcPr>
          <w:p w14:paraId="06305349">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894" w:type="dxa"/>
            <w:noWrap w:val="0"/>
            <w:vAlign w:val="center"/>
          </w:tcPr>
          <w:p w14:paraId="3EB747BE">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105" w:type="dxa"/>
            <w:noWrap w:val="0"/>
            <w:vAlign w:val="center"/>
          </w:tcPr>
          <w:p w14:paraId="3E2C9041">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1452" w:type="dxa"/>
            <w:noWrap w:val="0"/>
            <w:vAlign w:val="center"/>
          </w:tcPr>
          <w:p w14:paraId="3EAAEF77">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c>
          <w:tcPr>
            <w:tcW w:w="907" w:type="dxa"/>
            <w:noWrap w:val="0"/>
            <w:vAlign w:val="center"/>
          </w:tcPr>
          <w:p w14:paraId="0DCBA28B">
            <w:pPr>
              <w:autoSpaceDE w:val="0"/>
              <w:autoSpaceDN w:val="0"/>
              <w:adjustRightInd w:val="0"/>
              <w:spacing w:line="400" w:lineRule="exact"/>
              <w:rPr>
                <w:rFonts w:hint="eastAsia" w:ascii="宋体" w:hAnsi="宋体" w:eastAsia="宋体" w:cs="宋体"/>
                <w:b w:val="0"/>
                <w:i w:val="0"/>
                <w:iCs w:val="0"/>
                <w:color w:val="auto"/>
                <w:sz w:val="18"/>
                <w:szCs w:val="18"/>
                <w:highlight w:val="none"/>
                <w:lang w:val="zh-CN"/>
              </w:rPr>
            </w:pPr>
          </w:p>
        </w:tc>
      </w:tr>
    </w:tbl>
    <w:p w14:paraId="3C288D9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p w14:paraId="33D90D17">
      <w:pPr>
        <w:autoSpaceDE w:val="0"/>
        <w:autoSpaceDN w:val="0"/>
        <w:adjustRightInd w:val="0"/>
        <w:spacing w:line="400" w:lineRule="exact"/>
        <w:jc w:val="left"/>
        <w:rPr>
          <w:rFonts w:hint="eastAsia" w:ascii="宋体" w:hAnsi="宋体" w:eastAsia="宋体" w:cs="宋体"/>
          <w:b w:val="0"/>
          <w:i w:val="0"/>
          <w:iCs w:val="0"/>
          <w:color w:val="auto"/>
          <w:highlight w:val="none"/>
          <w:lang w:val="zh-CN"/>
        </w:rPr>
      </w:pPr>
      <w:r>
        <w:rPr>
          <w:rFonts w:hint="eastAsia" w:ascii="宋体" w:hAnsi="宋体" w:eastAsia="宋体" w:cs="宋体"/>
          <w:b w:val="0"/>
          <w:i w:val="0"/>
          <w:iCs w:val="0"/>
          <w:color w:val="auto"/>
          <w:szCs w:val="18"/>
          <w:highlight w:val="none"/>
        </w:rPr>
        <w:br w:type="page"/>
      </w:r>
      <w:bookmarkStart w:id="475" w:name="_Toc296536703"/>
      <w:bookmarkStart w:id="476" w:name="_Toc288149111"/>
      <w:bookmarkStart w:id="477" w:name="_Toc207164823"/>
      <w:bookmarkStart w:id="478" w:name="_Toc288154075"/>
      <w:r>
        <w:rPr>
          <w:rFonts w:hint="eastAsia" w:ascii="宋体" w:hAnsi="宋体" w:eastAsia="宋体" w:cs="宋体"/>
          <w:b/>
          <w:bCs/>
          <w:i w:val="0"/>
          <w:iCs w:val="0"/>
          <w:color w:val="auto"/>
          <w:sz w:val="24"/>
          <w:szCs w:val="24"/>
          <w:highlight w:val="none"/>
          <w:lang w:val="zh-CN"/>
        </w:rPr>
        <w:t>附表三：劳动力计划表</w:t>
      </w:r>
      <w:bookmarkEnd w:id="475"/>
      <w:bookmarkEnd w:id="476"/>
      <w:bookmarkEnd w:id="477"/>
      <w:bookmarkEnd w:id="478"/>
    </w:p>
    <w:p w14:paraId="521678E8">
      <w:pPr>
        <w:autoSpaceDE w:val="0"/>
        <w:autoSpaceDN w:val="0"/>
        <w:adjustRightInd w:val="0"/>
        <w:spacing w:line="400" w:lineRule="exact"/>
        <w:ind w:firstLine="6510" w:firstLineChars="3100"/>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单位：人</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8"/>
        <w:gridCol w:w="1108"/>
        <w:gridCol w:w="1107"/>
        <w:gridCol w:w="1108"/>
        <w:gridCol w:w="1107"/>
        <w:gridCol w:w="1108"/>
        <w:gridCol w:w="1107"/>
        <w:gridCol w:w="1107"/>
      </w:tblGrid>
      <w:tr w14:paraId="0D402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8" w:hRule="atLeast"/>
          <w:jc w:val="center"/>
        </w:trPr>
        <w:tc>
          <w:tcPr>
            <w:tcW w:w="1108" w:type="dxa"/>
            <w:noWrap w:val="0"/>
            <w:vAlign w:val="center"/>
          </w:tcPr>
          <w:p w14:paraId="4424E7E3">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工种</w:t>
            </w:r>
          </w:p>
        </w:tc>
        <w:tc>
          <w:tcPr>
            <w:tcW w:w="7752" w:type="dxa"/>
            <w:gridSpan w:val="7"/>
            <w:noWrap w:val="0"/>
            <w:vAlign w:val="center"/>
          </w:tcPr>
          <w:p w14:paraId="6E92ADC5">
            <w:pPr>
              <w:autoSpaceDE w:val="0"/>
              <w:autoSpaceDN w:val="0"/>
              <w:adjustRightInd w:val="0"/>
              <w:spacing w:line="400" w:lineRule="exact"/>
              <w:rPr>
                <w:rFonts w:hint="eastAsia" w:ascii="宋体" w:hAnsi="宋体" w:eastAsia="宋体" w:cs="宋体"/>
                <w:b w:val="0"/>
                <w:i w:val="0"/>
                <w:iCs w:val="0"/>
                <w:color w:val="auto"/>
                <w:sz w:val="21"/>
                <w:szCs w:val="21"/>
                <w:highlight w:val="none"/>
                <w:lang w:val="zh-CN"/>
              </w:rPr>
            </w:pPr>
            <w:r>
              <w:rPr>
                <w:rFonts w:hint="eastAsia" w:ascii="宋体" w:hAnsi="宋体" w:eastAsia="宋体" w:cs="宋体"/>
                <w:b w:val="0"/>
                <w:i w:val="0"/>
                <w:iCs w:val="0"/>
                <w:color w:val="auto"/>
                <w:sz w:val="21"/>
                <w:szCs w:val="21"/>
                <w:highlight w:val="none"/>
                <w:lang w:val="zh-CN"/>
              </w:rPr>
              <w:t>按工程施工阶段投入劳动力情况</w:t>
            </w:r>
          </w:p>
        </w:tc>
      </w:tr>
      <w:tr w14:paraId="243C3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6B1A705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2364BF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AD69AB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BD3669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9526A6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052F91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A4ED9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A20A17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0E74F7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3F89EEC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52231A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423AC9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9A07B2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5D44A3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782CBB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0DEB31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AC5575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11CB8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1DF454C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BE5539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5727D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005440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3F75D2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27DF98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D88ED0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27DBC1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180B7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0A8DA8D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CC902D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BF99AE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AAADAE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FE4145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9FFBAA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54DE85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DDC236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9283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6C6650E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9EB32F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A0D48F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B7DC05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8C9FCD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C47EC3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3605E6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8B5820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761B9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342BE76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A4EDDB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C0A5CA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662D16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A28D92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11193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3AB7F5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4F05F3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55D1A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59EE5AA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FBA087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D61E56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D77C68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80E6EA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E393CC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C5FD8C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AE9FE6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62494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31B0662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B74854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CE7D17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4DAFA8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C78766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65E8DA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E2942C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4439AA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005B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ACA7ED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E8AC49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000262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B9901F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2700E3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203B2B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6F6E59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20B4C9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275F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45F78F3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83A907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1C808A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A67928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900599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8FCC44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3B9D3D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AAECA9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722D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50ADD87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DC44DE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686946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8C248B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2D33FF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972167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376A3E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6FE9D4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367E0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55AB959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A9276F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1024D8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EF95BC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41B478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4ED5E7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C74CF6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AED91D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0EC8F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6A58C13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78452E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64C0BA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2B85A0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C6B2CF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AA4EDF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8BCFF9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F7EC9A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6D09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1E445E9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ECB8AD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AB94BA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BF5AC4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1DE750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78C8AD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101CFC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F0621A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8E5B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73043A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00EC87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E4A529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9DF291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93F03A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4F6B4F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016042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E6B9D0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7062D3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17A7AFF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8F96B2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D93D58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38A6A7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881A8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9CFED4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F39B37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6A41D2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EB7B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424BDD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F1C4F7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FB24B5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0227AB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D14F88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5E4D6C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179C37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03E8E0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433FF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143798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097299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E4BE1D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3217E3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FF071E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FC22F2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0DE838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D971A5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0EE9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7BD7A85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CC9BEA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AE5A87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060B1B1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EE8013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2A0B0A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72A672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26E254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7D6F3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12B1CA7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CBD3F2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7115ACB">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AF99B5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F4173B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EAC61F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F85C4D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4F93E3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5C47A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381E044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02F6CE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832B23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4AD9009">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874B338">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528D7F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54667A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15BECC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6603E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27980AF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1381E8A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7B7E7A1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EC14D50">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0E9EC2B1">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56FCB37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D4B8BC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665BDCA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2EDEB3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1108" w:type="dxa"/>
            <w:noWrap w:val="0"/>
            <w:vAlign w:val="top"/>
          </w:tcPr>
          <w:p w14:paraId="73573EE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68A5603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E6FCD2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68A79B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1FCCF745">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4121BB9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372EB6A">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27D3044">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r w14:paraId="6B2B3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108" w:type="dxa"/>
            <w:noWrap w:val="0"/>
            <w:vAlign w:val="top"/>
          </w:tcPr>
          <w:p w14:paraId="145687DF">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2657825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40D2BEDE">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36B437A3">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52170316">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8" w:type="dxa"/>
            <w:noWrap w:val="0"/>
            <w:vAlign w:val="top"/>
          </w:tcPr>
          <w:p w14:paraId="7CD6DAFC">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20C30E47">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c>
          <w:tcPr>
            <w:tcW w:w="1107" w:type="dxa"/>
            <w:noWrap w:val="0"/>
            <w:vAlign w:val="top"/>
          </w:tcPr>
          <w:p w14:paraId="3AD86E02">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tc>
      </w:tr>
    </w:tbl>
    <w:p w14:paraId="01C1258D">
      <w:pPr>
        <w:autoSpaceDE w:val="0"/>
        <w:autoSpaceDN w:val="0"/>
        <w:adjustRightInd w:val="0"/>
        <w:spacing w:line="400" w:lineRule="exact"/>
        <w:jc w:val="left"/>
        <w:rPr>
          <w:rFonts w:hint="eastAsia" w:ascii="宋体" w:hAnsi="宋体" w:eastAsia="宋体" w:cs="宋体"/>
          <w:b w:val="0"/>
          <w:i w:val="0"/>
          <w:iCs w:val="0"/>
          <w:color w:val="auto"/>
          <w:szCs w:val="18"/>
          <w:highlight w:val="none"/>
          <w:lang w:val="zh-CN"/>
        </w:rPr>
      </w:pPr>
    </w:p>
    <w:p w14:paraId="6863767B">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bookmarkStart w:id="479" w:name="_Toc207164824"/>
      <w:bookmarkStart w:id="480" w:name="_Toc288154076"/>
      <w:bookmarkStart w:id="481" w:name="_Toc296536704"/>
      <w:bookmarkStart w:id="482" w:name="_Toc288149112"/>
    </w:p>
    <w:p w14:paraId="608306AD">
      <w:pPr>
        <w:autoSpaceDE w:val="0"/>
        <w:autoSpaceDN w:val="0"/>
        <w:adjustRightInd w:val="0"/>
        <w:spacing w:line="400" w:lineRule="exact"/>
        <w:jc w:val="left"/>
        <w:rPr>
          <w:rFonts w:hint="eastAsia" w:ascii="宋体" w:hAnsi="宋体" w:eastAsia="宋体" w:cs="宋体"/>
          <w:b w:val="0"/>
          <w:i w:val="0"/>
          <w:iCs w:val="0"/>
          <w:color w:val="auto"/>
          <w:sz w:val="28"/>
          <w:szCs w:val="13"/>
          <w:highlight w:val="none"/>
          <w:lang w:val="zh-CN"/>
        </w:rPr>
      </w:pPr>
    </w:p>
    <w:p w14:paraId="43D15E9A">
      <w:pPr>
        <w:autoSpaceDE w:val="0"/>
        <w:autoSpaceDN w:val="0"/>
        <w:adjustRightInd w:val="0"/>
        <w:spacing w:line="400" w:lineRule="exact"/>
        <w:ind w:firstLine="241" w:firstLineChars="100"/>
        <w:jc w:val="left"/>
        <w:rPr>
          <w:rFonts w:hint="eastAsia" w:ascii="宋体" w:hAnsi="宋体" w:eastAsia="宋体" w:cs="宋体"/>
          <w:b/>
          <w:bCs/>
          <w:i w:val="0"/>
          <w:iCs w:val="0"/>
          <w:color w:val="auto"/>
          <w:sz w:val="24"/>
          <w:szCs w:val="24"/>
          <w:highlight w:val="none"/>
          <w:lang w:val="zh-CN"/>
        </w:rPr>
      </w:pPr>
      <w:r>
        <w:rPr>
          <w:rFonts w:hint="eastAsia" w:ascii="宋体" w:hAnsi="宋体" w:eastAsia="宋体" w:cs="宋体"/>
          <w:b/>
          <w:bCs/>
          <w:i w:val="0"/>
          <w:iCs w:val="0"/>
          <w:color w:val="auto"/>
          <w:sz w:val="24"/>
          <w:szCs w:val="24"/>
          <w:highlight w:val="none"/>
          <w:lang w:val="zh-CN"/>
        </w:rPr>
        <w:t>附表四：计划开、竣工日期和施工进度网络图</w:t>
      </w:r>
      <w:bookmarkEnd w:id="479"/>
      <w:bookmarkEnd w:id="480"/>
      <w:bookmarkEnd w:id="481"/>
      <w:bookmarkEnd w:id="482"/>
    </w:p>
    <w:p w14:paraId="66CB6AC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p w14:paraId="64E0C6F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1.投标人应递交施工进度网络图或施工进度表，说明按招标文件要求的计划工期进行</w:t>
      </w:r>
    </w:p>
    <w:p w14:paraId="6B63AD4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施工的各个关键日期。</w:t>
      </w:r>
    </w:p>
    <w:p w14:paraId="255D8F6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2.施工进度表可采用网络图（或横道图）表示。</w:t>
      </w:r>
    </w:p>
    <w:p w14:paraId="67E5B59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p w14:paraId="2E8D910C">
      <w:pPr>
        <w:autoSpaceDE w:val="0"/>
        <w:autoSpaceDN w:val="0"/>
        <w:adjustRightInd w:val="0"/>
        <w:spacing w:line="400" w:lineRule="exact"/>
        <w:jc w:val="left"/>
        <w:rPr>
          <w:rFonts w:hint="eastAsia" w:ascii="宋体" w:hAnsi="宋体" w:eastAsia="宋体" w:cs="宋体"/>
          <w:b w:val="0"/>
          <w:bCs/>
          <w:i w:val="0"/>
          <w:iCs w:val="0"/>
          <w:color w:val="auto"/>
          <w:highlight w:val="none"/>
          <w:lang w:val="zh-CN"/>
        </w:rPr>
      </w:pPr>
      <w:r>
        <w:rPr>
          <w:rFonts w:hint="eastAsia" w:ascii="宋体" w:hAnsi="宋体" w:eastAsia="宋体" w:cs="宋体"/>
          <w:b w:val="0"/>
          <w:bCs/>
          <w:i w:val="0"/>
          <w:iCs w:val="0"/>
          <w:color w:val="auto"/>
          <w:szCs w:val="18"/>
          <w:highlight w:val="none"/>
        </w:rPr>
        <w:br w:type="page"/>
      </w:r>
      <w:bookmarkStart w:id="483" w:name="_Toc288154077"/>
      <w:bookmarkStart w:id="484" w:name="_Toc296536705"/>
      <w:bookmarkStart w:id="485" w:name="_Toc207164825"/>
      <w:bookmarkStart w:id="486" w:name="_Toc288149113"/>
      <w:r>
        <w:rPr>
          <w:rFonts w:hint="eastAsia" w:ascii="宋体" w:hAnsi="宋体" w:eastAsia="宋体" w:cs="宋体"/>
          <w:b/>
          <w:bCs/>
          <w:i w:val="0"/>
          <w:iCs w:val="0"/>
          <w:color w:val="auto"/>
          <w:sz w:val="24"/>
          <w:szCs w:val="24"/>
          <w:highlight w:val="none"/>
          <w:lang w:val="zh-CN"/>
        </w:rPr>
        <w:t>附表五：施工总平面图</w:t>
      </w:r>
      <w:bookmarkEnd w:id="483"/>
      <w:bookmarkEnd w:id="484"/>
      <w:bookmarkEnd w:id="485"/>
      <w:bookmarkEnd w:id="486"/>
    </w:p>
    <w:p w14:paraId="0D3424B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p w14:paraId="014CE58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投标人应递交一份施工总平面图，绘出现场临时设施布置图表并附文字说明，说明临时设施、加工车间、现场办公、设备及仓储、供电、供水、卫生、生活、道路、消防等设施的情况和布置。</w:t>
      </w:r>
    </w:p>
    <w:p w14:paraId="67CDD063">
      <w:pPr>
        <w:autoSpaceDE w:val="0"/>
        <w:autoSpaceDN w:val="0"/>
        <w:adjustRightInd w:val="0"/>
        <w:spacing w:line="400" w:lineRule="exact"/>
        <w:jc w:val="left"/>
        <w:rPr>
          <w:rFonts w:hint="eastAsia" w:ascii="宋体" w:hAnsi="宋体" w:eastAsia="宋体" w:cs="宋体"/>
          <w:b w:val="0"/>
          <w:i w:val="0"/>
          <w:iCs w:val="0"/>
          <w:color w:val="auto"/>
          <w:sz w:val="28"/>
          <w:szCs w:val="18"/>
          <w:highlight w:val="none"/>
        </w:rPr>
      </w:pPr>
      <w:r>
        <w:rPr>
          <w:rFonts w:hint="eastAsia" w:ascii="宋体" w:hAnsi="宋体" w:eastAsia="宋体" w:cs="宋体"/>
          <w:b w:val="0"/>
          <w:i w:val="0"/>
          <w:iCs w:val="0"/>
          <w:color w:val="auto"/>
          <w:szCs w:val="18"/>
          <w:highlight w:val="none"/>
        </w:rPr>
        <w:br w:type="page"/>
      </w:r>
      <w:bookmarkStart w:id="487" w:name="_Toc288154078"/>
      <w:bookmarkStart w:id="488" w:name="_Toc288149114"/>
      <w:bookmarkStart w:id="489" w:name="_Toc296536706"/>
      <w:bookmarkStart w:id="490" w:name="_Toc207164826"/>
      <w:r>
        <w:rPr>
          <w:rFonts w:hint="eastAsia" w:ascii="宋体" w:hAnsi="宋体" w:eastAsia="宋体" w:cs="宋体"/>
          <w:b/>
          <w:bCs/>
          <w:i w:val="0"/>
          <w:iCs w:val="0"/>
          <w:color w:val="auto"/>
          <w:sz w:val="24"/>
          <w:szCs w:val="24"/>
          <w:highlight w:val="none"/>
          <w:lang w:val="zh-CN"/>
        </w:rPr>
        <w:t>附表六：临时用地表</w:t>
      </w:r>
      <w:bookmarkEnd w:id="487"/>
      <w:bookmarkEnd w:id="488"/>
      <w:bookmarkEnd w:id="489"/>
      <w:bookmarkEnd w:id="490"/>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5"/>
        <w:gridCol w:w="2215"/>
        <w:gridCol w:w="2215"/>
        <w:gridCol w:w="2215"/>
      </w:tblGrid>
      <w:tr w14:paraId="4E909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center"/>
          </w:tcPr>
          <w:p w14:paraId="2A02F3B8">
            <w:pPr>
              <w:autoSpaceDE w:val="0"/>
              <w:autoSpaceDN w:val="0"/>
              <w:adjustRightInd w:val="0"/>
              <w:spacing w:line="400" w:lineRule="exac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用途</w:t>
            </w:r>
          </w:p>
        </w:tc>
        <w:tc>
          <w:tcPr>
            <w:tcW w:w="2215" w:type="dxa"/>
            <w:noWrap w:val="0"/>
            <w:vAlign w:val="center"/>
          </w:tcPr>
          <w:p w14:paraId="4E06ECD0">
            <w:pPr>
              <w:autoSpaceDE w:val="0"/>
              <w:autoSpaceDN w:val="0"/>
              <w:adjustRightInd w:val="0"/>
              <w:spacing w:line="400" w:lineRule="exac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面积（平方米）</w:t>
            </w:r>
          </w:p>
        </w:tc>
        <w:tc>
          <w:tcPr>
            <w:tcW w:w="2215" w:type="dxa"/>
            <w:noWrap w:val="0"/>
            <w:vAlign w:val="center"/>
          </w:tcPr>
          <w:p w14:paraId="0DD8327E">
            <w:pPr>
              <w:autoSpaceDE w:val="0"/>
              <w:autoSpaceDN w:val="0"/>
              <w:adjustRightInd w:val="0"/>
              <w:spacing w:line="400" w:lineRule="exac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位置</w:t>
            </w:r>
          </w:p>
        </w:tc>
        <w:tc>
          <w:tcPr>
            <w:tcW w:w="2215" w:type="dxa"/>
            <w:noWrap w:val="0"/>
            <w:vAlign w:val="center"/>
          </w:tcPr>
          <w:p w14:paraId="70823FDE">
            <w:pPr>
              <w:autoSpaceDE w:val="0"/>
              <w:autoSpaceDN w:val="0"/>
              <w:adjustRightInd w:val="0"/>
              <w:spacing w:line="400" w:lineRule="exact"/>
              <w:rPr>
                <w:rFonts w:hint="eastAsia" w:ascii="宋体" w:hAnsi="宋体" w:eastAsia="宋体" w:cs="宋体"/>
                <w:b w:val="0"/>
                <w:i w:val="0"/>
                <w:iCs w:val="0"/>
                <w:color w:val="auto"/>
                <w:sz w:val="21"/>
                <w:szCs w:val="18"/>
                <w:highlight w:val="none"/>
                <w:lang w:val="zh-CN"/>
              </w:rPr>
            </w:pPr>
            <w:r>
              <w:rPr>
                <w:rFonts w:hint="eastAsia" w:ascii="宋体" w:hAnsi="宋体" w:eastAsia="宋体" w:cs="宋体"/>
                <w:b w:val="0"/>
                <w:i w:val="0"/>
                <w:iCs w:val="0"/>
                <w:color w:val="auto"/>
                <w:sz w:val="21"/>
                <w:szCs w:val="18"/>
                <w:highlight w:val="none"/>
                <w:lang w:val="zh-CN"/>
              </w:rPr>
              <w:t>需用时间</w:t>
            </w:r>
          </w:p>
        </w:tc>
      </w:tr>
      <w:tr w14:paraId="3B98A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5795FA5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1F74EC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11D0F1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30C2218">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30D30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65E4E36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BA578C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5E1333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9666F7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3396F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110DF0C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26F202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5EBEDC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8633FF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60E2A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56977CC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3D8290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2B6025D">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13065E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59DCE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A37EBB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730081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937EFE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497919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701A6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8D5B82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0B03B3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E2FEE8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4644FA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731B3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EBD161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0753A8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C66430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AF6A92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F20E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66CB4BD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196F97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51F1A5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4C3F26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4131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D5CE65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FC928F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401FAF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53447E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1BDD8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07B6F08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28FFE4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D647BE5">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566FCF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7BDB6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5CFC5AC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3663B0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1C9AF4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EA42D4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25A0D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0C1BC68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982D1B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F55205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31A73B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4C32D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4ED72EC7">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BEDBE2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D4464C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D690A4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124FA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4030CB3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B881F0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D54E6CD">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AFA560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5E6F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08E3767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66B043D">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776A18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647F1E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2828C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4F7B227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DE135F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FEE12E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DACBD7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4EA4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39EFCB19">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754BAE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BCEDA84">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EBCDEE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42C70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5DC386D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CD438F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0D87202">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4112E7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541825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2B95976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06D437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BD9A7F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737319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1A515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2BFDA088">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7C3B1C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37B156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2633A03">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7FE8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29529BF0">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717714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9C0127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47B5A7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CF2A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7DE948F5">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06F57A8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3D945428">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19A117AF">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08EBE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215" w:type="dxa"/>
            <w:noWrap w:val="0"/>
            <w:vAlign w:val="top"/>
          </w:tcPr>
          <w:p w14:paraId="075427CE">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570759E1">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0C704F6">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6892DB9C">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r w14:paraId="3151C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2215" w:type="dxa"/>
            <w:noWrap w:val="0"/>
            <w:vAlign w:val="top"/>
          </w:tcPr>
          <w:p w14:paraId="6A4D232D">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27D7AE8A">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7712519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c>
          <w:tcPr>
            <w:tcW w:w="2215" w:type="dxa"/>
            <w:noWrap w:val="0"/>
            <w:vAlign w:val="top"/>
          </w:tcPr>
          <w:p w14:paraId="40B5EEAB">
            <w:pPr>
              <w:autoSpaceDE w:val="0"/>
              <w:autoSpaceDN w:val="0"/>
              <w:adjustRightInd w:val="0"/>
              <w:spacing w:line="400" w:lineRule="exact"/>
              <w:jc w:val="left"/>
              <w:rPr>
                <w:rFonts w:hint="eastAsia" w:ascii="宋体" w:hAnsi="宋体" w:eastAsia="宋体" w:cs="宋体"/>
                <w:b w:val="0"/>
                <w:i w:val="0"/>
                <w:iCs w:val="0"/>
                <w:color w:val="auto"/>
                <w:sz w:val="21"/>
                <w:szCs w:val="18"/>
                <w:highlight w:val="none"/>
                <w:lang w:val="zh-CN"/>
              </w:rPr>
            </w:pPr>
          </w:p>
        </w:tc>
      </w:tr>
    </w:tbl>
    <w:p w14:paraId="3FA57C6D">
      <w:pPr>
        <w:jc w:val="left"/>
        <w:outlineLvl w:val="9"/>
        <w:rPr>
          <w:rFonts w:hint="eastAsia" w:ascii="宋体" w:hAnsi="宋体" w:eastAsia="宋体" w:cs="宋体"/>
          <w:b/>
          <w:bCs/>
          <w:i w:val="0"/>
          <w:iCs w:val="0"/>
          <w:color w:val="auto"/>
          <w:sz w:val="28"/>
          <w:szCs w:val="28"/>
          <w:highlight w:val="none"/>
        </w:rPr>
      </w:pPr>
    </w:p>
    <w:bookmarkEnd w:id="458"/>
    <w:bookmarkEnd w:id="459"/>
    <w:bookmarkEnd w:id="460"/>
    <w:bookmarkEnd w:id="461"/>
    <w:bookmarkEnd w:id="462"/>
    <w:bookmarkEnd w:id="463"/>
    <w:bookmarkEnd w:id="464"/>
    <w:bookmarkEnd w:id="465"/>
    <w:bookmarkEnd w:id="466"/>
    <w:p w14:paraId="3CBBE510">
      <w:pPr>
        <w:spacing w:before="120" w:beforeLines="50" w:after="120" w:afterLines="50"/>
        <w:rPr>
          <w:rFonts w:hint="eastAsia" w:ascii="宋体" w:hAnsi="宋体" w:eastAsia="宋体" w:cs="宋体"/>
          <w:i w:val="0"/>
          <w:iCs w:val="0"/>
          <w:color w:val="auto"/>
          <w:kern w:val="0"/>
          <w:szCs w:val="21"/>
          <w:highlight w:val="none"/>
        </w:rPr>
      </w:pPr>
    </w:p>
    <w:p w14:paraId="1166B59A">
      <w:pPr>
        <w:spacing w:before="120" w:beforeLines="50" w:after="120" w:afterLines="50"/>
        <w:rPr>
          <w:rFonts w:hint="eastAsia" w:ascii="宋体" w:hAnsi="宋体" w:eastAsia="宋体" w:cs="宋体"/>
          <w:i w:val="0"/>
          <w:iCs w:val="0"/>
          <w:color w:val="auto"/>
          <w:kern w:val="0"/>
          <w:szCs w:val="21"/>
          <w:highlight w:val="none"/>
        </w:rPr>
      </w:pPr>
    </w:p>
    <w:p w14:paraId="4140B0B9">
      <w:pPr>
        <w:spacing w:before="120" w:beforeLines="50" w:after="120" w:afterLines="50"/>
        <w:rPr>
          <w:rFonts w:hint="eastAsia" w:ascii="宋体" w:hAnsi="宋体" w:eastAsia="宋体" w:cs="宋体"/>
          <w:i w:val="0"/>
          <w:iCs w:val="0"/>
          <w:color w:val="auto"/>
          <w:kern w:val="0"/>
          <w:szCs w:val="21"/>
          <w:highlight w:val="none"/>
        </w:rPr>
      </w:pPr>
    </w:p>
    <w:p w14:paraId="45B894A8">
      <w:pPr>
        <w:rPr>
          <w:rFonts w:hint="eastAsia" w:ascii="宋体" w:hAnsi="宋体" w:eastAsia="宋体" w:cs="宋体"/>
          <w:b/>
          <w:i w:val="0"/>
          <w:iCs w:val="0"/>
          <w:color w:val="auto"/>
          <w:sz w:val="32"/>
          <w:highlight w:val="none"/>
          <w:lang w:val="zh-CN"/>
        </w:rPr>
      </w:pPr>
      <w:bookmarkStart w:id="491" w:name="_Toc17740"/>
      <w:r>
        <w:rPr>
          <w:rFonts w:hint="eastAsia" w:ascii="宋体" w:hAnsi="宋体" w:eastAsia="宋体" w:cs="宋体"/>
          <w:b/>
          <w:i w:val="0"/>
          <w:iCs w:val="0"/>
          <w:color w:val="auto"/>
          <w:sz w:val="32"/>
          <w:highlight w:val="none"/>
          <w:lang w:val="zh-CN"/>
        </w:rPr>
        <w:br w:type="page"/>
      </w:r>
    </w:p>
    <w:p w14:paraId="6A2342BA">
      <w:pPr>
        <w:keepNext w:val="0"/>
        <w:keepLines w:val="0"/>
        <w:pageBreakBefore w:val="0"/>
        <w:widowControl w:val="0"/>
        <w:kinsoku/>
        <w:wordWrap/>
        <w:overflowPunct/>
        <w:topLinePunct w:val="0"/>
        <w:autoSpaceDE/>
        <w:autoSpaceDN/>
        <w:bidi w:val="0"/>
        <w:adjustRightInd/>
        <w:snapToGrid/>
        <w:spacing w:before="120" w:beforeLines="50" w:after="120" w:afterLines="50" w:line="288" w:lineRule="auto"/>
        <w:jc w:val="center"/>
        <w:textAlignment w:val="auto"/>
        <w:outlineLvl w:val="1"/>
        <w:rPr>
          <w:rFonts w:hint="eastAsia" w:ascii="宋体" w:hAnsi="宋体" w:eastAsia="宋体" w:cs="宋体"/>
          <w:b/>
          <w:bCs/>
          <w:i w:val="0"/>
          <w:iCs w:val="0"/>
          <w:snapToGrid w:val="0"/>
          <w:color w:val="auto"/>
          <w:kern w:val="0"/>
          <w:sz w:val="32"/>
          <w:szCs w:val="28"/>
          <w:highlight w:val="none"/>
          <w:lang w:val="zh-CN" w:eastAsia="zh-CN" w:bidi="ar-SA"/>
        </w:rPr>
      </w:pPr>
      <w:bookmarkStart w:id="492" w:name="_Toc4820"/>
      <w:r>
        <w:rPr>
          <w:rFonts w:hint="eastAsia" w:ascii="宋体" w:hAnsi="宋体" w:eastAsia="宋体" w:cs="宋体"/>
          <w:b/>
          <w:bCs/>
          <w:i w:val="0"/>
          <w:iCs w:val="0"/>
          <w:snapToGrid w:val="0"/>
          <w:color w:val="auto"/>
          <w:kern w:val="0"/>
          <w:sz w:val="32"/>
          <w:szCs w:val="28"/>
          <w:highlight w:val="none"/>
          <w:lang w:val="zh-CN" w:eastAsia="zh-CN" w:bidi="ar-SA"/>
        </w:rPr>
        <w:t>十一、其他资料</w:t>
      </w:r>
      <w:bookmarkEnd w:id="491"/>
      <w:bookmarkEnd w:id="492"/>
    </w:p>
    <w:p w14:paraId="796CD3F2">
      <w:pPr>
        <w:spacing w:before="120" w:beforeLines="50" w:after="120" w:afterLines="50" w:line="288" w:lineRule="auto"/>
        <w:jc w:val="center"/>
        <w:rPr>
          <w:rFonts w:hint="eastAsia" w:ascii="宋体" w:hAnsi="宋体" w:eastAsia="宋体" w:cs="宋体"/>
          <w:i w:val="0"/>
          <w:iCs w:val="0"/>
          <w:color w:val="auto"/>
          <w:sz w:val="21"/>
          <w:szCs w:val="21"/>
          <w:highlight w:val="none"/>
        </w:rPr>
      </w:pPr>
    </w:p>
    <w:p w14:paraId="2C43AC4E">
      <w:pPr>
        <w:spacing w:before="120" w:beforeLines="50" w:after="120" w:afterLines="50" w:line="288" w:lineRule="auto"/>
        <w:jc w:val="left"/>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提供竞争性磋商文件中要求的承诺书及供应商认为有必要提交的其他材料。</w:t>
      </w:r>
    </w:p>
    <w:p w14:paraId="7C885734">
      <w:pPr>
        <w:rPr>
          <w:rFonts w:hint="eastAsia" w:ascii="宋体" w:hAnsi="宋体" w:eastAsia="宋体" w:cs="宋体"/>
          <w:i w:val="0"/>
          <w:iCs w:val="0"/>
          <w:color w:val="auto"/>
          <w:sz w:val="24"/>
          <w:szCs w:val="24"/>
          <w:highlight w:val="none"/>
        </w:rPr>
        <w:sectPr>
          <w:pgSz w:w="11907" w:h="16840"/>
          <w:pgMar w:top="1418" w:right="1418" w:bottom="1418" w:left="1418" w:header="851" w:footer="992" w:gutter="0"/>
          <w:pgNumType w:fmt="decimal"/>
          <w:cols w:space="720" w:num="1"/>
          <w:docGrid w:linePitch="381" w:charSpace="-5735"/>
        </w:sectPr>
      </w:pPr>
    </w:p>
    <w:p w14:paraId="7DF4BB0E">
      <w:pPr>
        <w:spacing w:line="312" w:lineRule="auto"/>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　</w:t>
      </w:r>
    </w:p>
    <w:p w14:paraId="361DBF39">
      <w:pPr>
        <w:keepNext w:val="0"/>
        <w:keepLines w:val="0"/>
        <w:pageBreakBefore w:val="0"/>
        <w:widowControl w:val="0"/>
        <w:kinsoku/>
        <w:wordWrap/>
        <w:overflowPunct/>
        <w:topLinePunct w:val="0"/>
        <w:autoSpaceDE/>
        <w:autoSpaceDN/>
        <w:bidi w:val="0"/>
        <w:adjustRightInd/>
        <w:snapToGrid/>
        <w:spacing w:before="162" w:line="360" w:lineRule="auto"/>
        <w:jc w:val="center"/>
        <w:textAlignment w:val="auto"/>
        <w:outlineLvl w:val="1"/>
        <w:rPr>
          <w:rFonts w:hint="eastAsia" w:ascii="宋体" w:hAnsi="宋体" w:eastAsia="宋体" w:cs="宋体"/>
          <w:b/>
          <w:i w:val="0"/>
          <w:iCs w:val="0"/>
          <w:color w:val="auto"/>
          <w:kern w:val="44"/>
          <w:sz w:val="32"/>
          <w:szCs w:val="32"/>
          <w:highlight w:val="none"/>
          <w:lang w:eastAsia="zh-CN"/>
        </w:rPr>
      </w:pPr>
      <w:bookmarkStart w:id="493" w:name="_Toc13116"/>
      <w:bookmarkStart w:id="494" w:name="_Toc8767"/>
      <w:r>
        <w:rPr>
          <w:rFonts w:hint="eastAsia" w:ascii="宋体" w:hAnsi="宋体" w:eastAsia="宋体" w:cs="宋体"/>
          <w:b/>
          <w:i w:val="0"/>
          <w:iCs w:val="0"/>
          <w:color w:val="auto"/>
          <w:kern w:val="44"/>
          <w:sz w:val="32"/>
          <w:szCs w:val="32"/>
          <w:highlight w:val="none"/>
        </w:rPr>
        <w:t>中小企业声明函</w:t>
      </w:r>
      <w:bookmarkEnd w:id="493"/>
      <w:r>
        <w:rPr>
          <w:rFonts w:hint="eastAsia" w:ascii="宋体" w:hAnsi="宋体" w:eastAsia="宋体" w:cs="宋体"/>
          <w:b/>
          <w:i w:val="0"/>
          <w:iCs w:val="0"/>
          <w:color w:val="auto"/>
          <w:kern w:val="44"/>
          <w:sz w:val="32"/>
          <w:szCs w:val="32"/>
          <w:highlight w:val="none"/>
          <w:lang w:eastAsia="zh-CN"/>
        </w:rPr>
        <w:t>（</w:t>
      </w:r>
      <w:r>
        <w:rPr>
          <w:rFonts w:hint="eastAsia" w:ascii="宋体" w:hAnsi="宋体" w:eastAsia="宋体" w:cs="宋体"/>
          <w:b/>
          <w:i w:val="0"/>
          <w:iCs w:val="0"/>
          <w:color w:val="auto"/>
          <w:kern w:val="44"/>
          <w:sz w:val="32"/>
          <w:szCs w:val="32"/>
          <w:highlight w:val="none"/>
          <w:lang w:val="en-US" w:eastAsia="zh-CN"/>
        </w:rPr>
        <w:t>工程、服务</w:t>
      </w:r>
      <w:r>
        <w:rPr>
          <w:rFonts w:hint="eastAsia" w:ascii="宋体" w:hAnsi="宋体" w:eastAsia="宋体" w:cs="宋体"/>
          <w:b/>
          <w:i w:val="0"/>
          <w:iCs w:val="0"/>
          <w:color w:val="auto"/>
          <w:kern w:val="44"/>
          <w:sz w:val="32"/>
          <w:szCs w:val="32"/>
          <w:highlight w:val="none"/>
          <w:lang w:eastAsia="zh-CN"/>
        </w:rPr>
        <w:t>）</w:t>
      </w:r>
      <w:bookmarkEnd w:id="494"/>
    </w:p>
    <w:p w14:paraId="7CDDE2C9">
      <w:pPr>
        <w:pStyle w:val="9"/>
        <w:rPr>
          <w:rFonts w:hint="eastAsia" w:ascii="宋体" w:hAnsi="宋体" w:eastAsia="宋体" w:cs="宋体"/>
          <w:i w:val="0"/>
          <w:iCs w:val="0"/>
          <w:color w:val="auto"/>
          <w:sz w:val="24"/>
          <w:szCs w:val="24"/>
          <w:highlight w:val="none"/>
        </w:rPr>
      </w:pPr>
    </w:p>
    <w:p w14:paraId="7E2D72B6">
      <w:pPr>
        <w:spacing w:after="60" w:line="360" w:lineRule="auto"/>
        <w:ind w:left="63" w:leftChars="30" w:right="63" w:rightChars="30" w:firstLine="64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本公司（联合体）郑重声明，根据《政府采购促进中小企业发展管理办法》（财库﹝2020﹞46 号）的规定，本公司（联合体）参加</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（单位名称）</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rPr>
        <w:t>（项目名称）</w:t>
      </w:r>
      <w:r>
        <w:rPr>
          <w:rFonts w:hint="eastAsia" w:ascii="宋体" w:hAnsi="宋体" w:eastAsia="宋体" w:cs="宋体"/>
          <w:i w:val="0"/>
          <w:iCs w:val="0"/>
          <w:color w:val="auto"/>
          <w:sz w:val="24"/>
          <w:szCs w:val="24"/>
          <w:highlight w:val="none"/>
        </w:rPr>
        <w:t>采购活动，工程的施工单位全部为符合政策要求的中小企业。相关企业（含联合体中的中小企业、签订分包意向协议的中小企业）的具体情况如下：</w:t>
      </w:r>
    </w:p>
    <w:p w14:paraId="602FE71D">
      <w:pPr>
        <w:widowControl/>
        <w:numPr>
          <w:ilvl w:val="0"/>
          <w:numId w:val="0"/>
        </w:numPr>
        <w:spacing w:line="360" w:lineRule="auto"/>
        <w:ind w:right="415"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none"/>
          <w:lang w:val="en-US" w:eastAsia="zh-CN"/>
        </w:rPr>
        <w:t>1.</w:t>
      </w:r>
      <w:r>
        <w:rPr>
          <w:rFonts w:hint="eastAsia" w:ascii="宋体" w:hAnsi="宋体" w:eastAsia="宋体" w:cs="宋体"/>
          <w:i w:val="0"/>
          <w:iCs w:val="0"/>
          <w:color w:val="auto"/>
          <w:sz w:val="24"/>
          <w:szCs w:val="24"/>
          <w:highlight w:val="none"/>
          <w:u w:val="single"/>
        </w:rPr>
        <w:t>（标的名称）</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u w:val="single"/>
        </w:rPr>
        <w:t>（采购文件中明确的所属行业）</w:t>
      </w:r>
      <w:r>
        <w:rPr>
          <w:rFonts w:hint="eastAsia" w:ascii="宋体" w:hAnsi="宋体" w:eastAsia="宋体" w:cs="宋体"/>
          <w:i w:val="0"/>
          <w:iCs w:val="0"/>
          <w:color w:val="auto"/>
          <w:sz w:val="24"/>
          <w:szCs w:val="24"/>
          <w:highlight w:val="none"/>
        </w:rPr>
        <w:t>；承建（承接）企业为</w:t>
      </w:r>
      <w:r>
        <w:rPr>
          <w:rFonts w:hint="eastAsia" w:ascii="宋体" w:hAnsi="宋体" w:eastAsia="宋体" w:cs="宋体"/>
          <w:i w:val="0"/>
          <w:iCs w:val="0"/>
          <w:color w:val="auto"/>
          <w:sz w:val="24"/>
          <w:szCs w:val="24"/>
          <w:highlight w:val="none"/>
          <w:u w:val="single"/>
        </w:rPr>
        <w:t>（企业名称）</w:t>
      </w:r>
      <w:r>
        <w:rPr>
          <w:rFonts w:hint="eastAsia" w:ascii="宋体" w:hAnsi="宋体" w:eastAsia="宋体" w:cs="宋体"/>
          <w:i w:val="0"/>
          <w:iCs w:val="0"/>
          <w:color w:val="auto"/>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人，营业收入为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万元，属于</w:t>
      </w:r>
      <w:r>
        <w:rPr>
          <w:rFonts w:hint="eastAsia" w:ascii="宋体" w:hAnsi="宋体" w:eastAsia="宋体" w:cs="宋体"/>
          <w:i w:val="0"/>
          <w:iCs w:val="0"/>
          <w:color w:val="auto"/>
          <w:sz w:val="24"/>
          <w:szCs w:val="24"/>
          <w:highlight w:val="none"/>
          <w:u w:val="single"/>
        </w:rPr>
        <w:t>（中型企业、小型企业、微型企业）</w:t>
      </w:r>
      <w:r>
        <w:rPr>
          <w:rFonts w:hint="eastAsia" w:ascii="宋体" w:hAnsi="宋体" w:eastAsia="宋体" w:cs="宋体"/>
          <w:i w:val="0"/>
          <w:iCs w:val="0"/>
          <w:color w:val="auto"/>
          <w:sz w:val="24"/>
          <w:szCs w:val="24"/>
          <w:highlight w:val="none"/>
        </w:rPr>
        <w:t>；</w:t>
      </w:r>
    </w:p>
    <w:p w14:paraId="5B17B74B">
      <w:pPr>
        <w:widowControl/>
        <w:numPr>
          <w:ilvl w:val="0"/>
          <w:numId w:val="0"/>
        </w:numPr>
        <w:spacing w:line="360" w:lineRule="auto"/>
        <w:ind w:right="415" w:rightChars="0"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none"/>
          <w:lang w:val="en-US" w:eastAsia="zh-CN"/>
        </w:rPr>
        <w:t>2.</w:t>
      </w:r>
      <w:r>
        <w:rPr>
          <w:rFonts w:hint="eastAsia" w:ascii="宋体" w:hAnsi="宋体" w:eastAsia="宋体" w:cs="宋体"/>
          <w:i w:val="0"/>
          <w:iCs w:val="0"/>
          <w:color w:val="auto"/>
          <w:sz w:val="24"/>
          <w:szCs w:val="24"/>
          <w:highlight w:val="none"/>
          <w:u w:val="single"/>
        </w:rPr>
        <w:t>（标的名称）</w:t>
      </w:r>
      <w:r>
        <w:rPr>
          <w:rFonts w:hint="eastAsia" w:ascii="宋体" w:hAnsi="宋体" w:eastAsia="宋体" w:cs="宋体"/>
          <w:i w:val="0"/>
          <w:iCs w:val="0"/>
          <w:color w:val="auto"/>
          <w:sz w:val="24"/>
          <w:szCs w:val="24"/>
          <w:highlight w:val="none"/>
        </w:rPr>
        <w:t>，属于</w:t>
      </w:r>
      <w:r>
        <w:rPr>
          <w:rFonts w:hint="eastAsia" w:ascii="宋体" w:hAnsi="宋体" w:eastAsia="宋体" w:cs="宋体"/>
          <w:i w:val="0"/>
          <w:iCs w:val="0"/>
          <w:color w:val="auto"/>
          <w:sz w:val="24"/>
          <w:szCs w:val="24"/>
          <w:highlight w:val="none"/>
          <w:u w:val="single"/>
        </w:rPr>
        <w:t>（采购文件中明确的所属行业）</w:t>
      </w:r>
      <w:r>
        <w:rPr>
          <w:rFonts w:hint="eastAsia" w:ascii="宋体" w:hAnsi="宋体" w:eastAsia="宋体" w:cs="宋体"/>
          <w:i w:val="0"/>
          <w:iCs w:val="0"/>
          <w:color w:val="auto"/>
          <w:sz w:val="24"/>
          <w:szCs w:val="24"/>
          <w:highlight w:val="none"/>
        </w:rPr>
        <w:t>；承建（承接）企业为</w:t>
      </w:r>
      <w:r>
        <w:rPr>
          <w:rFonts w:hint="eastAsia" w:ascii="宋体" w:hAnsi="宋体" w:eastAsia="宋体" w:cs="宋体"/>
          <w:i w:val="0"/>
          <w:iCs w:val="0"/>
          <w:color w:val="auto"/>
          <w:sz w:val="24"/>
          <w:szCs w:val="24"/>
          <w:highlight w:val="none"/>
          <w:u w:val="single"/>
        </w:rPr>
        <w:t>（企业名称）</w:t>
      </w:r>
      <w:r>
        <w:rPr>
          <w:rFonts w:hint="eastAsia" w:ascii="宋体" w:hAnsi="宋体" w:eastAsia="宋体" w:cs="宋体"/>
          <w:i w:val="0"/>
          <w:iCs w:val="0"/>
          <w:color w:val="auto"/>
          <w:sz w:val="24"/>
          <w:szCs w:val="24"/>
          <w:highlight w:val="none"/>
        </w:rPr>
        <w:t>，从业人员</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rPr>
        <w:t>人，营业收入为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万元，资产总额为</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rPr>
        <w:tab/>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万元，属于</w:t>
      </w:r>
      <w:r>
        <w:rPr>
          <w:rFonts w:hint="eastAsia" w:ascii="宋体" w:hAnsi="宋体" w:eastAsia="宋体" w:cs="宋体"/>
          <w:i w:val="0"/>
          <w:iCs w:val="0"/>
          <w:color w:val="auto"/>
          <w:sz w:val="24"/>
          <w:szCs w:val="24"/>
          <w:highlight w:val="none"/>
          <w:u w:val="single"/>
        </w:rPr>
        <w:t>（中型企业、小型企业、微型企业）</w:t>
      </w:r>
      <w:r>
        <w:rPr>
          <w:rFonts w:hint="eastAsia" w:ascii="宋体" w:hAnsi="宋体" w:eastAsia="宋体" w:cs="宋体"/>
          <w:i w:val="0"/>
          <w:iCs w:val="0"/>
          <w:color w:val="auto"/>
          <w:sz w:val="24"/>
          <w:szCs w:val="24"/>
          <w:highlight w:val="none"/>
        </w:rPr>
        <w:t>；</w:t>
      </w:r>
    </w:p>
    <w:p w14:paraId="30FADF8D">
      <w:pPr>
        <w:tabs>
          <w:tab w:val="left" w:pos="2654"/>
          <w:tab w:val="center" w:pos="4595"/>
        </w:tabs>
        <w:spacing w:before="11" w:after="60" w:line="360" w:lineRule="auto"/>
        <w:ind w:left="63" w:leftChars="30" w:right="63" w:rightChars="3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ab/>
      </w:r>
      <w:r>
        <w:rPr>
          <w:rFonts w:hint="eastAsia" w:ascii="宋体" w:hAnsi="宋体" w:eastAsia="宋体" w:cs="宋体"/>
          <w:i w:val="0"/>
          <w:iCs w:val="0"/>
          <w:color w:val="auto"/>
          <w:sz w:val="24"/>
          <w:szCs w:val="24"/>
          <w:highlight w:val="none"/>
          <w:lang w:eastAsia="zh-CN"/>
        </w:rPr>
        <w:tab/>
      </w:r>
      <w:r>
        <w:rPr>
          <w:rFonts w:hint="eastAsia" w:ascii="宋体" w:hAnsi="宋体" w:eastAsia="宋体" w:cs="宋体"/>
          <w:i w:val="0"/>
          <w:iCs w:val="0"/>
          <w:color w:val="auto"/>
          <w:sz w:val="24"/>
          <w:szCs w:val="24"/>
          <w:highlight w:val="none"/>
        </w:rPr>
        <w:t>……</w:t>
      </w:r>
    </w:p>
    <w:p w14:paraId="0C471EA5">
      <w:pPr>
        <w:adjustRightInd w:val="0"/>
        <w:spacing w:before="108" w:after="60" w:line="360" w:lineRule="auto"/>
        <w:ind w:left="63" w:leftChars="30" w:right="63" w:rightChars="30" w:firstLine="645"/>
        <w:jc w:val="left"/>
        <w:textAlignment w:val="baseline"/>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pacing w:val="-3"/>
          <w:sz w:val="24"/>
          <w:szCs w:val="24"/>
          <w:highlight w:val="none"/>
        </w:rPr>
        <w:t>以上企业，不属于大企业的分支机构，不存在控股股东</w:t>
      </w:r>
      <w:r>
        <w:rPr>
          <w:rFonts w:hint="eastAsia" w:ascii="宋体" w:hAnsi="宋体" w:eastAsia="宋体" w:cs="宋体"/>
          <w:i w:val="0"/>
          <w:iCs w:val="0"/>
          <w:color w:val="auto"/>
          <w:spacing w:val="-5"/>
          <w:sz w:val="24"/>
          <w:szCs w:val="24"/>
          <w:highlight w:val="none"/>
        </w:rPr>
        <w:t>为大企业的情形，也不存在与大企业的负责人为同一人的情形。</w:t>
      </w:r>
    </w:p>
    <w:p w14:paraId="09AC544B">
      <w:pPr>
        <w:adjustRightInd w:val="0"/>
        <w:spacing w:after="60" w:line="360" w:lineRule="auto"/>
        <w:ind w:left="63" w:leftChars="30" w:right="63" w:rightChars="30" w:firstLine="640"/>
        <w:jc w:val="left"/>
        <w:textAlignment w:val="baseline"/>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本企业对上述声明内容的真实性负责。如有虚假，将依法承担相应责任。</w:t>
      </w:r>
    </w:p>
    <w:p w14:paraId="6C2F0DB5">
      <w:pPr>
        <w:adjustRightInd w:val="0"/>
        <w:spacing w:before="108" w:after="60" w:line="360" w:lineRule="auto"/>
        <w:ind w:left="63" w:leftChars="30" w:right="63" w:rightChars="30" w:firstLine="645"/>
        <w:jc w:val="left"/>
        <w:textAlignment w:val="baseline"/>
        <w:rPr>
          <w:rFonts w:hint="eastAsia" w:ascii="宋体" w:hAnsi="宋体" w:eastAsia="宋体" w:cs="宋体"/>
          <w:i w:val="0"/>
          <w:iCs w:val="0"/>
          <w:color w:val="auto"/>
          <w:spacing w:val="-5"/>
          <w:sz w:val="24"/>
          <w:szCs w:val="24"/>
          <w:highlight w:val="none"/>
        </w:rPr>
      </w:pPr>
    </w:p>
    <w:p w14:paraId="7E0BC390">
      <w:pPr>
        <w:adjustRightInd w:val="0"/>
        <w:spacing w:before="108" w:after="60" w:line="360" w:lineRule="auto"/>
        <w:ind w:left="63" w:leftChars="30" w:right="63" w:rightChars="30" w:firstLine="645"/>
        <w:jc w:val="left"/>
        <w:textAlignment w:val="baseline"/>
        <w:rPr>
          <w:rFonts w:hint="eastAsia" w:ascii="宋体" w:hAnsi="宋体" w:eastAsia="宋体" w:cs="宋体"/>
          <w:i w:val="0"/>
          <w:iCs w:val="0"/>
          <w:color w:val="auto"/>
          <w:spacing w:val="-5"/>
          <w:sz w:val="24"/>
          <w:szCs w:val="24"/>
          <w:highlight w:val="none"/>
        </w:rPr>
      </w:pPr>
    </w:p>
    <w:p w14:paraId="62C04981">
      <w:pPr>
        <w:adjustRightInd w:val="0"/>
        <w:spacing w:before="108" w:after="60" w:line="360" w:lineRule="auto"/>
        <w:ind w:right="63" w:rightChars="30" w:firstLine="5520" w:firstLineChars="2400"/>
        <w:jc w:val="left"/>
        <w:textAlignment w:val="baseline"/>
        <w:rPr>
          <w:rFonts w:hint="eastAsia" w:ascii="宋体" w:hAnsi="宋体" w:eastAsia="宋体" w:cs="宋体"/>
          <w:i w:val="0"/>
          <w:iCs w:val="0"/>
          <w:color w:val="auto"/>
          <w:spacing w:val="-5"/>
          <w:sz w:val="24"/>
          <w:szCs w:val="24"/>
          <w:highlight w:val="none"/>
        </w:rPr>
      </w:pPr>
      <w:r>
        <w:rPr>
          <w:rFonts w:hint="eastAsia" w:ascii="宋体" w:hAnsi="宋体" w:eastAsia="宋体" w:cs="宋体"/>
          <w:i w:val="0"/>
          <w:iCs w:val="0"/>
          <w:color w:val="auto"/>
          <w:spacing w:val="-5"/>
          <w:sz w:val="24"/>
          <w:szCs w:val="24"/>
          <w:highlight w:val="none"/>
        </w:rPr>
        <w:t>企业名称（盖章）：</w:t>
      </w:r>
    </w:p>
    <w:p w14:paraId="59165982">
      <w:pPr>
        <w:widowControl/>
        <w:adjustRightInd w:val="0"/>
        <w:snapToGrid w:val="0"/>
        <w:spacing w:line="360" w:lineRule="auto"/>
        <w:ind w:firstLine="5520" w:firstLineChars="2400"/>
        <w:jc w:val="left"/>
        <w:rPr>
          <w:rFonts w:hint="eastAsia" w:ascii="宋体" w:hAnsi="宋体" w:eastAsia="宋体" w:cs="宋体"/>
          <w:i w:val="0"/>
          <w:iCs w:val="0"/>
          <w:color w:val="auto"/>
          <w:spacing w:val="7"/>
          <w:kern w:val="0"/>
          <w:sz w:val="24"/>
          <w:szCs w:val="24"/>
          <w:highlight w:val="none"/>
        </w:rPr>
      </w:pPr>
      <w:r>
        <w:rPr>
          <w:rFonts w:hint="eastAsia" w:ascii="宋体" w:hAnsi="宋体" w:eastAsia="宋体" w:cs="宋体"/>
          <w:i w:val="0"/>
          <w:iCs w:val="0"/>
          <w:color w:val="auto"/>
          <w:spacing w:val="-5"/>
          <w:kern w:val="0"/>
          <w:sz w:val="24"/>
          <w:szCs w:val="24"/>
          <w:highlight w:val="none"/>
        </w:rPr>
        <w:t>日</w:t>
      </w:r>
      <w:r>
        <w:rPr>
          <w:rFonts w:hint="eastAsia" w:ascii="宋体" w:hAnsi="宋体" w:eastAsia="宋体" w:cs="宋体"/>
          <w:i w:val="0"/>
          <w:iCs w:val="0"/>
          <w:color w:val="auto"/>
          <w:spacing w:val="-5"/>
          <w:kern w:val="0"/>
          <w:sz w:val="24"/>
          <w:szCs w:val="24"/>
          <w:highlight w:val="none"/>
          <w:lang w:val="en-US" w:eastAsia="zh-CN"/>
        </w:rPr>
        <w:t xml:space="preserve">     </w:t>
      </w:r>
      <w:r>
        <w:rPr>
          <w:rFonts w:hint="eastAsia" w:ascii="宋体" w:hAnsi="宋体" w:eastAsia="宋体" w:cs="宋体"/>
          <w:i w:val="0"/>
          <w:iCs w:val="0"/>
          <w:color w:val="auto"/>
          <w:spacing w:val="-5"/>
          <w:kern w:val="0"/>
          <w:sz w:val="24"/>
          <w:szCs w:val="24"/>
          <w:highlight w:val="none"/>
        </w:rPr>
        <w:t>期：</w:t>
      </w:r>
    </w:p>
    <w:p w14:paraId="0E618EF2">
      <w:pPr>
        <w:widowControl/>
        <w:jc w:val="left"/>
        <w:rPr>
          <w:rFonts w:hint="eastAsia" w:ascii="宋体" w:hAnsi="宋体" w:eastAsia="宋体" w:cs="宋体"/>
          <w:i w:val="0"/>
          <w:iCs w:val="0"/>
          <w:color w:val="auto"/>
          <w:spacing w:val="7"/>
          <w:sz w:val="24"/>
          <w:szCs w:val="24"/>
          <w:highlight w:val="none"/>
        </w:rPr>
      </w:pPr>
    </w:p>
    <w:p w14:paraId="22E8311A">
      <w:pPr>
        <w:widowControl/>
        <w:jc w:val="left"/>
        <w:rPr>
          <w:rFonts w:hint="eastAsia" w:ascii="宋体" w:hAnsi="宋体" w:eastAsia="宋体" w:cs="宋体"/>
          <w:i w:val="0"/>
          <w:iCs w:val="0"/>
          <w:color w:val="auto"/>
          <w:spacing w:val="7"/>
          <w:sz w:val="24"/>
          <w:szCs w:val="24"/>
          <w:highlight w:val="none"/>
        </w:rPr>
      </w:pPr>
    </w:p>
    <w:p w14:paraId="1BBF6F4D">
      <w:pPr>
        <w:widowControl/>
        <w:jc w:val="left"/>
        <w:rPr>
          <w:rFonts w:hint="eastAsia" w:ascii="宋体" w:hAnsi="宋体" w:eastAsia="宋体" w:cs="宋体"/>
          <w:i w:val="0"/>
          <w:iCs w:val="0"/>
          <w:color w:val="auto"/>
          <w:spacing w:val="7"/>
          <w:sz w:val="24"/>
          <w:szCs w:val="24"/>
          <w:highlight w:val="none"/>
        </w:rPr>
      </w:pPr>
    </w:p>
    <w:p w14:paraId="361C423E">
      <w:pPr>
        <w:widowControl/>
        <w:jc w:val="left"/>
        <w:rPr>
          <w:rFonts w:hint="eastAsia" w:ascii="宋体" w:hAnsi="宋体" w:eastAsia="宋体" w:cs="宋体"/>
          <w:i w:val="0"/>
          <w:iCs w:val="0"/>
          <w:color w:val="auto"/>
          <w:spacing w:val="7"/>
          <w:sz w:val="24"/>
          <w:szCs w:val="24"/>
          <w:highlight w:val="none"/>
        </w:rPr>
      </w:pPr>
    </w:p>
    <w:p w14:paraId="72559497">
      <w:pPr>
        <w:widowControl/>
        <w:jc w:val="left"/>
        <w:rPr>
          <w:rFonts w:hint="eastAsia" w:ascii="宋体" w:hAnsi="宋体" w:eastAsia="宋体" w:cs="宋体"/>
          <w:i w:val="0"/>
          <w:iCs w:val="0"/>
          <w:color w:val="auto"/>
          <w:spacing w:val="7"/>
          <w:sz w:val="24"/>
          <w:szCs w:val="24"/>
          <w:highlight w:val="none"/>
        </w:rPr>
      </w:pPr>
    </w:p>
    <w:p w14:paraId="1C10C2A2">
      <w:pPr>
        <w:jc w:val="left"/>
        <w:rPr>
          <w:rFonts w:ascii="宋体" w:hAnsi="宋体"/>
          <w:b/>
          <w:color w:val="auto"/>
          <w:szCs w:val="21"/>
          <w:highlight w:val="none"/>
        </w:rPr>
      </w:pPr>
      <w:r>
        <w:rPr>
          <w:rFonts w:hint="eastAsia" w:ascii="宋体" w:hAnsi="宋体" w:eastAsia="宋体" w:cs="宋体"/>
          <w:i w:val="0"/>
          <w:iCs w:val="0"/>
          <w:color w:val="auto"/>
          <w:sz w:val="24"/>
          <w:szCs w:val="24"/>
          <w:highlight w:val="none"/>
        </w:rPr>
        <w:t>从业人员、营业收入、资产总额填报上一年度数据，无上一年度数据的新成立企业可不填报</w:t>
      </w:r>
      <w:r>
        <w:rPr>
          <w:rFonts w:hint="eastAsia" w:ascii="宋体" w:hAnsi="宋体" w:eastAsia="宋体" w:cs="宋体"/>
          <w:b/>
          <w:i w:val="0"/>
          <w:iCs w:val="0"/>
          <w:color w:val="auto"/>
          <w:szCs w:val="21"/>
          <w:highlight w:val="none"/>
        </w:rPr>
        <w:br w:type="page"/>
      </w:r>
      <w:r>
        <w:rPr>
          <w:rFonts w:hint="eastAsia" w:ascii="宋体" w:hAnsi="宋体"/>
          <w:b/>
          <w:color w:val="auto"/>
          <w:szCs w:val="21"/>
          <w:highlight w:val="none"/>
        </w:rPr>
        <w:t>附件：</w:t>
      </w:r>
    </w:p>
    <w:p w14:paraId="3468B21B">
      <w:pPr>
        <w:keepNext w:val="0"/>
        <w:keepLines w:val="0"/>
        <w:pageBreakBefore w:val="0"/>
        <w:widowControl/>
        <w:shd w:val="clear" w:color="auto" w:fill="FFFFFF"/>
        <w:kinsoku/>
        <w:wordWrap/>
        <w:overflowPunct/>
        <w:topLinePunct w:val="0"/>
        <w:autoSpaceDE/>
        <w:autoSpaceDN/>
        <w:bidi w:val="0"/>
        <w:adjustRightInd w:val="0"/>
        <w:snapToGrid w:val="0"/>
        <w:spacing w:before="0" w:after="0" w:line="360" w:lineRule="auto"/>
        <w:jc w:val="center"/>
        <w:textAlignment w:val="auto"/>
        <w:outlineLvl w:val="9"/>
        <w:rPr>
          <w:rFonts w:hint="eastAsia" w:ascii="宋体" w:hAnsi="宋体" w:eastAsia="宋体" w:cs="宋体"/>
          <w:b/>
          <w:color w:val="auto"/>
          <w:spacing w:val="7"/>
          <w:sz w:val="21"/>
          <w:szCs w:val="21"/>
          <w:highlight w:val="none"/>
        </w:rPr>
      </w:pPr>
      <w:bookmarkStart w:id="495" w:name="_Toc12058"/>
      <w:bookmarkStart w:id="496" w:name="_Toc24080"/>
      <w:bookmarkStart w:id="497" w:name="_Toc6114"/>
      <w:bookmarkStart w:id="498" w:name="_Toc25591"/>
      <w:r>
        <w:rPr>
          <w:rStyle w:val="32"/>
          <w:rFonts w:hint="eastAsia" w:hAnsi="宋体"/>
          <w:b/>
          <w:bCs/>
          <w:color w:val="auto"/>
          <w:sz w:val="21"/>
          <w:szCs w:val="21"/>
          <w:highlight w:val="none"/>
        </w:rPr>
        <w:t>关于印发《政府采购促进中小企业发展管理办法》的通知</w:t>
      </w:r>
      <w:bookmarkEnd w:id="495"/>
      <w:bookmarkEnd w:id="496"/>
      <w:bookmarkEnd w:id="497"/>
      <w:bookmarkEnd w:id="498"/>
    </w:p>
    <w:p w14:paraId="1004B73D">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center"/>
        <w:textAlignment w:val="auto"/>
        <w:outlineLvl w:val="9"/>
        <w:rPr>
          <w:rFonts w:hint="eastAsia" w:cs="宋体"/>
          <w:color w:val="auto"/>
          <w:spacing w:val="7"/>
          <w:sz w:val="21"/>
          <w:szCs w:val="21"/>
          <w:highlight w:val="none"/>
        </w:rPr>
      </w:pPr>
      <w:r>
        <w:rPr>
          <w:rStyle w:val="19"/>
          <w:rFonts w:hint="eastAsia" w:cs="宋体"/>
          <w:b w:val="0"/>
          <w:color w:val="auto"/>
          <w:spacing w:val="7"/>
          <w:sz w:val="21"/>
          <w:szCs w:val="21"/>
          <w:highlight w:val="none"/>
          <w:shd w:val="clear" w:color="auto" w:fill="FFFFFF"/>
        </w:rPr>
        <w:t>财库〔2020〕46号</w:t>
      </w:r>
    </w:p>
    <w:p w14:paraId="5118A267">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各中央预算单位办公厅（室），各省、自治区、直辖市、计划单列市财政厅（局）、工业和信息化主管部门，新疆生产建设兵团财政局、工业和信息化主管部门：</w:t>
      </w:r>
    </w:p>
    <w:p w14:paraId="5195F5BB">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为贯彻落实《关于促进中小企业健康发展的指导意见》，发挥政府采购政策功能，促进中小企业发展，根据《中华人民共和国政府采购法》、《中华人民共和国中小企业促进法》等法律法规，财政部、工业和信息化部制定了《政府采购促进中小企业发展管理办法》。现印发给你们，请遵照执行。</w:t>
      </w:r>
    </w:p>
    <w:p w14:paraId="0E862FAA">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附件：政府采购促进中小企业发展管理办法</w:t>
      </w:r>
    </w:p>
    <w:p w14:paraId="49A09928">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right"/>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 财  政  部</w:t>
      </w:r>
    </w:p>
    <w:p w14:paraId="7EB2D5EE">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right"/>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工业和信息化部</w:t>
      </w:r>
    </w:p>
    <w:p w14:paraId="56A25B75">
      <w:pPr>
        <w:pStyle w:val="15"/>
        <w:keepNext w:val="0"/>
        <w:keepLines w:val="0"/>
        <w:pageBreakBefore w:val="0"/>
        <w:shd w:val="clear" w:color="auto" w:fill="FFFFFF"/>
        <w:kinsoku/>
        <w:wordWrap/>
        <w:overflowPunct/>
        <w:topLinePunct w:val="0"/>
        <w:autoSpaceDE/>
        <w:autoSpaceDN/>
        <w:bidi w:val="0"/>
        <w:adjustRightInd w:val="0"/>
        <w:snapToGrid w:val="0"/>
        <w:spacing w:before="0" w:beforeAutospacing="0" w:after="0" w:afterAutospacing="0" w:line="360" w:lineRule="auto"/>
        <w:jc w:val="right"/>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shd w:val="clear" w:color="auto" w:fill="FFFFFF"/>
        </w:rPr>
        <w:t>2020年12月18日</w:t>
      </w:r>
    </w:p>
    <w:p w14:paraId="67B828A7">
      <w:pPr>
        <w:keepNext w:val="0"/>
        <w:keepLines w:val="0"/>
        <w:pageBreakBefore w:val="0"/>
        <w:widowControl/>
        <w:shd w:val="clear" w:color="auto" w:fill="FFFFFF"/>
        <w:kinsoku/>
        <w:wordWrap/>
        <w:overflowPunct/>
        <w:topLinePunct w:val="0"/>
        <w:autoSpaceDE/>
        <w:autoSpaceDN/>
        <w:bidi w:val="0"/>
        <w:adjustRightInd w:val="0"/>
        <w:snapToGrid w:val="0"/>
        <w:spacing w:before="0" w:after="0" w:line="360" w:lineRule="auto"/>
        <w:jc w:val="center"/>
        <w:textAlignment w:val="auto"/>
        <w:outlineLvl w:val="9"/>
        <w:rPr>
          <w:rStyle w:val="19"/>
          <w:rFonts w:hint="eastAsia" w:ascii="宋体" w:hAnsi="宋体" w:eastAsia="宋体" w:cs="宋体"/>
          <w:color w:val="auto"/>
          <w:spacing w:val="7"/>
          <w:sz w:val="21"/>
          <w:szCs w:val="21"/>
          <w:highlight w:val="none"/>
          <w:shd w:val="clear" w:color="auto" w:fill="FFFFFF"/>
        </w:rPr>
      </w:pPr>
      <w:bookmarkStart w:id="499" w:name="_Toc7750"/>
      <w:bookmarkStart w:id="500" w:name="_Toc1188"/>
      <w:r>
        <w:rPr>
          <w:rStyle w:val="19"/>
          <w:rFonts w:hint="eastAsia" w:ascii="宋体" w:hAnsi="宋体" w:eastAsia="宋体" w:cs="宋体"/>
          <w:color w:val="auto"/>
          <w:spacing w:val="7"/>
          <w:sz w:val="21"/>
          <w:szCs w:val="21"/>
          <w:highlight w:val="none"/>
          <w:shd w:val="clear" w:color="auto" w:fill="FFFFFF"/>
        </w:rPr>
        <w:t>政府采购促进中小企业发展管理办法</w:t>
      </w:r>
      <w:bookmarkEnd w:id="499"/>
      <w:bookmarkEnd w:id="500"/>
    </w:p>
    <w:p w14:paraId="02E88DF7">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第一条　</w:t>
      </w:r>
      <w:r>
        <w:rPr>
          <w:rFonts w:hint="eastAsia" w:cs="宋体"/>
          <w:color w:val="auto"/>
          <w:spacing w:val="7"/>
          <w:sz w:val="21"/>
          <w:szCs w:val="21"/>
          <w:highlight w:val="none"/>
        </w:rPr>
        <w:t>为了发挥政府采购的政策功能，促进中小企业健康发展，根据《中华人民共和国政府采购法》、《中华人民共和国中小企业促进法》等有关法律法规，制定本办法。</w:t>
      </w:r>
    </w:p>
    <w:p w14:paraId="7FCD497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第二条　</w:t>
      </w:r>
      <w:r>
        <w:rPr>
          <w:rFonts w:hint="eastAsia" w:cs="宋体"/>
          <w:color w:val="auto"/>
          <w:spacing w:val="7"/>
          <w:sz w:val="21"/>
          <w:szCs w:val="21"/>
          <w:highlight w:val="none"/>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1EB1856B">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符合中小企业划分标准的个体工商户，在政府采购活动中视同中小企业。</w:t>
      </w:r>
    </w:p>
    <w:p w14:paraId="565A666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第三条　</w:t>
      </w:r>
      <w:r>
        <w:rPr>
          <w:rFonts w:hint="eastAsia" w:cs="宋体"/>
          <w:color w:val="auto"/>
          <w:spacing w:val="7"/>
          <w:sz w:val="21"/>
          <w:szCs w:val="21"/>
          <w:highlight w:val="none"/>
        </w:rPr>
        <w:t>采购人在政府采购活动中应当通过加强采购需求管理，落实预留采购份额、价格评审优惠、优先采购等措施，提高中小企业在政府采购中的份额，支持中小企业发展。</w:t>
      </w:r>
    </w:p>
    <w:p w14:paraId="592A804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第四条　</w:t>
      </w:r>
      <w:r>
        <w:rPr>
          <w:rFonts w:hint="eastAsia" w:cs="宋体"/>
          <w:color w:val="auto"/>
          <w:spacing w:val="7"/>
          <w:sz w:val="21"/>
          <w:szCs w:val="21"/>
          <w:highlight w:val="none"/>
        </w:rPr>
        <w:t>在政府采购活动中，供应商提供的货物、工程或者服务符合下列情形的，享受本办法规定的中小企业扶持政策：</w:t>
      </w:r>
    </w:p>
    <w:p w14:paraId="780245D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（一）在货物采购项目中，货物由中小企业制造，即货物由中小企业生产且使用该中小企业商号或者注册商标；</w:t>
      </w:r>
    </w:p>
    <w:p w14:paraId="60E788D3">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（二）在工程采购项目中，工程由中小企业承建，即工程施工单位为中小企业；</w:t>
      </w:r>
    </w:p>
    <w:p w14:paraId="526C3F6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（三）在服务采购项目中，服务由中小企业承接，即提供服务的人员为中小企业依照《中华人民共和国劳动合同法》订立劳动合同的从业人员。</w:t>
      </w:r>
    </w:p>
    <w:p w14:paraId="42AF78B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在货物采购项目中，供应商提供的货物既有中小企业制造货物，也有大型企业制造货物的，不享受本办法规定的中小企业扶持政策。</w:t>
      </w:r>
    </w:p>
    <w:p w14:paraId="4530C84B">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以联合体形式参加政府采购活动，联合体各方均为中小企业的，联合体视同中小企业。其中，联合体各方均为小微企业的，联合体视同小微企业。</w:t>
      </w:r>
    </w:p>
    <w:p w14:paraId="36ABE17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第五条　</w:t>
      </w:r>
      <w:r>
        <w:rPr>
          <w:rFonts w:hint="eastAsia" w:cs="宋体"/>
          <w:color w:val="auto"/>
          <w:spacing w:val="7"/>
          <w:sz w:val="21"/>
          <w:szCs w:val="21"/>
          <w:highlight w:val="none"/>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67F154F4">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第六条</w:t>
      </w:r>
      <w:r>
        <w:rPr>
          <w:rFonts w:hint="eastAsia" w:cs="宋体"/>
          <w:color w:val="auto"/>
          <w:spacing w:val="7"/>
          <w:sz w:val="21"/>
          <w:szCs w:val="21"/>
          <w:highlight w:val="none"/>
        </w:rPr>
        <w:t>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4E23A9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符合下列情形之一的，可不专门面向中小企业预留采购份额：</w:t>
      </w:r>
    </w:p>
    <w:p w14:paraId="46C4784B">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（一）法律法规和国家有关政策明确规定优先或者应当面向事业单位、社会组织等非企业主体采购的；</w:t>
      </w:r>
    </w:p>
    <w:p w14:paraId="3F6EBB56">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（二）因确需使用不可替代的专利、专有技术，基础设施限制，或者提供特定公共服务等原因，只能从中小企业之外的供应商处采购的；</w:t>
      </w:r>
    </w:p>
    <w:p w14:paraId="796C501C">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（三）按照本办法规定预留采购份额无法确保充分供应、充分竞争，或者存在可能影响政府采购目标实现的情形；</w:t>
      </w:r>
    </w:p>
    <w:p w14:paraId="087D740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（四）框架协议采购项目；</w:t>
      </w:r>
    </w:p>
    <w:p w14:paraId="397FE5D6">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（五）省级以上人民政府财政部门规定的其他情形。</w:t>
      </w:r>
    </w:p>
    <w:p w14:paraId="09BD37EB">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除上述情形外，其他均为适宜由中小企业提供的情形。</w:t>
      </w:r>
    </w:p>
    <w:p w14:paraId="6229DC8A">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第七条　</w:t>
      </w:r>
      <w:r>
        <w:rPr>
          <w:rFonts w:hint="eastAsia" w:cs="宋体"/>
          <w:color w:val="auto"/>
          <w:spacing w:val="7"/>
          <w:sz w:val="21"/>
          <w:szCs w:val="21"/>
          <w:highlight w:val="none"/>
        </w:rPr>
        <w:t>采购限额标准以上，200万元以下的货物和服务采购项目、400万元以下的工程采购项目，适宜由中小企业提供的，</w:t>
      </w:r>
      <w:r>
        <w:rPr>
          <w:rStyle w:val="19"/>
          <w:rFonts w:hint="eastAsia" w:cs="宋体"/>
          <w:b w:val="0"/>
          <w:color w:val="auto"/>
          <w:spacing w:val="7"/>
          <w:sz w:val="21"/>
          <w:szCs w:val="21"/>
          <w:highlight w:val="none"/>
        </w:rPr>
        <w:t>采购人应当专门面向中小企业采购。</w:t>
      </w:r>
    </w:p>
    <w:p w14:paraId="3539C59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第八条</w:t>
      </w:r>
      <w:r>
        <w:rPr>
          <w:rFonts w:hint="eastAsia" w:cs="宋体"/>
          <w:color w:val="auto"/>
          <w:spacing w:val="7"/>
          <w:sz w:val="21"/>
          <w:szCs w:val="21"/>
          <w:highlight w:val="none"/>
        </w:rPr>
        <w:t>　</w:t>
      </w:r>
      <w:r>
        <w:rPr>
          <w:rStyle w:val="19"/>
          <w:rFonts w:hint="eastAsia" w:cs="宋体"/>
          <w:b w:val="0"/>
          <w:color w:val="auto"/>
          <w:spacing w:val="7"/>
          <w:sz w:val="21"/>
          <w:szCs w:val="21"/>
          <w:highlight w:val="none"/>
        </w:rPr>
        <w:t>超过200万元的货物和服务采购项目、超过400万元的工程采购项目中适宜由中小企业提供的，</w:t>
      </w:r>
      <w:r>
        <w:rPr>
          <w:rFonts w:hint="eastAsia" w:cs="宋体"/>
          <w:color w:val="auto"/>
          <w:spacing w:val="7"/>
          <w:sz w:val="21"/>
          <w:szCs w:val="21"/>
          <w:highlight w:val="none"/>
        </w:rPr>
        <w:t>预留该部分采购项目预算总额的30%以上专门面向中小企业采购，其中预留给小微企业的比例不低于60%。预留份额通过下列措施进行：</w:t>
      </w:r>
    </w:p>
    <w:p w14:paraId="301BA14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1"/>
        <w:rPr>
          <w:rFonts w:hint="eastAsia" w:cs="宋体"/>
          <w:color w:val="auto"/>
          <w:spacing w:val="7"/>
          <w:sz w:val="21"/>
          <w:szCs w:val="21"/>
          <w:highlight w:val="none"/>
        </w:rPr>
      </w:pPr>
      <w:bookmarkStart w:id="501" w:name="_Toc25586"/>
      <w:bookmarkStart w:id="502" w:name="_Toc9569"/>
      <w:r>
        <w:rPr>
          <w:rFonts w:hint="eastAsia" w:cs="宋体"/>
          <w:color w:val="auto"/>
          <w:spacing w:val="7"/>
          <w:sz w:val="21"/>
          <w:szCs w:val="21"/>
          <w:highlight w:val="none"/>
        </w:rPr>
        <w:t>（一）将采购项目整体或者设置采购包专门面向中小企业采购；</w:t>
      </w:r>
      <w:bookmarkEnd w:id="501"/>
      <w:bookmarkEnd w:id="502"/>
    </w:p>
    <w:p w14:paraId="1A3990C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（二）要求供应商以联合体形式参加采购活动，且联合体中中小企业承担的部分达到一定比例；</w:t>
      </w:r>
    </w:p>
    <w:p w14:paraId="0BBA1D7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pacing w:val="7"/>
          <w:sz w:val="21"/>
          <w:szCs w:val="21"/>
          <w:highlight w:val="none"/>
        </w:rPr>
      </w:pPr>
      <w:r>
        <w:rPr>
          <w:rFonts w:hint="eastAsia" w:cs="宋体"/>
          <w:color w:val="auto"/>
          <w:spacing w:val="7"/>
          <w:sz w:val="21"/>
          <w:szCs w:val="21"/>
          <w:highlight w:val="none"/>
        </w:rPr>
        <w:t>（三）要求获得采购合同的供应商将采购项目中的一定比例分包给一家或者多家中小企业。</w:t>
      </w:r>
    </w:p>
    <w:p w14:paraId="47442081">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组成联合体或者接受分包合同的中小企业与联合体内其他企业、分包企业之间不得存在直接控股、管理关系。</w:t>
      </w:r>
    </w:p>
    <w:p w14:paraId="737D9576">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第九条　</w:t>
      </w:r>
      <w:r>
        <w:rPr>
          <w:rFonts w:hint="eastAsia" w:cs="宋体"/>
          <w:color w:val="auto"/>
          <w:spacing w:val="7"/>
          <w:sz w:val="21"/>
          <w:szCs w:val="21"/>
          <w:highlight w:val="none"/>
        </w:rPr>
        <w:t>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2D100D5F">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61F62AF1">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5E00DD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第十条　</w:t>
      </w:r>
      <w:r>
        <w:rPr>
          <w:rFonts w:hint="eastAsia" w:cs="宋体"/>
          <w:color w:val="auto"/>
          <w:spacing w:val="7"/>
          <w:sz w:val="21"/>
          <w:szCs w:val="21"/>
          <w:highlight w:val="none"/>
        </w:rPr>
        <w:t>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2DF81D3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第十一条　</w:t>
      </w:r>
      <w:r>
        <w:rPr>
          <w:rFonts w:hint="eastAsia" w:cs="宋体"/>
          <w:color w:val="auto"/>
          <w:spacing w:val="7"/>
          <w:sz w:val="21"/>
          <w:szCs w:val="21"/>
          <w:highlight w:val="none"/>
        </w:rPr>
        <w:t>中小企业参加政府采购活动，应当出具本办法规定的《中小企业声明函》（附1），否则不得享受相关中小企业扶持政策。任何单位和个人不得要求供应商提供《中小企业声明函》之外的中小企业身份证明文件。</w:t>
      </w:r>
    </w:p>
    <w:p w14:paraId="54DEEA8E">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第十二条　采购项目涉及中小企业采购的，采购文件应当明确以下内容：</w:t>
      </w:r>
    </w:p>
    <w:p w14:paraId="605939A7">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（一）预留份额的采购项目或者采购包，明确该项目或相关采购包专门面向中小企业采购，以及相关标的及预算金额；</w:t>
      </w:r>
    </w:p>
    <w:p w14:paraId="00B192A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（二）要求以联合体形式参加或者合同分包的，明确联合协议或者分包意向协议中中小企业合同金额应当达到的比例，并作为供应商资格条件；</w:t>
      </w:r>
    </w:p>
    <w:p w14:paraId="53A2BC91">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（三）非预留份额的采购项目或者采购包，明确有关价格扣除比例或者价格分加分比例；</w:t>
      </w:r>
    </w:p>
    <w:p w14:paraId="69C406E5">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（四）规定依据本办法规定享受扶持政策获得政府采购合同的，小微企业不得将合同分包给大中型企业，中型企业不得将合同分包给大型企业；</w:t>
      </w:r>
    </w:p>
    <w:p w14:paraId="22F3BD2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（五）采购人认为具备相关条件的，明确对中小企业在资金支付期限、预付款比例等方面的优惠措施；</w:t>
      </w:r>
    </w:p>
    <w:p w14:paraId="6DED00CC">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（六）明确采购标的对应的中小企业划分标准所属行业；</w:t>
      </w:r>
    </w:p>
    <w:p w14:paraId="3FEDA933">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（七）法律法规和省级以上人民政府财政部门规定的其他事项。</w:t>
      </w:r>
    </w:p>
    <w:p w14:paraId="4425ED2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第十三条　</w:t>
      </w:r>
      <w:r>
        <w:rPr>
          <w:rFonts w:hint="eastAsia" w:cs="宋体"/>
          <w:color w:val="auto"/>
          <w:spacing w:val="7"/>
          <w:sz w:val="21"/>
          <w:szCs w:val="21"/>
          <w:highlight w:val="none"/>
        </w:rPr>
        <w:t>中标、成交供应商享受本办法规定的中小企业扶持政策的，采购人、采购代理机构应当随中标、成交结果公开中标、成交供应商的《中小企业声明函》。</w:t>
      </w:r>
    </w:p>
    <w:p w14:paraId="7FAC24EA">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适用招标投标法的政府采购工程建设项目，应当在公示中标候选人时公开中标候选人的《中小企业声明函》。</w:t>
      </w:r>
    </w:p>
    <w:p w14:paraId="0A66AE0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第十四条</w:t>
      </w:r>
      <w:r>
        <w:rPr>
          <w:rFonts w:hint="eastAsia" w:cs="宋体"/>
          <w:color w:val="auto"/>
          <w:spacing w:val="7"/>
          <w:sz w:val="21"/>
          <w:szCs w:val="21"/>
          <w:highlight w:val="none"/>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490A710A">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第十五条　</w:t>
      </w:r>
      <w:r>
        <w:rPr>
          <w:rFonts w:hint="eastAsia" w:cs="宋体"/>
          <w:color w:val="auto"/>
          <w:spacing w:val="7"/>
          <w:sz w:val="21"/>
          <w:szCs w:val="21"/>
          <w:highlight w:val="none"/>
        </w:rPr>
        <w:t>鼓励各地区、各部门在采购活动中允许中小企业引入信用担保手段，为中小企业在投标（响应）保证、履约保证等方面提供专业化服务。鼓励中小企业依法合规通过政府采购合同融资。</w:t>
      </w:r>
    </w:p>
    <w:p w14:paraId="1508614E">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第十六条　</w:t>
      </w:r>
      <w:r>
        <w:rPr>
          <w:rFonts w:hint="eastAsia" w:cs="宋体"/>
          <w:color w:val="auto"/>
          <w:spacing w:val="7"/>
          <w:sz w:val="21"/>
          <w:szCs w:val="21"/>
          <w:highlight w:val="none"/>
        </w:rPr>
        <w:t>政府采购监督检查、投诉处理及政府采购行政处罚中对中小企业的认定，由货物制造商或者工程、服务供应商注册登记所在地的县级以上人民政府中小企业主管部门负责。</w:t>
      </w:r>
    </w:p>
    <w:p w14:paraId="6BE3F4E3">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中小企业主管部门应当在收到财政部门或者有关招标投标行政监督部门关于协助开展中小企业认定函后10个工作日内做出书面答复。</w:t>
      </w:r>
    </w:p>
    <w:p w14:paraId="293F8D76">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第十七条　</w:t>
      </w:r>
      <w:r>
        <w:rPr>
          <w:rFonts w:hint="eastAsia" w:cs="宋体"/>
          <w:color w:val="auto"/>
          <w:spacing w:val="7"/>
          <w:sz w:val="21"/>
          <w:szCs w:val="21"/>
          <w:highlight w:val="none"/>
        </w:rPr>
        <w:t>各地区、各部门应当对涉及中小企业采购的预算项目实施全过程绩效管理，合理设置绩效目标和指标，落实扶持中小企业有关政策要求，定期开展绩效监控和评价，强化绩效评价结果应用。</w:t>
      </w:r>
    </w:p>
    <w:p w14:paraId="1F516CC2">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第十八条　</w:t>
      </w:r>
      <w:r>
        <w:rPr>
          <w:rFonts w:hint="eastAsia" w:cs="宋体"/>
          <w:color w:val="auto"/>
          <w:spacing w:val="7"/>
          <w:sz w:val="21"/>
          <w:szCs w:val="21"/>
          <w:highlight w:val="none"/>
        </w:rPr>
        <w:t>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3F6939A">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第十九条</w:t>
      </w:r>
      <w:r>
        <w:rPr>
          <w:rFonts w:hint="eastAsia" w:cs="宋体"/>
          <w:color w:val="auto"/>
          <w:spacing w:val="7"/>
          <w:sz w:val="21"/>
          <w:szCs w:val="21"/>
          <w:highlight w:val="none"/>
        </w:rPr>
        <w:t>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20FB59E4">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第二十条</w:t>
      </w:r>
      <w:r>
        <w:rPr>
          <w:rFonts w:hint="eastAsia" w:cs="宋体"/>
          <w:color w:val="auto"/>
          <w:spacing w:val="7"/>
          <w:sz w:val="21"/>
          <w:szCs w:val="21"/>
          <w:highlight w:val="none"/>
        </w:rPr>
        <w:t>　供应商按照本办法规定提供声明函内容不实的，属于提供虚假材料谋取中标、成交，依照《中华人民共和国政府采购法》等国家有关规定追究相应责任。</w:t>
      </w:r>
    </w:p>
    <w:p w14:paraId="209549D9">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Fonts w:hint="eastAsia" w:cs="宋体"/>
          <w:color w:val="auto"/>
          <w:spacing w:val="7"/>
          <w:sz w:val="21"/>
          <w:szCs w:val="21"/>
          <w:highlight w:val="none"/>
        </w:rPr>
        <w:t>适用招标投标法的政府采购工程建设项目，投标人按照本办法规定提供声明函内容不实的，属于弄虚作假骗取中标，依照《中华人民共和国招标投标法》等国家有关规定追究相应责任。</w:t>
      </w:r>
    </w:p>
    <w:p w14:paraId="7D63038E">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第二十一条　</w:t>
      </w:r>
      <w:r>
        <w:rPr>
          <w:rFonts w:hint="eastAsia" w:cs="宋体"/>
          <w:color w:val="auto"/>
          <w:spacing w:val="7"/>
          <w:sz w:val="21"/>
          <w:szCs w:val="21"/>
          <w:highlight w:val="none"/>
        </w:rPr>
        <w:t>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有关规定追究相应责任；涉嫌犯罪的，依法移送有关国家机关处理。</w:t>
      </w:r>
    </w:p>
    <w:p w14:paraId="7FD407D8">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第二十二条</w:t>
      </w:r>
      <w:r>
        <w:rPr>
          <w:rFonts w:hint="eastAsia" w:cs="宋体"/>
          <w:color w:val="auto"/>
          <w:spacing w:val="7"/>
          <w:sz w:val="21"/>
          <w:szCs w:val="21"/>
          <w:highlight w:val="none"/>
        </w:rPr>
        <w:t>　对外援助项目、国家相关资格或者资质管理制度另有规定的项目，不适用本办法。</w:t>
      </w:r>
    </w:p>
    <w:p w14:paraId="0CEA73ED">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第二十三条　</w:t>
      </w:r>
      <w:r>
        <w:rPr>
          <w:rFonts w:hint="eastAsia" w:cs="宋体"/>
          <w:color w:val="auto"/>
          <w:spacing w:val="7"/>
          <w:sz w:val="21"/>
          <w:szCs w:val="21"/>
          <w:highlight w:val="none"/>
        </w:rPr>
        <w:t>关于视同中小企业的其他主体的政府采购扶持政策，由财政部会同有关部门另行规定。</w:t>
      </w:r>
    </w:p>
    <w:p w14:paraId="128D9DA0">
      <w:pPr>
        <w:pStyle w:val="15"/>
        <w:keepNext w:val="0"/>
        <w:keepLines w:val="0"/>
        <w:pageBreakBefore w:val="0"/>
        <w:kinsoku/>
        <w:wordWrap/>
        <w:overflowPunct/>
        <w:topLinePunct w:val="0"/>
        <w:autoSpaceDE/>
        <w:autoSpaceDN/>
        <w:bidi w:val="0"/>
        <w:adjustRightInd w:val="0"/>
        <w:snapToGrid w:val="0"/>
        <w:spacing w:before="0" w:beforeAutospacing="0" w:after="0" w:afterAutospacing="0" w:line="360" w:lineRule="auto"/>
        <w:jc w:val="both"/>
        <w:textAlignment w:val="auto"/>
        <w:outlineLvl w:val="9"/>
        <w:rPr>
          <w:rFonts w:hint="eastAsia" w:cs="宋体"/>
          <w:color w:val="auto"/>
          <w:sz w:val="21"/>
          <w:szCs w:val="21"/>
          <w:highlight w:val="none"/>
        </w:rPr>
      </w:pPr>
      <w:r>
        <w:rPr>
          <w:rStyle w:val="19"/>
          <w:rFonts w:hint="eastAsia" w:cs="宋体"/>
          <w:b w:val="0"/>
          <w:color w:val="auto"/>
          <w:spacing w:val="7"/>
          <w:sz w:val="21"/>
          <w:szCs w:val="21"/>
          <w:highlight w:val="none"/>
        </w:rPr>
        <w:t>第二十四条</w:t>
      </w:r>
      <w:r>
        <w:rPr>
          <w:rFonts w:hint="eastAsia" w:cs="宋体"/>
          <w:color w:val="auto"/>
          <w:spacing w:val="7"/>
          <w:sz w:val="21"/>
          <w:szCs w:val="21"/>
          <w:highlight w:val="none"/>
        </w:rPr>
        <w:t>　省级财政部门可以会同中小企业主管部门根据本办法的规定制定具体实施办法。</w:t>
      </w:r>
    </w:p>
    <w:p w14:paraId="71B1DC25">
      <w:pPr>
        <w:keepNext w:val="0"/>
        <w:keepLines w:val="0"/>
        <w:pageBreakBefore w:val="0"/>
        <w:kinsoku/>
        <w:wordWrap/>
        <w:overflowPunct/>
        <w:topLinePunct w:val="0"/>
        <w:autoSpaceDE/>
        <w:autoSpaceDN/>
        <w:bidi w:val="0"/>
        <w:spacing w:line="312" w:lineRule="auto"/>
        <w:textAlignment w:val="auto"/>
        <w:outlineLvl w:val="9"/>
        <w:rPr>
          <w:rFonts w:ascii="宋体" w:hAnsi="宋体"/>
          <w:color w:val="auto"/>
          <w:sz w:val="21"/>
          <w:szCs w:val="21"/>
          <w:highlight w:val="none"/>
        </w:rPr>
      </w:pPr>
      <w:r>
        <w:rPr>
          <w:rStyle w:val="19"/>
          <w:rFonts w:hint="eastAsia" w:ascii="宋体" w:hAnsi="宋体" w:cs="宋体"/>
          <w:b w:val="0"/>
          <w:color w:val="auto"/>
          <w:spacing w:val="7"/>
          <w:sz w:val="21"/>
          <w:szCs w:val="21"/>
          <w:highlight w:val="none"/>
        </w:rPr>
        <w:t>第二十五条</w:t>
      </w:r>
      <w:r>
        <w:rPr>
          <w:rFonts w:hint="eastAsia" w:ascii="宋体" w:hAnsi="宋体" w:cs="宋体"/>
          <w:color w:val="auto"/>
          <w:spacing w:val="7"/>
          <w:sz w:val="21"/>
          <w:szCs w:val="21"/>
          <w:highlight w:val="none"/>
        </w:rPr>
        <w:t>　本办法自2021年1月1日起施行。《财政部工业和信息化部关于印发〈政府采购促进中小企业发展暂行办法〉的通知》（财库﹝2011﹞181号）同时废止。</w:t>
      </w:r>
    </w:p>
    <w:p w14:paraId="51D4A10D">
      <w:pPr>
        <w:spacing w:line="312" w:lineRule="auto"/>
        <w:ind w:firstLine="420" w:firstLineChars="200"/>
        <w:jc w:val="center"/>
        <w:outlineLvl w:val="1"/>
        <w:rPr>
          <w:rFonts w:ascii="宋体" w:hAnsi="宋体"/>
          <w:b/>
          <w:color w:val="auto"/>
          <w:szCs w:val="28"/>
          <w:highlight w:val="none"/>
        </w:rPr>
      </w:pPr>
      <w:bookmarkStart w:id="503" w:name="_Toc16761"/>
      <w:r>
        <w:rPr>
          <w:rFonts w:hint="eastAsia" w:ascii="宋体" w:hAnsi="宋体"/>
          <w:b/>
          <w:color w:val="auto"/>
          <w:szCs w:val="28"/>
          <w:highlight w:val="none"/>
        </w:rPr>
        <w:t>中小企业划型标准规定</w:t>
      </w:r>
      <w:bookmarkEnd w:id="503"/>
    </w:p>
    <w:p w14:paraId="2A2D9823">
      <w:pPr>
        <w:spacing w:line="312" w:lineRule="auto"/>
        <w:rPr>
          <w:rFonts w:ascii="宋体" w:hAnsi="宋体"/>
          <w:color w:val="auto"/>
          <w:sz w:val="21"/>
          <w:szCs w:val="21"/>
          <w:highlight w:val="none"/>
        </w:rPr>
      </w:pPr>
      <w:r>
        <w:rPr>
          <w:rFonts w:hint="eastAsia" w:ascii="宋体" w:hAnsi="宋体"/>
          <w:color w:val="auto"/>
          <w:sz w:val="21"/>
          <w:szCs w:val="21"/>
          <w:highlight w:val="none"/>
        </w:rPr>
        <w:t>　　</w:t>
      </w:r>
    </w:p>
    <w:p w14:paraId="41AD1114">
      <w:pPr>
        <w:spacing w:line="312" w:lineRule="auto"/>
        <w:ind w:firstLine="420" w:firstLineChars="200"/>
        <w:rPr>
          <w:rFonts w:ascii="宋体" w:hAnsi="宋体"/>
          <w:color w:val="auto"/>
          <w:sz w:val="21"/>
          <w:szCs w:val="21"/>
          <w:highlight w:val="none"/>
        </w:rPr>
      </w:pPr>
      <w:r>
        <w:rPr>
          <w:rFonts w:hint="eastAsia" w:ascii="宋体" w:hAnsi="宋体"/>
          <w:color w:val="auto"/>
          <w:sz w:val="21"/>
          <w:szCs w:val="21"/>
          <w:highlight w:val="none"/>
        </w:rPr>
        <w:t>一、根据《中华人民共和国中小企业促进法》和《国务院关于进一步促进中小企业发展的若干意见》(国发〔2009〕36号)，制定本规定。</w:t>
      </w:r>
    </w:p>
    <w:p w14:paraId="20FBC521">
      <w:pPr>
        <w:spacing w:line="312" w:lineRule="auto"/>
        <w:rPr>
          <w:rFonts w:ascii="宋体" w:hAnsi="宋体"/>
          <w:color w:val="auto"/>
          <w:sz w:val="21"/>
          <w:szCs w:val="21"/>
          <w:highlight w:val="none"/>
        </w:rPr>
      </w:pPr>
      <w:r>
        <w:rPr>
          <w:rFonts w:hint="eastAsia" w:ascii="宋体" w:hAnsi="宋体"/>
          <w:color w:val="auto"/>
          <w:sz w:val="21"/>
          <w:szCs w:val="21"/>
          <w:highlight w:val="none"/>
        </w:rPr>
        <w:t>　　二、中小企业划分为中型、小型、微型三种类型，具体标准根据企业从业人员、营业收入、资产总额等指标，结合行业特点制定。</w:t>
      </w:r>
    </w:p>
    <w:p w14:paraId="1D8F360E">
      <w:pPr>
        <w:spacing w:line="312" w:lineRule="auto"/>
        <w:rPr>
          <w:rFonts w:ascii="宋体" w:hAnsi="宋体"/>
          <w:color w:val="auto"/>
          <w:sz w:val="21"/>
          <w:szCs w:val="21"/>
          <w:highlight w:val="none"/>
        </w:rPr>
      </w:pPr>
      <w:r>
        <w:rPr>
          <w:rFonts w:hint="eastAsia" w:ascii="宋体" w:hAnsi="宋体"/>
          <w:color w:val="auto"/>
          <w:sz w:val="21"/>
          <w:szCs w:val="21"/>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176CAC7">
      <w:pPr>
        <w:spacing w:line="312" w:lineRule="auto"/>
        <w:outlineLvl w:val="1"/>
        <w:rPr>
          <w:rFonts w:ascii="宋体" w:hAnsi="宋体"/>
          <w:color w:val="auto"/>
          <w:sz w:val="21"/>
          <w:szCs w:val="21"/>
          <w:highlight w:val="none"/>
        </w:rPr>
      </w:pPr>
      <w:r>
        <w:rPr>
          <w:rFonts w:hint="eastAsia" w:ascii="宋体" w:hAnsi="宋体"/>
          <w:color w:val="auto"/>
          <w:sz w:val="21"/>
          <w:szCs w:val="21"/>
          <w:highlight w:val="none"/>
        </w:rPr>
        <w:t>　　</w:t>
      </w:r>
      <w:bookmarkStart w:id="504" w:name="_Toc12315"/>
      <w:r>
        <w:rPr>
          <w:rFonts w:hint="eastAsia" w:ascii="宋体" w:hAnsi="宋体"/>
          <w:color w:val="auto"/>
          <w:sz w:val="21"/>
          <w:szCs w:val="21"/>
          <w:highlight w:val="none"/>
        </w:rPr>
        <w:t>四、各行业划型标准为：</w:t>
      </w:r>
      <w:bookmarkEnd w:id="504"/>
    </w:p>
    <w:p w14:paraId="6791C13D">
      <w:pPr>
        <w:spacing w:line="312" w:lineRule="auto"/>
        <w:rPr>
          <w:rFonts w:ascii="宋体" w:hAnsi="宋体"/>
          <w:color w:val="auto"/>
          <w:sz w:val="21"/>
          <w:szCs w:val="21"/>
          <w:highlight w:val="none"/>
        </w:rPr>
      </w:pPr>
      <w:r>
        <w:rPr>
          <w:rFonts w:hint="eastAsia" w:ascii="宋体" w:hAnsi="宋体"/>
          <w:color w:val="auto"/>
          <w:sz w:val="21"/>
          <w:szCs w:val="21"/>
          <w:highlight w:val="none"/>
        </w:rPr>
        <w:t>　　（一）农、林、牧、渔业。营业收入20000万元以下的为中小微型企业。其中，营业收入500万元及以上的为中型企业，营业收入50万元及以上的为小型企业，营业收入50万元以下的为微型企业。</w:t>
      </w:r>
    </w:p>
    <w:p w14:paraId="5912169B">
      <w:pPr>
        <w:spacing w:line="312" w:lineRule="auto"/>
        <w:rPr>
          <w:rFonts w:ascii="宋体" w:hAnsi="宋体"/>
          <w:color w:val="auto"/>
          <w:sz w:val="21"/>
          <w:szCs w:val="21"/>
          <w:highlight w:val="none"/>
        </w:rPr>
      </w:pPr>
      <w:r>
        <w:rPr>
          <w:rFonts w:hint="eastAsia" w:ascii="宋体" w:hAnsi="宋体"/>
          <w:color w:val="auto"/>
          <w:sz w:val="21"/>
          <w:szCs w:val="21"/>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F46B301">
      <w:pPr>
        <w:spacing w:line="312" w:lineRule="auto"/>
        <w:rPr>
          <w:rFonts w:ascii="宋体" w:hAnsi="宋体"/>
          <w:color w:val="auto"/>
          <w:sz w:val="21"/>
          <w:szCs w:val="21"/>
          <w:highlight w:val="none"/>
        </w:rPr>
      </w:pPr>
      <w:r>
        <w:rPr>
          <w:rFonts w:hint="eastAsia" w:ascii="宋体" w:hAnsi="宋体"/>
          <w:color w:val="auto"/>
          <w:sz w:val="21"/>
          <w:szCs w:val="21"/>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45C69EB2">
      <w:pPr>
        <w:spacing w:line="312" w:lineRule="auto"/>
        <w:rPr>
          <w:rFonts w:ascii="宋体" w:hAnsi="宋体"/>
          <w:color w:val="auto"/>
          <w:sz w:val="21"/>
          <w:szCs w:val="21"/>
          <w:highlight w:val="none"/>
        </w:rPr>
      </w:pPr>
      <w:r>
        <w:rPr>
          <w:rFonts w:hint="eastAsia" w:ascii="宋体" w:hAnsi="宋体"/>
          <w:color w:val="auto"/>
          <w:sz w:val="21"/>
          <w:szCs w:val="21"/>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3FA9DD7">
      <w:pPr>
        <w:spacing w:line="312" w:lineRule="auto"/>
        <w:rPr>
          <w:rFonts w:ascii="宋体" w:hAnsi="宋体"/>
          <w:color w:val="auto"/>
          <w:sz w:val="21"/>
          <w:szCs w:val="21"/>
          <w:highlight w:val="none"/>
        </w:rPr>
      </w:pPr>
      <w:r>
        <w:rPr>
          <w:rFonts w:hint="eastAsia" w:ascii="宋体" w:hAnsi="宋体"/>
          <w:color w:val="auto"/>
          <w:sz w:val="21"/>
          <w:szCs w:val="21"/>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9D356D4">
      <w:pPr>
        <w:spacing w:line="312" w:lineRule="auto"/>
        <w:rPr>
          <w:rFonts w:ascii="宋体" w:hAnsi="宋体"/>
          <w:color w:val="auto"/>
          <w:sz w:val="21"/>
          <w:szCs w:val="21"/>
          <w:highlight w:val="none"/>
        </w:rPr>
      </w:pPr>
      <w:r>
        <w:rPr>
          <w:rFonts w:hint="eastAsia" w:ascii="宋体" w:hAnsi="宋体"/>
          <w:color w:val="auto"/>
          <w:sz w:val="21"/>
          <w:szCs w:val="21"/>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DC50C52">
      <w:pPr>
        <w:spacing w:line="312" w:lineRule="auto"/>
        <w:rPr>
          <w:rFonts w:ascii="宋体" w:hAnsi="宋体"/>
          <w:color w:val="auto"/>
          <w:sz w:val="21"/>
          <w:szCs w:val="21"/>
          <w:highlight w:val="none"/>
        </w:rPr>
      </w:pPr>
      <w:r>
        <w:rPr>
          <w:rFonts w:hint="eastAsia" w:ascii="宋体" w:hAnsi="宋体"/>
          <w:color w:val="auto"/>
          <w:sz w:val="21"/>
          <w:szCs w:val="21"/>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71945DB3">
      <w:pPr>
        <w:spacing w:line="312" w:lineRule="auto"/>
        <w:rPr>
          <w:rFonts w:ascii="宋体" w:hAnsi="宋体"/>
          <w:color w:val="auto"/>
          <w:sz w:val="21"/>
          <w:szCs w:val="21"/>
          <w:highlight w:val="none"/>
        </w:rPr>
      </w:pPr>
      <w:r>
        <w:rPr>
          <w:rFonts w:hint="eastAsia" w:ascii="宋体" w:hAnsi="宋体"/>
          <w:color w:val="auto"/>
          <w:sz w:val="21"/>
          <w:szCs w:val="21"/>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53AB0E46">
      <w:pPr>
        <w:spacing w:line="312" w:lineRule="auto"/>
        <w:rPr>
          <w:rFonts w:ascii="宋体" w:hAnsi="宋体"/>
          <w:color w:val="auto"/>
          <w:sz w:val="21"/>
          <w:szCs w:val="21"/>
          <w:highlight w:val="none"/>
        </w:rPr>
      </w:pPr>
      <w:r>
        <w:rPr>
          <w:rFonts w:hint="eastAsia" w:ascii="宋体" w:hAnsi="宋体"/>
          <w:color w:val="auto"/>
          <w:sz w:val="21"/>
          <w:szCs w:val="21"/>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426B126">
      <w:pPr>
        <w:spacing w:line="312" w:lineRule="auto"/>
        <w:rPr>
          <w:rFonts w:ascii="宋体" w:hAnsi="宋体"/>
          <w:color w:val="auto"/>
          <w:sz w:val="21"/>
          <w:szCs w:val="21"/>
          <w:highlight w:val="none"/>
        </w:rPr>
      </w:pPr>
      <w:r>
        <w:rPr>
          <w:rFonts w:hint="eastAsia" w:ascii="宋体" w:hAnsi="宋体"/>
          <w:color w:val="auto"/>
          <w:sz w:val="21"/>
          <w:szCs w:val="21"/>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1D2EBC3">
      <w:pPr>
        <w:spacing w:line="312" w:lineRule="auto"/>
        <w:rPr>
          <w:rFonts w:ascii="宋体" w:hAnsi="宋体"/>
          <w:color w:val="auto"/>
          <w:sz w:val="21"/>
          <w:szCs w:val="21"/>
          <w:highlight w:val="none"/>
        </w:rPr>
      </w:pPr>
      <w:r>
        <w:rPr>
          <w:rFonts w:hint="eastAsia" w:ascii="宋体" w:hAnsi="宋体"/>
          <w:color w:val="auto"/>
          <w:sz w:val="21"/>
          <w:szCs w:val="21"/>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72556553">
      <w:pPr>
        <w:spacing w:line="312" w:lineRule="auto"/>
        <w:rPr>
          <w:rFonts w:ascii="宋体" w:hAnsi="宋体"/>
          <w:color w:val="auto"/>
          <w:sz w:val="21"/>
          <w:szCs w:val="21"/>
          <w:highlight w:val="none"/>
        </w:rPr>
      </w:pPr>
      <w:r>
        <w:rPr>
          <w:rFonts w:hint="eastAsia" w:ascii="宋体" w:hAnsi="宋体"/>
          <w:color w:val="auto"/>
          <w:sz w:val="21"/>
          <w:szCs w:val="21"/>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EED0CA0">
      <w:pPr>
        <w:spacing w:line="312" w:lineRule="auto"/>
        <w:rPr>
          <w:rFonts w:ascii="宋体" w:hAnsi="宋体"/>
          <w:color w:val="auto"/>
          <w:sz w:val="21"/>
          <w:szCs w:val="21"/>
          <w:highlight w:val="none"/>
        </w:rPr>
      </w:pPr>
      <w:r>
        <w:rPr>
          <w:rFonts w:hint="eastAsia" w:ascii="宋体" w:hAnsi="宋体"/>
          <w:color w:val="auto"/>
          <w:sz w:val="21"/>
          <w:szCs w:val="21"/>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54ACF261">
      <w:pPr>
        <w:spacing w:line="312" w:lineRule="auto"/>
        <w:rPr>
          <w:rFonts w:ascii="宋体" w:hAnsi="宋体"/>
          <w:color w:val="auto"/>
          <w:sz w:val="21"/>
          <w:szCs w:val="21"/>
          <w:highlight w:val="none"/>
        </w:rPr>
      </w:pPr>
      <w:r>
        <w:rPr>
          <w:rFonts w:hint="eastAsia" w:ascii="宋体" w:hAnsi="宋体"/>
          <w:color w:val="auto"/>
          <w:sz w:val="21"/>
          <w:szCs w:val="21"/>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B3348D6">
      <w:pPr>
        <w:spacing w:line="312" w:lineRule="auto"/>
        <w:rPr>
          <w:rFonts w:ascii="宋体" w:hAnsi="宋体"/>
          <w:color w:val="auto"/>
          <w:sz w:val="21"/>
          <w:szCs w:val="21"/>
          <w:highlight w:val="none"/>
        </w:rPr>
      </w:pPr>
      <w:r>
        <w:rPr>
          <w:rFonts w:hint="eastAsia" w:ascii="宋体" w:hAnsi="宋体"/>
          <w:color w:val="auto"/>
          <w:sz w:val="21"/>
          <w:szCs w:val="21"/>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D861CC2">
      <w:pPr>
        <w:spacing w:line="312" w:lineRule="auto"/>
        <w:rPr>
          <w:rFonts w:ascii="宋体" w:hAnsi="宋体"/>
          <w:color w:val="auto"/>
          <w:sz w:val="21"/>
          <w:szCs w:val="21"/>
          <w:highlight w:val="none"/>
        </w:rPr>
      </w:pPr>
      <w:r>
        <w:rPr>
          <w:rFonts w:hint="eastAsia" w:ascii="宋体" w:hAnsi="宋体"/>
          <w:color w:val="auto"/>
          <w:sz w:val="21"/>
          <w:szCs w:val="21"/>
          <w:highlight w:val="none"/>
        </w:rPr>
        <w:t>　　（十六）其他未列明行业。从业人员300人以下的为中小微型企业。其中，从业人员100人及以上的为中型企业；从业人员10人及以上的为小型企业；从业人员10人以下的为微型企业。</w:t>
      </w:r>
    </w:p>
    <w:p w14:paraId="6E999555">
      <w:pPr>
        <w:spacing w:line="312" w:lineRule="auto"/>
        <w:outlineLvl w:val="1"/>
        <w:rPr>
          <w:rFonts w:ascii="宋体" w:hAnsi="宋体"/>
          <w:color w:val="auto"/>
          <w:sz w:val="21"/>
          <w:szCs w:val="21"/>
          <w:highlight w:val="none"/>
        </w:rPr>
      </w:pPr>
      <w:r>
        <w:rPr>
          <w:rFonts w:hint="eastAsia" w:ascii="宋体" w:hAnsi="宋体"/>
          <w:color w:val="auto"/>
          <w:sz w:val="21"/>
          <w:szCs w:val="21"/>
          <w:highlight w:val="none"/>
        </w:rPr>
        <w:t>　　</w:t>
      </w:r>
      <w:bookmarkStart w:id="505" w:name="_Toc7266"/>
      <w:r>
        <w:rPr>
          <w:rFonts w:hint="eastAsia" w:ascii="宋体" w:hAnsi="宋体"/>
          <w:color w:val="auto"/>
          <w:sz w:val="21"/>
          <w:szCs w:val="21"/>
          <w:highlight w:val="none"/>
        </w:rPr>
        <w:t>五、企业类型的划分以统计部门的统计数据为依据。</w:t>
      </w:r>
      <w:bookmarkEnd w:id="505"/>
    </w:p>
    <w:p w14:paraId="7E03BD34">
      <w:pPr>
        <w:spacing w:line="312" w:lineRule="auto"/>
        <w:rPr>
          <w:rFonts w:ascii="宋体" w:hAnsi="宋体"/>
          <w:color w:val="auto"/>
          <w:sz w:val="21"/>
          <w:szCs w:val="21"/>
          <w:highlight w:val="none"/>
        </w:rPr>
      </w:pPr>
      <w:r>
        <w:rPr>
          <w:rFonts w:hint="eastAsia" w:ascii="宋体" w:hAnsi="宋体"/>
          <w:color w:val="auto"/>
          <w:sz w:val="21"/>
          <w:szCs w:val="21"/>
          <w:highlight w:val="none"/>
        </w:rPr>
        <w:t>　　六、本规定适用于在中华人民共和国境内依法设立的各类所有制和各种组织形式的企业。个体工商户和本规定以外的行业，参照本规定进行划型。</w:t>
      </w:r>
    </w:p>
    <w:p w14:paraId="1C1E44A4">
      <w:pPr>
        <w:spacing w:line="312" w:lineRule="auto"/>
        <w:rPr>
          <w:rFonts w:ascii="宋体" w:hAnsi="宋体"/>
          <w:color w:val="auto"/>
          <w:sz w:val="21"/>
          <w:szCs w:val="21"/>
          <w:highlight w:val="none"/>
        </w:rPr>
      </w:pPr>
      <w:r>
        <w:rPr>
          <w:rFonts w:hint="eastAsia" w:ascii="宋体" w:hAnsi="宋体"/>
          <w:color w:val="auto"/>
          <w:sz w:val="21"/>
          <w:szCs w:val="21"/>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5D03203F">
      <w:pPr>
        <w:spacing w:line="312" w:lineRule="auto"/>
        <w:rPr>
          <w:rFonts w:ascii="宋体" w:hAnsi="宋体"/>
          <w:color w:val="auto"/>
          <w:sz w:val="21"/>
          <w:szCs w:val="21"/>
          <w:highlight w:val="none"/>
        </w:rPr>
      </w:pPr>
      <w:r>
        <w:rPr>
          <w:rFonts w:hint="eastAsia" w:ascii="宋体" w:hAnsi="宋体"/>
          <w:color w:val="auto"/>
          <w:sz w:val="21"/>
          <w:szCs w:val="21"/>
          <w:highlight w:val="none"/>
        </w:rPr>
        <w:t>　　八、本规定由工业和信息化部、国家统计局会同有关部门根据《国民经济行业分类》修订情况和企业发展变化情况适时修订。</w:t>
      </w:r>
    </w:p>
    <w:p w14:paraId="54B88B5F">
      <w:pPr>
        <w:spacing w:line="312" w:lineRule="auto"/>
        <w:rPr>
          <w:rFonts w:ascii="宋体" w:hAnsi="宋体"/>
          <w:color w:val="auto"/>
          <w:sz w:val="21"/>
          <w:szCs w:val="21"/>
          <w:highlight w:val="none"/>
        </w:rPr>
      </w:pPr>
      <w:r>
        <w:rPr>
          <w:rFonts w:hint="eastAsia" w:ascii="宋体" w:hAnsi="宋体"/>
          <w:color w:val="auto"/>
          <w:sz w:val="21"/>
          <w:szCs w:val="21"/>
          <w:highlight w:val="none"/>
        </w:rPr>
        <w:t>　　九、本规定由工业和信息化部、国家统计局会同有关部门负责解释。</w:t>
      </w:r>
    </w:p>
    <w:p w14:paraId="31E2D3E1">
      <w:pPr>
        <w:spacing w:before="120" w:beforeLines="50" w:after="120" w:afterLines="50" w:line="288" w:lineRule="auto"/>
        <w:jc w:val="left"/>
        <w:rPr>
          <w:rFonts w:ascii="宋体" w:hAnsi="宋体" w:cs="宋体"/>
          <w:color w:val="auto"/>
          <w:sz w:val="21"/>
          <w:szCs w:val="21"/>
          <w:highlight w:val="none"/>
        </w:rPr>
      </w:pPr>
      <w:r>
        <w:rPr>
          <w:rFonts w:hint="eastAsia" w:ascii="宋体" w:hAnsi="宋体"/>
          <w:color w:val="auto"/>
          <w:sz w:val="21"/>
          <w:szCs w:val="21"/>
          <w:highlight w:val="none"/>
        </w:rPr>
        <w:t xml:space="preserve">    十、本规定自发布之日起执行，原国家经贸委、原国家计委、财政部和国家统计局2003年颁布的《中小企业标准暂行规定》同时废止。</w:t>
      </w:r>
    </w:p>
    <w:p w14:paraId="3B2674C0">
      <w:pPr>
        <w:spacing w:line="360" w:lineRule="auto"/>
        <w:jc w:val="center"/>
        <w:rPr>
          <w:rFonts w:hint="eastAsia" w:ascii="宋体" w:hAnsi="宋体"/>
          <w:b/>
          <w:color w:val="auto"/>
          <w:sz w:val="24"/>
          <w:highlight w:val="none"/>
        </w:rPr>
      </w:pPr>
      <w:r>
        <w:rPr>
          <w:rFonts w:ascii="宋体" w:hAnsi="宋体"/>
          <w:color w:val="auto"/>
          <w:sz w:val="21"/>
          <w:szCs w:val="21"/>
          <w:highlight w:val="none"/>
        </w:rPr>
        <w:br w:type="page"/>
      </w:r>
      <w:r>
        <w:rPr>
          <w:rFonts w:hint="eastAsia" w:ascii="宋体" w:hAnsi="宋体"/>
          <w:b/>
          <w:color w:val="auto"/>
          <w:sz w:val="24"/>
          <w:highlight w:val="none"/>
        </w:rPr>
        <w:t>关于促进残疾人就业政府采购政策的通知</w:t>
      </w:r>
    </w:p>
    <w:p w14:paraId="5E1D69D5">
      <w:pPr>
        <w:pStyle w:val="15"/>
        <w:spacing w:before="0" w:beforeAutospacing="0" w:after="0" w:afterAutospacing="0" w:line="360" w:lineRule="auto"/>
        <w:ind w:firstLine="480" w:firstLineChars="200"/>
        <w:jc w:val="center"/>
        <w:rPr>
          <w:rFonts w:hint="eastAsia"/>
          <w:b/>
          <w:color w:val="auto"/>
          <w:kern w:val="2"/>
          <w:szCs w:val="24"/>
          <w:highlight w:val="none"/>
        </w:rPr>
      </w:pPr>
      <w:bookmarkStart w:id="506" w:name="sendNo"/>
      <w:r>
        <w:rPr>
          <w:rFonts w:hint="eastAsia"/>
          <w:color w:val="auto"/>
          <w:kern w:val="2"/>
          <w:highlight w:val="none"/>
        </w:rPr>
        <w:t>财库〔</w:t>
      </w:r>
      <w:bookmarkEnd w:id="506"/>
      <w:r>
        <w:rPr>
          <w:rFonts w:hint="eastAsia"/>
          <w:color w:val="auto"/>
          <w:kern w:val="2"/>
          <w:highlight w:val="none"/>
        </w:rPr>
        <w:t>2017〕141号</w:t>
      </w:r>
    </w:p>
    <w:p w14:paraId="2000F3F8">
      <w:pPr>
        <w:pStyle w:val="15"/>
        <w:spacing w:before="0" w:beforeAutospacing="0" w:after="0" w:afterAutospacing="0" w:line="360" w:lineRule="auto"/>
        <w:ind w:firstLine="420" w:firstLineChars="200"/>
        <w:jc w:val="both"/>
        <w:rPr>
          <w:rFonts w:hint="eastAsia" w:cs="宋体"/>
          <w:color w:val="auto"/>
          <w:sz w:val="21"/>
          <w:szCs w:val="21"/>
          <w:highlight w:val="none"/>
        </w:rPr>
      </w:pPr>
      <w:bookmarkStart w:id="507" w:name="toDeptId"/>
      <w:r>
        <w:rPr>
          <w:rFonts w:hint="eastAsia" w:cs="宋体"/>
          <w:color w:val="auto"/>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07"/>
      <w:r>
        <w:rPr>
          <w:rFonts w:hint="eastAsia" w:cs="宋体"/>
          <w:color w:val="auto"/>
          <w:sz w:val="21"/>
          <w:szCs w:val="21"/>
          <w:highlight w:val="none"/>
          <w:shd w:val="clear" w:color="auto" w:fill="FFFFFF"/>
        </w:rPr>
        <w:t>：</w:t>
      </w:r>
    </w:p>
    <w:p w14:paraId="07E97179">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为了发挥政府采购促进残疾人就业的作用，进一步保障残疾人权益，依照《政府采购法》、《残疾人保障法》等法律法规及相关规定，现就促进残疾人就业政府采购政策通知如下：</w:t>
      </w:r>
    </w:p>
    <w:p w14:paraId="5B161119">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一、享受政府采购支持政策的残疾人福利性单位应当同时满足以下条件：</w:t>
      </w:r>
    </w:p>
    <w:p w14:paraId="17F7A243">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（一）安置的残疾人占本单位在职职工人数的比例不低于25%（含25%），并且安置的残疾人人数不少于10人（含10人）；</w:t>
      </w:r>
    </w:p>
    <w:p w14:paraId="6D08CEF9">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（二）依法与安置的每位残疾人签订了一年以上（含一年）的劳动合同或服务协议；</w:t>
      </w:r>
    </w:p>
    <w:p w14:paraId="41ED6596">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（三）为安置的每位残疾人按月足额缴纳了基本养老保险、基本医疗保险、失业保险、工伤保险和生育保险等社会保险费；</w:t>
      </w:r>
    </w:p>
    <w:p w14:paraId="4E2C0139">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（四）通过银行等金融机构向安置的每位残疾人，按月支付了不低于单位所在区县适用的经省级人民政府批准的月最低工资标准的工资；</w:t>
      </w:r>
    </w:p>
    <w:p w14:paraId="2672ACC3">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（五）提供本单位制造的货物、承担的工程或者服务（以下简称产品），或者提供其他残疾人福利性单位制造的货物（不包括使用非残疾人福利性单位注册商标的货物）。</w:t>
      </w:r>
    </w:p>
    <w:p w14:paraId="6D2F93BD">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A815C41">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3F5CAB37">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中标、成交供应商为残疾人福利性单位的，采购人或者其委托的采购代理机构应当随中标、成交结果同时公告其《残疾人福利性单位声明函》，接受社会监督。</w:t>
      </w:r>
    </w:p>
    <w:p w14:paraId="3705C4A2">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供应商提供的《残疾人福利性单位声明函》与事实不符的，依照《政府采购法》第七十七条第一款的规定追究法律责任。</w:t>
      </w:r>
    </w:p>
    <w:p w14:paraId="1E3B2786">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1B736F3">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四、采购人采购公开招标数额标准以上的货物或者服务，因落实促进残疾人就业政策的需要，依法履行有关报批程序后，可采用公开招标以外的采购方式。</w:t>
      </w:r>
    </w:p>
    <w:p w14:paraId="6F227784">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10DDAFB">
      <w:pPr>
        <w:pStyle w:val="15"/>
        <w:spacing w:before="0" w:beforeAutospacing="0" w:after="0" w:afterAutospacing="0" w:line="360" w:lineRule="auto"/>
        <w:ind w:firstLine="420" w:firstLineChars="200"/>
        <w:jc w:val="both"/>
        <w:rPr>
          <w:rFonts w:hint="eastAsia" w:cs="宋体"/>
          <w:color w:val="auto"/>
          <w:sz w:val="21"/>
          <w:szCs w:val="21"/>
          <w:highlight w:val="none"/>
        </w:rPr>
      </w:pPr>
      <w:r>
        <w:rPr>
          <w:rFonts w:hint="eastAsia" w:cs="宋体"/>
          <w:color w:val="auto"/>
          <w:sz w:val="21"/>
          <w:szCs w:val="21"/>
          <w:highlight w:val="none"/>
          <w:shd w:val="clear" w:color="auto" w:fill="FFFFFF"/>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21C83C75">
      <w:pPr>
        <w:pStyle w:val="15"/>
        <w:spacing w:before="0" w:beforeAutospacing="0" w:after="0" w:afterAutospacing="0" w:line="360" w:lineRule="auto"/>
        <w:ind w:firstLine="420" w:firstLineChars="200"/>
        <w:jc w:val="both"/>
        <w:outlineLvl w:val="1"/>
        <w:rPr>
          <w:rFonts w:hint="eastAsia" w:cs="宋体"/>
          <w:color w:val="auto"/>
          <w:sz w:val="21"/>
          <w:szCs w:val="21"/>
          <w:highlight w:val="none"/>
        </w:rPr>
      </w:pPr>
      <w:bookmarkStart w:id="508" w:name="_Toc27701"/>
      <w:r>
        <w:rPr>
          <w:rFonts w:hint="eastAsia" w:cs="宋体"/>
          <w:color w:val="auto"/>
          <w:sz w:val="21"/>
          <w:szCs w:val="21"/>
          <w:highlight w:val="none"/>
          <w:shd w:val="clear" w:color="auto" w:fill="FFFFFF"/>
        </w:rPr>
        <w:t>七、本通知自2017年10月1日起执行。</w:t>
      </w:r>
      <w:bookmarkEnd w:id="508"/>
    </w:p>
    <w:p w14:paraId="55EFD663">
      <w:pPr>
        <w:pStyle w:val="15"/>
        <w:spacing w:before="0" w:beforeAutospacing="0" w:after="0" w:afterAutospacing="0" w:line="360" w:lineRule="auto"/>
        <w:ind w:firstLine="420" w:firstLineChars="200"/>
        <w:jc w:val="right"/>
        <w:rPr>
          <w:rFonts w:cs="宋体"/>
          <w:color w:val="auto"/>
          <w:sz w:val="21"/>
          <w:szCs w:val="21"/>
          <w:highlight w:val="none"/>
        </w:rPr>
      </w:pPr>
      <w:r>
        <w:rPr>
          <w:rFonts w:hint="eastAsia" w:cs="宋体"/>
          <w:color w:val="auto"/>
          <w:sz w:val="21"/>
          <w:szCs w:val="21"/>
          <w:highlight w:val="none"/>
          <w:shd w:val="clear" w:color="auto" w:fill="FFFFFF"/>
        </w:rPr>
        <w:t>财政部民政部中国残疾人联合会</w:t>
      </w:r>
    </w:p>
    <w:p w14:paraId="7B498CD9">
      <w:pPr>
        <w:spacing w:line="312" w:lineRule="auto"/>
        <w:jc w:val="center"/>
        <w:rPr>
          <w:rFonts w:ascii="宋体" w:hAnsi="宋体"/>
          <w:b/>
          <w:color w:val="auto"/>
          <w:sz w:val="21"/>
          <w:szCs w:val="21"/>
          <w:highlight w:val="none"/>
        </w:rPr>
      </w:pPr>
      <w:r>
        <w:rPr>
          <w:rFonts w:ascii="宋体" w:hAnsi="宋体"/>
          <w:b/>
          <w:color w:val="auto"/>
          <w:sz w:val="24"/>
          <w:highlight w:val="none"/>
        </w:rPr>
        <w:br w:type="page"/>
      </w:r>
      <w:bookmarkStart w:id="509" w:name="OLE_LINK13"/>
      <w:bookmarkStart w:id="510" w:name="OLE_LINK14"/>
      <w:r>
        <w:rPr>
          <w:rFonts w:hint="eastAsia" w:ascii="宋体" w:hAnsi="宋体"/>
          <w:b/>
          <w:color w:val="auto"/>
          <w:sz w:val="21"/>
          <w:szCs w:val="21"/>
          <w:highlight w:val="none"/>
        </w:rPr>
        <w:t>残疾人福利性单位声明函</w:t>
      </w:r>
    </w:p>
    <w:bookmarkEnd w:id="509"/>
    <w:bookmarkEnd w:id="510"/>
    <w:p w14:paraId="2A76E889">
      <w:pPr>
        <w:spacing w:line="588" w:lineRule="exact"/>
        <w:rPr>
          <w:rFonts w:ascii="仿宋_GB2312" w:eastAsia="仿宋_GB2312"/>
          <w:b/>
          <w:color w:val="auto"/>
          <w:spacing w:val="6"/>
          <w:sz w:val="21"/>
          <w:szCs w:val="21"/>
          <w:highlight w:val="none"/>
        </w:rPr>
      </w:pPr>
    </w:p>
    <w:p w14:paraId="227F3244">
      <w:pPr>
        <w:spacing w:line="312" w:lineRule="auto"/>
        <w:rPr>
          <w:rFonts w:ascii="宋体" w:hAnsi="宋体"/>
          <w:color w:val="auto"/>
          <w:sz w:val="21"/>
          <w:szCs w:val="21"/>
          <w:highlight w:val="none"/>
        </w:rPr>
      </w:pPr>
      <w:r>
        <w:rPr>
          <w:rFonts w:hint="eastAsia" w:ascii="宋体" w:hAnsi="宋体"/>
          <w:color w:val="auto"/>
          <w:sz w:val="21"/>
          <w:szCs w:val="21"/>
          <w:highlight w:val="none"/>
        </w:rPr>
        <w:t xml:space="preserve">   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0EFC3279">
      <w:pPr>
        <w:spacing w:line="312" w:lineRule="auto"/>
        <w:rPr>
          <w:rFonts w:ascii="宋体" w:hAnsi="宋体"/>
          <w:color w:val="auto"/>
          <w:sz w:val="21"/>
          <w:szCs w:val="21"/>
          <w:highlight w:val="none"/>
        </w:rPr>
      </w:pPr>
      <w:r>
        <w:rPr>
          <w:rFonts w:hint="eastAsia" w:ascii="宋体" w:hAnsi="宋体"/>
          <w:color w:val="auto"/>
          <w:sz w:val="21"/>
          <w:szCs w:val="21"/>
          <w:highlight w:val="none"/>
        </w:rPr>
        <w:t>本单位对上述声明的真实性负责。如有虚假，将依法承担相应责任。</w:t>
      </w:r>
    </w:p>
    <w:p w14:paraId="08EECF82">
      <w:pPr>
        <w:spacing w:line="588" w:lineRule="exact"/>
        <w:ind w:firstLine="444" w:firstLineChars="200"/>
        <w:rPr>
          <w:rFonts w:ascii="仿宋_GB2312" w:eastAsia="仿宋_GB2312"/>
          <w:color w:val="auto"/>
          <w:spacing w:val="6"/>
          <w:sz w:val="21"/>
          <w:szCs w:val="21"/>
          <w:highlight w:val="none"/>
        </w:rPr>
      </w:pPr>
    </w:p>
    <w:p w14:paraId="0C9B1779">
      <w:pPr>
        <w:spacing w:line="588" w:lineRule="exact"/>
        <w:ind w:firstLine="444" w:firstLineChars="200"/>
        <w:rPr>
          <w:rFonts w:ascii="宋体" w:hAnsi="宋体"/>
          <w:color w:val="auto"/>
          <w:spacing w:val="6"/>
          <w:sz w:val="21"/>
          <w:szCs w:val="21"/>
          <w:highlight w:val="none"/>
        </w:rPr>
      </w:pPr>
    </w:p>
    <w:p w14:paraId="47DA01EA">
      <w:pPr>
        <w:spacing w:line="312" w:lineRule="auto"/>
        <w:ind w:firstLine="405"/>
        <w:rPr>
          <w:rFonts w:hint="eastAsia" w:ascii="宋体" w:hAnsi="宋体"/>
          <w:color w:val="auto"/>
          <w:sz w:val="21"/>
          <w:szCs w:val="21"/>
          <w:highlight w:val="none"/>
        </w:rPr>
      </w:pPr>
      <w:r>
        <w:rPr>
          <w:rFonts w:hint="eastAsia" w:ascii="宋体" w:hAnsi="宋体"/>
          <w:color w:val="auto"/>
          <w:spacing w:val="6"/>
          <w:sz w:val="21"/>
          <w:szCs w:val="21"/>
          <w:highlight w:val="none"/>
        </w:rPr>
        <w:t xml:space="preserve">      </w:t>
      </w:r>
      <w:r>
        <w:rPr>
          <w:rFonts w:hint="eastAsia" w:ascii="宋体" w:hAnsi="宋体"/>
          <w:color w:val="auto"/>
          <w:sz w:val="21"/>
          <w:szCs w:val="21"/>
          <w:highlight w:val="none"/>
        </w:rPr>
        <w:t xml:space="preserve">        </w:t>
      </w:r>
    </w:p>
    <w:p w14:paraId="359465C6">
      <w:pPr>
        <w:spacing w:line="312" w:lineRule="auto"/>
        <w:ind w:firstLine="405"/>
        <w:rPr>
          <w:rFonts w:hint="eastAsia" w:ascii="宋体" w:hAnsi="宋体"/>
          <w:color w:val="auto"/>
          <w:sz w:val="21"/>
          <w:szCs w:val="21"/>
          <w:highlight w:val="none"/>
        </w:rPr>
      </w:pPr>
    </w:p>
    <w:p w14:paraId="08180C50">
      <w:pPr>
        <w:spacing w:line="312" w:lineRule="auto"/>
        <w:ind w:firstLine="405"/>
        <w:rPr>
          <w:rFonts w:ascii="宋体" w:hAnsi="宋体"/>
          <w:color w:val="auto"/>
          <w:sz w:val="21"/>
          <w:szCs w:val="21"/>
          <w:highlight w:val="none"/>
        </w:rPr>
      </w:pPr>
      <w:r>
        <w:rPr>
          <w:rFonts w:hint="eastAsia" w:ascii="宋体" w:hAnsi="宋体"/>
          <w:color w:val="auto"/>
          <w:sz w:val="21"/>
          <w:szCs w:val="21"/>
          <w:highlight w:val="none"/>
        </w:rPr>
        <w:t xml:space="preserve">                                         单位名称（盖章）：</w:t>
      </w:r>
    </w:p>
    <w:p w14:paraId="166FF91A">
      <w:pPr>
        <w:spacing w:line="312" w:lineRule="auto"/>
        <w:ind w:firstLine="405"/>
        <w:rPr>
          <w:rFonts w:hint="eastAsia" w:ascii="宋体" w:hAnsi="宋体"/>
          <w:color w:val="auto"/>
          <w:sz w:val="21"/>
          <w:szCs w:val="21"/>
          <w:highlight w:val="none"/>
        </w:rPr>
      </w:pPr>
      <w:r>
        <w:rPr>
          <w:rFonts w:hint="eastAsia" w:ascii="宋体" w:hAnsi="宋体"/>
          <w:color w:val="auto"/>
          <w:sz w:val="21"/>
          <w:szCs w:val="21"/>
          <w:highlight w:val="none"/>
        </w:rPr>
        <w:t xml:space="preserve">                                      </w:t>
      </w:r>
    </w:p>
    <w:p w14:paraId="71EC2FF4">
      <w:pPr>
        <w:spacing w:line="312" w:lineRule="auto"/>
        <w:ind w:firstLine="405"/>
        <w:rPr>
          <w:rFonts w:hint="eastAsia" w:ascii="宋体" w:hAnsi="宋体"/>
          <w:color w:val="auto"/>
          <w:sz w:val="21"/>
          <w:szCs w:val="21"/>
          <w:highlight w:val="none"/>
        </w:rPr>
      </w:pPr>
    </w:p>
    <w:p w14:paraId="414E068E">
      <w:pPr>
        <w:spacing w:line="312" w:lineRule="auto"/>
        <w:ind w:firstLine="405"/>
        <w:rPr>
          <w:rFonts w:ascii="宋体" w:hAnsi="宋体"/>
          <w:color w:val="auto"/>
          <w:sz w:val="21"/>
          <w:szCs w:val="21"/>
          <w:highlight w:val="none"/>
        </w:rPr>
      </w:pPr>
      <w:r>
        <w:rPr>
          <w:rFonts w:hint="eastAsia" w:ascii="宋体" w:hAnsi="宋体"/>
          <w:color w:val="auto"/>
          <w:sz w:val="21"/>
          <w:szCs w:val="21"/>
          <w:highlight w:val="none"/>
        </w:rPr>
        <w:t xml:space="preserve">                                         日  期：</w:t>
      </w:r>
    </w:p>
    <w:p w14:paraId="212496A7">
      <w:pPr>
        <w:spacing w:line="312" w:lineRule="auto"/>
        <w:ind w:firstLine="405"/>
        <w:jc w:val="center"/>
        <w:outlineLvl w:val="0"/>
        <w:rPr>
          <w:rFonts w:hint="eastAsia" w:ascii="宋体" w:hAnsi="宋体" w:cs="宋体"/>
          <w:b/>
          <w:color w:val="auto"/>
          <w:sz w:val="21"/>
          <w:szCs w:val="21"/>
          <w:highlight w:val="none"/>
        </w:rPr>
      </w:pPr>
      <w:r>
        <w:rPr>
          <w:rFonts w:hint="eastAsia" w:ascii="宋体" w:hAnsi="宋体"/>
          <w:color w:val="auto"/>
          <w:sz w:val="21"/>
          <w:szCs w:val="21"/>
          <w:highlight w:val="none"/>
        </w:rPr>
        <w:br w:type="page"/>
      </w:r>
      <w:bookmarkStart w:id="511" w:name="_Toc18231"/>
      <w:bookmarkStart w:id="512" w:name="_Toc18909"/>
      <w:r>
        <w:rPr>
          <w:rFonts w:hint="eastAsia" w:ascii="宋体" w:hAnsi="宋体" w:cs="宋体"/>
          <w:b/>
          <w:color w:val="auto"/>
          <w:sz w:val="21"/>
          <w:szCs w:val="21"/>
          <w:highlight w:val="none"/>
        </w:rPr>
        <w:t>财政部司法部关于政府采购支持监狱企业发展有关问题的通知</w:t>
      </w:r>
      <w:bookmarkEnd w:id="511"/>
      <w:bookmarkEnd w:id="512"/>
    </w:p>
    <w:p w14:paraId="142EF063">
      <w:pPr>
        <w:spacing w:line="360" w:lineRule="auto"/>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财库〔2014〕68号</w:t>
      </w:r>
    </w:p>
    <w:p w14:paraId="04A6DCF7">
      <w:pPr>
        <w:spacing w:line="360" w:lineRule="auto"/>
        <w:rPr>
          <w:rFonts w:hint="eastAsia" w:ascii="宋体" w:hAnsi="宋体" w:cs="宋体"/>
          <w:color w:val="auto"/>
          <w:sz w:val="21"/>
          <w:szCs w:val="21"/>
          <w:highlight w:val="none"/>
        </w:rPr>
      </w:pPr>
      <w:r>
        <w:rPr>
          <w:rFonts w:hint="eastAsia" w:ascii="宋体" w:hAnsi="宋体" w:cs="宋体"/>
          <w:color w:val="auto"/>
          <w:sz w:val="21"/>
          <w:szCs w:val="21"/>
          <w:highlight w:val="none"/>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F14D740">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54D7F2DB">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D6A66A0">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二、在政府采购活动中，监狱企业视同小型、微型企业，享受预留份额、评审中价格扣除等政府采购促进中小企业发展的政府采购政策。向监狱企业采购的金额，计入面向中小企业采购的统计数据。</w:t>
      </w:r>
    </w:p>
    <w:p w14:paraId="13EAF70B">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5B93C940">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四、各地区可以结合本地区实际，对监狱企业生产的办公用品、家具用具、车辆维修和提供的保养服务、消防设备等，提出预留份额等政府采购支持措施，加大对监狱企业产品的采购力度。</w:t>
      </w:r>
    </w:p>
    <w:p w14:paraId="5AC41171">
      <w:pPr>
        <w:spacing w:line="360" w:lineRule="auto"/>
        <w:ind w:firstLine="420" w:firstLineChars="200"/>
        <w:rPr>
          <w:rFonts w:hint="eastAsia" w:ascii="宋体" w:hAnsi="宋体" w:cs="宋体"/>
          <w:color w:val="auto"/>
          <w:sz w:val="21"/>
          <w:szCs w:val="21"/>
          <w:highlight w:val="none"/>
        </w:rPr>
      </w:pPr>
      <w:r>
        <w:rPr>
          <w:rFonts w:hint="eastAsia" w:ascii="宋体" w:hAnsi="宋体" w:cs="宋体"/>
          <w:color w:val="auto"/>
          <w:sz w:val="21"/>
          <w:szCs w:val="21"/>
          <w:highlight w:val="none"/>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27762FA">
      <w:pPr>
        <w:spacing w:line="360" w:lineRule="auto"/>
        <w:jc w:val="right"/>
        <w:rPr>
          <w:rFonts w:hint="eastAsia" w:ascii="宋体" w:hAnsi="宋体" w:cs="宋体"/>
          <w:color w:val="auto"/>
          <w:sz w:val="21"/>
          <w:szCs w:val="21"/>
          <w:highlight w:val="none"/>
        </w:rPr>
      </w:pPr>
      <w:r>
        <w:rPr>
          <w:rFonts w:hint="eastAsia" w:ascii="宋体" w:hAnsi="宋体" w:cs="宋体"/>
          <w:color w:val="auto"/>
          <w:sz w:val="21"/>
          <w:szCs w:val="21"/>
          <w:highlight w:val="none"/>
        </w:rPr>
        <w:t>中华人民共和国财政部</w:t>
      </w:r>
    </w:p>
    <w:p w14:paraId="68A87FC5">
      <w:pPr>
        <w:spacing w:before="120" w:beforeLines="50" w:after="120" w:afterLines="50" w:line="288" w:lineRule="auto"/>
        <w:jc w:val="right"/>
        <w:rPr>
          <w:rFonts w:hint="eastAsia" w:ascii="宋体" w:hAnsi="宋体" w:cs="宋体"/>
          <w:color w:val="auto"/>
          <w:sz w:val="21"/>
          <w:szCs w:val="21"/>
          <w:highlight w:val="none"/>
        </w:rPr>
      </w:pPr>
      <w:r>
        <w:rPr>
          <w:rFonts w:hint="eastAsia" w:ascii="宋体" w:hAnsi="宋体" w:cs="宋体"/>
          <w:color w:val="auto"/>
          <w:sz w:val="21"/>
          <w:szCs w:val="21"/>
          <w:highlight w:val="none"/>
        </w:rPr>
        <w:t>中华人民共和国司法部</w:t>
      </w:r>
    </w:p>
    <w:p w14:paraId="4673CE18">
      <w:pPr>
        <w:spacing w:before="120" w:beforeLines="50" w:after="120" w:afterLines="50" w:line="288" w:lineRule="auto"/>
        <w:jc w:val="right"/>
        <w:rPr>
          <w:rFonts w:hint="eastAsia" w:ascii="宋体" w:hAnsi="宋体" w:cs="宋体"/>
          <w:color w:val="auto"/>
          <w:sz w:val="21"/>
          <w:szCs w:val="21"/>
          <w:highlight w:val="none"/>
        </w:rPr>
      </w:pPr>
    </w:p>
    <w:p w14:paraId="55DF7482">
      <w:pPr>
        <w:spacing w:before="120" w:beforeLines="50" w:after="120" w:afterLines="50" w:line="288" w:lineRule="auto"/>
        <w:jc w:val="right"/>
        <w:rPr>
          <w:rFonts w:hint="eastAsia" w:ascii="宋体" w:hAnsi="宋体" w:cs="宋体"/>
          <w:color w:val="auto"/>
          <w:sz w:val="21"/>
          <w:szCs w:val="21"/>
          <w:highlight w:val="none"/>
        </w:rPr>
      </w:pPr>
    </w:p>
    <w:p w14:paraId="41CED8C3">
      <w:pPr>
        <w:spacing w:before="120" w:beforeLines="50" w:after="120" w:afterLines="50" w:line="288" w:lineRule="auto"/>
        <w:jc w:val="right"/>
        <w:rPr>
          <w:rFonts w:hint="eastAsia" w:ascii="宋体" w:hAnsi="宋体" w:cs="宋体"/>
          <w:color w:val="auto"/>
          <w:sz w:val="21"/>
          <w:szCs w:val="21"/>
          <w:highlight w:val="none"/>
        </w:rPr>
      </w:pPr>
    </w:p>
    <w:p w14:paraId="44D6C56B">
      <w:pPr>
        <w:spacing w:before="120" w:beforeLines="50" w:after="240" w:afterLines="100" w:line="440" w:lineRule="exact"/>
        <w:jc w:val="center"/>
        <w:outlineLvl w:val="1"/>
        <w:rPr>
          <w:rFonts w:hint="eastAsia" w:ascii="微软雅黑" w:hAnsi="微软雅黑" w:eastAsia="微软雅黑" w:cs="微软雅黑"/>
          <w:b/>
          <w:color w:val="auto"/>
          <w:sz w:val="32"/>
          <w:szCs w:val="22"/>
          <w:highlight w:val="none"/>
        </w:rPr>
      </w:pPr>
      <w:bookmarkStart w:id="513" w:name="_Toc15428"/>
    </w:p>
    <w:p w14:paraId="52EDA8DB">
      <w:pPr>
        <w:spacing w:before="120" w:beforeLines="50" w:after="240" w:afterLines="100" w:line="440" w:lineRule="exact"/>
        <w:jc w:val="center"/>
        <w:outlineLvl w:val="1"/>
        <w:rPr>
          <w:rFonts w:ascii="微软雅黑" w:hAnsi="微软雅黑" w:eastAsia="微软雅黑" w:cs="微软雅黑"/>
          <w:b/>
          <w:color w:val="auto"/>
          <w:sz w:val="32"/>
          <w:szCs w:val="22"/>
          <w:highlight w:val="none"/>
        </w:rPr>
      </w:pPr>
      <w:r>
        <w:rPr>
          <w:rFonts w:hint="eastAsia" w:ascii="微软雅黑" w:hAnsi="微软雅黑" w:eastAsia="微软雅黑" w:cs="微软雅黑"/>
          <w:b/>
          <w:color w:val="auto"/>
          <w:sz w:val="32"/>
          <w:szCs w:val="22"/>
          <w:highlight w:val="none"/>
        </w:rPr>
        <w:t>二次报价函</w:t>
      </w:r>
      <w:bookmarkEnd w:id="513"/>
    </w:p>
    <w:p w14:paraId="231F5CFD">
      <w:pPr>
        <w:spacing w:before="240" w:beforeLines="100" w:after="240" w:afterLines="100"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（招标人名称）</w:t>
      </w:r>
    </w:p>
    <w:p w14:paraId="74D493BC">
      <w:pPr>
        <w:spacing w:before="240" w:beforeLines="100" w:after="240" w:afterLines="10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1.我方已仔细研究了</w:t>
      </w:r>
      <w:r>
        <w:rPr>
          <w:rFonts w:hint="eastAsia" w:ascii="宋体" w:hAnsi="宋体" w:eastAsia="宋体" w:cs="宋体"/>
          <w:color w:val="auto"/>
          <w:sz w:val="24"/>
          <w:szCs w:val="24"/>
          <w:highlight w:val="none"/>
          <w:u w:val="single"/>
        </w:rPr>
        <w:t xml:space="preserve">                  （项目名称）  </w:t>
      </w:r>
      <w:r>
        <w:rPr>
          <w:rFonts w:hint="eastAsia" w:ascii="宋体" w:hAnsi="宋体" w:eastAsia="宋体" w:cs="宋体"/>
          <w:color w:val="auto"/>
          <w:sz w:val="24"/>
          <w:szCs w:val="24"/>
          <w:highlight w:val="none"/>
        </w:rPr>
        <w:t>工程施工磋商文件的全部内容，经踏勘现场，研究磋商文件、图纸、技术规范、合同条件和认真细致的计算后，我公司针对本工程制订了详细的施工方案，愿意以第二次最终报价人民币（大写）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）的投标报价承担本工程的施工、竣工，工期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日历天，按合同约定实施和完成承包工程，修补工程中的任何缺陷，工程质量按照相关规定的验收达到合格标准。</w:t>
      </w:r>
    </w:p>
    <w:p w14:paraId="0752A6E5">
      <w:pPr>
        <w:spacing w:before="240" w:beforeLines="100" w:after="240" w:afterLines="10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2.拟任本工程的项目经理为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p w14:paraId="3A9F83F8">
      <w:pPr>
        <w:spacing w:before="240" w:beforeLines="100" w:after="240" w:afterLines="10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3.我方承诺在投标有效期内不修改、撤销应磋商文件。</w:t>
      </w:r>
    </w:p>
    <w:p w14:paraId="52EC0774">
      <w:pPr>
        <w:spacing w:before="240" w:beforeLines="100" w:after="240" w:afterLines="10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4.如果我单位应磋商文件被采纳，成为成交单位，我们将及时与采购人签订《建设工程施工合同》，遵照施工组织设计的安排，组织施工队伍、机具材料进驻施工现场，按采购人要求及时开工。</w:t>
      </w:r>
    </w:p>
    <w:p w14:paraId="598FE89E">
      <w:pPr>
        <w:pStyle w:val="36"/>
        <w:rPr>
          <w:color w:val="auto"/>
          <w:highlight w:val="none"/>
        </w:rPr>
      </w:pPr>
    </w:p>
    <w:p w14:paraId="2F36A017">
      <w:pPr>
        <w:spacing w:before="240" w:beforeLines="100" w:after="240" w:afterLines="100" w:line="240" w:lineRule="atLeast"/>
        <w:ind w:left="30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14:paraId="6E7322B7">
      <w:pPr>
        <w:spacing w:before="120" w:beforeLines="50" w:after="120" w:afterLines="50" w:line="240" w:lineRule="atLeast"/>
        <w:ind w:left="30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(签字)  </w:t>
      </w:r>
    </w:p>
    <w:p w14:paraId="3898C960">
      <w:pPr>
        <w:spacing w:before="240" w:beforeLines="100" w:after="240" w:afterLines="100" w:line="240" w:lineRule="atLeast"/>
        <w:ind w:left="300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 xml:space="preserve">                 </w:t>
      </w:r>
    </w:p>
    <w:p w14:paraId="2F639555">
      <w:pPr>
        <w:spacing w:before="240" w:beforeLines="100" w:after="240" w:afterLines="100" w:line="240" w:lineRule="atLeast"/>
        <w:ind w:left="3000" w:firstLine="0" w:firstLineChars="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xml:space="preserve">                 </w:t>
      </w:r>
    </w:p>
    <w:p w14:paraId="02EF4E9E">
      <w:pPr>
        <w:spacing w:before="240" w:beforeLines="100" w:after="240" w:afterLines="100" w:line="240" w:lineRule="atLeast"/>
        <w:ind w:left="3000" w:firstLine="0" w:firstLineChars="0"/>
        <w:rPr>
          <w:rFonts w:hint="eastAsia" w:ascii="宋体" w:hAnsi="宋体" w:eastAsia="宋体" w:cs="宋体"/>
          <w:b/>
          <w:bCs/>
          <w:color w:val="auto"/>
          <w:kern w:val="0"/>
          <w:sz w:val="24"/>
          <w:szCs w:val="24"/>
          <w:highlight w:val="none"/>
          <w:lang w:val="en-US" w:eastAsia="zh-CN" w:bidi="ar"/>
        </w:rPr>
      </w:pPr>
      <w:r>
        <w:rPr>
          <w:rFonts w:hint="eastAsia" w:ascii="宋体" w:hAnsi="宋体" w:eastAsia="宋体" w:cs="宋体"/>
          <w:color w:val="auto"/>
          <w:sz w:val="24"/>
          <w:szCs w:val="24"/>
          <w:highlight w:val="none"/>
        </w:rPr>
        <w:t>日期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月 </w:t>
      </w:r>
      <w:r>
        <w:rPr>
          <w:rFonts w:hint="eastAsia" w:ascii="宋体" w:hAnsi="宋体" w:eastAsia="宋体" w:cs="宋体"/>
          <w:color w:val="auto"/>
          <w:sz w:val="24"/>
          <w:szCs w:val="24"/>
          <w:highlight w:val="none"/>
          <w:u w:val="single"/>
        </w:rPr>
        <w:t xml:space="preserve">        </w:t>
      </w:r>
    </w:p>
    <w:p w14:paraId="111F30E1">
      <w:pPr>
        <w:keepNext w:val="0"/>
        <w:keepLines w:val="0"/>
        <w:widowControl/>
        <w:suppressLineNumbers w:val="0"/>
        <w:jc w:val="left"/>
        <w:rPr>
          <w:rFonts w:hint="eastAsia" w:ascii="宋体" w:hAnsi="宋体" w:eastAsia="宋体" w:cs="宋体"/>
          <w:b/>
          <w:bCs/>
          <w:color w:val="auto"/>
          <w:kern w:val="0"/>
          <w:sz w:val="24"/>
          <w:szCs w:val="24"/>
          <w:highlight w:val="none"/>
          <w:lang w:val="en-US" w:eastAsia="zh-CN" w:bidi="ar"/>
        </w:rPr>
      </w:pPr>
    </w:p>
    <w:p w14:paraId="099E5521">
      <w:pPr>
        <w:keepNext w:val="0"/>
        <w:keepLines w:val="0"/>
        <w:widowControl/>
        <w:suppressLineNumbers w:val="0"/>
        <w:jc w:val="left"/>
        <w:rPr>
          <w:rFonts w:hint="eastAsia" w:ascii="宋体" w:hAnsi="宋体" w:eastAsia="宋体" w:cs="宋体"/>
          <w:b/>
          <w:bCs/>
          <w:color w:val="auto"/>
          <w:kern w:val="0"/>
          <w:sz w:val="24"/>
          <w:szCs w:val="24"/>
          <w:highlight w:val="none"/>
          <w:lang w:val="en-US" w:eastAsia="zh-CN" w:bidi="ar"/>
        </w:rPr>
      </w:pPr>
    </w:p>
    <w:p w14:paraId="2424FA72">
      <w:pPr>
        <w:keepNext w:val="0"/>
        <w:keepLines w:val="0"/>
        <w:widowControl/>
        <w:suppressLineNumbers w:val="0"/>
        <w:jc w:val="left"/>
        <w:rPr>
          <w:b/>
          <w:bCs/>
          <w:color w:val="auto"/>
          <w:sz w:val="22"/>
          <w:szCs w:val="22"/>
          <w:highlight w:val="none"/>
        </w:rPr>
      </w:pPr>
      <w:r>
        <w:rPr>
          <w:rFonts w:hint="eastAsia" w:ascii="宋体" w:hAnsi="宋体" w:eastAsia="宋体" w:cs="宋体"/>
          <w:b/>
          <w:bCs/>
          <w:color w:val="auto"/>
          <w:kern w:val="0"/>
          <w:sz w:val="28"/>
          <w:szCs w:val="28"/>
          <w:highlight w:val="none"/>
          <w:lang w:val="en-US" w:eastAsia="zh-CN" w:bidi="ar"/>
        </w:rPr>
        <w:t xml:space="preserve">****注：1、本表以政采云平台模板为准。 </w:t>
      </w:r>
    </w:p>
    <w:p w14:paraId="4BC66AFA">
      <w:pPr>
        <w:keepNext w:val="0"/>
        <w:keepLines w:val="0"/>
        <w:widowControl/>
        <w:suppressLineNumbers w:val="0"/>
        <w:ind w:firstLine="1124" w:firstLineChars="400"/>
        <w:jc w:val="left"/>
        <w:rPr>
          <w:b/>
          <w:bCs/>
          <w:color w:val="auto"/>
          <w:sz w:val="22"/>
          <w:szCs w:val="22"/>
          <w:highlight w:val="none"/>
        </w:rPr>
      </w:pPr>
      <w:r>
        <w:rPr>
          <w:rFonts w:hint="eastAsia" w:ascii="宋体" w:hAnsi="宋体" w:eastAsia="宋体" w:cs="宋体"/>
          <w:b/>
          <w:bCs/>
          <w:color w:val="auto"/>
          <w:kern w:val="0"/>
          <w:sz w:val="28"/>
          <w:szCs w:val="28"/>
          <w:highlight w:val="none"/>
          <w:lang w:val="en-US" w:eastAsia="zh-CN" w:bidi="ar"/>
        </w:rPr>
        <w:t>2、本表作为</w:t>
      </w:r>
      <w:r>
        <w:rPr>
          <w:rFonts w:hint="default" w:ascii="Times New Roman" w:hAnsi="Times New Roman" w:eastAsia="宋体" w:cs="Times New Roman"/>
          <w:b/>
          <w:bCs/>
          <w:color w:val="auto"/>
          <w:kern w:val="0"/>
          <w:sz w:val="28"/>
          <w:szCs w:val="28"/>
          <w:highlight w:val="none"/>
          <w:lang w:val="en-US" w:eastAsia="zh-CN" w:bidi="ar"/>
        </w:rPr>
        <w:t>“</w:t>
      </w:r>
      <w:r>
        <w:rPr>
          <w:rFonts w:hint="eastAsia" w:ascii="宋体" w:hAnsi="宋体" w:eastAsia="宋体" w:cs="宋体"/>
          <w:b/>
          <w:bCs/>
          <w:color w:val="auto"/>
          <w:kern w:val="0"/>
          <w:sz w:val="28"/>
          <w:szCs w:val="28"/>
          <w:highlight w:val="none"/>
          <w:lang w:val="en-US" w:eastAsia="zh-CN" w:bidi="ar"/>
        </w:rPr>
        <w:t>最终报价</w:t>
      </w:r>
      <w:r>
        <w:rPr>
          <w:rFonts w:hint="default" w:ascii="Times New Roman" w:hAnsi="Times New Roman" w:eastAsia="宋体" w:cs="Times New Roman"/>
          <w:b/>
          <w:bCs/>
          <w:color w:val="auto"/>
          <w:kern w:val="0"/>
          <w:sz w:val="28"/>
          <w:szCs w:val="28"/>
          <w:highlight w:val="none"/>
          <w:lang w:val="en-US" w:eastAsia="zh-CN" w:bidi="ar"/>
        </w:rPr>
        <w:t>”</w:t>
      </w:r>
      <w:r>
        <w:rPr>
          <w:rFonts w:hint="eastAsia" w:ascii="宋体" w:hAnsi="宋体" w:eastAsia="宋体" w:cs="宋体"/>
          <w:b/>
          <w:bCs/>
          <w:color w:val="auto"/>
          <w:kern w:val="0"/>
          <w:sz w:val="28"/>
          <w:szCs w:val="28"/>
          <w:highlight w:val="none"/>
          <w:lang w:val="en-US" w:eastAsia="zh-CN" w:bidi="ar"/>
        </w:rPr>
        <w:t xml:space="preserve">时使用。 </w:t>
      </w:r>
    </w:p>
    <w:p w14:paraId="4EDF953A">
      <w:pPr>
        <w:keepNext w:val="0"/>
        <w:keepLines w:val="0"/>
        <w:widowControl/>
        <w:suppressLineNumbers w:val="0"/>
        <w:ind w:firstLine="1124" w:firstLineChars="400"/>
        <w:jc w:val="left"/>
        <w:rPr>
          <w:color w:val="auto"/>
          <w:highlight w:val="none"/>
        </w:rPr>
      </w:pPr>
      <w:r>
        <w:rPr>
          <w:rFonts w:hint="eastAsia" w:ascii="宋体" w:hAnsi="宋体" w:eastAsia="宋体" w:cs="宋体"/>
          <w:b/>
          <w:bCs/>
          <w:color w:val="auto"/>
          <w:kern w:val="0"/>
          <w:sz w:val="28"/>
          <w:szCs w:val="28"/>
          <w:highlight w:val="none"/>
          <w:lang w:val="en-US" w:eastAsia="zh-CN" w:bidi="ar"/>
        </w:rPr>
        <w:t>3、无需将此表放到响应文件中，初审通过后的供应商在规定时间内在政采云平台进行二次报价。</w:t>
      </w:r>
    </w:p>
    <w:p w14:paraId="20151ED2">
      <w:pPr>
        <w:spacing w:line="360" w:lineRule="auto"/>
        <w:jc w:val="both"/>
        <w:rPr>
          <w:rFonts w:hint="eastAsia" w:ascii="宋体" w:hAnsi="宋体" w:eastAsia="宋体" w:cs="宋体"/>
          <w:b/>
          <w:i w:val="0"/>
          <w:iCs w:val="0"/>
          <w:color w:val="auto"/>
          <w:szCs w:val="28"/>
          <w:highlight w:val="none"/>
        </w:rPr>
      </w:pPr>
    </w:p>
    <w:sectPr>
      <w:footerReference r:id="rId10" w:type="default"/>
      <w:pgSz w:w="11906" w:h="16839"/>
      <w:pgMar w:top="1417" w:right="1418" w:bottom="1417" w:left="1418" w:header="0" w:footer="992"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63AF0">
    <w:pPr>
      <w:spacing w:line="169" w:lineRule="auto"/>
      <w:ind w:left="4276"/>
      <w:rPr>
        <w:rFonts w:ascii="Calibri" w:hAnsi="Calibri" w:eastAsia="Calibri" w:cs="Calibri"/>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D2F09">
    <w:pPr>
      <w:spacing w:line="169" w:lineRule="auto"/>
      <w:ind w:left="4276"/>
      <w:rPr>
        <w:rFonts w:ascii="Calibri" w:hAnsi="Calibri" w:eastAsia="Calibri" w:cs="Calibri"/>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53843">
                          <w:pPr>
                            <w:pStyle w:val="1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23C53843">
                    <w:pPr>
                      <w:pStyle w:val="12"/>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ECFEB8">
    <w:pPr>
      <w:spacing w:line="169" w:lineRule="auto"/>
      <w:ind w:left="4803"/>
      <w:rPr>
        <w:rFonts w:ascii="Calibri" w:hAnsi="Calibri" w:eastAsia="Calibri" w:cs="Calibri"/>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A6B589">
                          <w:pPr>
                            <w:pStyle w:val="12"/>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5A6B589">
                    <w:pPr>
                      <w:pStyle w:val="12"/>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B70288">
    <w:pPr>
      <w:spacing w:line="196" w:lineRule="auto"/>
      <w:ind w:left="4597"/>
      <w:rPr>
        <w:rFonts w:ascii="Times New Roman" w:hAnsi="Times New Roman" w:eastAsia="Times New Roman" w:cs="Times New Roman"/>
        <w:sz w:val="17"/>
        <w:szCs w:val="17"/>
      </w:rPr>
    </w:pPr>
    <w:r>
      <w:rPr>
        <w:rFonts w:ascii="Times New Roman" w:hAnsi="Times New Roman" w:eastAsia="Times New Roman" w:cs="Times New Roman"/>
        <w:sz w:val="17"/>
        <w:szCs w:val="17"/>
      </w:rPr>
      <w:t>87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D000CF">
    <w:pPr>
      <w:spacing w:line="169" w:lineRule="auto"/>
      <w:ind w:left="4044"/>
      <w:rPr>
        <w:rFonts w:ascii="Calibri" w:hAnsi="Calibri" w:eastAsia="Calibri" w:cs="Calibri"/>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8B37B0F">
                          <w:pPr>
                            <w:pStyle w:val="12"/>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8B37B0F">
                    <w:pPr>
                      <w:pStyle w:val="12"/>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A3AB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8A62B06"/>
    <w:multiLevelType w:val="multilevel"/>
    <w:tmpl w:val="28A62B06"/>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5A9C4A99"/>
    <w:multiLevelType w:val="multilevel"/>
    <w:tmpl w:val="5A9C4A99"/>
    <w:lvl w:ilvl="0" w:tentative="0">
      <w:start w:val="20"/>
      <w:numFmt w:val="decimal"/>
      <w:lvlText w:val="%1"/>
      <w:lvlJc w:val="left"/>
      <w:pPr>
        <w:tabs>
          <w:tab w:val="left" w:pos="840"/>
        </w:tabs>
        <w:ind w:left="840" w:hanging="840"/>
      </w:pPr>
      <w:rPr>
        <w:rFonts w:hint="default"/>
      </w:rPr>
    </w:lvl>
    <w:lvl w:ilvl="1" w:tentative="0">
      <w:start w:val="6"/>
      <w:numFmt w:val="decimal"/>
      <w:lvlText w:val="%1.%2"/>
      <w:lvlJc w:val="left"/>
      <w:pPr>
        <w:tabs>
          <w:tab w:val="left" w:pos="1080"/>
        </w:tabs>
        <w:ind w:left="1080" w:hanging="840"/>
      </w:pPr>
      <w:rPr>
        <w:rFonts w:hint="default"/>
      </w:rPr>
    </w:lvl>
    <w:lvl w:ilvl="2" w:tentative="0">
      <w:start w:val="4"/>
      <w:numFmt w:val="decimal"/>
      <w:lvlText w:val="%1.%2.%3"/>
      <w:lvlJc w:val="left"/>
      <w:pPr>
        <w:tabs>
          <w:tab w:val="left" w:pos="1320"/>
        </w:tabs>
        <w:ind w:left="1320" w:hanging="840"/>
      </w:pPr>
      <w:rPr>
        <w:rFonts w:hint="default"/>
      </w:rPr>
    </w:lvl>
    <w:lvl w:ilvl="3" w:tentative="0">
      <w:start w:val="1"/>
      <w:numFmt w:val="decimal"/>
      <w:lvlText w:val="%1.%2.%3.%4"/>
      <w:lvlJc w:val="left"/>
      <w:pPr>
        <w:tabs>
          <w:tab w:val="left" w:pos="1800"/>
        </w:tabs>
        <w:ind w:left="1800" w:hanging="1080"/>
      </w:pPr>
      <w:rPr>
        <w:rFonts w:hint="default"/>
      </w:rPr>
    </w:lvl>
    <w:lvl w:ilvl="4" w:tentative="0">
      <w:start w:val="1"/>
      <w:numFmt w:val="decimal"/>
      <w:lvlText w:val="%1.%2.%3.%4.%5"/>
      <w:lvlJc w:val="left"/>
      <w:pPr>
        <w:tabs>
          <w:tab w:val="left" w:pos="2040"/>
        </w:tabs>
        <w:ind w:left="2040" w:hanging="1080"/>
      </w:pPr>
      <w:rPr>
        <w:rFonts w:hint="default"/>
      </w:rPr>
    </w:lvl>
    <w:lvl w:ilvl="5" w:tentative="0">
      <w:start w:val="1"/>
      <w:numFmt w:val="decimal"/>
      <w:lvlText w:val="%1.%2.%3.%4.%5.%6"/>
      <w:lvlJc w:val="left"/>
      <w:pPr>
        <w:tabs>
          <w:tab w:val="left" w:pos="2640"/>
        </w:tabs>
        <w:ind w:left="2640" w:hanging="1440"/>
      </w:pPr>
      <w:rPr>
        <w:rFonts w:hint="default"/>
      </w:rPr>
    </w:lvl>
    <w:lvl w:ilvl="6" w:tentative="0">
      <w:start w:val="1"/>
      <w:numFmt w:val="decimal"/>
      <w:lvlText w:val="%1.%2.%3.%4.%5.%6.%7"/>
      <w:lvlJc w:val="left"/>
      <w:pPr>
        <w:tabs>
          <w:tab w:val="left" w:pos="2880"/>
        </w:tabs>
        <w:ind w:left="2880" w:hanging="1440"/>
      </w:pPr>
      <w:rPr>
        <w:rFonts w:hint="default"/>
      </w:rPr>
    </w:lvl>
    <w:lvl w:ilvl="7" w:tentative="0">
      <w:start w:val="1"/>
      <w:numFmt w:val="decimal"/>
      <w:lvlText w:val="%1.%2.%3.%4.%5.%6.%7.%8"/>
      <w:lvlJc w:val="left"/>
      <w:pPr>
        <w:tabs>
          <w:tab w:val="left" w:pos="3480"/>
        </w:tabs>
        <w:ind w:left="3480" w:hanging="1800"/>
      </w:pPr>
      <w:rPr>
        <w:rFonts w:hint="default"/>
      </w:rPr>
    </w:lvl>
    <w:lvl w:ilvl="8" w:tentative="0">
      <w:start w:val="1"/>
      <w:numFmt w:val="decimal"/>
      <w:lvlText w:val="%1.%2.%3.%4.%5.%6.%7.%8.%9"/>
      <w:lvlJc w:val="left"/>
      <w:pPr>
        <w:tabs>
          <w:tab w:val="left" w:pos="3720"/>
        </w:tabs>
        <w:ind w:left="3720" w:hanging="1800"/>
      </w:pPr>
      <w:rPr>
        <w:rFont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WEzYmNjZGI5MDBhNzgwMzhiNDcxMGZjOGM4MzM1N2MifQ=="/>
  </w:docVars>
  <w:rsids>
    <w:rsidRoot w:val="00000000"/>
    <w:rsid w:val="003E3AD2"/>
    <w:rsid w:val="004A404F"/>
    <w:rsid w:val="019D663E"/>
    <w:rsid w:val="02B52978"/>
    <w:rsid w:val="02DC3F04"/>
    <w:rsid w:val="05CA273A"/>
    <w:rsid w:val="05E81987"/>
    <w:rsid w:val="060D2627"/>
    <w:rsid w:val="06E72E78"/>
    <w:rsid w:val="07131EBF"/>
    <w:rsid w:val="07554285"/>
    <w:rsid w:val="089716ED"/>
    <w:rsid w:val="08D9768C"/>
    <w:rsid w:val="09322AD0"/>
    <w:rsid w:val="098A6D7C"/>
    <w:rsid w:val="0997567C"/>
    <w:rsid w:val="09EC3164"/>
    <w:rsid w:val="0A15589B"/>
    <w:rsid w:val="0B156206"/>
    <w:rsid w:val="0BA27271"/>
    <w:rsid w:val="0D7B06C2"/>
    <w:rsid w:val="0D8E229F"/>
    <w:rsid w:val="0D951880"/>
    <w:rsid w:val="0DC3259E"/>
    <w:rsid w:val="0DF86E94"/>
    <w:rsid w:val="0E1848C0"/>
    <w:rsid w:val="0E19425F"/>
    <w:rsid w:val="0EBE0962"/>
    <w:rsid w:val="0F212E80"/>
    <w:rsid w:val="0F517A28"/>
    <w:rsid w:val="0FA40278"/>
    <w:rsid w:val="11790D5B"/>
    <w:rsid w:val="133C3290"/>
    <w:rsid w:val="13C7650B"/>
    <w:rsid w:val="143F227E"/>
    <w:rsid w:val="14747CC8"/>
    <w:rsid w:val="17494F49"/>
    <w:rsid w:val="17B01655"/>
    <w:rsid w:val="18455B0D"/>
    <w:rsid w:val="19B01CA0"/>
    <w:rsid w:val="1A3D07F9"/>
    <w:rsid w:val="1A516B2E"/>
    <w:rsid w:val="1B3C77DE"/>
    <w:rsid w:val="1D2E13A9"/>
    <w:rsid w:val="1D385D84"/>
    <w:rsid w:val="1ED146E2"/>
    <w:rsid w:val="20CF69FF"/>
    <w:rsid w:val="22F61450"/>
    <w:rsid w:val="23913BC8"/>
    <w:rsid w:val="25577ED0"/>
    <w:rsid w:val="260F4959"/>
    <w:rsid w:val="26444B71"/>
    <w:rsid w:val="280A3B62"/>
    <w:rsid w:val="284262CA"/>
    <w:rsid w:val="289B2361"/>
    <w:rsid w:val="28AB185F"/>
    <w:rsid w:val="294C32E2"/>
    <w:rsid w:val="2B5977DF"/>
    <w:rsid w:val="2BDE7D31"/>
    <w:rsid w:val="2BF437BD"/>
    <w:rsid w:val="2D771385"/>
    <w:rsid w:val="2D7B7175"/>
    <w:rsid w:val="2F585066"/>
    <w:rsid w:val="2FC454C0"/>
    <w:rsid w:val="2FF95846"/>
    <w:rsid w:val="2FFA3A98"/>
    <w:rsid w:val="30647164"/>
    <w:rsid w:val="30CE0A81"/>
    <w:rsid w:val="30DC4DA3"/>
    <w:rsid w:val="3159659D"/>
    <w:rsid w:val="35CF32D1"/>
    <w:rsid w:val="366A6D9B"/>
    <w:rsid w:val="366E7E8E"/>
    <w:rsid w:val="37B22038"/>
    <w:rsid w:val="37EE4372"/>
    <w:rsid w:val="381B1E18"/>
    <w:rsid w:val="387C3421"/>
    <w:rsid w:val="388712D6"/>
    <w:rsid w:val="3A7E0E22"/>
    <w:rsid w:val="3AD9606D"/>
    <w:rsid w:val="3DEC421F"/>
    <w:rsid w:val="3DEF0A27"/>
    <w:rsid w:val="40033351"/>
    <w:rsid w:val="401E041B"/>
    <w:rsid w:val="41BF252B"/>
    <w:rsid w:val="4291098B"/>
    <w:rsid w:val="43B44C06"/>
    <w:rsid w:val="43F30206"/>
    <w:rsid w:val="442C7B41"/>
    <w:rsid w:val="449A5D6E"/>
    <w:rsid w:val="470B7255"/>
    <w:rsid w:val="47354F5E"/>
    <w:rsid w:val="4A0362EE"/>
    <w:rsid w:val="4D574274"/>
    <w:rsid w:val="4D5A74CD"/>
    <w:rsid w:val="4E3E0B9C"/>
    <w:rsid w:val="4FAC7BDB"/>
    <w:rsid w:val="50AE0CF1"/>
    <w:rsid w:val="51620E80"/>
    <w:rsid w:val="518C1C1F"/>
    <w:rsid w:val="52550206"/>
    <w:rsid w:val="529214B7"/>
    <w:rsid w:val="57846476"/>
    <w:rsid w:val="57F4510A"/>
    <w:rsid w:val="57F86260"/>
    <w:rsid w:val="5944267F"/>
    <w:rsid w:val="5ABF3065"/>
    <w:rsid w:val="5E6A1C57"/>
    <w:rsid w:val="60394153"/>
    <w:rsid w:val="605B55DE"/>
    <w:rsid w:val="61330309"/>
    <w:rsid w:val="61D07906"/>
    <w:rsid w:val="621D0A88"/>
    <w:rsid w:val="63585E05"/>
    <w:rsid w:val="64C9520C"/>
    <w:rsid w:val="656C6AEE"/>
    <w:rsid w:val="65A90B99"/>
    <w:rsid w:val="661124C0"/>
    <w:rsid w:val="67D943DC"/>
    <w:rsid w:val="67F3434E"/>
    <w:rsid w:val="6950566D"/>
    <w:rsid w:val="6978309B"/>
    <w:rsid w:val="69A3612B"/>
    <w:rsid w:val="6AAA6539"/>
    <w:rsid w:val="6AAF1A38"/>
    <w:rsid w:val="6BE20961"/>
    <w:rsid w:val="6C777176"/>
    <w:rsid w:val="6F1A6664"/>
    <w:rsid w:val="71355423"/>
    <w:rsid w:val="71810C1C"/>
    <w:rsid w:val="71FD2D9B"/>
    <w:rsid w:val="720128D6"/>
    <w:rsid w:val="723A7B77"/>
    <w:rsid w:val="73410663"/>
    <w:rsid w:val="758807CB"/>
    <w:rsid w:val="768E18F1"/>
    <w:rsid w:val="797057FE"/>
    <w:rsid w:val="798914BE"/>
    <w:rsid w:val="79CD0EA3"/>
    <w:rsid w:val="7A49604F"/>
    <w:rsid w:val="7B3D3E06"/>
    <w:rsid w:val="7BFA5853"/>
    <w:rsid w:val="7C224DAA"/>
    <w:rsid w:val="7C5E5DE2"/>
    <w:rsid w:val="7D9010AE"/>
    <w:rsid w:val="7DA83C6B"/>
    <w:rsid w:val="7E162AFC"/>
    <w:rsid w:val="7EBD2D39"/>
    <w:rsid w:val="7F364DF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link w:val="32"/>
    <w:qFormat/>
    <w:uiPriority w:val="0"/>
    <w:pPr>
      <w:keepNext/>
      <w:numPr>
        <w:ilvl w:val="0"/>
        <w:numId w:val="0"/>
      </w:numPr>
      <w:wordWrap w:val="0"/>
      <w:spacing w:line="360" w:lineRule="auto"/>
      <w:ind w:left="0" w:firstLine="0"/>
      <w:outlineLvl w:val="0"/>
    </w:pPr>
    <w:rPr>
      <w:rFonts w:ascii="黑体" w:hAnsi="黑体"/>
    </w:rPr>
  </w:style>
  <w:style w:type="paragraph" w:styleId="3">
    <w:name w:val="heading 2"/>
    <w:basedOn w:val="1"/>
    <w:next w:val="1"/>
    <w:unhideWhenUsed/>
    <w:qFormat/>
    <w:uiPriority w:val="0"/>
    <w:pPr>
      <w:keepNext/>
      <w:keepLines/>
      <w:spacing w:line="413" w:lineRule="auto"/>
      <w:outlineLvl w:val="1"/>
    </w:pPr>
    <w:rPr>
      <w:rFonts w:ascii="Arial" w:hAnsi="Arial" w:eastAsia="黑体"/>
      <w:b/>
      <w:sz w:val="32"/>
    </w:rPr>
  </w:style>
  <w:style w:type="paragraph" w:styleId="4">
    <w:name w:val="heading 3"/>
    <w:basedOn w:val="1"/>
    <w:next w:val="1"/>
    <w:qFormat/>
    <w:uiPriority w:val="0"/>
    <w:pPr>
      <w:keepNext/>
      <w:keepLines/>
      <w:spacing w:line="360" w:lineRule="auto"/>
      <w:outlineLvl w:val="2"/>
    </w:pPr>
    <w:rPr>
      <w:rFonts w:ascii="Times New Roman" w:hAnsi="Times New Roman"/>
      <w:b/>
      <w:sz w:val="32"/>
    </w:rPr>
  </w:style>
  <w:style w:type="paragraph" w:styleId="5">
    <w:name w:val="heading 4"/>
    <w:basedOn w:val="1"/>
    <w:next w:val="1"/>
    <w:qFormat/>
    <w:uiPriority w:val="0"/>
    <w:pPr>
      <w:keepNext/>
      <w:keepLines/>
      <w:spacing w:line="360" w:lineRule="auto"/>
      <w:outlineLvl w:val="3"/>
    </w:pPr>
    <w:rPr>
      <w:rFonts w:ascii="Arial" w:hAnsi="Arial"/>
      <w:b/>
      <w:bCs/>
      <w:szCs w:val="28"/>
    </w:rPr>
  </w:style>
  <w:style w:type="character" w:default="1" w:styleId="18">
    <w:name w:val="Default Paragraph Font"/>
    <w:semiHidden/>
    <w:qFormat/>
    <w:uiPriority w:val="0"/>
  </w:style>
  <w:style w:type="table" w:default="1" w:styleId="17">
    <w:name w:val="Normal Table"/>
    <w:semiHidden/>
    <w:qFormat/>
    <w:uiPriority w:val="0"/>
    <w:tblPr>
      <w:tblCellMar>
        <w:top w:w="0" w:type="dxa"/>
        <w:left w:w="108" w:type="dxa"/>
        <w:bottom w:w="0" w:type="dxa"/>
        <w:right w:w="108" w:type="dxa"/>
      </w:tblCellMar>
    </w:tblPr>
  </w:style>
  <w:style w:type="paragraph" w:styleId="6">
    <w:name w:val="Normal Indent"/>
    <w:basedOn w:val="1"/>
    <w:qFormat/>
    <w:uiPriority w:val="0"/>
    <w:pPr>
      <w:ind w:firstLine="420"/>
    </w:pPr>
    <w:rPr>
      <w:rFonts w:ascii="Times New Roman" w:hAnsi="Times New Roman"/>
    </w:rPr>
  </w:style>
  <w:style w:type="paragraph" w:styleId="7">
    <w:name w:val="Body Text"/>
    <w:basedOn w:val="1"/>
    <w:semiHidden/>
    <w:qFormat/>
    <w:uiPriority w:val="0"/>
    <w:rPr>
      <w:rFonts w:ascii="Arial" w:hAnsi="Arial" w:eastAsia="Arial" w:cs="Arial"/>
      <w:sz w:val="21"/>
      <w:szCs w:val="21"/>
      <w:lang w:val="en-US" w:eastAsia="en-US" w:bidi="ar-SA"/>
    </w:rPr>
  </w:style>
  <w:style w:type="paragraph" w:styleId="8">
    <w:name w:val="Body Text Indent"/>
    <w:basedOn w:val="1"/>
    <w:next w:val="1"/>
    <w:qFormat/>
    <w:uiPriority w:val="0"/>
    <w:pPr>
      <w:spacing w:after="120" w:afterLines="0"/>
      <w:ind w:leftChars="200"/>
    </w:pPr>
  </w:style>
  <w:style w:type="paragraph" w:styleId="9">
    <w:name w:val="Plain Text"/>
    <w:basedOn w:val="1"/>
    <w:qFormat/>
    <w:uiPriority w:val="0"/>
    <w:rPr>
      <w:rFonts w:ascii="宋体" w:hAnsi="Courier New" w:eastAsia="宋体" w:cs="Times New Roman"/>
      <w:szCs w:val="22"/>
    </w:rPr>
  </w:style>
  <w:style w:type="paragraph" w:styleId="10">
    <w:name w:val="Date"/>
    <w:basedOn w:val="1"/>
    <w:next w:val="1"/>
    <w:qFormat/>
    <w:uiPriority w:val="0"/>
    <w:rPr>
      <w:rFonts w:ascii="Times New Roman" w:hAnsi="Times New Roman"/>
      <w:sz w:val="24"/>
    </w:rPr>
  </w:style>
  <w:style w:type="paragraph" w:styleId="11">
    <w:name w:val="Body Text Indent 2"/>
    <w:basedOn w:val="1"/>
    <w:qFormat/>
    <w:uiPriority w:val="0"/>
    <w:pPr>
      <w:spacing w:after="120" w:afterLines="0" w:line="480" w:lineRule="auto"/>
      <w:ind w:left="420" w:leftChars="200"/>
    </w:pPr>
  </w:style>
  <w:style w:type="paragraph" w:styleId="12">
    <w:name w:val="footer"/>
    <w:basedOn w:val="1"/>
    <w:qFormat/>
    <w:uiPriority w:val="0"/>
    <w:pPr>
      <w:widowControl/>
      <w:tabs>
        <w:tab w:val="center" w:pos="4153"/>
        <w:tab w:val="right" w:pos="8306"/>
      </w:tabs>
      <w:snapToGrid w:val="0"/>
      <w:jc w:val="center"/>
    </w:pPr>
    <w:rPr>
      <w:b/>
      <w:kern w:val="0"/>
      <w:sz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Body Text 2"/>
    <w:basedOn w:val="1"/>
    <w:qFormat/>
    <w:uiPriority w:val="0"/>
    <w:pPr>
      <w:autoSpaceDE w:val="0"/>
      <w:autoSpaceDN w:val="0"/>
      <w:adjustRightInd w:val="0"/>
      <w:spacing w:after="120" w:line="480" w:lineRule="auto"/>
      <w:ind w:firstLine="480"/>
      <w:jc w:val="left"/>
      <w:textAlignment w:val="bottom"/>
    </w:pPr>
    <w:rPr>
      <w:rFonts w:ascii="宋体"/>
      <w:kern w:val="0"/>
      <w:sz w:val="24"/>
      <w:szCs w:val="20"/>
    </w:rPr>
  </w:style>
  <w:style w:type="paragraph" w:styleId="15">
    <w:name w:val="Normal (Web)"/>
    <w:basedOn w:val="1"/>
    <w:qFormat/>
    <w:uiPriority w:val="0"/>
    <w:pPr>
      <w:widowControl/>
      <w:spacing w:before="100" w:beforeAutospacing="1" w:after="100" w:afterAutospacing="1"/>
      <w:jc w:val="left"/>
    </w:pPr>
    <w:rPr>
      <w:rFonts w:ascii="宋体" w:hAnsi="宋体"/>
      <w:kern w:val="0"/>
      <w:sz w:val="24"/>
    </w:rPr>
  </w:style>
  <w:style w:type="paragraph" w:styleId="16">
    <w:name w:val="Body Text First Indent 2"/>
    <w:basedOn w:val="8"/>
    <w:next w:val="1"/>
    <w:qFormat/>
    <w:uiPriority w:val="0"/>
    <w:pPr>
      <w:ind w:firstLine="420"/>
    </w:pPr>
  </w:style>
  <w:style w:type="character" w:styleId="19">
    <w:name w:val="Strong"/>
    <w:basedOn w:val="18"/>
    <w:qFormat/>
    <w:uiPriority w:val="0"/>
  </w:style>
  <w:style w:type="character" w:styleId="20">
    <w:name w:val="FollowedHyperlink"/>
    <w:basedOn w:val="18"/>
    <w:qFormat/>
    <w:uiPriority w:val="0"/>
    <w:rPr>
      <w:rFonts w:hint="eastAsia" w:ascii="微软雅黑" w:hAnsi="微软雅黑" w:eastAsia="微软雅黑" w:cs="微软雅黑"/>
      <w:color w:val="394351"/>
      <w:u w:val="none"/>
    </w:rPr>
  </w:style>
  <w:style w:type="character" w:styleId="21">
    <w:name w:val="Emphasis"/>
    <w:basedOn w:val="18"/>
    <w:qFormat/>
    <w:uiPriority w:val="0"/>
  </w:style>
  <w:style w:type="character" w:styleId="22">
    <w:name w:val="HTML Definition"/>
    <w:basedOn w:val="18"/>
    <w:qFormat/>
    <w:uiPriority w:val="0"/>
  </w:style>
  <w:style w:type="character" w:styleId="23">
    <w:name w:val="HTML Variable"/>
    <w:basedOn w:val="18"/>
    <w:qFormat/>
    <w:uiPriority w:val="0"/>
  </w:style>
  <w:style w:type="character" w:styleId="24">
    <w:name w:val="Hyperlink"/>
    <w:basedOn w:val="18"/>
    <w:qFormat/>
    <w:uiPriority w:val="0"/>
    <w:rPr>
      <w:rFonts w:hint="eastAsia" w:ascii="微软雅黑" w:hAnsi="微软雅黑" w:eastAsia="微软雅黑" w:cs="微软雅黑"/>
      <w:color w:val="394351"/>
      <w:u w:val="none"/>
    </w:rPr>
  </w:style>
  <w:style w:type="character" w:styleId="25">
    <w:name w:val="HTML Code"/>
    <w:basedOn w:val="18"/>
    <w:qFormat/>
    <w:uiPriority w:val="0"/>
    <w:rPr>
      <w:rFonts w:ascii="Courier New" w:hAnsi="Courier New"/>
      <w:sz w:val="20"/>
    </w:rPr>
  </w:style>
  <w:style w:type="character" w:styleId="26">
    <w:name w:val="HTML Cite"/>
    <w:basedOn w:val="18"/>
    <w:qFormat/>
    <w:uiPriority w:val="0"/>
  </w:style>
  <w:style w:type="character" w:styleId="27">
    <w:name w:val="HTML Keyboard"/>
    <w:basedOn w:val="18"/>
    <w:qFormat/>
    <w:uiPriority w:val="0"/>
    <w:rPr>
      <w:rFonts w:ascii="Courier New" w:hAnsi="Courier New"/>
      <w:sz w:val="20"/>
    </w:rPr>
  </w:style>
  <w:style w:type="character" w:styleId="28">
    <w:name w:val="HTML Sample"/>
    <w:basedOn w:val="18"/>
    <w:qFormat/>
    <w:uiPriority w:val="0"/>
    <w:rPr>
      <w:rFonts w:ascii="Courier New" w:hAnsi="Courier New"/>
    </w:rPr>
  </w:style>
  <w:style w:type="paragraph" w:customStyle="1" w:styleId="29">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table" w:customStyle="1" w:styleId="30">
    <w:name w:val="Table Normal"/>
    <w:semiHidden/>
    <w:unhideWhenUsed/>
    <w:qFormat/>
    <w:uiPriority w:val="0"/>
    <w:tblPr>
      <w:tblCellMar>
        <w:top w:w="0" w:type="dxa"/>
        <w:left w:w="0" w:type="dxa"/>
        <w:bottom w:w="0" w:type="dxa"/>
        <w:right w:w="0" w:type="dxa"/>
      </w:tblCellMar>
    </w:tblPr>
  </w:style>
  <w:style w:type="paragraph" w:customStyle="1" w:styleId="31">
    <w:name w:val="Table Text"/>
    <w:basedOn w:val="1"/>
    <w:semiHidden/>
    <w:qFormat/>
    <w:uiPriority w:val="0"/>
    <w:rPr>
      <w:rFonts w:ascii="宋体" w:hAnsi="宋体" w:eastAsia="宋体" w:cs="宋体"/>
      <w:sz w:val="24"/>
      <w:szCs w:val="24"/>
      <w:lang w:val="en-US" w:eastAsia="en-US" w:bidi="ar-SA"/>
    </w:rPr>
  </w:style>
  <w:style w:type="character" w:customStyle="1" w:styleId="32">
    <w:name w:val="标题 1 Char"/>
    <w:link w:val="2"/>
    <w:qFormat/>
    <w:uiPriority w:val="0"/>
    <w:rPr>
      <w:rFonts w:ascii="黑体" w:hAnsi="黑体"/>
    </w:rPr>
  </w:style>
  <w:style w:type="paragraph" w:styleId="33">
    <w:name w:val="List Paragraph"/>
    <w:basedOn w:val="1"/>
    <w:qFormat/>
    <w:uiPriority w:val="34"/>
    <w:pPr>
      <w:ind w:firstLine="420" w:firstLineChars="200"/>
    </w:pPr>
    <w:rPr>
      <w:rFonts w:ascii="Calibri" w:hAnsi="Calibri"/>
      <w:sz w:val="21"/>
      <w:szCs w:val="22"/>
    </w:rPr>
  </w:style>
  <w:style w:type="paragraph" w:customStyle="1" w:styleId="34">
    <w:name w:val="WPSOffice手动目录 1"/>
    <w:qFormat/>
    <w:uiPriority w:val="0"/>
    <w:pPr>
      <w:ind w:leftChars="0"/>
    </w:pPr>
    <w:rPr>
      <w:rFonts w:ascii="Times New Roman" w:hAnsi="Times New Roman" w:eastAsia="宋体" w:cs="Times New Roman"/>
      <w:sz w:val="20"/>
      <w:szCs w:val="20"/>
    </w:rPr>
  </w:style>
  <w:style w:type="paragraph" w:customStyle="1" w:styleId="35">
    <w:name w:val="WPSOffice手动目录 2"/>
    <w:qFormat/>
    <w:uiPriority w:val="0"/>
    <w:pPr>
      <w:ind w:leftChars="200"/>
    </w:pPr>
    <w:rPr>
      <w:rFonts w:ascii="Times New Roman" w:hAnsi="Times New Roman" w:eastAsia="宋体" w:cs="Times New Roman"/>
      <w:sz w:val="20"/>
      <w:szCs w:val="20"/>
    </w:rPr>
  </w:style>
  <w:style w:type="paragraph" w:customStyle="1" w:styleId="36">
    <w:name w:val="列出段落1"/>
    <w:basedOn w:val="1"/>
    <w:qFormat/>
    <w:uiPriority w:val="99"/>
    <w:pPr>
      <w:ind w:firstLine="420" w:firstLineChars="200"/>
    </w:pPr>
    <w:rPr>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119</Pages>
  <Words>18520</Words>
  <Characters>20097</Characters>
  <TotalTime>0</TotalTime>
  <ScaleCrop>false</ScaleCrop>
  <LinksUpToDate>false</LinksUpToDate>
  <CharactersWithSpaces>20198</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2023-11-01T15:12:00Z</dcterms:created>
  <dc:creator>NTKO</dc:creator>
  <cp:lastModifiedBy>Administrator</cp:lastModifiedBy>
  <cp:lastPrinted>2025-02-17T01:07:00Z</cp:lastPrinted>
  <dcterms:modified xsi:type="dcterms:W3CDTF">2025-03-31T04:16:11Z</dcterms:modified>
  <dc:title>蛟河市天岗雨污水分流管网建设工程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2023-11-08T08:53:13Z</vt:filetime>
  </property>
  <property fmtid="{D5CDD505-2E9C-101B-9397-08002B2CF9AE}" pid="4" name="KSOProductBuildVer">
    <vt:lpwstr>2052-12.1.0.20305</vt:lpwstr>
  </property>
  <property fmtid="{D5CDD505-2E9C-101B-9397-08002B2CF9AE}" pid="5" name="ICV">
    <vt:lpwstr>A76B8F2EEBF64597AA3E4271636992F6_13</vt:lpwstr>
  </property>
  <property fmtid="{D5CDD505-2E9C-101B-9397-08002B2CF9AE}" pid="6" name="KSOTemplateDocerSaveRecord">
    <vt:lpwstr>eyJoZGlkIjoiMmY0MzRkZWFlZjA1Yjg2OGQyNjM2Y2YxMjE5N2I0OTkiLCJ1c2VySWQiOiI0MjYyODc0NzIifQ==</vt:lpwstr>
  </property>
</Properties>
</file>