
<file path=[Content_Types].xml><?xml version="1.0" encoding="utf-8"?>
<Types xmlns="http://schemas.openxmlformats.org/package/2006/content-types">
  <Default Extension="xml" ContentType="application/xml"/>
  <Default Extension="png" ContentType="image/png"/>
  <Default Extension="rels" ContentType="application/vnd.openxmlformats-package.relationships+xml"/>
  <Override PartName="/customXml/itemProps1.xml" ContentType="application/vnd.openxmlformats-officedocument.customXmlProperties+xml"/>
  <Override PartName="/customXml/itemProps2.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nts/font1.odttf" ContentType="application/vnd.openxmlformats-officedocument.obfuscatedFont"/>
  <Override PartName="/word/fonts/font2.odttf" ContentType="application/vnd.openxmlformats-officedocument.obfuscatedFont"/>
  <Override PartName="/word/fonts/font3.odttf" ContentType="application/vnd.openxmlformats-officedocument.obfuscatedFont"/>
  <Override PartName="/word/fonts/font4.odttf" ContentType="application/vnd.openxmlformats-officedocument.obfuscatedFont"/>
  <Override PartName="/word/fonts/font5.odttf" ContentType="application/vnd.openxmlformats-officedocument.obfuscatedFont"/>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32265E62">
      <w:pPr>
        <w:overflowPunct/>
        <w:bidi w:val="0"/>
        <w:jc w:val="center"/>
        <w:outlineLvl w:val="9"/>
        <w:rPr>
          <w:rFonts w:ascii="黑体" w:hAnsi="宋体" w:eastAsia="黑体" w:cs="宋体"/>
          <w:b/>
          <w:color w:val="000000" w:themeColor="text1"/>
          <w:kern w:val="0"/>
          <w:sz w:val="15"/>
          <w:szCs w:val="15"/>
          <w:highlight w:val="none"/>
          <w14:textFill>
            <w14:solidFill>
              <w14:schemeClr w14:val="tx1"/>
            </w14:solidFill>
          </w14:textFill>
        </w:rPr>
      </w:pPr>
    </w:p>
    <w:p w14:paraId="36AA9620">
      <w:pPr>
        <w:overflowPunct/>
        <w:bidi w:val="0"/>
        <w:jc w:val="center"/>
        <w:outlineLvl w:val="9"/>
        <w:rPr>
          <w:rFonts w:hint="eastAsia" w:ascii="微软雅黑" w:hAnsi="微软雅黑" w:eastAsia="微软雅黑" w:cs="微软雅黑"/>
          <w:b w:val="0"/>
          <w:bCs/>
          <w:color w:val="000000" w:themeColor="text1"/>
          <w:spacing w:val="-6"/>
          <w:sz w:val="60"/>
          <w:szCs w:val="60"/>
          <w:highlight w:val="none"/>
          <w:lang w:eastAsia="zh-CN"/>
          <w14:textFill>
            <w14:solidFill>
              <w14:schemeClr w14:val="tx1"/>
            </w14:solidFill>
          </w14:textFill>
        </w:rPr>
      </w:pPr>
    </w:p>
    <w:p w14:paraId="56A7E3DE">
      <w:pPr>
        <w:overflowPunct/>
        <w:bidi w:val="0"/>
        <w:jc w:val="center"/>
        <w:outlineLvl w:val="9"/>
        <w:rPr>
          <w:rFonts w:hint="eastAsia" w:ascii="微软雅黑" w:hAnsi="微软雅黑" w:eastAsia="微软雅黑" w:cs="微软雅黑"/>
          <w:b w:val="0"/>
          <w:bCs/>
          <w:color w:val="000000" w:themeColor="text1"/>
          <w:spacing w:val="-6"/>
          <w:sz w:val="60"/>
          <w:szCs w:val="60"/>
          <w:highlight w:val="none"/>
          <w:lang w:eastAsia="zh-CN"/>
          <w14:textFill>
            <w14:solidFill>
              <w14:schemeClr w14:val="tx1"/>
            </w14:solidFill>
          </w14:textFill>
        </w:rPr>
      </w:pPr>
      <w:r>
        <w:rPr>
          <w:rFonts w:hint="eastAsia" w:ascii="微软雅黑" w:hAnsi="微软雅黑" w:eastAsia="微软雅黑" w:cs="微软雅黑"/>
          <w:b w:val="0"/>
          <w:bCs/>
          <w:color w:val="000000" w:themeColor="text1"/>
          <w:spacing w:val="-6"/>
          <w:sz w:val="60"/>
          <w:szCs w:val="60"/>
          <w:highlight w:val="none"/>
          <w:lang w:eastAsia="zh-CN"/>
          <w14:textFill>
            <w14:solidFill>
              <w14:schemeClr w14:val="tx1"/>
            </w14:solidFill>
          </w14:textFill>
        </w:rPr>
        <w:t>2025年珲春市中小学护眼灯采购</w:t>
      </w:r>
    </w:p>
    <w:p w14:paraId="6359D3A8">
      <w:pPr>
        <w:overflowPunct/>
        <w:bidi w:val="0"/>
        <w:jc w:val="center"/>
        <w:outlineLvl w:val="9"/>
        <w:rPr>
          <w:rFonts w:ascii="黑体" w:eastAsia="黑体"/>
          <w:b/>
          <w:bCs/>
          <w:color w:val="000000" w:themeColor="text1"/>
          <w:sz w:val="100"/>
          <w:szCs w:val="100"/>
          <w:highlight w:val="none"/>
          <w14:textFill>
            <w14:solidFill>
              <w14:schemeClr w14:val="tx1"/>
            </w14:solidFill>
          </w14:textFill>
        </w:rPr>
      </w:pPr>
      <w:r>
        <w:rPr>
          <w:rFonts w:hint="eastAsia" w:ascii="微软雅黑" w:hAnsi="微软雅黑" w:eastAsia="微软雅黑" w:cs="微软雅黑"/>
          <w:b w:val="0"/>
          <w:bCs/>
          <w:color w:val="000000" w:themeColor="text1"/>
          <w:spacing w:val="-6"/>
          <w:sz w:val="60"/>
          <w:szCs w:val="60"/>
          <w:highlight w:val="none"/>
          <w:lang w:eastAsia="zh-CN"/>
          <w14:textFill>
            <w14:solidFill>
              <w14:schemeClr w14:val="tx1"/>
            </w14:solidFill>
          </w14:textFill>
        </w:rPr>
        <w:t>(二次）</w:t>
      </w:r>
    </w:p>
    <w:p w14:paraId="298C79B9">
      <w:pPr>
        <w:overflowPunct/>
        <w:bidi w:val="0"/>
        <w:jc w:val="center"/>
        <w:outlineLvl w:val="9"/>
        <w:rPr>
          <w:rFonts w:ascii="黑体" w:eastAsia="黑体"/>
          <w:b/>
          <w:bCs/>
          <w:color w:val="000000" w:themeColor="text1"/>
          <w:sz w:val="100"/>
          <w:szCs w:val="100"/>
          <w:highlight w:val="none"/>
          <w14:textFill>
            <w14:solidFill>
              <w14:schemeClr w14:val="tx1"/>
            </w14:solidFill>
          </w14:textFill>
        </w:rPr>
      </w:pPr>
    </w:p>
    <w:p w14:paraId="2FB6FE23">
      <w:pPr>
        <w:overflowPunct/>
        <w:bidi w:val="0"/>
        <w:jc w:val="center"/>
        <w:outlineLvl w:val="9"/>
        <w:rPr>
          <w:rFonts w:ascii="黑体" w:eastAsia="黑体"/>
          <w:b/>
          <w:bCs/>
          <w:color w:val="000000" w:themeColor="text1"/>
          <w:sz w:val="96"/>
          <w:szCs w:val="96"/>
          <w:highlight w:val="none"/>
          <w14:textFill>
            <w14:solidFill>
              <w14:schemeClr w14:val="tx1"/>
            </w14:solidFill>
          </w14:textFill>
        </w:rPr>
      </w:pPr>
      <w:bookmarkStart w:id="0" w:name="_Toc10358"/>
      <w:r>
        <w:rPr>
          <w:rFonts w:hint="eastAsia" w:ascii="方正小标宋简体" w:hAnsi="方正小标宋简体" w:eastAsia="方正小标宋简体" w:cs="方正小标宋简体"/>
          <w:b w:val="0"/>
          <w:bCs w:val="0"/>
          <w:color w:val="000000" w:themeColor="text1"/>
          <w:sz w:val="96"/>
          <w:szCs w:val="96"/>
          <w:highlight w:val="none"/>
          <w14:textFill>
            <w14:solidFill>
              <w14:schemeClr w14:val="tx1"/>
            </w14:solidFill>
          </w14:textFill>
        </w:rPr>
        <w:t>竞争性磋商文件</w:t>
      </w:r>
      <w:bookmarkEnd w:id="0"/>
    </w:p>
    <w:p w14:paraId="0A0FC067">
      <w:pPr>
        <w:overflowPunct/>
        <w:bidi w:val="0"/>
        <w:adjustRightInd w:val="0"/>
        <w:spacing w:line="360" w:lineRule="auto"/>
        <w:jc w:val="center"/>
        <w:outlineLvl w:val="9"/>
        <w:rPr>
          <w:rFonts w:ascii="黑体" w:hAnsi="宋体" w:eastAsia="黑体" w:cs="宋体"/>
          <w:b/>
          <w:color w:val="000000" w:themeColor="text1"/>
          <w:sz w:val="32"/>
          <w:szCs w:val="32"/>
          <w:highlight w:val="none"/>
          <w14:textFill>
            <w14:solidFill>
              <w14:schemeClr w14:val="tx1"/>
            </w14:solidFill>
          </w14:textFill>
        </w:rPr>
      </w:pPr>
    </w:p>
    <w:p w14:paraId="6E66CBF0">
      <w:pPr>
        <w:overflowPunct/>
        <w:bidi w:val="0"/>
        <w:spacing w:afterLines="100" w:line="480" w:lineRule="auto"/>
        <w:jc w:val="center"/>
        <w:outlineLvl w:val="9"/>
        <w:rPr>
          <w:rFonts w:hint="eastAsia" w:ascii="黑体" w:hAnsi="宋体" w:eastAsia="黑体"/>
          <w:b/>
          <w:color w:val="000000" w:themeColor="text1"/>
          <w:sz w:val="32"/>
          <w:szCs w:val="32"/>
          <w:highlight w:val="none"/>
          <w:lang w:val="zh-CN" w:eastAsia="zh-CN"/>
          <w14:textFill>
            <w14:solidFill>
              <w14:schemeClr w14:val="tx1"/>
            </w14:solidFill>
          </w14:textFill>
        </w:rPr>
      </w:pPr>
      <w:bookmarkStart w:id="1" w:name="_Toc19276"/>
      <w:r>
        <w:rPr>
          <w:rFonts w:hint="eastAsia" w:ascii="黑体" w:hAnsi="宋体" w:eastAsia="黑体"/>
          <w:b/>
          <w:color w:val="000000" w:themeColor="text1"/>
          <w:sz w:val="32"/>
          <w:szCs w:val="32"/>
          <w:highlight w:val="none"/>
          <w:lang w:val="zh-CN" w:eastAsia="zh-CN"/>
          <w14:textFill>
            <w14:solidFill>
              <w14:schemeClr w14:val="tx1"/>
            </w14:solidFill>
          </w14:textFill>
        </w:rPr>
        <w:t>项目编号：</w:t>
      </w:r>
      <w:bookmarkEnd w:id="1"/>
      <w:r>
        <w:rPr>
          <w:rFonts w:hint="eastAsia" w:ascii="黑体" w:hAnsi="宋体" w:eastAsia="黑体"/>
          <w:b/>
          <w:color w:val="000000" w:themeColor="text1"/>
          <w:sz w:val="32"/>
          <w:szCs w:val="32"/>
          <w:highlight w:val="none"/>
          <w:lang w:val="zh-CN" w:eastAsia="zh-CN"/>
          <w14:textFill>
            <w14:solidFill>
              <w14:schemeClr w14:val="tx1"/>
            </w14:solidFill>
          </w14:textFill>
        </w:rPr>
        <w:t>JLTY-2025011</w:t>
      </w:r>
    </w:p>
    <w:p w14:paraId="09409490">
      <w:pPr>
        <w:overflowPunct/>
        <w:bidi w:val="0"/>
        <w:adjustRightInd w:val="0"/>
        <w:spacing w:line="360" w:lineRule="auto"/>
        <w:jc w:val="center"/>
        <w:outlineLvl w:val="9"/>
        <w:rPr>
          <w:rFonts w:hint="default" w:ascii="黑体" w:hAnsi="宋体" w:eastAsia="黑体" w:cs="宋体"/>
          <w:b/>
          <w:color w:val="000000" w:themeColor="text1"/>
          <w:sz w:val="32"/>
          <w:szCs w:val="32"/>
          <w:highlight w:val="none"/>
          <w:lang w:val="en-US" w:eastAsia="zh-CN"/>
          <w14:textFill>
            <w14:solidFill>
              <w14:schemeClr w14:val="tx1"/>
            </w14:solidFill>
          </w14:textFill>
        </w:rPr>
      </w:pPr>
    </w:p>
    <w:p w14:paraId="29862B53">
      <w:pPr>
        <w:overflowPunct/>
        <w:bidi w:val="0"/>
        <w:adjustRightInd w:val="0"/>
        <w:spacing w:line="360" w:lineRule="auto"/>
        <w:outlineLvl w:val="9"/>
        <w:rPr>
          <w:rFonts w:ascii="黑体" w:hAnsi="宋体" w:eastAsia="黑体" w:cs="宋体"/>
          <w:b/>
          <w:color w:val="000000" w:themeColor="text1"/>
          <w:sz w:val="24"/>
          <w:highlight w:val="none"/>
          <w:lang w:val="zh-CN"/>
          <w14:textFill>
            <w14:solidFill>
              <w14:schemeClr w14:val="tx1"/>
            </w14:solidFill>
          </w14:textFill>
        </w:rPr>
      </w:pPr>
    </w:p>
    <w:p w14:paraId="4E32F4E8">
      <w:pPr>
        <w:overflowPunct/>
        <w:bidi w:val="0"/>
        <w:adjustRightInd w:val="0"/>
        <w:spacing w:line="360" w:lineRule="auto"/>
        <w:outlineLvl w:val="9"/>
        <w:rPr>
          <w:rFonts w:ascii="黑体" w:hAnsi="宋体" w:eastAsia="黑体" w:cs="宋体"/>
          <w:b/>
          <w:color w:val="000000" w:themeColor="text1"/>
          <w:sz w:val="24"/>
          <w:highlight w:val="none"/>
          <w:lang w:val="zh-CN"/>
          <w14:textFill>
            <w14:solidFill>
              <w14:schemeClr w14:val="tx1"/>
            </w14:solidFill>
          </w14:textFill>
        </w:rPr>
      </w:pPr>
    </w:p>
    <w:p w14:paraId="17478B01">
      <w:pPr>
        <w:overflowPunct/>
        <w:bidi w:val="0"/>
        <w:adjustRightInd w:val="0"/>
        <w:spacing w:line="360" w:lineRule="auto"/>
        <w:outlineLvl w:val="9"/>
        <w:rPr>
          <w:rFonts w:ascii="黑体" w:hAnsi="宋体" w:eastAsia="黑体" w:cs="宋体"/>
          <w:b/>
          <w:color w:val="000000" w:themeColor="text1"/>
          <w:sz w:val="24"/>
          <w:highlight w:val="none"/>
          <w:lang w:val="zh-CN"/>
          <w14:textFill>
            <w14:solidFill>
              <w14:schemeClr w14:val="tx1"/>
            </w14:solidFill>
          </w14:textFill>
        </w:rPr>
      </w:pPr>
    </w:p>
    <w:p w14:paraId="2FFD77E0">
      <w:pPr>
        <w:overflowPunct/>
        <w:bidi w:val="0"/>
        <w:adjustRightInd w:val="0"/>
        <w:spacing w:line="360" w:lineRule="auto"/>
        <w:outlineLvl w:val="9"/>
        <w:rPr>
          <w:rFonts w:ascii="黑体" w:hAnsi="宋体" w:eastAsia="黑体" w:cs="宋体"/>
          <w:b/>
          <w:color w:val="000000" w:themeColor="text1"/>
          <w:sz w:val="24"/>
          <w:highlight w:val="none"/>
          <w:lang w:val="zh-CN"/>
          <w14:textFill>
            <w14:solidFill>
              <w14:schemeClr w14:val="tx1"/>
            </w14:solidFill>
          </w14:textFill>
        </w:rPr>
      </w:pPr>
    </w:p>
    <w:p w14:paraId="21D7ABA8">
      <w:pPr>
        <w:overflowPunct/>
        <w:bidi w:val="0"/>
        <w:adjustRightInd w:val="0"/>
        <w:spacing w:line="360" w:lineRule="auto"/>
        <w:outlineLvl w:val="9"/>
        <w:rPr>
          <w:rFonts w:ascii="黑体" w:hAnsi="宋体" w:eastAsia="黑体" w:cs="宋体"/>
          <w:b/>
          <w:color w:val="000000" w:themeColor="text1"/>
          <w:sz w:val="24"/>
          <w:highlight w:val="none"/>
          <w:lang w:val="zh-CN"/>
          <w14:textFill>
            <w14:solidFill>
              <w14:schemeClr w14:val="tx1"/>
            </w14:solidFill>
          </w14:textFill>
        </w:rPr>
      </w:pPr>
    </w:p>
    <w:p w14:paraId="08F2F4DC">
      <w:pPr>
        <w:overflowPunct/>
        <w:bidi w:val="0"/>
        <w:adjustRightInd w:val="0"/>
        <w:spacing w:line="360" w:lineRule="auto"/>
        <w:outlineLvl w:val="9"/>
        <w:rPr>
          <w:rFonts w:ascii="黑体" w:hAnsi="宋体" w:eastAsia="黑体" w:cs="宋体"/>
          <w:b/>
          <w:color w:val="000000" w:themeColor="text1"/>
          <w:sz w:val="24"/>
          <w:highlight w:val="none"/>
          <w:lang w:val="zh-CN"/>
          <w14:textFill>
            <w14:solidFill>
              <w14:schemeClr w14:val="tx1"/>
            </w14:solidFill>
          </w14:textFill>
        </w:rPr>
      </w:pPr>
    </w:p>
    <w:p w14:paraId="63FA3210">
      <w:pPr>
        <w:overflowPunct/>
        <w:bidi w:val="0"/>
        <w:spacing w:afterLines="100" w:line="480" w:lineRule="auto"/>
        <w:jc w:val="center"/>
        <w:outlineLvl w:val="9"/>
        <w:rPr>
          <w:rFonts w:hint="default" w:ascii="黑体" w:hAnsi="宋体" w:eastAsia="黑体"/>
          <w:b/>
          <w:color w:val="000000" w:themeColor="text1"/>
          <w:sz w:val="32"/>
          <w:szCs w:val="32"/>
          <w:highlight w:val="none"/>
          <w:lang w:val="en-US" w:eastAsia="zh-CN"/>
          <w14:textFill>
            <w14:solidFill>
              <w14:schemeClr w14:val="tx1"/>
            </w14:solidFill>
          </w14:textFill>
        </w:rPr>
      </w:pPr>
      <w:bookmarkStart w:id="2" w:name="_Toc29332"/>
      <w:r>
        <w:rPr>
          <w:rFonts w:hint="eastAsia" w:ascii="黑体" w:hAnsi="宋体" w:eastAsia="黑体"/>
          <w:b/>
          <w:color w:val="000000" w:themeColor="text1"/>
          <w:sz w:val="32"/>
          <w:szCs w:val="32"/>
          <w:highlight w:val="none"/>
          <w14:textFill>
            <w14:solidFill>
              <w14:schemeClr w14:val="tx1"/>
            </w14:solidFill>
          </w14:textFill>
        </w:rPr>
        <w:t>采   购   人</w:t>
      </w:r>
      <w:r>
        <w:rPr>
          <w:rFonts w:hint="eastAsia" w:ascii="黑体" w:hAnsi="宋体" w:eastAsia="黑体"/>
          <w:b/>
          <w:color w:val="000000" w:themeColor="text1"/>
          <w:sz w:val="32"/>
          <w:szCs w:val="32"/>
          <w:highlight w:val="none"/>
          <w:lang w:eastAsia="zh-CN"/>
          <w14:textFill>
            <w14:solidFill>
              <w14:schemeClr w14:val="tx1"/>
            </w14:solidFill>
          </w14:textFill>
        </w:rPr>
        <w:t>：</w:t>
      </w:r>
      <w:r>
        <w:rPr>
          <w:rFonts w:hint="eastAsia" w:ascii="黑体" w:hAnsi="宋体" w:eastAsia="黑体"/>
          <w:b/>
          <w:color w:val="000000" w:themeColor="text1"/>
          <w:sz w:val="32"/>
          <w:szCs w:val="32"/>
          <w:highlight w:val="none"/>
          <w:lang w:val="en-US" w:eastAsia="zh-CN"/>
          <w14:textFill>
            <w14:solidFill>
              <w14:schemeClr w14:val="tx1"/>
            </w14:solidFill>
          </w14:textFill>
        </w:rPr>
        <w:t>珲春市教育技术装备中心</w:t>
      </w:r>
      <w:bookmarkEnd w:id="2"/>
    </w:p>
    <w:p w14:paraId="4FB07E3E">
      <w:pPr>
        <w:overflowPunct/>
        <w:bidi w:val="0"/>
        <w:spacing w:afterLines="100" w:line="480" w:lineRule="auto"/>
        <w:jc w:val="center"/>
        <w:outlineLvl w:val="9"/>
        <w:rPr>
          <w:rFonts w:hint="default" w:ascii="黑体" w:hAnsi="宋体" w:eastAsia="黑体"/>
          <w:b/>
          <w:color w:val="000000" w:themeColor="text1"/>
          <w:sz w:val="32"/>
          <w:szCs w:val="32"/>
          <w:highlight w:val="none"/>
          <w:lang w:val="en-US" w:eastAsia="zh-CN"/>
          <w14:textFill>
            <w14:solidFill>
              <w14:schemeClr w14:val="tx1"/>
            </w14:solidFill>
          </w14:textFill>
        </w:rPr>
      </w:pPr>
      <w:bookmarkStart w:id="3" w:name="_Toc10641"/>
      <w:r>
        <w:rPr>
          <w:rFonts w:hint="eastAsia" w:ascii="黑体" w:hAnsi="宋体" w:eastAsia="黑体"/>
          <w:b/>
          <w:color w:val="000000" w:themeColor="text1"/>
          <w:sz w:val="32"/>
          <w:szCs w:val="32"/>
          <w:highlight w:val="none"/>
          <w:lang w:val="en-US" w:eastAsia="zh-CN"/>
          <w14:textFill>
            <w14:solidFill>
              <w14:schemeClr w14:val="tx1"/>
            </w14:solidFill>
          </w14:textFill>
        </w:rPr>
        <w:t>采购代理机构：吉林省天一工程管理有限公司</w:t>
      </w:r>
      <w:bookmarkEnd w:id="3"/>
    </w:p>
    <w:p w14:paraId="5EE89CCD">
      <w:pPr>
        <w:overflowPunct/>
        <w:bidi w:val="0"/>
        <w:spacing w:afterLines="100" w:line="480" w:lineRule="auto"/>
        <w:jc w:val="center"/>
        <w:outlineLvl w:val="9"/>
        <w:rPr>
          <w:rFonts w:hint="eastAsia" w:ascii="黑体" w:hAnsi="宋体" w:eastAsia="黑体"/>
          <w:b/>
          <w:color w:val="000000" w:themeColor="text1"/>
          <w:sz w:val="32"/>
          <w:szCs w:val="32"/>
          <w:highlight w:val="none"/>
          <w:lang w:val="en-US" w:eastAsia="zh-CN"/>
          <w14:textFill>
            <w14:solidFill>
              <w14:schemeClr w14:val="tx1"/>
            </w14:solidFill>
          </w14:textFill>
        </w:rPr>
      </w:pPr>
      <w:bookmarkStart w:id="4" w:name="_Toc10637"/>
      <w:r>
        <w:rPr>
          <w:rFonts w:hint="eastAsia" w:ascii="黑体" w:hAnsi="宋体" w:eastAsia="黑体"/>
          <w:b/>
          <w:color w:val="000000" w:themeColor="text1"/>
          <w:sz w:val="32"/>
          <w:szCs w:val="32"/>
          <w:highlight w:val="none"/>
          <w:lang w:val="en-US" w:eastAsia="zh-CN"/>
          <w14:textFill>
            <w14:solidFill>
              <w14:schemeClr w14:val="tx1"/>
            </w14:solidFill>
          </w14:textFill>
        </w:rPr>
        <w:t>日期：</w:t>
      </w:r>
      <w:r>
        <w:rPr>
          <w:rFonts w:hint="eastAsia" w:ascii="黑体" w:hAnsi="宋体" w:eastAsia="黑体"/>
          <w:b/>
          <w:bCs/>
          <w:color w:val="000000" w:themeColor="text1"/>
          <w:sz w:val="32"/>
          <w:szCs w:val="32"/>
          <w:highlight w:val="none"/>
          <w14:textFill>
            <w14:solidFill>
              <w14:schemeClr w14:val="tx1"/>
            </w14:solidFill>
          </w14:textFill>
        </w:rPr>
        <w:t>二</w:t>
      </w:r>
      <w:r>
        <w:rPr>
          <w:rFonts w:hint="eastAsia" w:ascii="黑体" w:hAnsi="黑体" w:eastAsia="黑体" w:cs="黑体"/>
          <w:b/>
          <w:bCs/>
          <w:color w:val="000000" w:themeColor="text1"/>
          <w:sz w:val="32"/>
          <w:szCs w:val="32"/>
          <w:highlight w:val="none"/>
          <w14:textFill>
            <w14:solidFill>
              <w14:schemeClr w14:val="tx1"/>
            </w14:solidFill>
          </w14:textFill>
        </w:rPr>
        <w:t>〇</w:t>
      </w:r>
      <w:r>
        <w:rPr>
          <w:rFonts w:hint="eastAsia" w:ascii="黑体" w:hAnsi="宋体" w:eastAsia="黑体"/>
          <w:b/>
          <w:bCs/>
          <w:color w:val="000000" w:themeColor="text1"/>
          <w:sz w:val="32"/>
          <w:szCs w:val="32"/>
          <w:highlight w:val="none"/>
          <w14:textFill>
            <w14:solidFill>
              <w14:schemeClr w14:val="tx1"/>
            </w14:solidFill>
          </w14:textFill>
        </w:rPr>
        <w:t>二</w:t>
      </w:r>
      <w:r>
        <w:rPr>
          <w:rFonts w:hint="eastAsia" w:ascii="黑体" w:hAnsi="宋体" w:eastAsia="黑体"/>
          <w:b/>
          <w:bCs/>
          <w:color w:val="000000" w:themeColor="text1"/>
          <w:sz w:val="32"/>
          <w:szCs w:val="32"/>
          <w:highlight w:val="none"/>
          <w:lang w:eastAsia="zh-CN"/>
          <w14:textFill>
            <w14:solidFill>
              <w14:schemeClr w14:val="tx1"/>
            </w14:solidFill>
          </w14:textFill>
        </w:rPr>
        <w:t>五</w:t>
      </w:r>
      <w:r>
        <w:rPr>
          <w:rFonts w:hint="eastAsia" w:ascii="黑体" w:hAnsi="宋体" w:eastAsia="黑体"/>
          <w:b/>
          <w:bCs/>
          <w:color w:val="000000" w:themeColor="text1"/>
          <w:sz w:val="32"/>
          <w:szCs w:val="32"/>
          <w:highlight w:val="none"/>
          <w14:textFill>
            <w14:solidFill>
              <w14:schemeClr w14:val="tx1"/>
            </w14:solidFill>
          </w14:textFill>
        </w:rPr>
        <w:t>年</w:t>
      </w:r>
      <w:r>
        <w:rPr>
          <w:rFonts w:hint="eastAsia" w:ascii="黑体" w:hAnsi="宋体" w:eastAsia="黑体"/>
          <w:b/>
          <w:bCs/>
          <w:color w:val="000000" w:themeColor="text1"/>
          <w:sz w:val="32"/>
          <w:szCs w:val="32"/>
          <w:highlight w:val="none"/>
          <w:lang w:val="en-US" w:eastAsia="zh-CN"/>
          <w14:textFill>
            <w14:solidFill>
              <w14:schemeClr w14:val="tx1"/>
            </w14:solidFill>
          </w14:textFill>
        </w:rPr>
        <w:t>三</w:t>
      </w:r>
      <w:r>
        <w:rPr>
          <w:rFonts w:hint="eastAsia" w:ascii="黑体" w:hAnsi="宋体" w:eastAsia="黑体"/>
          <w:b/>
          <w:bCs/>
          <w:color w:val="000000" w:themeColor="text1"/>
          <w:sz w:val="32"/>
          <w:szCs w:val="32"/>
          <w:highlight w:val="none"/>
          <w14:textFill>
            <w14:solidFill>
              <w14:schemeClr w14:val="tx1"/>
            </w14:solidFill>
          </w14:textFill>
        </w:rPr>
        <w:t>月</w:t>
      </w:r>
      <w:bookmarkEnd w:id="4"/>
    </w:p>
    <w:p w14:paraId="32987204">
      <w:pPr>
        <w:overflowPunct/>
        <w:bidi w:val="0"/>
        <w:spacing w:afterLines="100" w:line="480" w:lineRule="auto"/>
        <w:jc w:val="center"/>
        <w:outlineLvl w:val="9"/>
        <w:rPr>
          <w:rFonts w:hint="eastAsia" w:ascii="黑体" w:hAnsi="宋体" w:eastAsia="黑体"/>
          <w:b/>
          <w:color w:val="000000" w:themeColor="text1"/>
          <w:sz w:val="24"/>
          <w:szCs w:val="24"/>
          <w:highlight w:val="none"/>
          <w:lang w:val="en-US" w:eastAsia="zh-CN"/>
          <w14:textFill>
            <w14:solidFill>
              <w14:schemeClr w14:val="tx1"/>
            </w14:solidFill>
          </w14:textFill>
        </w:rPr>
        <w:sectPr>
          <w:headerReference r:id="rId5" w:type="first"/>
          <w:footerReference r:id="rId7" w:type="first"/>
          <w:headerReference r:id="rId3" w:type="default"/>
          <w:headerReference r:id="rId4" w:type="even"/>
          <w:footerReference r:id="rId6" w:type="even"/>
          <w:pgSz w:w="11906" w:h="16838"/>
          <w:pgMar w:top="1191" w:right="1191" w:bottom="1191" w:left="1191" w:header="851" w:footer="992" w:gutter="0"/>
          <w:pgBorders>
            <w:top w:val="none" w:sz="0" w:space="0"/>
            <w:left w:val="none" w:sz="0" w:space="0"/>
            <w:bottom w:val="none" w:sz="0" w:space="0"/>
            <w:right w:val="none" w:sz="0" w:space="0"/>
          </w:pgBorders>
          <w:pgNumType w:start="0"/>
          <w:cols w:space="720" w:num="1"/>
          <w:titlePg/>
          <w:docGrid w:linePitch="312" w:charSpace="0"/>
        </w:sectPr>
      </w:pPr>
    </w:p>
    <w:p w14:paraId="6F1E5E38">
      <w:pPr>
        <w:overflowPunct/>
        <w:bidi w:val="0"/>
        <w:jc w:val="center"/>
        <w:outlineLvl w:val="9"/>
        <w:rPr>
          <w:rFonts w:hint="eastAsia"/>
          <w:b/>
          <w:bCs/>
          <w:color w:val="000000" w:themeColor="text1"/>
          <w:sz w:val="36"/>
          <w:szCs w:val="44"/>
          <w:highlight w:val="none"/>
          <w:lang w:eastAsia="zh-CN"/>
          <w14:textFill>
            <w14:solidFill>
              <w14:schemeClr w14:val="tx1"/>
            </w14:solidFill>
          </w14:textFill>
        </w:rPr>
      </w:pPr>
      <w:r>
        <w:rPr>
          <w:rFonts w:hint="eastAsia"/>
          <w:b/>
          <w:bCs/>
          <w:color w:val="000000" w:themeColor="text1"/>
          <w:sz w:val="36"/>
          <w:szCs w:val="44"/>
          <w:highlight w:val="none"/>
          <w:lang w:eastAsia="zh-CN"/>
          <w14:textFill>
            <w14:solidFill>
              <w14:schemeClr w14:val="tx1"/>
            </w14:solidFill>
          </w14:textFill>
        </w:rPr>
        <w:t>目</w:t>
      </w:r>
      <w:r>
        <w:rPr>
          <w:rFonts w:hint="eastAsia"/>
          <w:b/>
          <w:bCs/>
          <w:color w:val="000000" w:themeColor="text1"/>
          <w:sz w:val="36"/>
          <w:szCs w:val="44"/>
          <w:highlight w:val="none"/>
          <w:lang w:val="en-US" w:eastAsia="zh-CN"/>
          <w14:textFill>
            <w14:solidFill>
              <w14:schemeClr w14:val="tx1"/>
            </w14:solidFill>
          </w14:textFill>
        </w:rPr>
        <w:t xml:space="preserve">  </w:t>
      </w:r>
      <w:r>
        <w:rPr>
          <w:rFonts w:hint="eastAsia"/>
          <w:b/>
          <w:bCs/>
          <w:color w:val="000000" w:themeColor="text1"/>
          <w:sz w:val="36"/>
          <w:szCs w:val="44"/>
          <w:highlight w:val="none"/>
          <w:lang w:eastAsia="zh-CN"/>
          <w14:textFill>
            <w14:solidFill>
              <w14:schemeClr w14:val="tx1"/>
            </w14:solidFill>
          </w14:textFill>
        </w:rPr>
        <w:t>录</w:t>
      </w:r>
    </w:p>
    <w:p w14:paraId="09C724D9">
      <w:pPr>
        <w:overflowPunct/>
        <w:bidi w:val="0"/>
        <w:jc w:val="center"/>
        <w:outlineLvl w:val="9"/>
        <w:rPr>
          <w:rFonts w:hint="eastAsia"/>
          <w:b/>
          <w:bCs/>
          <w:color w:val="000000" w:themeColor="text1"/>
          <w:sz w:val="36"/>
          <w:szCs w:val="44"/>
          <w:highlight w:val="none"/>
          <w:lang w:eastAsia="zh-CN"/>
          <w14:textFill>
            <w14:solidFill>
              <w14:schemeClr w14:val="tx1"/>
            </w14:solidFill>
          </w14:textFill>
        </w:rPr>
      </w:pPr>
    </w:p>
    <w:p w14:paraId="0822E308">
      <w:pPr>
        <w:pStyle w:val="27"/>
        <w:tabs>
          <w:tab w:val="right" w:leader="dot" w:pos="9638"/>
          <w:tab w:val="clear" w:pos="8296"/>
        </w:tabs>
        <w:spacing w:line="480" w:lineRule="auto"/>
        <w:rPr>
          <w:rFonts w:hint="eastAsia" w:ascii="宋体" w:hAnsi="宋体" w:eastAsia="宋体" w:cs="宋体"/>
        </w:rPr>
      </w:pPr>
      <w:r>
        <w:rPr>
          <w:rFonts w:hint="eastAsia" w:ascii="宋体" w:hAnsi="宋体" w:eastAsia="宋体" w:cs="宋体"/>
          <w:color w:val="000000" w:themeColor="text1"/>
          <w:sz w:val="48"/>
          <w:szCs w:val="48"/>
          <w:highlight w:val="none"/>
          <w14:textFill>
            <w14:solidFill>
              <w14:schemeClr w14:val="tx1"/>
            </w14:solidFill>
          </w14:textFill>
        </w:rPr>
        <w:fldChar w:fldCharType="begin"/>
      </w:r>
      <w:r>
        <w:rPr>
          <w:rFonts w:hint="eastAsia" w:ascii="宋体" w:hAnsi="宋体" w:eastAsia="宋体" w:cs="宋体"/>
          <w:color w:val="000000" w:themeColor="text1"/>
          <w:sz w:val="48"/>
          <w:szCs w:val="48"/>
          <w:highlight w:val="none"/>
          <w14:textFill>
            <w14:solidFill>
              <w14:schemeClr w14:val="tx1"/>
            </w14:solidFill>
          </w14:textFill>
        </w:rPr>
        <w:instrText xml:space="preserve">TOC \o "1-1" \h \u </w:instrText>
      </w:r>
      <w:r>
        <w:rPr>
          <w:rFonts w:hint="eastAsia" w:ascii="宋体" w:hAnsi="宋体" w:eastAsia="宋体" w:cs="宋体"/>
          <w:color w:val="000000" w:themeColor="text1"/>
          <w:sz w:val="48"/>
          <w:szCs w:val="48"/>
          <w:highlight w:val="none"/>
          <w14:textFill>
            <w14:solidFill>
              <w14:schemeClr w14:val="tx1"/>
            </w14:solidFill>
          </w14:textFill>
        </w:rPr>
        <w:fldChar w:fldCharType="separate"/>
      </w:r>
      <w:r>
        <w:rPr>
          <w:rFonts w:hint="eastAsia" w:ascii="宋体" w:hAnsi="宋体" w:eastAsia="宋体" w:cs="宋体"/>
          <w:color w:val="000000" w:themeColor="text1"/>
          <w:szCs w:val="48"/>
          <w:highlight w:val="none"/>
          <w14:textFill>
            <w14:solidFill>
              <w14:schemeClr w14:val="tx1"/>
            </w14:solidFill>
          </w14:textFill>
        </w:rPr>
        <w:fldChar w:fldCharType="begin"/>
      </w:r>
      <w:r>
        <w:rPr>
          <w:rFonts w:hint="eastAsia" w:ascii="宋体" w:hAnsi="宋体" w:eastAsia="宋体" w:cs="宋体"/>
          <w:szCs w:val="48"/>
          <w:highlight w:val="none"/>
        </w:rPr>
        <w:instrText xml:space="preserve"> HYPERLINK \l _Toc17280 </w:instrText>
      </w:r>
      <w:r>
        <w:rPr>
          <w:rFonts w:hint="eastAsia" w:ascii="宋体" w:hAnsi="宋体" w:eastAsia="宋体" w:cs="宋体"/>
          <w:szCs w:val="48"/>
          <w:highlight w:val="none"/>
        </w:rPr>
        <w:fldChar w:fldCharType="separate"/>
      </w:r>
      <w:r>
        <w:rPr>
          <w:rFonts w:hint="eastAsia" w:ascii="宋体" w:hAnsi="宋体" w:eastAsia="宋体" w:cs="宋体"/>
          <w:bCs/>
          <w:szCs w:val="40"/>
          <w:highlight w:val="none"/>
          <w:lang w:eastAsia="zh-CN"/>
        </w:rPr>
        <w:t>竞争性磋商</w:t>
      </w:r>
      <w:r>
        <w:rPr>
          <w:rFonts w:hint="eastAsia" w:ascii="宋体" w:hAnsi="宋体" w:eastAsia="宋体" w:cs="宋体"/>
          <w:bCs/>
          <w:szCs w:val="40"/>
          <w:highlight w:val="none"/>
        </w:rPr>
        <w:t>公告</w:t>
      </w:r>
      <w:r>
        <w:rPr>
          <w:rFonts w:hint="eastAsia" w:ascii="宋体" w:hAnsi="宋体" w:eastAsia="宋体" w:cs="宋体"/>
        </w:rPr>
        <w:tab/>
      </w:r>
      <w:r>
        <w:rPr>
          <w:rFonts w:hint="eastAsia" w:ascii="宋体" w:hAnsi="宋体" w:eastAsia="宋体" w:cs="宋体"/>
        </w:rPr>
        <w:fldChar w:fldCharType="begin"/>
      </w:r>
      <w:r>
        <w:rPr>
          <w:rFonts w:hint="eastAsia" w:ascii="宋体" w:hAnsi="宋体" w:eastAsia="宋体" w:cs="宋体"/>
        </w:rPr>
        <w:instrText xml:space="preserve"> PAGEREF _Toc17280 \h </w:instrText>
      </w:r>
      <w:r>
        <w:rPr>
          <w:rFonts w:hint="eastAsia" w:ascii="宋体" w:hAnsi="宋体" w:eastAsia="宋体" w:cs="宋体"/>
        </w:rPr>
        <w:fldChar w:fldCharType="separate"/>
      </w:r>
      <w:r>
        <w:rPr>
          <w:rFonts w:hint="eastAsia" w:ascii="宋体" w:hAnsi="宋体" w:eastAsia="宋体" w:cs="宋体"/>
        </w:rPr>
        <w:t>1</w:t>
      </w:r>
      <w:r>
        <w:rPr>
          <w:rFonts w:hint="eastAsia" w:ascii="宋体" w:hAnsi="宋体" w:eastAsia="宋体" w:cs="宋体"/>
        </w:rPr>
        <w:fldChar w:fldCharType="end"/>
      </w:r>
      <w:r>
        <w:rPr>
          <w:rFonts w:hint="eastAsia" w:ascii="宋体" w:hAnsi="宋体" w:eastAsia="宋体" w:cs="宋体"/>
          <w:color w:val="000000" w:themeColor="text1"/>
          <w:szCs w:val="48"/>
          <w:highlight w:val="none"/>
          <w14:textFill>
            <w14:solidFill>
              <w14:schemeClr w14:val="tx1"/>
            </w14:solidFill>
          </w14:textFill>
        </w:rPr>
        <w:fldChar w:fldCharType="end"/>
      </w:r>
    </w:p>
    <w:p w14:paraId="3CD2EA19">
      <w:pPr>
        <w:pStyle w:val="27"/>
        <w:tabs>
          <w:tab w:val="right" w:leader="dot" w:pos="9638"/>
          <w:tab w:val="clear" w:pos="8296"/>
        </w:tabs>
        <w:spacing w:line="480" w:lineRule="auto"/>
        <w:rPr>
          <w:rFonts w:hint="eastAsia" w:ascii="宋体" w:hAnsi="宋体" w:eastAsia="宋体" w:cs="宋体"/>
        </w:rPr>
      </w:pPr>
      <w:r>
        <w:rPr>
          <w:rFonts w:hint="eastAsia" w:ascii="宋体" w:hAnsi="宋体" w:eastAsia="宋体" w:cs="宋体"/>
          <w:color w:val="000000" w:themeColor="text1"/>
          <w:szCs w:val="48"/>
          <w:highlight w:val="none"/>
          <w14:textFill>
            <w14:solidFill>
              <w14:schemeClr w14:val="tx1"/>
            </w14:solidFill>
          </w14:textFill>
        </w:rPr>
        <w:fldChar w:fldCharType="begin"/>
      </w:r>
      <w:r>
        <w:rPr>
          <w:rFonts w:hint="eastAsia" w:ascii="宋体" w:hAnsi="宋体" w:eastAsia="宋体" w:cs="宋体"/>
          <w:szCs w:val="48"/>
          <w:highlight w:val="none"/>
        </w:rPr>
        <w:instrText xml:space="preserve"> HYPERLINK \l _Toc18381 </w:instrText>
      </w:r>
      <w:r>
        <w:rPr>
          <w:rFonts w:hint="eastAsia" w:ascii="宋体" w:hAnsi="宋体" w:eastAsia="宋体" w:cs="宋体"/>
          <w:szCs w:val="48"/>
          <w:highlight w:val="none"/>
        </w:rPr>
        <w:fldChar w:fldCharType="separate"/>
      </w:r>
      <w:r>
        <w:rPr>
          <w:rFonts w:hint="eastAsia" w:ascii="宋体" w:hAnsi="宋体" w:eastAsia="宋体" w:cs="宋体"/>
          <w:bCs/>
          <w:szCs w:val="36"/>
          <w:highlight w:val="none"/>
          <w:lang w:val="en-US" w:eastAsia="zh-CN"/>
        </w:rPr>
        <w:t>第一章 供应商须知</w:t>
      </w:r>
      <w:r>
        <w:rPr>
          <w:rFonts w:hint="eastAsia" w:ascii="宋体" w:hAnsi="宋体" w:eastAsia="宋体" w:cs="宋体"/>
        </w:rPr>
        <w:tab/>
      </w:r>
      <w:r>
        <w:rPr>
          <w:rFonts w:hint="eastAsia" w:ascii="宋体" w:hAnsi="宋体" w:eastAsia="宋体" w:cs="宋体"/>
        </w:rPr>
        <w:fldChar w:fldCharType="begin"/>
      </w:r>
      <w:r>
        <w:rPr>
          <w:rFonts w:hint="eastAsia" w:ascii="宋体" w:hAnsi="宋体" w:eastAsia="宋体" w:cs="宋体"/>
        </w:rPr>
        <w:instrText xml:space="preserve"> PAGEREF _Toc18381 \h </w:instrText>
      </w:r>
      <w:r>
        <w:rPr>
          <w:rFonts w:hint="eastAsia" w:ascii="宋体" w:hAnsi="宋体" w:eastAsia="宋体" w:cs="宋体"/>
        </w:rPr>
        <w:fldChar w:fldCharType="separate"/>
      </w:r>
      <w:r>
        <w:rPr>
          <w:rFonts w:hint="eastAsia" w:ascii="宋体" w:hAnsi="宋体" w:eastAsia="宋体" w:cs="宋体"/>
        </w:rPr>
        <w:t>5</w:t>
      </w:r>
      <w:r>
        <w:rPr>
          <w:rFonts w:hint="eastAsia" w:ascii="宋体" w:hAnsi="宋体" w:eastAsia="宋体" w:cs="宋体"/>
        </w:rPr>
        <w:fldChar w:fldCharType="end"/>
      </w:r>
      <w:r>
        <w:rPr>
          <w:rFonts w:hint="eastAsia" w:ascii="宋体" w:hAnsi="宋体" w:eastAsia="宋体" w:cs="宋体"/>
          <w:color w:val="000000" w:themeColor="text1"/>
          <w:szCs w:val="48"/>
          <w:highlight w:val="none"/>
          <w14:textFill>
            <w14:solidFill>
              <w14:schemeClr w14:val="tx1"/>
            </w14:solidFill>
          </w14:textFill>
        </w:rPr>
        <w:fldChar w:fldCharType="end"/>
      </w:r>
    </w:p>
    <w:p w14:paraId="4A696B28">
      <w:pPr>
        <w:pStyle w:val="27"/>
        <w:tabs>
          <w:tab w:val="right" w:leader="dot" w:pos="9638"/>
          <w:tab w:val="clear" w:pos="8296"/>
        </w:tabs>
        <w:spacing w:line="480" w:lineRule="auto"/>
        <w:rPr>
          <w:rFonts w:hint="eastAsia" w:ascii="宋体" w:hAnsi="宋体" w:eastAsia="宋体" w:cs="宋体"/>
        </w:rPr>
      </w:pPr>
      <w:r>
        <w:rPr>
          <w:rFonts w:hint="eastAsia" w:ascii="宋体" w:hAnsi="宋体" w:eastAsia="宋体" w:cs="宋体"/>
          <w:color w:val="000000" w:themeColor="text1"/>
          <w:szCs w:val="48"/>
          <w:highlight w:val="none"/>
          <w14:textFill>
            <w14:solidFill>
              <w14:schemeClr w14:val="tx1"/>
            </w14:solidFill>
          </w14:textFill>
        </w:rPr>
        <w:fldChar w:fldCharType="begin"/>
      </w:r>
      <w:r>
        <w:rPr>
          <w:rFonts w:hint="eastAsia" w:ascii="宋体" w:hAnsi="宋体" w:eastAsia="宋体" w:cs="宋体"/>
          <w:szCs w:val="48"/>
          <w:highlight w:val="none"/>
        </w:rPr>
        <w:instrText xml:space="preserve"> HYPERLINK \l _Toc7816 </w:instrText>
      </w:r>
      <w:r>
        <w:rPr>
          <w:rFonts w:hint="eastAsia" w:ascii="宋体" w:hAnsi="宋体" w:eastAsia="宋体" w:cs="宋体"/>
          <w:szCs w:val="48"/>
          <w:highlight w:val="none"/>
        </w:rPr>
        <w:fldChar w:fldCharType="separate"/>
      </w:r>
      <w:r>
        <w:rPr>
          <w:rFonts w:hint="eastAsia" w:ascii="宋体" w:hAnsi="宋体" w:eastAsia="宋体" w:cs="宋体"/>
          <w:bCs/>
          <w:szCs w:val="36"/>
          <w:highlight w:val="none"/>
          <w:lang w:eastAsia="zh-CN"/>
        </w:rPr>
        <w:t>第二章</w:t>
      </w:r>
      <w:r>
        <w:rPr>
          <w:rFonts w:hint="eastAsia" w:ascii="宋体" w:hAnsi="宋体" w:eastAsia="宋体" w:cs="宋体"/>
          <w:bCs/>
          <w:szCs w:val="36"/>
          <w:highlight w:val="none"/>
          <w:lang w:val="en-US" w:eastAsia="zh-CN"/>
        </w:rPr>
        <w:t xml:space="preserve"> 评审办法（综合评分法）</w:t>
      </w:r>
      <w:r>
        <w:rPr>
          <w:rFonts w:hint="eastAsia" w:ascii="宋体" w:hAnsi="宋体" w:eastAsia="宋体" w:cs="宋体"/>
        </w:rPr>
        <w:tab/>
      </w:r>
      <w:r>
        <w:rPr>
          <w:rFonts w:hint="eastAsia" w:ascii="宋体" w:hAnsi="宋体" w:eastAsia="宋体" w:cs="宋体"/>
        </w:rPr>
        <w:fldChar w:fldCharType="begin"/>
      </w:r>
      <w:r>
        <w:rPr>
          <w:rFonts w:hint="eastAsia" w:ascii="宋体" w:hAnsi="宋体" w:eastAsia="宋体" w:cs="宋体"/>
        </w:rPr>
        <w:instrText xml:space="preserve"> PAGEREF _Toc7816 \h </w:instrText>
      </w:r>
      <w:r>
        <w:rPr>
          <w:rFonts w:hint="eastAsia" w:ascii="宋体" w:hAnsi="宋体" w:eastAsia="宋体" w:cs="宋体"/>
        </w:rPr>
        <w:fldChar w:fldCharType="separate"/>
      </w:r>
      <w:r>
        <w:rPr>
          <w:rFonts w:hint="eastAsia" w:ascii="宋体" w:hAnsi="宋体" w:eastAsia="宋体" w:cs="宋体"/>
        </w:rPr>
        <w:t>20</w:t>
      </w:r>
      <w:r>
        <w:rPr>
          <w:rFonts w:hint="eastAsia" w:ascii="宋体" w:hAnsi="宋体" w:eastAsia="宋体" w:cs="宋体"/>
        </w:rPr>
        <w:fldChar w:fldCharType="end"/>
      </w:r>
      <w:r>
        <w:rPr>
          <w:rFonts w:hint="eastAsia" w:ascii="宋体" w:hAnsi="宋体" w:eastAsia="宋体" w:cs="宋体"/>
          <w:color w:val="000000" w:themeColor="text1"/>
          <w:szCs w:val="48"/>
          <w:highlight w:val="none"/>
          <w14:textFill>
            <w14:solidFill>
              <w14:schemeClr w14:val="tx1"/>
            </w14:solidFill>
          </w14:textFill>
        </w:rPr>
        <w:fldChar w:fldCharType="end"/>
      </w:r>
    </w:p>
    <w:p w14:paraId="23CB7F15">
      <w:pPr>
        <w:pStyle w:val="27"/>
        <w:tabs>
          <w:tab w:val="right" w:leader="dot" w:pos="9638"/>
          <w:tab w:val="clear" w:pos="8296"/>
        </w:tabs>
        <w:spacing w:line="480" w:lineRule="auto"/>
        <w:rPr>
          <w:rFonts w:hint="eastAsia" w:ascii="宋体" w:hAnsi="宋体" w:eastAsia="宋体" w:cs="宋体"/>
        </w:rPr>
      </w:pPr>
      <w:r>
        <w:rPr>
          <w:rFonts w:hint="eastAsia" w:ascii="宋体" w:hAnsi="宋体" w:eastAsia="宋体" w:cs="宋体"/>
          <w:color w:val="000000" w:themeColor="text1"/>
          <w:szCs w:val="48"/>
          <w:highlight w:val="none"/>
          <w14:textFill>
            <w14:solidFill>
              <w14:schemeClr w14:val="tx1"/>
            </w14:solidFill>
          </w14:textFill>
        </w:rPr>
        <w:fldChar w:fldCharType="begin"/>
      </w:r>
      <w:r>
        <w:rPr>
          <w:rFonts w:hint="eastAsia" w:ascii="宋体" w:hAnsi="宋体" w:eastAsia="宋体" w:cs="宋体"/>
          <w:szCs w:val="48"/>
          <w:highlight w:val="none"/>
        </w:rPr>
        <w:instrText xml:space="preserve"> HYPERLINK \l _Toc25189 </w:instrText>
      </w:r>
      <w:r>
        <w:rPr>
          <w:rFonts w:hint="eastAsia" w:ascii="宋体" w:hAnsi="宋体" w:eastAsia="宋体" w:cs="宋体"/>
          <w:szCs w:val="48"/>
          <w:highlight w:val="none"/>
        </w:rPr>
        <w:fldChar w:fldCharType="separate"/>
      </w:r>
      <w:r>
        <w:rPr>
          <w:rFonts w:hint="eastAsia" w:ascii="宋体" w:hAnsi="宋体" w:eastAsia="宋体" w:cs="宋体"/>
          <w:bCs/>
          <w:szCs w:val="36"/>
          <w:highlight w:val="none"/>
          <w:lang w:val="en-US" w:eastAsia="zh-CN"/>
        </w:rPr>
        <w:t>第三章 合同条款及格式</w:t>
      </w:r>
      <w:r>
        <w:rPr>
          <w:rFonts w:hint="eastAsia" w:ascii="宋体" w:hAnsi="宋体" w:eastAsia="宋体" w:cs="宋体"/>
        </w:rPr>
        <w:tab/>
      </w:r>
      <w:r>
        <w:rPr>
          <w:rFonts w:hint="eastAsia" w:ascii="宋体" w:hAnsi="宋体" w:eastAsia="宋体" w:cs="宋体"/>
        </w:rPr>
        <w:fldChar w:fldCharType="begin"/>
      </w:r>
      <w:r>
        <w:rPr>
          <w:rFonts w:hint="eastAsia" w:ascii="宋体" w:hAnsi="宋体" w:eastAsia="宋体" w:cs="宋体"/>
        </w:rPr>
        <w:instrText xml:space="preserve"> PAGEREF _Toc25189 \h </w:instrText>
      </w:r>
      <w:r>
        <w:rPr>
          <w:rFonts w:hint="eastAsia" w:ascii="宋体" w:hAnsi="宋体" w:eastAsia="宋体" w:cs="宋体"/>
        </w:rPr>
        <w:fldChar w:fldCharType="separate"/>
      </w:r>
      <w:r>
        <w:rPr>
          <w:rFonts w:hint="eastAsia" w:ascii="宋体" w:hAnsi="宋体" w:eastAsia="宋体" w:cs="宋体"/>
        </w:rPr>
        <w:t>28</w:t>
      </w:r>
      <w:r>
        <w:rPr>
          <w:rFonts w:hint="eastAsia" w:ascii="宋体" w:hAnsi="宋体" w:eastAsia="宋体" w:cs="宋体"/>
        </w:rPr>
        <w:fldChar w:fldCharType="end"/>
      </w:r>
      <w:r>
        <w:rPr>
          <w:rFonts w:hint="eastAsia" w:ascii="宋体" w:hAnsi="宋体" w:eastAsia="宋体" w:cs="宋体"/>
          <w:color w:val="000000" w:themeColor="text1"/>
          <w:szCs w:val="48"/>
          <w:highlight w:val="none"/>
          <w14:textFill>
            <w14:solidFill>
              <w14:schemeClr w14:val="tx1"/>
            </w14:solidFill>
          </w14:textFill>
        </w:rPr>
        <w:fldChar w:fldCharType="end"/>
      </w:r>
    </w:p>
    <w:p w14:paraId="0E02A988">
      <w:pPr>
        <w:pStyle w:val="27"/>
        <w:tabs>
          <w:tab w:val="right" w:leader="dot" w:pos="9638"/>
          <w:tab w:val="clear" w:pos="8296"/>
        </w:tabs>
        <w:spacing w:line="480" w:lineRule="auto"/>
        <w:rPr>
          <w:rFonts w:hint="eastAsia" w:ascii="宋体" w:hAnsi="宋体" w:eastAsia="宋体" w:cs="宋体"/>
        </w:rPr>
      </w:pPr>
      <w:r>
        <w:rPr>
          <w:rFonts w:hint="eastAsia" w:ascii="宋体" w:hAnsi="宋体" w:eastAsia="宋体" w:cs="宋体"/>
          <w:color w:val="000000" w:themeColor="text1"/>
          <w:szCs w:val="48"/>
          <w:highlight w:val="none"/>
          <w14:textFill>
            <w14:solidFill>
              <w14:schemeClr w14:val="tx1"/>
            </w14:solidFill>
          </w14:textFill>
        </w:rPr>
        <w:fldChar w:fldCharType="begin"/>
      </w:r>
      <w:r>
        <w:rPr>
          <w:rFonts w:hint="eastAsia" w:ascii="宋体" w:hAnsi="宋体" w:eastAsia="宋体" w:cs="宋体"/>
          <w:szCs w:val="48"/>
          <w:highlight w:val="none"/>
        </w:rPr>
        <w:instrText xml:space="preserve"> HYPERLINK \l _Toc9679 </w:instrText>
      </w:r>
      <w:r>
        <w:rPr>
          <w:rFonts w:hint="eastAsia" w:ascii="宋体" w:hAnsi="宋体" w:eastAsia="宋体" w:cs="宋体"/>
          <w:szCs w:val="48"/>
          <w:highlight w:val="none"/>
        </w:rPr>
        <w:fldChar w:fldCharType="separate"/>
      </w:r>
      <w:r>
        <w:rPr>
          <w:rFonts w:hint="eastAsia" w:ascii="宋体" w:hAnsi="宋体" w:eastAsia="宋体" w:cs="宋体"/>
          <w:bCs/>
          <w:szCs w:val="36"/>
          <w:highlight w:val="none"/>
          <w:lang w:val="en-US" w:eastAsia="zh-CN"/>
        </w:rPr>
        <w:t>第四章 采购需求</w:t>
      </w:r>
      <w:r>
        <w:rPr>
          <w:rFonts w:hint="eastAsia" w:ascii="宋体" w:hAnsi="宋体" w:eastAsia="宋体" w:cs="宋体"/>
        </w:rPr>
        <w:tab/>
      </w:r>
      <w:r>
        <w:rPr>
          <w:rFonts w:hint="eastAsia" w:ascii="宋体" w:hAnsi="宋体" w:eastAsia="宋体" w:cs="宋体"/>
        </w:rPr>
        <w:fldChar w:fldCharType="begin"/>
      </w:r>
      <w:r>
        <w:rPr>
          <w:rFonts w:hint="eastAsia" w:ascii="宋体" w:hAnsi="宋体" w:eastAsia="宋体" w:cs="宋体"/>
        </w:rPr>
        <w:instrText xml:space="preserve"> PAGEREF _Toc9679 \h </w:instrText>
      </w:r>
      <w:r>
        <w:rPr>
          <w:rFonts w:hint="eastAsia" w:ascii="宋体" w:hAnsi="宋体" w:eastAsia="宋体" w:cs="宋体"/>
        </w:rPr>
        <w:fldChar w:fldCharType="separate"/>
      </w:r>
      <w:r>
        <w:rPr>
          <w:rFonts w:hint="eastAsia" w:ascii="宋体" w:hAnsi="宋体" w:eastAsia="宋体" w:cs="宋体"/>
        </w:rPr>
        <w:t>33</w:t>
      </w:r>
      <w:r>
        <w:rPr>
          <w:rFonts w:hint="eastAsia" w:ascii="宋体" w:hAnsi="宋体" w:eastAsia="宋体" w:cs="宋体"/>
        </w:rPr>
        <w:fldChar w:fldCharType="end"/>
      </w:r>
      <w:r>
        <w:rPr>
          <w:rFonts w:hint="eastAsia" w:ascii="宋体" w:hAnsi="宋体" w:eastAsia="宋体" w:cs="宋体"/>
          <w:color w:val="000000" w:themeColor="text1"/>
          <w:szCs w:val="48"/>
          <w:highlight w:val="none"/>
          <w14:textFill>
            <w14:solidFill>
              <w14:schemeClr w14:val="tx1"/>
            </w14:solidFill>
          </w14:textFill>
        </w:rPr>
        <w:fldChar w:fldCharType="end"/>
      </w:r>
    </w:p>
    <w:p w14:paraId="0C77F5D4">
      <w:pPr>
        <w:pStyle w:val="27"/>
        <w:tabs>
          <w:tab w:val="right" w:leader="dot" w:pos="9638"/>
          <w:tab w:val="clear" w:pos="8296"/>
        </w:tabs>
        <w:spacing w:line="480" w:lineRule="auto"/>
        <w:rPr>
          <w:rFonts w:hint="eastAsia" w:ascii="宋体" w:hAnsi="宋体" w:eastAsia="宋体" w:cs="宋体"/>
        </w:rPr>
      </w:pPr>
      <w:r>
        <w:rPr>
          <w:rFonts w:hint="eastAsia" w:ascii="宋体" w:hAnsi="宋体" w:eastAsia="宋体" w:cs="宋体"/>
          <w:color w:val="000000" w:themeColor="text1"/>
          <w:szCs w:val="48"/>
          <w:highlight w:val="none"/>
          <w14:textFill>
            <w14:solidFill>
              <w14:schemeClr w14:val="tx1"/>
            </w14:solidFill>
          </w14:textFill>
        </w:rPr>
        <w:fldChar w:fldCharType="begin"/>
      </w:r>
      <w:r>
        <w:rPr>
          <w:rFonts w:hint="eastAsia" w:ascii="宋体" w:hAnsi="宋体" w:eastAsia="宋体" w:cs="宋体"/>
          <w:szCs w:val="48"/>
          <w:highlight w:val="none"/>
        </w:rPr>
        <w:instrText xml:space="preserve"> HYPERLINK \l _Toc14594 </w:instrText>
      </w:r>
      <w:r>
        <w:rPr>
          <w:rFonts w:hint="eastAsia" w:ascii="宋体" w:hAnsi="宋体" w:eastAsia="宋体" w:cs="宋体"/>
          <w:szCs w:val="48"/>
          <w:highlight w:val="none"/>
        </w:rPr>
        <w:fldChar w:fldCharType="separate"/>
      </w:r>
      <w:r>
        <w:rPr>
          <w:rFonts w:hint="eastAsia" w:ascii="宋体" w:hAnsi="宋体" w:eastAsia="宋体" w:cs="宋体"/>
          <w:bCs/>
          <w:szCs w:val="40"/>
          <w:highlight w:val="none"/>
          <w:lang w:eastAsia="zh-CN"/>
        </w:rPr>
        <w:t>第五章</w:t>
      </w:r>
      <w:r>
        <w:rPr>
          <w:rFonts w:hint="eastAsia" w:ascii="宋体" w:hAnsi="宋体" w:eastAsia="宋体" w:cs="宋体"/>
          <w:bCs/>
          <w:szCs w:val="40"/>
          <w:highlight w:val="none"/>
          <w:lang w:val="en-US" w:eastAsia="zh-CN"/>
        </w:rPr>
        <w:t xml:space="preserve"> </w:t>
      </w:r>
      <w:r>
        <w:rPr>
          <w:rFonts w:hint="eastAsia" w:ascii="宋体" w:hAnsi="宋体" w:eastAsia="宋体" w:cs="宋体"/>
          <w:bCs/>
          <w:szCs w:val="40"/>
          <w:highlight w:val="none"/>
        </w:rPr>
        <w:t>响应文件格式</w:t>
      </w:r>
      <w:r>
        <w:rPr>
          <w:rFonts w:hint="eastAsia" w:ascii="宋体" w:hAnsi="宋体" w:eastAsia="宋体" w:cs="宋体"/>
        </w:rPr>
        <w:tab/>
      </w:r>
      <w:r>
        <w:rPr>
          <w:rFonts w:hint="eastAsia" w:ascii="宋体" w:hAnsi="宋体" w:eastAsia="宋体" w:cs="宋体"/>
        </w:rPr>
        <w:fldChar w:fldCharType="begin"/>
      </w:r>
      <w:r>
        <w:rPr>
          <w:rFonts w:hint="eastAsia" w:ascii="宋体" w:hAnsi="宋体" w:eastAsia="宋体" w:cs="宋体"/>
        </w:rPr>
        <w:instrText xml:space="preserve"> PAGEREF _Toc14594 \h </w:instrText>
      </w:r>
      <w:r>
        <w:rPr>
          <w:rFonts w:hint="eastAsia" w:ascii="宋体" w:hAnsi="宋体" w:eastAsia="宋体" w:cs="宋体"/>
        </w:rPr>
        <w:fldChar w:fldCharType="separate"/>
      </w:r>
      <w:r>
        <w:rPr>
          <w:rFonts w:hint="eastAsia" w:ascii="宋体" w:hAnsi="宋体" w:eastAsia="宋体" w:cs="宋体"/>
        </w:rPr>
        <w:t>40</w:t>
      </w:r>
      <w:r>
        <w:rPr>
          <w:rFonts w:hint="eastAsia" w:ascii="宋体" w:hAnsi="宋体" w:eastAsia="宋体" w:cs="宋体"/>
        </w:rPr>
        <w:fldChar w:fldCharType="end"/>
      </w:r>
      <w:r>
        <w:rPr>
          <w:rFonts w:hint="eastAsia" w:ascii="宋体" w:hAnsi="宋体" w:eastAsia="宋体" w:cs="宋体"/>
          <w:color w:val="000000" w:themeColor="text1"/>
          <w:szCs w:val="48"/>
          <w:highlight w:val="none"/>
          <w14:textFill>
            <w14:solidFill>
              <w14:schemeClr w14:val="tx1"/>
            </w14:solidFill>
          </w14:textFill>
        </w:rPr>
        <w:fldChar w:fldCharType="end"/>
      </w:r>
    </w:p>
    <w:p w14:paraId="68BCB2D3">
      <w:pPr>
        <w:overflowPunct/>
        <w:bidi w:val="0"/>
        <w:spacing w:line="480" w:lineRule="auto"/>
        <w:jc w:val="center"/>
        <w:outlineLvl w:val="9"/>
        <w:rPr>
          <w:rFonts w:ascii="宋体" w:hAnsi="宋体"/>
          <w:color w:val="000000" w:themeColor="text1"/>
          <w:sz w:val="48"/>
          <w:szCs w:val="48"/>
          <w:highlight w:val="none"/>
          <w14:textFill>
            <w14:solidFill>
              <w14:schemeClr w14:val="tx1"/>
            </w14:solidFill>
          </w14:textFill>
        </w:rPr>
      </w:pPr>
      <w:r>
        <w:rPr>
          <w:rFonts w:hint="eastAsia" w:ascii="宋体" w:hAnsi="宋体" w:eastAsia="宋体" w:cs="宋体"/>
          <w:color w:val="000000" w:themeColor="text1"/>
          <w:szCs w:val="48"/>
          <w:highlight w:val="none"/>
          <w14:textFill>
            <w14:solidFill>
              <w14:schemeClr w14:val="tx1"/>
            </w14:solidFill>
          </w14:textFill>
        </w:rPr>
        <w:fldChar w:fldCharType="end"/>
      </w:r>
    </w:p>
    <w:p w14:paraId="260E454D">
      <w:pPr>
        <w:overflowPunct/>
        <w:bidi w:val="0"/>
        <w:jc w:val="center"/>
        <w:outlineLvl w:val="9"/>
        <w:rPr>
          <w:rFonts w:ascii="宋体" w:hAnsi="宋体"/>
          <w:color w:val="000000" w:themeColor="text1"/>
          <w:sz w:val="48"/>
          <w:szCs w:val="48"/>
          <w:highlight w:val="none"/>
          <w14:textFill>
            <w14:solidFill>
              <w14:schemeClr w14:val="tx1"/>
            </w14:solidFill>
          </w14:textFill>
        </w:rPr>
      </w:pPr>
    </w:p>
    <w:p w14:paraId="7C5333A0">
      <w:pPr>
        <w:overflowPunct/>
        <w:bidi w:val="0"/>
        <w:jc w:val="center"/>
        <w:outlineLvl w:val="9"/>
        <w:rPr>
          <w:rFonts w:ascii="宋体" w:hAnsi="宋体"/>
          <w:color w:val="000000" w:themeColor="text1"/>
          <w:sz w:val="48"/>
          <w:szCs w:val="48"/>
          <w:highlight w:val="none"/>
          <w14:textFill>
            <w14:solidFill>
              <w14:schemeClr w14:val="tx1"/>
            </w14:solidFill>
          </w14:textFill>
        </w:rPr>
      </w:pPr>
    </w:p>
    <w:p w14:paraId="3DD55898">
      <w:pPr>
        <w:overflowPunct/>
        <w:bidi w:val="0"/>
        <w:jc w:val="center"/>
        <w:outlineLvl w:val="9"/>
        <w:rPr>
          <w:rFonts w:ascii="宋体" w:hAnsi="宋体"/>
          <w:color w:val="000000" w:themeColor="text1"/>
          <w:sz w:val="48"/>
          <w:szCs w:val="48"/>
          <w:highlight w:val="none"/>
          <w14:textFill>
            <w14:solidFill>
              <w14:schemeClr w14:val="tx1"/>
            </w14:solidFill>
          </w14:textFill>
        </w:rPr>
      </w:pPr>
    </w:p>
    <w:p w14:paraId="11909DE5">
      <w:pPr>
        <w:overflowPunct/>
        <w:bidi w:val="0"/>
        <w:jc w:val="center"/>
        <w:outlineLvl w:val="9"/>
        <w:rPr>
          <w:rFonts w:ascii="宋体" w:hAnsi="宋体"/>
          <w:color w:val="000000" w:themeColor="text1"/>
          <w:sz w:val="48"/>
          <w:szCs w:val="48"/>
          <w:highlight w:val="none"/>
          <w14:textFill>
            <w14:solidFill>
              <w14:schemeClr w14:val="tx1"/>
            </w14:solidFill>
          </w14:textFill>
        </w:rPr>
      </w:pPr>
    </w:p>
    <w:p w14:paraId="62D7FD95">
      <w:pPr>
        <w:overflowPunct/>
        <w:bidi w:val="0"/>
        <w:jc w:val="center"/>
        <w:outlineLvl w:val="9"/>
        <w:rPr>
          <w:rFonts w:ascii="宋体" w:hAnsi="宋体"/>
          <w:color w:val="000000" w:themeColor="text1"/>
          <w:sz w:val="48"/>
          <w:szCs w:val="48"/>
          <w:highlight w:val="none"/>
          <w14:textFill>
            <w14:solidFill>
              <w14:schemeClr w14:val="tx1"/>
            </w14:solidFill>
          </w14:textFill>
        </w:rPr>
      </w:pPr>
    </w:p>
    <w:p w14:paraId="5A013923">
      <w:pPr>
        <w:overflowPunct/>
        <w:bidi w:val="0"/>
        <w:jc w:val="center"/>
        <w:outlineLvl w:val="9"/>
        <w:rPr>
          <w:rFonts w:ascii="宋体" w:hAnsi="宋体"/>
          <w:color w:val="000000" w:themeColor="text1"/>
          <w:sz w:val="48"/>
          <w:szCs w:val="48"/>
          <w:highlight w:val="none"/>
          <w14:textFill>
            <w14:solidFill>
              <w14:schemeClr w14:val="tx1"/>
            </w14:solidFill>
          </w14:textFill>
        </w:rPr>
      </w:pPr>
    </w:p>
    <w:p w14:paraId="065E16DD">
      <w:pPr>
        <w:overflowPunct/>
        <w:bidi w:val="0"/>
        <w:jc w:val="center"/>
        <w:outlineLvl w:val="9"/>
        <w:rPr>
          <w:rFonts w:ascii="宋体" w:hAnsi="宋体"/>
          <w:color w:val="000000" w:themeColor="text1"/>
          <w:sz w:val="48"/>
          <w:szCs w:val="48"/>
          <w:highlight w:val="none"/>
          <w14:textFill>
            <w14:solidFill>
              <w14:schemeClr w14:val="tx1"/>
            </w14:solidFill>
          </w14:textFill>
        </w:rPr>
      </w:pPr>
    </w:p>
    <w:p w14:paraId="24C0887F">
      <w:pPr>
        <w:overflowPunct/>
        <w:bidi w:val="0"/>
        <w:jc w:val="center"/>
        <w:outlineLvl w:val="9"/>
        <w:rPr>
          <w:rFonts w:ascii="宋体" w:hAnsi="宋体"/>
          <w:color w:val="000000" w:themeColor="text1"/>
          <w:sz w:val="48"/>
          <w:szCs w:val="48"/>
          <w:highlight w:val="none"/>
          <w14:textFill>
            <w14:solidFill>
              <w14:schemeClr w14:val="tx1"/>
            </w14:solidFill>
          </w14:textFill>
        </w:rPr>
      </w:pPr>
    </w:p>
    <w:p w14:paraId="22567865">
      <w:pPr>
        <w:overflowPunct/>
        <w:bidi w:val="0"/>
        <w:jc w:val="center"/>
        <w:outlineLvl w:val="9"/>
        <w:rPr>
          <w:rFonts w:ascii="宋体" w:hAnsi="宋体"/>
          <w:color w:val="000000" w:themeColor="text1"/>
          <w:sz w:val="48"/>
          <w:szCs w:val="48"/>
          <w:highlight w:val="none"/>
          <w14:textFill>
            <w14:solidFill>
              <w14:schemeClr w14:val="tx1"/>
            </w14:solidFill>
          </w14:textFill>
        </w:rPr>
      </w:pPr>
    </w:p>
    <w:p w14:paraId="247E4E8E">
      <w:pPr>
        <w:overflowPunct/>
        <w:bidi w:val="0"/>
        <w:jc w:val="center"/>
        <w:outlineLvl w:val="9"/>
        <w:rPr>
          <w:rFonts w:ascii="宋体" w:hAnsi="宋体"/>
          <w:color w:val="000000" w:themeColor="text1"/>
          <w:sz w:val="48"/>
          <w:szCs w:val="48"/>
          <w:highlight w:val="none"/>
          <w14:textFill>
            <w14:solidFill>
              <w14:schemeClr w14:val="tx1"/>
            </w14:solidFill>
          </w14:textFill>
        </w:rPr>
      </w:pPr>
    </w:p>
    <w:p w14:paraId="4B12AC96">
      <w:pPr>
        <w:overflowPunct/>
        <w:bidi w:val="0"/>
        <w:jc w:val="center"/>
        <w:outlineLvl w:val="9"/>
        <w:rPr>
          <w:rFonts w:ascii="宋体" w:hAnsi="宋体"/>
          <w:color w:val="000000" w:themeColor="text1"/>
          <w:sz w:val="48"/>
          <w:szCs w:val="48"/>
          <w:highlight w:val="none"/>
          <w14:textFill>
            <w14:solidFill>
              <w14:schemeClr w14:val="tx1"/>
            </w14:solidFill>
          </w14:textFill>
        </w:rPr>
      </w:pPr>
    </w:p>
    <w:p w14:paraId="0F04717A">
      <w:pPr>
        <w:overflowPunct/>
        <w:bidi w:val="0"/>
        <w:spacing w:line="400" w:lineRule="exact"/>
        <w:jc w:val="center"/>
        <w:outlineLvl w:val="9"/>
        <w:rPr>
          <w:rFonts w:hint="eastAsia" w:ascii="宋体" w:hAnsi="宋体" w:eastAsia="宋体" w:cs="宋体"/>
          <w:b/>
          <w:bCs/>
          <w:color w:val="000000" w:themeColor="text1"/>
          <w:sz w:val="36"/>
          <w:szCs w:val="36"/>
          <w:highlight w:val="none"/>
          <w:lang w:val="en-US" w:eastAsia="zh-CN"/>
          <w14:textFill>
            <w14:solidFill>
              <w14:schemeClr w14:val="tx1"/>
            </w14:solidFill>
          </w14:textFill>
        </w:rPr>
        <w:sectPr>
          <w:footerReference r:id="rId8" w:type="default"/>
          <w:pgSz w:w="11906" w:h="16838"/>
          <w:pgMar w:top="1134" w:right="1134" w:bottom="1134" w:left="1134" w:header="851" w:footer="851" w:gutter="0"/>
          <w:pgBorders>
            <w:top w:val="none" w:sz="0" w:space="0"/>
            <w:left w:val="none" w:sz="0" w:space="0"/>
            <w:bottom w:val="none" w:sz="0" w:space="0"/>
            <w:right w:val="none" w:sz="0" w:space="0"/>
          </w:pgBorders>
          <w:pgNumType w:fmt="decimal" w:start="1"/>
          <w:cols w:space="720" w:num="1"/>
          <w:docGrid w:linePitch="312" w:charSpace="0"/>
        </w:sectPr>
      </w:pPr>
      <w:bookmarkStart w:id="5" w:name="_Toc15493"/>
    </w:p>
    <w:p w14:paraId="2929422C">
      <w:pPr>
        <w:pStyle w:val="47"/>
        <w:overflowPunct/>
        <w:bidi w:val="0"/>
        <w:outlineLvl w:val="9"/>
        <w:rPr>
          <w:rFonts w:hint="eastAsia"/>
          <w:color w:val="000000" w:themeColor="text1"/>
          <w:highlight w:val="none"/>
          <w:lang w:val="en-US" w:eastAsia="zh-CN"/>
          <w14:textFill>
            <w14:solidFill>
              <w14:schemeClr w14:val="tx1"/>
            </w14:solidFill>
          </w14:textFill>
        </w:rPr>
      </w:pPr>
    </w:p>
    <w:bookmarkEnd w:id="5"/>
    <w:p w14:paraId="2B984EE1">
      <w:pPr>
        <w:keepNext w:val="0"/>
        <w:keepLines w:val="0"/>
        <w:pageBreakBefore w:val="0"/>
        <w:widowControl w:val="0"/>
        <w:numPr>
          <w:ilvl w:val="0"/>
          <w:numId w:val="0"/>
        </w:numPr>
        <w:kinsoku/>
        <w:wordWrap/>
        <w:overflowPunct/>
        <w:topLinePunct w:val="0"/>
        <w:autoSpaceDE/>
        <w:autoSpaceDN/>
        <w:bidi w:val="0"/>
        <w:adjustRightInd/>
        <w:snapToGrid/>
        <w:ind w:left="403" w:leftChars="0"/>
        <w:jc w:val="center"/>
        <w:textAlignment w:val="auto"/>
        <w:outlineLvl w:val="0"/>
        <w:rPr>
          <w:rFonts w:hint="eastAsia"/>
          <w:b/>
          <w:bCs/>
          <w:color w:val="000000" w:themeColor="text1"/>
          <w:sz w:val="32"/>
          <w:szCs w:val="40"/>
          <w:highlight w:val="none"/>
          <w14:textFill>
            <w14:solidFill>
              <w14:schemeClr w14:val="tx1"/>
            </w14:solidFill>
          </w14:textFill>
        </w:rPr>
      </w:pPr>
      <w:bookmarkStart w:id="6" w:name="_Toc30832"/>
      <w:bookmarkStart w:id="7" w:name="_Toc17280"/>
      <w:r>
        <w:rPr>
          <w:rFonts w:hint="eastAsia"/>
          <w:b/>
          <w:bCs/>
          <w:color w:val="000000" w:themeColor="text1"/>
          <w:sz w:val="32"/>
          <w:szCs w:val="40"/>
          <w:highlight w:val="none"/>
          <w:lang w:val="en-US" w:eastAsia="zh-CN"/>
          <w14:textFill>
            <w14:solidFill>
              <w14:schemeClr w14:val="tx1"/>
            </w14:solidFill>
          </w14:textFill>
        </w:rPr>
        <w:t>2025年珲春市中小学护眼灯采购(二次）</w:t>
      </w:r>
      <w:r>
        <w:rPr>
          <w:rFonts w:hint="eastAsia"/>
          <w:b/>
          <w:bCs/>
          <w:color w:val="000000" w:themeColor="text1"/>
          <w:sz w:val="32"/>
          <w:szCs w:val="40"/>
          <w:highlight w:val="none"/>
          <w:lang w:eastAsia="zh-CN"/>
          <w14:textFill>
            <w14:solidFill>
              <w14:schemeClr w14:val="tx1"/>
            </w14:solidFill>
          </w14:textFill>
        </w:rPr>
        <w:t>竞争性磋商</w:t>
      </w:r>
      <w:r>
        <w:rPr>
          <w:rFonts w:hint="eastAsia"/>
          <w:b/>
          <w:bCs/>
          <w:color w:val="000000" w:themeColor="text1"/>
          <w:sz w:val="32"/>
          <w:szCs w:val="40"/>
          <w:highlight w:val="none"/>
          <w14:textFill>
            <w14:solidFill>
              <w14:schemeClr w14:val="tx1"/>
            </w14:solidFill>
          </w14:textFill>
        </w:rPr>
        <w:t>公告</w:t>
      </w:r>
      <w:bookmarkEnd w:id="6"/>
      <w:bookmarkEnd w:id="7"/>
    </w:p>
    <w:p w14:paraId="54FA870D">
      <w:pPr>
        <w:pStyle w:val="16"/>
        <w:overflowPunct/>
        <w:bidi w:val="0"/>
        <w:jc w:val="center"/>
        <w:outlineLvl w:val="9"/>
        <w:rPr>
          <w:rFonts w:hint="eastAsia" w:ascii="宋体" w:hAnsi="宋体" w:eastAsia="宋体" w:cs="宋体"/>
          <w:b/>
          <w:bCs w:val="0"/>
          <w:color w:val="000000" w:themeColor="text1"/>
          <w:sz w:val="28"/>
          <w:szCs w:val="28"/>
          <w:highlight w:val="none"/>
          <w:lang w:val="zh-CN"/>
          <w14:textFill>
            <w14:solidFill>
              <w14:schemeClr w14:val="tx1"/>
            </w14:solidFill>
          </w14:textFill>
        </w:rPr>
      </w:pPr>
    </w:p>
    <w:p w14:paraId="712923E9">
      <w:pPr>
        <w:widowControl w:val="0"/>
        <w:pBdr>
          <w:top w:val="single" w:color="auto" w:sz="4" w:space="1"/>
          <w:left w:val="single" w:color="auto" w:sz="4" w:space="4"/>
          <w:bottom w:val="single" w:color="auto" w:sz="4" w:space="1"/>
          <w:right w:val="single" w:color="auto" w:sz="4" w:space="4"/>
        </w:pBdr>
        <w:overflowPunct/>
        <w:bidi w:val="0"/>
        <w:spacing w:line="460" w:lineRule="exact"/>
        <w:ind w:firstLine="480" w:firstLineChars="200"/>
        <w:outlineLvl w:val="9"/>
        <w:rPr>
          <w:rFonts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项目概况</w:t>
      </w:r>
    </w:p>
    <w:p w14:paraId="21C3A95C">
      <w:pPr>
        <w:widowControl w:val="0"/>
        <w:pBdr>
          <w:top w:val="single" w:color="auto" w:sz="4" w:space="1"/>
          <w:left w:val="single" w:color="auto" w:sz="4" w:space="4"/>
          <w:bottom w:val="single" w:color="auto" w:sz="4" w:space="1"/>
          <w:right w:val="single" w:color="auto" w:sz="4" w:space="4"/>
        </w:pBdr>
        <w:wordWrap w:val="0"/>
        <w:overflowPunct/>
        <w:bidi w:val="0"/>
        <w:spacing w:line="360" w:lineRule="exact"/>
        <w:ind w:firstLine="480" w:firstLineChars="200"/>
        <w:outlineLvl w:val="9"/>
        <w:rPr>
          <w:rFonts w:ascii="宋体" w:hAnsi="宋体" w:eastAsia="宋体" w:cs="宋体"/>
          <w:color w:val="000000" w:themeColor="text1"/>
          <w:sz w:val="24"/>
          <w:highlight w:val="none"/>
          <w:u w:val="single"/>
          <w14:textFill>
            <w14:solidFill>
              <w14:schemeClr w14:val="tx1"/>
            </w14:solidFill>
          </w14:textFill>
        </w:rPr>
      </w:pPr>
      <w:r>
        <w:rPr>
          <w:rFonts w:hint="eastAsia" w:ascii="宋体" w:hAnsi="宋体" w:cs="宋体"/>
          <w:color w:val="000000" w:themeColor="text1"/>
          <w:sz w:val="24"/>
          <w:highlight w:val="none"/>
          <w:u w:val="single"/>
          <w:lang w:val="en-US" w:eastAsia="zh-CN"/>
          <w14:textFill>
            <w14:solidFill>
              <w14:schemeClr w14:val="tx1"/>
            </w14:solidFill>
          </w14:textFill>
        </w:rPr>
        <w:t>2025年珲春市中小学护眼灯采购(二次）</w:t>
      </w:r>
      <w:r>
        <w:rPr>
          <w:rFonts w:hint="eastAsia" w:ascii="宋体" w:hAnsi="宋体" w:eastAsia="宋体" w:cs="宋体"/>
          <w:color w:val="000000" w:themeColor="text1"/>
          <w:sz w:val="24"/>
          <w:highlight w:val="none"/>
          <w14:textFill>
            <w14:solidFill>
              <w14:schemeClr w14:val="tx1"/>
            </w14:solidFill>
          </w14:textFill>
        </w:rPr>
        <w:t>的潜在供应商应在</w:t>
      </w:r>
      <w:r>
        <w:rPr>
          <w:rFonts w:hint="eastAsia" w:ascii="宋体" w:hAnsi="宋体" w:eastAsia="宋体" w:cs="宋体"/>
          <w:color w:val="000000" w:themeColor="text1"/>
          <w:sz w:val="24"/>
          <w:highlight w:val="none"/>
          <w:u w:val="single"/>
          <w:lang w:val="zh-CN" w:eastAsia="zh-CN"/>
          <w14:textFill>
            <w14:solidFill>
              <w14:schemeClr w14:val="tx1"/>
            </w14:solidFill>
          </w14:textFill>
        </w:rPr>
        <w:t>政府采购云平台（网址：http:// www.zcygov.cn）</w:t>
      </w:r>
      <w:r>
        <w:rPr>
          <w:rFonts w:hint="eastAsia" w:ascii="宋体" w:hAnsi="宋体" w:eastAsia="宋体" w:cs="宋体"/>
          <w:color w:val="000000" w:themeColor="text1"/>
          <w:sz w:val="24"/>
          <w:highlight w:val="none"/>
          <w14:textFill>
            <w14:solidFill>
              <w14:schemeClr w14:val="tx1"/>
            </w14:solidFill>
          </w14:textFill>
        </w:rPr>
        <w:t>获取采购文件，并于</w:t>
      </w:r>
      <w:r>
        <w:rPr>
          <w:rFonts w:hint="eastAsia" w:ascii="宋体" w:hAnsi="宋体" w:cs="宋体"/>
          <w:color w:val="000000" w:themeColor="text1"/>
          <w:sz w:val="24"/>
          <w:highlight w:val="none"/>
          <w:u w:val="single"/>
          <w:lang w:val="en-US" w:eastAsia="zh-CN"/>
          <w14:textFill>
            <w14:solidFill>
              <w14:schemeClr w14:val="tx1"/>
            </w14:solidFill>
          </w14:textFill>
        </w:rPr>
        <w:t>2025年4月10日9</w:t>
      </w:r>
      <w:r>
        <w:rPr>
          <w:rFonts w:hint="eastAsia" w:ascii="宋体" w:hAnsi="宋体" w:cs="宋体"/>
          <w:color w:val="000000" w:themeColor="text1"/>
          <w:sz w:val="24"/>
          <w:highlight w:val="none"/>
          <w:u w:val="single"/>
          <w:lang w:val="zh-CN"/>
          <w14:textFill>
            <w14:solidFill>
              <w14:schemeClr w14:val="tx1"/>
            </w14:solidFill>
          </w14:textFill>
        </w:rPr>
        <w:t>时</w:t>
      </w:r>
      <w:r>
        <w:rPr>
          <w:rFonts w:hint="eastAsia" w:ascii="宋体" w:hAnsi="宋体" w:cs="宋体"/>
          <w:color w:val="000000" w:themeColor="text1"/>
          <w:sz w:val="24"/>
          <w:highlight w:val="none"/>
          <w:u w:val="single"/>
          <w:lang w:val="en-US" w:eastAsia="zh-CN"/>
          <w14:textFill>
            <w14:solidFill>
              <w14:schemeClr w14:val="tx1"/>
            </w14:solidFill>
          </w14:textFill>
        </w:rPr>
        <w:t>30</w:t>
      </w:r>
      <w:r>
        <w:rPr>
          <w:rFonts w:hint="eastAsia" w:ascii="宋体" w:hAnsi="宋体" w:cs="宋体"/>
          <w:color w:val="000000" w:themeColor="text1"/>
          <w:sz w:val="24"/>
          <w:highlight w:val="none"/>
          <w:u w:val="single"/>
          <w:lang w:val="zh-CN"/>
          <w14:textFill>
            <w14:solidFill>
              <w14:schemeClr w14:val="tx1"/>
            </w14:solidFill>
          </w14:textFill>
        </w:rPr>
        <w:t>分</w:t>
      </w:r>
      <w:r>
        <w:rPr>
          <w:rFonts w:hint="eastAsia" w:ascii="宋体" w:hAnsi="宋体" w:eastAsia="宋体" w:cs="宋体"/>
          <w:color w:val="000000" w:themeColor="text1"/>
          <w:sz w:val="24"/>
          <w:highlight w:val="none"/>
          <w:u w:val="single"/>
          <w:lang w:val="zh-CN"/>
          <w14:textFill>
            <w14:solidFill>
              <w14:schemeClr w14:val="tx1"/>
            </w14:solidFill>
          </w14:textFill>
        </w:rPr>
        <w:t>（北</w:t>
      </w:r>
      <w:r>
        <w:rPr>
          <w:rFonts w:hint="eastAsia" w:ascii="宋体" w:hAnsi="宋体" w:eastAsia="宋体" w:cs="宋体"/>
          <w:color w:val="000000" w:themeColor="text1"/>
          <w:sz w:val="24"/>
          <w:highlight w:val="none"/>
          <w:u w:val="single"/>
          <w14:textFill>
            <w14:solidFill>
              <w14:schemeClr w14:val="tx1"/>
            </w14:solidFill>
          </w14:textFill>
        </w:rPr>
        <w:t>京时间）前递交响应文件</w:t>
      </w:r>
    </w:p>
    <w:p w14:paraId="2D584520">
      <w:pPr>
        <w:widowControl w:val="0"/>
        <w:overflowPunct/>
        <w:autoSpaceDE w:val="0"/>
        <w:autoSpaceDN w:val="0"/>
        <w:bidi w:val="0"/>
        <w:adjustRightInd w:val="0"/>
        <w:spacing w:line="460" w:lineRule="exact"/>
        <w:outlineLvl w:val="9"/>
        <w:rPr>
          <w:rFonts w:ascii="宋体" w:hAnsi="宋体" w:eastAsia="宋体" w:cs="宋体"/>
          <w:b/>
          <w:color w:val="000000" w:themeColor="text1"/>
          <w:sz w:val="24"/>
          <w:highlight w:val="none"/>
          <w14:textFill>
            <w14:solidFill>
              <w14:schemeClr w14:val="tx1"/>
            </w14:solidFill>
          </w14:textFill>
        </w:rPr>
      </w:pPr>
      <w:r>
        <w:rPr>
          <w:rFonts w:hint="eastAsia" w:ascii="宋体" w:hAnsi="宋体" w:eastAsia="宋体" w:cs="宋体"/>
          <w:b/>
          <w:color w:val="000000" w:themeColor="text1"/>
          <w:sz w:val="24"/>
          <w:highlight w:val="none"/>
          <w14:textFill>
            <w14:solidFill>
              <w14:schemeClr w14:val="tx1"/>
            </w14:solidFill>
          </w14:textFill>
        </w:rPr>
        <w:t>一、项目基本情况</w:t>
      </w:r>
    </w:p>
    <w:p w14:paraId="078D8A21">
      <w:pPr>
        <w:widowControl w:val="0"/>
        <w:overflowPunct/>
        <w:autoSpaceDE w:val="0"/>
        <w:autoSpaceDN w:val="0"/>
        <w:bidi w:val="0"/>
        <w:adjustRightInd w:val="0"/>
        <w:spacing w:line="460" w:lineRule="exact"/>
        <w:ind w:firstLine="480" w:firstLineChars="200"/>
        <w:outlineLvl w:val="9"/>
        <w:rPr>
          <w:rFonts w:hint="default" w:ascii="宋体" w:hAnsi="宋体" w:eastAsia="宋体" w:cs="宋体"/>
          <w:bCs/>
          <w:color w:val="000000" w:themeColor="text1"/>
          <w:sz w:val="24"/>
          <w:highlight w:val="none"/>
          <w:lang w:val="en-US" w:eastAsia="zh-CN"/>
          <w14:textFill>
            <w14:solidFill>
              <w14:schemeClr w14:val="tx1"/>
            </w14:solidFill>
          </w14:textFill>
        </w:rPr>
      </w:pPr>
      <w:r>
        <w:rPr>
          <w:rFonts w:hint="eastAsia" w:ascii="宋体" w:hAnsi="宋体" w:eastAsia="宋体" w:cs="宋体"/>
          <w:bCs/>
          <w:color w:val="000000" w:themeColor="text1"/>
          <w:sz w:val="24"/>
          <w:highlight w:val="none"/>
          <w:lang w:val="en-US" w:eastAsia="zh-CN"/>
          <w14:textFill>
            <w14:solidFill>
              <w14:schemeClr w14:val="tx1"/>
            </w14:solidFill>
          </w14:textFill>
        </w:rPr>
        <w:t>项目编号：</w:t>
      </w:r>
      <w:r>
        <w:rPr>
          <w:rFonts w:hint="eastAsia" w:ascii="宋体" w:hAnsi="宋体" w:cs="宋体"/>
          <w:bCs/>
          <w:color w:val="000000" w:themeColor="text1"/>
          <w:sz w:val="24"/>
          <w:highlight w:val="none"/>
          <w:lang w:val="en-US" w:eastAsia="zh-CN"/>
          <w14:textFill>
            <w14:solidFill>
              <w14:schemeClr w14:val="tx1"/>
            </w14:solidFill>
          </w14:textFill>
        </w:rPr>
        <w:t>JLTY-2025011</w:t>
      </w:r>
      <w:r>
        <w:rPr>
          <w:rFonts w:hint="eastAsia" w:ascii="宋体" w:hAnsi="宋体" w:eastAsia="宋体" w:cs="宋体"/>
          <w:bCs/>
          <w:color w:val="000000" w:themeColor="text1"/>
          <w:sz w:val="24"/>
          <w:highlight w:val="none"/>
          <w:lang w:val="zh-CN" w:eastAsia="zh-CN"/>
          <w14:textFill>
            <w14:solidFill>
              <w14:schemeClr w14:val="tx1"/>
            </w14:solidFill>
          </w14:textFill>
        </w:rPr>
        <w:t>；</w:t>
      </w:r>
      <w:r>
        <w:rPr>
          <w:rFonts w:hint="eastAsia" w:ascii="宋体" w:hAnsi="宋体" w:cs="宋体"/>
          <w:bCs/>
          <w:color w:val="000000" w:themeColor="text1"/>
          <w:sz w:val="24"/>
          <w:highlight w:val="none"/>
          <w:lang w:val="zh-CN" w:eastAsia="zh-CN"/>
          <w14:textFill>
            <w14:solidFill>
              <w14:schemeClr w14:val="tx1"/>
            </w14:solidFill>
          </w14:textFill>
        </w:rPr>
        <w:t>采购计划编号：采购计划</w:t>
      </w:r>
      <w:r>
        <w:rPr>
          <w:rFonts w:hint="eastAsia" w:ascii="宋体" w:hAnsi="宋体" w:cs="宋体"/>
          <w:bCs/>
          <w:color w:val="000000" w:themeColor="text1"/>
          <w:sz w:val="24"/>
          <w:highlight w:val="none"/>
          <w:lang w:val="en-US" w:eastAsia="zh-CN"/>
          <w14:textFill>
            <w14:solidFill>
              <w14:schemeClr w14:val="tx1"/>
            </w14:solidFill>
          </w14:textFill>
        </w:rPr>
        <w:t>-[2025]-00014号；</w:t>
      </w:r>
    </w:p>
    <w:p w14:paraId="66128951">
      <w:pPr>
        <w:widowControl w:val="0"/>
        <w:overflowPunct/>
        <w:autoSpaceDE w:val="0"/>
        <w:autoSpaceDN w:val="0"/>
        <w:bidi w:val="0"/>
        <w:adjustRightInd w:val="0"/>
        <w:spacing w:line="460" w:lineRule="exact"/>
        <w:ind w:firstLine="480" w:firstLineChars="200"/>
        <w:outlineLvl w:val="9"/>
        <w:rPr>
          <w:rFonts w:hint="eastAsia" w:ascii="宋体" w:hAnsi="宋体" w:eastAsia="宋体" w:cs="宋体"/>
          <w:bCs/>
          <w:color w:val="000000" w:themeColor="text1"/>
          <w:sz w:val="24"/>
          <w:highlight w:val="none"/>
          <w:lang w:val="en-US" w:eastAsia="zh-CN"/>
          <w14:textFill>
            <w14:solidFill>
              <w14:schemeClr w14:val="tx1"/>
            </w14:solidFill>
          </w14:textFill>
        </w:rPr>
      </w:pPr>
      <w:r>
        <w:rPr>
          <w:rFonts w:hint="eastAsia" w:ascii="宋体" w:hAnsi="宋体" w:eastAsia="宋体" w:cs="宋体"/>
          <w:bCs/>
          <w:color w:val="000000" w:themeColor="text1"/>
          <w:sz w:val="24"/>
          <w:highlight w:val="none"/>
          <w14:textFill>
            <w14:solidFill>
              <w14:schemeClr w14:val="tx1"/>
            </w14:solidFill>
          </w14:textFill>
        </w:rPr>
        <w:t>项目名称：</w:t>
      </w:r>
      <w:r>
        <w:rPr>
          <w:rFonts w:hint="eastAsia" w:ascii="宋体" w:hAnsi="宋体" w:cs="宋体"/>
          <w:bCs/>
          <w:color w:val="000000" w:themeColor="text1"/>
          <w:sz w:val="24"/>
          <w:highlight w:val="none"/>
          <w:lang w:val="en-US" w:eastAsia="zh-CN"/>
          <w14:textFill>
            <w14:solidFill>
              <w14:schemeClr w14:val="tx1"/>
            </w14:solidFill>
          </w14:textFill>
        </w:rPr>
        <w:t>2025年珲春市中小学护眼灯采购(二次）</w:t>
      </w:r>
      <w:r>
        <w:rPr>
          <w:rFonts w:hint="eastAsia" w:ascii="宋体" w:hAnsi="宋体" w:eastAsia="宋体" w:cs="宋体"/>
          <w:bCs/>
          <w:color w:val="000000" w:themeColor="text1"/>
          <w:sz w:val="24"/>
          <w:highlight w:val="none"/>
          <w:lang w:val="en-US" w:eastAsia="zh-CN"/>
          <w14:textFill>
            <w14:solidFill>
              <w14:schemeClr w14:val="tx1"/>
            </w14:solidFill>
          </w14:textFill>
        </w:rPr>
        <w:t>；</w:t>
      </w:r>
    </w:p>
    <w:p w14:paraId="6EB1B17F">
      <w:pPr>
        <w:widowControl w:val="0"/>
        <w:overflowPunct/>
        <w:autoSpaceDE w:val="0"/>
        <w:autoSpaceDN w:val="0"/>
        <w:bidi w:val="0"/>
        <w:adjustRightInd w:val="0"/>
        <w:spacing w:line="460" w:lineRule="exact"/>
        <w:ind w:firstLine="480" w:firstLineChars="200"/>
        <w:outlineLvl w:val="9"/>
        <w:rPr>
          <w:rFonts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bCs/>
          <w:color w:val="000000" w:themeColor="text1"/>
          <w:sz w:val="24"/>
          <w:highlight w:val="none"/>
          <w:lang w:val="zh-CN"/>
          <w14:textFill>
            <w14:solidFill>
              <w14:schemeClr w14:val="tx1"/>
            </w14:solidFill>
          </w14:textFill>
        </w:rPr>
        <w:t>采购方式：竞争性磋商；</w:t>
      </w:r>
    </w:p>
    <w:p w14:paraId="346691D0">
      <w:pPr>
        <w:widowControl w:val="0"/>
        <w:overflowPunct/>
        <w:autoSpaceDE w:val="0"/>
        <w:autoSpaceDN w:val="0"/>
        <w:bidi w:val="0"/>
        <w:adjustRightInd w:val="0"/>
        <w:spacing w:line="460" w:lineRule="exact"/>
        <w:ind w:firstLine="480" w:firstLineChars="200"/>
        <w:outlineLvl w:val="9"/>
        <w:rPr>
          <w:rFonts w:hint="eastAsia"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预算金额：</w:t>
      </w:r>
      <w:r>
        <w:rPr>
          <w:rFonts w:hint="eastAsia" w:ascii="宋体" w:hAnsi="宋体" w:cs="宋体"/>
          <w:color w:val="000000" w:themeColor="text1"/>
          <w:sz w:val="24"/>
          <w:highlight w:val="none"/>
          <w14:textFill>
            <w14:solidFill>
              <w14:schemeClr w14:val="tx1"/>
            </w14:solidFill>
          </w14:textFill>
        </w:rPr>
        <w:t>人民币</w:t>
      </w:r>
      <w:r>
        <w:rPr>
          <w:rFonts w:hint="eastAsia" w:ascii="宋体" w:hAnsi="宋体" w:cs="宋体"/>
          <w:color w:val="000000" w:themeColor="text1"/>
          <w:sz w:val="24"/>
          <w:highlight w:val="none"/>
          <w:lang w:eastAsia="zh-CN"/>
          <w14:textFill>
            <w14:solidFill>
              <w14:schemeClr w14:val="tx1"/>
            </w14:solidFill>
          </w14:textFill>
        </w:rPr>
        <w:t>1153000.00</w:t>
      </w:r>
      <w:r>
        <w:rPr>
          <w:rFonts w:hint="eastAsia" w:ascii="宋体" w:hAnsi="宋体" w:cs="宋体"/>
          <w:color w:val="000000" w:themeColor="text1"/>
          <w:sz w:val="24"/>
          <w:highlight w:val="none"/>
          <w14:textFill>
            <w14:solidFill>
              <w14:schemeClr w14:val="tx1"/>
            </w14:solidFill>
          </w14:textFill>
        </w:rPr>
        <w:t>元</w:t>
      </w:r>
      <w:r>
        <w:rPr>
          <w:rFonts w:hint="eastAsia" w:ascii="宋体" w:hAnsi="宋体" w:eastAsia="宋体" w:cs="宋体"/>
          <w:color w:val="000000" w:themeColor="text1"/>
          <w:sz w:val="24"/>
          <w:highlight w:val="none"/>
          <w14:textFill>
            <w14:solidFill>
              <w14:schemeClr w14:val="tx1"/>
            </w14:solidFill>
          </w14:textFill>
        </w:rPr>
        <w:t>；</w:t>
      </w:r>
    </w:p>
    <w:p w14:paraId="75B38CF2">
      <w:pPr>
        <w:widowControl w:val="0"/>
        <w:overflowPunct/>
        <w:autoSpaceDE w:val="0"/>
        <w:autoSpaceDN w:val="0"/>
        <w:bidi w:val="0"/>
        <w:adjustRightInd w:val="0"/>
        <w:spacing w:line="460" w:lineRule="exact"/>
        <w:ind w:firstLine="480" w:firstLineChars="200"/>
        <w:outlineLvl w:val="9"/>
        <w:rPr>
          <w:rFonts w:hint="eastAsia" w:ascii="宋体" w:hAnsi="宋体" w:eastAsia="宋体" w:cs="宋体"/>
          <w:bCs/>
          <w:color w:val="000000" w:themeColor="text1"/>
          <w:sz w:val="24"/>
          <w:highlight w:val="none"/>
          <w:lang w:val="zh-CN"/>
          <w14:textFill>
            <w14:solidFill>
              <w14:schemeClr w14:val="tx1"/>
            </w14:solidFill>
          </w14:textFill>
        </w:rPr>
      </w:pPr>
      <w:r>
        <w:rPr>
          <w:rFonts w:hint="eastAsia" w:ascii="宋体" w:hAnsi="宋体" w:eastAsia="宋体" w:cs="宋体"/>
          <w:bCs/>
          <w:color w:val="000000" w:themeColor="text1"/>
          <w:sz w:val="24"/>
          <w:highlight w:val="none"/>
          <w14:textFill>
            <w14:solidFill>
              <w14:schemeClr w14:val="tx1"/>
            </w14:solidFill>
          </w14:textFill>
        </w:rPr>
        <w:t>最高限价：</w:t>
      </w:r>
      <w:r>
        <w:rPr>
          <w:rFonts w:hint="eastAsia" w:ascii="宋体" w:hAnsi="宋体" w:cs="宋体"/>
          <w:color w:val="000000" w:themeColor="text1"/>
          <w:sz w:val="24"/>
          <w:highlight w:val="none"/>
          <w14:textFill>
            <w14:solidFill>
              <w14:schemeClr w14:val="tx1"/>
            </w14:solidFill>
          </w14:textFill>
        </w:rPr>
        <w:t>人民币</w:t>
      </w:r>
      <w:r>
        <w:rPr>
          <w:rFonts w:hint="eastAsia" w:ascii="宋体" w:hAnsi="宋体" w:cs="宋体"/>
          <w:color w:val="000000" w:themeColor="text1"/>
          <w:sz w:val="24"/>
          <w:highlight w:val="none"/>
          <w:lang w:eastAsia="zh-CN"/>
          <w14:textFill>
            <w14:solidFill>
              <w14:schemeClr w14:val="tx1"/>
            </w14:solidFill>
          </w14:textFill>
        </w:rPr>
        <w:t>1153000.00</w:t>
      </w:r>
      <w:r>
        <w:rPr>
          <w:rFonts w:hint="eastAsia" w:ascii="宋体" w:hAnsi="宋体" w:cs="宋体"/>
          <w:color w:val="000000" w:themeColor="text1"/>
          <w:sz w:val="24"/>
          <w:highlight w:val="none"/>
          <w14:textFill>
            <w14:solidFill>
              <w14:schemeClr w14:val="tx1"/>
            </w14:solidFill>
          </w14:textFill>
        </w:rPr>
        <w:t>元</w:t>
      </w:r>
      <w:r>
        <w:rPr>
          <w:rFonts w:hint="eastAsia" w:ascii="宋体" w:hAnsi="宋体" w:eastAsia="宋体" w:cs="宋体"/>
          <w:bCs/>
          <w:color w:val="000000" w:themeColor="text1"/>
          <w:sz w:val="24"/>
          <w:highlight w:val="none"/>
          <w14:textFill>
            <w14:solidFill>
              <w14:schemeClr w14:val="tx1"/>
            </w14:solidFill>
          </w14:textFill>
        </w:rPr>
        <w:t>；</w:t>
      </w:r>
    </w:p>
    <w:p w14:paraId="08C08417">
      <w:pPr>
        <w:widowControl w:val="0"/>
        <w:overflowPunct/>
        <w:autoSpaceDE w:val="0"/>
        <w:autoSpaceDN w:val="0"/>
        <w:bidi w:val="0"/>
        <w:adjustRightInd w:val="0"/>
        <w:spacing w:line="460" w:lineRule="exact"/>
        <w:ind w:firstLine="480" w:firstLineChars="200"/>
        <w:outlineLvl w:val="9"/>
        <w:rPr>
          <w:rFonts w:hint="eastAsia" w:ascii="宋体" w:hAnsi="宋体" w:eastAsia="宋体" w:cs="宋体"/>
          <w:bCs/>
          <w:color w:val="000000" w:themeColor="text1"/>
          <w:sz w:val="24"/>
          <w:highlight w:val="none"/>
          <w:lang w:val="zh-CN"/>
          <w14:textFill>
            <w14:solidFill>
              <w14:schemeClr w14:val="tx1"/>
            </w14:solidFill>
          </w14:textFill>
        </w:rPr>
      </w:pPr>
      <w:r>
        <w:rPr>
          <w:rFonts w:hint="eastAsia" w:ascii="宋体" w:hAnsi="宋体" w:eastAsia="宋体" w:cs="宋体"/>
          <w:bCs/>
          <w:color w:val="000000" w:themeColor="text1"/>
          <w:sz w:val="24"/>
          <w:highlight w:val="none"/>
          <w:lang w:val="zh-CN"/>
          <w14:textFill>
            <w14:solidFill>
              <w14:schemeClr w14:val="tx1"/>
            </w14:solidFill>
          </w14:textFill>
        </w:rPr>
        <w:t>采购需求：</w:t>
      </w:r>
    </w:p>
    <w:p w14:paraId="09A9A5C4">
      <w:pPr>
        <w:widowControl w:val="0"/>
        <w:overflowPunct/>
        <w:autoSpaceDE w:val="0"/>
        <w:autoSpaceDN w:val="0"/>
        <w:bidi w:val="0"/>
        <w:adjustRightInd w:val="0"/>
        <w:spacing w:line="460" w:lineRule="exact"/>
        <w:ind w:firstLine="480" w:firstLineChars="200"/>
        <w:outlineLvl w:val="9"/>
        <w:rPr>
          <w:rFonts w:hint="eastAsia" w:ascii="宋体" w:hAnsi="宋体" w:eastAsia="宋体" w:cs="宋体"/>
          <w:bCs/>
          <w:color w:val="000000" w:themeColor="text1"/>
          <w:sz w:val="24"/>
          <w:highlight w:val="none"/>
          <w14:textFill>
            <w14:solidFill>
              <w14:schemeClr w14:val="tx1"/>
            </w14:solidFill>
          </w14:textFill>
        </w:rPr>
      </w:pPr>
      <w:r>
        <w:rPr>
          <w:rFonts w:hint="eastAsia" w:ascii="宋体" w:hAnsi="宋体" w:eastAsia="宋体" w:cs="宋体"/>
          <w:bCs/>
          <w:color w:val="000000" w:themeColor="text1"/>
          <w:sz w:val="24"/>
          <w:highlight w:val="none"/>
          <w14:textFill>
            <w14:solidFill>
              <w14:schemeClr w14:val="tx1"/>
            </w14:solidFill>
          </w14:textFill>
        </w:rPr>
        <w:t>（1）标的名称：</w:t>
      </w:r>
      <w:r>
        <w:rPr>
          <w:rFonts w:hint="eastAsia" w:ascii="宋体" w:hAnsi="宋体" w:cs="宋体"/>
          <w:bCs/>
          <w:color w:val="000000" w:themeColor="text1"/>
          <w:sz w:val="24"/>
          <w:highlight w:val="none"/>
          <w:lang w:val="en-US" w:eastAsia="zh-CN"/>
          <w14:textFill>
            <w14:solidFill>
              <w14:schemeClr w14:val="tx1"/>
            </w14:solidFill>
          </w14:textFill>
        </w:rPr>
        <w:t>2025年珲春市中小学护眼灯采购(二次）</w:t>
      </w:r>
      <w:r>
        <w:rPr>
          <w:rFonts w:hint="eastAsia" w:ascii="宋体" w:hAnsi="宋体" w:eastAsia="宋体" w:cs="宋体"/>
          <w:bCs/>
          <w:color w:val="000000" w:themeColor="text1"/>
          <w:sz w:val="24"/>
          <w:highlight w:val="none"/>
          <w14:textFill>
            <w14:solidFill>
              <w14:schemeClr w14:val="tx1"/>
            </w14:solidFill>
          </w14:textFill>
        </w:rPr>
        <w:t>；</w:t>
      </w:r>
    </w:p>
    <w:p w14:paraId="4C7E737F">
      <w:pPr>
        <w:widowControl w:val="0"/>
        <w:overflowPunct/>
        <w:autoSpaceDE w:val="0"/>
        <w:autoSpaceDN w:val="0"/>
        <w:bidi w:val="0"/>
        <w:adjustRightInd w:val="0"/>
        <w:spacing w:line="460" w:lineRule="exact"/>
        <w:ind w:firstLine="480" w:firstLineChars="200"/>
        <w:outlineLvl w:val="9"/>
        <w:rPr>
          <w:rFonts w:hint="eastAsia" w:ascii="宋体" w:hAnsi="宋体" w:eastAsia="宋体" w:cs="宋体"/>
          <w:bCs/>
          <w:color w:val="000000" w:themeColor="text1"/>
          <w:sz w:val="24"/>
          <w:highlight w:val="none"/>
          <w14:textFill>
            <w14:solidFill>
              <w14:schemeClr w14:val="tx1"/>
            </w14:solidFill>
          </w14:textFill>
        </w:rPr>
      </w:pPr>
      <w:r>
        <w:rPr>
          <w:rFonts w:hint="eastAsia" w:ascii="宋体" w:hAnsi="宋体" w:eastAsia="宋体" w:cs="宋体"/>
          <w:bCs/>
          <w:color w:val="000000" w:themeColor="text1"/>
          <w:sz w:val="24"/>
          <w:highlight w:val="none"/>
          <w14:textFill>
            <w14:solidFill>
              <w14:schemeClr w14:val="tx1"/>
            </w14:solidFill>
          </w14:textFill>
        </w:rPr>
        <w:t>（2）数量：1</w:t>
      </w:r>
      <w:r>
        <w:rPr>
          <w:rFonts w:hint="eastAsia" w:ascii="宋体" w:hAnsi="宋体" w:cs="宋体"/>
          <w:bCs/>
          <w:color w:val="000000" w:themeColor="text1"/>
          <w:sz w:val="24"/>
          <w:highlight w:val="none"/>
          <w:lang w:eastAsia="zh-CN"/>
          <w14:textFill>
            <w14:solidFill>
              <w14:schemeClr w14:val="tx1"/>
            </w14:solidFill>
          </w14:textFill>
        </w:rPr>
        <w:t>批</w:t>
      </w:r>
      <w:r>
        <w:rPr>
          <w:rFonts w:hint="eastAsia" w:ascii="宋体" w:hAnsi="宋体" w:eastAsia="宋体" w:cs="宋体"/>
          <w:bCs/>
          <w:color w:val="000000" w:themeColor="text1"/>
          <w:sz w:val="24"/>
          <w:highlight w:val="none"/>
          <w14:textFill>
            <w14:solidFill>
              <w14:schemeClr w14:val="tx1"/>
            </w14:solidFill>
          </w14:textFill>
        </w:rPr>
        <w:t>；</w:t>
      </w:r>
    </w:p>
    <w:p w14:paraId="796BF512">
      <w:pPr>
        <w:widowControl w:val="0"/>
        <w:overflowPunct/>
        <w:autoSpaceDE w:val="0"/>
        <w:autoSpaceDN w:val="0"/>
        <w:bidi w:val="0"/>
        <w:adjustRightInd w:val="0"/>
        <w:spacing w:line="460" w:lineRule="exact"/>
        <w:ind w:firstLine="480" w:firstLineChars="200"/>
        <w:outlineLvl w:val="9"/>
        <w:rPr>
          <w:rFonts w:hint="eastAsia" w:ascii="宋体" w:hAnsi="宋体" w:eastAsia="宋体" w:cs="宋体"/>
          <w:bCs/>
          <w:color w:val="000000" w:themeColor="text1"/>
          <w:sz w:val="24"/>
          <w:highlight w:val="none"/>
          <w:lang w:eastAsia="zh-CN"/>
          <w14:textFill>
            <w14:solidFill>
              <w14:schemeClr w14:val="tx1"/>
            </w14:solidFill>
          </w14:textFill>
        </w:rPr>
      </w:pPr>
      <w:r>
        <w:rPr>
          <w:rFonts w:hint="eastAsia" w:ascii="宋体" w:hAnsi="宋体" w:eastAsia="宋体" w:cs="宋体"/>
          <w:bCs/>
          <w:color w:val="000000" w:themeColor="text1"/>
          <w:sz w:val="24"/>
          <w:highlight w:val="none"/>
          <w14:textFill>
            <w14:solidFill>
              <w14:schemeClr w14:val="tx1"/>
            </w14:solidFill>
          </w14:textFill>
        </w:rPr>
        <w:t>（3）简要技术需求：</w:t>
      </w:r>
      <w:r>
        <w:rPr>
          <w:rFonts w:hint="eastAsia" w:ascii="宋体" w:hAnsi="宋体" w:eastAsia="宋体" w:cs="宋体"/>
          <w:bCs/>
          <w:color w:val="000000" w:themeColor="text1"/>
          <w:sz w:val="24"/>
          <w:highlight w:val="none"/>
          <w:lang w:eastAsia="zh-CN"/>
          <w14:textFill>
            <w14:solidFill>
              <w14:schemeClr w14:val="tx1"/>
            </w14:solidFill>
          </w14:textFill>
        </w:rPr>
        <w:t>详细参数详见磋商文件</w:t>
      </w:r>
      <w:r>
        <w:rPr>
          <w:rFonts w:hint="eastAsia" w:ascii="宋体" w:hAnsi="宋体" w:cs="宋体"/>
          <w:bCs/>
          <w:color w:val="000000" w:themeColor="text1"/>
          <w:sz w:val="24"/>
          <w:highlight w:val="none"/>
          <w:lang w:eastAsia="zh-CN"/>
          <w14:textFill>
            <w14:solidFill>
              <w14:schemeClr w14:val="tx1"/>
            </w14:solidFill>
          </w14:textFill>
        </w:rPr>
        <w:t>；</w:t>
      </w:r>
    </w:p>
    <w:p w14:paraId="3C71C98E">
      <w:pPr>
        <w:widowControl w:val="0"/>
        <w:overflowPunct/>
        <w:autoSpaceDE w:val="0"/>
        <w:autoSpaceDN w:val="0"/>
        <w:bidi w:val="0"/>
        <w:adjustRightInd w:val="0"/>
        <w:spacing w:line="460" w:lineRule="exact"/>
        <w:ind w:firstLine="480" w:firstLineChars="200"/>
        <w:outlineLvl w:val="9"/>
        <w:rPr>
          <w:rFonts w:hint="eastAsia" w:ascii="宋体" w:hAnsi="宋体" w:eastAsia="宋体" w:cs="宋体"/>
          <w:bCs/>
          <w:color w:val="000000" w:themeColor="text1"/>
          <w:sz w:val="24"/>
          <w:highlight w:val="none"/>
          <w14:textFill>
            <w14:solidFill>
              <w14:schemeClr w14:val="tx1"/>
            </w14:solidFill>
          </w14:textFill>
        </w:rPr>
      </w:pPr>
      <w:r>
        <w:rPr>
          <w:rFonts w:hint="eastAsia" w:ascii="宋体" w:hAnsi="宋体" w:eastAsia="宋体" w:cs="宋体"/>
          <w:bCs/>
          <w:color w:val="000000" w:themeColor="text1"/>
          <w:sz w:val="24"/>
          <w:highlight w:val="none"/>
          <w14:textFill>
            <w14:solidFill>
              <w14:schemeClr w14:val="tx1"/>
            </w14:solidFill>
          </w14:textFill>
        </w:rPr>
        <w:t>（4）供货地点：珲春市教育技术装备中心指定学校；</w:t>
      </w:r>
    </w:p>
    <w:p w14:paraId="755E9248">
      <w:pPr>
        <w:widowControl w:val="0"/>
        <w:overflowPunct/>
        <w:autoSpaceDE w:val="0"/>
        <w:autoSpaceDN w:val="0"/>
        <w:bidi w:val="0"/>
        <w:adjustRightInd w:val="0"/>
        <w:spacing w:line="460" w:lineRule="exact"/>
        <w:ind w:firstLine="480" w:firstLineChars="200"/>
        <w:outlineLvl w:val="9"/>
        <w:rPr>
          <w:rFonts w:hint="eastAsia" w:ascii="宋体" w:hAnsi="宋体" w:eastAsia="宋体" w:cs="宋体"/>
          <w:bCs/>
          <w:color w:val="000000" w:themeColor="text1"/>
          <w:sz w:val="24"/>
          <w:highlight w:val="none"/>
          <w14:textFill>
            <w14:solidFill>
              <w14:schemeClr w14:val="tx1"/>
            </w14:solidFill>
          </w14:textFill>
        </w:rPr>
      </w:pPr>
      <w:r>
        <w:rPr>
          <w:rFonts w:hint="eastAsia" w:ascii="宋体" w:hAnsi="宋体" w:eastAsia="宋体" w:cs="宋体"/>
          <w:bCs/>
          <w:color w:val="000000" w:themeColor="text1"/>
          <w:sz w:val="24"/>
          <w:highlight w:val="none"/>
          <w14:textFill>
            <w14:solidFill>
              <w14:schemeClr w14:val="tx1"/>
            </w14:solidFill>
          </w14:textFill>
        </w:rPr>
        <w:t>（5）质量标准：符合现行国家、行业、地方或者其他相关标准的合格要求；</w:t>
      </w:r>
    </w:p>
    <w:p w14:paraId="32807DA4">
      <w:pPr>
        <w:widowControl w:val="0"/>
        <w:overflowPunct/>
        <w:autoSpaceDE w:val="0"/>
        <w:autoSpaceDN w:val="0"/>
        <w:bidi w:val="0"/>
        <w:adjustRightInd w:val="0"/>
        <w:spacing w:line="460" w:lineRule="exact"/>
        <w:ind w:firstLine="480" w:firstLineChars="200"/>
        <w:outlineLvl w:val="9"/>
        <w:rPr>
          <w:rFonts w:hint="eastAsia" w:ascii="宋体" w:hAnsi="宋体" w:eastAsia="宋体" w:cs="宋体"/>
          <w:bCs/>
          <w:color w:val="000000" w:themeColor="text1"/>
          <w:sz w:val="24"/>
          <w:highlight w:val="none"/>
          <w:lang w:val="zh-CN"/>
          <w14:textFill>
            <w14:solidFill>
              <w14:schemeClr w14:val="tx1"/>
            </w14:solidFill>
          </w14:textFill>
        </w:rPr>
      </w:pPr>
      <w:r>
        <w:rPr>
          <w:rFonts w:hint="eastAsia" w:ascii="宋体" w:hAnsi="宋体" w:cs="宋体"/>
          <w:bCs/>
          <w:color w:val="000000" w:themeColor="text1"/>
          <w:sz w:val="24"/>
          <w:highlight w:val="none"/>
          <w:lang w:eastAsia="zh-CN"/>
          <w14:textFill>
            <w14:solidFill>
              <w14:schemeClr w14:val="tx1"/>
            </w14:solidFill>
          </w14:textFill>
        </w:rPr>
        <w:t>（</w:t>
      </w:r>
      <w:r>
        <w:rPr>
          <w:rFonts w:hint="eastAsia" w:ascii="宋体" w:hAnsi="宋体" w:cs="宋体"/>
          <w:bCs/>
          <w:color w:val="000000" w:themeColor="text1"/>
          <w:sz w:val="24"/>
          <w:highlight w:val="none"/>
          <w:lang w:val="en-US" w:eastAsia="zh-CN"/>
          <w14:textFill>
            <w14:solidFill>
              <w14:schemeClr w14:val="tx1"/>
            </w14:solidFill>
          </w14:textFill>
        </w:rPr>
        <w:t>6</w:t>
      </w:r>
      <w:r>
        <w:rPr>
          <w:rFonts w:hint="eastAsia" w:ascii="宋体" w:hAnsi="宋体" w:cs="宋体"/>
          <w:bCs/>
          <w:color w:val="000000" w:themeColor="text1"/>
          <w:sz w:val="24"/>
          <w:highlight w:val="none"/>
          <w:lang w:eastAsia="zh-CN"/>
          <w14:textFill>
            <w14:solidFill>
              <w14:schemeClr w14:val="tx1"/>
            </w14:solidFill>
          </w14:textFill>
        </w:rPr>
        <w:t>）</w:t>
      </w:r>
      <w:r>
        <w:rPr>
          <w:rFonts w:hint="eastAsia" w:ascii="宋体" w:hAnsi="宋体" w:eastAsia="宋体" w:cs="宋体"/>
          <w:bCs/>
          <w:color w:val="000000" w:themeColor="text1"/>
          <w:sz w:val="24"/>
          <w:highlight w:val="none"/>
          <w14:textFill>
            <w14:solidFill>
              <w14:schemeClr w14:val="tx1"/>
            </w14:solidFill>
          </w14:textFill>
        </w:rPr>
        <w:t>合同履行期限：</w:t>
      </w:r>
      <w:r>
        <w:rPr>
          <w:rFonts w:hint="eastAsia" w:ascii="宋体" w:hAnsi="宋体" w:cs="宋体"/>
          <w:bCs/>
          <w:color w:val="000000" w:themeColor="text1"/>
          <w:sz w:val="24"/>
          <w:highlight w:val="none"/>
          <w:lang w:eastAsia="zh-CN"/>
          <w14:textFill>
            <w14:solidFill>
              <w14:schemeClr w14:val="tx1"/>
            </w14:solidFill>
          </w14:textFill>
        </w:rPr>
        <w:t>自合同签订之日起</w:t>
      </w:r>
      <w:r>
        <w:rPr>
          <w:rFonts w:hint="eastAsia" w:ascii="宋体" w:hAnsi="宋体" w:cs="宋体"/>
          <w:bCs/>
          <w:color w:val="000000" w:themeColor="text1"/>
          <w:sz w:val="24"/>
          <w:highlight w:val="none"/>
          <w:lang w:val="en-US" w:eastAsia="zh-CN"/>
          <w14:textFill>
            <w14:solidFill>
              <w14:schemeClr w14:val="tx1"/>
            </w14:solidFill>
          </w14:textFill>
        </w:rPr>
        <w:t>45</w:t>
      </w:r>
      <w:r>
        <w:rPr>
          <w:rFonts w:hint="eastAsia" w:ascii="宋体" w:hAnsi="宋体" w:cs="宋体"/>
          <w:bCs/>
          <w:color w:val="000000" w:themeColor="text1"/>
          <w:sz w:val="24"/>
          <w:highlight w:val="none"/>
          <w:lang w:eastAsia="zh-CN"/>
          <w14:textFill>
            <w14:solidFill>
              <w14:schemeClr w14:val="tx1"/>
            </w14:solidFill>
          </w14:textFill>
        </w:rPr>
        <w:t>日内安装调试完毕交付使用并验收合格（具体时间以实际合同为准）</w:t>
      </w:r>
      <w:r>
        <w:rPr>
          <w:rFonts w:hint="eastAsia" w:ascii="宋体" w:hAnsi="宋体" w:cs="宋体"/>
          <w:bCs/>
          <w:color w:val="000000" w:themeColor="text1"/>
          <w:sz w:val="24"/>
          <w:highlight w:val="none"/>
          <w14:textFill>
            <w14:solidFill>
              <w14:schemeClr w14:val="tx1"/>
            </w14:solidFill>
          </w14:textFill>
        </w:rPr>
        <w:t>；</w:t>
      </w:r>
    </w:p>
    <w:p w14:paraId="69F00AC8">
      <w:pPr>
        <w:widowControl w:val="0"/>
        <w:overflowPunct/>
        <w:autoSpaceDE w:val="0"/>
        <w:autoSpaceDN w:val="0"/>
        <w:bidi w:val="0"/>
        <w:adjustRightInd w:val="0"/>
        <w:spacing w:line="460" w:lineRule="exact"/>
        <w:ind w:firstLine="480" w:firstLineChars="200"/>
        <w:outlineLvl w:val="9"/>
        <w:rPr>
          <w:rFonts w:hint="eastAsia" w:ascii="宋体" w:hAnsi="宋体" w:eastAsia="宋体" w:cs="宋体"/>
          <w:bCs/>
          <w:color w:val="000000" w:themeColor="text1"/>
          <w:sz w:val="24"/>
          <w:highlight w:val="none"/>
          <w:lang w:val="en-US" w:eastAsia="zh-CN"/>
          <w14:textFill>
            <w14:solidFill>
              <w14:schemeClr w14:val="tx1"/>
            </w14:solidFill>
          </w14:textFill>
        </w:rPr>
      </w:pPr>
      <w:r>
        <w:rPr>
          <w:rFonts w:hint="eastAsia" w:ascii="宋体" w:hAnsi="宋体" w:eastAsia="宋体" w:cs="宋体"/>
          <w:bCs/>
          <w:color w:val="000000" w:themeColor="text1"/>
          <w:sz w:val="24"/>
          <w:highlight w:val="none"/>
          <w:lang w:val="en-US" w:eastAsia="zh-CN"/>
          <w14:textFill>
            <w14:solidFill>
              <w14:schemeClr w14:val="tx1"/>
            </w14:solidFill>
          </w14:textFill>
        </w:rPr>
        <w:t>本项目不接受联合体投标。</w:t>
      </w:r>
    </w:p>
    <w:p w14:paraId="32135016">
      <w:pPr>
        <w:widowControl w:val="0"/>
        <w:overflowPunct/>
        <w:autoSpaceDE w:val="0"/>
        <w:autoSpaceDN w:val="0"/>
        <w:bidi w:val="0"/>
        <w:adjustRightInd w:val="0"/>
        <w:spacing w:line="460" w:lineRule="exact"/>
        <w:outlineLvl w:val="9"/>
        <w:rPr>
          <w:rFonts w:ascii="宋体" w:hAnsi="宋体" w:eastAsia="宋体" w:cs="宋体"/>
          <w:b/>
          <w:color w:val="000000" w:themeColor="text1"/>
          <w:sz w:val="24"/>
          <w:highlight w:val="none"/>
          <w14:textFill>
            <w14:solidFill>
              <w14:schemeClr w14:val="tx1"/>
            </w14:solidFill>
          </w14:textFill>
        </w:rPr>
      </w:pPr>
      <w:r>
        <w:rPr>
          <w:rFonts w:hint="eastAsia" w:ascii="宋体" w:hAnsi="宋体" w:eastAsia="宋体" w:cs="宋体"/>
          <w:b/>
          <w:color w:val="000000" w:themeColor="text1"/>
          <w:sz w:val="24"/>
          <w:highlight w:val="none"/>
          <w14:textFill>
            <w14:solidFill>
              <w14:schemeClr w14:val="tx1"/>
            </w14:solidFill>
          </w14:textFill>
        </w:rPr>
        <w:t>二、</w:t>
      </w:r>
      <w:r>
        <w:rPr>
          <w:rFonts w:hint="eastAsia" w:ascii="宋体" w:hAnsi="宋体" w:eastAsia="宋体" w:cs="宋体"/>
          <w:b/>
          <w:color w:val="000000" w:themeColor="text1"/>
          <w:sz w:val="24"/>
          <w:highlight w:val="none"/>
          <w:lang w:val="en-US" w:eastAsia="zh-CN"/>
          <w14:textFill>
            <w14:solidFill>
              <w14:schemeClr w14:val="tx1"/>
            </w14:solidFill>
          </w14:textFill>
        </w:rPr>
        <w:t>申请人的资格要求：</w:t>
      </w:r>
    </w:p>
    <w:p w14:paraId="2673B8EC">
      <w:pPr>
        <w:keepNext w:val="0"/>
        <w:keepLines w:val="0"/>
        <w:pageBreakBefore w:val="0"/>
        <w:widowControl w:val="0"/>
        <w:kinsoku/>
        <w:wordWrap/>
        <w:overflowPunct/>
        <w:topLinePunct w:val="0"/>
        <w:autoSpaceDE w:val="0"/>
        <w:autoSpaceDN w:val="0"/>
        <w:bidi w:val="0"/>
        <w:adjustRightInd w:val="0"/>
        <w:snapToGrid/>
        <w:spacing w:line="460" w:lineRule="exact"/>
        <w:ind w:firstLine="480" w:firstLineChars="200"/>
        <w:textAlignment w:val="auto"/>
        <w:outlineLvl w:val="9"/>
        <w:rPr>
          <w:rFonts w:hint="eastAsia" w:ascii="宋体" w:hAnsi="宋体" w:cs="宋体"/>
          <w:bCs/>
          <w:color w:val="000000" w:themeColor="text1"/>
          <w:sz w:val="24"/>
          <w:highlight w:val="none"/>
          <w:lang w:val="en-US" w:eastAsia="zh-CN"/>
          <w14:textFill>
            <w14:solidFill>
              <w14:schemeClr w14:val="tx1"/>
            </w14:solidFill>
          </w14:textFill>
        </w:rPr>
      </w:pPr>
      <w:r>
        <w:rPr>
          <w:rFonts w:hint="eastAsia" w:ascii="宋体" w:hAnsi="宋体" w:cs="宋体"/>
          <w:bCs/>
          <w:color w:val="000000" w:themeColor="text1"/>
          <w:sz w:val="24"/>
          <w:highlight w:val="none"/>
          <w:lang w:val="en-US" w:eastAsia="zh-CN"/>
          <w14:textFill>
            <w14:solidFill>
              <w14:schemeClr w14:val="tx1"/>
            </w14:solidFill>
          </w14:textFill>
        </w:rPr>
        <w:t>1. 满足《中华人民共和国政府采购法》第二十二条规定；</w:t>
      </w:r>
    </w:p>
    <w:p w14:paraId="1D949549">
      <w:pPr>
        <w:keepNext w:val="0"/>
        <w:keepLines w:val="0"/>
        <w:pageBreakBefore w:val="0"/>
        <w:widowControl w:val="0"/>
        <w:kinsoku/>
        <w:wordWrap/>
        <w:overflowPunct/>
        <w:topLinePunct w:val="0"/>
        <w:autoSpaceDE w:val="0"/>
        <w:autoSpaceDN w:val="0"/>
        <w:bidi w:val="0"/>
        <w:adjustRightInd w:val="0"/>
        <w:snapToGrid/>
        <w:spacing w:line="460" w:lineRule="exact"/>
        <w:ind w:firstLine="480" w:firstLineChars="200"/>
        <w:textAlignment w:val="auto"/>
        <w:outlineLvl w:val="9"/>
        <w:rPr>
          <w:rFonts w:hint="eastAsia" w:ascii="宋体" w:hAnsi="宋体" w:cs="宋体"/>
          <w:bCs/>
          <w:color w:val="000000" w:themeColor="text1"/>
          <w:sz w:val="24"/>
          <w:highlight w:val="none"/>
          <w:lang w:val="en-US" w:eastAsia="zh-CN"/>
          <w14:textFill>
            <w14:solidFill>
              <w14:schemeClr w14:val="tx1"/>
            </w14:solidFill>
          </w14:textFill>
        </w:rPr>
      </w:pPr>
      <w:r>
        <w:rPr>
          <w:rFonts w:hint="eastAsia" w:ascii="宋体" w:hAnsi="宋体" w:cs="宋体"/>
          <w:bCs/>
          <w:color w:val="000000" w:themeColor="text1"/>
          <w:sz w:val="24"/>
          <w:highlight w:val="none"/>
          <w:lang w:val="en-US" w:eastAsia="zh-CN"/>
          <w14:textFill>
            <w14:solidFill>
              <w14:schemeClr w14:val="tx1"/>
            </w14:solidFill>
          </w14:textFill>
        </w:rPr>
        <w:t>2. 落实政府采购政策需满足的资格：本项目不专门面向中小企业采购；</w:t>
      </w:r>
    </w:p>
    <w:p w14:paraId="106364FB">
      <w:pPr>
        <w:keepNext w:val="0"/>
        <w:keepLines w:val="0"/>
        <w:pageBreakBefore w:val="0"/>
        <w:widowControl w:val="0"/>
        <w:kinsoku/>
        <w:wordWrap/>
        <w:overflowPunct/>
        <w:topLinePunct w:val="0"/>
        <w:autoSpaceDE w:val="0"/>
        <w:autoSpaceDN w:val="0"/>
        <w:bidi w:val="0"/>
        <w:adjustRightInd w:val="0"/>
        <w:snapToGrid/>
        <w:spacing w:line="460" w:lineRule="exact"/>
        <w:ind w:firstLine="480" w:firstLineChars="200"/>
        <w:textAlignment w:val="auto"/>
        <w:outlineLvl w:val="9"/>
        <w:rPr>
          <w:rFonts w:hint="eastAsia" w:ascii="宋体" w:hAnsi="宋体" w:cs="宋体"/>
          <w:bCs/>
          <w:color w:val="000000" w:themeColor="text1"/>
          <w:sz w:val="24"/>
          <w:highlight w:val="none"/>
          <w:lang w:val="en-US" w:eastAsia="zh-CN"/>
          <w14:textFill>
            <w14:solidFill>
              <w14:schemeClr w14:val="tx1"/>
            </w14:solidFill>
          </w14:textFill>
        </w:rPr>
      </w:pPr>
      <w:r>
        <w:rPr>
          <w:rFonts w:hint="eastAsia" w:ascii="宋体" w:hAnsi="宋体" w:cs="宋体"/>
          <w:bCs/>
          <w:color w:val="000000" w:themeColor="text1"/>
          <w:sz w:val="24"/>
          <w:highlight w:val="none"/>
          <w:lang w:val="en-US" w:eastAsia="zh-CN"/>
          <w14:textFill>
            <w14:solidFill>
              <w14:schemeClr w14:val="tx1"/>
            </w14:solidFill>
          </w14:textFill>
        </w:rPr>
        <w:t>3 本项目的特定资格要求：</w:t>
      </w:r>
    </w:p>
    <w:p w14:paraId="49812A5C">
      <w:pPr>
        <w:overflowPunct/>
        <w:bidi w:val="0"/>
        <w:spacing w:line="440" w:lineRule="exact"/>
        <w:ind w:firstLine="480" w:firstLineChars="200"/>
        <w:jc w:val="left"/>
        <w:outlineLvl w:val="9"/>
        <w:rPr>
          <w:rFonts w:hint="eastAsia" w:ascii="宋体" w:hAnsi="宋体" w:cs="宋体"/>
          <w:bCs/>
          <w:color w:val="000000" w:themeColor="text1"/>
          <w:sz w:val="24"/>
          <w:highlight w:val="none"/>
          <w:lang w:val="en-US" w:eastAsia="zh-CN"/>
          <w14:textFill>
            <w14:solidFill>
              <w14:schemeClr w14:val="tx1"/>
            </w14:solidFill>
          </w14:textFill>
        </w:rPr>
      </w:pPr>
      <w:r>
        <w:rPr>
          <w:rFonts w:hint="eastAsia" w:ascii="宋体" w:hAnsi="宋体" w:cs="宋体"/>
          <w:bCs/>
          <w:sz w:val="24"/>
          <w:highlight w:val="none"/>
        </w:rPr>
        <w:t>3.1本次招标要求供应商须具有独立承担民事责任的能力，具有有效的营业执照，供应商应具有履行合同所必须的设备和专业能力。</w:t>
      </w:r>
    </w:p>
    <w:p w14:paraId="17CEA292">
      <w:pPr>
        <w:keepNext w:val="0"/>
        <w:keepLines w:val="0"/>
        <w:pageBreakBefore w:val="0"/>
        <w:widowControl w:val="0"/>
        <w:kinsoku/>
        <w:wordWrap/>
        <w:overflowPunct/>
        <w:topLinePunct w:val="0"/>
        <w:autoSpaceDE w:val="0"/>
        <w:autoSpaceDN w:val="0"/>
        <w:bidi w:val="0"/>
        <w:adjustRightInd w:val="0"/>
        <w:snapToGrid/>
        <w:spacing w:line="460" w:lineRule="exact"/>
        <w:ind w:firstLine="480" w:firstLineChars="200"/>
        <w:textAlignment w:val="auto"/>
        <w:outlineLvl w:val="9"/>
        <w:rPr>
          <w:rFonts w:hint="eastAsia" w:ascii="宋体" w:hAnsi="宋体" w:cs="宋体"/>
          <w:bCs/>
          <w:color w:val="000000" w:themeColor="text1"/>
          <w:sz w:val="24"/>
          <w:highlight w:val="none"/>
          <w:lang w:val="en-US" w:eastAsia="zh-CN"/>
          <w14:textFill>
            <w14:solidFill>
              <w14:schemeClr w14:val="tx1"/>
            </w14:solidFill>
          </w14:textFill>
        </w:rPr>
      </w:pPr>
      <w:r>
        <w:rPr>
          <w:rFonts w:hint="eastAsia" w:ascii="宋体" w:hAnsi="宋体" w:cs="宋体"/>
          <w:bCs/>
          <w:color w:val="000000" w:themeColor="text1"/>
          <w:sz w:val="24"/>
          <w:highlight w:val="none"/>
          <w:lang w:val="en-US" w:eastAsia="zh-CN"/>
          <w14:textFill>
            <w14:solidFill>
              <w14:schemeClr w14:val="tx1"/>
            </w14:solidFill>
          </w14:textFill>
        </w:rPr>
        <w:t>3.2供应商参加采购活动应当提交反映其财务状况、依法缴纳税收和社保保障资金情况的资格条件承诺函。</w:t>
      </w:r>
    </w:p>
    <w:p w14:paraId="07018DA3">
      <w:pPr>
        <w:keepNext w:val="0"/>
        <w:keepLines w:val="0"/>
        <w:pageBreakBefore w:val="0"/>
        <w:widowControl w:val="0"/>
        <w:kinsoku/>
        <w:wordWrap/>
        <w:overflowPunct/>
        <w:topLinePunct w:val="0"/>
        <w:autoSpaceDE w:val="0"/>
        <w:autoSpaceDN w:val="0"/>
        <w:bidi w:val="0"/>
        <w:adjustRightInd w:val="0"/>
        <w:snapToGrid/>
        <w:spacing w:line="460" w:lineRule="exact"/>
        <w:ind w:firstLine="480" w:firstLineChars="200"/>
        <w:textAlignment w:val="auto"/>
        <w:outlineLvl w:val="9"/>
        <w:rPr>
          <w:rFonts w:hint="eastAsia" w:ascii="宋体" w:hAnsi="宋体" w:cs="宋体"/>
          <w:bCs/>
          <w:color w:val="000000" w:themeColor="text1"/>
          <w:sz w:val="24"/>
          <w:highlight w:val="none"/>
          <w:lang w:val="en-US" w:eastAsia="zh-CN"/>
          <w14:textFill>
            <w14:solidFill>
              <w14:schemeClr w14:val="tx1"/>
            </w14:solidFill>
          </w14:textFill>
        </w:rPr>
      </w:pPr>
      <w:r>
        <w:rPr>
          <w:rFonts w:hint="eastAsia" w:ascii="宋体" w:hAnsi="宋体" w:cs="宋体"/>
          <w:bCs/>
          <w:color w:val="000000" w:themeColor="text1"/>
          <w:sz w:val="24"/>
          <w:highlight w:val="none"/>
          <w:lang w:val="en-US" w:eastAsia="zh-CN"/>
          <w14:textFill>
            <w14:solidFill>
              <w14:schemeClr w14:val="tx1"/>
            </w14:solidFill>
          </w14:textFill>
        </w:rPr>
        <w:t>3.3信誉要求：</w:t>
      </w:r>
    </w:p>
    <w:p w14:paraId="541D99A3">
      <w:pPr>
        <w:keepNext w:val="0"/>
        <w:keepLines w:val="0"/>
        <w:pageBreakBefore w:val="0"/>
        <w:widowControl w:val="0"/>
        <w:kinsoku/>
        <w:wordWrap/>
        <w:overflowPunct/>
        <w:topLinePunct w:val="0"/>
        <w:autoSpaceDE w:val="0"/>
        <w:autoSpaceDN w:val="0"/>
        <w:bidi w:val="0"/>
        <w:adjustRightInd w:val="0"/>
        <w:snapToGrid/>
        <w:spacing w:line="460" w:lineRule="exact"/>
        <w:ind w:firstLine="480" w:firstLineChars="200"/>
        <w:textAlignment w:val="auto"/>
        <w:outlineLvl w:val="9"/>
        <w:rPr>
          <w:rFonts w:hint="eastAsia" w:ascii="宋体" w:hAnsi="宋体" w:cs="宋体"/>
          <w:bCs/>
          <w:color w:val="000000" w:themeColor="text1"/>
          <w:sz w:val="24"/>
          <w:highlight w:val="none"/>
          <w:lang w:val="en-US" w:eastAsia="zh-CN"/>
          <w14:textFill>
            <w14:solidFill>
              <w14:schemeClr w14:val="tx1"/>
            </w14:solidFill>
          </w14:textFill>
        </w:rPr>
      </w:pPr>
      <w:r>
        <w:rPr>
          <w:rFonts w:hint="eastAsia" w:ascii="宋体" w:hAnsi="宋体" w:cs="宋体"/>
          <w:bCs/>
          <w:color w:val="000000" w:themeColor="text1"/>
          <w:sz w:val="24"/>
          <w:highlight w:val="none"/>
          <w:lang w:val="en-US" w:eastAsia="zh-CN"/>
          <w14:textFill>
            <w14:solidFill>
              <w14:schemeClr w14:val="tx1"/>
            </w14:solidFill>
          </w14:textFill>
        </w:rPr>
        <w:t>（1）供应商参加政府采购活动近3年内（2022年至今）在经营活动中没有重大违法记录。</w:t>
      </w:r>
    </w:p>
    <w:p w14:paraId="1A3FB724">
      <w:pPr>
        <w:keepNext w:val="0"/>
        <w:keepLines w:val="0"/>
        <w:pageBreakBefore w:val="0"/>
        <w:widowControl w:val="0"/>
        <w:kinsoku/>
        <w:wordWrap/>
        <w:overflowPunct/>
        <w:topLinePunct w:val="0"/>
        <w:autoSpaceDE w:val="0"/>
        <w:autoSpaceDN w:val="0"/>
        <w:bidi w:val="0"/>
        <w:adjustRightInd w:val="0"/>
        <w:snapToGrid/>
        <w:spacing w:line="460" w:lineRule="exact"/>
        <w:ind w:firstLine="480" w:firstLineChars="200"/>
        <w:textAlignment w:val="auto"/>
        <w:outlineLvl w:val="9"/>
        <w:rPr>
          <w:rFonts w:hint="eastAsia" w:ascii="宋体" w:hAnsi="宋体" w:cs="宋体"/>
          <w:bCs/>
          <w:color w:val="000000" w:themeColor="text1"/>
          <w:sz w:val="24"/>
          <w:highlight w:val="none"/>
          <w:lang w:val="en-US" w:eastAsia="zh-CN"/>
          <w14:textFill>
            <w14:solidFill>
              <w14:schemeClr w14:val="tx1"/>
            </w14:solidFill>
          </w14:textFill>
        </w:rPr>
      </w:pPr>
      <w:r>
        <w:rPr>
          <w:rFonts w:hint="eastAsia" w:ascii="宋体" w:hAnsi="宋体" w:cs="宋体"/>
          <w:bCs/>
          <w:color w:val="000000" w:themeColor="text1"/>
          <w:sz w:val="24"/>
          <w:highlight w:val="none"/>
          <w:lang w:val="en-US" w:eastAsia="zh-CN"/>
          <w14:textFill>
            <w14:solidFill>
              <w14:schemeClr w14:val="tx1"/>
            </w14:solidFill>
          </w14:textFill>
        </w:rPr>
        <w:t>（2）拒绝列入政府取消投标资格记录期间的企业或个人投标。</w:t>
      </w:r>
    </w:p>
    <w:p w14:paraId="6C1CB2F9">
      <w:pPr>
        <w:keepNext w:val="0"/>
        <w:keepLines w:val="0"/>
        <w:pageBreakBefore w:val="0"/>
        <w:widowControl w:val="0"/>
        <w:kinsoku/>
        <w:wordWrap/>
        <w:overflowPunct/>
        <w:topLinePunct w:val="0"/>
        <w:autoSpaceDE w:val="0"/>
        <w:autoSpaceDN w:val="0"/>
        <w:bidi w:val="0"/>
        <w:adjustRightInd w:val="0"/>
        <w:snapToGrid/>
        <w:spacing w:line="460" w:lineRule="exact"/>
        <w:ind w:firstLine="480" w:firstLineChars="200"/>
        <w:textAlignment w:val="auto"/>
        <w:outlineLvl w:val="9"/>
        <w:rPr>
          <w:rFonts w:hint="eastAsia" w:ascii="宋体" w:hAnsi="宋体" w:cs="宋体"/>
          <w:bCs/>
          <w:color w:val="000000" w:themeColor="text1"/>
          <w:sz w:val="24"/>
          <w:highlight w:val="none"/>
          <w:lang w:val="en-US" w:eastAsia="zh-CN"/>
          <w14:textFill>
            <w14:solidFill>
              <w14:schemeClr w14:val="tx1"/>
            </w14:solidFill>
          </w14:textFill>
        </w:rPr>
      </w:pPr>
      <w:r>
        <w:rPr>
          <w:rFonts w:hint="eastAsia" w:ascii="宋体" w:hAnsi="宋体" w:cs="宋体"/>
          <w:bCs/>
          <w:color w:val="000000" w:themeColor="text1"/>
          <w:sz w:val="24"/>
          <w:highlight w:val="none"/>
          <w:lang w:val="en-US" w:eastAsia="zh-CN"/>
          <w14:textFill>
            <w14:solidFill>
              <w14:schemeClr w14:val="tx1"/>
            </w14:solidFill>
          </w14:textFill>
        </w:rPr>
        <w:t>（3）未被列入“信用中国”网站(www.creditchina.gov.cn)、失信被执行人、企业经营异常名录、重大税收违法失信主体；</w:t>
      </w:r>
    </w:p>
    <w:p w14:paraId="643CFBF5">
      <w:pPr>
        <w:keepNext w:val="0"/>
        <w:keepLines w:val="0"/>
        <w:pageBreakBefore w:val="0"/>
        <w:widowControl w:val="0"/>
        <w:kinsoku/>
        <w:wordWrap/>
        <w:overflowPunct/>
        <w:topLinePunct w:val="0"/>
        <w:autoSpaceDE w:val="0"/>
        <w:autoSpaceDN w:val="0"/>
        <w:bidi w:val="0"/>
        <w:adjustRightInd w:val="0"/>
        <w:snapToGrid/>
        <w:spacing w:line="460" w:lineRule="exact"/>
        <w:ind w:firstLine="480" w:firstLineChars="200"/>
        <w:textAlignment w:val="auto"/>
        <w:outlineLvl w:val="9"/>
        <w:rPr>
          <w:rFonts w:hint="eastAsia" w:ascii="宋体" w:hAnsi="宋体" w:cs="宋体"/>
          <w:bCs/>
          <w:color w:val="000000" w:themeColor="text1"/>
          <w:sz w:val="24"/>
          <w:highlight w:val="none"/>
          <w:lang w:val="en-US" w:eastAsia="zh-CN"/>
          <w14:textFill>
            <w14:solidFill>
              <w14:schemeClr w14:val="tx1"/>
            </w14:solidFill>
          </w14:textFill>
        </w:rPr>
      </w:pPr>
      <w:r>
        <w:rPr>
          <w:rFonts w:hint="eastAsia" w:ascii="宋体" w:hAnsi="宋体" w:cs="宋体"/>
          <w:bCs/>
          <w:color w:val="000000" w:themeColor="text1"/>
          <w:sz w:val="24"/>
          <w:highlight w:val="none"/>
          <w:lang w:val="en-US" w:eastAsia="zh-CN"/>
          <w14:textFill>
            <w14:solidFill>
              <w14:schemeClr w14:val="tx1"/>
            </w14:solidFill>
          </w14:textFill>
        </w:rPr>
        <w:t>（4）未被工商行政管理机关在全国企业信用信息公示系统中列入严重违法失信企业名单；</w:t>
      </w:r>
    </w:p>
    <w:p w14:paraId="3AD58987">
      <w:pPr>
        <w:keepNext w:val="0"/>
        <w:keepLines w:val="0"/>
        <w:pageBreakBefore w:val="0"/>
        <w:widowControl w:val="0"/>
        <w:kinsoku/>
        <w:wordWrap/>
        <w:overflowPunct/>
        <w:topLinePunct w:val="0"/>
        <w:autoSpaceDE w:val="0"/>
        <w:autoSpaceDN w:val="0"/>
        <w:bidi w:val="0"/>
        <w:adjustRightInd w:val="0"/>
        <w:snapToGrid/>
        <w:spacing w:line="460" w:lineRule="exact"/>
        <w:ind w:firstLine="480" w:firstLineChars="200"/>
        <w:textAlignment w:val="auto"/>
        <w:outlineLvl w:val="9"/>
        <w:rPr>
          <w:rFonts w:hint="eastAsia" w:ascii="宋体" w:hAnsi="宋体" w:cs="宋体"/>
          <w:bCs/>
          <w:color w:val="000000" w:themeColor="text1"/>
          <w:sz w:val="24"/>
          <w:highlight w:val="none"/>
          <w:lang w:val="en-US" w:eastAsia="zh-CN"/>
          <w14:textFill>
            <w14:solidFill>
              <w14:schemeClr w14:val="tx1"/>
            </w14:solidFill>
          </w14:textFill>
        </w:rPr>
      </w:pPr>
      <w:r>
        <w:rPr>
          <w:rFonts w:hint="eastAsia" w:ascii="宋体" w:hAnsi="宋体" w:cs="宋体"/>
          <w:bCs/>
          <w:color w:val="000000" w:themeColor="text1"/>
          <w:sz w:val="24"/>
          <w:highlight w:val="none"/>
          <w:lang w:val="en-US" w:eastAsia="zh-CN"/>
          <w14:textFill>
            <w14:solidFill>
              <w14:schemeClr w14:val="tx1"/>
            </w14:solidFill>
          </w14:textFill>
        </w:rPr>
        <w:t>（5）未被列入“中国政府采购网”(www.ccgp.gov.cn)政府采购严重违法失信行为记录名单的供应商；</w:t>
      </w:r>
    </w:p>
    <w:p w14:paraId="766F0259">
      <w:pPr>
        <w:keepNext w:val="0"/>
        <w:keepLines w:val="0"/>
        <w:pageBreakBefore w:val="0"/>
        <w:widowControl w:val="0"/>
        <w:kinsoku/>
        <w:wordWrap/>
        <w:overflowPunct/>
        <w:topLinePunct w:val="0"/>
        <w:autoSpaceDE w:val="0"/>
        <w:autoSpaceDN w:val="0"/>
        <w:bidi w:val="0"/>
        <w:adjustRightInd w:val="0"/>
        <w:snapToGrid/>
        <w:spacing w:line="460" w:lineRule="exact"/>
        <w:ind w:firstLine="480" w:firstLineChars="200"/>
        <w:textAlignment w:val="auto"/>
        <w:outlineLvl w:val="9"/>
        <w:rPr>
          <w:rFonts w:hint="eastAsia" w:ascii="宋体" w:hAnsi="宋体" w:cs="宋体"/>
          <w:bCs/>
          <w:color w:val="000000" w:themeColor="text1"/>
          <w:sz w:val="24"/>
          <w:highlight w:val="none"/>
          <w:lang w:val="en-US" w:eastAsia="zh-CN"/>
          <w14:textFill>
            <w14:solidFill>
              <w14:schemeClr w14:val="tx1"/>
            </w14:solidFill>
          </w14:textFill>
        </w:rPr>
      </w:pPr>
      <w:r>
        <w:rPr>
          <w:rFonts w:hint="eastAsia" w:ascii="宋体" w:hAnsi="宋体" w:cs="宋体"/>
          <w:bCs/>
          <w:color w:val="000000" w:themeColor="text1"/>
          <w:sz w:val="24"/>
          <w:highlight w:val="none"/>
          <w:lang w:val="en-US" w:eastAsia="zh-CN"/>
          <w14:textFill>
            <w14:solidFill>
              <w14:schemeClr w14:val="tx1"/>
            </w14:solidFill>
          </w14:textFill>
        </w:rPr>
        <w:t>（6）“中国裁判文书网”（wenshu.court.gov.cn/）查询企业及法定代表人无行贿犯罪记录证明。</w:t>
      </w:r>
    </w:p>
    <w:p w14:paraId="6D4B73FA">
      <w:pPr>
        <w:keepNext w:val="0"/>
        <w:keepLines w:val="0"/>
        <w:pageBreakBefore w:val="0"/>
        <w:widowControl w:val="0"/>
        <w:kinsoku/>
        <w:wordWrap/>
        <w:overflowPunct/>
        <w:topLinePunct w:val="0"/>
        <w:autoSpaceDE w:val="0"/>
        <w:autoSpaceDN w:val="0"/>
        <w:bidi w:val="0"/>
        <w:adjustRightInd w:val="0"/>
        <w:snapToGrid/>
        <w:spacing w:line="460" w:lineRule="exact"/>
        <w:ind w:firstLine="480" w:firstLineChars="200"/>
        <w:textAlignment w:val="auto"/>
        <w:outlineLvl w:val="9"/>
        <w:rPr>
          <w:rFonts w:hint="eastAsia" w:ascii="宋体" w:hAnsi="宋体" w:cs="宋体"/>
          <w:bCs/>
          <w:color w:val="000000" w:themeColor="text1"/>
          <w:sz w:val="24"/>
          <w:highlight w:val="none"/>
          <w:lang w:val="en-US" w:eastAsia="zh-CN"/>
          <w14:textFill>
            <w14:solidFill>
              <w14:schemeClr w14:val="tx1"/>
            </w14:solidFill>
          </w14:textFill>
        </w:rPr>
      </w:pPr>
      <w:r>
        <w:rPr>
          <w:rFonts w:hint="eastAsia" w:ascii="宋体" w:hAnsi="宋体" w:cs="宋体"/>
          <w:bCs/>
          <w:color w:val="000000" w:themeColor="text1"/>
          <w:sz w:val="24"/>
          <w:highlight w:val="none"/>
          <w:lang w:val="en-US" w:eastAsia="zh-CN"/>
          <w14:textFill>
            <w14:solidFill>
              <w14:schemeClr w14:val="tx1"/>
            </w14:solidFill>
          </w14:textFill>
        </w:rPr>
        <w:t>3.4采购人存在利害关系可能影响招标公正性的法人、其他组织或者个人，不得参加投标；具有投资参股关系的关联企业，或具有直接管理和被管理关系的母子公司，或同一母子公司的子公司，或法定代表人为同一人的两个及两个以上法人不得同时对同一标段投标；单位负责人同一人或者存在控股、管理关系的不同单位，不得参加同一合同项下的政府采购活动。除单一来源采购项目外，为采购项目提供整体设计、规范预算编制的供应商，不得再参加该采购项目的其他采购活动；</w:t>
      </w:r>
    </w:p>
    <w:p w14:paraId="1FF9AE9E">
      <w:pPr>
        <w:widowControl w:val="0"/>
        <w:overflowPunct/>
        <w:autoSpaceDE w:val="0"/>
        <w:autoSpaceDN w:val="0"/>
        <w:bidi w:val="0"/>
        <w:adjustRightInd w:val="0"/>
        <w:spacing w:line="460" w:lineRule="exact"/>
        <w:outlineLvl w:val="9"/>
        <w:rPr>
          <w:rFonts w:hint="eastAsia" w:ascii="宋体" w:hAnsi="宋体" w:eastAsia="宋体" w:cs="宋体"/>
          <w:b/>
          <w:color w:val="000000" w:themeColor="text1"/>
          <w:sz w:val="24"/>
          <w:highlight w:val="none"/>
          <w14:textFill>
            <w14:solidFill>
              <w14:schemeClr w14:val="tx1"/>
            </w14:solidFill>
          </w14:textFill>
        </w:rPr>
      </w:pPr>
      <w:r>
        <w:rPr>
          <w:rFonts w:hint="eastAsia" w:ascii="宋体" w:hAnsi="宋体" w:eastAsia="宋体" w:cs="宋体"/>
          <w:b/>
          <w:color w:val="000000" w:themeColor="text1"/>
          <w:sz w:val="24"/>
          <w:highlight w:val="none"/>
          <w14:textFill>
            <w14:solidFill>
              <w14:schemeClr w14:val="tx1"/>
            </w14:solidFill>
          </w14:textFill>
        </w:rPr>
        <w:t>三、获取</w:t>
      </w:r>
      <w:r>
        <w:rPr>
          <w:rFonts w:hint="eastAsia" w:ascii="宋体" w:hAnsi="宋体" w:eastAsia="宋体" w:cs="宋体"/>
          <w:b/>
          <w:color w:val="000000" w:themeColor="text1"/>
          <w:sz w:val="24"/>
          <w:highlight w:val="none"/>
          <w:lang w:val="en-US" w:eastAsia="zh-CN"/>
          <w14:textFill>
            <w14:solidFill>
              <w14:schemeClr w14:val="tx1"/>
            </w14:solidFill>
          </w14:textFill>
        </w:rPr>
        <w:t>磋商</w:t>
      </w:r>
      <w:r>
        <w:rPr>
          <w:rFonts w:hint="eastAsia" w:ascii="宋体" w:hAnsi="宋体" w:eastAsia="宋体" w:cs="宋体"/>
          <w:b/>
          <w:color w:val="000000" w:themeColor="text1"/>
          <w:sz w:val="24"/>
          <w:highlight w:val="none"/>
          <w14:textFill>
            <w14:solidFill>
              <w14:schemeClr w14:val="tx1"/>
            </w14:solidFill>
          </w14:textFill>
        </w:rPr>
        <w:t>文件</w:t>
      </w:r>
    </w:p>
    <w:p w14:paraId="2713F112">
      <w:pPr>
        <w:widowControl w:val="0"/>
        <w:overflowPunct/>
        <w:autoSpaceDE w:val="0"/>
        <w:autoSpaceDN w:val="0"/>
        <w:bidi w:val="0"/>
        <w:adjustRightInd w:val="0"/>
        <w:spacing w:line="460" w:lineRule="exact"/>
        <w:ind w:firstLine="480" w:firstLineChars="200"/>
        <w:outlineLvl w:val="9"/>
        <w:rPr>
          <w:rFonts w:hint="eastAsia" w:ascii="宋体" w:hAnsi="宋体" w:eastAsia="宋体" w:cs="宋体"/>
          <w:bCs/>
          <w:color w:val="000000" w:themeColor="text1"/>
          <w:sz w:val="24"/>
          <w:highlight w:val="none"/>
          <w:lang w:eastAsia="zh-CN"/>
          <w14:textFill>
            <w14:solidFill>
              <w14:schemeClr w14:val="tx1"/>
            </w14:solidFill>
          </w14:textFill>
        </w:rPr>
      </w:pPr>
      <w:r>
        <w:rPr>
          <w:rFonts w:hint="eastAsia" w:ascii="宋体" w:hAnsi="宋体" w:eastAsia="宋体" w:cs="宋体"/>
          <w:bCs/>
          <w:color w:val="000000" w:themeColor="text1"/>
          <w:sz w:val="24"/>
          <w:highlight w:val="none"/>
          <w14:textFill>
            <w14:solidFill>
              <w14:schemeClr w14:val="tx1"/>
            </w14:solidFill>
          </w14:textFill>
        </w:rPr>
        <w:t>时间：</w:t>
      </w:r>
      <w:r>
        <w:rPr>
          <w:rFonts w:hint="eastAsia" w:ascii="宋体" w:hAnsi="宋体" w:cs="宋体"/>
          <w:bCs/>
          <w:color w:val="000000" w:themeColor="text1"/>
          <w:sz w:val="24"/>
          <w:highlight w:val="none"/>
          <w:lang w:val="en-US" w:eastAsia="zh-CN"/>
          <w14:textFill>
            <w14:solidFill>
              <w14:schemeClr w14:val="tx1"/>
            </w14:solidFill>
          </w14:textFill>
        </w:rPr>
        <w:t>2025</w:t>
      </w:r>
      <w:r>
        <w:rPr>
          <w:rFonts w:hint="eastAsia" w:ascii="宋体" w:hAnsi="宋体" w:eastAsia="宋体" w:cs="宋体"/>
          <w:bCs/>
          <w:color w:val="000000" w:themeColor="text1"/>
          <w:sz w:val="24"/>
          <w:highlight w:val="none"/>
          <w14:textFill>
            <w14:solidFill>
              <w14:schemeClr w14:val="tx1"/>
            </w14:solidFill>
          </w14:textFill>
        </w:rPr>
        <w:t>年</w:t>
      </w:r>
      <w:r>
        <w:rPr>
          <w:rFonts w:hint="eastAsia" w:ascii="宋体" w:hAnsi="宋体" w:cs="宋体"/>
          <w:bCs/>
          <w:color w:val="000000" w:themeColor="text1"/>
          <w:sz w:val="24"/>
          <w:highlight w:val="none"/>
          <w:lang w:val="en-US" w:eastAsia="zh-CN"/>
          <w14:textFill>
            <w14:solidFill>
              <w14:schemeClr w14:val="tx1"/>
            </w14:solidFill>
          </w14:textFill>
        </w:rPr>
        <w:t>3</w:t>
      </w:r>
      <w:r>
        <w:rPr>
          <w:rFonts w:hint="eastAsia" w:ascii="宋体" w:hAnsi="宋体" w:eastAsia="宋体" w:cs="宋体"/>
          <w:bCs/>
          <w:color w:val="000000" w:themeColor="text1"/>
          <w:sz w:val="24"/>
          <w:highlight w:val="none"/>
          <w14:textFill>
            <w14:solidFill>
              <w14:schemeClr w14:val="tx1"/>
            </w14:solidFill>
          </w14:textFill>
        </w:rPr>
        <w:t>月</w:t>
      </w:r>
      <w:r>
        <w:rPr>
          <w:rFonts w:hint="eastAsia" w:ascii="宋体" w:hAnsi="宋体" w:cs="宋体"/>
          <w:bCs/>
          <w:color w:val="000000" w:themeColor="text1"/>
          <w:sz w:val="24"/>
          <w:highlight w:val="none"/>
          <w:lang w:val="en-US" w:eastAsia="zh-CN"/>
          <w14:textFill>
            <w14:solidFill>
              <w14:schemeClr w14:val="tx1"/>
            </w14:solidFill>
          </w14:textFill>
        </w:rPr>
        <w:t>28</w:t>
      </w:r>
      <w:r>
        <w:rPr>
          <w:rFonts w:hint="eastAsia" w:ascii="宋体" w:hAnsi="宋体" w:eastAsia="宋体" w:cs="宋体"/>
          <w:bCs/>
          <w:color w:val="000000" w:themeColor="text1"/>
          <w:sz w:val="24"/>
          <w:highlight w:val="none"/>
          <w14:textFill>
            <w14:solidFill>
              <w14:schemeClr w14:val="tx1"/>
            </w14:solidFill>
          </w14:textFill>
        </w:rPr>
        <w:t>日上午0</w:t>
      </w:r>
      <w:r>
        <w:rPr>
          <w:rFonts w:hint="eastAsia" w:ascii="宋体" w:hAnsi="宋体" w:cs="宋体"/>
          <w:bCs/>
          <w:color w:val="000000" w:themeColor="text1"/>
          <w:sz w:val="24"/>
          <w:highlight w:val="none"/>
          <w:lang w:val="en-US" w:eastAsia="zh-CN"/>
          <w14:textFill>
            <w14:solidFill>
              <w14:schemeClr w14:val="tx1"/>
            </w14:solidFill>
          </w14:textFill>
        </w:rPr>
        <w:t>8</w:t>
      </w:r>
      <w:r>
        <w:rPr>
          <w:rFonts w:hint="eastAsia" w:ascii="宋体" w:hAnsi="宋体" w:eastAsia="宋体" w:cs="宋体"/>
          <w:bCs/>
          <w:color w:val="000000" w:themeColor="text1"/>
          <w:sz w:val="24"/>
          <w:highlight w:val="none"/>
          <w14:textFill>
            <w14:solidFill>
              <w14:schemeClr w14:val="tx1"/>
            </w14:solidFill>
          </w14:textFill>
        </w:rPr>
        <w:t>时</w:t>
      </w:r>
      <w:r>
        <w:rPr>
          <w:rFonts w:hint="eastAsia" w:ascii="宋体" w:hAnsi="宋体" w:cs="宋体"/>
          <w:bCs/>
          <w:color w:val="000000" w:themeColor="text1"/>
          <w:sz w:val="24"/>
          <w:highlight w:val="none"/>
          <w:lang w:val="en-US" w:eastAsia="zh-CN"/>
          <w14:textFill>
            <w14:solidFill>
              <w14:schemeClr w14:val="tx1"/>
            </w14:solidFill>
          </w14:textFill>
        </w:rPr>
        <w:t>3</w:t>
      </w:r>
      <w:r>
        <w:rPr>
          <w:rFonts w:hint="eastAsia" w:ascii="宋体" w:hAnsi="宋体" w:eastAsia="宋体" w:cs="宋体"/>
          <w:bCs/>
          <w:color w:val="000000" w:themeColor="text1"/>
          <w:sz w:val="24"/>
          <w:highlight w:val="none"/>
          <w14:textFill>
            <w14:solidFill>
              <w14:schemeClr w14:val="tx1"/>
            </w14:solidFill>
          </w14:textFill>
        </w:rPr>
        <w:t>0分至</w:t>
      </w:r>
      <w:r>
        <w:rPr>
          <w:rFonts w:hint="eastAsia" w:ascii="宋体" w:hAnsi="宋体" w:cs="宋体"/>
          <w:bCs/>
          <w:color w:val="000000" w:themeColor="text1"/>
          <w:sz w:val="24"/>
          <w:highlight w:val="none"/>
          <w:lang w:val="en-US" w:eastAsia="zh-CN"/>
          <w14:textFill>
            <w14:solidFill>
              <w14:schemeClr w14:val="tx1"/>
            </w14:solidFill>
          </w14:textFill>
        </w:rPr>
        <w:t>2025</w:t>
      </w:r>
      <w:r>
        <w:rPr>
          <w:rFonts w:hint="eastAsia" w:ascii="宋体" w:hAnsi="宋体" w:eastAsia="宋体" w:cs="宋体"/>
          <w:bCs/>
          <w:color w:val="000000" w:themeColor="text1"/>
          <w:sz w:val="24"/>
          <w:highlight w:val="none"/>
          <w14:textFill>
            <w14:solidFill>
              <w14:schemeClr w14:val="tx1"/>
            </w14:solidFill>
          </w14:textFill>
        </w:rPr>
        <w:t>年</w:t>
      </w:r>
      <w:r>
        <w:rPr>
          <w:rFonts w:hint="eastAsia" w:ascii="宋体" w:hAnsi="宋体" w:cs="宋体"/>
          <w:bCs/>
          <w:color w:val="000000" w:themeColor="text1"/>
          <w:sz w:val="24"/>
          <w:highlight w:val="none"/>
          <w:lang w:val="en-US" w:eastAsia="zh-CN"/>
          <w14:textFill>
            <w14:solidFill>
              <w14:schemeClr w14:val="tx1"/>
            </w14:solidFill>
          </w14:textFill>
        </w:rPr>
        <w:t>4</w:t>
      </w:r>
      <w:r>
        <w:rPr>
          <w:rFonts w:hint="eastAsia" w:ascii="宋体" w:hAnsi="宋体" w:eastAsia="宋体" w:cs="宋体"/>
          <w:bCs/>
          <w:color w:val="000000" w:themeColor="text1"/>
          <w:sz w:val="24"/>
          <w:highlight w:val="none"/>
          <w14:textFill>
            <w14:solidFill>
              <w14:schemeClr w14:val="tx1"/>
            </w14:solidFill>
          </w14:textFill>
        </w:rPr>
        <w:t>月</w:t>
      </w:r>
      <w:r>
        <w:rPr>
          <w:rFonts w:hint="eastAsia" w:ascii="宋体" w:hAnsi="宋体" w:cs="宋体"/>
          <w:bCs/>
          <w:color w:val="000000" w:themeColor="text1"/>
          <w:sz w:val="24"/>
          <w:highlight w:val="none"/>
          <w:lang w:val="en-US" w:eastAsia="zh-CN"/>
          <w14:textFill>
            <w14:solidFill>
              <w14:schemeClr w14:val="tx1"/>
            </w14:solidFill>
          </w14:textFill>
        </w:rPr>
        <w:t>3</w:t>
      </w:r>
      <w:r>
        <w:rPr>
          <w:rFonts w:hint="eastAsia" w:ascii="宋体" w:hAnsi="宋体" w:eastAsia="宋体" w:cs="宋体"/>
          <w:bCs/>
          <w:color w:val="000000" w:themeColor="text1"/>
          <w:sz w:val="24"/>
          <w:highlight w:val="none"/>
          <w14:textFill>
            <w14:solidFill>
              <w14:schemeClr w14:val="tx1"/>
            </w14:solidFill>
          </w14:textFill>
        </w:rPr>
        <w:t>日下午16时</w:t>
      </w:r>
      <w:r>
        <w:rPr>
          <w:rFonts w:hint="eastAsia" w:ascii="宋体" w:hAnsi="宋体" w:cs="宋体"/>
          <w:bCs/>
          <w:color w:val="000000" w:themeColor="text1"/>
          <w:sz w:val="24"/>
          <w:highlight w:val="none"/>
          <w:lang w:val="en-US" w:eastAsia="zh-CN"/>
          <w14:textFill>
            <w14:solidFill>
              <w14:schemeClr w14:val="tx1"/>
            </w14:solidFill>
          </w14:textFill>
        </w:rPr>
        <w:t>30分</w:t>
      </w:r>
      <w:r>
        <w:rPr>
          <w:rFonts w:hint="eastAsia" w:ascii="宋体" w:hAnsi="宋体" w:eastAsia="宋体" w:cs="宋体"/>
          <w:bCs/>
          <w:color w:val="000000" w:themeColor="text1"/>
          <w:sz w:val="24"/>
          <w:highlight w:val="none"/>
          <w14:textFill>
            <w14:solidFill>
              <w14:schemeClr w14:val="tx1"/>
            </w14:solidFill>
          </w14:textFill>
        </w:rPr>
        <w:t>（北京时间，法定节假日除外）</w:t>
      </w:r>
      <w:r>
        <w:rPr>
          <w:rFonts w:hint="eastAsia" w:ascii="宋体" w:hAnsi="宋体" w:eastAsia="宋体" w:cs="宋体"/>
          <w:bCs/>
          <w:color w:val="000000" w:themeColor="text1"/>
          <w:sz w:val="24"/>
          <w:highlight w:val="none"/>
          <w:lang w:eastAsia="zh-CN"/>
          <w14:textFill>
            <w14:solidFill>
              <w14:schemeClr w14:val="tx1"/>
            </w14:solidFill>
          </w14:textFill>
        </w:rPr>
        <w:t>；</w:t>
      </w:r>
    </w:p>
    <w:p w14:paraId="3AFAB6DE">
      <w:pPr>
        <w:pStyle w:val="110"/>
        <w:keepNext w:val="0"/>
        <w:keepLines w:val="0"/>
        <w:pageBreakBefore w:val="0"/>
        <w:kinsoku/>
        <w:wordWrap w:val="0"/>
        <w:overflowPunct/>
        <w:topLinePunct w:val="0"/>
        <w:bidi w:val="0"/>
        <w:snapToGrid/>
        <w:spacing w:line="400" w:lineRule="exact"/>
        <w:ind w:firstLine="480" w:firstLineChars="200"/>
        <w:textAlignment w:val="auto"/>
        <w:outlineLvl w:val="9"/>
        <w:rPr>
          <w:rFonts w:hint="eastAsia" w:ascii="宋体" w:hAnsi="宋体" w:eastAsia="宋体" w:cs="宋体"/>
          <w:bCs/>
          <w:color w:val="000000" w:themeColor="text1"/>
          <w:kern w:val="2"/>
          <w:sz w:val="24"/>
          <w:szCs w:val="24"/>
          <w:highlight w:val="none"/>
          <w:lang w:val="en-US" w:eastAsia="zh-CN" w:bidi="ar-SA"/>
          <w14:textFill>
            <w14:solidFill>
              <w14:schemeClr w14:val="tx1"/>
            </w14:solidFill>
          </w14:textFill>
        </w:rPr>
      </w:pPr>
      <w:r>
        <w:rPr>
          <w:rFonts w:hint="eastAsia" w:ascii="宋体" w:hAnsi="宋体" w:eastAsia="宋体" w:cs="宋体"/>
          <w:bCs/>
          <w:color w:val="000000" w:themeColor="text1"/>
          <w:kern w:val="2"/>
          <w:sz w:val="24"/>
          <w:szCs w:val="24"/>
          <w:highlight w:val="none"/>
          <w:lang w:val="en-US" w:eastAsia="zh-CN" w:bidi="ar-SA"/>
          <w14:textFill>
            <w14:solidFill>
              <w14:schemeClr w14:val="tx1"/>
            </w14:solidFill>
          </w14:textFill>
        </w:rPr>
        <w:t>地点：政府采购云平台（网址：http:// www.zcygov.cn）；</w:t>
      </w:r>
    </w:p>
    <w:p w14:paraId="191F6A22">
      <w:pPr>
        <w:keepNext w:val="0"/>
        <w:keepLines w:val="0"/>
        <w:pageBreakBefore w:val="0"/>
        <w:kinsoku/>
        <w:overflowPunct/>
        <w:topLinePunct w:val="0"/>
        <w:bidi w:val="0"/>
        <w:snapToGrid/>
        <w:spacing w:line="400" w:lineRule="exact"/>
        <w:ind w:firstLine="420"/>
        <w:jc w:val="left"/>
        <w:textAlignment w:val="auto"/>
        <w:outlineLvl w:val="9"/>
        <w:rPr>
          <w:rFonts w:hint="eastAsia" w:ascii="宋体" w:hAnsi="宋体" w:eastAsia="宋体" w:cs="宋体"/>
          <w:bCs/>
          <w:color w:val="000000" w:themeColor="text1"/>
          <w:kern w:val="2"/>
          <w:sz w:val="24"/>
          <w:szCs w:val="24"/>
          <w:highlight w:val="none"/>
          <w:lang w:val="en-US" w:eastAsia="zh-CN" w:bidi="ar-SA"/>
          <w14:textFill>
            <w14:solidFill>
              <w14:schemeClr w14:val="tx1"/>
            </w14:solidFill>
          </w14:textFill>
        </w:rPr>
      </w:pPr>
      <w:r>
        <w:rPr>
          <w:rFonts w:hint="eastAsia" w:ascii="宋体" w:hAnsi="宋体" w:eastAsia="宋体" w:cs="宋体"/>
          <w:bCs/>
          <w:color w:val="000000" w:themeColor="text1"/>
          <w:kern w:val="2"/>
          <w:sz w:val="24"/>
          <w:szCs w:val="24"/>
          <w:highlight w:val="none"/>
          <w:lang w:val="en-US" w:eastAsia="zh-CN" w:bidi="ar-SA"/>
          <w14:textFill>
            <w14:solidFill>
              <w14:schemeClr w14:val="tx1"/>
            </w14:solidFill>
          </w14:textFill>
        </w:rPr>
        <w:t>方式：潜在供应商可自行在“政采云”平台（网址：http：//www.zcygov.cn）下载磋商文件（操作路径：登录“政采云”平台-项目采购-获取采购文件-找到本项目-点击“申请获取采购文件”），其他途径获取的采购文件开标时一律按无效投标处理。申请获取采购文件时需提交以下资料并加盖公章（以下资料须在“政采云”平台“申请获取采购文件”时的附件处提交）：</w:t>
      </w:r>
    </w:p>
    <w:p w14:paraId="4E9EAF91">
      <w:pPr>
        <w:keepNext w:val="0"/>
        <w:keepLines w:val="0"/>
        <w:pageBreakBefore w:val="0"/>
        <w:numPr>
          <w:ilvl w:val="0"/>
          <w:numId w:val="2"/>
        </w:numPr>
        <w:kinsoku/>
        <w:overflowPunct/>
        <w:topLinePunct w:val="0"/>
        <w:bidi w:val="0"/>
        <w:snapToGrid/>
        <w:spacing w:line="400" w:lineRule="exact"/>
        <w:ind w:firstLine="420"/>
        <w:jc w:val="left"/>
        <w:textAlignment w:val="auto"/>
        <w:outlineLvl w:val="9"/>
        <w:rPr>
          <w:rFonts w:hint="eastAsia" w:ascii="宋体" w:hAnsi="宋体" w:eastAsia="宋体" w:cs="宋体"/>
          <w:bCs/>
          <w:color w:val="000000" w:themeColor="text1"/>
          <w:kern w:val="2"/>
          <w:sz w:val="24"/>
          <w:szCs w:val="24"/>
          <w:highlight w:val="none"/>
          <w:lang w:val="zh-CN" w:eastAsia="zh-CN" w:bidi="ar-SA"/>
          <w14:textFill>
            <w14:solidFill>
              <w14:schemeClr w14:val="tx1"/>
            </w14:solidFill>
          </w14:textFill>
        </w:rPr>
      </w:pPr>
      <w:r>
        <w:rPr>
          <w:rFonts w:hint="eastAsia" w:ascii="宋体" w:hAnsi="宋体" w:eastAsia="宋体" w:cs="宋体"/>
          <w:bCs/>
          <w:color w:val="000000" w:themeColor="text1"/>
          <w:kern w:val="2"/>
          <w:sz w:val="24"/>
          <w:szCs w:val="24"/>
          <w:highlight w:val="none"/>
          <w:lang w:val="zh-CN" w:eastAsia="zh-CN" w:bidi="ar-SA"/>
          <w14:textFill>
            <w14:solidFill>
              <w14:schemeClr w14:val="tx1"/>
            </w14:solidFill>
          </w14:textFill>
        </w:rPr>
        <w:t>有效营业执照；</w:t>
      </w:r>
    </w:p>
    <w:p w14:paraId="0C4A23C4">
      <w:pPr>
        <w:keepNext w:val="0"/>
        <w:keepLines w:val="0"/>
        <w:pageBreakBefore w:val="0"/>
        <w:numPr>
          <w:ilvl w:val="0"/>
          <w:numId w:val="2"/>
        </w:numPr>
        <w:kinsoku/>
        <w:overflowPunct/>
        <w:topLinePunct w:val="0"/>
        <w:bidi w:val="0"/>
        <w:snapToGrid/>
        <w:spacing w:line="400" w:lineRule="exact"/>
        <w:ind w:firstLine="420"/>
        <w:jc w:val="left"/>
        <w:textAlignment w:val="auto"/>
        <w:outlineLvl w:val="9"/>
        <w:rPr>
          <w:rFonts w:hint="eastAsia" w:ascii="宋体" w:hAnsi="宋体" w:eastAsia="宋体" w:cs="宋体"/>
          <w:bCs/>
          <w:color w:val="000000" w:themeColor="text1"/>
          <w:kern w:val="2"/>
          <w:sz w:val="24"/>
          <w:szCs w:val="24"/>
          <w:highlight w:val="none"/>
          <w:lang w:val="zh-CN" w:eastAsia="zh-CN" w:bidi="ar-SA"/>
          <w14:textFill>
            <w14:solidFill>
              <w14:schemeClr w14:val="tx1"/>
            </w14:solidFill>
          </w14:textFill>
        </w:rPr>
      </w:pPr>
      <w:r>
        <w:rPr>
          <w:rFonts w:hint="eastAsia" w:ascii="宋体" w:hAnsi="宋体" w:eastAsia="宋体" w:cs="宋体"/>
          <w:bCs/>
          <w:color w:val="000000" w:themeColor="text1"/>
          <w:kern w:val="2"/>
          <w:sz w:val="24"/>
          <w:szCs w:val="24"/>
          <w:highlight w:val="none"/>
          <w:lang w:val="zh-CN" w:eastAsia="zh-CN" w:bidi="ar-SA"/>
          <w14:textFill>
            <w14:solidFill>
              <w14:schemeClr w14:val="tx1"/>
            </w14:solidFill>
          </w14:textFill>
        </w:rPr>
        <w:t>被授权人身份证、法人授权委托书的材料复印件。</w:t>
      </w:r>
    </w:p>
    <w:p w14:paraId="3CEDE89A">
      <w:pPr>
        <w:pStyle w:val="110"/>
        <w:keepNext w:val="0"/>
        <w:keepLines w:val="0"/>
        <w:pageBreakBefore w:val="0"/>
        <w:kinsoku/>
        <w:wordWrap w:val="0"/>
        <w:overflowPunct/>
        <w:topLinePunct w:val="0"/>
        <w:bidi w:val="0"/>
        <w:snapToGrid/>
        <w:spacing w:line="400" w:lineRule="exact"/>
        <w:ind w:firstLine="480" w:firstLineChars="200"/>
        <w:textAlignment w:val="auto"/>
        <w:outlineLvl w:val="9"/>
        <w:rPr>
          <w:rFonts w:hint="eastAsia" w:ascii="宋体" w:hAnsi="宋体" w:eastAsia="宋体" w:cs="宋体"/>
          <w:bCs/>
          <w:color w:val="000000" w:themeColor="text1"/>
          <w:kern w:val="2"/>
          <w:sz w:val="24"/>
          <w:szCs w:val="24"/>
          <w:highlight w:val="none"/>
          <w:lang w:val="en-US" w:eastAsia="zh-CN" w:bidi="ar-SA"/>
          <w14:textFill>
            <w14:solidFill>
              <w14:schemeClr w14:val="tx1"/>
            </w14:solidFill>
          </w14:textFill>
        </w:rPr>
      </w:pPr>
      <w:r>
        <w:rPr>
          <w:rFonts w:hint="eastAsia" w:ascii="宋体" w:hAnsi="宋体" w:eastAsia="宋体" w:cs="宋体"/>
          <w:bCs/>
          <w:color w:val="000000" w:themeColor="text1"/>
          <w:kern w:val="2"/>
          <w:sz w:val="24"/>
          <w:szCs w:val="24"/>
          <w:highlight w:val="none"/>
          <w:lang w:val="en-US" w:eastAsia="zh-CN" w:bidi="ar-SA"/>
          <w14:textFill>
            <w14:solidFill>
              <w14:schemeClr w14:val="tx1"/>
            </w14:solidFill>
          </w14:textFill>
        </w:rPr>
        <w:t>未进行网上注册并办理CA认证的供应商将无法参与本次招标活动。</w:t>
      </w:r>
    </w:p>
    <w:p w14:paraId="05360205">
      <w:pPr>
        <w:keepNext w:val="0"/>
        <w:keepLines w:val="0"/>
        <w:pageBreakBefore w:val="0"/>
        <w:widowControl w:val="0"/>
        <w:kinsoku/>
        <w:overflowPunct/>
        <w:topLinePunct w:val="0"/>
        <w:autoSpaceDE w:val="0"/>
        <w:autoSpaceDN w:val="0"/>
        <w:bidi w:val="0"/>
        <w:adjustRightInd w:val="0"/>
        <w:snapToGrid/>
        <w:spacing w:line="400" w:lineRule="exact"/>
        <w:ind w:firstLine="480" w:firstLineChars="200"/>
        <w:textAlignment w:val="auto"/>
        <w:outlineLvl w:val="9"/>
        <w:rPr>
          <w:rFonts w:hint="default" w:ascii="宋体" w:hAnsi="宋体" w:eastAsia="宋体" w:cs="宋体"/>
          <w:bCs/>
          <w:color w:val="000000" w:themeColor="text1"/>
          <w:kern w:val="2"/>
          <w:sz w:val="24"/>
          <w:szCs w:val="24"/>
          <w:highlight w:val="none"/>
          <w:lang w:val="en-US" w:eastAsia="zh-CN" w:bidi="ar-SA"/>
          <w14:textFill>
            <w14:solidFill>
              <w14:schemeClr w14:val="tx1"/>
            </w14:solidFill>
          </w14:textFill>
        </w:rPr>
      </w:pPr>
      <w:r>
        <w:rPr>
          <w:rFonts w:hint="eastAsia" w:ascii="宋体" w:hAnsi="宋体" w:eastAsia="宋体" w:cs="宋体"/>
          <w:bCs/>
          <w:color w:val="000000" w:themeColor="text1"/>
          <w:kern w:val="2"/>
          <w:sz w:val="24"/>
          <w:szCs w:val="24"/>
          <w:highlight w:val="none"/>
          <w:lang w:val="en-US" w:eastAsia="zh-CN" w:bidi="ar-SA"/>
          <w14:textFill>
            <w14:solidFill>
              <w14:schemeClr w14:val="tx1"/>
            </w14:solidFill>
          </w14:textFill>
        </w:rPr>
        <w:t>售价：0元。</w:t>
      </w:r>
    </w:p>
    <w:p w14:paraId="670F3E57">
      <w:pPr>
        <w:widowControl w:val="0"/>
        <w:overflowPunct/>
        <w:autoSpaceDE w:val="0"/>
        <w:autoSpaceDN w:val="0"/>
        <w:bidi w:val="0"/>
        <w:adjustRightInd w:val="0"/>
        <w:spacing w:line="360" w:lineRule="exact"/>
        <w:outlineLvl w:val="9"/>
        <w:rPr>
          <w:rFonts w:ascii="宋体" w:hAnsi="宋体" w:eastAsia="宋体" w:cs="宋体"/>
          <w:b/>
          <w:color w:val="000000" w:themeColor="text1"/>
          <w:sz w:val="24"/>
          <w:highlight w:val="none"/>
          <w14:textFill>
            <w14:solidFill>
              <w14:schemeClr w14:val="tx1"/>
            </w14:solidFill>
          </w14:textFill>
        </w:rPr>
      </w:pPr>
      <w:r>
        <w:rPr>
          <w:rFonts w:hint="eastAsia" w:ascii="宋体" w:hAnsi="宋体" w:eastAsia="宋体" w:cs="宋体"/>
          <w:b/>
          <w:color w:val="000000" w:themeColor="text1"/>
          <w:sz w:val="24"/>
          <w:highlight w:val="none"/>
          <w14:textFill>
            <w14:solidFill>
              <w14:schemeClr w14:val="tx1"/>
            </w14:solidFill>
          </w14:textFill>
        </w:rPr>
        <w:t>四、</w:t>
      </w:r>
      <w:r>
        <w:rPr>
          <w:rFonts w:hint="eastAsia" w:ascii="宋体" w:hAnsi="宋体" w:eastAsia="宋体" w:cs="宋体"/>
          <w:b/>
          <w:color w:val="000000" w:themeColor="text1"/>
          <w:sz w:val="24"/>
          <w:highlight w:val="none"/>
          <w:lang w:eastAsia="zh-CN"/>
          <w14:textFill>
            <w14:solidFill>
              <w14:schemeClr w14:val="tx1"/>
            </w14:solidFill>
          </w14:textFill>
        </w:rPr>
        <w:t>响应</w:t>
      </w:r>
      <w:r>
        <w:rPr>
          <w:rFonts w:hint="eastAsia" w:ascii="宋体" w:hAnsi="宋体" w:eastAsia="宋体" w:cs="宋体"/>
          <w:b/>
          <w:color w:val="000000" w:themeColor="text1"/>
          <w:sz w:val="24"/>
          <w:highlight w:val="none"/>
          <w14:textFill>
            <w14:solidFill>
              <w14:schemeClr w14:val="tx1"/>
            </w14:solidFill>
          </w14:textFill>
        </w:rPr>
        <w:t>文件提交</w:t>
      </w:r>
    </w:p>
    <w:p w14:paraId="224AD89D">
      <w:pPr>
        <w:widowControl w:val="0"/>
        <w:overflowPunct/>
        <w:autoSpaceDE w:val="0"/>
        <w:autoSpaceDN w:val="0"/>
        <w:bidi w:val="0"/>
        <w:adjustRightInd w:val="0"/>
        <w:spacing w:line="360" w:lineRule="exact"/>
        <w:ind w:firstLine="480" w:firstLineChars="200"/>
        <w:outlineLvl w:val="9"/>
        <w:rPr>
          <w:rFonts w:ascii="宋体" w:hAnsi="宋体" w:eastAsia="宋体" w:cs="宋体"/>
          <w:bCs/>
          <w:color w:val="000000" w:themeColor="text1"/>
          <w:sz w:val="24"/>
          <w:highlight w:val="none"/>
          <w14:textFill>
            <w14:solidFill>
              <w14:schemeClr w14:val="tx1"/>
            </w14:solidFill>
          </w14:textFill>
        </w:rPr>
      </w:pPr>
      <w:r>
        <w:rPr>
          <w:rFonts w:hint="eastAsia" w:ascii="宋体" w:hAnsi="宋体" w:eastAsia="宋体" w:cs="宋体"/>
          <w:bCs/>
          <w:color w:val="000000" w:themeColor="text1"/>
          <w:sz w:val="24"/>
          <w:highlight w:val="none"/>
          <w14:textFill>
            <w14:solidFill>
              <w14:schemeClr w14:val="tx1"/>
            </w14:solidFill>
          </w14:textFill>
        </w:rPr>
        <w:t>截止时间：</w:t>
      </w:r>
      <w:r>
        <w:rPr>
          <w:rFonts w:hint="eastAsia" w:ascii="宋体" w:hAnsi="宋体" w:cs="宋体"/>
          <w:bCs/>
          <w:color w:val="000000" w:themeColor="text1"/>
          <w:sz w:val="24"/>
          <w:highlight w:val="none"/>
          <w:lang w:eastAsia="zh-CN"/>
          <w14:textFill>
            <w14:solidFill>
              <w14:schemeClr w14:val="tx1"/>
            </w14:solidFill>
          </w14:textFill>
        </w:rPr>
        <w:t>2025年4月10日</w:t>
      </w:r>
      <w:r>
        <w:rPr>
          <w:rFonts w:hint="eastAsia" w:ascii="宋体" w:hAnsi="宋体" w:cs="宋体"/>
          <w:bCs/>
          <w:color w:val="000000" w:themeColor="text1"/>
          <w:sz w:val="24"/>
          <w:highlight w:val="none"/>
          <w:lang w:val="en-US" w:eastAsia="zh-CN"/>
          <w14:textFill>
            <w14:solidFill>
              <w14:schemeClr w14:val="tx1"/>
            </w14:solidFill>
          </w14:textFill>
        </w:rPr>
        <w:t>9</w:t>
      </w:r>
      <w:r>
        <w:rPr>
          <w:rFonts w:hint="eastAsia" w:ascii="宋体" w:hAnsi="宋体" w:cs="宋体"/>
          <w:bCs/>
          <w:color w:val="000000" w:themeColor="text1"/>
          <w:sz w:val="24"/>
          <w:highlight w:val="none"/>
          <w:lang w:eastAsia="zh-CN"/>
          <w14:textFill>
            <w14:solidFill>
              <w14:schemeClr w14:val="tx1"/>
            </w14:solidFill>
          </w14:textFill>
        </w:rPr>
        <w:t>时</w:t>
      </w:r>
      <w:r>
        <w:rPr>
          <w:rFonts w:hint="eastAsia" w:ascii="宋体" w:hAnsi="宋体" w:cs="宋体"/>
          <w:bCs/>
          <w:color w:val="000000" w:themeColor="text1"/>
          <w:sz w:val="24"/>
          <w:highlight w:val="none"/>
          <w:lang w:val="en-US" w:eastAsia="zh-CN"/>
          <w14:textFill>
            <w14:solidFill>
              <w14:schemeClr w14:val="tx1"/>
            </w14:solidFill>
          </w14:textFill>
        </w:rPr>
        <w:t>30</w:t>
      </w:r>
      <w:r>
        <w:rPr>
          <w:rFonts w:hint="eastAsia" w:ascii="宋体" w:hAnsi="宋体" w:cs="宋体"/>
          <w:bCs/>
          <w:color w:val="000000" w:themeColor="text1"/>
          <w:sz w:val="24"/>
          <w:highlight w:val="none"/>
          <w:lang w:eastAsia="zh-CN"/>
          <w14:textFill>
            <w14:solidFill>
              <w14:schemeClr w14:val="tx1"/>
            </w14:solidFill>
          </w14:textFill>
        </w:rPr>
        <w:t>分</w:t>
      </w:r>
      <w:r>
        <w:rPr>
          <w:rFonts w:hint="eastAsia" w:ascii="宋体" w:hAnsi="宋体" w:eastAsia="宋体" w:cs="宋体"/>
          <w:bCs/>
          <w:color w:val="000000" w:themeColor="text1"/>
          <w:sz w:val="24"/>
          <w:highlight w:val="none"/>
          <w14:textFill>
            <w14:solidFill>
              <w14:schemeClr w14:val="tx1"/>
            </w14:solidFill>
          </w14:textFill>
        </w:rPr>
        <w:t>（北京时间）；</w:t>
      </w:r>
    </w:p>
    <w:p w14:paraId="1E50F357">
      <w:pPr>
        <w:widowControl w:val="0"/>
        <w:overflowPunct/>
        <w:autoSpaceDE w:val="0"/>
        <w:autoSpaceDN w:val="0"/>
        <w:bidi w:val="0"/>
        <w:adjustRightInd w:val="0"/>
        <w:spacing w:line="360" w:lineRule="exact"/>
        <w:ind w:firstLine="480" w:firstLineChars="200"/>
        <w:outlineLvl w:val="9"/>
        <w:rPr>
          <w:rFonts w:ascii="宋体" w:hAnsi="宋体" w:eastAsia="宋体" w:cs="宋体"/>
          <w:bCs/>
          <w:color w:val="000000" w:themeColor="text1"/>
          <w:sz w:val="24"/>
          <w:highlight w:val="none"/>
          <w14:textFill>
            <w14:solidFill>
              <w14:schemeClr w14:val="tx1"/>
            </w14:solidFill>
          </w14:textFill>
        </w:rPr>
      </w:pPr>
      <w:r>
        <w:rPr>
          <w:rFonts w:hint="eastAsia" w:ascii="宋体" w:hAnsi="宋体" w:eastAsia="宋体" w:cs="宋体"/>
          <w:bCs/>
          <w:color w:val="000000" w:themeColor="text1"/>
          <w:sz w:val="24"/>
          <w:highlight w:val="none"/>
          <w14:textFill>
            <w14:solidFill>
              <w14:schemeClr w14:val="tx1"/>
            </w14:solidFill>
          </w14:textFill>
        </w:rPr>
        <w:t>地点：</w:t>
      </w:r>
      <w:r>
        <w:rPr>
          <w:rFonts w:hint="eastAsia" w:ascii="宋体" w:hAnsi="宋体" w:cs="宋体"/>
          <w:bCs/>
          <w:color w:val="000000" w:themeColor="text1"/>
          <w:sz w:val="24"/>
          <w:highlight w:val="none"/>
          <w:lang w:val="zh-CN"/>
          <w14:textFill>
            <w14:solidFill>
              <w14:schemeClr w14:val="tx1"/>
            </w14:solidFill>
          </w14:textFill>
        </w:rPr>
        <w:t>珲春市公共资源管理中心（地址：吉林省珲春市龙源东街1066号，珲春市政务中心4楼）</w:t>
      </w:r>
      <w:r>
        <w:rPr>
          <w:rFonts w:hint="eastAsia" w:ascii="宋体" w:hAnsi="宋体" w:eastAsia="宋体" w:cs="宋体"/>
          <w:bCs/>
          <w:color w:val="000000" w:themeColor="text1"/>
          <w:sz w:val="24"/>
          <w:highlight w:val="none"/>
          <w14:textFill>
            <w14:solidFill>
              <w14:schemeClr w14:val="tx1"/>
            </w14:solidFill>
          </w14:textFill>
        </w:rPr>
        <w:t>。</w:t>
      </w:r>
    </w:p>
    <w:p w14:paraId="250054F8">
      <w:pPr>
        <w:widowControl w:val="0"/>
        <w:overflowPunct/>
        <w:autoSpaceDE w:val="0"/>
        <w:autoSpaceDN w:val="0"/>
        <w:bidi w:val="0"/>
        <w:adjustRightInd w:val="0"/>
        <w:spacing w:line="360" w:lineRule="exact"/>
        <w:outlineLvl w:val="9"/>
        <w:rPr>
          <w:rFonts w:ascii="宋体" w:hAnsi="宋体" w:eastAsia="宋体" w:cs="宋体"/>
          <w:b/>
          <w:color w:val="000000" w:themeColor="text1"/>
          <w:sz w:val="24"/>
          <w:highlight w:val="none"/>
          <w14:textFill>
            <w14:solidFill>
              <w14:schemeClr w14:val="tx1"/>
            </w14:solidFill>
          </w14:textFill>
        </w:rPr>
      </w:pPr>
      <w:r>
        <w:rPr>
          <w:rFonts w:hint="eastAsia" w:ascii="宋体" w:hAnsi="宋体" w:eastAsia="宋体" w:cs="宋体"/>
          <w:b/>
          <w:color w:val="000000" w:themeColor="text1"/>
          <w:sz w:val="24"/>
          <w:highlight w:val="none"/>
          <w14:textFill>
            <w14:solidFill>
              <w14:schemeClr w14:val="tx1"/>
            </w14:solidFill>
          </w14:textFill>
        </w:rPr>
        <w:t>五、开启</w:t>
      </w:r>
    </w:p>
    <w:p w14:paraId="3B888E3B">
      <w:pPr>
        <w:widowControl w:val="0"/>
        <w:overflowPunct/>
        <w:autoSpaceDE w:val="0"/>
        <w:autoSpaceDN w:val="0"/>
        <w:bidi w:val="0"/>
        <w:adjustRightInd w:val="0"/>
        <w:spacing w:line="360" w:lineRule="exact"/>
        <w:ind w:firstLine="480" w:firstLineChars="200"/>
        <w:outlineLvl w:val="9"/>
        <w:rPr>
          <w:rFonts w:ascii="宋体" w:hAnsi="宋体" w:eastAsia="宋体" w:cs="宋体"/>
          <w:bCs/>
          <w:color w:val="000000" w:themeColor="text1"/>
          <w:sz w:val="24"/>
          <w:highlight w:val="none"/>
          <w14:textFill>
            <w14:solidFill>
              <w14:schemeClr w14:val="tx1"/>
            </w14:solidFill>
          </w14:textFill>
        </w:rPr>
      </w:pPr>
      <w:r>
        <w:rPr>
          <w:rFonts w:hint="eastAsia" w:ascii="宋体" w:hAnsi="宋体" w:eastAsia="宋体" w:cs="宋体"/>
          <w:bCs/>
          <w:color w:val="000000" w:themeColor="text1"/>
          <w:sz w:val="24"/>
          <w:highlight w:val="none"/>
          <w14:textFill>
            <w14:solidFill>
              <w14:schemeClr w14:val="tx1"/>
            </w14:solidFill>
          </w14:textFill>
        </w:rPr>
        <w:t>时间：</w:t>
      </w:r>
      <w:r>
        <w:rPr>
          <w:rFonts w:hint="eastAsia" w:ascii="宋体" w:hAnsi="宋体" w:cs="宋体"/>
          <w:bCs/>
          <w:color w:val="000000" w:themeColor="text1"/>
          <w:sz w:val="24"/>
          <w:highlight w:val="none"/>
          <w:lang w:val="en-US" w:eastAsia="zh-CN"/>
          <w14:textFill>
            <w14:solidFill>
              <w14:schemeClr w14:val="tx1"/>
            </w14:solidFill>
          </w14:textFill>
        </w:rPr>
        <w:t>2025年4月10日9</w:t>
      </w:r>
      <w:r>
        <w:rPr>
          <w:rFonts w:hint="eastAsia" w:ascii="宋体" w:hAnsi="宋体" w:cs="宋体"/>
          <w:bCs/>
          <w:color w:val="000000" w:themeColor="text1"/>
          <w:sz w:val="24"/>
          <w:highlight w:val="none"/>
          <w:lang w:eastAsia="zh-CN"/>
          <w14:textFill>
            <w14:solidFill>
              <w14:schemeClr w14:val="tx1"/>
            </w14:solidFill>
          </w14:textFill>
        </w:rPr>
        <w:t>时</w:t>
      </w:r>
      <w:r>
        <w:rPr>
          <w:rFonts w:hint="eastAsia" w:ascii="宋体" w:hAnsi="宋体" w:cs="宋体"/>
          <w:bCs/>
          <w:color w:val="000000" w:themeColor="text1"/>
          <w:sz w:val="24"/>
          <w:highlight w:val="none"/>
          <w:lang w:val="en-US" w:eastAsia="zh-CN"/>
          <w14:textFill>
            <w14:solidFill>
              <w14:schemeClr w14:val="tx1"/>
            </w14:solidFill>
          </w14:textFill>
        </w:rPr>
        <w:t>30</w:t>
      </w:r>
      <w:r>
        <w:rPr>
          <w:rFonts w:hint="eastAsia" w:ascii="宋体" w:hAnsi="宋体" w:cs="宋体"/>
          <w:bCs/>
          <w:color w:val="000000" w:themeColor="text1"/>
          <w:sz w:val="24"/>
          <w:highlight w:val="none"/>
          <w:lang w:eastAsia="zh-CN"/>
          <w14:textFill>
            <w14:solidFill>
              <w14:schemeClr w14:val="tx1"/>
            </w14:solidFill>
          </w14:textFill>
        </w:rPr>
        <w:t>分</w:t>
      </w:r>
      <w:r>
        <w:rPr>
          <w:rFonts w:hint="eastAsia" w:ascii="宋体" w:hAnsi="宋体" w:eastAsia="宋体" w:cs="宋体"/>
          <w:bCs/>
          <w:color w:val="000000" w:themeColor="text1"/>
          <w:sz w:val="24"/>
          <w:highlight w:val="none"/>
          <w14:textFill>
            <w14:solidFill>
              <w14:schemeClr w14:val="tx1"/>
            </w14:solidFill>
          </w14:textFill>
        </w:rPr>
        <w:t>（北京时间）</w:t>
      </w:r>
    </w:p>
    <w:p w14:paraId="66D8435E">
      <w:pPr>
        <w:widowControl w:val="0"/>
        <w:overflowPunct/>
        <w:autoSpaceDE w:val="0"/>
        <w:autoSpaceDN w:val="0"/>
        <w:bidi w:val="0"/>
        <w:adjustRightInd w:val="0"/>
        <w:spacing w:line="360" w:lineRule="exact"/>
        <w:ind w:firstLine="480" w:firstLineChars="200"/>
        <w:outlineLvl w:val="9"/>
        <w:rPr>
          <w:rFonts w:ascii="宋体" w:hAnsi="宋体" w:eastAsia="宋体" w:cs="宋体"/>
          <w:bCs/>
          <w:color w:val="000000" w:themeColor="text1"/>
          <w:sz w:val="24"/>
          <w:highlight w:val="none"/>
          <w14:textFill>
            <w14:solidFill>
              <w14:schemeClr w14:val="tx1"/>
            </w14:solidFill>
          </w14:textFill>
        </w:rPr>
      </w:pPr>
      <w:r>
        <w:rPr>
          <w:rFonts w:hint="eastAsia" w:ascii="宋体" w:hAnsi="宋体" w:eastAsia="宋体" w:cs="宋体"/>
          <w:bCs/>
          <w:color w:val="000000" w:themeColor="text1"/>
          <w:sz w:val="24"/>
          <w:highlight w:val="none"/>
          <w14:textFill>
            <w14:solidFill>
              <w14:schemeClr w14:val="tx1"/>
            </w14:solidFill>
          </w14:textFill>
        </w:rPr>
        <w:t>地点：</w:t>
      </w:r>
      <w:r>
        <w:rPr>
          <w:rFonts w:hint="eastAsia" w:ascii="宋体" w:hAnsi="宋体" w:cs="宋体"/>
          <w:bCs/>
          <w:color w:val="000000" w:themeColor="text1"/>
          <w:sz w:val="24"/>
          <w:highlight w:val="none"/>
          <w:lang w:val="zh-CN" w:eastAsia="zh-CN"/>
          <w14:textFill>
            <w14:solidFill>
              <w14:schemeClr w14:val="tx1"/>
            </w14:solidFill>
          </w14:textFill>
        </w:rPr>
        <w:t>珲春市公共资源管理中心（地址：吉林省珲春市龙源东街1066号，珲春市政务中心4楼）</w:t>
      </w:r>
      <w:r>
        <w:rPr>
          <w:rFonts w:hint="eastAsia" w:ascii="宋体" w:hAnsi="宋体" w:eastAsia="宋体" w:cs="宋体"/>
          <w:bCs/>
          <w:color w:val="000000" w:themeColor="text1"/>
          <w:sz w:val="24"/>
          <w:highlight w:val="none"/>
          <w:lang w:val="en-US" w:eastAsia="zh-CN"/>
          <w14:textFill>
            <w14:solidFill>
              <w14:schemeClr w14:val="tx1"/>
            </w14:solidFill>
          </w14:textFill>
        </w:rPr>
        <w:t>。</w:t>
      </w:r>
    </w:p>
    <w:p w14:paraId="37F9E12E">
      <w:pPr>
        <w:widowControl w:val="0"/>
        <w:overflowPunct/>
        <w:autoSpaceDE w:val="0"/>
        <w:autoSpaceDN w:val="0"/>
        <w:bidi w:val="0"/>
        <w:adjustRightInd w:val="0"/>
        <w:spacing w:line="460" w:lineRule="exact"/>
        <w:outlineLvl w:val="9"/>
        <w:rPr>
          <w:rFonts w:ascii="宋体" w:hAnsi="宋体" w:eastAsia="宋体" w:cs="宋体"/>
          <w:b/>
          <w:color w:val="000000" w:themeColor="text1"/>
          <w:sz w:val="24"/>
          <w:highlight w:val="none"/>
          <w14:textFill>
            <w14:solidFill>
              <w14:schemeClr w14:val="tx1"/>
            </w14:solidFill>
          </w14:textFill>
        </w:rPr>
      </w:pPr>
      <w:r>
        <w:rPr>
          <w:rFonts w:hint="eastAsia" w:ascii="宋体" w:hAnsi="宋体" w:eastAsia="宋体" w:cs="宋体"/>
          <w:b/>
          <w:color w:val="000000" w:themeColor="text1"/>
          <w:sz w:val="24"/>
          <w:highlight w:val="none"/>
          <w14:textFill>
            <w14:solidFill>
              <w14:schemeClr w14:val="tx1"/>
            </w14:solidFill>
          </w14:textFill>
        </w:rPr>
        <w:t>六、公告期限</w:t>
      </w:r>
    </w:p>
    <w:p w14:paraId="5A1BD4BB">
      <w:pPr>
        <w:widowControl w:val="0"/>
        <w:overflowPunct/>
        <w:autoSpaceDE w:val="0"/>
        <w:autoSpaceDN w:val="0"/>
        <w:bidi w:val="0"/>
        <w:adjustRightInd w:val="0"/>
        <w:spacing w:line="460" w:lineRule="exact"/>
        <w:ind w:firstLine="480" w:firstLineChars="200"/>
        <w:outlineLvl w:val="9"/>
        <w:rPr>
          <w:rStyle w:val="114"/>
          <w:rFonts w:ascii="宋体" w:hAnsi="宋体" w:cs="宋体"/>
          <w:bCs/>
          <w:color w:val="000000" w:themeColor="text1"/>
          <w:sz w:val="24"/>
          <w:szCs w:val="24"/>
          <w:highlight w:val="none"/>
          <w14:textFill>
            <w14:solidFill>
              <w14:schemeClr w14:val="tx1"/>
            </w14:solidFill>
          </w14:textFill>
        </w:rPr>
      </w:pPr>
      <w:r>
        <w:rPr>
          <w:rStyle w:val="114"/>
          <w:rFonts w:hint="eastAsia" w:ascii="宋体" w:hAnsi="宋体" w:cs="宋体"/>
          <w:bCs/>
          <w:color w:val="000000" w:themeColor="text1"/>
          <w:sz w:val="24"/>
          <w:szCs w:val="24"/>
          <w:highlight w:val="none"/>
          <w14:textFill>
            <w14:solidFill>
              <w14:schemeClr w14:val="tx1"/>
            </w14:solidFill>
          </w14:textFill>
        </w:rPr>
        <w:t>自本公告发布之日起</w:t>
      </w:r>
      <w:r>
        <w:rPr>
          <w:rStyle w:val="114"/>
          <w:rFonts w:hint="eastAsia" w:ascii="宋体" w:hAnsi="宋体" w:cs="宋体"/>
          <w:bCs/>
          <w:color w:val="000000" w:themeColor="text1"/>
          <w:sz w:val="24"/>
          <w:szCs w:val="24"/>
          <w:highlight w:val="none"/>
          <w:lang w:val="en-US"/>
          <w14:textFill>
            <w14:solidFill>
              <w14:schemeClr w14:val="tx1"/>
            </w14:solidFill>
          </w14:textFill>
        </w:rPr>
        <w:t>5</w:t>
      </w:r>
      <w:r>
        <w:rPr>
          <w:rStyle w:val="114"/>
          <w:rFonts w:hint="eastAsia" w:ascii="宋体" w:hAnsi="宋体" w:cs="宋体"/>
          <w:bCs/>
          <w:color w:val="000000" w:themeColor="text1"/>
          <w:sz w:val="24"/>
          <w:szCs w:val="24"/>
          <w:highlight w:val="none"/>
          <w14:textFill>
            <w14:solidFill>
              <w14:schemeClr w14:val="tx1"/>
            </w14:solidFill>
          </w14:textFill>
        </w:rPr>
        <w:t>个工作日。</w:t>
      </w:r>
    </w:p>
    <w:p w14:paraId="59FFEB49">
      <w:pPr>
        <w:keepNext w:val="0"/>
        <w:keepLines w:val="0"/>
        <w:pageBreakBefore w:val="0"/>
        <w:widowControl w:val="0"/>
        <w:numPr>
          <w:ilvl w:val="0"/>
          <w:numId w:val="3"/>
        </w:numPr>
        <w:kinsoku/>
        <w:overflowPunct/>
        <w:topLinePunct w:val="0"/>
        <w:autoSpaceDE w:val="0"/>
        <w:autoSpaceDN w:val="0"/>
        <w:bidi w:val="0"/>
        <w:adjustRightInd w:val="0"/>
        <w:snapToGrid w:val="0"/>
        <w:spacing w:line="360" w:lineRule="auto"/>
        <w:textAlignment w:val="auto"/>
        <w:outlineLvl w:val="9"/>
        <w:rPr>
          <w:rFonts w:hint="eastAsia" w:ascii="宋体" w:hAnsi="宋体" w:eastAsia="宋体" w:cs="宋体"/>
          <w:b/>
          <w:color w:val="000000" w:themeColor="text1"/>
          <w:sz w:val="24"/>
          <w:highlight w:val="none"/>
          <w:lang w:eastAsia="zh-CN"/>
          <w14:textFill>
            <w14:solidFill>
              <w14:schemeClr w14:val="tx1"/>
            </w14:solidFill>
          </w14:textFill>
        </w:rPr>
      </w:pPr>
      <w:r>
        <w:rPr>
          <w:rFonts w:hint="eastAsia" w:ascii="宋体" w:hAnsi="宋体" w:eastAsia="宋体" w:cs="宋体"/>
          <w:b/>
          <w:color w:val="000000" w:themeColor="text1"/>
          <w:sz w:val="24"/>
          <w:highlight w:val="none"/>
          <w:lang w:eastAsia="zh-CN"/>
          <w14:textFill>
            <w14:solidFill>
              <w14:schemeClr w14:val="tx1"/>
            </w14:solidFill>
          </w14:textFill>
        </w:rPr>
        <w:t>其他补充事宜</w:t>
      </w:r>
    </w:p>
    <w:p w14:paraId="2F1F2AB0">
      <w:pPr>
        <w:widowControl w:val="0"/>
        <w:overflowPunct/>
        <w:autoSpaceDE w:val="0"/>
        <w:autoSpaceDN w:val="0"/>
        <w:bidi w:val="0"/>
        <w:adjustRightInd w:val="0"/>
        <w:spacing w:line="460" w:lineRule="exact"/>
        <w:ind w:firstLine="480" w:firstLineChars="200"/>
        <w:outlineLvl w:val="9"/>
        <w:rPr>
          <w:rFonts w:hint="eastAsia" w:ascii="宋体" w:hAnsi="宋体" w:eastAsia="宋体" w:cs="宋体"/>
          <w:bCs/>
          <w:color w:val="000000" w:themeColor="text1"/>
          <w:sz w:val="24"/>
          <w:highlight w:val="none"/>
          <w:lang w:val="en-US" w:eastAsia="zh-CN"/>
          <w14:textFill>
            <w14:solidFill>
              <w14:schemeClr w14:val="tx1"/>
            </w14:solidFill>
          </w14:textFill>
        </w:rPr>
      </w:pPr>
      <w:r>
        <w:rPr>
          <w:rFonts w:hint="eastAsia" w:ascii="宋体" w:hAnsi="宋体" w:eastAsia="宋体" w:cs="宋体"/>
          <w:bCs/>
          <w:color w:val="000000" w:themeColor="text1"/>
          <w:sz w:val="24"/>
          <w:highlight w:val="none"/>
          <w:lang w:val="en-US" w:eastAsia="zh-CN"/>
          <w14:textFill>
            <w14:solidFill>
              <w14:schemeClr w14:val="tx1"/>
            </w14:solidFill>
          </w14:textFill>
        </w:rPr>
        <w:t>1、逾期送达的或者未送达指定地点的响应文件，采购人、采购代理机构不予受理。</w:t>
      </w:r>
    </w:p>
    <w:p w14:paraId="3C4C1507">
      <w:pPr>
        <w:widowControl w:val="0"/>
        <w:overflowPunct/>
        <w:autoSpaceDE w:val="0"/>
        <w:autoSpaceDN w:val="0"/>
        <w:bidi w:val="0"/>
        <w:adjustRightInd w:val="0"/>
        <w:spacing w:line="460" w:lineRule="exact"/>
        <w:ind w:firstLine="480" w:firstLineChars="200"/>
        <w:outlineLvl w:val="9"/>
        <w:rPr>
          <w:rFonts w:hint="eastAsia" w:ascii="宋体" w:hAnsi="宋体" w:eastAsia="宋体" w:cs="宋体"/>
          <w:bCs/>
          <w:color w:val="000000" w:themeColor="text1"/>
          <w:sz w:val="24"/>
          <w:highlight w:val="none"/>
          <w:lang w:val="zh-CN" w:eastAsia="zh-CN"/>
          <w14:textFill>
            <w14:solidFill>
              <w14:schemeClr w14:val="tx1"/>
            </w14:solidFill>
          </w14:textFill>
        </w:rPr>
      </w:pPr>
      <w:r>
        <w:rPr>
          <w:rFonts w:hint="eastAsia" w:ascii="宋体" w:hAnsi="宋体" w:eastAsia="宋体" w:cs="宋体"/>
          <w:bCs/>
          <w:color w:val="000000" w:themeColor="text1"/>
          <w:sz w:val="24"/>
          <w:highlight w:val="none"/>
          <w:lang w:val="en-US" w:eastAsia="zh-CN"/>
          <w14:textFill>
            <w14:solidFill>
              <w14:schemeClr w14:val="tx1"/>
            </w14:solidFill>
          </w14:textFill>
        </w:rPr>
        <w:t>2、</w:t>
      </w:r>
      <w:r>
        <w:rPr>
          <w:rFonts w:hint="eastAsia" w:ascii="宋体" w:hAnsi="宋体" w:eastAsia="宋体" w:cs="宋体"/>
          <w:bCs/>
          <w:color w:val="000000" w:themeColor="text1"/>
          <w:sz w:val="24"/>
          <w:highlight w:val="none"/>
          <w:lang w:val="zh-CN" w:eastAsia="zh-CN"/>
          <w14:textFill>
            <w14:solidFill>
              <w14:schemeClr w14:val="tx1"/>
            </w14:solidFill>
          </w14:textFill>
        </w:rPr>
        <w:t>本项目采用全流程电子化招投标，开标方式为远程开标，供应商须在提交响应文件截止时间前通过政府采购云平台（网址：http://www.zcygov.cn）递交电子响应文件，并按照现场工作人员通知使用CA锁进行响应文件远程解密。</w:t>
      </w:r>
    </w:p>
    <w:p w14:paraId="4A5A76F3">
      <w:pPr>
        <w:widowControl w:val="0"/>
        <w:overflowPunct/>
        <w:autoSpaceDE w:val="0"/>
        <w:autoSpaceDN w:val="0"/>
        <w:bidi w:val="0"/>
        <w:adjustRightInd w:val="0"/>
        <w:spacing w:line="460" w:lineRule="exact"/>
        <w:ind w:firstLine="480" w:firstLineChars="200"/>
        <w:outlineLvl w:val="9"/>
        <w:rPr>
          <w:rFonts w:hint="eastAsia" w:ascii="宋体" w:hAnsi="宋体" w:eastAsia="宋体" w:cs="宋体"/>
          <w:bCs/>
          <w:color w:val="000000" w:themeColor="text1"/>
          <w:sz w:val="24"/>
          <w:highlight w:val="none"/>
          <w:lang w:val="zh-CN" w:eastAsia="zh-CN"/>
          <w14:textFill>
            <w14:solidFill>
              <w14:schemeClr w14:val="tx1"/>
            </w14:solidFill>
          </w14:textFill>
        </w:rPr>
      </w:pPr>
      <w:r>
        <w:rPr>
          <w:rFonts w:hint="eastAsia" w:ascii="宋体" w:hAnsi="宋体" w:eastAsia="宋体" w:cs="宋体"/>
          <w:bCs/>
          <w:color w:val="000000" w:themeColor="text1"/>
          <w:sz w:val="24"/>
          <w:highlight w:val="none"/>
          <w:lang w:val="en-US" w:eastAsia="zh-CN"/>
          <w14:textFill>
            <w14:solidFill>
              <w14:schemeClr w14:val="tx1"/>
            </w14:solidFill>
          </w14:textFill>
        </w:rPr>
        <w:t>3、</w:t>
      </w:r>
      <w:r>
        <w:rPr>
          <w:rFonts w:hint="eastAsia" w:ascii="宋体" w:hAnsi="宋体" w:eastAsia="宋体" w:cs="宋体"/>
          <w:bCs/>
          <w:color w:val="000000" w:themeColor="text1"/>
          <w:sz w:val="24"/>
          <w:highlight w:val="none"/>
          <w:lang w:val="zh-CN" w:eastAsia="zh-CN"/>
          <w14:textFill>
            <w14:solidFill>
              <w14:schemeClr w14:val="tx1"/>
            </w14:solidFill>
          </w14:textFill>
        </w:rPr>
        <w:t>投标操作流程：供应商在政府采购云平台网注册入库成为正式供应商后，在平台上按《政府采购项目电子交易管理操作指南-供应商》进行投标操作。</w:t>
      </w:r>
    </w:p>
    <w:p w14:paraId="6AE7225E">
      <w:pPr>
        <w:widowControl w:val="0"/>
        <w:overflowPunct/>
        <w:autoSpaceDE w:val="0"/>
        <w:autoSpaceDN w:val="0"/>
        <w:bidi w:val="0"/>
        <w:adjustRightInd w:val="0"/>
        <w:spacing w:line="460" w:lineRule="exact"/>
        <w:ind w:firstLine="480" w:firstLineChars="200"/>
        <w:outlineLvl w:val="9"/>
        <w:rPr>
          <w:rFonts w:hint="eastAsia" w:ascii="宋体" w:hAnsi="宋体" w:eastAsia="宋体" w:cs="宋体"/>
          <w:bCs/>
          <w:color w:val="000000" w:themeColor="text1"/>
          <w:sz w:val="24"/>
          <w:highlight w:val="none"/>
          <w:lang w:val="zh-CN" w:eastAsia="zh-CN"/>
          <w14:textFill>
            <w14:solidFill>
              <w14:schemeClr w14:val="tx1"/>
            </w14:solidFill>
          </w14:textFill>
        </w:rPr>
      </w:pPr>
      <w:r>
        <w:rPr>
          <w:rFonts w:hint="eastAsia" w:ascii="宋体" w:hAnsi="宋体" w:eastAsia="宋体" w:cs="宋体"/>
          <w:bCs/>
          <w:color w:val="000000" w:themeColor="text1"/>
          <w:sz w:val="24"/>
          <w:highlight w:val="none"/>
          <w:lang w:val="en-US" w:eastAsia="zh-CN"/>
          <w14:textFill>
            <w14:solidFill>
              <w14:schemeClr w14:val="tx1"/>
            </w14:solidFill>
          </w14:textFill>
        </w:rPr>
        <w:t>4、</w:t>
      </w:r>
      <w:r>
        <w:rPr>
          <w:rFonts w:hint="eastAsia" w:ascii="宋体" w:hAnsi="宋体" w:eastAsia="宋体" w:cs="宋体"/>
          <w:bCs/>
          <w:color w:val="000000" w:themeColor="text1"/>
          <w:sz w:val="24"/>
          <w:highlight w:val="none"/>
          <w:lang w:val="zh-CN" w:eastAsia="zh-CN"/>
          <w14:textFill>
            <w14:solidFill>
              <w14:schemeClr w14:val="tx1"/>
            </w14:solidFill>
          </w14:textFill>
        </w:rPr>
        <w:t>数字证书办理及投标技术咨询：</w:t>
      </w:r>
      <w:r>
        <w:rPr>
          <w:rFonts w:hint="eastAsia" w:ascii="宋体" w:hAnsi="宋体" w:eastAsia="宋体" w:cs="宋体"/>
          <w:bCs/>
          <w:color w:val="000000" w:themeColor="text1"/>
          <w:sz w:val="24"/>
          <w:highlight w:val="none"/>
          <w:lang w:val="en-US" w:eastAsia="zh-CN"/>
          <w14:textFill>
            <w14:solidFill>
              <w14:schemeClr w14:val="tx1"/>
            </w14:solidFill>
          </w14:textFill>
        </w:rPr>
        <w:t>供应商</w:t>
      </w:r>
      <w:r>
        <w:rPr>
          <w:rFonts w:hint="eastAsia" w:ascii="宋体" w:hAnsi="宋体" w:eastAsia="宋体" w:cs="宋体"/>
          <w:bCs/>
          <w:color w:val="000000" w:themeColor="text1"/>
          <w:sz w:val="24"/>
          <w:highlight w:val="none"/>
          <w:lang w:val="zh-CN" w:eastAsia="zh-CN"/>
          <w14:textFill>
            <w14:solidFill>
              <w14:schemeClr w14:val="tx1"/>
            </w14:solidFill>
          </w14:textFill>
        </w:rPr>
        <w:t>须办理数字证书方可参加投标。供应商须自行考虑数字证书办理时限，由于供应商自身原因在开标前无法完成办理，后果自负。</w:t>
      </w:r>
    </w:p>
    <w:p w14:paraId="3CA52F9A">
      <w:pPr>
        <w:keepNext w:val="0"/>
        <w:keepLines w:val="0"/>
        <w:pageBreakBefore w:val="0"/>
        <w:widowControl w:val="0"/>
        <w:kinsoku/>
        <w:wordWrap w:val="0"/>
        <w:overflowPunct/>
        <w:topLinePunct w:val="0"/>
        <w:autoSpaceDE w:val="0"/>
        <w:autoSpaceDN w:val="0"/>
        <w:bidi w:val="0"/>
        <w:adjustRightInd w:val="0"/>
        <w:snapToGrid/>
        <w:spacing w:line="460" w:lineRule="exact"/>
        <w:ind w:firstLine="480" w:firstLineChars="200"/>
        <w:textAlignment w:val="auto"/>
        <w:outlineLvl w:val="9"/>
        <w:rPr>
          <w:rFonts w:hint="eastAsia" w:ascii="宋体" w:hAnsi="宋体" w:eastAsia="宋体" w:cs="宋体"/>
          <w:bCs/>
          <w:color w:val="000000" w:themeColor="text1"/>
          <w:sz w:val="24"/>
          <w:highlight w:val="none"/>
          <w:lang w:eastAsia="zh-CN"/>
          <w14:textFill>
            <w14:solidFill>
              <w14:schemeClr w14:val="tx1"/>
            </w14:solidFill>
          </w14:textFill>
        </w:rPr>
      </w:pPr>
      <w:r>
        <w:rPr>
          <w:rFonts w:hint="eastAsia" w:ascii="宋体" w:hAnsi="宋体" w:eastAsia="宋体" w:cs="宋体"/>
          <w:bCs/>
          <w:color w:val="000000" w:themeColor="text1"/>
          <w:sz w:val="24"/>
          <w:highlight w:val="none"/>
          <w:lang w:val="en-US" w:eastAsia="zh-CN"/>
          <w14:textFill>
            <w14:solidFill>
              <w14:schemeClr w14:val="tx1"/>
            </w14:solidFill>
          </w14:textFill>
        </w:rPr>
        <w:t>5、</w:t>
      </w:r>
      <w:r>
        <w:rPr>
          <w:rFonts w:hint="eastAsia" w:ascii="宋体" w:hAnsi="宋体" w:eastAsia="宋体" w:cs="宋体"/>
          <w:bCs/>
          <w:color w:val="000000" w:themeColor="text1"/>
          <w:sz w:val="24"/>
          <w:highlight w:val="none"/>
          <w:lang w:eastAsia="zh-CN"/>
          <w14:textFill>
            <w14:solidFill>
              <w14:schemeClr w14:val="tx1"/>
            </w14:solidFill>
          </w14:textFill>
        </w:rPr>
        <w:t>若对项目采购电子交易系统操作有疑问，可登录“政采云”平台（https://www.zcygov.cn/）点击右侧咨询小采，获取采小蜜智能服务管家帮助，或拨打政采云服务热线95763获取热线服务帮助。</w:t>
      </w:r>
    </w:p>
    <w:p w14:paraId="2EEE51D6">
      <w:pPr>
        <w:widowControl w:val="0"/>
        <w:overflowPunct/>
        <w:autoSpaceDE w:val="0"/>
        <w:autoSpaceDN w:val="0"/>
        <w:bidi w:val="0"/>
        <w:adjustRightInd w:val="0"/>
        <w:spacing w:line="460" w:lineRule="exact"/>
        <w:ind w:firstLine="480" w:firstLineChars="200"/>
        <w:outlineLvl w:val="9"/>
        <w:rPr>
          <w:rFonts w:hint="eastAsia" w:ascii="宋体" w:hAnsi="宋体" w:eastAsia="宋体" w:cs="宋体"/>
          <w:bCs/>
          <w:color w:val="000000" w:themeColor="text1"/>
          <w:sz w:val="24"/>
          <w:highlight w:val="none"/>
          <w:lang w:val="en-US" w:eastAsia="zh-CN"/>
          <w14:textFill>
            <w14:solidFill>
              <w14:schemeClr w14:val="tx1"/>
            </w14:solidFill>
          </w14:textFill>
        </w:rPr>
      </w:pPr>
      <w:r>
        <w:rPr>
          <w:rFonts w:hint="eastAsia" w:ascii="宋体" w:hAnsi="宋体" w:eastAsia="宋体" w:cs="宋体"/>
          <w:bCs/>
          <w:color w:val="000000" w:themeColor="text1"/>
          <w:sz w:val="24"/>
          <w:highlight w:val="none"/>
          <w:lang w:val="en-US" w:eastAsia="zh-CN"/>
          <w14:textFill>
            <w14:solidFill>
              <w14:schemeClr w14:val="tx1"/>
            </w14:solidFill>
          </w14:textFill>
        </w:rPr>
        <w:t>6、因企业CA锁原因未能进行解密的，其投标无效。</w:t>
      </w:r>
    </w:p>
    <w:p w14:paraId="7CA47642">
      <w:pPr>
        <w:widowControl w:val="0"/>
        <w:overflowPunct/>
        <w:autoSpaceDE w:val="0"/>
        <w:autoSpaceDN w:val="0"/>
        <w:bidi w:val="0"/>
        <w:adjustRightInd w:val="0"/>
        <w:spacing w:line="460" w:lineRule="exact"/>
        <w:ind w:firstLine="480" w:firstLineChars="200"/>
        <w:outlineLvl w:val="9"/>
        <w:rPr>
          <w:rFonts w:hint="eastAsia" w:ascii="宋体" w:hAnsi="宋体" w:eastAsia="宋体" w:cs="宋体"/>
          <w:bCs/>
          <w:color w:val="000000" w:themeColor="text1"/>
          <w:sz w:val="24"/>
          <w:highlight w:val="none"/>
          <w:lang w:val="en-US" w:eastAsia="zh-CN"/>
          <w14:textFill>
            <w14:solidFill>
              <w14:schemeClr w14:val="tx1"/>
            </w14:solidFill>
          </w14:textFill>
        </w:rPr>
      </w:pPr>
      <w:r>
        <w:rPr>
          <w:rFonts w:hint="eastAsia" w:ascii="宋体" w:hAnsi="宋体" w:eastAsia="宋体" w:cs="宋体"/>
          <w:bCs/>
          <w:color w:val="000000" w:themeColor="text1"/>
          <w:sz w:val="24"/>
          <w:highlight w:val="none"/>
          <w:lang w:val="en-US" w:eastAsia="zh-CN"/>
          <w14:textFill>
            <w14:solidFill>
              <w14:schemeClr w14:val="tx1"/>
            </w14:solidFill>
          </w14:textFill>
        </w:rPr>
        <w:t>7、采购项目需要落实的政府采购政策:《政府采购促进中小企业发展管理办法》（财库〔2020〕46号）</w:t>
      </w:r>
      <w:r>
        <w:rPr>
          <w:rFonts w:hint="eastAsia" w:ascii="宋体" w:hAnsi="宋体" w:cs="宋体"/>
          <w:bCs/>
          <w:color w:val="000000" w:themeColor="text1"/>
          <w:sz w:val="24"/>
          <w:highlight w:val="none"/>
          <w:lang w:val="en-US" w:eastAsia="zh-CN"/>
          <w14:textFill>
            <w14:solidFill>
              <w14:schemeClr w14:val="tx1"/>
            </w14:solidFill>
          </w14:textFill>
        </w:rPr>
        <w:t>及《关于进一步加大政府采购支持中小企业力度的通知》(财库〔2022〕19号)</w:t>
      </w:r>
      <w:r>
        <w:rPr>
          <w:rFonts w:hint="eastAsia" w:ascii="宋体" w:hAnsi="宋体" w:eastAsia="宋体" w:cs="宋体"/>
          <w:bCs/>
          <w:color w:val="000000" w:themeColor="text1"/>
          <w:sz w:val="24"/>
          <w:highlight w:val="none"/>
          <w:lang w:val="en-US" w:eastAsia="zh-CN"/>
          <w14:textFill>
            <w14:solidFill>
              <w14:schemeClr w14:val="tx1"/>
            </w14:solidFill>
          </w14:textFill>
        </w:rPr>
        <w:t>、《关于促进残疾人就业政府采购政策的通知》（财库〔2017〕141号）、《关于政府采购支持监狱企业发展有关问题的通知》(财库〔2014〕68号)、《国务院办公厅关于建立政府强制采购节能产品制度的通知》（国办发〔2007〕51号）、《关于调整优化节能产品、环境标志产品政府采购执行机制的通知》（财库〔2019〕9号）等国家最新政策。</w:t>
      </w:r>
    </w:p>
    <w:p w14:paraId="2C3A90D8">
      <w:pPr>
        <w:widowControl w:val="0"/>
        <w:overflowPunct/>
        <w:autoSpaceDE w:val="0"/>
        <w:autoSpaceDN w:val="0"/>
        <w:bidi w:val="0"/>
        <w:adjustRightInd w:val="0"/>
        <w:spacing w:line="460" w:lineRule="exact"/>
        <w:ind w:firstLine="480" w:firstLineChars="200"/>
        <w:outlineLvl w:val="9"/>
        <w:rPr>
          <w:rFonts w:hint="default" w:ascii="宋体" w:hAnsi="宋体" w:eastAsia="宋体" w:cs="宋体"/>
          <w:bCs/>
          <w:color w:val="000000" w:themeColor="text1"/>
          <w:sz w:val="24"/>
          <w:highlight w:val="none"/>
          <w:lang w:val="en-US" w:eastAsia="zh-CN"/>
          <w14:textFill>
            <w14:solidFill>
              <w14:schemeClr w14:val="tx1"/>
            </w14:solidFill>
          </w14:textFill>
        </w:rPr>
      </w:pPr>
      <w:r>
        <w:rPr>
          <w:rFonts w:hint="eastAsia" w:ascii="宋体" w:hAnsi="宋体" w:eastAsia="宋体" w:cs="宋体"/>
          <w:bCs/>
          <w:color w:val="000000" w:themeColor="text1"/>
          <w:sz w:val="24"/>
          <w:highlight w:val="none"/>
          <w:lang w:val="en-US" w:eastAsia="zh-CN"/>
          <w14:textFill>
            <w14:solidFill>
              <w14:schemeClr w14:val="tx1"/>
            </w14:solidFill>
          </w14:textFill>
        </w:rPr>
        <w:t>8、</w:t>
      </w:r>
      <w:r>
        <w:rPr>
          <w:rFonts w:hint="eastAsia" w:ascii="宋体" w:hAnsi="宋体" w:cs="宋体"/>
          <w:bCs/>
          <w:color w:val="000000" w:themeColor="text1"/>
          <w:sz w:val="24"/>
          <w:highlight w:val="none"/>
          <w:lang w:val="en-US" w:eastAsia="zh-CN"/>
          <w14:textFill>
            <w14:solidFill>
              <w14:schemeClr w14:val="tx1"/>
            </w14:solidFill>
          </w14:textFill>
        </w:rPr>
        <w:t>本次公告</w:t>
      </w:r>
      <w:r>
        <w:rPr>
          <w:rFonts w:hint="eastAsia" w:ascii="宋体" w:hAnsi="宋体" w:eastAsia="宋体" w:cs="宋体"/>
          <w:bCs/>
          <w:color w:val="000000" w:themeColor="text1"/>
          <w:sz w:val="24"/>
          <w:highlight w:val="none"/>
          <w:lang w:val="en-US" w:eastAsia="zh-CN"/>
          <w14:textFill>
            <w14:solidFill>
              <w14:schemeClr w14:val="tx1"/>
            </w14:solidFill>
          </w14:textFill>
        </w:rPr>
        <w:t>在“政采云”平台（http:// www.zcygov.cn），同步推送到吉林省政府采购网（http://www.ccgp-jilin.gov.cn/），并同时在中国政府采购网上发布。</w:t>
      </w:r>
    </w:p>
    <w:p w14:paraId="1A5ACC7F">
      <w:pPr>
        <w:widowControl w:val="0"/>
        <w:overflowPunct/>
        <w:autoSpaceDE w:val="0"/>
        <w:autoSpaceDN w:val="0"/>
        <w:bidi w:val="0"/>
        <w:adjustRightInd w:val="0"/>
        <w:spacing w:line="460" w:lineRule="exact"/>
        <w:outlineLvl w:val="9"/>
        <w:rPr>
          <w:rFonts w:ascii="宋体" w:hAnsi="宋体" w:eastAsia="宋体" w:cs="宋体"/>
          <w:b/>
          <w:color w:val="000000" w:themeColor="text1"/>
          <w:sz w:val="24"/>
          <w:highlight w:val="none"/>
          <w14:textFill>
            <w14:solidFill>
              <w14:schemeClr w14:val="tx1"/>
            </w14:solidFill>
          </w14:textFill>
        </w:rPr>
      </w:pPr>
      <w:r>
        <w:rPr>
          <w:rFonts w:hint="eastAsia" w:ascii="宋体" w:hAnsi="宋体" w:eastAsia="宋体" w:cs="宋体"/>
          <w:b/>
          <w:color w:val="000000" w:themeColor="text1"/>
          <w:sz w:val="24"/>
          <w:highlight w:val="none"/>
          <w14:textFill>
            <w14:solidFill>
              <w14:schemeClr w14:val="tx1"/>
            </w14:solidFill>
          </w14:textFill>
        </w:rPr>
        <w:t>九、对本次</w:t>
      </w:r>
      <w:r>
        <w:rPr>
          <w:rFonts w:hint="eastAsia" w:ascii="宋体" w:hAnsi="宋体" w:eastAsia="宋体" w:cs="宋体"/>
          <w:b/>
          <w:color w:val="000000" w:themeColor="text1"/>
          <w:sz w:val="24"/>
          <w:highlight w:val="none"/>
          <w:lang w:eastAsia="zh-CN"/>
          <w14:textFill>
            <w14:solidFill>
              <w14:schemeClr w14:val="tx1"/>
            </w14:solidFill>
          </w14:textFill>
        </w:rPr>
        <w:t>磋商</w:t>
      </w:r>
      <w:r>
        <w:rPr>
          <w:rFonts w:hint="eastAsia" w:ascii="宋体" w:hAnsi="宋体" w:eastAsia="宋体" w:cs="宋体"/>
          <w:b/>
          <w:color w:val="000000" w:themeColor="text1"/>
          <w:sz w:val="24"/>
          <w:highlight w:val="none"/>
          <w14:textFill>
            <w14:solidFill>
              <w14:schemeClr w14:val="tx1"/>
            </w14:solidFill>
          </w14:textFill>
        </w:rPr>
        <w:t>提出询问，请按以下方式联系。</w:t>
      </w:r>
    </w:p>
    <w:p w14:paraId="3B1DBA61">
      <w:pPr>
        <w:widowControl w:val="0"/>
        <w:overflowPunct/>
        <w:autoSpaceDE w:val="0"/>
        <w:autoSpaceDN w:val="0"/>
        <w:bidi w:val="0"/>
        <w:adjustRightInd w:val="0"/>
        <w:spacing w:line="460" w:lineRule="exact"/>
        <w:ind w:firstLine="480" w:firstLineChars="200"/>
        <w:outlineLvl w:val="9"/>
        <w:rPr>
          <w:rFonts w:hint="eastAsia" w:ascii="宋体" w:hAnsi="宋体" w:eastAsia="宋体" w:cs="宋体"/>
          <w:bCs/>
          <w:color w:val="000000" w:themeColor="text1"/>
          <w:sz w:val="24"/>
          <w:highlight w:val="none"/>
          <w:lang w:val="en-US" w:eastAsia="zh-CN"/>
          <w14:textFill>
            <w14:solidFill>
              <w14:schemeClr w14:val="tx1"/>
            </w14:solidFill>
          </w14:textFill>
        </w:rPr>
      </w:pPr>
      <w:bookmarkStart w:id="8" w:name="_Toc35393637"/>
      <w:bookmarkStart w:id="9" w:name="_Toc35393806"/>
      <w:bookmarkStart w:id="10" w:name="_Toc28359019"/>
      <w:bookmarkStart w:id="11" w:name="_Toc28359096"/>
      <w:r>
        <w:rPr>
          <w:rFonts w:hint="eastAsia" w:ascii="宋体" w:hAnsi="宋体" w:eastAsia="宋体" w:cs="宋体"/>
          <w:bCs/>
          <w:color w:val="000000" w:themeColor="text1"/>
          <w:sz w:val="24"/>
          <w:highlight w:val="none"/>
          <w:lang w:val="en-US" w:eastAsia="zh-CN"/>
          <w14:textFill>
            <w14:solidFill>
              <w14:schemeClr w14:val="tx1"/>
            </w14:solidFill>
          </w14:textFill>
        </w:rPr>
        <w:t>1.采购人信息</w:t>
      </w:r>
      <w:bookmarkEnd w:id="8"/>
      <w:bookmarkEnd w:id="9"/>
      <w:bookmarkEnd w:id="10"/>
      <w:bookmarkEnd w:id="11"/>
    </w:p>
    <w:p w14:paraId="04A23BA2">
      <w:pPr>
        <w:widowControl w:val="0"/>
        <w:overflowPunct/>
        <w:autoSpaceDE w:val="0"/>
        <w:autoSpaceDN w:val="0"/>
        <w:bidi w:val="0"/>
        <w:adjustRightInd w:val="0"/>
        <w:spacing w:line="460" w:lineRule="exact"/>
        <w:ind w:firstLine="480" w:firstLineChars="200"/>
        <w:outlineLvl w:val="9"/>
        <w:rPr>
          <w:rFonts w:hint="eastAsia" w:ascii="宋体" w:hAnsi="宋体" w:eastAsia="宋体" w:cs="宋体"/>
          <w:bCs/>
          <w:color w:val="000000" w:themeColor="text1"/>
          <w:sz w:val="24"/>
          <w:highlight w:val="none"/>
          <w:lang w:val="en-US" w:eastAsia="zh-CN"/>
          <w14:textFill>
            <w14:solidFill>
              <w14:schemeClr w14:val="tx1"/>
            </w14:solidFill>
          </w14:textFill>
        </w:rPr>
      </w:pPr>
      <w:r>
        <w:rPr>
          <w:rFonts w:hint="eastAsia" w:ascii="宋体" w:hAnsi="宋体" w:eastAsia="宋体" w:cs="宋体"/>
          <w:bCs/>
          <w:color w:val="000000" w:themeColor="text1"/>
          <w:sz w:val="24"/>
          <w:highlight w:val="none"/>
          <w:lang w:val="en-US" w:eastAsia="zh-CN"/>
          <w14:textFill>
            <w14:solidFill>
              <w14:schemeClr w14:val="tx1"/>
            </w14:solidFill>
          </w14:textFill>
        </w:rPr>
        <w:t>名    称：</w:t>
      </w:r>
      <w:r>
        <w:rPr>
          <w:rFonts w:hint="eastAsia" w:ascii="宋体" w:hAnsi="宋体" w:cs="宋体"/>
          <w:bCs/>
          <w:color w:val="000000" w:themeColor="text1"/>
          <w:sz w:val="24"/>
          <w:highlight w:val="none"/>
          <w:lang w:val="en-US" w:eastAsia="zh-CN"/>
          <w14:textFill>
            <w14:solidFill>
              <w14:schemeClr w14:val="tx1"/>
            </w14:solidFill>
          </w14:textFill>
        </w:rPr>
        <w:t>珲春市教育技术装备中心</w:t>
      </w:r>
    </w:p>
    <w:p w14:paraId="3CFF5320">
      <w:pPr>
        <w:widowControl w:val="0"/>
        <w:overflowPunct/>
        <w:autoSpaceDE w:val="0"/>
        <w:autoSpaceDN w:val="0"/>
        <w:bidi w:val="0"/>
        <w:adjustRightInd w:val="0"/>
        <w:spacing w:line="460" w:lineRule="exact"/>
        <w:ind w:firstLine="480" w:firstLineChars="200"/>
        <w:outlineLvl w:val="9"/>
        <w:rPr>
          <w:rFonts w:hint="eastAsia" w:ascii="宋体" w:hAnsi="宋体" w:eastAsia="宋体" w:cs="宋体"/>
          <w:bCs/>
          <w:color w:val="000000" w:themeColor="text1"/>
          <w:sz w:val="24"/>
          <w:highlight w:val="none"/>
          <w:lang w:val="en-US" w:eastAsia="zh-CN"/>
          <w14:textFill>
            <w14:solidFill>
              <w14:schemeClr w14:val="tx1"/>
            </w14:solidFill>
          </w14:textFill>
        </w:rPr>
      </w:pPr>
      <w:r>
        <w:rPr>
          <w:rFonts w:hint="eastAsia" w:ascii="宋体" w:hAnsi="宋体" w:eastAsia="宋体" w:cs="宋体"/>
          <w:bCs/>
          <w:color w:val="000000" w:themeColor="text1"/>
          <w:sz w:val="24"/>
          <w:highlight w:val="none"/>
          <w:lang w:val="en-US" w:eastAsia="zh-CN"/>
          <w14:textFill>
            <w14:solidFill>
              <w14:schemeClr w14:val="tx1"/>
            </w14:solidFill>
          </w14:textFill>
        </w:rPr>
        <w:t>地    址：</w:t>
      </w:r>
      <w:r>
        <w:rPr>
          <w:rFonts w:hint="eastAsia" w:ascii="宋体" w:hAnsi="宋体" w:cs="宋体"/>
          <w:bCs/>
          <w:color w:val="000000" w:themeColor="text1"/>
          <w:sz w:val="24"/>
          <w:highlight w:val="none"/>
          <w:lang w:val="en-US" w:eastAsia="zh-CN"/>
          <w14:textFill>
            <w14:solidFill>
              <w14:schemeClr w14:val="tx1"/>
            </w14:solidFill>
          </w14:textFill>
        </w:rPr>
        <w:t>珲春市靖和街育才胡同400号</w:t>
      </w:r>
    </w:p>
    <w:p w14:paraId="1FA44299">
      <w:pPr>
        <w:widowControl w:val="0"/>
        <w:overflowPunct/>
        <w:autoSpaceDE w:val="0"/>
        <w:autoSpaceDN w:val="0"/>
        <w:bidi w:val="0"/>
        <w:adjustRightInd w:val="0"/>
        <w:spacing w:line="460" w:lineRule="exact"/>
        <w:ind w:firstLine="480" w:firstLineChars="200"/>
        <w:outlineLvl w:val="9"/>
        <w:rPr>
          <w:rFonts w:hint="eastAsia" w:ascii="宋体" w:hAnsi="宋体" w:eastAsia="宋体" w:cs="宋体"/>
          <w:bCs/>
          <w:color w:val="000000" w:themeColor="text1"/>
          <w:sz w:val="24"/>
          <w:highlight w:val="none"/>
          <w:lang w:val="en-US" w:eastAsia="zh-CN"/>
          <w14:textFill>
            <w14:solidFill>
              <w14:schemeClr w14:val="tx1"/>
            </w14:solidFill>
          </w14:textFill>
        </w:rPr>
      </w:pPr>
      <w:r>
        <w:rPr>
          <w:rFonts w:hint="eastAsia" w:ascii="宋体" w:hAnsi="宋体" w:eastAsia="宋体" w:cs="宋体"/>
          <w:bCs/>
          <w:color w:val="000000" w:themeColor="text1"/>
          <w:sz w:val="24"/>
          <w:highlight w:val="none"/>
          <w:lang w:val="en-US" w:eastAsia="zh-CN"/>
          <w14:textFill>
            <w14:solidFill>
              <w14:schemeClr w14:val="tx1"/>
            </w14:solidFill>
          </w14:textFill>
        </w:rPr>
        <w:t>联系方式：</w:t>
      </w:r>
      <w:r>
        <w:rPr>
          <w:rFonts w:hint="eastAsia" w:ascii="宋体" w:hAnsi="宋体" w:cs="宋体"/>
          <w:bCs/>
          <w:color w:val="000000" w:themeColor="text1"/>
          <w:sz w:val="24"/>
          <w:highlight w:val="none"/>
          <w:lang w:val="en-US" w:eastAsia="zh-CN"/>
          <w14:textFill>
            <w14:solidFill>
              <w14:schemeClr w14:val="tx1"/>
            </w14:solidFill>
          </w14:textFill>
        </w:rPr>
        <w:t>王东晖 15143326263</w:t>
      </w:r>
    </w:p>
    <w:p w14:paraId="2200B1CD">
      <w:pPr>
        <w:widowControl w:val="0"/>
        <w:overflowPunct/>
        <w:autoSpaceDE w:val="0"/>
        <w:autoSpaceDN w:val="0"/>
        <w:bidi w:val="0"/>
        <w:adjustRightInd w:val="0"/>
        <w:spacing w:line="460" w:lineRule="exact"/>
        <w:ind w:firstLine="480" w:firstLineChars="200"/>
        <w:outlineLvl w:val="9"/>
        <w:rPr>
          <w:rFonts w:hint="eastAsia" w:ascii="宋体" w:hAnsi="宋体" w:eastAsia="宋体" w:cs="宋体"/>
          <w:bCs/>
          <w:color w:val="000000" w:themeColor="text1"/>
          <w:sz w:val="24"/>
          <w:highlight w:val="none"/>
          <w:lang w:val="en-US" w:eastAsia="zh-CN"/>
          <w14:textFill>
            <w14:solidFill>
              <w14:schemeClr w14:val="tx1"/>
            </w14:solidFill>
          </w14:textFill>
        </w:rPr>
      </w:pPr>
      <w:bookmarkStart w:id="12" w:name="_Toc28359097"/>
      <w:bookmarkStart w:id="13" w:name="_Toc35393807"/>
      <w:bookmarkStart w:id="14" w:name="_Toc35393638"/>
      <w:bookmarkStart w:id="15" w:name="_Toc28359020"/>
      <w:r>
        <w:rPr>
          <w:rFonts w:hint="eastAsia" w:ascii="宋体" w:hAnsi="宋体" w:eastAsia="宋体" w:cs="宋体"/>
          <w:bCs/>
          <w:color w:val="000000" w:themeColor="text1"/>
          <w:sz w:val="24"/>
          <w:highlight w:val="none"/>
          <w:lang w:val="en-US" w:eastAsia="zh-CN"/>
          <w14:textFill>
            <w14:solidFill>
              <w14:schemeClr w14:val="tx1"/>
            </w14:solidFill>
          </w14:textFill>
        </w:rPr>
        <w:t>2.采购代理机构信息</w:t>
      </w:r>
      <w:bookmarkEnd w:id="12"/>
      <w:bookmarkEnd w:id="13"/>
      <w:bookmarkEnd w:id="14"/>
      <w:bookmarkEnd w:id="15"/>
    </w:p>
    <w:p w14:paraId="622A4BEC">
      <w:pPr>
        <w:widowControl w:val="0"/>
        <w:overflowPunct/>
        <w:autoSpaceDE w:val="0"/>
        <w:autoSpaceDN w:val="0"/>
        <w:bidi w:val="0"/>
        <w:adjustRightInd w:val="0"/>
        <w:spacing w:line="460" w:lineRule="exact"/>
        <w:ind w:firstLine="480" w:firstLineChars="200"/>
        <w:outlineLvl w:val="9"/>
        <w:rPr>
          <w:rFonts w:hint="eastAsia" w:ascii="宋体" w:hAnsi="宋体" w:eastAsia="宋体" w:cs="宋体"/>
          <w:bCs/>
          <w:color w:val="000000" w:themeColor="text1"/>
          <w:sz w:val="24"/>
          <w:highlight w:val="none"/>
          <w:lang w:val="en-US" w:eastAsia="zh-CN"/>
          <w14:textFill>
            <w14:solidFill>
              <w14:schemeClr w14:val="tx1"/>
            </w14:solidFill>
          </w14:textFill>
        </w:rPr>
      </w:pPr>
      <w:r>
        <w:rPr>
          <w:rFonts w:hint="eastAsia" w:ascii="宋体" w:hAnsi="宋体" w:eastAsia="宋体" w:cs="宋体"/>
          <w:bCs/>
          <w:color w:val="000000" w:themeColor="text1"/>
          <w:sz w:val="24"/>
          <w:highlight w:val="none"/>
          <w:lang w:val="en-US" w:eastAsia="zh-CN"/>
          <w14:textFill>
            <w14:solidFill>
              <w14:schemeClr w14:val="tx1"/>
            </w14:solidFill>
          </w14:textFill>
        </w:rPr>
        <w:t>名    称：</w:t>
      </w:r>
      <w:r>
        <w:rPr>
          <w:rFonts w:hint="eastAsia" w:ascii="宋体" w:hAnsi="宋体" w:cs="宋体"/>
          <w:bCs/>
          <w:color w:val="000000" w:themeColor="text1"/>
          <w:sz w:val="24"/>
          <w:highlight w:val="none"/>
          <w:lang w:val="en-US" w:eastAsia="zh-CN"/>
          <w14:textFill>
            <w14:solidFill>
              <w14:schemeClr w14:val="tx1"/>
            </w14:solidFill>
          </w14:textFill>
        </w:rPr>
        <w:t>吉林省天一工程管理有限公司</w:t>
      </w:r>
    </w:p>
    <w:p w14:paraId="56A6274D">
      <w:pPr>
        <w:widowControl w:val="0"/>
        <w:overflowPunct/>
        <w:autoSpaceDE w:val="0"/>
        <w:autoSpaceDN w:val="0"/>
        <w:bidi w:val="0"/>
        <w:adjustRightInd w:val="0"/>
        <w:spacing w:line="460" w:lineRule="exact"/>
        <w:ind w:firstLine="480" w:firstLineChars="200"/>
        <w:outlineLvl w:val="9"/>
        <w:rPr>
          <w:rFonts w:hint="eastAsia" w:ascii="宋体" w:hAnsi="宋体" w:eastAsia="宋体" w:cs="宋体"/>
          <w:bCs/>
          <w:color w:val="000000" w:themeColor="text1"/>
          <w:sz w:val="24"/>
          <w:highlight w:val="none"/>
          <w:lang w:val="en-US" w:eastAsia="zh-CN"/>
          <w14:textFill>
            <w14:solidFill>
              <w14:schemeClr w14:val="tx1"/>
            </w14:solidFill>
          </w14:textFill>
        </w:rPr>
      </w:pPr>
      <w:r>
        <w:rPr>
          <w:rFonts w:hint="eastAsia" w:ascii="宋体" w:hAnsi="宋体" w:eastAsia="宋体" w:cs="宋体"/>
          <w:bCs/>
          <w:color w:val="000000" w:themeColor="text1"/>
          <w:sz w:val="24"/>
          <w:highlight w:val="none"/>
          <w:lang w:val="en-US" w:eastAsia="zh-CN"/>
          <w14:textFill>
            <w14:solidFill>
              <w14:schemeClr w14:val="tx1"/>
            </w14:solidFill>
          </w14:textFill>
        </w:rPr>
        <w:t>地    址：</w:t>
      </w:r>
      <w:r>
        <w:rPr>
          <w:rFonts w:hint="eastAsia" w:ascii="宋体" w:hAnsi="宋体" w:cs="宋体"/>
          <w:bCs/>
          <w:color w:val="000000" w:themeColor="text1"/>
          <w:sz w:val="24"/>
          <w:highlight w:val="none"/>
          <w:lang w:val="en-US" w:eastAsia="zh-CN"/>
          <w14:textFill>
            <w14:solidFill>
              <w14:schemeClr w14:val="tx1"/>
            </w14:solidFill>
          </w14:textFill>
        </w:rPr>
        <w:t xml:space="preserve">延吉市延边林区分院南侧 </w:t>
      </w:r>
      <w:r>
        <w:rPr>
          <w:rFonts w:hint="eastAsia" w:ascii="宋体" w:hAnsi="宋体" w:eastAsia="宋体" w:cs="宋体"/>
          <w:bCs/>
          <w:color w:val="000000" w:themeColor="text1"/>
          <w:sz w:val="24"/>
          <w:highlight w:val="none"/>
          <w:lang w:val="en-US" w:eastAsia="zh-CN"/>
          <w14:textFill>
            <w14:solidFill>
              <w14:schemeClr w14:val="tx1"/>
            </w14:solidFill>
          </w14:textFill>
        </w:rPr>
        <w:t xml:space="preserve">     </w:t>
      </w:r>
    </w:p>
    <w:p w14:paraId="771C907D">
      <w:pPr>
        <w:widowControl w:val="0"/>
        <w:overflowPunct/>
        <w:autoSpaceDE w:val="0"/>
        <w:autoSpaceDN w:val="0"/>
        <w:bidi w:val="0"/>
        <w:adjustRightInd w:val="0"/>
        <w:spacing w:line="460" w:lineRule="exact"/>
        <w:ind w:firstLine="480" w:firstLineChars="200"/>
        <w:outlineLvl w:val="9"/>
        <w:rPr>
          <w:rFonts w:hint="default" w:ascii="宋体" w:hAnsi="宋体" w:eastAsia="宋体" w:cs="宋体"/>
          <w:bCs/>
          <w:color w:val="000000" w:themeColor="text1"/>
          <w:sz w:val="24"/>
          <w:highlight w:val="none"/>
          <w:lang w:val="en-US" w:eastAsia="zh-CN"/>
          <w14:textFill>
            <w14:solidFill>
              <w14:schemeClr w14:val="tx1"/>
            </w14:solidFill>
          </w14:textFill>
        </w:rPr>
      </w:pPr>
      <w:r>
        <w:rPr>
          <w:rFonts w:hint="eastAsia" w:ascii="宋体" w:hAnsi="宋体" w:eastAsia="宋体" w:cs="宋体"/>
          <w:bCs/>
          <w:color w:val="000000" w:themeColor="text1"/>
          <w:sz w:val="24"/>
          <w:highlight w:val="none"/>
          <w:lang w:val="en-US" w:eastAsia="zh-CN"/>
          <w14:textFill>
            <w14:solidFill>
              <w14:schemeClr w14:val="tx1"/>
            </w14:solidFill>
          </w14:textFill>
        </w:rPr>
        <w:t>联系方式：</w:t>
      </w:r>
      <w:r>
        <w:rPr>
          <w:rFonts w:hint="eastAsia" w:ascii="宋体" w:hAnsi="宋体" w:cs="宋体"/>
          <w:bCs/>
          <w:color w:val="000000" w:themeColor="text1"/>
          <w:sz w:val="24"/>
          <w:highlight w:val="none"/>
          <w:lang w:val="zh-CN" w:eastAsia="zh-CN"/>
          <w14:textFill>
            <w14:solidFill>
              <w14:schemeClr w14:val="tx1"/>
            </w14:solidFill>
          </w14:textFill>
        </w:rPr>
        <w:t>曲梦妮</w:t>
      </w:r>
      <w:r>
        <w:rPr>
          <w:rFonts w:hint="eastAsia" w:ascii="宋体" w:hAnsi="宋体" w:cs="宋体"/>
          <w:bCs/>
          <w:color w:val="000000" w:themeColor="text1"/>
          <w:sz w:val="24"/>
          <w:highlight w:val="none"/>
          <w:lang w:val="en-US" w:eastAsia="zh-CN"/>
          <w14:textFill>
            <w14:solidFill>
              <w14:schemeClr w14:val="tx1"/>
            </w14:solidFill>
          </w14:textFill>
        </w:rPr>
        <w:t>0433-2809090</w:t>
      </w:r>
    </w:p>
    <w:p w14:paraId="1CCCEA34">
      <w:pPr>
        <w:widowControl w:val="0"/>
        <w:overflowPunct/>
        <w:autoSpaceDE w:val="0"/>
        <w:autoSpaceDN w:val="0"/>
        <w:bidi w:val="0"/>
        <w:adjustRightInd w:val="0"/>
        <w:spacing w:line="460" w:lineRule="exact"/>
        <w:ind w:firstLine="480" w:firstLineChars="200"/>
        <w:outlineLvl w:val="9"/>
        <w:rPr>
          <w:rFonts w:hint="eastAsia" w:ascii="宋体" w:hAnsi="宋体" w:eastAsia="宋体" w:cs="宋体"/>
          <w:bCs/>
          <w:color w:val="000000" w:themeColor="text1"/>
          <w:sz w:val="24"/>
          <w:highlight w:val="none"/>
          <w:lang w:val="en-US" w:eastAsia="zh-CN"/>
          <w14:textFill>
            <w14:solidFill>
              <w14:schemeClr w14:val="tx1"/>
            </w14:solidFill>
          </w14:textFill>
        </w:rPr>
      </w:pPr>
      <w:bookmarkStart w:id="16" w:name="_Toc28359098"/>
      <w:bookmarkStart w:id="17" w:name="_Toc28359021"/>
      <w:bookmarkStart w:id="18" w:name="_Toc35393808"/>
      <w:bookmarkStart w:id="19" w:name="_Toc35393639"/>
      <w:r>
        <w:rPr>
          <w:rFonts w:hint="eastAsia" w:ascii="宋体" w:hAnsi="宋体" w:eastAsia="宋体" w:cs="宋体"/>
          <w:bCs/>
          <w:color w:val="000000" w:themeColor="text1"/>
          <w:sz w:val="24"/>
          <w:highlight w:val="none"/>
          <w:lang w:val="en-US" w:eastAsia="zh-CN"/>
          <w14:textFill>
            <w14:solidFill>
              <w14:schemeClr w14:val="tx1"/>
            </w14:solidFill>
          </w14:textFill>
        </w:rPr>
        <w:t>3.项目联系方式</w:t>
      </w:r>
      <w:bookmarkEnd w:id="16"/>
      <w:bookmarkEnd w:id="17"/>
      <w:bookmarkEnd w:id="18"/>
      <w:bookmarkEnd w:id="19"/>
    </w:p>
    <w:p w14:paraId="6E300901">
      <w:pPr>
        <w:widowControl w:val="0"/>
        <w:overflowPunct/>
        <w:autoSpaceDE w:val="0"/>
        <w:autoSpaceDN w:val="0"/>
        <w:bidi w:val="0"/>
        <w:adjustRightInd w:val="0"/>
        <w:spacing w:line="460" w:lineRule="exact"/>
        <w:ind w:firstLine="480" w:firstLineChars="200"/>
        <w:outlineLvl w:val="9"/>
        <w:rPr>
          <w:rFonts w:hint="eastAsia" w:ascii="宋体" w:hAnsi="宋体" w:eastAsia="宋体" w:cs="宋体"/>
          <w:bCs/>
          <w:color w:val="000000" w:themeColor="text1"/>
          <w:sz w:val="24"/>
          <w:highlight w:val="none"/>
          <w:lang w:val="en-US" w:eastAsia="zh-CN"/>
          <w14:textFill>
            <w14:solidFill>
              <w14:schemeClr w14:val="tx1"/>
            </w14:solidFill>
          </w14:textFill>
        </w:rPr>
      </w:pPr>
      <w:r>
        <w:rPr>
          <w:rFonts w:hint="eastAsia" w:ascii="宋体" w:hAnsi="宋体" w:eastAsia="宋体" w:cs="宋体"/>
          <w:bCs/>
          <w:color w:val="000000" w:themeColor="text1"/>
          <w:sz w:val="24"/>
          <w:highlight w:val="none"/>
          <w:lang w:val="en-US" w:eastAsia="zh-CN"/>
          <w14:textFill>
            <w14:solidFill>
              <w14:schemeClr w14:val="tx1"/>
            </w14:solidFill>
          </w14:textFill>
        </w:rPr>
        <w:t>项目联系人：</w:t>
      </w:r>
      <w:r>
        <w:rPr>
          <w:rFonts w:hint="eastAsia" w:ascii="宋体" w:hAnsi="宋体" w:cs="宋体"/>
          <w:bCs/>
          <w:color w:val="000000" w:themeColor="text1"/>
          <w:sz w:val="24"/>
          <w:highlight w:val="none"/>
          <w:lang w:val="en-US" w:eastAsia="zh-CN"/>
          <w14:textFill>
            <w14:solidFill>
              <w14:schemeClr w14:val="tx1"/>
            </w14:solidFill>
          </w14:textFill>
        </w:rPr>
        <w:t>曲梦妮</w:t>
      </w:r>
    </w:p>
    <w:p w14:paraId="398B965C">
      <w:pPr>
        <w:widowControl w:val="0"/>
        <w:overflowPunct/>
        <w:autoSpaceDE w:val="0"/>
        <w:autoSpaceDN w:val="0"/>
        <w:bidi w:val="0"/>
        <w:adjustRightInd w:val="0"/>
        <w:spacing w:line="460" w:lineRule="exact"/>
        <w:ind w:firstLine="480" w:firstLineChars="200"/>
        <w:outlineLvl w:val="9"/>
        <w:rPr>
          <w:rFonts w:hint="default" w:ascii="宋体" w:hAnsi="宋体" w:eastAsia="宋体" w:cs="宋体"/>
          <w:bCs/>
          <w:color w:val="000000" w:themeColor="text1"/>
          <w:sz w:val="24"/>
          <w:highlight w:val="none"/>
          <w:lang w:val="en-US" w:eastAsia="zh-CN"/>
          <w14:textFill>
            <w14:solidFill>
              <w14:schemeClr w14:val="tx1"/>
            </w14:solidFill>
          </w14:textFill>
        </w:rPr>
      </w:pPr>
      <w:r>
        <w:rPr>
          <w:rFonts w:hint="eastAsia" w:ascii="宋体" w:hAnsi="宋体" w:eastAsia="宋体" w:cs="宋体"/>
          <w:bCs/>
          <w:color w:val="000000" w:themeColor="text1"/>
          <w:sz w:val="24"/>
          <w:highlight w:val="none"/>
          <w:lang w:val="en-US" w:eastAsia="zh-CN"/>
          <w14:textFill>
            <w14:solidFill>
              <w14:schemeClr w14:val="tx1"/>
            </w14:solidFill>
          </w14:textFill>
        </w:rPr>
        <w:t>电　  话：</w:t>
      </w:r>
      <w:r>
        <w:rPr>
          <w:rFonts w:hint="eastAsia" w:ascii="宋体" w:hAnsi="宋体" w:cs="宋体"/>
          <w:bCs/>
          <w:color w:val="000000" w:themeColor="text1"/>
          <w:sz w:val="24"/>
          <w:highlight w:val="none"/>
          <w:lang w:val="en-US" w:eastAsia="zh-CN"/>
          <w14:textFill>
            <w14:solidFill>
              <w14:schemeClr w14:val="tx1"/>
            </w14:solidFill>
          </w14:textFill>
        </w:rPr>
        <w:t>0433-2809090</w:t>
      </w:r>
    </w:p>
    <w:p w14:paraId="4A23D469">
      <w:pPr>
        <w:widowControl w:val="0"/>
        <w:overflowPunct/>
        <w:autoSpaceDE w:val="0"/>
        <w:autoSpaceDN w:val="0"/>
        <w:bidi w:val="0"/>
        <w:adjustRightInd w:val="0"/>
        <w:spacing w:line="460" w:lineRule="exact"/>
        <w:ind w:firstLine="480" w:firstLineChars="200"/>
        <w:outlineLvl w:val="9"/>
        <w:rPr>
          <w:rFonts w:hint="eastAsia" w:ascii="宋体" w:hAnsi="宋体" w:eastAsia="宋体" w:cs="宋体"/>
          <w:bCs/>
          <w:color w:val="000000" w:themeColor="text1"/>
          <w:sz w:val="24"/>
          <w:highlight w:val="none"/>
          <w:lang w:val="en-US" w:eastAsia="zh-CN"/>
          <w14:textFill>
            <w14:solidFill>
              <w14:schemeClr w14:val="tx1"/>
            </w14:solidFill>
          </w14:textFill>
        </w:rPr>
      </w:pPr>
      <w:r>
        <w:rPr>
          <w:rFonts w:hint="eastAsia" w:ascii="宋体" w:hAnsi="宋体" w:eastAsia="宋体" w:cs="宋体"/>
          <w:bCs/>
          <w:color w:val="000000" w:themeColor="text1"/>
          <w:sz w:val="24"/>
          <w:highlight w:val="none"/>
          <w:lang w:val="en-US" w:eastAsia="zh-CN"/>
          <w14:textFill>
            <w14:solidFill>
              <w14:schemeClr w14:val="tx1"/>
            </w14:solidFill>
          </w14:textFill>
        </w:rPr>
        <w:t>4.监督机构：</w:t>
      </w:r>
      <w:r>
        <w:rPr>
          <w:rFonts w:hint="eastAsia" w:ascii="宋体" w:hAnsi="宋体" w:cs="宋体"/>
          <w:bCs/>
          <w:color w:val="000000" w:themeColor="text1"/>
          <w:sz w:val="24"/>
          <w:highlight w:val="none"/>
          <w:lang w:val="en-US" w:eastAsia="zh-CN"/>
          <w14:textFill>
            <w14:solidFill>
              <w14:schemeClr w14:val="tx1"/>
            </w14:solidFill>
          </w14:textFill>
        </w:rPr>
        <w:t>珲春市财政局政府采购管理工作办公室</w:t>
      </w:r>
    </w:p>
    <w:p w14:paraId="0549F099">
      <w:pPr>
        <w:widowControl w:val="0"/>
        <w:overflowPunct/>
        <w:autoSpaceDE w:val="0"/>
        <w:autoSpaceDN w:val="0"/>
        <w:bidi w:val="0"/>
        <w:adjustRightInd w:val="0"/>
        <w:spacing w:line="460" w:lineRule="exact"/>
        <w:ind w:firstLine="480" w:firstLineChars="200"/>
        <w:outlineLvl w:val="9"/>
        <w:rPr>
          <w:rFonts w:hint="eastAsia" w:ascii="宋体" w:hAnsi="宋体" w:eastAsia="宋体" w:cs="宋体"/>
          <w:bCs/>
          <w:color w:val="000000" w:themeColor="text1"/>
          <w:sz w:val="24"/>
          <w:highlight w:val="none"/>
          <w:lang w:val="zh-CN" w:eastAsia="zh-CN"/>
          <w14:textFill>
            <w14:solidFill>
              <w14:schemeClr w14:val="tx1"/>
            </w14:solidFill>
          </w14:textFill>
        </w:rPr>
        <w:sectPr>
          <w:footerReference r:id="rId9" w:type="default"/>
          <w:pgSz w:w="11906" w:h="16838"/>
          <w:pgMar w:top="1134" w:right="1134" w:bottom="1134" w:left="1134" w:header="851" w:footer="851" w:gutter="0"/>
          <w:pgBorders>
            <w:top w:val="none" w:sz="0" w:space="0"/>
            <w:left w:val="none" w:sz="0" w:space="0"/>
            <w:bottom w:val="none" w:sz="0" w:space="0"/>
            <w:right w:val="none" w:sz="0" w:space="0"/>
          </w:pgBorders>
          <w:pgNumType w:fmt="decimal" w:start="1"/>
          <w:cols w:space="720" w:num="1"/>
          <w:docGrid w:linePitch="312" w:charSpace="0"/>
        </w:sectPr>
      </w:pPr>
    </w:p>
    <w:p w14:paraId="363183AD">
      <w:pPr>
        <w:keepNext w:val="0"/>
        <w:keepLines w:val="0"/>
        <w:pageBreakBefore w:val="0"/>
        <w:widowControl w:val="0"/>
        <w:kinsoku/>
        <w:wordWrap/>
        <w:overflowPunct/>
        <w:topLinePunct w:val="0"/>
        <w:autoSpaceDE/>
        <w:autoSpaceDN/>
        <w:bidi w:val="0"/>
        <w:adjustRightInd/>
        <w:snapToGrid/>
        <w:jc w:val="center"/>
        <w:textAlignment w:val="auto"/>
        <w:outlineLvl w:val="0"/>
        <w:rPr>
          <w:rFonts w:hint="eastAsia" w:ascii="宋体" w:hAnsi="宋体" w:eastAsia="宋体" w:cs="宋体"/>
          <w:b/>
          <w:bCs/>
          <w:color w:val="000000" w:themeColor="text1"/>
          <w:kern w:val="2"/>
          <w:sz w:val="36"/>
          <w:szCs w:val="36"/>
          <w:highlight w:val="none"/>
          <w:lang w:val="en-US" w:eastAsia="zh-CN" w:bidi="ar-SA"/>
          <w14:textFill>
            <w14:solidFill>
              <w14:schemeClr w14:val="tx1"/>
            </w14:solidFill>
          </w14:textFill>
        </w:rPr>
      </w:pPr>
      <w:bookmarkStart w:id="20" w:name="_Toc9784"/>
      <w:bookmarkStart w:id="21" w:name="_Toc18381"/>
      <w:bookmarkStart w:id="22" w:name="_Toc383794598"/>
      <w:bookmarkStart w:id="23" w:name="_Toc325358490"/>
      <w:bookmarkStart w:id="24" w:name="_Toc291782331"/>
      <w:bookmarkStart w:id="25" w:name="_Toc184635071"/>
      <w:r>
        <w:rPr>
          <w:rFonts w:hint="eastAsia"/>
          <w:b/>
          <w:bCs/>
          <w:color w:val="000000" w:themeColor="text1"/>
          <w:sz w:val="36"/>
          <w:szCs w:val="36"/>
          <w:highlight w:val="none"/>
          <w:lang w:val="en-US" w:eastAsia="zh-CN"/>
          <w14:textFill>
            <w14:solidFill>
              <w14:schemeClr w14:val="tx1"/>
            </w14:solidFill>
          </w14:textFill>
        </w:rPr>
        <w:t xml:space="preserve">第一章 </w:t>
      </w:r>
      <w:r>
        <w:rPr>
          <w:rFonts w:hint="eastAsia" w:eastAsia="宋体"/>
          <w:b/>
          <w:bCs/>
          <w:color w:val="000000" w:themeColor="text1"/>
          <w:sz w:val="36"/>
          <w:szCs w:val="36"/>
          <w:highlight w:val="none"/>
          <w:lang w:val="en-US" w:eastAsia="zh-CN"/>
          <w14:textFill>
            <w14:solidFill>
              <w14:schemeClr w14:val="tx1"/>
            </w14:solidFill>
          </w14:textFill>
        </w:rPr>
        <w:t>供应商须知</w:t>
      </w:r>
      <w:bookmarkEnd w:id="20"/>
      <w:bookmarkEnd w:id="21"/>
      <w:bookmarkEnd w:id="22"/>
    </w:p>
    <w:p w14:paraId="044D1794">
      <w:pPr>
        <w:keepNext/>
        <w:keepLines/>
        <w:pageBreakBefore w:val="0"/>
        <w:widowControl w:val="0"/>
        <w:kinsoku/>
        <w:wordWrap/>
        <w:overflowPunct/>
        <w:topLinePunct w:val="0"/>
        <w:autoSpaceDE/>
        <w:autoSpaceDN/>
        <w:bidi w:val="0"/>
        <w:adjustRightInd/>
        <w:snapToGrid/>
        <w:spacing w:before="0" w:after="0" w:line="416" w:lineRule="auto"/>
        <w:jc w:val="center"/>
        <w:textAlignment w:val="auto"/>
        <w:outlineLvl w:val="9"/>
        <w:rPr>
          <w:color w:val="000000" w:themeColor="text1"/>
          <w:sz w:val="30"/>
          <w:szCs w:val="30"/>
          <w:highlight w:val="none"/>
          <w14:textFill>
            <w14:solidFill>
              <w14:schemeClr w14:val="tx1"/>
            </w14:solidFill>
          </w14:textFill>
        </w:rPr>
      </w:pPr>
      <w:bookmarkStart w:id="26" w:name="_Toc383794599"/>
      <w:r>
        <w:rPr>
          <w:rFonts w:hint="eastAsia"/>
          <w:color w:val="000000" w:themeColor="text1"/>
          <w:sz w:val="30"/>
          <w:szCs w:val="30"/>
          <w:highlight w:val="none"/>
          <w:lang w:eastAsia="zh-CN"/>
          <w14:textFill>
            <w14:solidFill>
              <w14:schemeClr w14:val="tx1"/>
            </w14:solidFill>
          </w14:textFill>
        </w:rPr>
        <w:t>供应商</w:t>
      </w:r>
      <w:r>
        <w:rPr>
          <w:rFonts w:hint="eastAsia"/>
          <w:color w:val="000000" w:themeColor="text1"/>
          <w:sz w:val="30"/>
          <w:szCs w:val="30"/>
          <w:highlight w:val="none"/>
          <w14:textFill>
            <w14:solidFill>
              <w14:schemeClr w14:val="tx1"/>
            </w14:solidFill>
          </w14:textFill>
        </w:rPr>
        <w:t>须知前附表</w:t>
      </w:r>
      <w:bookmarkEnd w:id="26"/>
    </w:p>
    <w:tbl>
      <w:tblPr>
        <w:tblStyle w:val="38"/>
        <w:tblW w:w="9765"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95"/>
        <w:gridCol w:w="2095"/>
        <w:gridCol w:w="6675"/>
      </w:tblGrid>
      <w:tr w14:paraId="2216124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1" w:hRule="atLeast"/>
          <w:jc w:val="center"/>
        </w:trPr>
        <w:tc>
          <w:tcPr>
            <w:tcW w:w="995" w:type="dxa"/>
            <w:vAlign w:val="center"/>
          </w:tcPr>
          <w:p w14:paraId="43050700">
            <w:pPr>
              <w:overflowPunct/>
              <w:bidi w:val="0"/>
              <w:spacing w:line="400" w:lineRule="exact"/>
              <w:jc w:val="center"/>
              <w:outlineLvl w:val="9"/>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条款号</w:t>
            </w:r>
          </w:p>
        </w:tc>
        <w:tc>
          <w:tcPr>
            <w:tcW w:w="2095" w:type="dxa"/>
            <w:vAlign w:val="center"/>
          </w:tcPr>
          <w:p w14:paraId="4D41D685">
            <w:pPr>
              <w:overflowPunct/>
              <w:bidi w:val="0"/>
              <w:spacing w:line="400" w:lineRule="exact"/>
              <w:jc w:val="center"/>
              <w:outlineLvl w:val="9"/>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条款名称</w:t>
            </w:r>
          </w:p>
        </w:tc>
        <w:tc>
          <w:tcPr>
            <w:tcW w:w="6675" w:type="dxa"/>
            <w:vAlign w:val="center"/>
          </w:tcPr>
          <w:p w14:paraId="37043E4E">
            <w:pPr>
              <w:overflowPunct/>
              <w:bidi w:val="0"/>
              <w:spacing w:line="400" w:lineRule="exact"/>
              <w:jc w:val="center"/>
              <w:outlineLvl w:val="9"/>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编列内容</w:t>
            </w:r>
          </w:p>
        </w:tc>
      </w:tr>
      <w:tr w14:paraId="7343A04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15" w:hRule="atLeast"/>
          <w:jc w:val="center"/>
        </w:trPr>
        <w:tc>
          <w:tcPr>
            <w:tcW w:w="995" w:type="dxa"/>
            <w:vAlign w:val="center"/>
          </w:tcPr>
          <w:p w14:paraId="2BD54143">
            <w:pPr>
              <w:overflowPunct/>
              <w:bidi w:val="0"/>
              <w:spacing w:line="400" w:lineRule="exact"/>
              <w:jc w:val="center"/>
              <w:outlineLvl w:val="9"/>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1.1.2</w:t>
            </w:r>
          </w:p>
        </w:tc>
        <w:tc>
          <w:tcPr>
            <w:tcW w:w="2095" w:type="dxa"/>
            <w:vAlign w:val="center"/>
          </w:tcPr>
          <w:p w14:paraId="55F93CB0">
            <w:pPr>
              <w:overflowPunct/>
              <w:bidi w:val="0"/>
              <w:spacing w:line="400" w:lineRule="exact"/>
              <w:jc w:val="center"/>
              <w:outlineLvl w:val="9"/>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采购人</w:t>
            </w:r>
          </w:p>
        </w:tc>
        <w:tc>
          <w:tcPr>
            <w:tcW w:w="6675" w:type="dxa"/>
            <w:vAlign w:val="center"/>
          </w:tcPr>
          <w:p w14:paraId="38691AC0">
            <w:pPr>
              <w:overflowPunct/>
              <w:bidi w:val="0"/>
              <w:spacing w:line="400" w:lineRule="exact"/>
              <w:outlineLvl w:val="9"/>
              <w:rPr>
                <w:rFonts w:hint="default" w:ascii="宋体" w:hAnsi="宋体" w:eastAsia="宋体" w:cs="微软雅黑"/>
                <w:color w:val="000000" w:themeColor="text1"/>
                <w:szCs w:val="21"/>
                <w:highlight w:val="none"/>
                <w:lang w:val="en-US" w:eastAsia="zh-CN"/>
                <w14:textFill>
                  <w14:solidFill>
                    <w14:schemeClr w14:val="tx1"/>
                  </w14:solidFill>
                </w14:textFill>
              </w:rPr>
            </w:pPr>
            <w:r>
              <w:rPr>
                <w:rFonts w:hint="default" w:ascii="宋体" w:hAnsi="宋体" w:eastAsia="宋体" w:cs="微软雅黑"/>
                <w:color w:val="000000" w:themeColor="text1"/>
                <w:szCs w:val="21"/>
                <w:highlight w:val="none"/>
                <w:lang w:val="en-US" w:eastAsia="zh-CN"/>
                <w14:textFill>
                  <w14:solidFill>
                    <w14:schemeClr w14:val="tx1"/>
                  </w14:solidFill>
                </w14:textFill>
              </w:rPr>
              <w:t>名  称：</w:t>
            </w:r>
            <w:r>
              <w:rPr>
                <w:rFonts w:hint="eastAsia" w:ascii="宋体" w:hAnsi="宋体" w:cs="微软雅黑"/>
                <w:color w:val="000000" w:themeColor="text1"/>
                <w:szCs w:val="21"/>
                <w:highlight w:val="none"/>
                <w:lang w:val="en-US" w:eastAsia="zh-CN"/>
                <w14:textFill>
                  <w14:solidFill>
                    <w14:schemeClr w14:val="tx1"/>
                  </w14:solidFill>
                </w14:textFill>
              </w:rPr>
              <w:t>珲春市教育技术装备中心</w:t>
            </w:r>
          </w:p>
          <w:p w14:paraId="2E917F87">
            <w:pPr>
              <w:overflowPunct/>
              <w:bidi w:val="0"/>
              <w:spacing w:line="400" w:lineRule="exact"/>
              <w:outlineLvl w:val="9"/>
              <w:rPr>
                <w:rFonts w:hint="default" w:ascii="宋体" w:hAnsi="宋体" w:eastAsia="宋体" w:cs="微软雅黑"/>
                <w:color w:val="000000" w:themeColor="text1"/>
                <w:szCs w:val="21"/>
                <w:highlight w:val="none"/>
                <w:lang w:val="en-US" w:eastAsia="zh-CN"/>
                <w14:textFill>
                  <w14:solidFill>
                    <w14:schemeClr w14:val="tx1"/>
                  </w14:solidFill>
                </w14:textFill>
              </w:rPr>
            </w:pPr>
            <w:r>
              <w:rPr>
                <w:rFonts w:hint="default" w:ascii="宋体" w:hAnsi="宋体" w:eastAsia="宋体" w:cs="微软雅黑"/>
                <w:color w:val="000000" w:themeColor="text1"/>
                <w:szCs w:val="21"/>
                <w:highlight w:val="none"/>
                <w:lang w:val="en-US" w:eastAsia="zh-CN"/>
                <w14:textFill>
                  <w14:solidFill>
                    <w14:schemeClr w14:val="tx1"/>
                  </w14:solidFill>
                </w14:textFill>
              </w:rPr>
              <w:t>地  址：</w:t>
            </w:r>
            <w:r>
              <w:rPr>
                <w:rFonts w:hint="eastAsia" w:ascii="宋体" w:hAnsi="宋体" w:cs="微软雅黑"/>
                <w:color w:val="000000" w:themeColor="text1"/>
                <w:szCs w:val="21"/>
                <w:highlight w:val="none"/>
                <w:lang w:val="en-US" w:eastAsia="zh-CN"/>
                <w14:textFill>
                  <w14:solidFill>
                    <w14:schemeClr w14:val="tx1"/>
                  </w14:solidFill>
                </w14:textFill>
              </w:rPr>
              <w:t>珲春市靖和街育才胡同400号</w:t>
            </w:r>
          </w:p>
          <w:p w14:paraId="611D87BF">
            <w:pPr>
              <w:overflowPunct/>
              <w:bidi w:val="0"/>
              <w:spacing w:line="400" w:lineRule="exact"/>
              <w:outlineLvl w:val="9"/>
              <w:rPr>
                <w:rFonts w:hint="default" w:ascii="宋体" w:hAnsi="宋体" w:eastAsia="宋体" w:cs="微软雅黑"/>
                <w:color w:val="000000" w:themeColor="text1"/>
                <w:szCs w:val="21"/>
                <w:highlight w:val="none"/>
                <w:lang w:val="en-US" w:eastAsia="zh-CN"/>
                <w14:textFill>
                  <w14:solidFill>
                    <w14:schemeClr w14:val="tx1"/>
                  </w14:solidFill>
                </w14:textFill>
              </w:rPr>
            </w:pPr>
            <w:r>
              <w:rPr>
                <w:rFonts w:hint="default" w:ascii="宋体" w:hAnsi="宋体" w:eastAsia="宋体" w:cs="微软雅黑"/>
                <w:color w:val="000000" w:themeColor="text1"/>
                <w:szCs w:val="21"/>
                <w:highlight w:val="none"/>
                <w:lang w:val="en-US" w:eastAsia="zh-CN"/>
                <w14:textFill>
                  <w14:solidFill>
                    <w14:schemeClr w14:val="tx1"/>
                  </w14:solidFill>
                </w14:textFill>
              </w:rPr>
              <w:t>联系人：</w:t>
            </w:r>
            <w:r>
              <w:rPr>
                <w:rFonts w:hint="eastAsia" w:ascii="宋体" w:hAnsi="宋体" w:cs="宋体"/>
                <w:bCs/>
                <w:color w:val="000000" w:themeColor="text1"/>
                <w:sz w:val="24"/>
                <w:highlight w:val="none"/>
                <w:lang w:val="en-US" w:eastAsia="zh-CN"/>
                <w14:textFill>
                  <w14:solidFill>
                    <w14:schemeClr w14:val="tx1"/>
                  </w14:solidFill>
                </w14:textFill>
              </w:rPr>
              <w:t>王东晖</w:t>
            </w:r>
          </w:p>
          <w:p w14:paraId="0607D835">
            <w:pPr>
              <w:overflowPunct/>
              <w:bidi w:val="0"/>
              <w:spacing w:line="400" w:lineRule="exact"/>
              <w:outlineLvl w:val="9"/>
              <w:rPr>
                <w:rFonts w:hint="default" w:ascii="宋体" w:hAnsi="宋体" w:eastAsia="宋体" w:cs="微软雅黑"/>
                <w:color w:val="000000" w:themeColor="text1"/>
                <w:szCs w:val="21"/>
                <w:highlight w:val="none"/>
                <w:lang w:val="en-US" w:eastAsia="zh-CN"/>
                <w14:textFill>
                  <w14:solidFill>
                    <w14:schemeClr w14:val="tx1"/>
                  </w14:solidFill>
                </w14:textFill>
              </w:rPr>
            </w:pPr>
            <w:r>
              <w:rPr>
                <w:rFonts w:hint="default" w:ascii="宋体" w:hAnsi="宋体" w:eastAsia="宋体" w:cs="微软雅黑"/>
                <w:color w:val="000000" w:themeColor="text1"/>
                <w:szCs w:val="21"/>
                <w:highlight w:val="none"/>
                <w:lang w:val="en-US" w:eastAsia="zh-CN"/>
                <w14:textFill>
                  <w14:solidFill>
                    <w14:schemeClr w14:val="tx1"/>
                  </w14:solidFill>
                </w14:textFill>
              </w:rPr>
              <w:t>电  话：</w:t>
            </w:r>
            <w:r>
              <w:rPr>
                <w:rFonts w:hint="eastAsia" w:ascii="宋体" w:hAnsi="宋体" w:cs="宋体"/>
                <w:bCs/>
                <w:color w:val="000000" w:themeColor="text1"/>
                <w:sz w:val="24"/>
                <w:highlight w:val="none"/>
                <w:lang w:val="en-US" w:eastAsia="zh-CN"/>
                <w14:textFill>
                  <w14:solidFill>
                    <w14:schemeClr w14:val="tx1"/>
                  </w14:solidFill>
                </w14:textFill>
              </w:rPr>
              <w:t>15143326263</w:t>
            </w:r>
          </w:p>
        </w:tc>
      </w:tr>
      <w:tr w14:paraId="0362167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995" w:type="dxa"/>
            <w:vAlign w:val="center"/>
          </w:tcPr>
          <w:p w14:paraId="1B9DA88D">
            <w:pPr>
              <w:overflowPunct/>
              <w:bidi w:val="0"/>
              <w:spacing w:line="400" w:lineRule="exact"/>
              <w:jc w:val="center"/>
              <w:outlineLvl w:val="9"/>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1.1.3</w:t>
            </w:r>
          </w:p>
        </w:tc>
        <w:tc>
          <w:tcPr>
            <w:tcW w:w="2095" w:type="dxa"/>
            <w:vAlign w:val="center"/>
          </w:tcPr>
          <w:p w14:paraId="75737AA0">
            <w:pPr>
              <w:overflowPunct/>
              <w:bidi w:val="0"/>
              <w:spacing w:line="400" w:lineRule="exact"/>
              <w:outlineLvl w:val="9"/>
              <w:rPr>
                <w:rFonts w:hint="eastAsia" w:ascii="宋体" w:hAnsi="宋体" w:eastAsia="宋体" w:cs="微软雅黑"/>
                <w:color w:val="000000" w:themeColor="text1"/>
                <w:szCs w:val="21"/>
                <w:highlight w:val="none"/>
                <w:lang w:eastAsia="zh-CN"/>
                <w14:textFill>
                  <w14:solidFill>
                    <w14:schemeClr w14:val="tx1"/>
                  </w14:solidFill>
                </w14:textFill>
              </w:rPr>
            </w:pPr>
            <w:r>
              <w:rPr>
                <w:rFonts w:hint="eastAsia" w:ascii="宋体" w:hAnsi="宋体" w:eastAsia="宋体" w:cs="微软雅黑"/>
                <w:color w:val="000000" w:themeColor="text1"/>
                <w:szCs w:val="21"/>
                <w:highlight w:val="none"/>
                <w:lang w:eastAsia="zh-CN"/>
                <w14:textFill>
                  <w14:solidFill>
                    <w14:schemeClr w14:val="tx1"/>
                  </w14:solidFill>
                </w14:textFill>
              </w:rPr>
              <w:t>采购代理机构</w:t>
            </w:r>
          </w:p>
        </w:tc>
        <w:tc>
          <w:tcPr>
            <w:tcW w:w="6675" w:type="dxa"/>
            <w:vAlign w:val="center"/>
          </w:tcPr>
          <w:p w14:paraId="18452181">
            <w:pPr>
              <w:overflowPunct/>
              <w:bidi w:val="0"/>
              <w:spacing w:line="400" w:lineRule="exact"/>
              <w:outlineLvl w:val="9"/>
              <w:rPr>
                <w:rFonts w:hint="eastAsia" w:ascii="宋体" w:hAnsi="宋体" w:eastAsia="宋体" w:cs="微软雅黑"/>
                <w:color w:val="000000" w:themeColor="text1"/>
                <w:szCs w:val="21"/>
                <w:highlight w:val="none"/>
                <w:lang w:eastAsia="zh-CN"/>
                <w14:textFill>
                  <w14:solidFill>
                    <w14:schemeClr w14:val="tx1"/>
                  </w14:solidFill>
                </w14:textFill>
              </w:rPr>
            </w:pPr>
            <w:r>
              <w:rPr>
                <w:rFonts w:hint="eastAsia" w:ascii="宋体" w:hAnsi="宋体" w:eastAsia="宋体" w:cs="微软雅黑"/>
                <w:color w:val="000000" w:themeColor="text1"/>
                <w:szCs w:val="21"/>
                <w:highlight w:val="none"/>
                <w:lang w:eastAsia="zh-CN"/>
                <w14:textFill>
                  <w14:solidFill>
                    <w14:schemeClr w14:val="tx1"/>
                  </w14:solidFill>
                </w14:textFill>
              </w:rPr>
              <w:t>名    称：</w:t>
            </w:r>
            <w:r>
              <w:rPr>
                <w:rFonts w:hint="eastAsia" w:ascii="宋体" w:hAnsi="宋体" w:cs="微软雅黑"/>
                <w:color w:val="000000" w:themeColor="text1"/>
                <w:szCs w:val="21"/>
                <w:highlight w:val="none"/>
                <w:lang w:val="zh-CN" w:eastAsia="zh-CN"/>
                <w14:textFill>
                  <w14:solidFill>
                    <w14:schemeClr w14:val="tx1"/>
                  </w14:solidFill>
                </w14:textFill>
              </w:rPr>
              <w:t>吉林省天一工程管理有限公司</w:t>
            </w:r>
          </w:p>
          <w:p w14:paraId="13B63639">
            <w:pPr>
              <w:overflowPunct/>
              <w:bidi w:val="0"/>
              <w:spacing w:line="400" w:lineRule="exact"/>
              <w:outlineLvl w:val="9"/>
              <w:rPr>
                <w:rFonts w:hint="eastAsia" w:ascii="宋体" w:hAnsi="宋体" w:eastAsia="宋体" w:cs="微软雅黑"/>
                <w:color w:val="000000" w:themeColor="text1"/>
                <w:szCs w:val="21"/>
                <w:highlight w:val="none"/>
                <w:lang w:eastAsia="zh-CN"/>
                <w14:textFill>
                  <w14:solidFill>
                    <w14:schemeClr w14:val="tx1"/>
                  </w14:solidFill>
                </w14:textFill>
              </w:rPr>
            </w:pPr>
            <w:r>
              <w:rPr>
                <w:rFonts w:hint="eastAsia" w:ascii="宋体" w:hAnsi="宋体" w:eastAsia="宋体" w:cs="微软雅黑"/>
                <w:color w:val="000000" w:themeColor="text1"/>
                <w:szCs w:val="21"/>
                <w:highlight w:val="none"/>
                <w:lang w:eastAsia="zh-CN"/>
                <w14:textFill>
                  <w14:solidFill>
                    <w14:schemeClr w14:val="tx1"/>
                  </w14:solidFill>
                </w14:textFill>
              </w:rPr>
              <w:t>地    址：</w:t>
            </w:r>
            <w:r>
              <w:rPr>
                <w:rFonts w:hint="eastAsia" w:ascii="宋体" w:hAnsi="宋体" w:cs="微软雅黑"/>
                <w:color w:val="000000" w:themeColor="text1"/>
                <w:szCs w:val="21"/>
                <w:highlight w:val="none"/>
                <w:lang w:val="en-US" w:eastAsia="zh-CN"/>
                <w14:textFill>
                  <w14:solidFill>
                    <w14:schemeClr w14:val="tx1"/>
                  </w14:solidFill>
                </w14:textFill>
              </w:rPr>
              <w:t xml:space="preserve">延吉市延边林区分院南侧      </w:t>
            </w:r>
          </w:p>
          <w:p w14:paraId="0A6CBACA">
            <w:pPr>
              <w:overflowPunct/>
              <w:bidi w:val="0"/>
              <w:spacing w:line="400" w:lineRule="exact"/>
              <w:outlineLvl w:val="9"/>
              <w:rPr>
                <w:rFonts w:hint="eastAsia" w:ascii="宋体" w:hAnsi="宋体" w:eastAsia="宋体" w:cs="微软雅黑"/>
                <w:color w:val="000000" w:themeColor="text1"/>
                <w:szCs w:val="21"/>
                <w:highlight w:val="none"/>
                <w:lang w:val="en-US" w:eastAsia="zh-CN"/>
                <w14:textFill>
                  <w14:solidFill>
                    <w14:schemeClr w14:val="tx1"/>
                  </w14:solidFill>
                </w14:textFill>
              </w:rPr>
            </w:pPr>
            <w:r>
              <w:rPr>
                <w:rFonts w:hint="eastAsia" w:ascii="宋体" w:hAnsi="宋体" w:eastAsia="宋体" w:cs="微软雅黑"/>
                <w:color w:val="000000" w:themeColor="text1"/>
                <w:szCs w:val="21"/>
                <w:highlight w:val="none"/>
                <w:lang w:val="en-US" w:eastAsia="zh-CN"/>
                <w14:textFill>
                  <w14:solidFill>
                    <w14:schemeClr w14:val="tx1"/>
                  </w14:solidFill>
                </w14:textFill>
              </w:rPr>
              <w:t>联系人：</w:t>
            </w:r>
            <w:r>
              <w:rPr>
                <w:rFonts w:hint="eastAsia" w:ascii="宋体" w:hAnsi="宋体" w:cs="微软雅黑"/>
                <w:color w:val="000000" w:themeColor="text1"/>
                <w:szCs w:val="21"/>
                <w:highlight w:val="none"/>
                <w:lang w:val="en-US" w:eastAsia="zh-CN"/>
                <w14:textFill>
                  <w14:solidFill>
                    <w14:schemeClr w14:val="tx1"/>
                  </w14:solidFill>
                </w14:textFill>
              </w:rPr>
              <w:t xml:space="preserve">曲梦妮     </w:t>
            </w:r>
          </w:p>
          <w:p w14:paraId="5F7E68FA">
            <w:pPr>
              <w:overflowPunct/>
              <w:bidi w:val="0"/>
              <w:spacing w:line="400" w:lineRule="exact"/>
              <w:outlineLvl w:val="9"/>
              <w:rPr>
                <w:rFonts w:hint="default"/>
                <w:color w:val="000000" w:themeColor="text1"/>
                <w:highlight w:val="none"/>
                <w:lang w:val="en-US" w:eastAsia="zh-CN"/>
                <w14:textFill>
                  <w14:solidFill>
                    <w14:schemeClr w14:val="tx1"/>
                  </w14:solidFill>
                </w14:textFill>
              </w:rPr>
            </w:pPr>
            <w:r>
              <w:rPr>
                <w:rFonts w:hint="eastAsia" w:ascii="宋体" w:hAnsi="宋体" w:eastAsia="宋体" w:cs="微软雅黑"/>
                <w:color w:val="000000" w:themeColor="text1"/>
                <w:szCs w:val="21"/>
                <w:highlight w:val="none"/>
                <w:lang w:val="en-US" w:eastAsia="zh-CN"/>
                <w14:textFill>
                  <w14:solidFill>
                    <w14:schemeClr w14:val="tx1"/>
                  </w14:solidFill>
                </w14:textFill>
              </w:rPr>
              <w:t>联系方式：</w:t>
            </w:r>
            <w:r>
              <w:rPr>
                <w:rFonts w:hint="eastAsia" w:ascii="宋体" w:hAnsi="宋体" w:cs="微软雅黑"/>
                <w:color w:val="000000" w:themeColor="text1"/>
                <w:szCs w:val="21"/>
                <w:highlight w:val="none"/>
                <w:lang w:val="en-US" w:eastAsia="zh-CN"/>
                <w14:textFill>
                  <w14:solidFill>
                    <w14:schemeClr w14:val="tx1"/>
                  </w14:solidFill>
                </w14:textFill>
              </w:rPr>
              <w:t>0433-2809090</w:t>
            </w:r>
          </w:p>
        </w:tc>
      </w:tr>
      <w:tr w14:paraId="14B3780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5" w:hRule="atLeast"/>
          <w:jc w:val="center"/>
        </w:trPr>
        <w:tc>
          <w:tcPr>
            <w:tcW w:w="995" w:type="dxa"/>
            <w:vAlign w:val="center"/>
          </w:tcPr>
          <w:p w14:paraId="5C6E90B8">
            <w:pPr>
              <w:overflowPunct/>
              <w:bidi w:val="0"/>
              <w:spacing w:line="400" w:lineRule="exact"/>
              <w:jc w:val="center"/>
              <w:outlineLvl w:val="9"/>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1.1.4</w:t>
            </w:r>
          </w:p>
        </w:tc>
        <w:tc>
          <w:tcPr>
            <w:tcW w:w="2095" w:type="dxa"/>
            <w:vAlign w:val="center"/>
          </w:tcPr>
          <w:p w14:paraId="26A52C85">
            <w:pPr>
              <w:overflowPunct/>
              <w:bidi w:val="0"/>
              <w:spacing w:line="400" w:lineRule="exact"/>
              <w:jc w:val="center"/>
              <w:outlineLvl w:val="9"/>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项目名称</w:t>
            </w:r>
          </w:p>
        </w:tc>
        <w:tc>
          <w:tcPr>
            <w:tcW w:w="6675" w:type="dxa"/>
            <w:vAlign w:val="center"/>
          </w:tcPr>
          <w:p w14:paraId="2D906B46">
            <w:pPr>
              <w:overflowPunct/>
              <w:bidi w:val="0"/>
              <w:spacing w:line="400" w:lineRule="exact"/>
              <w:outlineLvl w:val="9"/>
              <w:rPr>
                <w:rFonts w:hint="eastAsia" w:ascii="宋体" w:hAnsi="宋体" w:eastAsia="宋体" w:cs="微软雅黑"/>
                <w:color w:val="000000" w:themeColor="text1"/>
                <w:szCs w:val="21"/>
                <w:highlight w:val="none"/>
                <w:lang w:eastAsia="zh-CN"/>
                <w14:textFill>
                  <w14:solidFill>
                    <w14:schemeClr w14:val="tx1"/>
                  </w14:solidFill>
                </w14:textFill>
              </w:rPr>
            </w:pPr>
            <w:r>
              <w:rPr>
                <w:rFonts w:hint="eastAsia" w:ascii="宋体" w:hAnsi="宋体" w:cs="微软雅黑"/>
                <w:color w:val="000000" w:themeColor="text1"/>
                <w:szCs w:val="21"/>
                <w:highlight w:val="none"/>
                <w:lang w:val="en-US" w:eastAsia="zh-CN"/>
                <w14:textFill>
                  <w14:solidFill>
                    <w14:schemeClr w14:val="tx1"/>
                  </w14:solidFill>
                </w14:textFill>
              </w:rPr>
              <w:t>2025年珲春市中小学护眼灯采购(二次）</w:t>
            </w:r>
          </w:p>
        </w:tc>
      </w:tr>
      <w:tr w14:paraId="4ADEBFA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5" w:hRule="atLeast"/>
          <w:jc w:val="center"/>
        </w:trPr>
        <w:tc>
          <w:tcPr>
            <w:tcW w:w="995" w:type="dxa"/>
            <w:vAlign w:val="center"/>
          </w:tcPr>
          <w:p w14:paraId="17E4F13F">
            <w:pPr>
              <w:overflowPunct/>
              <w:bidi w:val="0"/>
              <w:spacing w:line="400" w:lineRule="exact"/>
              <w:jc w:val="center"/>
              <w:outlineLvl w:val="9"/>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1.1.5</w:t>
            </w:r>
          </w:p>
        </w:tc>
        <w:tc>
          <w:tcPr>
            <w:tcW w:w="2095" w:type="dxa"/>
            <w:vAlign w:val="center"/>
          </w:tcPr>
          <w:p w14:paraId="4B0AB0CE">
            <w:pPr>
              <w:overflowPunct/>
              <w:bidi w:val="0"/>
              <w:spacing w:line="400" w:lineRule="exact"/>
              <w:jc w:val="center"/>
              <w:outlineLvl w:val="9"/>
              <w:rPr>
                <w:color w:val="000000" w:themeColor="text1"/>
                <w:highlight w:val="none"/>
                <w14:textFill>
                  <w14:solidFill>
                    <w14:schemeClr w14:val="tx1"/>
                  </w14:solidFill>
                </w14:textFill>
              </w:rPr>
            </w:pPr>
            <w:r>
              <w:rPr>
                <w:rFonts w:hint="eastAsia"/>
                <w:color w:val="000000" w:themeColor="text1"/>
                <w:highlight w:val="none"/>
                <w:lang w:val="en-US" w:eastAsia="zh-CN"/>
                <w14:textFill>
                  <w14:solidFill>
                    <w14:schemeClr w14:val="tx1"/>
                  </w14:solidFill>
                </w14:textFill>
              </w:rPr>
              <w:t>供货</w:t>
            </w:r>
            <w:r>
              <w:rPr>
                <w:rFonts w:hint="eastAsia"/>
                <w:color w:val="000000" w:themeColor="text1"/>
                <w:highlight w:val="none"/>
                <w14:textFill>
                  <w14:solidFill>
                    <w14:schemeClr w14:val="tx1"/>
                  </w14:solidFill>
                </w14:textFill>
              </w:rPr>
              <w:t>地点</w:t>
            </w:r>
          </w:p>
        </w:tc>
        <w:tc>
          <w:tcPr>
            <w:tcW w:w="6675" w:type="dxa"/>
            <w:vAlign w:val="center"/>
          </w:tcPr>
          <w:p w14:paraId="2E339BAE">
            <w:pPr>
              <w:overflowPunct/>
              <w:bidi w:val="0"/>
              <w:spacing w:line="400" w:lineRule="exact"/>
              <w:outlineLvl w:val="9"/>
              <w:rPr>
                <w:rFonts w:hint="eastAsia" w:ascii="宋体" w:hAnsi="宋体" w:eastAsia="宋体" w:cs="微软雅黑"/>
                <w:color w:val="000000" w:themeColor="text1"/>
                <w:szCs w:val="21"/>
                <w:highlight w:val="none"/>
                <w:lang w:val="en-US" w:eastAsia="zh-CN"/>
                <w14:textFill>
                  <w14:solidFill>
                    <w14:schemeClr w14:val="tx1"/>
                  </w14:solidFill>
                </w14:textFill>
              </w:rPr>
            </w:pPr>
            <w:r>
              <w:rPr>
                <w:rFonts w:hint="eastAsia" w:ascii="宋体" w:hAnsi="宋体" w:eastAsia="宋体" w:cs="微软雅黑"/>
                <w:color w:val="000000" w:themeColor="text1"/>
                <w:szCs w:val="21"/>
                <w:highlight w:val="none"/>
                <w:lang w:val="en-US" w:eastAsia="zh-CN"/>
                <w14:textFill>
                  <w14:solidFill>
                    <w14:schemeClr w14:val="tx1"/>
                  </w14:solidFill>
                </w14:textFill>
              </w:rPr>
              <w:t>珲春市教育技术装备中心指定地点</w:t>
            </w:r>
          </w:p>
        </w:tc>
      </w:tr>
      <w:tr w14:paraId="6840012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5" w:hRule="atLeast"/>
          <w:jc w:val="center"/>
        </w:trPr>
        <w:tc>
          <w:tcPr>
            <w:tcW w:w="995" w:type="dxa"/>
            <w:vAlign w:val="center"/>
          </w:tcPr>
          <w:p w14:paraId="53A766F8">
            <w:pPr>
              <w:overflowPunct/>
              <w:bidi w:val="0"/>
              <w:spacing w:line="400" w:lineRule="exact"/>
              <w:jc w:val="center"/>
              <w:outlineLvl w:val="9"/>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1.2.1</w:t>
            </w:r>
          </w:p>
        </w:tc>
        <w:tc>
          <w:tcPr>
            <w:tcW w:w="2095" w:type="dxa"/>
            <w:vAlign w:val="center"/>
          </w:tcPr>
          <w:p w14:paraId="77AC1714">
            <w:pPr>
              <w:overflowPunct/>
              <w:bidi w:val="0"/>
              <w:spacing w:line="400" w:lineRule="exact"/>
              <w:jc w:val="center"/>
              <w:outlineLvl w:val="9"/>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资金来源</w:t>
            </w:r>
          </w:p>
        </w:tc>
        <w:tc>
          <w:tcPr>
            <w:tcW w:w="6675" w:type="dxa"/>
            <w:vAlign w:val="center"/>
          </w:tcPr>
          <w:p w14:paraId="2B08B585">
            <w:pPr>
              <w:overflowPunct/>
              <w:bidi w:val="0"/>
              <w:spacing w:line="400" w:lineRule="exact"/>
              <w:outlineLvl w:val="9"/>
              <w:rPr>
                <w:rFonts w:hint="default" w:ascii="宋体" w:hAnsi="宋体" w:eastAsia="宋体" w:cs="微软雅黑"/>
                <w:color w:val="000000" w:themeColor="text1"/>
                <w:szCs w:val="21"/>
                <w:highlight w:val="none"/>
                <w:lang w:val="en-US" w:eastAsia="zh-CN"/>
                <w14:textFill>
                  <w14:solidFill>
                    <w14:schemeClr w14:val="tx1"/>
                  </w14:solidFill>
                </w14:textFill>
              </w:rPr>
            </w:pPr>
            <w:r>
              <w:rPr>
                <w:rFonts w:hint="default" w:ascii="宋体" w:hAnsi="宋体" w:eastAsia="宋体" w:cs="微软雅黑"/>
                <w:color w:val="000000" w:themeColor="text1"/>
                <w:szCs w:val="21"/>
                <w:highlight w:val="none"/>
                <w:lang w:val="en-US" w:eastAsia="zh-CN"/>
                <w14:textFill>
                  <w14:solidFill>
                    <w14:schemeClr w14:val="tx1"/>
                  </w14:solidFill>
                </w14:textFill>
              </w:rPr>
              <w:t>2024年义务教育薄弱环节改善与能力提升项目补充资金</w:t>
            </w:r>
            <w:r>
              <w:rPr>
                <w:rFonts w:hint="eastAsia" w:ascii="宋体" w:hAnsi="宋体" w:cs="微软雅黑"/>
                <w:color w:val="000000" w:themeColor="text1"/>
                <w:szCs w:val="21"/>
                <w:highlight w:val="none"/>
                <w:lang w:val="en-US" w:eastAsia="zh-CN"/>
                <w14:textFill>
                  <w14:solidFill>
                    <w14:schemeClr w14:val="tx1"/>
                  </w14:solidFill>
                </w14:textFill>
              </w:rPr>
              <w:t xml:space="preserve"> [</w:t>
            </w:r>
            <w:r>
              <w:rPr>
                <w:rFonts w:hint="default" w:ascii="宋体" w:hAnsi="宋体" w:eastAsia="宋体" w:cs="微软雅黑"/>
                <w:color w:val="000000" w:themeColor="text1"/>
                <w:szCs w:val="21"/>
                <w:highlight w:val="none"/>
                <w:lang w:val="en-US" w:eastAsia="zh-CN"/>
                <w14:textFill>
                  <w14:solidFill>
                    <w14:schemeClr w14:val="tx1"/>
                  </w14:solidFill>
                </w14:textFill>
              </w:rPr>
              <w:t>延州财教指[2023]406号</w:t>
            </w:r>
            <w:r>
              <w:rPr>
                <w:rFonts w:hint="eastAsia" w:ascii="宋体" w:hAnsi="宋体" w:cs="微软雅黑"/>
                <w:color w:val="000000" w:themeColor="text1"/>
                <w:szCs w:val="21"/>
                <w:highlight w:val="none"/>
                <w:lang w:val="en-US" w:eastAsia="zh-CN"/>
                <w14:textFill>
                  <w14:solidFill>
                    <w14:schemeClr w14:val="tx1"/>
                  </w14:solidFill>
                </w14:textFill>
              </w:rPr>
              <w:t>]</w:t>
            </w:r>
          </w:p>
        </w:tc>
      </w:tr>
      <w:tr w14:paraId="287CA12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5" w:hRule="atLeast"/>
          <w:jc w:val="center"/>
        </w:trPr>
        <w:tc>
          <w:tcPr>
            <w:tcW w:w="995" w:type="dxa"/>
            <w:vAlign w:val="center"/>
          </w:tcPr>
          <w:p w14:paraId="1FE04AB2">
            <w:pPr>
              <w:overflowPunct/>
              <w:bidi w:val="0"/>
              <w:spacing w:line="400" w:lineRule="exact"/>
              <w:jc w:val="center"/>
              <w:outlineLvl w:val="9"/>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1.2.2</w:t>
            </w:r>
          </w:p>
        </w:tc>
        <w:tc>
          <w:tcPr>
            <w:tcW w:w="2095" w:type="dxa"/>
            <w:vAlign w:val="center"/>
          </w:tcPr>
          <w:p w14:paraId="41A09F1D">
            <w:pPr>
              <w:overflowPunct/>
              <w:bidi w:val="0"/>
              <w:spacing w:line="400" w:lineRule="exact"/>
              <w:jc w:val="center"/>
              <w:outlineLvl w:val="9"/>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出资比例</w:t>
            </w:r>
          </w:p>
        </w:tc>
        <w:tc>
          <w:tcPr>
            <w:tcW w:w="6675" w:type="dxa"/>
            <w:vAlign w:val="center"/>
          </w:tcPr>
          <w:p w14:paraId="1AF552B7">
            <w:pPr>
              <w:overflowPunct/>
              <w:bidi w:val="0"/>
              <w:spacing w:line="400" w:lineRule="exact"/>
              <w:outlineLvl w:val="9"/>
              <w:rPr>
                <w:rFonts w:hint="default" w:ascii="宋体" w:hAnsi="宋体" w:eastAsia="宋体" w:cs="微软雅黑"/>
                <w:color w:val="000000" w:themeColor="text1"/>
                <w:szCs w:val="21"/>
                <w:highlight w:val="none"/>
                <w:lang w:val="en-US" w:eastAsia="zh-CN"/>
                <w14:textFill>
                  <w14:solidFill>
                    <w14:schemeClr w14:val="tx1"/>
                  </w14:solidFill>
                </w14:textFill>
              </w:rPr>
            </w:pPr>
            <w:r>
              <w:rPr>
                <w:rFonts w:hint="eastAsia" w:ascii="宋体" w:hAnsi="宋体" w:eastAsia="宋体" w:cs="微软雅黑"/>
                <w:color w:val="000000" w:themeColor="text1"/>
                <w:szCs w:val="21"/>
                <w:highlight w:val="none"/>
                <w:lang w:val="en-US" w:eastAsia="zh-CN"/>
                <w14:textFill>
                  <w14:solidFill>
                    <w14:schemeClr w14:val="tx1"/>
                  </w14:solidFill>
                </w14:textFill>
              </w:rPr>
              <w:t>100%</w:t>
            </w:r>
          </w:p>
        </w:tc>
      </w:tr>
      <w:tr w14:paraId="4922900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5" w:hRule="atLeast"/>
          <w:jc w:val="center"/>
        </w:trPr>
        <w:tc>
          <w:tcPr>
            <w:tcW w:w="995" w:type="dxa"/>
            <w:vAlign w:val="center"/>
          </w:tcPr>
          <w:p w14:paraId="169B33FC">
            <w:pPr>
              <w:overflowPunct/>
              <w:bidi w:val="0"/>
              <w:spacing w:line="400" w:lineRule="exact"/>
              <w:jc w:val="center"/>
              <w:outlineLvl w:val="9"/>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1.2.3</w:t>
            </w:r>
          </w:p>
        </w:tc>
        <w:tc>
          <w:tcPr>
            <w:tcW w:w="2095" w:type="dxa"/>
            <w:vAlign w:val="center"/>
          </w:tcPr>
          <w:p w14:paraId="34F21574">
            <w:pPr>
              <w:overflowPunct/>
              <w:bidi w:val="0"/>
              <w:spacing w:line="400" w:lineRule="exact"/>
              <w:jc w:val="center"/>
              <w:outlineLvl w:val="9"/>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资金落实情况</w:t>
            </w:r>
          </w:p>
        </w:tc>
        <w:tc>
          <w:tcPr>
            <w:tcW w:w="6675" w:type="dxa"/>
            <w:vAlign w:val="center"/>
          </w:tcPr>
          <w:p w14:paraId="4D905DE8">
            <w:pPr>
              <w:overflowPunct/>
              <w:bidi w:val="0"/>
              <w:spacing w:line="400" w:lineRule="exact"/>
              <w:outlineLvl w:val="9"/>
              <w:rPr>
                <w:rFonts w:hint="eastAsia" w:ascii="宋体" w:hAnsi="宋体" w:eastAsia="宋体" w:cs="微软雅黑"/>
                <w:color w:val="000000" w:themeColor="text1"/>
                <w:szCs w:val="21"/>
                <w:highlight w:val="none"/>
                <w:lang w:val="en-US" w:eastAsia="zh-CN"/>
                <w14:textFill>
                  <w14:solidFill>
                    <w14:schemeClr w14:val="tx1"/>
                  </w14:solidFill>
                </w14:textFill>
              </w:rPr>
            </w:pPr>
            <w:r>
              <w:rPr>
                <w:rFonts w:hint="eastAsia" w:ascii="宋体" w:hAnsi="宋体" w:eastAsia="宋体" w:cs="微软雅黑"/>
                <w:color w:val="000000" w:themeColor="text1"/>
                <w:szCs w:val="21"/>
                <w:highlight w:val="none"/>
                <w:lang w:val="en-US" w:eastAsia="zh-CN"/>
                <w14:textFill>
                  <w14:solidFill>
                    <w14:schemeClr w14:val="tx1"/>
                  </w14:solidFill>
                </w14:textFill>
              </w:rPr>
              <w:t>已落实</w:t>
            </w:r>
          </w:p>
        </w:tc>
      </w:tr>
      <w:tr w14:paraId="08E7A23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5" w:hRule="atLeast"/>
          <w:jc w:val="center"/>
        </w:trPr>
        <w:tc>
          <w:tcPr>
            <w:tcW w:w="995" w:type="dxa"/>
            <w:vAlign w:val="center"/>
          </w:tcPr>
          <w:p w14:paraId="3DF00905">
            <w:pPr>
              <w:overflowPunct/>
              <w:bidi w:val="0"/>
              <w:spacing w:line="400" w:lineRule="exact"/>
              <w:jc w:val="center"/>
              <w:outlineLvl w:val="9"/>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1.3.1</w:t>
            </w:r>
          </w:p>
        </w:tc>
        <w:tc>
          <w:tcPr>
            <w:tcW w:w="2095" w:type="dxa"/>
            <w:vAlign w:val="center"/>
          </w:tcPr>
          <w:p w14:paraId="43EB4EEF">
            <w:pPr>
              <w:overflowPunct/>
              <w:bidi w:val="0"/>
              <w:spacing w:line="400" w:lineRule="exact"/>
              <w:jc w:val="center"/>
              <w:outlineLvl w:val="9"/>
              <w:rPr>
                <w:rFonts w:hint="eastAsia" w:ascii="宋体" w:hAnsi="宋体" w:eastAsia="宋体" w:cs="微软雅黑"/>
                <w:color w:val="000000" w:themeColor="text1"/>
                <w:szCs w:val="21"/>
                <w:highlight w:val="none"/>
                <w:lang w:val="en-US" w:eastAsia="zh-CN"/>
                <w14:textFill>
                  <w14:solidFill>
                    <w14:schemeClr w14:val="tx1"/>
                  </w14:solidFill>
                </w14:textFill>
              </w:rPr>
            </w:pPr>
            <w:r>
              <w:rPr>
                <w:rFonts w:hint="eastAsia" w:ascii="宋体" w:hAnsi="宋体" w:eastAsia="宋体" w:cs="微软雅黑"/>
                <w:color w:val="000000" w:themeColor="text1"/>
                <w:szCs w:val="21"/>
                <w:highlight w:val="none"/>
                <w:lang w:val="en-US" w:eastAsia="zh-CN"/>
                <w14:textFill>
                  <w14:solidFill>
                    <w14:schemeClr w14:val="tx1"/>
                  </w14:solidFill>
                </w14:textFill>
              </w:rPr>
              <w:t>采购内容</w:t>
            </w:r>
          </w:p>
        </w:tc>
        <w:tc>
          <w:tcPr>
            <w:tcW w:w="6675" w:type="dxa"/>
            <w:vAlign w:val="center"/>
          </w:tcPr>
          <w:p w14:paraId="246D89C6">
            <w:pPr>
              <w:overflowPunct/>
              <w:bidi w:val="0"/>
              <w:spacing w:line="400" w:lineRule="exact"/>
              <w:outlineLvl w:val="9"/>
              <w:rPr>
                <w:rFonts w:hint="eastAsia" w:ascii="宋体" w:hAnsi="宋体" w:eastAsia="宋体" w:cs="微软雅黑"/>
                <w:b/>
                <w:bCs/>
                <w:color w:val="000000" w:themeColor="text1"/>
                <w:szCs w:val="21"/>
                <w:highlight w:val="none"/>
                <w:lang w:val="en-US" w:eastAsia="zh-CN"/>
                <w14:textFill>
                  <w14:solidFill>
                    <w14:schemeClr w14:val="tx1"/>
                  </w14:solidFill>
                </w14:textFill>
              </w:rPr>
            </w:pPr>
            <w:r>
              <w:rPr>
                <w:rFonts w:hint="eastAsia" w:ascii="宋体" w:hAnsi="宋体" w:eastAsia="宋体" w:cs="微软雅黑"/>
                <w:color w:val="000000" w:themeColor="text1"/>
                <w:szCs w:val="21"/>
                <w:highlight w:val="none"/>
                <w:lang w:val="en-US" w:eastAsia="zh-CN"/>
                <w14:textFill>
                  <w14:solidFill>
                    <w14:schemeClr w14:val="tx1"/>
                  </w14:solidFill>
                </w14:textFill>
              </w:rPr>
              <w:t>智能LED教室灯</w:t>
            </w:r>
            <w:r>
              <w:rPr>
                <w:rFonts w:hint="eastAsia" w:ascii="宋体" w:hAnsi="宋体" w:cs="微软雅黑"/>
                <w:color w:val="000000" w:themeColor="text1"/>
                <w:szCs w:val="21"/>
                <w:highlight w:val="none"/>
                <w:lang w:val="en-US" w:eastAsia="zh-CN"/>
                <w14:textFill>
                  <w14:solidFill>
                    <w14:schemeClr w14:val="tx1"/>
                  </w14:solidFill>
                </w14:textFill>
              </w:rPr>
              <w:t>、无线教学扩声音箱、无线教学扩声主机、无线麦克风、智能网关、物联校园无线数据接入主机、智能面板、智慧管理平台</w:t>
            </w:r>
          </w:p>
        </w:tc>
      </w:tr>
      <w:tr w14:paraId="697F72F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995" w:type="dxa"/>
            <w:vAlign w:val="center"/>
          </w:tcPr>
          <w:p w14:paraId="464284E8">
            <w:pPr>
              <w:overflowPunct/>
              <w:bidi w:val="0"/>
              <w:spacing w:line="400" w:lineRule="exact"/>
              <w:jc w:val="center"/>
              <w:outlineLvl w:val="9"/>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1.3.2</w:t>
            </w:r>
          </w:p>
        </w:tc>
        <w:tc>
          <w:tcPr>
            <w:tcW w:w="2095" w:type="dxa"/>
            <w:vAlign w:val="center"/>
          </w:tcPr>
          <w:p w14:paraId="1ED30EFB">
            <w:pPr>
              <w:overflowPunct/>
              <w:bidi w:val="0"/>
              <w:spacing w:line="400" w:lineRule="exact"/>
              <w:jc w:val="center"/>
              <w:outlineLvl w:val="9"/>
              <w:rPr>
                <w:rFonts w:hint="eastAsia" w:ascii="宋体" w:hAnsi="宋体" w:eastAsia="宋体"/>
                <w:color w:val="000000" w:themeColor="text1"/>
                <w:highlight w:val="none"/>
                <w:lang w:eastAsia="zh-CN"/>
                <w14:textFill>
                  <w14:solidFill>
                    <w14:schemeClr w14:val="tx1"/>
                  </w14:solidFill>
                </w14:textFill>
              </w:rPr>
            </w:pPr>
            <w:r>
              <w:rPr>
                <w:rFonts w:hint="eastAsia" w:ascii="宋体" w:hAnsi="宋体"/>
                <w:color w:val="000000" w:themeColor="text1"/>
                <w:highlight w:val="none"/>
                <w:lang w:val="en-US" w:eastAsia="zh-CN"/>
                <w14:textFill>
                  <w14:solidFill>
                    <w14:schemeClr w14:val="tx1"/>
                  </w14:solidFill>
                </w14:textFill>
              </w:rPr>
              <w:t>供货期限</w:t>
            </w:r>
          </w:p>
        </w:tc>
        <w:tc>
          <w:tcPr>
            <w:tcW w:w="6675" w:type="dxa"/>
            <w:shd w:val="clear" w:color="auto" w:fill="auto"/>
            <w:vAlign w:val="center"/>
          </w:tcPr>
          <w:p w14:paraId="5891743C">
            <w:pPr>
              <w:overflowPunct/>
              <w:bidi w:val="0"/>
              <w:spacing w:line="400" w:lineRule="exact"/>
              <w:outlineLvl w:val="9"/>
              <w:rPr>
                <w:rFonts w:hint="eastAsia" w:ascii="宋体" w:hAnsi="宋体" w:eastAsia="宋体" w:cs="微软雅黑"/>
                <w:color w:val="000000" w:themeColor="text1"/>
                <w:szCs w:val="21"/>
                <w:highlight w:val="none"/>
                <w:lang w:val="en-US" w:eastAsia="zh-CN"/>
                <w14:textFill>
                  <w14:solidFill>
                    <w14:schemeClr w14:val="tx1"/>
                  </w14:solidFill>
                </w14:textFill>
              </w:rPr>
            </w:pPr>
            <w:r>
              <w:rPr>
                <w:rFonts w:hint="eastAsia" w:ascii="宋体" w:hAnsi="宋体" w:cs="微软雅黑"/>
                <w:color w:val="000000" w:themeColor="text1"/>
                <w:szCs w:val="21"/>
                <w:highlight w:val="none"/>
                <w:lang w:val="en-US" w:eastAsia="zh-CN"/>
                <w14:textFill>
                  <w14:solidFill>
                    <w14:schemeClr w14:val="tx1"/>
                  </w14:solidFill>
                </w14:textFill>
              </w:rPr>
              <w:t>自合同签订之日起45日内安装调试完毕交付使用并验收合格（具体时间以实际合同为准）</w:t>
            </w:r>
          </w:p>
        </w:tc>
      </w:tr>
      <w:tr w14:paraId="12CB71B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0" w:hRule="atLeast"/>
          <w:jc w:val="center"/>
        </w:trPr>
        <w:tc>
          <w:tcPr>
            <w:tcW w:w="995" w:type="dxa"/>
            <w:vAlign w:val="center"/>
          </w:tcPr>
          <w:p w14:paraId="24AA9135">
            <w:pPr>
              <w:overflowPunct/>
              <w:bidi w:val="0"/>
              <w:spacing w:line="400" w:lineRule="exact"/>
              <w:jc w:val="center"/>
              <w:outlineLvl w:val="9"/>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1.3.3</w:t>
            </w:r>
          </w:p>
        </w:tc>
        <w:tc>
          <w:tcPr>
            <w:tcW w:w="2095" w:type="dxa"/>
            <w:vAlign w:val="center"/>
          </w:tcPr>
          <w:p w14:paraId="0FF929CB">
            <w:pPr>
              <w:overflowPunct/>
              <w:bidi w:val="0"/>
              <w:spacing w:line="400" w:lineRule="exact"/>
              <w:jc w:val="center"/>
              <w:outlineLvl w:val="9"/>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质量标准</w:t>
            </w:r>
          </w:p>
        </w:tc>
        <w:tc>
          <w:tcPr>
            <w:tcW w:w="6675" w:type="dxa"/>
            <w:vAlign w:val="center"/>
          </w:tcPr>
          <w:p w14:paraId="1EA2F2AB">
            <w:pPr>
              <w:overflowPunct/>
              <w:bidi w:val="0"/>
              <w:spacing w:line="400" w:lineRule="exact"/>
              <w:outlineLvl w:val="9"/>
              <w:rPr>
                <w:rFonts w:ascii="宋体" w:hAnsi="宋体"/>
                <w:color w:val="000000" w:themeColor="text1"/>
                <w:szCs w:val="21"/>
                <w:highlight w:val="none"/>
                <w14:textFill>
                  <w14:solidFill>
                    <w14:schemeClr w14:val="tx1"/>
                  </w14:solidFill>
                </w14:textFill>
              </w:rPr>
            </w:pPr>
            <w:r>
              <w:rPr>
                <w:rFonts w:hint="eastAsia" w:ascii="宋体" w:hAnsi="宋体"/>
                <w:color w:val="000000" w:themeColor="text1"/>
                <w:szCs w:val="21"/>
                <w:highlight w:val="none"/>
                <w:lang w:val="en-US" w:eastAsia="zh-CN"/>
                <w14:textFill>
                  <w14:solidFill>
                    <w14:schemeClr w14:val="tx1"/>
                  </w14:solidFill>
                </w14:textFill>
              </w:rPr>
              <w:t>符合现行国家、行业、地方或者其他相关标准的合格要求</w:t>
            </w:r>
          </w:p>
        </w:tc>
      </w:tr>
      <w:tr w14:paraId="2EA7648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96" w:hRule="atLeast"/>
          <w:jc w:val="center"/>
        </w:trPr>
        <w:tc>
          <w:tcPr>
            <w:tcW w:w="995" w:type="dxa"/>
            <w:vAlign w:val="center"/>
          </w:tcPr>
          <w:p w14:paraId="34C2822C">
            <w:pPr>
              <w:overflowPunct/>
              <w:bidi w:val="0"/>
              <w:spacing w:line="400" w:lineRule="exact"/>
              <w:jc w:val="center"/>
              <w:outlineLvl w:val="9"/>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1.4.1</w:t>
            </w:r>
          </w:p>
        </w:tc>
        <w:tc>
          <w:tcPr>
            <w:tcW w:w="2095" w:type="dxa"/>
            <w:vAlign w:val="center"/>
          </w:tcPr>
          <w:p w14:paraId="6FD7A32E">
            <w:pPr>
              <w:overflowPunct/>
              <w:bidi w:val="0"/>
              <w:spacing w:line="400" w:lineRule="exact"/>
              <w:jc w:val="center"/>
              <w:outlineLvl w:val="9"/>
              <w:rPr>
                <w:color w:val="000000" w:themeColor="text1"/>
                <w:highlight w:val="none"/>
                <w14:textFill>
                  <w14:solidFill>
                    <w14:schemeClr w14:val="tx1"/>
                  </w14:solidFill>
                </w14:textFill>
              </w:rPr>
            </w:pPr>
            <w:r>
              <w:rPr>
                <w:rFonts w:hint="eastAsia"/>
                <w:color w:val="000000" w:themeColor="text1"/>
                <w:highlight w:val="none"/>
                <w:lang w:eastAsia="zh-CN"/>
                <w14:textFill>
                  <w14:solidFill>
                    <w14:schemeClr w14:val="tx1"/>
                  </w14:solidFill>
                </w14:textFill>
              </w:rPr>
              <w:t>供应商</w:t>
            </w:r>
            <w:r>
              <w:rPr>
                <w:rFonts w:hint="eastAsia"/>
                <w:color w:val="000000" w:themeColor="text1"/>
                <w:highlight w:val="none"/>
                <w14:textFill>
                  <w14:solidFill>
                    <w14:schemeClr w14:val="tx1"/>
                  </w14:solidFill>
                </w14:textFill>
              </w:rPr>
              <w:t>资质条件、能力和信誉</w:t>
            </w:r>
          </w:p>
        </w:tc>
        <w:tc>
          <w:tcPr>
            <w:tcW w:w="6675" w:type="dxa"/>
            <w:vAlign w:val="center"/>
          </w:tcPr>
          <w:p w14:paraId="5B853E46">
            <w:pPr>
              <w:keepNext w:val="0"/>
              <w:keepLines w:val="0"/>
              <w:pageBreakBefore w:val="0"/>
              <w:widowControl w:val="0"/>
              <w:kinsoku/>
              <w:wordWrap/>
              <w:overflowPunct/>
              <w:topLinePunct w:val="0"/>
              <w:autoSpaceDE/>
              <w:autoSpaceDN/>
              <w:bidi w:val="0"/>
              <w:adjustRightInd/>
              <w:snapToGrid/>
              <w:spacing w:line="400" w:lineRule="exact"/>
              <w:ind w:firstLine="0" w:firstLineChars="0"/>
              <w:textAlignment w:val="auto"/>
              <w:outlineLvl w:val="9"/>
              <w:rPr>
                <w:rFonts w:hint="eastAsia" w:ascii="宋体" w:hAnsi="宋体" w:eastAsia="宋体" w:cs="Times New Roman"/>
                <w:color w:val="000000" w:themeColor="text1"/>
                <w:szCs w:val="21"/>
                <w:highlight w:val="none"/>
                <w:lang w:val="en-US" w:eastAsia="zh-CN"/>
                <w14:textFill>
                  <w14:solidFill>
                    <w14:schemeClr w14:val="tx1"/>
                  </w14:solidFill>
                </w14:textFill>
              </w:rPr>
            </w:pPr>
            <w:r>
              <w:rPr>
                <w:rFonts w:hint="eastAsia" w:ascii="宋体" w:hAnsi="宋体" w:eastAsia="宋体" w:cs="Times New Roman"/>
                <w:color w:val="000000" w:themeColor="text1"/>
                <w:szCs w:val="21"/>
                <w:highlight w:val="none"/>
                <w:lang w:val="en-US" w:eastAsia="zh-CN"/>
                <w14:textFill>
                  <w14:solidFill>
                    <w14:schemeClr w14:val="tx1"/>
                  </w14:solidFill>
                </w14:textFill>
              </w:rPr>
              <w:t>1. 满足《中华人民共和国政府采购法》第二十二条规定；</w:t>
            </w:r>
          </w:p>
          <w:p w14:paraId="11CCB2AE">
            <w:pPr>
              <w:keepNext w:val="0"/>
              <w:keepLines w:val="0"/>
              <w:pageBreakBefore w:val="0"/>
              <w:widowControl w:val="0"/>
              <w:kinsoku/>
              <w:wordWrap/>
              <w:overflowPunct/>
              <w:topLinePunct w:val="0"/>
              <w:autoSpaceDE/>
              <w:autoSpaceDN/>
              <w:bidi w:val="0"/>
              <w:adjustRightInd/>
              <w:snapToGrid/>
              <w:spacing w:line="400" w:lineRule="exact"/>
              <w:ind w:firstLine="0" w:firstLineChars="0"/>
              <w:textAlignment w:val="auto"/>
              <w:outlineLvl w:val="9"/>
              <w:rPr>
                <w:rFonts w:hint="eastAsia" w:ascii="宋体" w:hAnsi="宋体" w:eastAsia="宋体" w:cs="Times New Roman"/>
                <w:color w:val="000000" w:themeColor="text1"/>
                <w:szCs w:val="21"/>
                <w:highlight w:val="none"/>
                <w:lang w:val="en-US" w:eastAsia="zh-CN"/>
                <w14:textFill>
                  <w14:solidFill>
                    <w14:schemeClr w14:val="tx1"/>
                  </w14:solidFill>
                </w14:textFill>
              </w:rPr>
            </w:pPr>
            <w:r>
              <w:rPr>
                <w:rFonts w:hint="eastAsia" w:ascii="宋体" w:hAnsi="宋体" w:eastAsia="宋体" w:cs="Times New Roman"/>
                <w:color w:val="000000" w:themeColor="text1"/>
                <w:szCs w:val="21"/>
                <w:highlight w:val="none"/>
                <w:lang w:val="en-US" w:eastAsia="zh-CN"/>
                <w14:textFill>
                  <w14:solidFill>
                    <w14:schemeClr w14:val="tx1"/>
                  </w14:solidFill>
                </w14:textFill>
              </w:rPr>
              <w:t>2. 落实政府采购政策需满足的资格：本项目</w:t>
            </w:r>
            <w:r>
              <w:rPr>
                <w:rFonts w:hint="eastAsia" w:ascii="宋体" w:hAnsi="宋体" w:cs="Times New Roman"/>
                <w:color w:val="000000" w:themeColor="text1"/>
                <w:szCs w:val="21"/>
                <w:highlight w:val="none"/>
                <w:lang w:val="en-US" w:eastAsia="zh-CN"/>
                <w14:textFill>
                  <w14:solidFill>
                    <w14:schemeClr w14:val="tx1"/>
                  </w14:solidFill>
                </w14:textFill>
              </w:rPr>
              <w:t>不</w:t>
            </w:r>
            <w:r>
              <w:rPr>
                <w:rFonts w:hint="eastAsia" w:ascii="宋体" w:hAnsi="宋体" w:eastAsia="宋体" w:cs="Times New Roman"/>
                <w:color w:val="000000" w:themeColor="text1"/>
                <w:szCs w:val="21"/>
                <w:highlight w:val="none"/>
                <w:lang w:val="en-US" w:eastAsia="zh-CN"/>
                <w14:textFill>
                  <w14:solidFill>
                    <w14:schemeClr w14:val="tx1"/>
                  </w14:solidFill>
                </w14:textFill>
              </w:rPr>
              <w:t>专门面向中小企业采购；</w:t>
            </w:r>
          </w:p>
          <w:p w14:paraId="38FEA682">
            <w:pPr>
              <w:keepNext w:val="0"/>
              <w:keepLines w:val="0"/>
              <w:pageBreakBefore w:val="0"/>
              <w:widowControl w:val="0"/>
              <w:kinsoku/>
              <w:wordWrap/>
              <w:overflowPunct/>
              <w:topLinePunct w:val="0"/>
              <w:autoSpaceDE/>
              <w:autoSpaceDN/>
              <w:bidi w:val="0"/>
              <w:adjustRightInd/>
              <w:snapToGrid/>
              <w:spacing w:line="400" w:lineRule="exact"/>
              <w:ind w:firstLine="0" w:firstLineChars="0"/>
              <w:textAlignment w:val="auto"/>
              <w:outlineLvl w:val="9"/>
              <w:rPr>
                <w:rFonts w:hint="eastAsia" w:ascii="宋体" w:hAnsi="宋体" w:eastAsia="宋体" w:cs="Times New Roman"/>
                <w:color w:val="000000" w:themeColor="text1"/>
                <w:szCs w:val="21"/>
                <w:highlight w:val="none"/>
                <w:lang w:val="en-US" w:eastAsia="zh-CN"/>
                <w14:textFill>
                  <w14:solidFill>
                    <w14:schemeClr w14:val="tx1"/>
                  </w14:solidFill>
                </w14:textFill>
              </w:rPr>
            </w:pPr>
            <w:r>
              <w:rPr>
                <w:rFonts w:hint="eastAsia" w:ascii="宋体" w:hAnsi="宋体" w:eastAsia="宋体" w:cs="Times New Roman"/>
                <w:color w:val="000000" w:themeColor="text1"/>
                <w:szCs w:val="21"/>
                <w:highlight w:val="none"/>
                <w:lang w:val="en-US" w:eastAsia="zh-CN"/>
                <w14:textFill>
                  <w14:solidFill>
                    <w14:schemeClr w14:val="tx1"/>
                  </w14:solidFill>
                </w14:textFill>
              </w:rPr>
              <w:t>3 本项目的特定资格要求：</w:t>
            </w:r>
          </w:p>
          <w:p w14:paraId="7DEC6D2F">
            <w:pPr>
              <w:keepNext w:val="0"/>
              <w:keepLines w:val="0"/>
              <w:pageBreakBefore w:val="0"/>
              <w:widowControl w:val="0"/>
              <w:kinsoku/>
              <w:wordWrap/>
              <w:overflowPunct/>
              <w:topLinePunct w:val="0"/>
              <w:autoSpaceDE/>
              <w:autoSpaceDN/>
              <w:bidi w:val="0"/>
              <w:adjustRightInd/>
              <w:snapToGrid/>
              <w:spacing w:line="400" w:lineRule="exact"/>
              <w:ind w:firstLine="0" w:firstLineChars="0"/>
              <w:textAlignment w:val="auto"/>
              <w:outlineLvl w:val="9"/>
              <w:rPr>
                <w:rFonts w:hint="eastAsia" w:ascii="宋体" w:hAnsi="宋体" w:eastAsia="宋体" w:cs="Times New Roman"/>
                <w:color w:val="000000" w:themeColor="text1"/>
                <w:szCs w:val="21"/>
                <w:highlight w:val="none"/>
                <w:lang w:val="en-US" w:eastAsia="zh-CN"/>
                <w14:textFill>
                  <w14:solidFill>
                    <w14:schemeClr w14:val="tx1"/>
                  </w14:solidFill>
                </w14:textFill>
              </w:rPr>
            </w:pPr>
            <w:r>
              <w:rPr>
                <w:rFonts w:hint="eastAsia" w:ascii="宋体" w:hAnsi="宋体" w:eastAsia="宋体" w:cs="Times New Roman"/>
                <w:color w:val="000000" w:themeColor="text1"/>
                <w:szCs w:val="21"/>
                <w:highlight w:val="none"/>
                <w14:textFill>
                  <w14:solidFill>
                    <w14:schemeClr w14:val="tx1"/>
                  </w14:solidFill>
                </w14:textFill>
              </w:rPr>
              <w:t>3.1本次招标要求供应商须具有独立承担民事责任的能力，具有有效的营业执照，供应商应具有履行合同所必须的设备和专业能力。</w:t>
            </w:r>
          </w:p>
          <w:p w14:paraId="136F1A4C">
            <w:pPr>
              <w:keepNext w:val="0"/>
              <w:keepLines w:val="0"/>
              <w:pageBreakBefore w:val="0"/>
              <w:widowControl w:val="0"/>
              <w:kinsoku/>
              <w:wordWrap/>
              <w:overflowPunct/>
              <w:topLinePunct w:val="0"/>
              <w:autoSpaceDE/>
              <w:autoSpaceDN/>
              <w:bidi w:val="0"/>
              <w:adjustRightInd/>
              <w:snapToGrid/>
              <w:spacing w:line="400" w:lineRule="exact"/>
              <w:ind w:firstLine="0" w:firstLineChars="0"/>
              <w:textAlignment w:val="auto"/>
              <w:outlineLvl w:val="9"/>
              <w:rPr>
                <w:rFonts w:hint="eastAsia" w:ascii="宋体" w:hAnsi="宋体" w:eastAsia="宋体" w:cs="Times New Roman"/>
                <w:color w:val="000000" w:themeColor="text1"/>
                <w:szCs w:val="21"/>
                <w:highlight w:val="none"/>
                <w:lang w:val="en-US" w:eastAsia="zh-CN"/>
                <w14:textFill>
                  <w14:solidFill>
                    <w14:schemeClr w14:val="tx1"/>
                  </w14:solidFill>
                </w14:textFill>
              </w:rPr>
            </w:pPr>
            <w:r>
              <w:rPr>
                <w:rFonts w:hint="eastAsia" w:ascii="宋体" w:hAnsi="宋体" w:eastAsia="宋体" w:cs="Times New Roman"/>
                <w:color w:val="000000" w:themeColor="text1"/>
                <w:szCs w:val="21"/>
                <w:highlight w:val="none"/>
                <w:lang w:val="en-US" w:eastAsia="zh-CN"/>
                <w14:textFill>
                  <w14:solidFill>
                    <w14:schemeClr w14:val="tx1"/>
                  </w14:solidFill>
                </w14:textFill>
              </w:rPr>
              <w:t>3.2供应商参加采购活动应当提交反映其财务状况、依法缴纳税收和社保保障资金情况的资格条件承诺函。</w:t>
            </w:r>
          </w:p>
          <w:p w14:paraId="4B8F8660">
            <w:pPr>
              <w:keepNext w:val="0"/>
              <w:keepLines w:val="0"/>
              <w:pageBreakBefore w:val="0"/>
              <w:widowControl w:val="0"/>
              <w:kinsoku/>
              <w:wordWrap/>
              <w:overflowPunct/>
              <w:topLinePunct w:val="0"/>
              <w:autoSpaceDE/>
              <w:autoSpaceDN/>
              <w:bidi w:val="0"/>
              <w:adjustRightInd/>
              <w:snapToGrid/>
              <w:spacing w:line="400" w:lineRule="exact"/>
              <w:ind w:firstLine="0" w:firstLineChars="0"/>
              <w:textAlignment w:val="auto"/>
              <w:outlineLvl w:val="9"/>
              <w:rPr>
                <w:rFonts w:hint="eastAsia" w:ascii="宋体" w:hAnsi="宋体" w:eastAsia="宋体" w:cs="Times New Roman"/>
                <w:color w:val="000000" w:themeColor="text1"/>
                <w:szCs w:val="21"/>
                <w:highlight w:val="none"/>
                <w:lang w:val="en-US" w:eastAsia="zh-CN"/>
                <w14:textFill>
                  <w14:solidFill>
                    <w14:schemeClr w14:val="tx1"/>
                  </w14:solidFill>
                </w14:textFill>
              </w:rPr>
            </w:pPr>
            <w:r>
              <w:rPr>
                <w:rFonts w:hint="eastAsia" w:ascii="宋体" w:hAnsi="宋体" w:eastAsia="宋体" w:cs="Times New Roman"/>
                <w:color w:val="000000" w:themeColor="text1"/>
                <w:szCs w:val="21"/>
                <w:highlight w:val="none"/>
                <w:lang w:val="en-US" w:eastAsia="zh-CN"/>
                <w14:textFill>
                  <w14:solidFill>
                    <w14:schemeClr w14:val="tx1"/>
                  </w14:solidFill>
                </w14:textFill>
              </w:rPr>
              <w:t>3.3信誉要求：</w:t>
            </w:r>
          </w:p>
          <w:p w14:paraId="3F46C319">
            <w:pPr>
              <w:keepNext w:val="0"/>
              <w:keepLines w:val="0"/>
              <w:pageBreakBefore w:val="0"/>
              <w:widowControl w:val="0"/>
              <w:kinsoku/>
              <w:wordWrap/>
              <w:overflowPunct/>
              <w:topLinePunct w:val="0"/>
              <w:autoSpaceDE/>
              <w:autoSpaceDN/>
              <w:bidi w:val="0"/>
              <w:adjustRightInd/>
              <w:snapToGrid/>
              <w:spacing w:line="400" w:lineRule="exact"/>
              <w:ind w:firstLine="0" w:firstLineChars="0"/>
              <w:textAlignment w:val="auto"/>
              <w:outlineLvl w:val="9"/>
              <w:rPr>
                <w:rFonts w:hint="eastAsia" w:ascii="宋体" w:hAnsi="宋体" w:eastAsia="宋体" w:cs="Times New Roman"/>
                <w:color w:val="000000" w:themeColor="text1"/>
                <w:szCs w:val="21"/>
                <w:highlight w:val="none"/>
                <w:lang w:val="en-US" w:eastAsia="zh-CN"/>
                <w14:textFill>
                  <w14:solidFill>
                    <w14:schemeClr w14:val="tx1"/>
                  </w14:solidFill>
                </w14:textFill>
              </w:rPr>
            </w:pPr>
            <w:r>
              <w:rPr>
                <w:rFonts w:hint="eastAsia" w:ascii="宋体" w:hAnsi="宋体" w:eastAsia="宋体" w:cs="Times New Roman"/>
                <w:color w:val="000000" w:themeColor="text1"/>
                <w:szCs w:val="21"/>
                <w:highlight w:val="none"/>
                <w:lang w:val="en-US" w:eastAsia="zh-CN"/>
                <w14:textFill>
                  <w14:solidFill>
                    <w14:schemeClr w14:val="tx1"/>
                  </w14:solidFill>
                </w14:textFill>
              </w:rPr>
              <w:t>（1）供应商参加政府采购活动近3年内（2022年至今）在经营活动中没有重大违法记录。</w:t>
            </w:r>
          </w:p>
          <w:p w14:paraId="3D93DD73">
            <w:pPr>
              <w:keepNext w:val="0"/>
              <w:keepLines w:val="0"/>
              <w:pageBreakBefore w:val="0"/>
              <w:widowControl w:val="0"/>
              <w:kinsoku/>
              <w:wordWrap/>
              <w:overflowPunct/>
              <w:topLinePunct w:val="0"/>
              <w:autoSpaceDE/>
              <w:autoSpaceDN/>
              <w:bidi w:val="0"/>
              <w:adjustRightInd/>
              <w:snapToGrid/>
              <w:spacing w:line="400" w:lineRule="exact"/>
              <w:ind w:firstLine="0" w:firstLineChars="0"/>
              <w:textAlignment w:val="auto"/>
              <w:outlineLvl w:val="9"/>
              <w:rPr>
                <w:rFonts w:hint="eastAsia" w:ascii="宋体" w:hAnsi="宋体" w:eastAsia="宋体" w:cs="Times New Roman"/>
                <w:color w:val="000000" w:themeColor="text1"/>
                <w:szCs w:val="21"/>
                <w:highlight w:val="none"/>
                <w:lang w:val="en-US" w:eastAsia="zh-CN"/>
                <w14:textFill>
                  <w14:solidFill>
                    <w14:schemeClr w14:val="tx1"/>
                  </w14:solidFill>
                </w14:textFill>
              </w:rPr>
            </w:pPr>
            <w:r>
              <w:rPr>
                <w:rFonts w:hint="eastAsia" w:ascii="宋体" w:hAnsi="宋体" w:eastAsia="宋体" w:cs="Times New Roman"/>
                <w:color w:val="000000" w:themeColor="text1"/>
                <w:szCs w:val="21"/>
                <w:highlight w:val="none"/>
                <w:lang w:val="en-US" w:eastAsia="zh-CN"/>
                <w14:textFill>
                  <w14:solidFill>
                    <w14:schemeClr w14:val="tx1"/>
                  </w14:solidFill>
                </w14:textFill>
              </w:rPr>
              <w:t>（2）拒绝列入政府取消投标资格记录期间的企业或个人投标。</w:t>
            </w:r>
          </w:p>
          <w:p w14:paraId="4FC8F383">
            <w:pPr>
              <w:keepNext w:val="0"/>
              <w:keepLines w:val="0"/>
              <w:pageBreakBefore w:val="0"/>
              <w:widowControl w:val="0"/>
              <w:kinsoku/>
              <w:wordWrap/>
              <w:overflowPunct/>
              <w:topLinePunct w:val="0"/>
              <w:autoSpaceDE/>
              <w:autoSpaceDN/>
              <w:bidi w:val="0"/>
              <w:adjustRightInd/>
              <w:snapToGrid/>
              <w:spacing w:line="400" w:lineRule="exact"/>
              <w:ind w:firstLine="0" w:firstLineChars="0"/>
              <w:textAlignment w:val="auto"/>
              <w:outlineLvl w:val="9"/>
              <w:rPr>
                <w:rFonts w:hint="eastAsia" w:ascii="宋体" w:hAnsi="宋体" w:eastAsia="宋体" w:cs="Times New Roman"/>
                <w:color w:val="000000" w:themeColor="text1"/>
                <w:szCs w:val="21"/>
                <w:highlight w:val="none"/>
                <w:lang w:val="en-US" w:eastAsia="zh-CN"/>
                <w14:textFill>
                  <w14:solidFill>
                    <w14:schemeClr w14:val="tx1"/>
                  </w14:solidFill>
                </w14:textFill>
              </w:rPr>
            </w:pPr>
            <w:r>
              <w:rPr>
                <w:rFonts w:hint="eastAsia" w:ascii="宋体" w:hAnsi="宋体" w:eastAsia="宋体" w:cs="Times New Roman"/>
                <w:color w:val="000000" w:themeColor="text1"/>
                <w:szCs w:val="21"/>
                <w:highlight w:val="none"/>
                <w:lang w:val="en-US" w:eastAsia="zh-CN"/>
                <w14:textFill>
                  <w14:solidFill>
                    <w14:schemeClr w14:val="tx1"/>
                  </w14:solidFill>
                </w14:textFill>
              </w:rPr>
              <w:t>（3）未被列入“信用中国”网站(www.creditchina.gov.cn)、失信被执行人、企业经营异常名录、重大税收违法失信主体；</w:t>
            </w:r>
          </w:p>
          <w:p w14:paraId="4B7928F2">
            <w:pPr>
              <w:keepNext w:val="0"/>
              <w:keepLines w:val="0"/>
              <w:pageBreakBefore w:val="0"/>
              <w:widowControl w:val="0"/>
              <w:kinsoku/>
              <w:wordWrap/>
              <w:overflowPunct/>
              <w:topLinePunct w:val="0"/>
              <w:autoSpaceDE/>
              <w:autoSpaceDN/>
              <w:bidi w:val="0"/>
              <w:adjustRightInd/>
              <w:snapToGrid/>
              <w:spacing w:line="400" w:lineRule="exact"/>
              <w:ind w:firstLine="0" w:firstLineChars="0"/>
              <w:textAlignment w:val="auto"/>
              <w:outlineLvl w:val="9"/>
              <w:rPr>
                <w:rFonts w:hint="eastAsia" w:ascii="宋体" w:hAnsi="宋体" w:eastAsia="宋体" w:cs="Times New Roman"/>
                <w:color w:val="000000" w:themeColor="text1"/>
                <w:szCs w:val="21"/>
                <w:highlight w:val="none"/>
                <w:lang w:val="en-US" w:eastAsia="zh-CN"/>
                <w14:textFill>
                  <w14:solidFill>
                    <w14:schemeClr w14:val="tx1"/>
                  </w14:solidFill>
                </w14:textFill>
              </w:rPr>
            </w:pPr>
            <w:r>
              <w:rPr>
                <w:rFonts w:hint="eastAsia" w:ascii="宋体" w:hAnsi="宋体" w:eastAsia="宋体" w:cs="Times New Roman"/>
                <w:color w:val="000000" w:themeColor="text1"/>
                <w:szCs w:val="21"/>
                <w:highlight w:val="none"/>
                <w:lang w:val="en-US" w:eastAsia="zh-CN"/>
                <w14:textFill>
                  <w14:solidFill>
                    <w14:schemeClr w14:val="tx1"/>
                  </w14:solidFill>
                </w14:textFill>
              </w:rPr>
              <w:t>（4）未被工商行政管理机关在全国企业信用信息公示系统中列入严重违法失信企业名单；</w:t>
            </w:r>
          </w:p>
          <w:p w14:paraId="2AAECA1F">
            <w:pPr>
              <w:keepNext w:val="0"/>
              <w:keepLines w:val="0"/>
              <w:pageBreakBefore w:val="0"/>
              <w:widowControl w:val="0"/>
              <w:kinsoku/>
              <w:wordWrap/>
              <w:overflowPunct/>
              <w:topLinePunct w:val="0"/>
              <w:autoSpaceDE/>
              <w:autoSpaceDN/>
              <w:bidi w:val="0"/>
              <w:adjustRightInd/>
              <w:snapToGrid/>
              <w:spacing w:line="400" w:lineRule="exact"/>
              <w:ind w:firstLine="0" w:firstLineChars="0"/>
              <w:textAlignment w:val="auto"/>
              <w:outlineLvl w:val="9"/>
              <w:rPr>
                <w:rFonts w:hint="eastAsia" w:ascii="宋体" w:hAnsi="宋体" w:eastAsia="宋体" w:cs="Times New Roman"/>
                <w:color w:val="000000" w:themeColor="text1"/>
                <w:szCs w:val="21"/>
                <w:highlight w:val="none"/>
                <w:lang w:val="en-US" w:eastAsia="zh-CN"/>
                <w14:textFill>
                  <w14:solidFill>
                    <w14:schemeClr w14:val="tx1"/>
                  </w14:solidFill>
                </w14:textFill>
              </w:rPr>
            </w:pPr>
            <w:r>
              <w:rPr>
                <w:rFonts w:hint="eastAsia" w:ascii="宋体" w:hAnsi="宋体" w:eastAsia="宋体" w:cs="Times New Roman"/>
                <w:color w:val="000000" w:themeColor="text1"/>
                <w:szCs w:val="21"/>
                <w:highlight w:val="none"/>
                <w:lang w:val="en-US" w:eastAsia="zh-CN"/>
                <w14:textFill>
                  <w14:solidFill>
                    <w14:schemeClr w14:val="tx1"/>
                  </w14:solidFill>
                </w14:textFill>
              </w:rPr>
              <w:t>（5）未被列入“中国政府采购网”(www.ccgp.gov.cn)政府采购严重违法失信行为记录名单的供应商；</w:t>
            </w:r>
          </w:p>
          <w:p w14:paraId="1AF8B47F">
            <w:pPr>
              <w:keepNext w:val="0"/>
              <w:keepLines w:val="0"/>
              <w:pageBreakBefore w:val="0"/>
              <w:widowControl w:val="0"/>
              <w:kinsoku/>
              <w:wordWrap/>
              <w:overflowPunct/>
              <w:topLinePunct w:val="0"/>
              <w:autoSpaceDE/>
              <w:autoSpaceDN/>
              <w:bidi w:val="0"/>
              <w:adjustRightInd/>
              <w:snapToGrid/>
              <w:spacing w:line="400" w:lineRule="exact"/>
              <w:ind w:firstLine="0" w:firstLineChars="0"/>
              <w:textAlignment w:val="auto"/>
              <w:outlineLvl w:val="9"/>
              <w:rPr>
                <w:rFonts w:hint="eastAsia" w:ascii="宋体" w:hAnsi="宋体" w:eastAsia="宋体" w:cs="Times New Roman"/>
                <w:color w:val="000000" w:themeColor="text1"/>
                <w:szCs w:val="21"/>
                <w:highlight w:val="none"/>
                <w:lang w:val="en-US" w:eastAsia="zh-CN"/>
                <w14:textFill>
                  <w14:solidFill>
                    <w14:schemeClr w14:val="tx1"/>
                  </w14:solidFill>
                </w14:textFill>
              </w:rPr>
            </w:pPr>
            <w:r>
              <w:rPr>
                <w:rFonts w:hint="eastAsia" w:ascii="宋体" w:hAnsi="宋体" w:eastAsia="宋体" w:cs="Times New Roman"/>
                <w:color w:val="000000" w:themeColor="text1"/>
                <w:szCs w:val="21"/>
                <w:highlight w:val="none"/>
                <w:lang w:val="en-US" w:eastAsia="zh-CN"/>
                <w14:textFill>
                  <w14:solidFill>
                    <w14:schemeClr w14:val="tx1"/>
                  </w14:solidFill>
                </w14:textFill>
              </w:rPr>
              <w:t>（6）“中国裁判文书网”（wenshu.court.gov.cn/）查询企业及法定代表人无行贿犯罪记录证明。</w:t>
            </w:r>
          </w:p>
          <w:p w14:paraId="3DFE1A13">
            <w:pPr>
              <w:keepNext w:val="0"/>
              <w:keepLines w:val="0"/>
              <w:pageBreakBefore w:val="0"/>
              <w:widowControl w:val="0"/>
              <w:kinsoku/>
              <w:wordWrap/>
              <w:overflowPunct/>
              <w:topLinePunct w:val="0"/>
              <w:autoSpaceDE/>
              <w:autoSpaceDN/>
              <w:bidi w:val="0"/>
              <w:adjustRightInd/>
              <w:snapToGrid/>
              <w:spacing w:line="400" w:lineRule="exact"/>
              <w:ind w:firstLine="0" w:firstLineChars="0"/>
              <w:textAlignment w:val="auto"/>
              <w:outlineLvl w:val="9"/>
              <w:rPr>
                <w:rFonts w:hint="eastAsia" w:ascii="宋体" w:hAnsi="宋体" w:eastAsia="宋体" w:cs="Times New Roman"/>
                <w:color w:val="000000" w:themeColor="text1"/>
                <w:szCs w:val="21"/>
                <w:highlight w:val="none"/>
                <w:lang w:val="en-US" w:eastAsia="zh-CN"/>
                <w14:textFill>
                  <w14:solidFill>
                    <w14:schemeClr w14:val="tx1"/>
                  </w14:solidFill>
                </w14:textFill>
              </w:rPr>
            </w:pPr>
            <w:r>
              <w:rPr>
                <w:rFonts w:hint="eastAsia" w:ascii="宋体" w:hAnsi="宋体" w:eastAsia="宋体" w:cs="Times New Roman"/>
                <w:color w:val="000000" w:themeColor="text1"/>
                <w:szCs w:val="21"/>
                <w:highlight w:val="none"/>
                <w:lang w:val="en-US" w:eastAsia="zh-CN"/>
                <w14:textFill>
                  <w14:solidFill>
                    <w14:schemeClr w14:val="tx1"/>
                  </w14:solidFill>
                </w14:textFill>
              </w:rPr>
              <w:t>3.4采购人存在利害关系可能影响招标公正性的法人、其他组织或者个人，不得参加投标；具有投资参股关系的关联企业，或具有直接管理和被管理关系的母子公司，或同一母子公司的子公司，或法定代表人为同一人的两个及两个以上法人不得同时对同一标段投标；单位负责人同一人或者存在控股、管理关系的不同单位，不得参加同一合同项下的政府采购活动。除单一来源采购项目外，为采购项目提供整体设计、规范预算编制的供应商，不得再参加该采购项目的其他采购活动；</w:t>
            </w:r>
          </w:p>
        </w:tc>
      </w:tr>
      <w:tr w14:paraId="67CEB4D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0" w:hRule="atLeast"/>
          <w:jc w:val="center"/>
        </w:trPr>
        <w:tc>
          <w:tcPr>
            <w:tcW w:w="995" w:type="dxa"/>
            <w:vAlign w:val="center"/>
          </w:tcPr>
          <w:p w14:paraId="40FDCFD9">
            <w:pPr>
              <w:overflowPunct/>
              <w:bidi w:val="0"/>
              <w:spacing w:line="400" w:lineRule="exact"/>
              <w:jc w:val="center"/>
              <w:outlineLvl w:val="9"/>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1.4.2</w:t>
            </w:r>
          </w:p>
        </w:tc>
        <w:tc>
          <w:tcPr>
            <w:tcW w:w="2095" w:type="dxa"/>
            <w:vAlign w:val="center"/>
          </w:tcPr>
          <w:p w14:paraId="25D4C706">
            <w:pPr>
              <w:overflowPunct/>
              <w:bidi w:val="0"/>
              <w:spacing w:line="400" w:lineRule="exact"/>
              <w:jc w:val="center"/>
              <w:outlineLvl w:val="9"/>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是否接受联合体投标</w:t>
            </w:r>
          </w:p>
        </w:tc>
        <w:tc>
          <w:tcPr>
            <w:tcW w:w="6675" w:type="dxa"/>
            <w:vAlign w:val="center"/>
          </w:tcPr>
          <w:p w14:paraId="7943707D">
            <w:pPr>
              <w:keepNext w:val="0"/>
              <w:keepLines w:val="0"/>
              <w:pageBreakBefore w:val="0"/>
              <w:widowControl w:val="0"/>
              <w:kinsoku/>
              <w:wordWrap/>
              <w:overflowPunct/>
              <w:topLinePunct w:val="0"/>
              <w:autoSpaceDE/>
              <w:autoSpaceDN/>
              <w:bidi w:val="0"/>
              <w:adjustRightInd/>
              <w:snapToGrid/>
              <w:spacing w:line="400" w:lineRule="exact"/>
              <w:ind w:firstLine="0" w:firstLineChars="0"/>
              <w:textAlignment w:val="auto"/>
              <w:outlineLvl w:val="9"/>
              <w:rPr>
                <w:rFonts w:hint="eastAsia" w:ascii="宋体" w:hAnsi="宋体" w:cs="Times New Roman"/>
                <w:color w:val="000000" w:themeColor="text1"/>
                <w:szCs w:val="21"/>
                <w:highlight w:val="none"/>
                <w14:textFill>
                  <w14:solidFill>
                    <w14:schemeClr w14:val="tx1"/>
                  </w14:solidFill>
                </w14:textFill>
              </w:rPr>
            </w:pPr>
            <w:r>
              <w:rPr>
                <w:rFonts w:hint="eastAsia" w:ascii="宋体" w:hAnsi="宋体" w:cs="Times New Roman"/>
                <w:color w:val="000000" w:themeColor="text1"/>
                <w:szCs w:val="21"/>
                <w:highlight w:val="none"/>
                <w14:textFill>
                  <w14:solidFill>
                    <w14:schemeClr w14:val="tx1"/>
                  </w14:solidFill>
                </w14:textFill>
              </w:rPr>
              <w:t>不接受</w:t>
            </w:r>
          </w:p>
        </w:tc>
      </w:tr>
      <w:tr w14:paraId="6834D36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0" w:hRule="atLeast"/>
          <w:jc w:val="center"/>
        </w:trPr>
        <w:tc>
          <w:tcPr>
            <w:tcW w:w="995" w:type="dxa"/>
            <w:vAlign w:val="center"/>
          </w:tcPr>
          <w:p w14:paraId="148EC0EC">
            <w:pPr>
              <w:overflowPunct/>
              <w:bidi w:val="0"/>
              <w:spacing w:line="400" w:lineRule="exact"/>
              <w:jc w:val="center"/>
              <w:outlineLvl w:val="9"/>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1.9.1</w:t>
            </w:r>
          </w:p>
        </w:tc>
        <w:tc>
          <w:tcPr>
            <w:tcW w:w="2095" w:type="dxa"/>
            <w:vAlign w:val="center"/>
          </w:tcPr>
          <w:p w14:paraId="05E70070">
            <w:pPr>
              <w:overflowPunct/>
              <w:bidi w:val="0"/>
              <w:spacing w:line="400" w:lineRule="exact"/>
              <w:jc w:val="center"/>
              <w:outlineLvl w:val="9"/>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踏勘现场</w:t>
            </w:r>
          </w:p>
        </w:tc>
        <w:tc>
          <w:tcPr>
            <w:tcW w:w="6675" w:type="dxa"/>
            <w:vAlign w:val="center"/>
          </w:tcPr>
          <w:p w14:paraId="118815BD">
            <w:pPr>
              <w:keepNext w:val="0"/>
              <w:keepLines w:val="0"/>
              <w:pageBreakBefore w:val="0"/>
              <w:widowControl w:val="0"/>
              <w:kinsoku/>
              <w:wordWrap/>
              <w:overflowPunct/>
              <w:topLinePunct w:val="0"/>
              <w:autoSpaceDE/>
              <w:autoSpaceDN/>
              <w:bidi w:val="0"/>
              <w:adjustRightInd/>
              <w:snapToGrid/>
              <w:spacing w:line="400" w:lineRule="exact"/>
              <w:ind w:firstLine="0" w:firstLineChars="0"/>
              <w:textAlignment w:val="auto"/>
              <w:outlineLvl w:val="9"/>
              <w:rPr>
                <w:rFonts w:hint="eastAsia" w:ascii="宋体" w:hAnsi="宋体" w:cs="Times New Roman"/>
                <w:color w:val="000000" w:themeColor="text1"/>
                <w:szCs w:val="21"/>
                <w:highlight w:val="none"/>
                <w14:textFill>
                  <w14:solidFill>
                    <w14:schemeClr w14:val="tx1"/>
                  </w14:solidFill>
                </w14:textFill>
              </w:rPr>
            </w:pPr>
            <w:r>
              <w:rPr>
                <w:rFonts w:hint="eastAsia" w:ascii="宋体" w:hAnsi="宋体" w:cs="Times New Roman"/>
                <w:color w:val="000000" w:themeColor="text1"/>
                <w:szCs w:val="21"/>
                <w:highlight w:val="none"/>
                <w:lang w:val="en-US" w:eastAsia="zh-CN"/>
                <w14:textFill>
                  <w14:solidFill>
                    <w14:schemeClr w14:val="tx1"/>
                  </w14:solidFill>
                </w14:textFill>
              </w:rPr>
              <w:t>不</w:t>
            </w:r>
            <w:r>
              <w:rPr>
                <w:rFonts w:hint="eastAsia" w:ascii="宋体" w:hAnsi="宋体" w:cs="Times New Roman"/>
                <w:color w:val="000000" w:themeColor="text1"/>
                <w:szCs w:val="21"/>
                <w:highlight w:val="none"/>
                <w14:textFill>
                  <w14:solidFill>
                    <w14:schemeClr w14:val="tx1"/>
                  </w14:solidFill>
                </w14:textFill>
              </w:rPr>
              <w:t>组织</w:t>
            </w:r>
          </w:p>
        </w:tc>
      </w:tr>
      <w:tr w14:paraId="4700FDA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0" w:hRule="atLeast"/>
          <w:jc w:val="center"/>
        </w:trPr>
        <w:tc>
          <w:tcPr>
            <w:tcW w:w="995" w:type="dxa"/>
            <w:vAlign w:val="center"/>
          </w:tcPr>
          <w:p w14:paraId="4ED7AE5C">
            <w:pPr>
              <w:keepNext w:val="0"/>
              <w:keepLines w:val="0"/>
              <w:pageBreakBefore w:val="0"/>
              <w:widowControl w:val="0"/>
              <w:kinsoku/>
              <w:wordWrap w:val="0"/>
              <w:overflowPunct/>
              <w:topLinePunct w:val="0"/>
              <w:autoSpaceDE/>
              <w:autoSpaceDN/>
              <w:bidi w:val="0"/>
              <w:adjustRightInd w:val="0"/>
              <w:spacing w:line="440" w:lineRule="exact"/>
              <w:jc w:val="center"/>
              <w:textAlignment w:val="auto"/>
              <w:outlineLvl w:val="9"/>
              <w:rPr>
                <w:rFonts w:hint="eastAsia" w:ascii="宋体" w:hAnsi="宋体" w:eastAsia="宋体" w:cs="宋体"/>
                <w:bCs/>
                <w:color w:val="000000" w:themeColor="text1"/>
                <w:kern w:val="2"/>
                <w:sz w:val="21"/>
                <w:szCs w:val="21"/>
                <w:highlight w:val="none"/>
                <w:lang w:val="zh-CN" w:eastAsia="zh-CN" w:bidi="ar-SA"/>
                <w14:textFill>
                  <w14:solidFill>
                    <w14:schemeClr w14:val="tx1"/>
                  </w14:solidFill>
                </w14:textFill>
              </w:rPr>
            </w:pPr>
            <w:r>
              <w:rPr>
                <w:rFonts w:hint="eastAsia" w:ascii="宋体" w:hAnsi="宋体" w:eastAsia="宋体" w:cs="宋体"/>
                <w:bCs/>
                <w:color w:val="000000" w:themeColor="text1"/>
                <w:sz w:val="21"/>
                <w:szCs w:val="21"/>
                <w:highlight w:val="none"/>
                <w:lang w:val="zh-CN"/>
                <w14:textFill>
                  <w14:solidFill>
                    <w14:schemeClr w14:val="tx1"/>
                  </w14:solidFill>
                </w14:textFill>
              </w:rPr>
              <w:t>1.10.1</w:t>
            </w:r>
          </w:p>
        </w:tc>
        <w:tc>
          <w:tcPr>
            <w:tcW w:w="2095" w:type="dxa"/>
            <w:vAlign w:val="center"/>
          </w:tcPr>
          <w:p w14:paraId="52353CF8">
            <w:pPr>
              <w:keepNext w:val="0"/>
              <w:keepLines w:val="0"/>
              <w:pageBreakBefore w:val="0"/>
              <w:widowControl w:val="0"/>
              <w:kinsoku/>
              <w:wordWrap w:val="0"/>
              <w:overflowPunct/>
              <w:topLinePunct w:val="0"/>
              <w:autoSpaceDE/>
              <w:autoSpaceDN/>
              <w:bidi w:val="0"/>
              <w:adjustRightInd w:val="0"/>
              <w:spacing w:line="440" w:lineRule="exact"/>
              <w:jc w:val="center"/>
              <w:textAlignment w:val="auto"/>
              <w:outlineLvl w:val="9"/>
              <w:rPr>
                <w:rFonts w:hint="eastAsia" w:ascii="宋体" w:hAnsi="宋体" w:eastAsia="宋体" w:cs="宋体"/>
                <w:bCs/>
                <w:color w:val="000000" w:themeColor="text1"/>
                <w:kern w:val="2"/>
                <w:sz w:val="21"/>
                <w:szCs w:val="21"/>
                <w:highlight w:val="none"/>
                <w:lang w:val="zh-CN" w:eastAsia="zh-CN" w:bidi="ar-SA"/>
                <w14:textFill>
                  <w14:solidFill>
                    <w14:schemeClr w14:val="tx1"/>
                  </w14:solidFill>
                </w14:textFill>
              </w:rPr>
            </w:pPr>
            <w:r>
              <w:rPr>
                <w:rFonts w:hint="eastAsia" w:ascii="宋体" w:hAnsi="宋体" w:eastAsia="宋体" w:cs="宋体"/>
                <w:bCs/>
                <w:color w:val="000000" w:themeColor="text1"/>
                <w:sz w:val="21"/>
                <w:szCs w:val="21"/>
                <w:highlight w:val="none"/>
                <w:lang w:val="zh-CN"/>
                <w14:textFill>
                  <w14:solidFill>
                    <w14:schemeClr w14:val="tx1"/>
                  </w14:solidFill>
                </w14:textFill>
              </w:rPr>
              <w:t>投标预备会</w:t>
            </w:r>
          </w:p>
        </w:tc>
        <w:tc>
          <w:tcPr>
            <w:tcW w:w="6675" w:type="dxa"/>
            <w:vAlign w:val="center"/>
          </w:tcPr>
          <w:p w14:paraId="6367A8C7">
            <w:pPr>
              <w:keepNext w:val="0"/>
              <w:keepLines w:val="0"/>
              <w:pageBreakBefore w:val="0"/>
              <w:widowControl w:val="0"/>
              <w:kinsoku/>
              <w:wordWrap w:val="0"/>
              <w:overflowPunct/>
              <w:topLinePunct w:val="0"/>
              <w:autoSpaceDE/>
              <w:autoSpaceDN/>
              <w:bidi w:val="0"/>
              <w:adjustRightInd w:val="0"/>
              <w:spacing w:line="440" w:lineRule="exact"/>
              <w:textAlignment w:val="auto"/>
              <w:outlineLvl w:val="9"/>
              <w:rPr>
                <w:rFonts w:hint="eastAsia" w:ascii="宋体" w:hAnsi="宋体" w:eastAsia="宋体" w:cs="宋体"/>
                <w:bCs/>
                <w:color w:val="000000" w:themeColor="text1"/>
                <w:sz w:val="21"/>
                <w:szCs w:val="21"/>
                <w:highlight w:val="none"/>
                <w:lang w:val="zh-CN"/>
                <w14:textFill>
                  <w14:solidFill>
                    <w14:schemeClr w14:val="tx1"/>
                  </w14:solidFill>
                </w14:textFill>
              </w:rPr>
            </w:pPr>
            <w:r>
              <w:rPr>
                <w:rFonts w:hint="eastAsia" w:ascii="宋体" w:hAnsi="宋体" w:eastAsia="宋体" w:cs="宋体"/>
                <w:bCs/>
                <w:color w:val="000000" w:themeColor="text1"/>
                <w:sz w:val="21"/>
                <w:szCs w:val="21"/>
                <w:highlight w:val="none"/>
                <w:lang w:val="zh-CN"/>
                <w14:textFill>
                  <w14:solidFill>
                    <w14:schemeClr w14:val="tx1"/>
                  </w14:solidFill>
                </w14:textFill>
              </w:rPr>
              <w:fldChar w:fldCharType="begin"/>
            </w:r>
            <w:r>
              <w:rPr>
                <w:rFonts w:hint="eastAsia" w:ascii="宋体" w:hAnsi="宋体" w:eastAsia="宋体" w:cs="宋体"/>
                <w:bCs/>
                <w:color w:val="000000" w:themeColor="text1"/>
                <w:sz w:val="21"/>
                <w:szCs w:val="21"/>
                <w:highlight w:val="none"/>
                <w:lang w:val="zh-CN"/>
                <w14:textFill>
                  <w14:solidFill>
                    <w14:schemeClr w14:val="tx1"/>
                  </w14:solidFill>
                </w14:textFill>
              </w:rPr>
              <w:instrText xml:space="preserve">eq \o\ac(</w:instrText>
            </w:r>
            <w:r>
              <w:rPr>
                <w:rFonts w:hint="eastAsia" w:ascii="宋体" w:hAnsi="宋体" w:eastAsia="宋体" w:cs="宋体"/>
                <w:bCs/>
                <w:color w:val="000000" w:themeColor="text1"/>
                <w:position w:val="-4"/>
                <w:sz w:val="21"/>
                <w:szCs w:val="21"/>
                <w:highlight w:val="none"/>
                <w:lang w:val="zh-CN"/>
                <w14:textFill>
                  <w14:solidFill>
                    <w14:schemeClr w14:val="tx1"/>
                  </w14:solidFill>
                </w14:textFill>
              </w:rPr>
              <w:instrText xml:space="preserve">□</w:instrText>
            </w:r>
            <w:r>
              <w:rPr>
                <w:rFonts w:hint="eastAsia" w:ascii="宋体" w:hAnsi="宋体" w:eastAsia="宋体" w:cs="宋体"/>
                <w:bCs/>
                <w:color w:val="000000" w:themeColor="text1"/>
                <w:position w:val="0"/>
                <w:sz w:val="21"/>
                <w:szCs w:val="21"/>
                <w:highlight w:val="none"/>
                <w:lang w:val="zh-CN"/>
                <w14:textFill>
                  <w14:solidFill>
                    <w14:schemeClr w14:val="tx1"/>
                  </w14:solidFill>
                </w14:textFill>
              </w:rPr>
              <w:instrText xml:space="preserve">,√)</w:instrText>
            </w:r>
            <w:r>
              <w:rPr>
                <w:rFonts w:hint="eastAsia" w:ascii="宋体" w:hAnsi="宋体" w:eastAsia="宋体" w:cs="宋体"/>
                <w:bCs/>
                <w:color w:val="000000" w:themeColor="text1"/>
                <w:sz w:val="21"/>
                <w:szCs w:val="21"/>
                <w:highlight w:val="none"/>
                <w:lang w:val="zh-CN"/>
                <w14:textFill>
                  <w14:solidFill>
                    <w14:schemeClr w14:val="tx1"/>
                  </w14:solidFill>
                </w14:textFill>
              </w:rPr>
              <w:fldChar w:fldCharType="end"/>
            </w:r>
            <w:r>
              <w:rPr>
                <w:rFonts w:hint="eastAsia" w:ascii="宋体" w:hAnsi="宋体" w:eastAsia="宋体" w:cs="宋体"/>
                <w:bCs/>
                <w:color w:val="000000" w:themeColor="text1"/>
                <w:sz w:val="21"/>
                <w:szCs w:val="21"/>
                <w:highlight w:val="none"/>
                <w:lang w:val="zh-CN"/>
                <w14:textFill>
                  <w14:solidFill>
                    <w14:schemeClr w14:val="tx1"/>
                  </w14:solidFill>
                </w14:textFill>
              </w:rPr>
              <w:t>不召开</w:t>
            </w:r>
          </w:p>
          <w:p w14:paraId="2CD1D0B1">
            <w:pPr>
              <w:keepNext w:val="0"/>
              <w:keepLines w:val="0"/>
              <w:pageBreakBefore w:val="0"/>
              <w:widowControl w:val="0"/>
              <w:kinsoku/>
              <w:wordWrap w:val="0"/>
              <w:overflowPunct/>
              <w:topLinePunct w:val="0"/>
              <w:autoSpaceDE/>
              <w:autoSpaceDN/>
              <w:bidi w:val="0"/>
              <w:adjustRightInd w:val="0"/>
              <w:spacing w:line="440" w:lineRule="exact"/>
              <w:textAlignment w:val="auto"/>
              <w:outlineLvl w:val="9"/>
              <w:rPr>
                <w:rFonts w:hint="eastAsia" w:ascii="宋体" w:hAnsi="宋体" w:eastAsia="宋体" w:cs="宋体"/>
                <w:bCs/>
                <w:color w:val="000000" w:themeColor="text1"/>
                <w:sz w:val="21"/>
                <w:szCs w:val="21"/>
                <w:highlight w:val="none"/>
                <w14:textFill>
                  <w14:solidFill>
                    <w14:schemeClr w14:val="tx1"/>
                  </w14:solidFill>
                </w14:textFill>
              </w:rPr>
            </w:pPr>
            <w:r>
              <w:rPr>
                <w:rFonts w:hint="eastAsia" w:ascii="宋体" w:hAnsi="宋体" w:eastAsia="宋体" w:cs="宋体"/>
                <w:bCs/>
                <w:color w:val="000000" w:themeColor="text1"/>
                <w:sz w:val="21"/>
                <w:szCs w:val="21"/>
                <w:highlight w:val="none"/>
                <w14:textFill>
                  <w14:solidFill>
                    <w14:schemeClr w14:val="tx1"/>
                  </w14:solidFill>
                </w14:textFill>
              </w:rPr>
              <w:t>□召开,召开时间：/</w:t>
            </w:r>
          </w:p>
          <w:p w14:paraId="701D39E9">
            <w:pPr>
              <w:keepNext w:val="0"/>
              <w:keepLines w:val="0"/>
              <w:pageBreakBefore w:val="0"/>
              <w:widowControl w:val="0"/>
              <w:kinsoku/>
              <w:wordWrap w:val="0"/>
              <w:overflowPunct/>
              <w:topLinePunct w:val="0"/>
              <w:autoSpaceDE/>
              <w:autoSpaceDN/>
              <w:bidi w:val="0"/>
              <w:adjustRightInd w:val="0"/>
              <w:spacing w:line="440" w:lineRule="exact"/>
              <w:ind w:firstLine="735" w:firstLineChars="350"/>
              <w:textAlignment w:val="auto"/>
              <w:outlineLvl w:val="9"/>
              <w:rPr>
                <w:rFonts w:hint="eastAsia" w:ascii="宋体" w:hAnsi="宋体" w:eastAsia="宋体" w:cs="宋体"/>
                <w:bCs/>
                <w:color w:val="000000" w:themeColor="text1"/>
                <w:kern w:val="2"/>
                <w:sz w:val="21"/>
                <w:szCs w:val="21"/>
                <w:highlight w:val="none"/>
                <w:lang w:val="zh-CN" w:eastAsia="zh-CN" w:bidi="ar-SA"/>
                <w14:textFill>
                  <w14:solidFill>
                    <w14:schemeClr w14:val="tx1"/>
                  </w14:solidFill>
                </w14:textFill>
              </w:rPr>
            </w:pPr>
            <w:r>
              <w:rPr>
                <w:rFonts w:hint="eastAsia" w:ascii="宋体" w:hAnsi="宋体" w:eastAsia="宋体" w:cs="宋体"/>
                <w:bCs/>
                <w:color w:val="000000" w:themeColor="text1"/>
                <w:sz w:val="21"/>
                <w:szCs w:val="21"/>
                <w:highlight w:val="none"/>
                <w14:textFill>
                  <w14:solidFill>
                    <w14:schemeClr w14:val="tx1"/>
                  </w14:solidFill>
                </w14:textFill>
              </w:rPr>
              <w:t>召开地点：/</w:t>
            </w:r>
          </w:p>
        </w:tc>
      </w:tr>
      <w:tr w14:paraId="37FBB06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28" w:hRule="atLeast"/>
          <w:jc w:val="center"/>
        </w:trPr>
        <w:tc>
          <w:tcPr>
            <w:tcW w:w="995" w:type="dxa"/>
            <w:vAlign w:val="center"/>
          </w:tcPr>
          <w:p w14:paraId="5EBAF060">
            <w:pPr>
              <w:keepNext w:val="0"/>
              <w:keepLines w:val="0"/>
              <w:pageBreakBefore w:val="0"/>
              <w:widowControl w:val="0"/>
              <w:kinsoku/>
              <w:wordWrap w:val="0"/>
              <w:overflowPunct/>
              <w:topLinePunct w:val="0"/>
              <w:autoSpaceDE/>
              <w:autoSpaceDN/>
              <w:bidi w:val="0"/>
              <w:adjustRightInd w:val="0"/>
              <w:spacing w:line="440" w:lineRule="exact"/>
              <w:jc w:val="center"/>
              <w:textAlignment w:val="auto"/>
              <w:outlineLvl w:val="9"/>
              <w:rPr>
                <w:rFonts w:hint="eastAsia" w:ascii="宋体" w:hAnsi="宋体" w:eastAsia="宋体" w:cs="宋体"/>
                <w:bCs/>
                <w:color w:val="000000" w:themeColor="text1"/>
                <w:sz w:val="21"/>
                <w:szCs w:val="21"/>
                <w:highlight w:val="none"/>
                <w:lang w:val="zh-CN" w:eastAsia="zh-CN"/>
                <w14:textFill>
                  <w14:solidFill>
                    <w14:schemeClr w14:val="tx1"/>
                  </w14:solidFill>
                </w14:textFill>
              </w:rPr>
            </w:pPr>
            <w:r>
              <w:rPr>
                <w:rFonts w:hint="eastAsia" w:ascii="宋体" w:hAnsi="宋体" w:eastAsia="宋体" w:cs="宋体"/>
                <w:bCs/>
                <w:color w:val="000000" w:themeColor="text1"/>
                <w:sz w:val="21"/>
                <w:szCs w:val="21"/>
                <w:highlight w:val="none"/>
                <w:lang w:val="zh-CN"/>
                <w14:textFill>
                  <w14:solidFill>
                    <w14:schemeClr w14:val="tx1"/>
                  </w14:solidFill>
                </w14:textFill>
              </w:rPr>
              <w:t>1.11.1</w:t>
            </w:r>
          </w:p>
        </w:tc>
        <w:tc>
          <w:tcPr>
            <w:tcW w:w="2095" w:type="dxa"/>
            <w:vAlign w:val="center"/>
          </w:tcPr>
          <w:p w14:paraId="7AF3C31F">
            <w:pPr>
              <w:keepNext w:val="0"/>
              <w:keepLines w:val="0"/>
              <w:pageBreakBefore w:val="0"/>
              <w:widowControl w:val="0"/>
              <w:kinsoku/>
              <w:wordWrap w:val="0"/>
              <w:overflowPunct/>
              <w:topLinePunct w:val="0"/>
              <w:autoSpaceDE/>
              <w:autoSpaceDN/>
              <w:bidi w:val="0"/>
              <w:adjustRightInd w:val="0"/>
              <w:spacing w:line="440" w:lineRule="exact"/>
              <w:jc w:val="center"/>
              <w:textAlignment w:val="auto"/>
              <w:outlineLvl w:val="9"/>
              <w:rPr>
                <w:rFonts w:hint="eastAsia" w:ascii="宋体" w:hAnsi="宋体" w:eastAsia="宋体" w:cs="宋体"/>
                <w:bCs/>
                <w:color w:val="000000" w:themeColor="text1"/>
                <w:sz w:val="21"/>
                <w:szCs w:val="21"/>
                <w:highlight w:val="none"/>
                <w:lang w:val="zh-CN" w:eastAsia="zh-CN"/>
                <w14:textFill>
                  <w14:solidFill>
                    <w14:schemeClr w14:val="tx1"/>
                  </w14:solidFill>
                </w14:textFill>
              </w:rPr>
            </w:pPr>
            <w:r>
              <w:rPr>
                <w:rFonts w:hint="eastAsia" w:ascii="宋体" w:hAnsi="宋体" w:eastAsia="宋体" w:cs="宋体"/>
                <w:bCs/>
                <w:color w:val="000000" w:themeColor="text1"/>
                <w:sz w:val="21"/>
                <w:szCs w:val="21"/>
                <w:highlight w:val="none"/>
                <w:lang w:val="zh-CN"/>
                <w14:textFill>
                  <w14:solidFill>
                    <w14:schemeClr w14:val="tx1"/>
                  </w14:solidFill>
                </w14:textFill>
              </w:rPr>
              <w:t>分包</w:t>
            </w:r>
          </w:p>
        </w:tc>
        <w:tc>
          <w:tcPr>
            <w:tcW w:w="6675" w:type="dxa"/>
            <w:vAlign w:val="center"/>
          </w:tcPr>
          <w:p w14:paraId="511C5F19">
            <w:pPr>
              <w:keepNext w:val="0"/>
              <w:keepLines w:val="0"/>
              <w:pageBreakBefore w:val="0"/>
              <w:widowControl w:val="0"/>
              <w:kinsoku/>
              <w:wordWrap w:val="0"/>
              <w:overflowPunct/>
              <w:topLinePunct w:val="0"/>
              <w:autoSpaceDE/>
              <w:autoSpaceDN/>
              <w:bidi w:val="0"/>
              <w:adjustRightInd w:val="0"/>
              <w:spacing w:line="440" w:lineRule="exact"/>
              <w:textAlignment w:val="auto"/>
              <w:outlineLvl w:val="9"/>
              <w:rPr>
                <w:rFonts w:hint="eastAsia" w:ascii="宋体" w:hAnsi="宋体" w:eastAsia="宋体" w:cs="宋体"/>
                <w:bCs/>
                <w:color w:val="000000" w:themeColor="text1"/>
                <w:sz w:val="21"/>
                <w:szCs w:val="21"/>
                <w:highlight w:val="none"/>
                <w:lang w:val="zh-CN"/>
                <w14:textFill>
                  <w14:solidFill>
                    <w14:schemeClr w14:val="tx1"/>
                  </w14:solidFill>
                </w14:textFill>
              </w:rPr>
            </w:pPr>
            <w:r>
              <w:rPr>
                <w:rFonts w:hint="eastAsia" w:ascii="宋体" w:hAnsi="宋体" w:eastAsia="宋体" w:cs="宋体"/>
                <w:bCs/>
                <w:color w:val="000000" w:themeColor="text1"/>
                <w:sz w:val="21"/>
                <w:szCs w:val="21"/>
                <w:highlight w:val="none"/>
                <w:lang w:val="zh-CN"/>
                <w14:textFill>
                  <w14:solidFill>
                    <w14:schemeClr w14:val="tx1"/>
                  </w14:solidFill>
                </w14:textFill>
              </w:rPr>
              <w:fldChar w:fldCharType="begin"/>
            </w:r>
            <w:r>
              <w:rPr>
                <w:rFonts w:hint="eastAsia" w:ascii="宋体" w:hAnsi="宋体" w:eastAsia="宋体" w:cs="宋体"/>
                <w:bCs/>
                <w:color w:val="000000" w:themeColor="text1"/>
                <w:sz w:val="21"/>
                <w:szCs w:val="21"/>
                <w:highlight w:val="none"/>
                <w:lang w:val="zh-CN"/>
                <w14:textFill>
                  <w14:solidFill>
                    <w14:schemeClr w14:val="tx1"/>
                  </w14:solidFill>
                </w14:textFill>
              </w:rPr>
              <w:instrText xml:space="preserve">eq \o\ac(</w:instrText>
            </w:r>
            <w:r>
              <w:rPr>
                <w:rFonts w:hint="eastAsia" w:ascii="宋体" w:hAnsi="宋体" w:eastAsia="宋体" w:cs="宋体"/>
                <w:bCs/>
                <w:color w:val="000000" w:themeColor="text1"/>
                <w:position w:val="-4"/>
                <w:sz w:val="31"/>
                <w:szCs w:val="21"/>
                <w:highlight w:val="none"/>
                <w:lang w:val="zh-CN"/>
                <w14:textFill>
                  <w14:solidFill>
                    <w14:schemeClr w14:val="tx1"/>
                  </w14:solidFill>
                </w14:textFill>
              </w:rPr>
              <w:instrText xml:space="preserve">□</w:instrText>
            </w:r>
            <w:r>
              <w:rPr>
                <w:rFonts w:hint="eastAsia" w:ascii="宋体" w:hAnsi="宋体" w:eastAsia="宋体" w:cs="宋体"/>
                <w:bCs/>
                <w:color w:val="000000" w:themeColor="text1"/>
                <w:position w:val="0"/>
                <w:sz w:val="21"/>
                <w:szCs w:val="21"/>
                <w:highlight w:val="none"/>
                <w:lang w:val="zh-CN"/>
                <w14:textFill>
                  <w14:solidFill>
                    <w14:schemeClr w14:val="tx1"/>
                  </w14:solidFill>
                </w14:textFill>
              </w:rPr>
              <w:instrText xml:space="preserve">,√)</w:instrText>
            </w:r>
            <w:r>
              <w:rPr>
                <w:rFonts w:hint="eastAsia" w:ascii="宋体" w:hAnsi="宋体" w:eastAsia="宋体" w:cs="宋体"/>
                <w:bCs/>
                <w:color w:val="000000" w:themeColor="text1"/>
                <w:sz w:val="21"/>
                <w:szCs w:val="21"/>
                <w:highlight w:val="none"/>
                <w:lang w:val="zh-CN"/>
                <w14:textFill>
                  <w14:solidFill>
                    <w14:schemeClr w14:val="tx1"/>
                  </w14:solidFill>
                </w14:textFill>
              </w:rPr>
              <w:fldChar w:fldCharType="end"/>
            </w:r>
            <w:r>
              <w:rPr>
                <w:rFonts w:hint="eastAsia" w:ascii="宋体" w:hAnsi="宋体" w:eastAsia="宋体" w:cs="宋体"/>
                <w:bCs/>
                <w:color w:val="000000" w:themeColor="text1"/>
                <w:sz w:val="21"/>
                <w:szCs w:val="21"/>
                <w:highlight w:val="none"/>
                <w:lang w:val="zh-CN"/>
                <w14:textFill>
                  <w14:solidFill>
                    <w14:schemeClr w14:val="tx1"/>
                  </w14:solidFill>
                </w14:textFill>
              </w:rPr>
              <w:t>不允许</w:t>
            </w:r>
          </w:p>
          <w:p w14:paraId="6680B879">
            <w:pPr>
              <w:keepNext w:val="0"/>
              <w:keepLines w:val="0"/>
              <w:pageBreakBefore w:val="0"/>
              <w:widowControl w:val="0"/>
              <w:kinsoku/>
              <w:wordWrap w:val="0"/>
              <w:overflowPunct/>
              <w:topLinePunct w:val="0"/>
              <w:autoSpaceDE/>
              <w:autoSpaceDN/>
              <w:bidi w:val="0"/>
              <w:adjustRightInd w:val="0"/>
              <w:spacing w:line="440" w:lineRule="exact"/>
              <w:textAlignment w:val="auto"/>
              <w:outlineLvl w:val="9"/>
              <w:rPr>
                <w:rFonts w:hint="eastAsia" w:ascii="宋体" w:hAnsi="宋体" w:eastAsia="宋体" w:cs="宋体"/>
                <w:bCs/>
                <w:color w:val="000000" w:themeColor="text1"/>
                <w:kern w:val="2"/>
                <w:sz w:val="21"/>
                <w:szCs w:val="21"/>
                <w:highlight w:val="none"/>
                <w:lang w:val="zh-CN" w:eastAsia="zh-CN" w:bidi="ar-SA"/>
                <w14:textFill>
                  <w14:solidFill>
                    <w14:schemeClr w14:val="tx1"/>
                  </w14:solidFill>
                </w14:textFill>
              </w:rPr>
            </w:pPr>
            <w:r>
              <w:rPr>
                <w:rFonts w:hint="eastAsia" w:ascii="宋体" w:hAnsi="宋体" w:eastAsia="宋体" w:cs="宋体"/>
                <w:bCs/>
                <w:color w:val="000000" w:themeColor="text1"/>
                <w:sz w:val="21"/>
                <w:szCs w:val="21"/>
                <w:highlight w:val="none"/>
                <w:lang w:val="zh-CN"/>
                <w14:textFill>
                  <w14:solidFill>
                    <w14:schemeClr w14:val="tx1"/>
                  </w14:solidFill>
                </w14:textFill>
              </w:rPr>
              <w:t>□允许，分包内容：/</w:t>
            </w:r>
          </w:p>
        </w:tc>
      </w:tr>
      <w:tr w14:paraId="7804D3C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4" w:hRule="atLeast"/>
          <w:jc w:val="center"/>
        </w:trPr>
        <w:tc>
          <w:tcPr>
            <w:tcW w:w="995" w:type="dxa"/>
            <w:vAlign w:val="center"/>
          </w:tcPr>
          <w:p w14:paraId="74623F69">
            <w:pPr>
              <w:keepNext w:val="0"/>
              <w:keepLines w:val="0"/>
              <w:pageBreakBefore w:val="0"/>
              <w:widowControl w:val="0"/>
              <w:kinsoku/>
              <w:wordWrap w:val="0"/>
              <w:overflowPunct/>
              <w:topLinePunct w:val="0"/>
              <w:autoSpaceDE/>
              <w:autoSpaceDN/>
              <w:bidi w:val="0"/>
              <w:adjustRightInd w:val="0"/>
              <w:spacing w:line="440" w:lineRule="exact"/>
              <w:jc w:val="center"/>
              <w:textAlignment w:val="auto"/>
              <w:outlineLvl w:val="9"/>
              <w:rPr>
                <w:rFonts w:hint="eastAsia" w:ascii="宋体" w:hAnsi="宋体" w:eastAsia="宋体" w:cs="宋体"/>
                <w:bCs/>
                <w:color w:val="000000" w:themeColor="text1"/>
                <w:sz w:val="21"/>
                <w:szCs w:val="21"/>
                <w:highlight w:val="none"/>
                <w:lang w:val="zh-CN"/>
                <w14:textFill>
                  <w14:solidFill>
                    <w14:schemeClr w14:val="tx1"/>
                  </w14:solidFill>
                </w14:textFill>
              </w:rPr>
            </w:pPr>
            <w:r>
              <w:rPr>
                <w:rFonts w:hint="eastAsia" w:ascii="宋体" w:hAnsi="宋体" w:eastAsia="宋体" w:cs="宋体"/>
                <w:bCs/>
                <w:color w:val="000000" w:themeColor="text1"/>
                <w:sz w:val="21"/>
                <w:szCs w:val="21"/>
                <w:highlight w:val="none"/>
                <w:lang w:val="zh-CN"/>
                <w14:textFill>
                  <w14:solidFill>
                    <w14:schemeClr w14:val="tx1"/>
                  </w14:solidFill>
                </w14:textFill>
              </w:rPr>
              <w:t>1.12</w:t>
            </w:r>
          </w:p>
        </w:tc>
        <w:tc>
          <w:tcPr>
            <w:tcW w:w="2095" w:type="dxa"/>
            <w:vAlign w:val="center"/>
          </w:tcPr>
          <w:p w14:paraId="03822F3D">
            <w:pPr>
              <w:keepNext w:val="0"/>
              <w:keepLines w:val="0"/>
              <w:pageBreakBefore w:val="0"/>
              <w:widowControl w:val="0"/>
              <w:kinsoku/>
              <w:wordWrap w:val="0"/>
              <w:overflowPunct/>
              <w:topLinePunct w:val="0"/>
              <w:autoSpaceDE/>
              <w:autoSpaceDN/>
              <w:bidi w:val="0"/>
              <w:adjustRightInd w:val="0"/>
              <w:spacing w:line="440" w:lineRule="exact"/>
              <w:jc w:val="center"/>
              <w:textAlignment w:val="auto"/>
              <w:outlineLvl w:val="9"/>
              <w:rPr>
                <w:rFonts w:hint="eastAsia" w:ascii="宋体" w:hAnsi="宋体" w:eastAsia="宋体" w:cs="宋体"/>
                <w:bCs/>
                <w:color w:val="000000" w:themeColor="text1"/>
                <w:sz w:val="21"/>
                <w:szCs w:val="21"/>
                <w:highlight w:val="none"/>
                <w:lang w:val="zh-CN"/>
                <w14:textFill>
                  <w14:solidFill>
                    <w14:schemeClr w14:val="tx1"/>
                  </w14:solidFill>
                </w14:textFill>
              </w:rPr>
            </w:pPr>
            <w:r>
              <w:rPr>
                <w:rFonts w:hint="eastAsia" w:ascii="宋体" w:hAnsi="宋体" w:eastAsia="宋体" w:cs="宋体"/>
                <w:bCs/>
                <w:color w:val="000000" w:themeColor="text1"/>
                <w:sz w:val="21"/>
                <w:szCs w:val="21"/>
                <w:highlight w:val="none"/>
                <w:lang w:val="zh-CN"/>
                <w14:textFill>
                  <w14:solidFill>
                    <w14:schemeClr w14:val="tx1"/>
                  </w14:solidFill>
                </w14:textFill>
              </w:rPr>
              <w:t>偏离</w:t>
            </w:r>
          </w:p>
        </w:tc>
        <w:tc>
          <w:tcPr>
            <w:tcW w:w="6675" w:type="dxa"/>
            <w:vAlign w:val="center"/>
          </w:tcPr>
          <w:p w14:paraId="39FF80FA">
            <w:pPr>
              <w:overflowPunct/>
              <w:bidi w:val="0"/>
              <w:spacing w:line="400" w:lineRule="exact"/>
              <w:outlineLvl w:val="9"/>
              <w:rPr>
                <w:rFonts w:ascii="宋体" w:hAnsi="宋体"/>
                <w:color w:val="000000" w:themeColor="text1"/>
                <w:szCs w:val="21"/>
                <w:highlight w:val="none"/>
                <w14:textFill>
                  <w14:solidFill>
                    <w14:schemeClr w14:val="tx1"/>
                  </w14:solidFill>
                </w14:textFill>
              </w:rPr>
            </w:pPr>
            <w:r>
              <w:rPr>
                <w:rFonts w:hint="eastAsia" w:ascii="宋体" w:hAnsi="宋体"/>
                <w:color w:val="000000" w:themeColor="text1"/>
                <w:szCs w:val="21"/>
                <w:highlight w:val="none"/>
                <w14:textFill>
                  <w14:solidFill>
                    <w14:schemeClr w14:val="tx1"/>
                  </w14:solidFill>
                </w14:textFill>
              </w:rPr>
              <w:t>不允许</w:t>
            </w:r>
          </w:p>
        </w:tc>
      </w:tr>
      <w:tr w14:paraId="4186415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995" w:type="dxa"/>
            <w:vAlign w:val="center"/>
          </w:tcPr>
          <w:p w14:paraId="1EA2B696">
            <w:pPr>
              <w:keepNext w:val="0"/>
              <w:keepLines w:val="0"/>
              <w:pageBreakBefore w:val="0"/>
              <w:widowControl w:val="0"/>
              <w:kinsoku/>
              <w:wordWrap w:val="0"/>
              <w:overflowPunct/>
              <w:topLinePunct w:val="0"/>
              <w:autoSpaceDE/>
              <w:autoSpaceDN/>
              <w:bidi w:val="0"/>
              <w:adjustRightInd w:val="0"/>
              <w:spacing w:line="440" w:lineRule="exact"/>
              <w:jc w:val="center"/>
              <w:textAlignment w:val="auto"/>
              <w:outlineLvl w:val="9"/>
              <w:rPr>
                <w:rFonts w:hint="eastAsia" w:ascii="宋体" w:hAnsi="宋体" w:eastAsia="宋体" w:cs="宋体"/>
                <w:bCs/>
                <w:color w:val="000000" w:themeColor="text1"/>
                <w:sz w:val="21"/>
                <w:szCs w:val="21"/>
                <w:highlight w:val="none"/>
                <w:lang w:val="zh-CN"/>
                <w14:textFill>
                  <w14:solidFill>
                    <w14:schemeClr w14:val="tx1"/>
                  </w14:solidFill>
                </w14:textFill>
              </w:rPr>
            </w:pPr>
            <w:r>
              <w:rPr>
                <w:rFonts w:hint="eastAsia" w:ascii="宋体" w:hAnsi="宋体" w:eastAsia="宋体" w:cs="宋体"/>
                <w:bCs/>
                <w:color w:val="000000" w:themeColor="text1"/>
                <w:sz w:val="21"/>
                <w:szCs w:val="21"/>
                <w:highlight w:val="none"/>
                <w:lang w:val="zh-CN"/>
                <w14:textFill>
                  <w14:solidFill>
                    <w14:schemeClr w14:val="tx1"/>
                  </w14:solidFill>
                </w14:textFill>
              </w:rPr>
              <w:t>2.1</w:t>
            </w:r>
          </w:p>
        </w:tc>
        <w:tc>
          <w:tcPr>
            <w:tcW w:w="2095" w:type="dxa"/>
            <w:vAlign w:val="center"/>
          </w:tcPr>
          <w:p w14:paraId="7A33A101">
            <w:pPr>
              <w:keepNext w:val="0"/>
              <w:keepLines w:val="0"/>
              <w:pageBreakBefore w:val="0"/>
              <w:widowControl w:val="0"/>
              <w:kinsoku/>
              <w:wordWrap w:val="0"/>
              <w:overflowPunct/>
              <w:topLinePunct w:val="0"/>
              <w:autoSpaceDE/>
              <w:autoSpaceDN/>
              <w:bidi w:val="0"/>
              <w:adjustRightInd w:val="0"/>
              <w:spacing w:line="440" w:lineRule="exact"/>
              <w:jc w:val="center"/>
              <w:textAlignment w:val="auto"/>
              <w:outlineLvl w:val="9"/>
              <w:rPr>
                <w:rFonts w:hint="eastAsia" w:ascii="宋体" w:hAnsi="宋体" w:eastAsia="宋体" w:cs="宋体"/>
                <w:bCs/>
                <w:color w:val="000000" w:themeColor="text1"/>
                <w:sz w:val="21"/>
                <w:szCs w:val="21"/>
                <w:highlight w:val="none"/>
                <w:lang w:val="zh-CN"/>
                <w14:textFill>
                  <w14:solidFill>
                    <w14:schemeClr w14:val="tx1"/>
                  </w14:solidFill>
                </w14:textFill>
              </w:rPr>
            </w:pPr>
            <w:r>
              <w:rPr>
                <w:rFonts w:hint="eastAsia" w:ascii="宋体" w:hAnsi="宋体" w:eastAsia="宋体" w:cs="宋体"/>
                <w:bCs/>
                <w:color w:val="000000" w:themeColor="text1"/>
                <w:sz w:val="21"/>
                <w:szCs w:val="21"/>
                <w:highlight w:val="none"/>
                <w:lang w:val="zh-CN"/>
                <w14:textFill>
                  <w14:solidFill>
                    <w14:schemeClr w14:val="tx1"/>
                  </w14:solidFill>
                </w14:textFill>
              </w:rPr>
              <w:t>构成磋商文件的其他材料</w:t>
            </w:r>
          </w:p>
        </w:tc>
        <w:tc>
          <w:tcPr>
            <w:tcW w:w="6675" w:type="dxa"/>
            <w:vAlign w:val="center"/>
          </w:tcPr>
          <w:p w14:paraId="47CEB839">
            <w:pPr>
              <w:overflowPunct/>
              <w:bidi w:val="0"/>
              <w:spacing w:line="400" w:lineRule="exact"/>
              <w:outlineLvl w:val="9"/>
              <w:rPr>
                <w:rFonts w:hint="eastAsia" w:ascii="Times New Roman" w:hAnsi="Times New Roman" w:eastAsia="宋体" w:cs="Times New Roman"/>
                <w:color w:val="000000" w:themeColor="text1"/>
                <w:highlight w:val="none"/>
                <w:lang w:val="en-US" w:eastAsia="zh-CN"/>
                <w14:textFill>
                  <w14:solidFill>
                    <w14:schemeClr w14:val="tx1"/>
                  </w14:solidFill>
                </w14:textFill>
              </w:rPr>
            </w:pPr>
            <w:r>
              <w:rPr>
                <w:rFonts w:hint="eastAsia" w:ascii="Times New Roman" w:hAnsi="Times New Roman" w:eastAsia="宋体" w:cs="Times New Roman"/>
                <w:color w:val="000000" w:themeColor="text1"/>
                <w:highlight w:val="none"/>
                <w:lang w:val="zh-CN" w:eastAsia="zh-CN"/>
                <w14:textFill>
                  <w14:solidFill>
                    <w14:schemeClr w14:val="tx1"/>
                  </w14:solidFill>
                </w14:textFill>
              </w:rPr>
              <w:t>本项目的澄清、修改、补充说明文件</w:t>
            </w:r>
            <w:r>
              <w:rPr>
                <w:rFonts w:hint="eastAsia" w:ascii="Times New Roman" w:hAnsi="Times New Roman" w:eastAsia="宋体" w:cs="Times New Roman"/>
                <w:color w:val="000000" w:themeColor="text1"/>
                <w:highlight w:val="none"/>
                <w:lang w:val="en-US" w:eastAsia="zh-CN"/>
                <w14:textFill>
                  <w14:solidFill>
                    <w14:schemeClr w14:val="tx1"/>
                  </w14:solidFill>
                </w14:textFill>
              </w:rPr>
              <w:t>（如有）。</w:t>
            </w:r>
          </w:p>
          <w:p w14:paraId="512F02C3">
            <w:pPr>
              <w:overflowPunct/>
              <w:bidi w:val="0"/>
              <w:spacing w:line="400" w:lineRule="exact"/>
              <w:outlineLvl w:val="9"/>
              <w:rPr>
                <w:rFonts w:hint="default" w:ascii="Times New Roman" w:hAnsi="Times New Roman" w:eastAsia="宋体" w:cs="Times New Roman"/>
                <w:color w:val="000000" w:themeColor="text1"/>
                <w:highlight w:val="none"/>
                <w:lang w:val="en-US" w:eastAsia="zh-CN"/>
                <w14:textFill>
                  <w14:solidFill>
                    <w14:schemeClr w14:val="tx1"/>
                  </w14:solidFill>
                </w14:textFill>
              </w:rPr>
            </w:pPr>
            <w:r>
              <w:rPr>
                <w:rFonts w:hint="eastAsia" w:ascii="Times New Roman" w:hAnsi="Times New Roman" w:eastAsia="宋体" w:cs="Times New Roman"/>
                <w:color w:val="000000" w:themeColor="text1"/>
                <w:highlight w:val="none"/>
                <w:lang w:val="en-US" w:eastAsia="zh-CN"/>
                <w14:textFill>
                  <w14:solidFill>
                    <w14:schemeClr w14:val="tx1"/>
                  </w14:solidFill>
                </w14:textFill>
              </w:rPr>
              <w:t>注：采购代理机构将上述内容以带有编号的补遗文件发送到“政采云”平台(https://www.zcygov.cn)</w:t>
            </w:r>
            <w:r>
              <w:rPr>
                <w:rFonts w:hint="eastAsia" w:ascii="Times New Roman" w:hAnsi="Times New Roman" w:eastAsia="宋体" w:cs="Times New Roman"/>
                <w:color w:val="000000" w:themeColor="text1"/>
                <w:highlight w:val="none"/>
                <w:lang w:val="zh-CN" w:eastAsia="zh-CN"/>
                <w14:textFill>
                  <w14:solidFill>
                    <w14:schemeClr w14:val="tx1"/>
                  </w14:solidFill>
                </w14:textFill>
              </w:rPr>
              <w:t>答疑文件</w:t>
            </w:r>
            <w:r>
              <w:rPr>
                <w:rFonts w:hint="eastAsia" w:ascii="Times New Roman" w:hAnsi="Times New Roman" w:eastAsia="宋体" w:cs="Times New Roman"/>
                <w:color w:val="000000" w:themeColor="text1"/>
                <w:highlight w:val="none"/>
                <w:lang w:val="en-US" w:eastAsia="zh-CN"/>
                <w14:textFill>
                  <w14:solidFill>
                    <w14:schemeClr w14:val="tx1"/>
                  </w14:solidFill>
                </w14:textFill>
              </w:rPr>
              <w:t>中，各供应商登录“政采云”平台(https://www.zcygov.cn)答疑文件处自行下载。如果供应商未在上述答疑文件中收到相应文件，请及时与采购代理机构联系，否则采购人和采购代理机构不承担任何责任。</w:t>
            </w:r>
          </w:p>
        </w:tc>
      </w:tr>
      <w:tr w14:paraId="7C31864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995" w:type="dxa"/>
            <w:vAlign w:val="center"/>
          </w:tcPr>
          <w:p w14:paraId="36978285">
            <w:pPr>
              <w:overflowPunct/>
              <w:bidi w:val="0"/>
              <w:spacing w:line="400" w:lineRule="exact"/>
              <w:jc w:val="center"/>
              <w:outlineLvl w:val="9"/>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2.2.1</w:t>
            </w:r>
          </w:p>
        </w:tc>
        <w:tc>
          <w:tcPr>
            <w:tcW w:w="2095" w:type="dxa"/>
            <w:vAlign w:val="center"/>
          </w:tcPr>
          <w:p w14:paraId="17A249F6">
            <w:pPr>
              <w:overflowPunct/>
              <w:bidi w:val="0"/>
              <w:spacing w:line="400" w:lineRule="exact"/>
              <w:jc w:val="center"/>
              <w:outlineLvl w:val="9"/>
              <w:rPr>
                <w:color w:val="000000" w:themeColor="text1"/>
                <w:highlight w:val="none"/>
                <w14:textFill>
                  <w14:solidFill>
                    <w14:schemeClr w14:val="tx1"/>
                  </w14:solidFill>
                </w14:textFill>
              </w:rPr>
            </w:pPr>
            <w:r>
              <w:rPr>
                <w:rFonts w:hint="eastAsia"/>
                <w:color w:val="000000" w:themeColor="text1"/>
                <w:highlight w:val="none"/>
                <w:lang w:eastAsia="zh-CN"/>
                <w14:textFill>
                  <w14:solidFill>
                    <w14:schemeClr w14:val="tx1"/>
                  </w14:solidFill>
                </w14:textFill>
              </w:rPr>
              <w:t>供应商</w:t>
            </w:r>
            <w:r>
              <w:rPr>
                <w:rFonts w:hint="eastAsia"/>
                <w:color w:val="000000" w:themeColor="text1"/>
                <w:highlight w:val="none"/>
                <w14:textFill>
                  <w14:solidFill>
                    <w14:schemeClr w14:val="tx1"/>
                  </w14:solidFill>
                </w14:textFill>
              </w:rPr>
              <w:t>要求澄清磋商文件的截止时间</w:t>
            </w:r>
          </w:p>
        </w:tc>
        <w:tc>
          <w:tcPr>
            <w:tcW w:w="6675" w:type="dxa"/>
            <w:vAlign w:val="center"/>
          </w:tcPr>
          <w:p w14:paraId="6B7A97B4">
            <w:pPr>
              <w:keepNext w:val="0"/>
              <w:keepLines w:val="0"/>
              <w:pageBreakBefore w:val="0"/>
              <w:kinsoku/>
              <w:wordWrap/>
              <w:overflowPunct/>
              <w:autoSpaceDE/>
              <w:autoSpaceDN/>
              <w:bidi w:val="0"/>
              <w:spacing w:line="0" w:lineRule="atLeast"/>
              <w:textAlignment w:val="auto"/>
              <w:outlineLvl w:val="9"/>
              <w:rPr>
                <w:rFonts w:hint="eastAsia" w:ascii="宋体" w:hAnsi="宋体" w:eastAsia="宋体" w:cs="宋体"/>
                <w:color w:val="000000" w:themeColor="text1"/>
                <w:kern w:val="2"/>
                <w:sz w:val="21"/>
                <w:szCs w:val="21"/>
                <w:highlight w:val="none"/>
                <w:lang w:val="zh-CN" w:eastAsia="zh-CN" w:bidi="ar-SA"/>
                <w14:textFill>
                  <w14:solidFill>
                    <w14:schemeClr w14:val="tx1"/>
                  </w14:solidFill>
                </w14:textFill>
              </w:rPr>
            </w:pPr>
            <w:r>
              <w:rPr>
                <w:rFonts w:hint="eastAsia" w:ascii="宋体" w:hAnsi="宋体" w:eastAsia="宋体" w:cs="宋体"/>
                <w:color w:val="000000" w:themeColor="text1"/>
                <w:sz w:val="21"/>
                <w:szCs w:val="21"/>
                <w:highlight w:val="none"/>
                <w:lang w:val="en-US" w:eastAsia="zh-CN"/>
                <w14:textFill>
                  <w14:solidFill>
                    <w14:schemeClr w14:val="tx1"/>
                  </w14:solidFill>
                </w14:textFill>
              </w:rPr>
              <w:t>时间：</w:t>
            </w:r>
            <w:r>
              <w:rPr>
                <w:rFonts w:hint="eastAsia" w:ascii="宋体" w:hAnsi="宋体" w:eastAsia="宋体" w:cs="宋体"/>
                <w:color w:val="000000" w:themeColor="text1"/>
                <w:sz w:val="21"/>
                <w:szCs w:val="21"/>
                <w:highlight w:val="none"/>
                <w:lang w:val="zh-CN"/>
                <w14:textFill>
                  <w14:solidFill>
                    <w14:schemeClr w14:val="tx1"/>
                  </w14:solidFill>
                </w14:textFill>
              </w:rPr>
              <w:t>提交响应文件截止时间5天前</w:t>
            </w:r>
            <w:r>
              <w:rPr>
                <w:rFonts w:hint="eastAsia" w:ascii="宋体" w:hAnsi="宋体" w:eastAsia="宋体" w:cs="宋体"/>
                <w:color w:val="000000" w:themeColor="text1"/>
                <w:sz w:val="21"/>
                <w:szCs w:val="21"/>
                <w:highlight w:val="none"/>
                <w:lang w:val="zh-CN" w:eastAsia="zh-CN"/>
                <w14:textFill>
                  <w14:solidFill>
                    <w14:schemeClr w14:val="tx1"/>
                  </w14:solidFill>
                </w14:textFill>
              </w:rPr>
              <w:t>。</w:t>
            </w:r>
          </w:p>
        </w:tc>
      </w:tr>
      <w:tr w14:paraId="63FD4F4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995" w:type="dxa"/>
            <w:vAlign w:val="center"/>
          </w:tcPr>
          <w:p w14:paraId="6256DA9E">
            <w:pPr>
              <w:overflowPunct/>
              <w:bidi w:val="0"/>
              <w:spacing w:line="400" w:lineRule="exact"/>
              <w:jc w:val="center"/>
              <w:outlineLvl w:val="9"/>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2.2.2</w:t>
            </w:r>
          </w:p>
        </w:tc>
        <w:tc>
          <w:tcPr>
            <w:tcW w:w="2095" w:type="dxa"/>
            <w:vAlign w:val="center"/>
          </w:tcPr>
          <w:p w14:paraId="4CBEC973">
            <w:pPr>
              <w:overflowPunct/>
              <w:bidi w:val="0"/>
              <w:spacing w:line="400" w:lineRule="exact"/>
              <w:jc w:val="center"/>
              <w:outlineLvl w:val="9"/>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磋商时间和地点</w:t>
            </w:r>
          </w:p>
        </w:tc>
        <w:tc>
          <w:tcPr>
            <w:tcW w:w="6675" w:type="dxa"/>
            <w:shd w:val="clear" w:color="auto" w:fill="auto"/>
            <w:vAlign w:val="center"/>
          </w:tcPr>
          <w:p w14:paraId="78938678">
            <w:pPr>
              <w:overflowPunct/>
              <w:bidi w:val="0"/>
              <w:spacing w:line="400" w:lineRule="exact"/>
              <w:jc w:val="both"/>
              <w:outlineLvl w:val="9"/>
              <w:rPr>
                <w:rFonts w:hint="eastAsia" w:ascii="Times New Roman" w:hAnsi="Times New Roman" w:eastAsia="宋体" w:cs="Times New Roman"/>
                <w:color w:val="000000" w:themeColor="text1"/>
                <w:highlight w:val="none"/>
                <w:lang w:val="zh-CN" w:eastAsia="zh-CN"/>
                <w14:textFill>
                  <w14:solidFill>
                    <w14:schemeClr w14:val="tx1"/>
                  </w14:solidFill>
                </w14:textFill>
              </w:rPr>
            </w:pPr>
            <w:r>
              <w:rPr>
                <w:rFonts w:hint="eastAsia" w:ascii="Times New Roman" w:hAnsi="Times New Roman" w:eastAsia="宋体" w:cs="Times New Roman"/>
                <w:color w:val="000000" w:themeColor="text1"/>
                <w:highlight w:val="none"/>
                <w:lang w:val="en-US" w:eastAsia="zh-CN"/>
                <w14:textFill>
                  <w14:solidFill>
                    <w14:schemeClr w14:val="tx1"/>
                  </w14:solidFill>
                </w14:textFill>
              </w:rPr>
              <w:t>磋商时间：</w:t>
            </w:r>
            <w:r>
              <w:rPr>
                <w:rFonts w:hint="eastAsia" w:cs="Times New Roman"/>
                <w:color w:val="000000" w:themeColor="text1"/>
                <w:highlight w:val="none"/>
                <w:lang w:val="en-US" w:eastAsia="zh-CN"/>
                <w14:textFill>
                  <w14:solidFill>
                    <w14:schemeClr w14:val="tx1"/>
                  </w14:solidFill>
                </w14:textFill>
              </w:rPr>
              <w:t>2025年4月10日09时30分</w:t>
            </w:r>
          </w:p>
          <w:p w14:paraId="4F1F1C70">
            <w:pPr>
              <w:overflowPunct/>
              <w:bidi w:val="0"/>
              <w:spacing w:line="400" w:lineRule="exact"/>
              <w:jc w:val="both"/>
              <w:outlineLvl w:val="9"/>
              <w:rPr>
                <w:rFonts w:hint="eastAsia" w:cs="Times New Roman"/>
                <w:color w:val="000000" w:themeColor="text1"/>
                <w:highlight w:val="none"/>
                <w:lang w:val="en-US" w:eastAsia="zh-CN"/>
                <w14:textFill>
                  <w14:solidFill>
                    <w14:schemeClr w14:val="tx1"/>
                  </w14:solidFill>
                </w14:textFill>
              </w:rPr>
            </w:pPr>
            <w:r>
              <w:rPr>
                <w:rFonts w:hint="eastAsia" w:ascii="Times New Roman" w:hAnsi="Times New Roman" w:eastAsia="宋体" w:cs="Times New Roman"/>
                <w:color w:val="000000" w:themeColor="text1"/>
                <w:highlight w:val="none"/>
                <w:lang w:val="en-US" w:eastAsia="zh-CN"/>
                <w14:textFill>
                  <w14:solidFill>
                    <w14:schemeClr w14:val="tx1"/>
                  </w14:solidFill>
                </w14:textFill>
              </w:rPr>
              <w:t>磋商</w:t>
            </w:r>
            <w:r>
              <w:rPr>
                <w:rFonts w:hint="eastAsia" w:ascii="Times New Roman" w:hAnsi="Times New Roman" w:eastAsia="宋体" w:cs="Times New Roman"/>
                <w:color w:val="000000" w:themeColor="text1"/>
                <w:highlight w:val="none"/>
                <w14:textFill>
                  <w14:solidFill>
                    <w14:schemeClr w14:val="tx1"/>
                  </w14:solidFill>
                </w14:textFill>
              </w:rPr>
              <w:t>地点：珲春市公共资源管理中心（地址：吉林省珲春市龙源东街1066号，珲春市政务中心4楼）</w:t>
            </w:r>
          </w:p>
          <w:p w14:paraId="4AB32D80">
            <w:pPr>
              <w:numPr>
                <w:ilvl w:val="0"/>
                <w:numId w:val="4"/>
              </w:numPr>
              <w:overflowPunct/>
              <w:bidi w:val="0"/>
              <w:spacing w:line="400" w:lineRule="exact"/>
              <w:jc w:val="both"/>
              <w:outlineLvl w:val="9"/>
              <w:rPr>
                <w:rFonts w:hint="eastAsia" w:cs="Times New Roman"/>
                <w:color w:val="000000" w:themeColor="text1"/>
                <w:highlight w:val="none"/>
                <w:lang w:val="zh-CN" w:eastAsia="zh-CN"/>
                <w14:textFill>
                  <w14:solidFill>
                    <w14:schemeClr w14:val="tx1"/>
                  </w14:solidFill>
                </w14:textFill>
              </w:rPr>
            </w:pPr>
            <w:r>
              <w:rPr>
                <w:rFonts w:hint="eastAsia" w:cs="Times New Roman"/>
                <w:color w:val="000000" w:themeColor="text1"/>
                <w:highlight w:val="none"/>
                <w:lang w:val="zh-CN" w:eastAsia="zh-CN"/>
                <w14:textFill>
                  <w14:solidFill>
                    <w14:schemeClr w14:val="tx1"/>
                  </w14:solidFill>
                </w14:textFill>
              </w:rPr>
              <w:t>本项目开启方式为远程开启，供应商不到现场。供应商投标时，需携带制作投标文件时用来加密的有效数字证书（CA认证）登录“政采云”平台电子开标大厅现场按规定时间对加密的投标文件进行解密。</w:t>
            </w:r>
          </w:p>
          <w:p w14:paraId="6E527CC3">
            <w:pPr>
              <w:numPr>
                <w:ilvl w:val="0"/>
                <w:numId w:val="4"/>
              </w:numPr>
              <w:overflowPunct/>
              <w:bidi w:val="0"/>
              <w:spacing w:line="400" w:lineRule="exact"/>
              <w:jc w:val="both"/>
              <w:outlineLvl w:val="9"/>
              <w:rPr>
                <w:rFonts w:hint="eastAsia" w:cs="Times New Roman"/>
                <w:color w:val="000000" w:themeColor="text1"/>
                <w:highlight w:val="none"/>
                <w:lang w:val="zh-CN" w:eastAsia="zh-CN"/>
                <w14:textFill>
                  <w14:solidFill>
                    <w14:schemeClr w14:val="tx1"/>
                  </w14:solidFill>
                </w14:textFill>
              </w:rPr>
            </w:pPr>
            <w:r>
              <w:rPr>
                <w:rFonts w:hint="eastAsia" w:cs="Times New Roman"/>
                <w:color w:val="000000" w:themeColor="text1"/>
                <w:highlight w:val="none"/>
                <w:lang w:val="zh-CN" w:eastAsia="zh-CN"/>
                <w14:textFill>
                  <w14:solidFill>
                    <w14:schemeClr w14:val="tx1"/>
                  </w14:solidFill>
                </w14:textFill>
              </w:rPr>
              <w:t>供应商需提前下载好腾讯会议，至少开标前10分钟进入会议号“#腾讯会议：</w:t>
            </w:r>
            <w:r>
              <w:rPr>
                <w:rFonts w:hint="eastAsia" w:cs="Times New Roman"/>
                <w:color w:val="000000" w:themeColor="text1"/>
                <w:highlight w:val="none"/>
                <w:lang w:val="en-US" w:eastAsia="zh-CN"/>
                <w14:textFill>
                  <w14:solidFill>
                    <w14:schemeClr w14:val="tx1"/>
                  </w14:solidFill>
                </w14:textFill>
              </w:rPr>
              <w:t>212 443 782</w:t>
            </w:r>
            <w:r>
              <w:rPr>
                <w:rFonts w:hint="eastAsia" w:cs="Times New Roman"/>
                <w:color w:val="000000" w:themeColor="text1"/>
                <w:highlight w:val="none"/>
                <w:lang w:val="zh-CN" w:eastAsia="zh-CN"/>
                <w14:textFill>
                  <w14:solidFill>
                    <w14:schemeClr w14:val="tx1"/>
                  </w14:solidFill>
                </w14:textFill>
              </w:rPr>
              <w:t>”，并保持电话畅通。</w:t>
            </w:r>
          </w:p>
          <w:p w14:paraId="44174F82">
            <w:pPr>
              <w:numPr>
                <w:ilvl w:val="0"/>
                <w:numId w:val="4"/>
              </w:numPr>
              <w:overflowPunct/>
              <w:bidi w:val="0"/>
              <w:spacing w:line="400" w:lineRule="exact"/>
              <w:ind w:left="0" w:leftChars="0" w:firstLine="0" w:firstLineChars="0"/>
              <w:jc w:val="both"/>
              <w:outlineLvl w:val="9"/>
              <w:rPr>
                <w:color w:val="000000" w:themeColor="text1"/>
                <w:highlight w:val="none"/>
                <w14:textFill>
                  <w14:solidFill>
                    <w14:schemeClr w14:val="tx1"/>
                  </w14:solidFill>
                </w14:textFill>
              </w:rPr>
            </w:pPr>
            <w:r>
              <w:rPr>
                <w:rFonts w:hint="eastAsia" w:cs="Times New Roman"/>
                <w:color w:val="000000" w:themeColor="text1"/>
                <w:highlight w:val="none"/>
                <w:lang w:val="zh-CN" w:eastAsia="zh-CN"/>
                <w14:textFill>
                  <w14:solidFill>
                    <w14:schemeClr w14:val="tx1"/>
                  </w14:solidFill>
                </w14:textFill>
              </w:rPr>
              <w:t>投标文件提交方式：本项目为全流程电子化项目，通过“政采云”平台（http：//www.zcygov.cn）实行在线电子投标，供应商应先安装“政采云电子交易客户端”（请自行前往“政采云”平台进行下载），并按照本项目</w:t>
            </w:r>
            <w:r>
              <w:rPr>
                <w:rFonts w:hint="eastAsia" w:cs="Times New Roman"/>
                <w:color w:val="000000" w:themeColor="text1"/>
                <w:highlight w:val="none"/>
                <w:lang w:val="en-US" w:eastAsia="zh-CN"/>
                <w14:textFill>
                  <w14:solidFill>
                    <w14:schemeClr w14:val="tx1"/>
                  </w14:solidFill>
                </w14:textFill>
              </w:rPr>
              <w:t>磋商</w:t>
            </w:r>
            <w:r>
              <w:rPr>
                <w:rFonts w:hint="eastAsia" w:cs="Times New Roman"/>
                <w:color w:val="000000" w:themeColor="text1"/>
                <w:highlight w:val="none"/>
                <w:lang w:val="zh-CN" w:eastAsia="zh-CN"/>
                <w14:textFill>
                  <w14:solidFill>
                    <w14:schemeClr w14:val="tx1"/>
                  </w14:solidFill>
                </w14:textFill>
              </w:rPr>
              <w:t>文件和“政采云”平台的要求编制、加密后在磋商截止时间前通过网络上传至“政采云”平台，供应商在“政采云”平台提交电子版投标文件时，请填写参加开标活动经办人联系方式。</w:t>
            </w:r>
          </w:p>
        </w:tc>
      </w:tr>
      <w:tr w14:paraId="4C76D1B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995" w:type="dxa"/>
            <w:vAlign w:val="center"/>
          </w:tcPr>
          <w:p w14:paraId="2301859B">
            <w:pPr>
              <w:overflowPunct/>
              <w:bidi w:val="0"/>
              <w:spacing w:line="400" w:lineRule="exact"/>
              <w:jc w:val="center"/>
              <w:outlineLvl w:val="9"/>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2.2.3</w:t>
            </w:r>
          </w:p>
        </w:tc>
        <w:tc>
          <w:tcPr>
            <w:tcW w:w="2095" w:type="dxa"/>
            <w:vAlign w:val="center"/>
          </w:tcPr>
          <w:p w14:paraId="40B09553">
            <w:pPr>
              <w:overflowPunct/>
              <w:bidi w:val="0"/>
              <w:spacing w:line="400" w:lineRule="exact"/>
              <w:jc w:val="center"/>
              <w:outlineLvl w:val="9"/>
              <w:rPr>
                <w:color w:val="000000" w:themeColor="text1"/>
                <w:highlight w:val="none"/>
                <w14:textFill>
                  <w14:solidFill>
                    <w14:schemeClr w14:val="tx1"/>
                  </w14:solidFill>
                </w14:textFill>
              </w:rPr>
            </w:pPr>
            <w:r>
              <w:rPr>
                <w:rFonts w:hint="eastAsia"/>
                <w:color w:val="000000" w:themeColor="text1"/>
                <w:highlight w:val="none"/>
                <w:lang w:eastAsia="zh-CN"/>
                <w14:textFill>
                  <w14:solidFill>
                    <w14:schemeClr w14:val="tx1"/>
                  </w14:solidFill>
                </w14:textFill>
              </w:rPr>
              <w:t>供应商</w:t>
            </w:r>
            <w:r>
              <w:rPr>
                <w:rFonts w:hint="eastAsia"/>
                <w:color w:val="000000" w:themeColor="text1"/>
                <w:highlight w:val="none"/>
                <w14:textFill>
                  <w14:solidFill>
                    <w14:schemeClr w14:val="tx1"/>
                  </w14:solidFill>
                </w14:textFill>
              </w:rPr>
              <w:t>确认收到磋商文件澄清的时间</w:t>
            </w:r>
          </w:p>
        </w:tc>
        <w:tc>
          <w:tcPr>
            <w:tcW w:w="6675" w:type="dxa"/>
            <w:vAlign w:val="center"/>
          </w:tcPr>
          <w:p w14:paraId="15967CEA">
            <w:pPr>
              <w:overflowPunct/>
              <w:bidi w:val="0"/>
              <w:spacing w:line="400" w:lineRule="exact"/>
              <w:outlineLvl w:val="9"/>
              <w:rPr>
                <w:rFonts w:hint="eastAsia" w:ascii="Times New Roman" w:hAnsi="Times New Roman" w:eastAsia="宋体" w:cs="Times New Roman"/>
                <w:color w:val="000000" w:themeColor="text1"/>
                <w:highlight w:val="none"/>
                <w:lang w:val="en-US" w:eastAsia="zh-CN"/>
                <w14:textFill>
                  <w14:solidFill>
                    <w14:schemeClr w14:val="tx1"/>
                  </w14:solidFill>
                </w14:textFill>
              </w:rPr>
            </w:pPr>
            <w:r>
              <w:rPr>
                <w:rFonts w:hint="eastAsia" w:ascii="Times New Roman" w:hAnsi="Times New Roman" w:eastAsia="宋体" w:cs="Times New Roman"/>
                <w:color w:val="000000" w:themeColor="text1"/>
                <w:highlight w:val="none"/>
                <w:lang w:val="en-US" w:eastAsia="zh-CN"/>
                <w14:textFill>
                  <w14:solidFill>
                    <w14:schemeClr w14:val="tx1"/>
                  </w14:solidFill>
                </w14:textFill>
              </w:rPr>
              <w:t>时间：收到澄清后24小时内（以发出时间为准）。</w:t>
            </w:r>
            <w:r>
              <w:rPr>
                <w:rFonts w:hint="eastAsia" w:ascii="Times New Roman" w:hAnsi="Times New Roman" w:eastAsia="宋体" w:cs="Times New Roman"/>
                <w:color w:val="000000" w:themeColor="text1"/>
                <w:highlight w:val="none"/>
                <w:lang w:val="zh-CN" w:eastAsia="zh-CN"/>
                <w14:textFill>
                  <w14:solidFill>
                    <w14:schemeClr w14:val="tx1"/>
                  </w14:solidFill>
                </w14:textFill>
              </w:rPr>
              <w:t>形式：本项目所有修改文件均在</w:t>
            </w:r>
            <w:r>
              <w:rPr>
                <w:rFonts w:hint="eastAsia" w:ascii="Times New Roman" w:hAnsi="Times New Roman" w:eastAsia="宋体" w:cs="Times New Roman"/>
                <w:color w:val="000000" w:themeColor="text1"/>
                <w:highlight w:val="none"/>
                <w:lang w:val="en-US" w:eastAsia="zh-CN"/>
                <w14:textFill>
                  <w14:solidFill>
                    <w14:schemeClr w14:val="tx1"/>
                  </w14:solidFill>
                </w14:textFill>
              </w:rPr>
              <w:t>“政采云”平台(https://www.zcygov.cn)</w:t>
            </w:r>
            <w:r>
              <w:rPr>
                <w:rFonts w:hint="eastAsia" w:ascii="Times New Roman" w:hAnsi="Times New Roman" w:eastAsia="宋体" w:cs="Times New Roman"/>
                <w:color w:val="000000" w:themeColor="text1"/>
                <w:highlight w:val="none"/>
                <w:lang w:val="zh-CN" w:eastAsia="zh-CN"/>
                <w14:textFill>
                  <w14:solidFill>
                    <w14:schemeClr w14:val="tx1"/>
                  </w14:solidFill>
                </w14:textFill>
              </w:rPr>
              <w:t>”中发布，供应商收到后必须以确认函的形式发送至采购代理机构的邮箱</w:t>
            </w:r>
            <w:r>
              <w:rPr>
                <w:rFonts w:hint="eastAsia" w:cs="Times New Roman"/>
                <w:color w:val="000000" w:themeColor="text1"/>
                <w:highlight w:val="none"/>
                <w:lang w:val="en-US" w:eastAsia="zh-CN"/>
                <w14:textFill>
                  <w14:solidFill>
                    <w14:schemeClr w14:val="tx1"/>
                  </w14:solidFill>
                </w14:textFill>
              </w:rPr>
              <w:t>JLTYYXGS@163.com</w:t>
            </w:r>
            <w:r>
              <w:rPr>
                <w:rFonts w:hint="eastAsia" w:ascii="Times New Roman" w:hAnsi="Times New Roman" w:eastAsia="宋体" w:cs="Times New Roman"/>
                <w:color w:val="000000" w:themeColor="text1"/>
                <w:highlight w:val="none"/>
                <w:lang w:val="zh-CN" w:eastAsia="zh-CN"/>
                <w14:textFill>
                  <w14:solidFill>
                    <w14:schemeClr w14:val="tx1"/>
                  </w14:solidFill>
                </w14:textFill>
              </w:rPr>
              <w:t>，因供应商自身原因未能及时查阅下载所导致的对本项目有关文件理解错误由供应商自行承担。</w:t>
            </w:r>
          </w:p>
        </w:tc>
      </w:tr>
      <w:tr w14:paraId="1A578BC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995" w:type="dxa"/>
            <w:vAlign w:val="center"/>
          </w:tcPr>
          <w:p w14:paraId="673D6A88">
            <w:pPr>
              <w:overflowPunct/>
              <w:bidi w:val="0"/>
              <w:spacing w:line="400" w:lineRule="exact"/>
              <w:jc w:val="center"/>
              <w:outlineLvl w:val="9"/>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2.3.2</w:t>
            </w:r>
          </w:p>
        </w:tc>
        <w:tc>
          <w:tcPr>
            <w:tcW w:w="2095" w:type="dxa"/>
            <w:vAlign w:val="center"/>
          </w:tcPr>
          <w:p w14:paraId="512D7D4D">
            <w:pPr>
              <w:overflowPunct/>
              <w:bidi w:val="0"/>
              <w:spacing w:line="400" w:lineRule="exact"/>
              <w:jc w:val="center"/>
              <w:outlineLvl w:val="9"/>
              <w:rPr>
                <w:color w:val="000000" w:themeColor="text1"/>
                <w:highlight w:val="none"/>
                <w14:textFill>
                  <w14:solidFill>
                    <w14:schemeClr w14:val="tx1"/>
                  </w14:solidFill>
                </w14:textFill>
              </w:rPr>
            </w:pPr>
            <w:r>
              <w:rPr>
                <w:rFonts w:hint="eastAsia"/>
                <w:color w:val="000000" w:themeColor="text1"/>
                <w:highlight w:val="none"/>
                <w:lang w:eastAsia="zh-CN"/>
                <w14:textFill>
                  <w14:solidFill>
                    <w14:schemeClr w14:val="tx1"/>
                  </w14:solidFill>
                </w14:textFill>
              </w:rPr>
              <w:t>供应商</w:t>
            </w:r>
            <w:r>
              <w:rPr>
                <w:rFonts w:hint="eastAsia"/>
                <w:color w:val="000000" w:themeColor="text1"/>
                <w:highlight w:val="none"/>
                <w14:textFill>
                  <w14:solidFill>
                    <w14:schemeClr w14:val="tx1"/>
                  </w14:solidFill>
                </w14:textFill>
              </w:rPr>
              <w:t>确认收到磋商文件修改的时间</w:t>
            </w:r>
          </w:p>
        </w:tc>
        <w:tc>
          <w:tcPr>
            <w:tcW w:w="6675" w:type="dxa"/>
            <w:vAlign w:val="center"/>
          </w:tcPr>
          <w:p w14:paraId="649BFC9F">
            <w:pPr>
              <w:overflowPunct/>
              <w:bidi w:val="0"/>
              <w:spacing w:line="400" w:lineRule="exact"/>
              <w:outlineLvl w:val="9"/>
              <w:rPr>
                <w:rFonts w:hint="eastAsia" w:ascii="Times New Roman" w:hAnsi="Times New Roman" w:eastAsia="宋体" w:cs="Times New Roman"/>
                <w:color w:val="000000" w:themeColor="text1"/>
                <w:highlight w:val="none"/>
                <w:lang w:val="en-US" w:eastAsia="zh-CN"/>
                <w14:textFill>
                  <w14:solidFill>
                    <w14:schemeClr w14:val="tx1"/>
                  </w14:solidFill>
                </w14:textFill>
              </w:rPr>
            </w:pPr>
            <w:r>
              <w:rPr>
                <w:rFonts w:hint="eastAsia" w:ascii="Times New Roman" w:hAnsi="Times New Roman" w:eastAsia="宋体" w:cs="Times New Roman"/>
                <w:color w:val="000000" w:themeColor="text1"/>
                <w:highlight w:val="none"/>
                <w:lang w:val="en-US" w:eastAsia="zh-CN"/>
                <w14:textFill>
                  <w14:solidFill>
                    <w14:schemeClr w14:val="tx1"/>
                  </w14:solidFill>
                </w14:textFill>
              </w:rPr>
              <w:t>详见本章2.2.3款。</w:t>
            </w:r>
          </w:p>
        </w:tc>
      </w:tr>
      <w:tr w14:paraId="3400F6F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96" w:hRule="atLeast"/>
          <w:jc w:val="center"/>
        </w:trPr>
        <w:tc>
          <w:tcPr>
            <w:tcW w:w="995" w:type="dxa"/>
            <w:vAlign w:val="center"/>
          </w:tcPr>
          <w:p w14:paraId="2A6A4D2D">
            <w:pPr>
              <w:overflowPunct/>
              <w:bidi w:val="0"/>
              <w:spacing w:line="400" w:lineRule="exact"/>
              <w:jc w:val="center"/>
              <w:outlineLvl w:val="9"/>
              <w:rPr>
                <w:rFonts w:hint="eastAsia" w:ascii="Times New Roman" w:hAnsi="Times New Roman" w:eastAsia="宋体" w:cs="Times New Roman"/>
                <w:color w:val="000000" w:themeColor="text1"/>
                <w:kern w:val="2"/>
                <w:sz w:val="21"/>
                <w:szCs w:val="24"/>
                <w:highlight w:val="none"/>
                <w:lang w:val="zh-CN" w:eastAsia="zh-CN" w:bidi="ar-SA"/>
                <w14:textFill>
                  <w14:solidFill>
                    <w14:schemeClr w14:val="tx1"/>
                  </w14:solidFill>
                </w14:textFill>
              </w:rPr>
            </w:pPr>
            <w:r>
              <w:rPr>
                <w:rFonts w:hint="eastAsia" w:ascii="Times New Roman" w:hAnsi="Times New Roman" w:eastAsia="宋体" w:cs="Times New Roman"/>
                <w:color w:val="000000" w:themeColor="text1"/>
                <w:highlight w:val="none"/>
                <w:lang w:val="zh-CN"/>
                <w14:textFill>
                  <w14:solidFill>
                    <w14:schemeClr w14:val="tx1"/>
                  </w14:solidFill>
                </w14:textFill>
              </w:rPr>
              <w:t>3.2.</w:t>
            </w:r>
            <w:r>
              <w:rPr>
                <w:rFonts w:hint="eastAsia" w:cs="Times New Roman"/>
                <w:color w:val="000000" w:themeColor="text1"/>
                <w:highlight w:val="none"/>
                <w:lang w:val="en-US" w:eastAsia="zh-CN"/>
                <w14:textFill>
                  <w14:solidFill>
                    <w14:schemeClr w14:val="tx1"/>
                  </w14:solidFill>
                </w14:textFill>
              </w:rPr>
              <w:t>3</w:t>
            </w:r>
          </w:p>
        </w:tc>
        <w:tc>
          <w:tcPr>
            <w:tcW w:w="2095" w:type="dxa"/>
            <w:vAlign w:val="center"/>
          </w:tcPr>
          <w:p w14:paraId="769BC63C">
            <w:pPr>
              <w:overflowPunct/>
              <w:bidi w:val="0"/>
              <w:spacing w:line="400" w:lineRule="exact"/>
              <w:jc w:val="center"/>
              <w:outlineLvl w:val="9"/>
              <w:rPr>
                <w:rFonts w:hint="eastAsia" w:ascii="Times New Roman" w:hAnsi="Times New Roman" w:eastAsia="宋体" w:cs="Times New Roman"/>
                <w:color w:val="000000" w:themeColor="text1"/>
                <w:kern w:val="2"/>
                <w:sz w:val="21"/>
                <w:szCs w:val="24"/>
                <w:highlight w:val="none"/>
                <w:lang w:val="zh-CN" w:eastAsia="zh-CN" w:bidi="ar-SA"/>
                <w14:textFill>
                  <w14:solidFill>
                    <w14:schemeClr w14:val="tx1"/>
                  </w14:solidFill>
                </w14:textFill>
              </w:rPr>
            </w:pPr>
            <w:r>
              <w:rPr>
                <w:rFonts w:hint="eastAsia" w:ascii="Times New Roman" w:hAnsi="Times New Roman" w:eastAsia="宋体" w:cs="Times New Roman"/>
                <w:color w:val="000000" w:themeColor="text1"/>
                <w:highlight w:val="none"/>
                <w14:textFill>
                  <w14:solidFill>
                    <w14:schemeClr w14:val="tx1"/>
                  </w14:solidFill>
                </w14:textFill>
              </w:rPr>
              <w:t>最高投标限价</w:t>
            </w:r>
          </w:p>
        </w:tc>
        <w:tc>
          <w:tcPr>
            <w:tcW w:w="6675" w:type="dxa"/>
            <w:vAlign w:val="center"/>
          </w:tcPr>
          <w:p w14:paraId="3E5DD598">
            <w:pPr>
              <w:overflowPunct/>
              <w:bidi w:val="0"/>
              <w:spacing w:line="400" w:lineRule="exact"/>
              <w:outlineLvl w:val="9"/>
              <w:rPr>
                <w:rFonts w:hint="eastAsia" w:ascii="Times New Roman" w:hAnsi="Times New Roman" w:eastAsia="宋体" w:cs="Times New Roman"/>
                <w:color w:val="000000" w:themeColor="text1"/>
                <w:kern w:val="2"/>
                <w:sz w:val="21"/>
                <w:szCs w:val="24"/>
                <w:highlight w:val="none"/>
                <w:lang w:val="en-US" w:eastAsia="zh-CN" w:bidi="ar-SA"/>
                <w14:textFill>
                  <w14:solidFill>
                    <w14:schemeClr w14:val="tx1"/>
                  </w14:solidFill>
                </w14:textFill>
              </w:rPr>
            </w:pPr>
            <w:r>
              <w:rPr>
                <w:rFonts w:hint="eastAsia" w:cs="Times New Roman"/>
                <w:color w:val="000000" w:themeColor="text1"/>
                <w:highlight w:val="none"/>
                <w:lang w:val="en-US" w:eastAsia="zh-CN"/>
                <w14:textFill>
                  <w14:solidFill>
                    <w14:schemeClr w14:val="tx1"/>
                  </w14:solidFill>
                </w14:textFill>
              </w:rPr>
              <w:t>1153000.00</w:t>
            </w:r>
            <w:r>
              <w:rPr>
                <w:rFonts w:hint="eastAsia" w:ascii="Times New Roman" w:hAnsi="Times New Roman" w:eastAsia="宋体" w:cs="Times New Roman"/>
                <w:color w:val="000000" w:themeColor="text1"/>
                <w:highlight w:val="none"/>
                <w:lang w:val="en-US" w:eastAsia="zh-CN"/>
                <w14:textFill>
                  <w14:solidFill>
                    <w14:schemeClr w14:val="tx1"/>
                  </w14:solidFill>
                </w14:textFill>
              </w:rPr>
              <w:t>元</w:t>
            </w:r>
            <w:r>
              <w:rPr>
                <w:rFonts w:hint="eastAsia" w:ascii="宋体" w:hAnsi="宋体"/>
                <w:color w:val="000000" w:themeColor="text1"/>
                <w:highlight w:val="none"/>
                <w14:textFill>
                  <w14:solidFill>
                    <w14:schemeClr w14:val="tx1"/>
                  </w14:solidFill>
                </w14:textFill>
              </w:rPr>
              <w:t>（</w:t>
            </w:r>
            <w:r>
              <w:rPr>
                <w:rFonts w:hint="eastAsia" w:ascii="宋体" w:hAnsi="宋体"/>
                <w:color w:val="000000" w:themeColor="text1"/>
                <w:highlight w:val="none"/>
                <w:lang w:eastAsia="zh-CN"/>
                <w14:textFill>
                  <w14:solidFill>
                    <w14:schemeClr w14:val="tx1"/>
                  </w14:solidFill>
                </w14:textFill>
              </w:rPr>
              <w:t>供应商</w:t>
            </w:r>
            <w:r>
              <w:rPr>
                <w:rFonts w:hint="eastAsia" w:ascii="宋体" w:hAnsi="宋体"/>
                <w:color w:val="000000" w:themeColor="text1"/>
                <w:highlight w:val="none"/>
                <w14:textFill>
                  <w14:solidFill>
                    <w14:schemeClr w14:val="tx1"/>
                  </w14:solidFill>
                </w14:textFill>
              </w:rPr>
              <w:t>进行报价时不得超出此价格，否则按</w:t>
            </w:r>
            <w:r>
              <w:rPr>
                <w:rFonts w:hint="eastAsia" w:ascii="宋体" w:hAnsi="宋体"/>
                <w:color w:val="000000" w:themeColor="text1"/>
                <w:highlight w:val="none"/>
                <w:lang w:val="en-US" w:eastAsia="zh-CN"/>
                <w14:textFill>
                  <w14:solidFill>
                    <w14:schemeClr w14:val="tx1"/>
                  </w14:solidFill>
                </w14:textFill>
              </w:rPr>
              <w:t>无效报价</w:t>
            </w:r>
            <w:r>
              <w:rPr>
                <w:rFonts w:hint="eastAsia" w:ascii="宋体" w:hAnsi="宋体"/>
                <w:color w:val="000000" w:themeColor="text1"/>
                <w:highlight w:val="none"/>
                <w14:textFill>
                  <w14:solidFill>
                    <w14:schemeClr w14:val="tx1"/>
                  </w14:solidFill>
                </w14:textFill>
              </w:rPr>
              <w:t>处理）。</w:t>
            </w:r>
          </w:p>
        </w:tc>
      </w:tr>
      <w:tr w14:paraId="1F2B51E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96" w:hRule="atLeast"/>
          <w:jc w:val="center"/>
        </w:trPr>
        <w:tc>
          <w:tcPr>
            <w:tcW w:w="995" w:type="dxa"/>
            <w:vAlign w:val="center"/>
          </w:tcPr>
          <w:p w14:paraId="414F566A">
            <w:pPr>
              <w:overflowPunct/>
              <w:bidi w:val="0"/>
              <w:spacing w:line="400" w:lineRule="exact"/>
              <w:jc w:val="center"/>
              <w:outlineLvl w:val="9"/>
              <w:rPr>
                <w:rFonts w:hint="eastAsia" w:eastAsia="宋体"/>
                <w:color w:val="000000" w:themeColor="text1"/>
                <w:highlight w:val="none"/>
                <w:lang w:eastAsia="zh-CN"/>
                <w14:textFill>
                  <w14:solidFill>
                    <w14:schemeClr w14:val="tx1"/>
                  </w14:solidFill>
                </w14:textFill>
              </w:rPr>
            </w:pPr>
            <w:r>
              <w:rPr>
                <w:rFonts w:hint="eastAsia"/>
                <w:color w:val="000000" w:themeColor="text1"/>
                <w:highlight w:val="none"/>
                <w14:textFill>
                  <w14:solidFill>
                    <w14:schemeClr w14:val="tx1"/>
                  </w14:solidFill>
                </w14:textFill>
              </w:rPr>
              <w:t>3.2.</w:t>
            </w:r>
            <w:r>
              <w:rPr>
                <w:rFonts w:hint="eastAsia"/>
                <w:color w:val="000000" w:themeColor="text1"/>
                <w:highlight w:val="none"/>
                <w:lang w:val="en-US" w:eastAsia="zh-CN"/>
                <w14:textFill>
                  <w14:solidFill>
                    <w14:schemeClr w14:val="tx1"/>
                  </w14:solidFill>
                </w14:textFill>
              </w:rPr>
              <w:t>7</w:t>
            </w:r>
          </w:p>
        </w:tc>
        <w:tc>
          <w:tcPr>
            <w:tcW w:w="2095" w:type="dxa"/>
            <w:vAlign w:val="center"/>
          </w:tcPr>
          <w:p w14:paraId="70F5F219">
            <w:pPr>
              <w:overflowPunct/>
              <w:bidi w:val="0"/>
              <w:spacing w:line="400" w:lineRule="exact"/>
              <w:jc w:val="center"/>
              <w:outlineLvl w:val="9"/>
              <w:rPr>
                <w:color w:val="000000" w:themeColor="text1"/>
                <w:highlight w:val="none"/>
                <w14:textFill>
                  <w14:solidFill>
                    <w14:schemeClr w14:val="tx1"/>
                  </w14:solidFill>
                </w14:textFill>
              </w:rPr>
            </w:pPr>
            <w:r>
              <w:rPr>
                <w:rFonts w:hint="eastAsia" w:ascii="宋体" w:hAnsi="宋体"/>
                <w:color w:val="000000" w:themeColor="text1"/>
                <w:szCs w:val="21"/>
                <w:highlight w:val="none"/>
                <w14:textFill>
                  <w14:solidFill>
                    <w14:schemeClr w14:val="tx1"/>
                  </w14:solidFill>
                </w14:textFill>
              </w:rPr>
              <w:t>报价的次数</w:t>
            </w:r>
          </w:p>
        </w:tc>
        <w:tc>
          <w:tcPr>
            <w:tcW w:w="6675" w:type="dxa"/>
            <w:vAlign w:val="center"/>
          </w:tcPr>
          <w:p w14:paraId="104BF9B9">
            <w:pPr>
              <w:overflowPunct/>
              <w:bidi w:val="0"/>
              <w:spacing w:line="400" w:lineRule="exact"/>
              <w:outlineLvl w:val="9"/>
              <w:rPr>
                <w:rFonts w:hint="eastAsia" w:ascii="Times New Roman" w:hAnsi="Times New Roman" w:eastAsia="宋体" w:cs="Times New Roman"/>
                <w:color w:val="000000" w:themeColor="text1"/>
                <w:highlight w:val="none"/>
                <w:lang w:val="en-US" w:eastAsia="zh-CN"/>
                <w14:textFill>
                  <w14:solidFill>
                    <w14:schemeClr w14:val="tx1"/>
                  </w14:solidFill>
                </w14:textFill>
              </w:rPr>
            </w:pPr>
            <w:r>
              <w:rPr>
                <w:rFonts w:hint="eastAsia" w:ascii="Times New Roman" w:hAnsi="Times New Roman" w:eastAsia="宋体" w:cs="Times New Roman"/>
                <w:color w:val="000000" w:themeColor="text1"/>
                <w:highlight w:val="none"/>
                <w:lang w:val="en-US" w:eastAsia="zh-CN"/>
                <w14:textFill>
                  <w14:solidFill>
                    <w14:schemeClr w14:val="tx1"/>
                  </w14:solidFill>
                </w14:textFill>
              </w:rPr>
              <w:t>2次</w:t>
            </w:r>
          </w:p>
          <w:p w14:paraId="58C5137A">
            <w:pPr>
              <w:pStyle w:val="27"/>
              <w:overflowPunct/>
              <w:bidi w:val="0"/>
              <w:outlineLvl w:val="9"/>
              <w:rPr>
                <w:rFonts w:hint="eastAsia" w:ascii="Times New Roman" w:hAnsi="Times New Roman" w:eastAsia="宋体" w:cs="Times New Roman"/>
                <w:b w:val="0"/>
                <w:color w:val="000000" w:themeColor="text1"/>
                <w:kern w:val="2"/>
                <w:sz w:val="21"/>
                <w:szCs w:val="24"/>
                <w:highlight w:val="none"/>
                <w:lang w:val="en-US" w:eastAsia="zh-CN" w:bidi="ar-SA"/>
                <w14:textFill>
                  <w14:solidFill>
                    <w14:schemeClr w14:val="tx1"/>
                  </w14:solidFill>
                </w14:textFill>
              </w:rPr>
            </w:pPr>
            <w:r>
              <w:rPr>
                <w:rFonts w:hint="eastAsia" w:ascii="Times New Roman" w:hAnsi="Times New Roman" w:eastAsia="宋体" w:cs="Times New Roman"/>
                <w:b w:val="0"/>
                <w:color w:val="000000" w:themeColor="text1"/>
                <w:kern w:val="2"/>
                <w:sz w:val="21"/>
                <w:szCs w:val="24"/>
                <w:highlight w:val="none"/>
                <w:lang w:val="en-US" w:eastAsia="zh-CN" w:bidi="ar-SA"/>
                <w14:textFill>
                  <w14:solidFill>
                    <w14:schemeClr w14:val="tx1"/>
                  </w14:solidFill>
                </w14:textFill>
              </w:rPr>
              <w:t>注：开标当日，</w:t>
            </w:r>
            <w:r>
              <w:rPr>
                <w:rFonts w:hint="eastAsia" w:ascii="Times New Roman" w:eastAsia="宋体" w:cs="Times New Roman"/>
                <w:b w:val="0"/>
                <w:color w:val="000000" w:themeColor="text1"/>
                <w:kern w:val="2"/>
                <w:sz w:val="21"/>
                <w:szCs w:val="24"/>
                <w:highlight w:val="none"/>
                <w:lang w:val="en-US" w:eastAsia="zh-CN" w:bidi="ar-SA"/>
                <w14:textFill>
                  <w14:solidFill>
                    <w14:schemeClr w14:val="tx1"/>
                  </w14:solidFill>
                </w14:textFill>
              </w:rPr>
              <w:t>供应商</w:t>
            </w:r>
            <w:r>
              <w:rPr>
                <w:rFonts w:hint="eastAsia" w:ascii="Times New Roman" w:hAnsi="Times New Roman" w:eastAsia="宋体" w:cs="Times New Roman"/>
                <w:b w:val="0"/>
                <w:color w:val="000000" w:themeColor="text1"/>
                <w:kern w:val="2"/>
                <w:sz w:val="21"/>
                <w:szCs w:val="24"/>
                <w:highlight w:val="none"/>
                <w:lang w:val="en-US" w:eastAsia="zh-CN" w:bidi="ar-SA"/>
                <w14:textFill>
                  <w14:solidFill>
                    <w14:schemeClr w14:val="tx1"/>
                  </w14:solidFill>
                </w14:textFill>
              </w:rPr>
              <w:t>不必抵达开标现场，仅需在任意地点通过“政采云”平台（https://www.zcygov.cn）参加开标会议，</w:t>
            </w:r>
            <w:r>
              <w:rPr>
                <w:rFonts w:hint="eastAsia" w:ascii="Times New Roman" w:eastAsia="宋体" w:cs="Times New Roman"/>
                <w:b w:val="0"/>
                <w:color w:val="000000" w:themeColor="text1"/>
                <w:kern w:val="2"/>
                <w:sz w:val="21"/>
                <w:szCs w:val="24"/>
                <w:highlight w:val="none"/>
                <w:lang w:val="en-US" w:eastAsia="zh-CN" w:bidi="ar-SA"/>
                <w14:textFill>
                  <w14:solidFill>
                    <w14:schemeClr w14:val="tx1"/>
                  </w14:solidFill>
                </w14:textFill>
              </w:rPr>
              <w:t>供应商</w:t>
            </w:r>
            <w:r>
              <w:rPr>
                <w:rFonts w:hint="eastAsia" w:ascii="Times New Roman" w:hAnsi="Times New Roman" w:eastAsia="宋体" w:cs="Times New Roman"/>
                <w:b w:val="0"/>
                <w:color w:val="000000" w:themeColor="text1"/>
                <w:kern w:val="2"/>
                <w:sz w:val="21"/>
                <w:szCs w:val="24"/>
                <w:highlight w:val="none"/>
                <w:lang w:val="en-US" w:eastAsia="zh-CN" w:bidi="ar-SA"/>
                <w14:textFill>
                  <w14:solidFill>
                    <w14:schemeClr w14:val="tx1"/>
                  </w14:solidFill>
                </w14:textFill>
              </w:rPr>
              <w:t>代表须全程在线等候，</w:t>
            </w:r>
            <w:r>
              <w:rPr>
                <w:rFonts w:hint="eastAsia" w:ascii="Times New Roman" w:eastAsia="宋体" w:cs="Times New Roman"/>
                <w:b w:val="0"/>
                <w:color w:val="000000" w:themeColor="text1"/>
                <w:kern w:val="2"/>
                <w:sz w:val="21"/>
                <w:szCs w:val="24"/>
                <w:highlight w:val="none"/>
                <w:lang w:val="en-US" w:eastAsia="zh-CN" w:bidi="ar-SA"/>
                <w14:textFill>
                  <w14:solidFill>
                    <w14:schemeClr w14:val="tx1"/>
                  </w14:solidFill>
                </w14:textFill>
              </w:rPr>
              <w:t>供应商</w:t>
            </w:r>
            <w:r>
              <w:rPr>
                <w:rFonts w:hint="eastAsia" w:ascii="Times New Roman" w:hAnsi="Times New Roman" w:eastAsia="宋体" w:cs="Times New Roman"/>
                <w:b w:val="0"/>
                <w:color w:val="000000" w:themeColor="text1"/>
                <w:kern w:val="2"/>
                <w:sz w:val="21"/>
                <w:szCs w:val="24"/>
                <w:highlight w:val="none"/>
                <w:lang w:val="en-US" w:eastAsia="zh-CN" w:bidi="ar-SA"/>
                <w14:textFill>
                  <w14:solidFill>
                    <w14:schemeClr w14:val="tx1"/>
                  </w14:solidFill>
                </w14:textFill>
              </w:rPr>
              <w:t>得到磋商小组指令后网上进行二次报价</w:t>
            </w:r>
          </w:p>
          <w:p w14:paraId="19A8F8F8">
            <w:pPr>
              <w:pStyle w:val="27"/>
              <w:overflowPunct/>
              <w:bidi w:val="0"/>
              <w:outlineLvl w:val="9"/>
              <w:rPr>
                <w:rFonts w:hint="eastAsia"/>
                <w:color w:val="000000" w:themeColor="text1"/>
                <w:highlight w:val="none"/>
                <w:lang w:val="en-US" w:eastAsia="zh-CN"/>
                <w14:textFill>
                  <w14:solidFill>
                    <w14:schemeClr w14:val="tx1"/>
                  </w14:solidFill>
                </w14:textFill>
              </w:rPr>
            </w:pPr>
            <w:r>
              <w:rPr>
                <w:rFonts w:hint="eastAsia" w:ascii="Times New Roman" w:hAnsi="Times New Roman" w:eastAsia="宋体" w:cs="Times New Roman"/>
                <w:b w:val="0"/>
                <w:color w:val="000000" w:themeColor="text1"/>
                <w:kern w:val="2"/>
                <w:sz w:val="21"/>
                <w:szCs w:val="24"/>
                <w:highlight w:val="none"/>
                <w:lang w:val="en-US" w:eastAsia="zh-CN" w:bidi="ar-SA"/>
                <w14:textFill>
                  <w14:solidFill>
                    <w14:schemeClr w14:val="tx1"/>
                  </w14:solidFill>
                </w14:textFill>
              </w:rPr>
              <w:t>未按照磋商文件要求进行二次报价的</w:t>
            </w:r>
            <w:r>
              <w:rPr>
                <w:rFonts w:hint="eastAsia" w:ascii="Times New Roman" w:eastAsia="宋体" w:cs="Times New Roman"/>
                <w:b w:val="0"/>
                <w:color w:val="000000" w:themeColor="text1"/>
                <w:kern w:val="2"/>
                <w:sz w:val="21"/>
                <w:szCs w:val="24"/>
                <w:highlight w:val="none"/>
                <w:lang w:val="en-US" w:eastAsia="zh-CN" w:bidi="ar-SA"/>
                <w14:textFill>
                  <w14:solidFill>
                    <w14:schemeClr w14:val="tx1"/>
                  </w14:solidFill>
                </w14:textFill>
              </w:rPr>
              <w:t>供应商</w:t>
            </w:r>
            <w:r>
              <w:rPr>
                <w:rFonts w:hint="eastAsia" w:ascii="Times New Roman" w:hAnsi="Times New Roman" w:eastAsia="宋体" w:cs="Times New Roman"/>
                <w:b w:val="0"/>
                <w:color w:val="000000" w:themeColor="text1"/>
                <w:kern w:val="2"/>
                <w:sz w:val="21"/>
                <w:szCs w:val="24"/>
                <w:highlight w:val="none"/>
                <w:lang w:val="en-US" w:eastAsia="zh-CN" w:bidi="ar-SA"/>
                <w14:textFill>
                  <w14:solidFill>
                    <w14:schemeClr w14:val="tx1"/>
                  </w14:solidFill>
                </w14:textFill>
              </w:rPr>
              <w:t>视为放弃二次报价，由此引发的后果和责任由</w:t>
            </w:r>
            <w:r>
              <w:rPr>
                <w:rFonts w:hint="eastAsia" w:ascii="Times New Roman" w:eastAsia="宋体" w:cs="Times New Roman"/>
                <w:b w:val="0"/>
                <w:color w:val="000000" w:themeColor="text1"/>
                <w:kern w:val="2"/>
                <w:sz w:val="21"/>
                <w:szCs w:val="24"/>
                <w:highlight w:val="none"/>
                <w:lang w:val="en-US" w:eastAsia="zh-CN" w:bidi="ar-SA"/>
                <w14:textFill>
                  <w14:solidFill>
                    <w14:schemeClr w14:val="tx1"/>
                  </w14:solidFill>
                </w14:textFill>
              </w:rPr>
              <w:t>供应商</w:t>
            </w:r>
            <w:r>
              <w:rPr>
                <w:rFonts w:hint="eastAsia" w:ascii="Times New Roman" w:hAnsi="Times New Roman" w:eastAsia="宋体" w:cs="Times New Roman"/>
                <w:b w:val="0"/>
                <w:color w:val="000000" w:themeColor="text1"/>
                <w:kern w:val="2"/>
                <w:sz w:val="21"/>
                <w:szCs w:val="24"/>
                <w:highlight w:val="none"/>
                <w:lang w:val="en-US" w:eastAsia="zh-CN" w:bidi="ar-SA"/>
                <w14:textFill>
                  <w14:solidFill>
                    <w14:schemeClr w14:val="tx1"/>
                  </w14:solidFill>
                </w14:textFill>
              </w:rPr>
              <w:t>自行承担。</w:t>
            </w:r>
          </w:p>
        </w:tc>
      </w:tr>
      <w:tr w14:paraId="4D1BDF2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995" w:type="dxa"/>
            <w:vAlign w:val="center"/>
          </w:tcPr>
          <w:p w14:paraId="60166FB9">
            <w:pPr>
              <w:overflowPunct/>
              <w:bidi w:val="0"/>
              <w:spacing w:line="400" w:lineRule="exact"/>
              <w:jc w:val="center"/>
              <w:outlineLvl w:val="9"/>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3.3.1</w:t>
            </w:r>
          </w:p>
        </w:tc>
        <w:tc>
          <w:tcPr>
            <w:tcW w:w="2095" w:type="dxa"/>
            <w:vAlign w:val="center"/>
          </w:tcPr>
          <w:p w14:paraId="5CE5FFFE">
            <w:pPr>
              <w:overflowPunct/>
              <w:bidi w:val="0"/>
              <w:spacing w:line="400" w:lineRule="exact"/>
              <w:jc w:val="center"/>
              <w:outlineLvl w:val="9"/>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响应有效期</w:t>
            </w:r>
          </w:p>
        </w:tc>
        <w:tc>
          <w:tcPr>
            <w:tcW w:w="6675" w:type="dxa"/>
            <w:vAlign w:val="center"/>
          </w:tcPr>
          <w:p w14:paraId="57D180EA">
            <w:pPr>
              <w:overflowPunct/>
              <w:bidi w:val="0"/>
              <w:spacing w:line="400" w:lineRule="exact"/>
              <w:jc w:val="both"/>
              <w:outlineLvl w:val="9"/>
              <w:rPr>
                <w:rFonts w:hint="eastAsia" w:ascii="Times New Roman" w:hAnsi="Times New Roman" w:eastAsia="宋体" w:cs="Times New Roman"/>
                <w:color w:val="000000" w:themeColor="text1"/>
                <w:highlight w:val="none"/>
                <w:lang w:val="en-US" w:eastAsia="zh-CN"/>
                <w14:textFill>
                  <w14:solidFill>
                    <w14:schemeClr w14:val="tx1"/>
                  </w14:solidFill>
                </w14:textFill>
              </w:rPr>
            </w:pPr>
            <w:r>
              <w:rPr>
                <w:rFonts w:hint="eastAsia" w:ascii="Times New Roman" w:hAnsi="Times New Roman" w:eastAsia="宋体" w:cs="Times New Roman"/>
                <w:color w:val="000000" w:themeColor="text1"/>
                <w:highlight w:val="none"/>
                <w:lang w:val="zh-CN"/>
                <w14:textFill>
                  <w14:solidFill>
                    <w14:schemeClr w14:val="tx1"/>
                  </w14:solidFill>
                </w14:textFill>
              </w:rPr>
              <w:t>投标截止之日后90天（日历天），从</w:t>
            </w:r>
            <w:r>
              <w:rPr>
                <w:rFonts w:hint="eastAsia" w:ascii="Times New Roman" w:hAnsi="Times New Roman" w:eastAsia="宋体" w:cs="Times New Roman"/>
                <w:color w:val="000000" w:themeColor="text1"/>
                <w:highlight w:val="none"/>
                <w:lang w:val="en-US" w:eastAsia="zh-CN"/>
                <w14:textFill>
                  <w14:solidFill>
                    <w14:schemeClr w14:val="tx1"/>
                  </w14:solidFill>
                </w14:textFill>
              </w:rPr>
              <w:t>响应文件递交</w:t>
            </w:r>
            <w:r>
              <w:rPr>
                <w:rFonts w:hint="eastAsia" w:ascii="Times New Roman" w:hAnsi="Times New Roman" w:eastAsia="宋体" w:cs="Times New Roman"/>
                <w:color w:val="000000" w:themeColor="text1"/>
                <w:highlight w:val="none"/>
                <w:lang w:val="zh-CN"/>
                <w14:textFill>
                  <w14:solidFill>
                    <w14:schemeClr w14:val="tx1"/>
                  </w14:solidFill>
                </w14:textFill>
              </w:rPr>
              <w:t>截止之日算起。</w:t>
            </w:r>
          </w:p>
        </w:tc>
      </w:tr>
      <w:tr w14:paraId="157A8D4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9" w:hRule="atLeast"/>
          <w:jc w:val="center"/>
        </w:trPr>
        <w:tc>
          <w:tcPr>
            <w:tcW w:w="995" w:type="dxa"/>
            <w:vAlign w:val="center"/>
          </w:tcPr>
          <w:p w14:paraId="24752609">
            <w:pPr>
              <w:overflowPunct/>
              <w:bidi w:val="0"/>
              <w:spacing w:line="400" w:lineRule="exact"/>
              <w:jc w:val="center"/>
              <w:outlineLvl w:val="9"/>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3.4.1</w:t>
            </w:r>
          </w:p>
        </w:tc>
        <w:tc>
          <w:tcPr>
            <w:tcW w:w="2095" w:type="dxa"/>
            <w:vAlign w:val="center"/>
          </w:tcPr>
          <w:p w14:paraId="3C4D64BC">
            <w:pPr>
              <w:overflowPunct/>
              <w:bidi w:val="0"/>
              <w:spacing w:line="400" w:lineRule="exact"/>
              <w:jc w:val="center"/>
              <w:outlineLvl w:val="9"/>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磋商保证金</w:t>
            </w:r>
          </w:p>
        </w:tc>
        <w:tc>
          <w:tcPr>
            <w:tcW w:w="6675" w:type="dxa"/>
            <w:vAlign w:val="center"/>
          </w:tcPr>
          <w:p w14:paraId="63A08295">
            <w:pPr>
              <w:keepNext w:val="0"/>
              <w:keepLines w:val="0"/>
              <w:pageBreakBefore w:val="0"/>
              <w:widowControl w:val="0"/>
              <w:kinsoku/>
              <w:wordWrap w:val="0"/>
              <w:overflowPunct/>
              <w:topLinePunct w:val="0"/>
              <w:autoSpaceDE/>
              <w:autoSpaceDN/>
              <w:bidi w:val="0"/>
              <w:spacing w:line="440" w:lineRule="exact"/>
              <w:textAlignment w:val="auto"/>
              <w:outlineLvl w:val="9"/>
              <w:rPr>
                <w:rFonts w:ascii="宋体" w:hAnsi="宋体"/>
                <w:bCs/>
                <w:color w:val="000000" w:themeColor="text1"/>
                <w:sz w:val="21"/>
                <w:szCs w:val="21"/>
                <w:highlight w:val="none"/>
                <w14:textFill>
                  <w14:solidFill>
                    <w14:schemeClr w14:val="tx1"/>
                  </w14:solidFill>
                </w14:textFill>
              </w:rPr>
            </w:pPr>
            <w:r>
              <w:rPr>
                <w:rFonts w:hint="eastAsia" w:ascii="宋体" w:hAnsi="宋体"/>
                <w:bCs/>
                <w:color w:val="000000" w:themeColor="text1"/>
                <w:sz w:val="21"/>
                <w:szCs w:val="21"/>
                <w:highlight w:val="none"/>
                <w:lang w:eastAsia="zh-CN"/>
                <w14:textFill>
                  <w14:solidFill>
                    <w14:schemeClr w14:val="tx1"/>
                  </w14:solidFill>
                </w14:textFill>
              </w:rPr>
              <w:fldChar w:fldCharType="begin"/>
            </w:r>
            <w:r>
              <w:rPr>
                <w:rFonts w:hint="eastAsia" w:ascii="宋体" w:hAnsi="宋体"/>
                <w:bCs/>
                <w:color w:val="000000" w:themeColor="text1"/>
                <w:sz w:val="21"/>
                <w:szCs w:val="21"/>
                <w:highlight w:val="none"/>
                <w:lang w:eastAsia="zh-CN"/>
                <w14:textFill>
                  <w14:solidFill>
                    <w14:schemeClr w14:val="tx1"/>
                  </w14:solidFill>
                </w14:textFill>
              </w:rPr>
              <w:instrText xml:space="preserve">eq \o\ac(□,√)</w:instrText>
            </w:r>
            <w:r>
              <w:rPr>
                <w:rFonts w:hint="eastAsia" w:ascii="宋体" w:hAnsi="宋体"/>
                <w:bCs/>
                <w:color w:val="000000" w:themeColor="text1"/>
                <w:sz w:val="21"/>
                <w:szCs w:val="21"/>
                <w:highlight w:val="none"/>
                <w:lang w:eastAsia="zh-CN"/>
                <w14:textFill>
                  <w14:solidFill>
                    <w14:schemeClr w14:val="tx1"/>
                  </w14:solidFill>
                </w14:textFill>
              </w:rPr>
              <w:fldChar w:fldCharType="end"/>
            </w:r>
            <w:r>
              <w:rPr>
                <w:rFonts w:hint="eastAsia" w:ascii="宋体" w:hAnsi="宋体"/>
                <w:bCs/>
                <w:color w:val="000000" w:themeColor="text1"/>
                <w:sz w:val="21"/>
                <w:szCs w:val="21"/>
                <w:highlight w:val="none"/>
                <w:lang w:eastAsia="zh-CN"/>
                <w14:textFill>
                  <w14:solidFill>
                    <w14:schemeClr w14:val="tx1"/>
                  </w14:solidFill>
                </w14:textFill>
              </w:rPr>
              <w:t>不要求</w:t>
            </w:r>
          </w:p>
        </w:tc>
      </w:tr>
      <w:tr w14:paraId="3D30B57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9" w:hRule="atLeast"/>
          <w:jc w:val="center"/>
        </w:trPr>
        <w:tc>
          <w:tcPr>
            <w:tcW w:w="995" w:type="dxa"/>
            <w:vAlign w:val="center"/>
          </w:tcPr>
          <w:p w14:paraId="3C9AC0E6">
            <w:pPr>
              <w:overflowPunct/>
              <w:bidi w:val="0"/>
              <w:spacing w:line="400" w:lineRule="exact"/>
              <w:jc w:val="center"/>
              <w:outlineLvl w:val="9"/>
              <w:rPr>
                <w:rFonts w:hint="default" w:eastAsia="宋体"/>
                <w:color w:val="000000" w:themeColor="text1"/>
                <w:highlight w:val="none"/>
                <w:lang w:val="en-US" w:eastAsia="zh-CN"/>
                <w14:textFill>
                  <w14:solidFill>
                    <w14:schemeClr w14:val="tx1"/>
                  </w14:solidFill>
                </w14:textFill>
              </w:rPr>
            </w:pPr>
            <w:r>
              <w:rPr>
                <w:rFonts w:hint="eastAsia"/>
                <w:color w:val="000000" w:themeColor="text1"/>
                <w:highlight w:val="none"/>
                <w:lang w:val="en-US" w:eastAsia="zh-CN"/>
                <w14:textFill>
                  <w14:solidFill>
                    <w14:schemeClr w14:val="tx1"/>
                  </w14:solidFill>
                </w14:textFill>
              </w:rPr>
              <w:t>3.4.2</w:t>
            </w:r>
          </w:p>
        </w:tc>
        <w:tc>
          <w:tcPr>
            <w:tcW w:w="2095" w:type="dxa"/>
            <w:vAlign w:val="center"/>
          </w:tcPr>
          <w:p w14:paraId="0FDEC2E6">
            <w:pPr>
              <w:overflowPunct/>
              <w:bidi w:val="0"/>
              <w:spacing w:line="400" w:lineRule="exact"/>
              <w:jc w:val="center"/>
              <w:outlineLvl w:val="9"/>
              <w:rPr>
                <w:rFonts w:hint="eastAsia" w:eastAsia="宋体"/>
                <w:color w:val="000000" w:themeColor="text1"/>
                <w:highlight w:val="none"/>
                <w:lang w:val="en-US" w:eastAsia="zh-CN"/>
                <w14:textFill>
                  <w14:solidFill>
                    <w14:schemeClr w14:val="tx1"/>
                  </w14:solidFill>
                </w14:textFill>
              </w:rPr>
            </w:pPr>
            <w:r>
              <w:rPr>
                <w:rFonts w:hint="eastAsia"/>
                <w:color w:val="000000" w:themeColor="text1"/>
                <w:highlight w:val="none"/>
                <w:lang w:val="en-US" w:eastAsia="zh-CN"/>
                <w14:textFill>
                  <w14:solidFill>
                    <w14:schemeClr w14:val="tx1"/>
                  </w14:solidFill>
                </w14:textFill>
              </w:rPr>
              <w:t>质保期</w:t>
            </w:r>
          </w:p>
        </w:tc>
        <w:tc>
          <w:tcPr>
            <w:tcW w:w="6675" w:type="dxa"/>
            <w:vAlign w:val="center"/>
          </w:tcPr>
          <w:p w14:paraId="525657AF">
            <w:pPr>
              <w:keepNext w:val="0"/>
              <w:keepLines w:val="0"/>
              <w:pageBreakBefore w:val="0"/>
              <w:widowControl w:val="0"/>
              <w:kinsoku/>
              <w:wordWrap w:val="0"/>
              <w:overflowPunct/>
              <w:topLinePunct w:val="0"/>
              <w:autoSpaceDE/>
              <w:autoSpaceDN/>
              <w:bidi w:val="0"/>
              <w:spacing w:line="440" w:lineRule="exact"/>
              <w:textAlignment w:val="auto"/>
              <w:outlineLvl w:val="9"/>
              <w:rPr>
                <w:rFonts w:hint="default" w:ascii="宋体" w:hAnsi="宋体"/>
                <w:bCs/>
                <w:color w:val="000000" w:themeColor="text1"/>
                <w:sz w:val="21"/>
                <w:szCs w:val="21"/>
                <w:highlight w:val="none"/>
                <w:lang w:val="en-US" w:eastAsia="zh-CN"/>
                <w14:textFill>
                  <w14:solidFill>
                    <w14:schemeClr w14:val="tx1"/>
                  </w14:solidFill>
                </w14:textFill>
              </w:rPr>
            </w:pPr>
            <w:r>
              <w:rPr>
                <w:rFonts w:hint="default" w:ascii="宋体" w:hAnsi="宋体"/>
                <w:bCs/>
                <w:color w:val="000000" w:themeColor="text1"/>
                <w:sz w:val="21"/>
                <w:szCs w:val="21"/>
                <w:highlight w:val="none"/>
                <w:lang w:val="en-US" w:eastAsia="zh-CN"/>
                <w14:textFill>
                  <w14:solidFill>
                    <w14:schemeClr w14:val="tx1"/>
                  </w14:solidFill>
                </w14:textFill>
              </w:rPr>
              <w:t>验收合格后</w:t>
            </w:r>
            <w:r>
              <w:rPr>
                <w:rFonts w:hint="eastAsia" w:ascii="宋体" w:hAnsi="宋体"/>
                <w:bCs/>
                <w:color w:val="000000" w:themeColor="text1"/>
                <w:sz w:val="21"/>
                <w:szCs w:val="21"/>
                <w:highlight w:val="none"/>
                <w:lang w:val="en-US" w:eastAsia="zh-CN"/>
                <w14:textFill>
                  <w14:solidFill>
                    <w14:schemeClr w14:val="tx1"/>
                  </w14:solidFill>
                </w14:textFill>
              </w:rPr>
              <w:t>5</w:t>
            </w:r>
            <w:r>
              <w:rPr>
                <w:rFonts w:hint="default" w:ascii="宋体" w:hAnsi="宋体"/>
                <w:bCs/>
                <w:color w:val="000000" w:themeColor="text1"/>
                <w:sz w:val="21"/>
                <w:szCs w:val="21"/>
                <w:highlight w:val="none"/>
                <w:lang w:val="en-US" w:eastAsia="zh-CN"/>
                <w14:textFill>
                  <w14:solidFill>
                    <w14:schemeClr w14:val="tx1"/>
                  </w14:solidFill>
                </w14:textFill>
              </w:rPr>
              <w:t>年</w:t>
            </w:r>
          </w:p>
        </w:tc>
      </w:tr>
      <w:tr w14:paraId="284C1CF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9" w:hRule="atLeast"/>
          <w:jc w:val="center"/>
        </w:trPr>
        <w:tc>
          <w:tcPr>
            <w:tcW w:w="995" w:type="dxa"/>
            <w:vAlign w:val="center"/>
          </w:tcPr>
          <w:p w14:paraId="7BF6498F">
            <w:pPr>
              <w:overflowPunct/>
              <w:bidi w:val="0"/>
              <w:spacing w:line="400" w:lineRule="exact"/>
              <w:jc w:val="center"/>
              <w:outlineLvl w:val="9"/>
              <w:rPr>
                <w:rFonts w:hint="default"/>
                <w:color w:val="000000" w:themeColor="text1"/>
                <w:highlight w:val="none"/>
                <w:lang w:val="en-US" w:eastAsia="zh-CN"/>
                <w14:textFill>
                  <w14:solidFill>
                    <w14:schemeClr w14:val="tx1"/>
                  </w14:solidFill>
                </w14:textFill>
              </w:rPr>
            </w:pPr>
            <w:r>
              <w:rPr>
                <w:rFonts w:hint="eastAsia"/>
                <w:color w:val="000000" w:themeColor="text1"/>
                <w:highlight w:val="none"/>
                <w:lang w:val="en-US" w:eastAsia="zh-CN"/>
                <w14:textFill>
                  <w14:solidFill>
                    <w14:schemeClr w14:val="tx1"/>
                  </w14:solidFill>
                </w14:textFill>
              </w:rPr>
              <w:t>3.4.3</w:t>
            </w:r>
          </w:p>
        </w:tc>
        <w:tc>
          <w:tcPr>
            <w:tcW w:w="2095" w:type="dxa"/>
            <w:vAlign w:val="center"/>
          </w:tcPr>
          <w:p w14:paraId="08070CCB">
            <w:pPr>
              <w:overflowPunct/>
              <w:bidi w:val="0"/>
              <w:spacing w:line="400" w:lineRule="exact"/>
              <w:jc w:val="center"/>
              <w:outlineLvl w:val="9"/>
              <w:rPr>
                <w:rFonts w:hint="eastAsia"/>
                <w:color w:val="000000" w:themeColor="text1"/>
                <w:highlight w:val="none"/>
                <w:lang w:val="en-US" w:eastAsia="zh-CN"/>
                <w14:textFill>
                  <w14:solidFill>
                    <w14:schemeClr w14:val="tx1"/>
                  </w14:solidFill>
                </w14:textFill>
              </w:rPr>
            </w:pPr>
            <w:r>
              <w:rPr>
                <w:rFonts w:hint="eastAsia"/>
                <w:color w:val="000000" w:themeColor="text1"/>
                <w:highlight w:val="none"/>
                <w:lang w:val="en-US" w:eastAsia="zh-CN"/>
                <w14:textFill>
                  <w14:solidFill>
                    <w14:schemeClr w14:val="tx1"/>
                  </w14:solidFill>
                </w14:textFill>
              </w:rPr>
              <w:t>履约保证金</w:t>
            </w:r>
          </w:p>
        </w:tc>
        <w:tc>
          <w:tcPr>
            <w:tcW w:w="6675" w:type="dxa"/>
            <w:vAlign w:val="center"/>
          </w:tcPr>
          <w:p w14:paraId="2A94AF49">
            <w:pPr>
              <w:keepNext w:val="0"/>
              <w:keepLines w:val="0"/>
              <w:pageBreakBefore w:val="0"/>
              <w:widowControl w:val="0"/>
              <w:kinsoku/>
              <w:wordWrap w:val="0"/>
              <w:overflowPunct/>
              <w:topLinePunct w:val="0"/>
              <w:autoSpaceDE/>
              <w:autoSpaceDN/>
              <w:bidi w:val="0"/>
              <w:spacing w:line="440" w:lineRule="exact"/>
              <w:textAlignment w:val="auto"/>
              <w:outlineLvl w:val="9"/>
              <w:rPr>
                <w:rFonts w:hint="eastAsia" w:ascii="宋体" w:hAnsi="宋体"/>
                <w:bCs/>
                <w:color w:val="000000" w:themeColor="text1"/>
                <w:sz w:val="21"/>
                <w:szCs w:val="21"/>
                <w:highlight w:val="none"/>
                <w:lang w:val="en-US" w:eastAsia="zh-CN"/>
                <w14:textFill>
                  <w14:solidFill>
                    <w14:schemeClr w14:val="tx1"/>
                  </w14:solidFill>
                </w14:textFill>
              </w:rPr>
            </w:pPr>
            <w:r>
              <w:rPr>
                <w:rFonts w:hint="eastAsia" w:ascii="宋体" w:hAnsi="宋体"/>
                <w:bCs/>
                <w:color w:val="000000" w:themeColor="text1"/>
                <w:sz w:val="21"/>
                <w:szCs w:val="21"/>
                <w:highlight w:val="none"/>
                <w:lang w:eastAsia="zh-CN"/>
                <w14:textFill>
                  <w14:solidFill>
                    <w14:schemeClr w14:val="tx1"/>
                  </w14:solidFill>
                </w14:textFill>
              </w:rPr>
              <w:fldChar w:fldCharType="begin"/>
            </w:r>
            <w:r>
              <w:rPr>
                <w:rFonts w:hint="eastAsia" w:ascii="宋体" w:hAnsi="宋体"/>
                <w:bCs/>
                <w:color w:val="000000" w:themeColor="text1"/>
                <w:sz w:val="21"/>
                <w:szCs w:val="21"/>
                <w:highlight w:val="none"/>
                <w:lang w:eastAsia="zh-CN"/>
                <w14:textFill>
                  <w14:solidFill>
                    <w14:schemeClr w14:val="tx1"/>
                  </w14:solidFill>
                </w14:textFill>
              </w:rPr>
              <w:instrText xml:space="preserve">eq \o\ac(□,√)</w:instrText>
            </w:r>
            <w:r>
              <w:rPr>
                <w:rFonts w:hint="eastAsia" w:ascii="宋体" w:hAnsi="宋体"/>
                <w:bCs/>
                <w:color w:val="000000" w:themeColor="text1"/>
                <w:sz w:val="21"/>
                <w:szCs w:val="21"/>
                <w:highlight w:val="none"/>
                <w:lang w:eastAsia="zh-CN"/>
                <w14:textFill>
                  <w14:solidFill>
                    <w14:schemeClr w14:val="tx1"/>
                  </w14:solidFill>
                </w14:textFill>
              </w:rPr>
              <w:fldChar w:fldCharType="end"/>
            </w:r>
            <w:r>
              <w:rPr>
                <w:rFonts w:hint="eastAsia" w:ascii="宋体" w:hAnsi="宋体"/>
                <w:bCs/>
                <w:color w:val="000000" w:themeColor="text1"/>
                <w:sz w:val="21"/>
                <w:szCs w:val="21"/>
                <w:highlight w:val="none"/>
                <w:lang w:eastAsia="zh-CN"/>
                <w14:textFill>
                  <w14:solidFill>
                    <w14:schemeClr w14:val="tx1"/>
                  </w14:solidFill>
                </w14:textFill>
              </w:rPr>
              <w:t>不要求</w:t>
            </w:r>
          </w:p>
        </w:tc>
      </w:tr>
      <w:tr w14:paraId="2F9A69C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19" w:hRule="atLeast"/>
          <w:jc w:val="center"/>
        </w:trPr>
        <w:tc>
          <w:tcPr>
            <w:tcW w:w="995" w:type="dxa"/>
            <w:vAlign w:val="center"/>
          </w:tcPr>
          <w:p w14:paraId="2E57A5A0">
            <w:pPr>
              <w:keepNext w:val="0"/>
              <w:keepLines w:val="0"/>
              <w:pageBreakBefore w:val="0"/>
              <w:widowControl w:val="0"/>
              <w:kinsoku/>
              <w:wordWrap w:val="0"/>
              <w:overflowPunct/>
              <w:topLinePunct w:val="0"/>
              <w:autoSpaceDE/>
              <w:autoSpaceDN/>
              <w:bidi w:val="0"/>
              <w:adjustRightInd w:val="0"/>
              <w:spacing w:line="440" w:lineRule="exact"/>
              <w:jc w:val="center"/>
              <w:textAlignment w:val="auto"/>
              <w:outlineLvl w:val="9"/>
              <w:rPr>
                <w:rFonts w:hint="eastAsia"/>
                <w:color w:val="000000" w:themeColor="text1"/>
                <w:sz w:val="21"/>
                <w:szCs w:val="21"/>
                <w:highlight w:val="none"/>
                <w14:textFill>
                  <w14:solidFill>
                    <w14:schemeClr w14:val="tx1"/>
                  </w14:solidFill>
                </w14:textFill>
              </w:rPr>
            </w:pPr>
            <w:r>
              <w:rPr>
                <w:rFonts w:hint="eastAsia" w:ascii="Times New Roman" w:hAnsi="Times New Roman" w:eastAsia="宋体" w:cs="Times New Roman"/>
                <w:color w:val="000000" w:themeColor="text1"/>
                <w:highlight w:val="none"/>
                <w:lang w:val="zh-CN" w:eastAsia="zh-CN"/>
                <w14:textFill>
                  <w14:solidFill>
                    <w14:schemeClr w14:val="tx1"/>
                  </w14:solidFill>
                </w14:textFill>
              </w:rPr>
              <w:t>3.4.4</w:t>
            </w:r>
          </w:p>
        </w:tc>
        <w:tc>
          <w:tcPr>
            <w:tcW w:w="2095" w:type="dxa"/>
            <w:vAlign w:val="center"/>
          </w:tcPr>
          <w:p w14:paraId="32446B1A">
            <w:pPr>
              <w:keepNext w:val="0"/>
              <w:keepLines w:val="0"/>
              <w:pageBreakBefore w:val="0"/>
              <w:widowControl w:val="0"/>
              <w:kinsoku/>
              <w:wordWrap w:val="0"/>
              <w:overflowPunct/>
              <w:topLinePunct w:val="0"/>
              <w:autoSpaceDE/>
              <w:autoSpaceDN/>
              <w:bidi w:val="0"/>
              <w:spacing w:line="440" w:lineRule="exact"/>
              <w:jc w:val="center"/>
              <w:textAlignment w:val="auto"/>
              <w:outlineLvl w:val="9"/>
              <w:rPr>
                <w:rFonts w:hint="eastAsia"/>
                <w:color w:val="000000" w:themeColor="text1"/>
                <w:sz w:val="21"/>
                <w:szCs w:val="21"/>
                <w:highlight w:val="none"/>
                <w14:textFill>
                  <w14:solidFill>
                    <w14:schemeClr w14:val="tx1"/>
                  </w14:solidFill>
                </w14:textFill>
              </w:rPr>
            </w:pPr>
            <w:r>
              <w:rPr>
                <w:rFonts w:hint="eastAsia" w:ascii="宋体" w:hAnsi="宋体" w:eastAsia="宋体" w:cs="宋体"/>
                <w:bCs/>
                <w:color w:val="000000" w:themeColor="text1"/>
                <w:sz w:val="21"/>
                <w:szCs w:val="21"/>
                <w:highlight w:val="none"/>
                <w14:textFill>
                  <w14:solidFill>
                    <w14:schemeClr w14:val="tx1"/>
                  </w14:solidFill>
                </w14:textFill>
              </w:rPr>
              <w:t>其他可以不予退还</w:t>
            </w:r>
            <w:r>
              <w:rPr>
                <w:rFonts w:hint="eastAsia" w:ascii="宋体" w:hAnsi="宋体" w:eastAsia="宋体" w:cs="宋体"/>
                <w:bCs/>
                <w:color w:val="000000" w:themeColor="text1"/>
                <w:sz w:val="21"/>
                <w:szCs w:val="21"/>
                <w:highlight w:val="none"/>
                <w:lang w:eastAsia="zh-CN"/>
                <w14:textFill>
                  <w14:solidFill>
                    <w14:schemeClr w14:val="tx1"/>
                  </w14:solidFill>
                </w14:textFill>
              </w:rPr>
              <w:t>磋商保证金</w:t>
            </w:r>
            <w:r>
              <w:rPr>
                <w:rFonts w:hint="eastAsia" w:ascii="宋体" w:hAnsi="宋体" w:eastAsia="宋体" w:cs="宋体"/>
                <w:bCs/>
                <w:color w:val="000000" w:themeColor="text1"/>
                <w:sz w:val="21"/>
                <w:szCs w:val="21"/>
                <w:highlight w:val="none"/>
                <w14:textFill>
                  <w14:solidFill>
                    <w14:schemeClr w14:val="tx1"/>
                  </w14:solidFill>
                </w14:textFill>
              </w:rPr>
              <w:t>的情形</w:t>
            </w:r>
          </w:p>
        </w:tc>
        <w:tc>
          <w:tcPr>
            <w:tcW w:w="6675" w:type="dxa"/>
            <w:vAlign w:val="center"/>
          </w:tcPr>
          <w:p w14:paraId="49907F4C">
            <w:pPr>
              <w:pageBreakBefore w:val="0"/>
              <w:kinsoku/>
              <w:overflowPunct/>
              <w:topLinePunct w:val="0"/>
              <w:bidi w:val="0"/>
              <w:spacing w:line="288" w:lineRule="auto"/>
              <w:textAlignment w:val="auto"/>
              <w:outlineLvl w:val="9"/>
              <w:rPr>
                <w:rFonts w:hint="eastAsia" w:ascii="宋体" w:hAnsi="宋体" w:eastAsia="宋体" w:cs="宋体"/>
                <w:color w:val="000000" w:themeColor="text1"/>
                <w:sz w:val="21"/>
                <w:szCs w:val="21"/>
                <w:highlight w:val="none"/>
                <w:lang w:val="en-US" w:eastAsia="zh-CN"/>
                <w14:textFill>
                  <w14:solidFill>
                    <w14:schemeClr w14:val="tx1"/>
                  </w14:solidFill>
                </w14:textFill>
              </w:rPr>
            </w:pPr>
            <w:r>
              <w:rPr>
                <w:rFonts w:hint="eastAsia" w:ascii="宋体" w:hAnsi="宋体" w:eastAsia="宋体" w:cs="宋体"/>
                <w:color w:val="000000" w:themeColor="text1"/>
                <w:sz w:val="21"/>
                <w:szCs w:val="21"/>
                <w:highlight w:val="none"/>
                <w:lang w:val="en-US" w:eastAsia="zh-CN"/>
                <w14:textFill>
                  <w14:solidFill>
                    <w14:schemeClr w14:val="tx1"/>
                  </w14:solidFill>
                </w14:textFill>
              </w:rPr>
              <w:t>供应商在投标过程中借用他人资质，互相串通、结盟，伪造虚假业绩、人员、财务、履约情况等，或违反国家有关规定，损害招标的公正性和竞争性进行投标者。</w:t>
            </w:r>
          </w:p>
        </w:tc>
      </w:tr>
      <w:tr w14:paraId="37FD022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3" w:hRule="atLeast"/>
          <w:jc w:val="center"/>
        </w:trPr>
        <w:tc>
          <w:tcPr>
            <w:tcW w:w="995" w:type="dxa"/>
            <w:vAlign w:val="center"/>
          </w:tcPr>
          <w:p w14:paraId="19223A56">
            <w:pPr>
              <w:overflowPunct/>
              <w:bidi w:val="0"/>
              <w:spacing w:line="400" w:lineRule="exact"/>
              <w:jc w:val="center"/>
              <w:outlineLvl w:val="9"/>
              <w:rPr>
                <w:rFonts w:hint="eastAsia" w:eastAsia="宋体"/>
                <w:color w:val="000000" w:themeColor="text1"/>
                <w:highlight w:val="none"/>
                <w:lang w:val="en-US" w:eastAsia="zh-CN"/>
                <w14:textFill>
                  <w14:solidFill>
                    <w14:schemeClr w14:val="tx1"/>
                  </w14:solidFill>
                </w14:textFill>
              </w:rPr>
            </w:pPr>
            <w:r>
              <w:rPr>
                <w:rFonts w:hint="eastAsia"/>
                <w:color w:val="000000" w:themeColor="text1"/>
                <w:highlight w:val="none"/>
                <w14:textFill>
                  <w14:solidFill>
                    <w14:schemeClr w14:val="tx1"/>
                  </w14:solidFill>
                </w14:textFill>
              </w:rPr>
              <w:t>3.</w:t>
            </w:r>
            <w:r>
              <w:rPr>
                <w:rFonts w:hint="eastAsia"/>
                <w:color w:val="000000" w:themeColor="text1"/>
                <w:highlight w:val="none"/>
                <w:lang w:val="en-US" w:eastAsia="zh-CN"/>
                <w14:textFill>
                  <w14:solidFill>
                    <w14:schemeClr w14:val="tx1"/>
                  </w14:solidFill>
                </w14:textFill>
              </w:rPr>
              <w:t>4</w:t>
            </w:r>
            <w:r>
              <w:rPr>
                <w:rFonts w:hint="eastAsia"/>
                <w:color w:val="000000" w:themeColor="text1"/>
                <w:highlight w:val="none"/>
                <w14:textFill>
                  <w14:solidFill>
                    <w14:schemeClr w14:val="tx1"/>
                  </w14:solidFill>
                </w14:textFill>
              </w:rPr>
              <w:t>.</w:t>
            </w:r>
            <w:r>
              <w:rPr>
                <w:rFonts w:hint="eastAsia"/>
                <w:color w:val="000000" w:themeColor="text1"/>
                <w:highlight w:val="none"/>
                <w:lang w:val="en-US" w:eastAsia="zh-CN"/>
                <w14:textFill>
                  <w14:solidFill>
                    <w14:schemeClr w14:val="tx1"/>
                  </w14:solidFill>
                </w14:textFill>
              </w:rPr>
              <w:t>5</w:t>
            </w:r>
          </w:p>
        </w:tc>
        <w:tc>
          <w:tcPr>
            <w:tcW w:w="2095" w:type="dxa"/>
            <w:vAlign w:val="center"/>
          </w:tcPr>
          <w:p w14:paraId="07C469FF">
            <w:pPr>
              <w:keepNext w:val="0"/>
              <w:keepLines w:val="0"/>
              <w:pageBreakBefore w:val="0"/>
              <w:widowControl w:val="0"/>
              <w:kinsoku/>
              <w:wordWrap/>
              <w:overflowPunct/>
              <w:topLinePunct w:val="0"/>
              <w:autoSpaceDE/>
              <w:autoSpaceDN/>
              <w:bidi w:val="0"/>
              <w:adjustRightInd/>
              <w:snapToGrid/>
              <w:spacing w:line="0" w:lineRule="atLeast"/>
              <w:jc w:val="center"/>
              <w:textAlignment w:val="auto"/>
              <w:outlineLvl w:val="9"/>
              <w:rPr>
                <w:rFonts w:hint="eastAsia"/>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近年完成的类似项目的年份要求</w:t>
            </w:r>
          </w:p>
        </w:tc>
        <w:tc>
          <w:tcPr>
            <w:tcW w:w="6675" w:type="dxa"/>
            <w:vAlign w:val="center"/>
          </w:tcPr>
          <w:p w14:paraId="3DDC611A">
            <w:pPr>
              <w:pageBreakBefore w:val="0"/>
              <w:kinsoku/>
              <w:overflowPunct/>
              <w:topLinePunct w:val="0"/>
              <w:bidi w:val="0"/>
              <w:spacing w:line="288" w:lineRule="auto"/>
              <w:textAlignment w:val="auto"/>
              <w:outlineLvl w:val="9"/>
              <w:rPr>
                <w:rFonts w:hint="eastAsia" w:ascii="宋体" w:hAnsi="宋体" w:eastAsia="宋体" w:cs="宋体"/>
                <w:color w:val="000000" w:themeColor="text1"/>
                <w:sz w:val="21"/>
                <w:szCs w:val="21"/>
                <w:highlight w:val="none"/>
                <w:lang w:val="en-US" w:eastAsia="zh-CN"/>
                <w14:textFill>
                  <w14:solidFill>
                    <w14:schemeClr w14:val="tx1"/>
                  </w14:solidFill>
                </w14:textFill>
              </w:rPr>
            </w:pPr>
            <w:r>
              <w:rPr>
                <w:rFonts w:hint="eastAsia" w:ascii="宋体" w:hAnsi="宋体" w:eastAsia="宋体" w:cs="宋体"/>
                <w:color w:val="000000" w:themeColor="text1"/>
                <w:sz w:val="21"/>
                <w:szCs w:val="21"/>
                <w:highlight w:val="none"/>
                <w:lang w:val="en-US" w:eastAsia="zh-CN"/>
                <w14:textFill>
                  <w14:solidFill>
                    <w14:schemeClr w14:val="tx1"/>
                  </w14:solidFill>
                </w14:textFill>
              </w:rPr>
              <w:t>202</w:t>
            </w:r>
            <w:r>
              <w:rPr>
                <w:rFonts w:hint="eastAsia" w:ascii="宋体" w:hAnsi="宋体" w:cs="宋体"/>
                <w:color w:val="000000" w:themeColor="text1"/>
                <w:sz w:val="21"/>
                <w:szCs w:val="21"/>
                <w:highlight w:val="none"/>
                <w:lang w:val="en-US" w:eastAsia="zh-CN"/>
                <w14:textFill>
                  <w14:solidFill>
                    <w14:schemeClr w14:val="tx1"/>
                  </w14:solidFill>
                </w14:textFill>
              </w:rPr>
              <w:t>2</w:t>
            </w:r>
            <w:r>
              <w:rPr>
                <w:rFonts w:hint="eastAsia" w:ascii="宋体" w:hAnsi="宋体" w:eastAsia="宋体" w:cs="宋体"/>
                <w:color w:val="000000" w:themeColor="text1"/>
                <w:sz w:val="21"/>
                <w:szCs w:val="21"/>
                <w:highlight w:val="none"/>
                <w:lang w:val="en-US" w:eastAsia="zh-CN"/>
                <w14:textFill>
                  <w14:solidFill>
                    <w14:schemeClr w14:val="tx1"/>
                  </w14:solidFill>
                </w14:textFill>
              </w:rPr>
              <w:t>年1月1日至磋商公告发布之日止。</w:t>
            </w:r>
          </w:p>
        </w:tc>
      </w:tr>
      <w:tr w14:paraId="4879E4A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9" w:hRule="atLeast"/>
          <w:jc w:val="center"/>
        </w:trPr>
        <w:tc>
          <w:tcPr>
            <w:tcW w:w="995" w:type="dxa"/>
            <w:vAlign w:val="center"/>
          </w:tcPr>
          <w:p w14:paraId="783FBFDF">
            <w:pPr>
              <w:overflowPunct/>
              <w:bidi w:val="0"/>
              <w:spacing w:line="400" w:lineRule="exact"/>
              <w:jc w:val="center"/>
              <w:outlineLvl w:val="9"/>
              <w:rPr>
                <w:rFonts w:hint="eastAsia" w:eastAsia="宋体"/>
                <w:color w:val="000000" w:themeColor="text1"/>
                <w:highlight w:val="none"/>
                <w:lang w:eastAsia="zh-CN"/>
                <w14:textFill>
                  <w14:solidFill>
                    <w14:schemeClr w14:val="tx1"/>
                  </w14:solidFill>
                </w14:textFill>
              </w:rPr>
            </w:pPr>
            <w:r>
              <w:rPr>
                <w:rFonts w:hint="eastAsia"/>
                <w:color w:val="000000" w:themeColor="text1"/>
                <w:highlight w:val="none"/>
                <w14:textFill>
                  <w14:solidFill>
                    <w14:schemeClr w14:val="tx1"/>
                  </w14:solidFill>
                </w14:textFill>
              </w:rPr>
              <w:t>3.</w:t>
            </w:r>
            <w:r>
              <w:rPr>
                <w:rFonts w:hint="eastAsia"/>
                <w:color w:val="000000" w:themeColor="text1"/>
                <w:highlight w:val="none"/>
                <w:lang w:val="en-US" w:eastAsia="zh-CN"/>
                <w14:textFill>
                  <w14:solidFill>
                    <w14:schemeClr w14:val="tx1"/>
                  </w14:solidFill>
                </w14:textFill>
              </w:rPr>
              <w:t>5</w:t>
            </w:r>
          </w:p>
        </w:tc>
        <w:tc>
          <w:tcPr>
            <w:tcW w:w="2095" w:type="dxa"/>
            <w:vAlign w:val="center"/>
          </w:tcPr>
          <w:p w14:paraId="752E1E88">
            <w:pPr>
              <w:keepNext w:val="0"/>
              <w:keepLines w:val="0"/>
              <w:pageBreakBefore w:val="0"/>
              <w:widowControl w:val="0"/>
              <w:kinsoku/>
              <w:wordWrap/>
              <w:overflowPunct/>
              <w:topLinePunct w:val="0"/>
              <w:autoSpaceDE/>
              <w:autoSpaceDN/>
              <w:bidi w:val="0"/>
              <w:adjustRightInd/>
              <w:snapToGrid/>
              <w:spacing w:line="0" w:lineRule="atLeast"/>
              <w:jc w:val="center"/>
              <w:textAlignment w:val="auto"/>
              <w:outlineLvl w:val="9"/>
              <w:rPr>
                <w:rFonts w:hint="eastAsia"/>
                <w:color w:val="000000" w:themeColor="text1"/>
                <w:highlight w:val="none"/>
                <w14:textFill>
                  <w14:solidFill>
                    <w14:schemeClr w14:val="tx1"/>
                  </w14:solidFill>
                </w14:textFill>
              </w:rPr>
            </w:pPr>
            <w:r>
              <w:rPr>
                <w:rFonts w:hint="eastAsia"/>
                <w:color w:val="000000" w:themeColor="text1"/>
                <w:spacing w:val="-11"/>
                <w:highlight w:val="none"/>
                <w14:textFill>
                  <w14:solidFill>
                    <w14:schemeClr w14:val="tx1"/>
                  </w14:solidFill>
                </w14:textFill>
              </w:rPr>
              <w:t>是否允许递交备选投标方案</w:t>
            </w:r>
          </w:p>
        </w:tc>
        <w:tc>
          <w:tcPr>
            <w:tcW w:w="6675" w:type="dxa"/>
            <w:vAlign w:val="center"/>
          </w:tcPr>
          <w:p w14:paraId="5D3A625D">
            <w:pPr>
              <w:overflowPunct/>
              <w:bidi w:val="0"/>
              <w:spacing w:line="400" w:lineRule="exact"/>
              <w:outlineLvl w:val="9"/>
              <w:rPr>
                <w:rFonts w:ascii="宋体" w:hAnsi="宋体"/>
                <w:color w:val="000000" w:themeColor="text1"/>
                <w:szCs w:val="21"/>
                <w:highlight w:val="none"/>
                <w14:textFill>
                  <w14:solidFill>
                    <w14:schemeClr w14:val="tx1"/>
                  </w14:solidFill>
                </w14:textFill>
              </w:rPr>
            </w:pPr>
            <w:r>
              <w:rPr>
                <w:rFonts w:hint="eastAsia" w:ascii="宋体" w:hAnsi="宋体"/>
                <w:color w:val="000000" w:themeColor="text1"/>
                <w:szCs w:val="21"/>
                <w:highlight w:val="none"/>
                <w14:textFill>
                  <w14:solidFill>
                    <w14:schemeClr w14:val="tx1"/>
                  </w14:solidFill>
                </w14:textFill>
              </w:rPr>
              <w:t>不允许</w:t>
            </w:r>
          </w:p>
        </w:tc>
      </w:tr>
      <w:tr w14:paraId="08CD8B5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jc w:val="center"/>
        </w:trPr>
        <w:tc>
          <w:tcPr>
            <w:tcW w:w="995" w:type="dxa"/>
            <w:vAlign w:val="center"/>
          </w:tcPr>
          <w:p w14:paraId="356FD018">
            <w:pPr>
              <w:overflowPunct/>
              <w:bidi w:val="0"/>
              <w:spacing w:line="400" w:lineRule="exact"/>
              <w:jc w:val="center"/>
              <w:outlineLvl w:val="9"/>
              <w:rPr>
                <w:rFonts w:hint="eastAsia" w:ascii="Times New Roman" w:hAnsi="Times New Roman" w:eastAsia="宋体" w:cs="Times New Roman"/>
                <w:color w:val="000000" w:themeColor="text1"/>
                <w:highlight w:val="none"/>
                <w:lang w:eastAsia="zh-CN"/>
                <w14:textFill>
                  <w14:solidFill>
                    <w14:schemeClr w14:val="tx1"/>
                  </w14:solidFill>
                </w14:textFill>
              </w:rPr>
            </w:pPr>
            <w:r>
              <w:rPr>
                <w:rFonts w:hint="eastAsia" w:ascii="Times New Roman" w:hAnsi="Times New Roman" w:eastAsia="宋体" w:cs="Times New Roman"/>
                <w:color w:val="000000" w:themeColor="text1"/>
                <w:highlight w:val="none"/>
                <w:lang w:val="zh-CN"/>
                <w14:textFill>
                  <w14:solidFill>
                    <w14:schemeClr w14:val="tx1"/>
                  </w14:solidFill>
                </w14:textFill>
              </w:rPr>
              <w:t>3.</w:t>
            </w:r>
            <w:r>
              <w:rPr>
                <w:rFonts w:hint="eastAsia" w:cs="Times New Roman"/>
                <w:color w:val="000000" w:themeColor="text1"/>
                <w:highlight w:val="none"/>
                <w:lang w:val="en-US" w:eastAsia="zh-CN"/>
                <w14:textFill>
                  <w14:solidFill>
                    <w14:schemeClr w14:val="tx1"/>
                  </w14:solidFill>
                </w14:textFill>
              </w:rPr>
              <w:t>6</w:t>
            </w:r>
            <w:r>
              <w:rPr>
                <w:rFonts w:hint="eastAsia" w:ascii="Times New Roman" w:hAnsi="Times New Roman" w:eastAsia="宋体" w:cs="Times New Roman"/>
                <w:color w:val="000000" w:themeColor="text1"/>
                <w:highlight w:val="none"/>
                <w:lang w:val="zh-CN"/>
                <w14:textFill>
                  <w14:solidFill>
                    <w14:schemeClr w14:val="tx1"/>
                  </w14:solidFill>
                </w14:textFill>
              </w:rPr>
              <w:t>.</w:t>
            </w:r>
            <w:r>
              <w:rPr>
                <w:rFonts w:hint="eastAsia" w:cs="Times New Roman"/>
                <w:color w:val="000000" w:themeColor="text1"/>
                <w:highlight w:val="none"/>
                <w:lang w:val="en-US" w:eastAsia="zh-CN"/>
                <w14:textFill>
                  <w14:solidFill>
                    <w14:schemeClr w14:val="tx1"/>
                  </w14:solidFill>
                </w14:textFill>
              </w:rPr>
              <w:t>4</w:t>
            </w:r>
          </w:p>
        </w:tc>
        <w:tc>
          <w:tcPr>
            <w:tcW w:w="2095" w:type="dxa"/>
            <w:vAlign w:val="center"/>
          </w:tcPr>
          <w:p w14:paraId="12D2867E">
            <w:pPr>
              <w:overflowPunct/>
              <w:bidi w:val="0"/>
              <w:spacing w:line="400" w:lineRule="exact"/>
              <w:jc w:val="center"/>
              <w:outlineLvl w:val="9"/>
              <w:rPr>
                <w:rFonts w:hint="eastAsia" w:ascii="Times New Roman" w:hAnsi="Times New Roman" w:eastAsia="宋体" w:cs="Times New Roman"/>
                <w:color w:val="000000" w:themeColor="text1"/>
                <w:highlight w:val="none"/>
                <w14:textFill>
                  <w14:solidFill>
                    <w14:schemeClr w14:val="tx1"/>
                  </w14:solidFill>
                </w14:textFill>
              </w:rPr>
            </w:pPr>
            <w:r>
              <w:rPr>
                <w:rFonts w:hint="eastAsia" w:ascii="Times New Roman" w:hAnsi="Times New Roman" w:eastAsia="宋体" w:cs="Times New Roman"/>
                <w:color w:val="000000" w:themeColor="text1"/>
                <w:highlight w:val="none"/>
                <w:lang w:val="zh-CN"/>
                <w14:textFill>
                  <w14:solidFill>
                    <w14:schemeClr w14:val="tx1"/>
                  </w14:solidFill>
                </w14:textFill>
              </w:rPr>
              <w:t>响应文件的补充递交</w:t>
            </w:r>
          </w:p>
        </w:tc>
        <w:tc>
          <w:tcPr>
            <w:tcW w:w="6675" w:type="dxa"/>
            <w:vAlign w:val="center"/>
          </w:tcPr>
          <w:p w14:paraId="066DEAF4">
            <w:pPr>
              <w:pageBreakBefore w:val="0"/>
              <w:kinsoku/>
              <w:overflowPunct/>
              <w:topLinePunct w:val="0"/>
              <w:bidi w:val="0"/>
              <w:spacing w:line="288" w:lineRule="auto"/>
              <w:textAlignment w:val="auto"/>
              <w:outlineLvl w:val="9"/>
              <w:rPr>
                <w:rFonts w:hint="eastAsia" w:ascii="宋体" w:hAnsi="宋体" w:eastAsia="宋体" w:cs="宋体"/>
                <w:color w:val="000000" w:themeColor="text1"/>
                <w:sz w:val="21"/>
                <w:szCs w:val="21"/>
                <w:highlight w:val="none"/>
                <w:lang w:val="en-US" w:eastAsia="zh-CN"/>
                <w14:textFill>
                  <w14:solidFill>
                    <w14:schemeClr w14:val="tx1"/>
                  </w14:solidFill>
                </w14:textFill>
              </w:rPr>
            </w:pPr>
            <w:r>
              <w:rPr>
                <w:rFonts w:hint="eastAsia" w:ascii="宋体" w:hAnsi="宋体" w:cs="宋体"/>
                <w:color w:val="000000" w:themeColor="text1"/>
                <w:sz w:val="21"/>
                <w:szCs w:val="21"/>
                <w:highlight w:val="none"/>
                <w:lang w:val="en-US" w:eastAsia="zh-CN"/>
                <w14:textFill>
                  <w14:solidFill>
                    <w14:schemeClr w14:val="tx1"/>
                  </w14:solidFill>
                </w14:textFill>
              </w:rPr>
              <w:t>投标时间截止后三个工作日内将</w:t>
            </w:r>
            <w:r>
              <w:rPr>
                <w:rFonts w:hint="eastAsia" w:ascii="宋体" w:hAnsi="宋体" w:eastAsia="宋体" w:cs="宋体"/>
                <w:color w:val="000000" w:themeColor="text1"/>
                <w:sz w:val="21"/>
                <w:szCs w:val="21"/>
                <w:highlight w:val="none"/>
                <w:lang w:val="en-US" w:eastAsia="zh-CN"/>
                <w14:textFill>
                  <w14:solidFill>
                    <w14:schemeClr w14:val="tx1"/>
                  </w14:solidFill>
                </w14:textFill>
              </w:rPr>
              <w:t>纸质版投标文件送</w:t>
            </w:r>
            <w:r>
              <w:rPr>
                <w:rFonts w:hint="eastAsia" w:ascii="宋体" w:hAnsi="宋体" w:cs="宋体"/>
                <w:color w:val="000000" w:themeColor="text1"/>
                <w:sz w:val="21"/>
                <w:szCs w:val="21"/>
                <w:highlight w:val="none"/>
                <w:lang w:val="en-US" w:eastAsia="zh-CN"/>
                <w14:textFill>
                  <w14:solidFill>
                    <w14:schemeClr w14:val="tx1"/>
                  </w14:solidFill>
                </w14:textFill>
              </w:rPr>
              <w:t>至</w:t>
            </w:r>
            <w:r>
              <w:rPr>
                <w:rFonts w:hint="eastAsia" w:ascii="宋体" w:hAnsi="宋体" w:eastAsia="宋体" w:cs="宋体"/>
                <w:color w:val="000000" w:themeColor="text1"/>
                <w:sz w:val="21"/>
                <w:szCs w:val="21"/>
                <w:highlight w:val="none"/>
                <w:lang w:val="en-US" w:eastAsia="zh-CN"/>
                <w14:textFill>
                  <w14:solidFill>
                    <w14:schemeClr w14:val="tx1"/>
                  </w14:solidFill>
                </w14:textFill>
              </w:rPr>
              <w:t>代理机构</w:t>
            </w:r>
          </w:p>
          <w:p w14:paraId="5FD43AD1">
            <w:pPr>
              <w:pageBreakBefore w:val="0"/>
              <w:kinsoku/>
              <w:overflowPunct/>
              <w:topLinePunct w:val="0"/>
              <w:bidi w:val="0"/>
              <w:spacing w:line="288" w:lineRule="auto"/>
              <w:textAlignment w:val="auto"/>
              <w:outlineLvl w:val="9"/>
              <w:rPr>
                <w:rFonts w:hint="eastAsia" w:ascii="宋体" w:hAnsi="宋体" w:eastAsia="宋体" w:cs="宋体"/>
                <w:color w:val="000000" w:themeColor="text1"/>
                <w:sz w:val="21"/>
                <w:szCs w:val="21"/>
                <w:highlight w:val="none"/>
                <w:lang w:val="en-US" w:eastAsia="zh-CN"/>
                <w14:textFill>
                  <w14:solidFill>
                    <w14:schemeClr w14:val="tx1"/>
                  </w14:solidFill>
                </w14:textFill>
              </w:rPr>
            </w:pPr>
            <w:r>
              <w:rPr>
                <w:rFonts w:hint="eastAsia" w:ascii="宋体" w:hAnsi="宋体" w:eastAsia="宋体" w:cs="宋体"/>
                <w:color w:val="000000" w:themeColor="text1"/>
                <w:sz w:val="21"/>
                <w:szCs w:val="21"/>
                <w:highlight w:val="none"/>
                <w:lang w:val="en-US" w:eastAsia="zh-CN"/>
                <w14:textFill>
                  <w14:solidFill>
                    <w14:schemeClr w14:val="tx1"/>
                  </w14:solidFill>
                </w14:textFill>
              </w:rPr>
              <w:t>1、份数要求：</w:t>
            </w:r>
          </w:p>
          <w:p w14:paraId="7B9459B3">
            <w:pPr>
              <w:pageBreakBefore w:val="0"/>
              <w:kinsoku/>
              <w:overflowPunct/>
              <w:topLinePunct w:val="0"/>
              <w:bidi w:val="0"/>
              <w:spacing w:line="288" w:lineRule="auto"/>
              <w:textAlignment w:val="auto"/>
              <w:outlineLvl w:val="9"/>
              <w:rPr>
                <w:rFonts w:hint="eastAsia" w:ascii="宋体" w:hAnsi="宋体" w:eastAsia="宋体" w:cs="宋体"/>
                <w:color w:val="000000" w:themeColor="text1"/>
                <w:sz w:val="21"/>
                <w:szCs w:val="21"/>
                <w:highlight w:val="none"/>
                <w:lang w:val="en-US" w:eastAsia="zh-CN"/>
                <w14:textFill>
                  <w14:solidFill>
                    <w14:schemeClr w14:val="tx1"/>
                  </w14:solidFill>
                </w14:textFill>
              </w:rPr>
            </w:pPr>
            <w:r>
              <w:rPr>
                <w:rFonts w:hint="eastAsia" w:ascii="宋体" w:hAnsi="宋体" w:eastAsia="宋体" w:cs="宋体"/>
                <w:color w:val="000000" w:themeColor="text1"/>
                <w:sz w:val="21"/>
                <w:szCs w:val="21"/>
                <w:highlight w:val="none"/>
                <w:lang w:val="en-US" w:eastAsia="zh-CN"/>
                <w14:textFill>
                  <w14:solidFill>
                    <w14:schemeClr w14:val="tx1"/>
                  </w14:solidFill>
                </w14:textFill>
              </w:rPr>
              <w:t>正本1份，副本3份，同时提供电子文件U盘2份（PDF为最终上传到政采云系统的签字盖章版本，WORD为投标文件可编辑版本），提交电子文件中要求的内容应包括纸质投标文件的全部内容。</w:t>
            </w:r>
          </w:p>
          <w:p w14:paraId="3689F6DE">
            <w:pPr>
              <w:pageBreakBefore w:val="0"/>
              <w:kinsoku/>
              <w:overflowPunct/>
              <w:topLinePunct w:val="0"/>
              <w:bidi w:val="0"/>
              <w:spacing w:line="288" w:lineRule="auto"/>
              <w:textAlignment w:val="auto"/>
              <w:outlineLvl w:val="9"/>
              <w:rPr>
                <w:rFonts w:hint="eastAsia" w:ascii="宋体" w:hAnsi="宋体" w:eastAsia="宋体" w:cs="宋体"/>
                <w:color w:val="000000" w:themeColor="text1"/>
                <w:sz w:val="21"/>
                <w:szCs w:val="21"/>
                <w:highlight w:val="none"/>
                <w:lang w:val="en-US" w:eastAsia="zh-CN"/>
                <w14:textFill>
                  <w14:solidFill>
                    <w14:schemeClr w14:val="tx1"/>
                  </w14:solidFill>
                </w14:textFill>
              </w:rPr>
            </w:pPr>
            <w:r>
              <w:rPr>
                <w:rFonts w:hint="eastAsia" w:ascii="宋体" w:hAnsi="宋体" w:eastAsia="宋体" w:cs="宋体"/>
                <w:color w:val="000000" w:themeColor="text1"/>
                <w:sz w:val="21"/>
                <w:szCs w:val="21"/>
                <w:highlight w:val="none"/>
                <w:lang w:val="en-US" w:eastAsia="zh-CN"/>
                <w14:textFill>
                  <w14:solidFill>
                    <w14:schemeClr w14:val="tx1"/>
                  </w14:solidFill>
                </w14:textFill>
              </w:rPr>
              <w:t>2、其他要求：</w:t>
            </w:r>
          </w:p>
          <w:p w14:paraId="30DA6D7B">
            <w:pPr>
              <w:pageBreakBefore w:val="0"/>
              <w:kinsoku/>
              <w:overflowPunct/>
              <w:topLinePunct w:val="0"/>
              <w:bidi w:val="0"/>
              <w:spacing w:line="288" w:lineRule="auto"/>
              <w:textAlignment w:val="auto"/>
              <w:outlineLvl w:val="9"/>
              <w:rPr>
                <w:rFonts w:hint="eastAsia" w:ascii="宋体" w:hAnsi="宋体" w:eastAsia="宋体" w:cs="宋体"/>
                <w:color w:val="000000" w:themeColor="text1"/>
                <w:sz w:val="21"/>
                <w:szCs w:val="21"/>
                <w:highlight w:val="none"/>
                <w:lang w:val="en-US" w:eastAsia="zh-CN"/>
                <w14:textFill>
                  <w14:solidFill>
                    <w14:schemeClr w14:val="tx1"/>
                  </w14:solidFill>
                </w14:textFill>
              </w:rPr>
            </w:pPr>
            <w:r>
              <w:rPr>
                <w:rFonts w:hint="eastAsia" w:ascii="宋体" w:hAnsi="宋体" w:eastAsia="宋体" w:cs="宋体"/>
                <w:color w:val="000000" w:themeColor="text1"/>
                <w:sz w:val="21"/>
                <w:szCs w:val="21"/>
                <w:highlight w:val="none"/>
                <w:lang w:val="en-US" w:eastAsia="zh-CN"/>
                <w14:textFill>
                  <w14:solidFill>
                    <w14:schemeClr w14:val="tx1"/>
                  </w14:solidFill>
                </w14:textFill>
              </w:rPr>
              <w:t>（1）投标单位在“政采云”平台（http：//www.zcygov.cn）上制作投标文件1份（此投标文件须上传至“政采云”平台）。</w:t>
            </w:r>
          </w:p>
          <w:p w14:paraId="20067B35">
            <w:pPr>
              <w:pageBreakBefore w:val="0"/>
              <w:kinsoku/>
              <w:overflowPunct/>
              <w:topLinePunct w:val="0"/>
              <w:bidi w:val="0"/>
              <w:spacing w:line="288" w:lineRule="auto"/>
              <w:textAlignment w:val="auto"/>
              <w:outlineLvl w:val="9"/>
              <w:rPr>
                <w:rFonts w:hint="eastAsia" w:ascii="宋体" w:hAnsi="宋体" w:eastAsia="宋体" w:cs="宋体"/>
                <w:color w:val="000000" w:themeColor="text1"/>
                <w:sz w:val="21"/>
                <w:szCs w:val="21"/>
                <w:highlight w:val="none"/>
                <w:lang w:val="en-US" w:eastAsia="zh-CN"/>
                <w14:textFill>
                  <w14:solidFill>
                    <w14:schemeClr w14:val="tx1"/>
                  </w14:solidFill>
                </w14:textFill>
              </w:rPr>
            </w:pPr>
            <w:r>
              <w:rPr>
                <w:rFonts w:hint="eastAsia" w:ascii="宋体" w:hAnsi="宋体" w:eastAsia="宋体" w:cs="宋体"/>
                <w:color w:val="000000" w:themeColor="text1"/>
                <w:sz w:val="21"/>
                <w:szCs w:val="21"/>
                <w:highlight w:val="none"/>
                <w:lang w:val="en-US" w:eastAsia="zh-CN"/>
                <w14:textFill>
                  <w14:solidFill>
                    <w14:schemeClr w14:val="tx1"/>
                  </w14:solidFill>
                </w14:textFill>
              </w:rPr>
              <w:t>（2）投标单位在制作投标文件时，电子投标文件与纸质版本投标文件均以“政采云”平台的投标文件格式为准，投标单位上传至“政采云”平台的电子投标文件内容，在纸质投标文件中均应体现。</w:t>
            </w:r>
          </w:p>
          <w:p w14:paraId="70804915">
            <w:pPr>
              <w:pageBreakBefore w:val="0"/>
              <w:kinsoku/>
              <w:overflowPunct/>
              <w:topLinePunct w:val="0"/>
              <w:bidi w:val="0"/>
              <w:spacing w:line="288" w:lineRule="auto"/>
              <w:textAlignment w:val="auto"/>
              <w:outlineLvl w:val="9"/>
              <w:rPr>
                <w:rFonts w:hint="eastAsia" w:ascii="宋体" w:hAnsi="宋体" w:eastAsia="宋体" w:cs="宋体"/>
                <w:color w:val="000000" w:themeColor="text1"/>
                <w:sz w:val="21"/>
                <w:szCs w:val="21"/>
                <w:highlight w:val="none"/>
                <w:lang w:val="en-US" w:eastAsia="zh-CN"/>
                <w14:textFill>
                  <w14:solidFill>
                    <w14:schemeClr w14:val="tx1"/>
                  </w14:solidFill>
                </w14:textFill>
              </w:rPr>
            </w:pPr>
            <w:r>
              <w:rPr>
                <w:rFonts w:hint="eastAsia" w:ascii="宋体" w:hAnsi="宋体" w:eastAsia="宋体" w:cs="宋体"/>
                <w:color w:val="000000" w:themeColor="text1"/>
                <w:sz w:val="21"/>
                <w:szCs w:val="21"/>
                <w:highlight w:val="none"/>
                <w:lang w:val="en-US" w:eastAsia="zh-CN"/>
                <w14:textFill>
                  <w14:solidFill>
                    <w14:schemeClr w14:val="tx1"/>
                  </w14:solidFill>
                </w14:textFill>
              </w:rPr>
              <w:t>3、递交要求，响应文件电子版内容：</w:t>
            </w:r>
          </w:p>
          <w:p w14:paraId="196695E5">
            <w:pPr>
              <w:pageBreakBefore w:val="0"/>
              <w:kinsoku/>
              <w:overflowPunct/>
              <w:topLinePunct w:val="0"/>
              <w:bidi w:val="0"/>
              <w:spacing w:line="288" w:lineRule="auto"/>
              <w:textAlignment w:val="auto"/>
              <w:outlineLvl w:val="9"/>
              <w:rPr>
                <w:rFonts w:hint="eastAsia" w:ascii="宋体" w:hAnsi="宋体" w:eastAsia="宋体" w:cs="宋体"/>
                <w:color w:val="000000" w:themeColor="text1"/>
                <w:sz w:val="21"/>
                <w:szCs w:val="21"/>
                <w:highlight w:val="none"/>
                <w:lang w:val="en-US" w:eastAsia="zh-CN"/>
                <w14:textFill>
                  <w14:solidFill>
                    <w14:schemeClr w14:val="tx1"/>
                  </w14:solidFill>
                </w14:textFill>
              </w:rPr>
            </w:pPr>
            <w:r>
              <w:rPr>
                <w:rFonts w:hint="eastAsia" w:ascii="宋体" w:hAnsi="宋体" w:eastAsia="宋体" w:cs="宋体"/>
                <w:color w:val="000000" w:themeColor="text1"/>
                <w:sz w:val="21"/>
                <w:szCs w:val="21"/>
                <w:highlight w:val="none"/>
                <w:lang w:val="en-US" w:eastAsia="zh-CN"/>
                <w14:textFill>
                  <w14:solidFill>
                    <w14:schemeClr w14:val="tx1"/>
                  </w14:solidFill>
                </w14:textFill>
              </w:rPr>
              <w:t>响应文件全部内容（PDF版本和Word版本，PDF为最终上传到政采云系统的签字盖章版本，WORD为响应文件可编辑版本，同时清单报价提供excel版和软件版两种格式）。</w:t>
            </w:r>
          </w:p>
          <w:p w14:paraId="06F1BD90">
            <w:pPr>
              <w:pageBreakBefore w:val="0"/>
              <w:kinsoku/>
              <w:overflowPunct/>
              <w:topLinePunct w:val="0"/>
              <w:bidi w:val="0"/>
              <w:spacing w:line="288" w:lineRule="auto"/>
              <w:textAlignment w:val="auto"/>
              <w:outlineLvl w:val="9"/>
              <w:rPr>
                <w:rFonts w:hint="eastAsia" w:ascii="宋体" w:hAnsi="宋体" w:eastAsia="宋体" w:cs="宋体"/>
                <w:color w:val="000000" w:themeColor="text1"/>
                <w:sz w:val="21"/>
                <w:szCs w:val="21"/>
                <w:highlight w:val="none"/>
                <w:lang w:val="en-US" w:eastAsia="zh-CN"/>
                <w14:textFill>
                  <w14:solidFill>
                    <w14:schemeClr w14:val="tx1"/>
                  </w14:solidFill>
                </w14:textFill>
              </w:rPr>
            </w:pPr>
            <w:r>
              <w:rPr>
                <w:rFonts w:hint="eastAsia" w:ascii="宋体" w:hAnsi="宋体" w:eastAsia="宋体" w:cs="宋体"/>
                <w:color w:val="000000" w:themeColor="text1"/>
                <w:sz w:val="21"/>
                <w:szCs w:val="21"/>
                <w:highlight w:val="none"/>
                <w:lang w:val="en-US" w:eastAsia="zh-CN"/>
                <w14:textFill>
                  <w14:solidFill>
                    <w14:schemeClr w14:val="tx1"/>
                  </w14:solidFill>
                </w14:textFill>
              </w:rPr>
              <w:t>响应文件电子版份数： 2份</w:t>
            </w:r>
          </w:p>
          <w:p w14:paraId="4452329D">
            <w:pPr>
              <w:pageBreakBefore w:val="0"/>
              <w:kinsoku/>
              <w:overflowPunct/>
              <w:topLinePunct w:val="0"/>
              <w:bidi w:val="0"/>
              <w:spacing w:line="288" w:lineRule="auto"/>
              <w:textAlignment w:val="auto"/>
              <w:outlineLvl w:val="9"/>
              <w:rPr>
                <w:rFonts w:hint="eastAsia" w:ascii="宋体" w:hAnsi="宋体" w:eastAsia="宋体" w:cs="宋体"/>
                <w:color w:val="000000" w:themeColor="text1"/>
                <w:sz w:val="21"/>
                <w:szCs w:val="21"/>
                <w:highlight w:val="none"/>
                <w:lang w:val="en-US" w:eastAsia="zh-CN"/>
                <w14:textFill>
                  <w14:solidFill>
                    <w14:schemeClr w14:val="tx1"/>
                  </w14:solidFill>
                </w14:textFill>
              </w:rPr>
            </w:pPr>
            <w:r>
              <w:rPr>
                <w:rFonts w:hint="eastAsia" w:ascii="宋体" w:hAnsi="宋体" w:eastAsia="宋体" w:cs="宋体"/>
                <w:color w:val="000000" w:themeColor="text1"/>
                <w:sz w:val="21"/>
                <w:szCs w:val="21"/>
                <w:highlight w:val="none"/>
                <w:lang w:val="en-US" w:eastAsia="zh-CN"/>
                <w14:textFill>
                  <w14:solidFill>
                    <w14:schemeClr w14:val="tx1"/>
                  </w14:solidFill>
                </w14:textFill>
              </w:rPr>
              <w:t>响应文件电子版形式： U盘</w:t>
            </w:r>
          </w:p>
          <w:p w14:paraId="58E573E8">
            <w:pPr>
              <w:pageBreakBefore w:val="0"/>
              <w:kinsoku/>
              <w:overflowPunct/>
              <w:topLinePunct w:val="0"/>
              <w:bidi w:val="0"/>
              <w:spacing w:line="288" w:lineRule="auto"/>
              <w:textAlignment w:val="auto"/>
              <w:outlineLvl w:val="9"/>
              <w:rPr>
                <w:rFonts w:hint="default" w:ascii="宋体" w:hAnsi="宋体" w:eastAsia="宋体" w:cs="宋体"/>
                <w:color w:val="000000" w:themeColor="text1"/>
                <w:sz w:val="21"/>
                <w:szCs w:val="21"/>
                <w:highlight w:val="none"/>
                <w:lang w:val="en-US" w:eastAsia="zh-CN"/>
                <w14:textFill>
                  <w14:solidFill>
                    <w14:schemeClr w14:val="tx1"/>
                  </w14:solidFill>
                </w14:textFill>
              </w:rPr>
            </w:pPr>
            <w:r>
              <w:rPr>
                <w:rFonts w:hint="eastAsia" w:ascii="宋体" w:hAnsi="宋体" w:eastAsia="宋体" w:cs="宋体"/>
                <w:color w:val="000000" w:themeColor="text1"/>
                <w:sz w:val="21"/>
                <w:szCs w:val="21"/>
                <w:highlight w:val="none"/>
                <w:lang w:val="en-US" w:eastAsia="zh-CN"/>
                <w14:textFill>
                  <w14:solidFill>
                    <w14:schemeClr w14:val="tx1"/>
                  </w14:solidFill>
                </w14:textFill>
              </w:rPr>
              <w:t>响应文件电子版密封方式：单独放入一个密封袋中，加贴封条，并在封套封口处加盖申请人单位章，在封套上标记“响应文件电子版”字样。</w:t>
            </w:r>
          </w:p>
        </w:tc>
      </w:tr>
      <w:tr w14:paraId="6DD2F70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8" w:hRule="atLeast"/>
          <w:jc w:val="center"/>
        </w:trPr>
        <w:tc>
          <w:tcPr>
            <w:tcW w:w="995" w:type="dxa"/>
            <w:vAlign w:val="center"/>
          </w:tcPr>
          <w:p w14:paraId="15D39EF0">
            <w:pPr>
              <w:keepNext w:val="0"/>
              <w:keepLines w:val="0"/>
              <w:pageBreakBefore w:val="0"/>
              <w:widowControl w:val="0"/>
              <w:kinsoku/>
              <w:wordWrap w:val="0"/>
              <w:overflowPunct/>
              <w:topLinePunct w:val="0"/>
              <w:autoSpaceDE/>
              <w:autoSpaceDN/>
              <w:bidi w:val="0"/>
              <w:adjustRightInd w:val="0"/>
              <w:spacing w:line="440" w:lineRule="exact"/>
              <w:jc w:val="center"/>
              <w:textAlignment w:val="auto"/>
              <w:outlineLvl w:val="9"/>
              <w:rPr>
                <w:rFonts w:hint="eastAsia" w:eastAsia="宋体"/>
                <w:color w:val="000000" w:themeColor="text1"/>
                <w:sz w:val="21"/>
                <w:szCs w:val="21"/>
                <w:highlight w:val="none"/>
                <w:lang w:val="en-US" w:eastAsia="zh-CN"/>
                <w14:textFill>
                  <w14:solidFill>
                    <w14:schemeClr w14:val="tx1"/>
                  </w14:solidFill>
                </w14:textFill>
              </w:rPr>
            </w:pPr>
            <w:r>
              <w:rPr>
                <w:rFonts w:hint="eastAsia" w:ascii="宋体" w:hAnsi="宋体" w:eastAsia="宋体" w:cs="宋体"/>
                <w:bCs/>
                <w:color w:val="000000" w:themeColor="text1"/>
                <w:sz w:val="21"/>
                <w:szCs w:val="21"/>
                <w:highlight w:val="none"/>
                <w:lang w:val="zh-CN"/>
                <w14:textFill>
                  <w14:solidFill>
                    <w14:schemeClr w14:val="tx1"/>
                  </w14:solidFill>
                </w14:textFill>
              </w:rPr>
              <w:t>3.</w:t>
            </w:r>
            <w:r>
              <w:rPr>
                <w:rFonts w:hint="eastAsia" w:ascii="宋体" w:hAnsi="宋体" w:cs="宋体"/>
                <w:bCs/>
                <w:color w:val="000000" w:themeColor="text1"/>
                <w:sz w:val="21"/>
                <w:szCs w:val="21"/>
                <w:highlight w:val="none"/>
                <w:lang w:val="en-US" w:eastAsia="zh-CN"/>
                <w14:textFill>
                  <w14:solidFill>
                    <w14:schemeClr w14:val="tx1"/>
                  </w14:solidFill>
                </w14:textFill>
              </w:rPr>
              <w:t>6</w:t>
            </w:r>
            <w:r>
              <w:rPr>
                <w:rFonts w:hint="eastAsia" w:ascii="宋体" w:hAnsi="宋体" w:eastAsia="宋体" w:cs="宋体"/>
                <w:bCs/>
                <w:color w:val="000000" w:themeColor="text1"/>
                <w:sz w:val="21"/>
                <w:szCs w:val="21"/>
                <w:highlight w:val="none"/>
                <w:lang w:val="zh-CN"/>
                <w14:textFill>
                  <w14:solidFill>
                    <w14:schemeClr w14:val="tx1"/>
                  </w14:solidFill>
                </w14:textFill>
              </w:rPr>
              <w:t>.</w:t>
            </w:r>
            <w:r>
              <w:rPr>
                <w:rFonts w:hint="eastAsia" w:ascii="宋体" w:hAnsi="宋体" w:cs="宋体"/>
                <w:bCs/>
                <w:color w:val="000000" w:themeColor="text1"/>
                <w:sz w:val="21"/>
                <w:szCs w:val="21"/>
                <w:highlight w:val="none"/>
                <w:lang w:val="en-US" w:eastAsia="zh-CN"/>
                <w14:textFill>
                  <w14:solidFill>
                    <w14:schemeClr w14:val="tx1"/>
                  </w14:solidFill>
                </w14:textFill>
              </w:rPr>
              <w:t>6</w:t>
            </w:r>
          </w:p>
        </w:tc>
        <w:tc>
          <w:tcPr>
            <w:tcW w:w="2095" w:type="dxa"/>
            <w:vAlign w:val="center"/>
          </w:tcPr>
          <w:p w14:paraId="472DD3CB">
            <w:pPr>
              <w:keepNext w:val="0"/>
              <w:keepLines w:val="0"/>
              <w:pageBreakBefore w:val="0"/>
              <w:widowControl w:val="0"/>
              <w:kinsoku/>
              <w:wordWrap w:val="0"/>
              <w:overflowPunct/>
              <w:topLinePunct w:val="0"/>
              <w:autoSpaceDE/>
              <w:autoSpaceDN/>
              <w:bidi w:val="0"/>
              <w:adjustRightInd w:val="0"/>
              <w:spacing w:line="440" w:lineRule="exact"/>
              <w:jc w:val="center"/>
              <w:textAlignment w:val="auto"/>
              <w:outlineLvl w:val="9"/>
              <w:rPr>
                <w:color w:val="000000" w:themeColor="text1"/>
                <w:sz w:val="21"/>
                <w:szCs w:val="21"/>
                <w:highlight w:val="none"/>
                <w14:textFill>
                  <w14:solidFill>
                    <w14:schemeClr w14:val="tx1"/>
                  </w14:solidFill>
                </w14:textFill>
              </w:rPr>
            </w:pPr>
            <w:r>
              <w:rPr>
                <w:rFonts w:hint="eastAsia" w:ascii="宋体" w:hAnsi="宋体" w:eastAsia="宋体" w:cs="宋体"/>
                <w:bCs/>
                <w:color w:val="000000" w:themeColor="text1"/>
                <w:sz w:val="21"/>
                <w:szCs w:val="21"/>
                <w:highlight w:val="none"/>
                <w:lang w:val="zh-CN"/>
                <w14:textFill>
                  <w14:solidFill>
                    <w14:schemeClr w14:val="tx1"/>
                  </w14:solidFill>
                </w14:textFill>
              </w:rPr>
              <w:t>响应文件上传</w:t>
            </w:r>
          </w:p>
        </w:tc>
        <w:tc>
          <w:tcPr>
            <w:tcW w:w="6675" w:type="dxa"/>
            <w:vAlign w:val="center"/>
          </w:tcPr>
          <w:p w14:paraId="40736A12">
            <w:pPr>
              <w:keepNext w:val="0"/>
              <w:keepLines w:val="0"/>
              <w:pageBreakBefore w:val="0"/>
              <w:widowControl w:val="0"/>
              <w:kinsoku/>
              <w:wordWrap w:val="0"/>
              <w:overflowPunct/>
              <w:topLinePunct w:val="0"/>
              <w:autoSpaceDE/>
              <w:autoSpaceDN/>
              <w:bidi w:val="0"/>
              <w:adjustRightInd w:val="0"/>
              <w:spacing w:line="440" w:lineRule="exact"/>
              <w:textAlignment w:val="auto"/>
              <w:outlineLvl w:val="9"/>
              <w:rPr>
                <w:rFonts w:ascii="宋体" w:hAnsi="宋体" w:cs="宋体"/>
                <w:color w:val="000000" w:themeColor="text1"/>
                <w:kern w:val="0"/>
                <w:sz w:val="21"/>
                <w:szCs w:val="21"/>
                <w:highlight w:val="none"/>
                <w14:textFill>
                  <w14:solidFill>
                    <w14:schemeClr w14:val="tx1"/>
                  </w14:solidFill>
                </w14:textFill>
              </w:rPr>
            </w:pPr>
            <w:r>
              <w:rPr>
                <w:rFonts w:hint="eastAsia" w:ascii="宋体" w:hAnsi="宋体" w:eastAsia="宋体" w:cs="宋体"/>
                <w:bCs/>
                <w:color w:val="000000" w:themeColor="text1"/>
                <w:kern w:val="15"/>
                <w:sz w:val="21"/>
                <w:szCs w:val="21"/>
                <w:highlight w:val="none"/>
                <w:lang w:eastAsia="zh-CN"/>
                <w14:textFill>
                  <w14:solidFill>
                    <w14:schemeClr w14:val="tx1"/>
                  </w14:solidFill>
                </w14:textFill>
              </w:rPr>
              <w:t>供应商</w:t>
            </w:r>
            <w:r>
              <w:rPr>
                <w:rFonts w:hint="eastAsia" w:ascii="宋体" w:hAnsi="宋体" w:eastAsia="宋体" w:cs="宋体"/>
                <w:bCs/>
                <w:color w:val="000000" w:themeColor="text1"/>
                <w:kern w:val="15"/>
                <w:sz w:val="21"/>
                <w:szCs w:val="21"/>
                <w:highlight w:val="none"/>
                <w14:textFill>
                  <w14:solidFill>
                    <w14:schemeClr w14:val="tx1"/>
                  </w14:solidFill>
                </w14:textFill>
              </w:rPr>
              <w:t>需在开标前将</w:t>
            </w:r>
            <w:r>
              <w:rPr>
                <w:rFonts w:hint="eastAsia" w:ascii="宋体" w:hAnsi="宋体" w:eastAsia="宋体" w:cs="宋体"/>
                <w:bCs/>
                <w:color w:val="000000" w:themeColor="text1"/>
                <w:kern w:val="15"/>
                <w:sz w:val="21"/>
                <w:szCs w:val="21"/>
                <w:highlight w:val="none"/>
                <w:lang w:eastAsia="zh-CN"/>
                <w14:textFill>
                  <w14:solidFill>
                    <w14:schemeClr w14:val="tx1"/>
                  </w14:solidFill>
                </w14:textFill>
              </w:rPr>
              <w:t>响应文件</w:t>
            </w:r>
            <w:r>
              <w:rPr>
                <w:rFonts w:hint="eastAsia" w:ascii="宋体" w:hAnsi="宋体" w:eastAsia="宋体" w:cs="宋体"/>
                <w:bCs/>
                <w:color w:val="000000" w:themeColor="text1"/>
                <w:kern w:val="15"/>
                <w:sz w:val="21"/>
                <w:szCs w:val="21"/>
                <w:highlight w:val="none"/>
                <w14:textFill>
                  <w14:solidFill>
                    <w14:schemeClr w14:val="tx1"/>
                  </w14:solidFill>
                </w14:textFill>
              </w:rPr>
              <w:t>制作工具生成的加密文件上传到</w:t>
            </w:r>
            <w:r>
              <w:rPr>
                <w:rFonts w:hint="eastAsia" w:ascii="宋体" w:hAnsi="宋体" w:cs="宋体"/>
                <w:bCs/>
                <w:color w:val="000000" w:themeColor="text1"/>
                <w:sz w:val="21"/>
                <w:szCs w:val="21"/>
                <w:highlight w:val="none"/>
                <w14:textFill>
                  <w14:solidFill>
                    <w14:schemeClr w14:val="tx1"/>
                  </w14:solidFill>
                </w14:textFill>
              </w:rPr>
              <w:t>政府采购云平台（网址：http://www.zcygov.cn）</w:t>
            </w:r>
            <w:r>
              <w:rPr>
                <w:rFonts w:hint="eastAsia" w:ascii="宋体" w:hAnsi="宋体" w:eastAsia="宋体" w:cs="宋体"/>
                <w:bCs/>
                <w:color w:val="000000" w:themeColor="text1"/>
                <w:kern w:val="15"/>
                <w:sz w:val="21"/>
                <w:szCs w:val="21"/>
                <w:highlight w:val="none"/>
                <w14:textFill>
                  <w14:solidFill>
                    <w14:schemeClr w14:val="tx1"/>
                  </w14:solidFill>
                </w14:textFill>
              </w:rPr>
              <w:t>。</w:t>
            </w:r>
          </w:p>
        </w:tc>
      </w:tr>
      <w:tr w14:paraId="5687F69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8" w:hRule="atLeast"/>
          <w:jc w:val="center"/>
        </w:trPr>
        <w:tc>
          <w:tcPr>
            <w:tcW w:w="995" w:type="dxa"/>
            <w:vAlign w:val="center"/>
          </w:tcPr>
          <w:p w14:paraId="4288E2CD">
            <w:pPr>
              <w:keepNext w:val="0"/>
              <w:keepLines w:val="0"/>
              <w:pageBreakBefore w:val="0"/>
              <w:widowControl w:val="0"/>
              <w:kinsoku/>
              <w:wordWrap w:val="0"/>
              <w:overflowPunct/>
              <w:topLinePunct w:val="0"/>
              <w:autoSpaceDE/>
              <w:autoSpaceDN/>
              <w:bidi w:val="0"/>
              <w:adjustRightInd w:val="0"/>
              <w:spacing w:line="440" w:lineRule="exact"/>
              <w:jc w:val="center"/>
              <w:textAlignment w:val="auto"/>
              <w:outlineLvl w:val="9"/>
              <w:rPr>
                <w:rFonts w:hint="eastAsia" w:ascii="宋体" w:hAnsi="宋体" w:eastAsia="宋体" w:cs="宋体"/>
                <w:bCs/>
                <w:color w:val="000000" w:themeColor="text1"/>
                <w:sz w:val="21"/>
                <w:szCs w:val="21"/>
                <w:highlight w:val="none"/>
                <w:lang w:val="zh-CN"/>
                <w14:textFill>
                  <w14:solidFill>
                    <w14:schemeClr w14:val="tx1"/>
                  </w14:solidFill>
                </w14:textFill>
              </w:rPr>
            </w:pPr>
            <w:r>
              <w:rPr>
                <w:rFonts w:hint="eastAsia" w:ascii="宋体" w:hAnsi="宋体" w:eastAsia="宋体" w:cs="宋体"/>
                <w:bCs/>
                <w:color w:val="000000" w:themeColor="text1"/>
                <w:sz w:val="21"/>
                <w:szCs w:val="21"/>
                <w:highlight w:val="none"/>
                <w14:textFill>
                  <w14:solidFill>
                    <w14:schemeClr w14:val="tx1"/>
                  </w14:solidFill>
                </w14:textFill>
              </w:rPr>
              <w:t>4.2.1</w:t>
            </w:r>
          </w:p>
        </w:tc>
        <w:tc>
          <w:tcPr>
            <w:tcW w:w="2095" w:type="dxa"/>
            <w:vAlign w:val="center"/>
          </w:tcPr>
          <w:p w14:paraId="5FC8DDF8">
            <w:pPr>
              <w:keepNext w:val="0"/>
              <w:keepLines w:val="0"/>
              <w:pageBreakBefore w:val="0"/>
              <w:widowControl w:val="0"/>
              <w:kinsoku/>
              <w:wordWrap w:val="0"/>
              <w:overflowPunct/>
              <w:topLinePunct w:val="0"/>
              <w:autoSpaceDE/>
              <w:autoSpaceDN/>
              <w:bidi w:val="0"/>
              <w:adjustRightInd w:val="0"/>
              <w:spacing w:line="440" w:lineRule="exact"/>
              <w:jc w:val="center"/>
              <w:textAlignment w:val="auto"/>
              <w:outlineLvl w:val="9"/>
              <w:rPr>
                <w:rFonts w:hint="eastAsia" w:ascii="宋体" w:hAnsi="宋体" w:eastAsia="宋体" w:cs="宋体"/>
                <w:bCs/>
                <w:color w:val="000000" w:themeColor="text1"/>
                <w:sz w:val="21"/>
                <w:szCs w:val="21"/>
                <w:highlight w:val="none"/>
                <w:lang w:val="zh-CN"/>
                <w14:textFill>
                  <w14:solidFill>
                    <w14:schemeClr w14:val="tx1"/>
                  </w14:solidFill>
                </w14:textFill>
              </w:rPr>
            </w:pPr>
            <w:r>
              <w:rPr>
                <w:rFonts w:hint="eastAsia" w:ascii="宋体" w:hAnsi="宋体" w:eastAsia="宋体" w:cs="宋体"/>
                <w:bCs/>
                <w:color w:val="000000" w:themeColor="text1"/>
                <w:sz w:val="21"/>
                <w:szCs w:val="21"/>
                <w:highlight w:val="none"/>
                <w:lang w:val="zh-CN"/>
                <w14:textFill>
                  <w14:solidFill>
                    <w14:schemeClr w14:val="tx1"/>
                  </w14:solidFill>
                </w14:textFill>
              </w:rPr>
              <w:t>供应商上传提交响应文件的截止时间(开标时间）</w:t>
            </w:r>
          </w:p>
        </w:tc>
        <w:tc>
          <w:tcPr>
            <w:tcW w:w="6675" w:type="dxa"/>
            <w:vAlign w:val="center"/>
          </w:tcPr>
          <w:p w14:paraId="7E62944F">
            <w:pPr>
              <w:keepNext w:val="0"/>
              <w:keepLines w:val="0"/>
              <w:pageBreakBefore w:val="0"/>
              <w:widowControl w:val="0"/>
              <w:kinsoku/>
              <w:wordWrap w:val="0"/>
              <w:overflowPunct/>
              <w:topLinePunct w:val="0"/>
              <w:autoSpaceDE/>
              <w:autoSpaceDN/>
              <w:bidi w:val="0"/>
              <w:adjustRightInd w:val="0"/>
              <w:spacing w:line="440" w:lineRule="exact"/>
              <w:textAlignment w:val="auto"/>
              <w:outlineLvl w:val="9"/>
              <w:rPr>
                <w:rFonts w:hint="eastAsia" w:ascii="宋体" w:hAnsi="宋体" w:eastAsia="宋体" w:cs="宋体"/>
                <w:bCs/>
                <w:color w:val="000000" w:themeColor="text1"/>
                <w:kern w:val="15"/>
                <w:sz w:val="21"/>
                <w:szCs w:val="21"/>
                <w:highlight w:val="none"/>
                <w:lang w:eastAsia="zh-CN"/>
                <w14:textFill>
                  <w14:solidFill>
                    <w14:schemeClr w14:val="tx1"/>
                  </w14:solidFill>
                </w14:textFill>
              </w:rPr>
            </w:pPr>
            <w:r>
              <w:rPr>
                <w:rFonts w:hint="eastAsia" w:ascii="宋体" w:hAnsi="宋体" w:cs="宋体"/>
                <w:bCs/>
                <w:color w:val="000000" w:themeColor="text1"/>
                <w:sz w:val="21"/>
                <w:szCs w:val="21"/>
                <w:highlight w:val="none"/>
                <w:lang w:eastAsia="zh-CN"/>
                <w14:textFill>
                  <w14:solidFill>
                    <w14:schemeClr w14:val="tx1"/>
                  </w14:solidFill>
                </w14:textFill>
              </w:rPr>
              <w:t>2025年4月10日</w:t>
            </w:r>
            <w:r>
              <w:rPr>
                <w:rFonts w:hint="eastAsia" w:ascii="宋体" w:hAnsi="宋体" w:cs="宋体"/>
                <w:bCs/>
                <w:color w:val="000000" w:themeColor="text1"/>
                <w:sz w:val="21"/>
                <w:szCs w:val="21"/>
                <w:highlight w:val="none"/>
                <w:lang w:val="en-US" w:eastAsia="zh-CN"/>
                <w14:textFill>
                  <w14:solidFill>
                    <w14:schemeClr w14:val="tx1"/>
                  </w14:solidFill>
                </w14:textFill>
              </w:rPr>
              <w:t>09</w:t>
            </w:r>
            <w:r>
              <w:rPr>
                <w:rFonts w:hint="eastAsia" w:ascii="宋体" w:hAnsi="宋体" w:cs="宋体"/>
                <w:bCs/>
                <w:color w:val="000000" w:themeColor="text1"/>
                <w:sz w:val="21"/>
                <w:szCs w:val="21"/>
                <w:highlight w:val="none"/>
                <w:lang w:eastAsia="zh-CN"/>
                <w14:textFill>
                  <w14:solidFill>
                    <w14:schemeClr w14:val="tx1"/>
                  </w14:solidFill>
                </w14:textFill>
              </w:rPr>
              <w:t>时</w:t>
            </w:r>
            <w:r>
              <w:rPr>
                <w:rFonts w:hint="eastAsia" w:ascii="宋体" w:hAnsi="宋体" w:cs="宋体"/>
                <w:bCs/>
                <w:color w:val="000000" w:themeColor="text1"/>
                <w:sz w:val="21"/>
                <w:szCs w:val="21"/>
                <w:highlight w:val="none"/>
                <w:lang w:val="en-US" w:eastAsia="zh-CN"/>
                <w14:textFill>
                  <w14:solidFill>
                    <w14:schemeClr w14:val="tx1"/>
                  </w14:solidFill>
                </w14:textFill>
              </w:rPr>
              <w:t>30</w:t>
            </w:r>
            <w:r>
              <w:rPr>
                <w:rFonts w:hint="eastAsia" w:ascii="宋体" w:hAnsi="宋体" w:cs="宋体"/>
                <w:bCs/>
                <w:color w:val="000000" w:themeColor="text1"/>
                <w:sz w:val="21"/>
                <w:szCs w:val="21"/>
                <w:highlight w:val="none"/>
                <w:lang w:eastAsia="zh-CN"/>
                <w14:textFill>
                  <w14:solidFill>
                    <w14:schemeClr w14:val="tx1"/>
                  </w14:solidFill>
                </w14:textFill>
              </w:rPr>
              <w:t>分（北京时间）</w:t>
            </w:r>
          </w:p>
        </w:tc>
      </w:tr>
      <w:tr w14:paraId="24258E4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89" w:hRule="atLeast"/>
          <w:jc w:val="center"/>
        </w:trPr>
        <w:tc>
          <w:tcPr>
            <w:tcW w:w="995" w:type="dxa"/>
            <w:vAlign w:val="center"/>
          </w:tcPr>
          <w:p w14:paraId="11AD1C6D">
            <w:pPr>
              <w:keepNext w:val="0"/>
              <w:keepLines w:val="0"/>
              <w:pageBreakBefore w:val="0"/>
              <w:widowControl w:val="0"/>
              <w:kinsoku/>
              <w:wordWrap w:val="0"/>
              <w:overflowPunct/>
              <w:topLinePunct w:val="0"/>
              <w:autoSpaceDE/>
              <w:autoSpaceDN/>
              <w:bidi w:val="0"/>
              <w:adjustRightInd w:val="0"/>
              <w:spacing w:line="440" w:lineRule="exact"/>
              <w:jc w:val="center"/>
              <w:textAlignment w:val="auto"/>
              <w:outlineLvl w:val="9"/>
              <w:rPr>
                <w:color w:val="000000" w:themeColor="text1"/>
                <w:sz w:val="21"/>
                <w:szCs w:val="21"/>
                <w:highlight w:val="none"/>
                <w14:textFill>
                  <w14:solidFill>
                    <w14:schemeClr w14:val="tx1"/>
                  </w14:solidFill>
                </w14:textFill>
              </w:rPr>
            </w:pPr>
            <w:r>
              <w:rPr>
                <w:rFonts w:hint="eastAsia" w:ascii="宋体" w:hAnsi="宋体" w:eastAsia="宋体" w:cs="宋体"/>
                <w:bCs/>
                <w:color w:val="000000" w:themeColor="text1"/>
                <w:sz w:val="21"/>
                <w:szCs w:val="21"/>
                <w:highlight w:val="none"/>
                <w:lang w:val="zh-CN"/>
                <w14:textFill>
                  <w14:solidFill>
                    <w14:schemeClr w14:val="tx1"/>
                  </w14:solidFill>
                </w14:textFill>
              </w:rPr>
              <w:t>4.</w:t>
            </w:r>
            <w:r>
              <w:rPr>
                <w:rFonts w:hint="eastAsia" w:ascii="宋体" w:hAnsi="宋体" w:eastAsia="宋体" w:cs="宋体"/>
                <w:bCs/>
                <w:color w:val="000000" w:themeColor="text1"/>
                <w:sz w:val="21"/>
                <w:szCs w:val="21"/>
                <w:highlight w:val="none"/>
                <w14:textFill>
                  <w14:solidFill>
                    <w14:schemeClr w14:val="tx1"/>
                  </w14:solidFill>
                </w14:textFill>
              </w:rPr>
              <w:t>2</w:t>
            </w:r>
            <w:r>
              <w:rPr>
                <w:rFonts w:hint="eastAsia" w:ascii="宋体" w:hAnsi="宋体" w:eastAsia="宋体" w:cs="宋体"/>
                <w:bCs/>
                <w:color w:val="000000" w:themeColor="text1"/>
                <w:sz w:val="21"/>
                <w:szCs w:val="21"/>
                <w:highlight w:val="none"/>
                <w:lang w:val="zh-CN"/>
                <w14:textFill>
                  <w14:solidFill>
                    <w14:schemeClr w14:val="tx1"/>
                  </w14:solidFill>
                </w14:textFill>
              </w:rPr>
              <w:t>.2</w:t>
            </w:r>
          </w:p>
        </w:tc>
        <w:tc>
          <w:tcPr>
            <w:tcW w:w="2095" w:type="dxa"/>
            <w:vAlign w:val="center"/>
          </w:tcPr>
          <w:p w14:paraId="79387D12">
            <w:pPr>
              <w:keepNext w:val="0"/>
              <w:keepLines w:val="0"/>
              <w:pageBreakBefore w:val="0"/>
              <w:widowControl w:val="0"/>
              <w:kinsoku/>
              <w:wordWrap w:val="0"/>
              <w:overflowPunct/>
              <w:topLinePunct w:val="0"/>
              <w:autoSpaceDE/>
              <w:autoSpaceDN/>
              <w:bidi w:val="0"/>
              <w:adjustRightInd w:val="0"/>
              <w:spacing w:line="440" w:lineRule="exact"/>
              <w:jc w:val="center"/>
              <w:textAlignment w:val="auto"/>
              <w:outlineLvl w:val="9"/>
              <w:rPr>
                <w:color w:val="000000" w:themeColor="text1"/>
                <w:sz w:val="21"/>
                <w:szCs w:val="21"/>
                <w:highlight w:val="none"/>
                <w14:textFill>
                  <w14:solidFill>
                    <w14:schemeClr w14:val="tx1"/>
                  </w14:solidFill>
                </w14:textFill>
              </w:rPr>
            </w:pPr>
            <w:r>
              <w:rPr>
                <w:rFonts w:hint="eastAsia" w:ascii="宋体" w:hAnsi="宋体" w:eastAsia="宋体" w:cs="宋体"/>
                <w:bCs/>
                <w:color w:val="000000" w:themeColor="text1"/>
                <w:sz w:val="21"/>
                <w:szCs w:val="21"/>
                <w:highlight w:val="none"/>
                <w:lang w:val="zh-CN"/>
                <w14:textFill>
                  <w14:solidFill>
                    <w14:schemeClr w14:val="tx1"/>
                  </w14:solidFill>
                </w14:textFill>
              </w:rPr>
              <w:t>供应商上传提交响应文件的平台</w:t>
            </w:r>
          </w:p>
        </w:tc>
        <w:tc>
          <w:tcPr>
            <w:tcW w:w="6675" w:type="dxa"/>
            <w:vAlign w:val="center"/>
          </w:tcPr>
          <w:p w14:paraId="364CF3A1">
            <w:pPr>
              <w:keepNext w:val="0"/>
              <w:keepLines w:val="0"/>
              <w:pageBreakBefore w:val="0"/>
              <w:widowControl w:val="0"/>
              <w:tabs>
                <w:tab w:val="center" w:pos="3086"/>
              </w:tabs>
              <w:kinsoku/>
              <w:wordWrap w:val="0"/>
              <w:overflowPunct/>
              <w:topLinePunct w:val="0"/>
              <w:autoSpaceDE/>
              <w:autoSpaceDN/>
              <w:bidi w:val="0"/>
              <w:adjustRightInd w:val="0"/>
              <w:snapToGrid/>
              <w:spacing w:line="0" w:lineRule="atLeast"/>
              <w:jc w:val="left"/>
              <w:textAlignment w:val="auto"/>
              <w:outlineLvl w:val="9"/>
              <w:rPr>
                <w:rFonts w:hint="eastAsia" w:ascii="宋体" w:hAnsi="宋体" w:eastAsia="宋体" w:cs="宋体"/>
                <w:bCs/>
                <w:color w:val="000000" w:themeColor="text1"/>
                <w:sz w:val="21"/>
                <w:szCs w:val="21"/>
                <w:highlight w:val="none"/>
                <w:lang w:val="zh-CN"/>
                <w14:textFill>
                  <w14:solidFill>
                    <w14:schemeClr w14:val="tx1"/>
                  </w14:solidFill>
                </w14:textFill>
              </w:rPr>
            </w:pPr>
            <w:r>
              <w:rPr>
                <w:rFonts w:hint="eastAsia" w:ascii="宋体" w:hAnsi="宋体" w:eastAsia="宋体" w:cs="宋体"/>
                <w:bCs/>
                <w:color w:val="000000" w:themeColor="text1"/>
                <w:sz w:val="21"/>
                <w:szCs w:val="21"/>
                <w:highlight w:val="none"/>
                <w:lang w:val="zh-CN"/>
                <w14:textFill>
                  <w14:solidFill>
                    <w14:schemeClr w14:val="tx1"/>
                  </w14:solidFill>
                </w14:textFill>
              </w:rPr>
              <w:t>本项目执行电子化招投标，供应商须通过政府采购云平台（网址：http://www.zcygov.cn）递交电子版</w:t>
            </w:r>
            <w:r>
              <w:rPr>
                <w:rFonts w:hint="eastAsia" w:ascii="宋体" w:hAnsi="宋体" w:eastAsia="宋体" w:cs="宋体"/>
                <w:bCs/>
                <w:color w:val="000000" w:themeColor="text1"/>
                <w:sz w:val="21"/>
                <w:szCs w:val="21"/>
                <w:highlight w:val="none"/>
                <w:lang w:val="en-US" w:eastAsia="zh-CN"/>
                <w14:textFill>
                  <w14:solidFill>
                    <w14:schemeClr w14:val="tx1"/>
                  </w14:solidFill>
                </w14:textFill>
              </w:rPr>
              <w:t>响应文件</w:t>
            </w:r>
            <w:r>
              <w:rPr>
                <w:rFonts w:hint="eastAsia" w:ascii="宋体" w:hAnsi="宋体" w:eastAsia="宋体" w:cs="宋体"/>
                <w:bCs/>
                <w:color w:val="000000" w:themeColor="text1"/>
                <w:sz w:val="21"/>
                <w:szCs w:val="21"/>
                <w:highlight w:val="none"/>
                <w:lang w:val="zh-CN" w:eastAsia="zh-CN"/>
                <w14:textFill>
                  <w14:solidFill>
                    <w14:schemeClr w14:val="tx1"/>
                  </w14:solidFill>
                </w14:textFill>
              </w:rPr>
              <w:t>。</w:t>
            </w:r>
          </w:p>
        </w:tc>
      </w:tr>
      <w:tr w14:paraId="4CF5573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6" w:hRule="atLeast"/>
          <w:jc w:val="center"/>
        </w:trPr>
        <w:tc>
          <w:tcPr>
            <w:tcW w:w="995" w:type="dxa"/>
            <w:vAlign w:val="center"/>
          </w:tcPr>
          <w:p w14:paraId="114DCF4E">
            <w:pPr>
              <w:keepNext w:val="0"/>
              <w:keepLines w:val="0"/>
              <w:pageBreakBefore w:val="0"/>
              <w:widowControl w:val="0"/>
              <w:kinsoku/>
              <w:wordWrap w:val="0"/>
              <w:overflowPunct/>
              <w:topLinePunct w:val="0"/>
              <w:autoSpaceDE/>
              <w:autoSpaceDN/>
              <w:bidi w:val="0"/>
              <w:adjustRightInd w:val="0"/>
              <w:spacing w:line="360" w:lineRule="exact"/>
              <w:jc w:val="center"/>
              <w:textAlignment w:val="auto"/>
              <w:outlineLvl w:val="9"/>
              <w:rPr>
                <w:color w:val="000000" w:themeColor="text1"/>
                <w:sz w:val="21"/>
                <w:szCs w:val="21"/>
                <w:highlight w:val="none"/>
                <w14:textFill>
                  <w14:solidFill>
                    <w14:schemeClr w14:val="tx1"/>
                  </w14:solidFill>
                </w14:textFill>
              </w:rPr>
            </w:pPr>
            <w:r>
              <w:rPr>
                <w:rFonts w:hint="eastAsia" w:ascii="宋体" w:hAnsi="宋体" w:eastAsia="宋体" w:cs="宋体"/>
                <w:bCs/>
                <w:color w:val="000000" w:themeColor="text1"/>
                <w:sz w:val="21"/>
                <w:szCs w:val="21"/>
                <w:highlight w:val="none"/>
                <w:lang w:val="zh-CN"/>
                <w14:textFill>
                  <w14:solidFill>
                    <w14:schemeClr w14:val="tx1"/>
                  </w14:solidFill>
                </w14:textFill>
              </w:rPr>
              <w:t>4.2.3</w:t>
            </w:r>
          </w:p>
        </w:tc>
        <w:tc>
          <w:tcPr>
            <w:tcW w:w="2095" w:type="dxa"/>
            <w:vAlign w:val="center"/>
          </w:tcPr>
          <w:p w14:paraId="1487C811">
            <w:pPr>
              <w:keepNext w:val="0"/>
              <w:keepLines w:val="0"/>
              <w:pageBreakBefore w:val="0"/>
              <w:widowControl w:val="0"/>
              <w:kinsoku/>
              <w:wordWrap w:val="0"/>
              <w:overflowPunct/>
              <w:topLinePunct w:val="0"/>
              <w:autoSpaceDE/>
              <w:autoSpaceDN/>
              <w:bidi w:val="0"/>
              <w:adjustRightInd w:val="0"/>
              <w:spacing w:line="360" w:lineRule="exact"/>
              <w:jc w:val="center"/>
              <w:textAlignment w:val="auto"/>
              <w:outlineLvl w:val="9"/>
              <w:rPr>
                <w:color w:val="000000" w:themeColor="text1"/>
                <w:sz w:val="21"/>
                <w:szCs w:val="21"/>
                <w:highlight w:val="none"/>
                <w14:textFill>
                  <w14:solidFill>
                    <w14:schemeClr w14:val="tx1"/>
                  </w14:solidFill>
                </w14:textFill>
              </w:rPr>
            </w:pPr>
            <w:r>
              <w:rPr>
                <w:rFonts w:hint="eastAsia" w:ascii="宋体" w:hAnsi="宋体" w:eastAsia="宋体" w:cs="宋体"/>
                <w:bCs/>
                <w:color w:val="000000" w:themeColor="text1"/>
                <w:sz w:val="21"/>
                <w:szCs w:val="21"/>
                <w:highlight w:val="none"/>
                <w:lang w:eastAsia="zh-CN"/>
                <w14:textFill>
                  <w14:solidFill>
                    <w14:schemeClr w14:val="tx1"/>
                  </w14:solidFill>
                </w14:textFill>
              </w:rPr>
              <w:t>响应文件是否退还</w:t>
            </w:r>
          </w:p>
        </w:tc>
        <w:tc>
          <w:tcPr>
            <w:tcW w:w="6675" w:type="dxa"/>
            <w:vAlign w:val="center"/>
          </w:tcPr>
          <w:p w14:paraId="23082E81">
            <w:pPr>
              <w:keepNext w:val="0"/>
              <w:keepLines w:val="0"/>
              <w:pageBreakBefore w:val="0"/>
              <w:widowControl w:val="0"/>
              <w:tabs>
                <w:tab w:val="center" w:pos="3086"/>
              </w:tabs>
              <w:kinsoku/>
              <w:wordWrap w:val="0"/>
              <w:overflowPunct/>
              <w:topLinePunct w:val="0"/>
              <w:autoSpaceDE/>
              <w:autoSpaceDN/>
              <w:bidi w:val="0"/>
              <w:adjustRightInd w:val="0"/>
              <w:snapToGrid/>
              <w:spacing w:line="0" w:lineRule="atLeast"/>
              <w:jc w:val="both"/>
              <w:textAlignment w:val="auto"/>
              <w:outlineLvl w:val="9"/>
              <w:rPr>
                <w:rFonts w:hint="eastAsia" w:ascii="宋体" w:hAnsi="宋体" w:eastAsia="宋体" w:cs="宋体"/>
                <w:bCs/>
                <w:color w:val="000000" w:themeColor="text1"/>
                <w:sz w:val="21"/>
                <w:szCs w:val="21"/>
                <w:highlight w:val="none"/>
                <w:lang w:val="zh-CN"/>
                <w14:textFill>
                  <w14:solidFill>
                    <w14:schemeClr w14:val="tx1"/>
                  </w14:solidFill>
                </w14:textFill>
              </w:rPr>
            </w:pPr>
            <w:r>
              <w:rPr>
                <w:rFonts w:hint="eastAsia" w:ascii="宋体" w:hAnsi="宋体" w:eastAsia="宋体" w:cs="宋体"/>
                <w:bCs/>
                <w:color w:val="000000" w:themeColor="text1"/>
                <w:sz w:val="21"/>
                <w:szCs w:val="21"/>
                <w:highlight w:val="none"/>
                <w:lang w:val="zh-CN"/>
                <w14:textFill>
                  <w14:solidFill>
                    <w14:schemeClr w14:val="tx1"/>
                  </w14:solidFill>
                </w14:textFill>
              </w:rPr>
              <w:t>□是</w:t>
            </w:r>
          </w:p>
          <w:p w14:paraId="5A6A1C11">
            <w:pPr>
              <w:keepNext w:val="0"/>
              <w:keepLines w:val="0"/>
              <w:pageBreakBefore w:val="0"/>
              <w:widowControl w:val="0"/>
              <w:tabs>
                <w:tab w:val="center" w:pos="3086"/>
              </w:tabs>
              <w:kinsoku/>
              <w:wordWrap w:val="0"/>
              <w:overflowPunct/>
              <w:topLinePunct w:val="0"/>
              <w:autoSpaceDE/>
              <w:autoSpaceDN/>
              <w:bidi w:val="0"/>
              <w:adjustRightInd w:val="0"/>
              <w:snapToGrid/>
              <w:spacing w:line="0" w:lineRule="atLeast"/>
              <w:jc w:val="both"/>
              <w:textAlignment w:val="auto"/>
              <w:outlineLvl w:val="9"/>
              <w:rPr>
                <w:rFonts w:hint="eastAsia" w:ascii="宋体" w:hAnsi="宋体" w:eastAsia="宋体" w:cs="宋体"/>
                <w:bCs/>
                <w:color w:val="000000" w:themeColor="text1"/>
                <w:sz w:val="21"/>
                <w:szCs w:val="21"/>
                <w:highlight w:val="none"/>
                <w:lang w:val="zh-CN"/>
                <w14:textFill>
                  <w14:solidFill>
                    <w14:schemeClr w14:val="tx1"/>
                  </w14:solidFill>
                </w14:textFill>
              </w:rPr>
            </w:pPr>
            <w:r>
              <w:rPr>
                <w:rFonts w:hint="eastAsia" w:ascii="宋体" w:hAnsi="宋体" w:eastAsia="宋体" w:cs="宋体"/>
                <w:bCs/>
                <w:color w:val="000000" w:themeColor="text1"/>
                <w:sz w:val="21"/>
                <w:szCs w:val="21"/>
                <w:highlight w:val="none"/>
                <w:lang w:val="zh-CN"/>
                <w14:textFill>
                  <w14:solidFill>
                    <w14:schemeClr w14:val="tx1"/>
                  </w14:solidFill>
                </w14:textFill>
              </w:rPr>
              <w:fldChar w:fldCharType="begin"/>
            </w:r>
            <w:r>
              <w:rPr>
                <w:rFonts w:hint="eastAsia" w:ascii="宋体" w:hAnsi="宋体" w:eastAsia="宋体" w:cs="宋体"/>
                <w:bCs/>
                <w:color w:val="000000" w:themeColor="text1"/>
                <w:sz w:val="21"/>
                <w:szCs w:val="21"/>
                <w:highlight w:val="none"/>
                <w:lang w:val="zh-CN"/>
                <w14:textFill>
                  <w14:solidFill>
                    <w14:schemeClr w14:val="tx1"/>
                  </w14:solidFill>
                </w14:textFill>
              </w:rPr>
              <w:instrText xml:space="preserve">eq \o\ac(□,√)</w:instrText>
            </w:r>
            <w:r>
              <w:rPr>
                <w:rFonts w:hint="eastAsia" w:ascii="宋体" w:hAnsi="宋体" w:eastAsia="宋体" w:cs="宋体"/>
                <w:bCs/>
                <w:color w:val="000000" w:themeColor="text1"/>
                <w:sz w:val="21"/>
                <w:szCs w:val="21"/>
                <w:highlight w:val="none"/>
                <w:lang w:val="zh-CN"/>
                <w14:textFill>
                  <w14:solidFill>
                    <w14:schemeClr w14:val="tx1"/>
                  </w14:solidFill>
                </w14:textFill>
              </w:rPr>
              <w:fldChar w:fldCharType="end"/>
            </w:r>
            <w:r>
              <w:rPr>
                <w:rFonts w:hint="eastAsia" w:ascii="宋体" w:hAnsi="宋体" w:eastAsia="宋体" w:cs="宋体"/>
                <w:bCs/>
                <w:color w:val="000000" w:themeColor="text1"/>
                <w:sz w:val="21"/>
                <w:szCs w:val="21"/>
                <w:highlight w:val="none"/>
                <w:lang w:val="zh-CN"/>
                <w14:textFill>
                  <w14:solidFill>
                    <w14:schemeClr w14:val="tx1"/>
                  </w14:solidFill>
                </w14:textFill>
              </w:rPr>
              <w:t>否，已递交的响应文件不予返还，请供应商自行做好备份工作。</w:t>
            </w:r>
          </w:p>
        </w:tc>
      </w:tr>
      <w:tr w14:paraId="1A5E60F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96" w:hRule="atLeast"/>
          <w:jc w:val="center"/>
        </w:trPr>
        <w:tc>
          <w:tcPr>
            <w:tcW w:w="995" w:type="dxa"/>
            <w:vAlign w:val="center"/>
          </w:tcPr>
          <w:p w14:paraId="28B02E56">
            <w:pPr>
              <w:overflowPunct/>
              <w:bidi w:val="0"/>
              <w:spacing w:line="400" w:lineRule="exact"/>
              <w:jc w:val="center"/>
              <w:outlineLvl w:val="9"/>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6.1.1</w:t>
            </w:r>
          </w:p>
        </w:tc>
        <w:tc>
          <w:tcPr>
            <w:tcW w:w="2095" w:type="dxa"/>
            <w:vAlign w:val="center"/>
          </w:tcPr>
          <w:p w14:paraId="66F93A0C">
            <w:pPr>
              <w:keepNext w:val="0"/>
              <w:keepLines w:val="0"/>
              <w:pageBreakBefore w:val="0"/>
              <w:widowControl w:val="0"/>
              <w:kinsoku/>
              <w:wordWrap w:val="0"/>
              <w:overflowPunct/>
              <w:topLinePunct w:val="0"/>
              <w:autoSpaceDE/>
              <w:autoSpaceDN/>
              <w:bidi w:val="0"/>
              <w:adjustRightInd w:val="0"/>
              <w:snapToGrid/>
              <w:spacing w:line="0" w:lineRule="atLeast"/>
              <w:jc w:val="center"/>
              <w:textAlignment w:val="auto"/>
              <w:outlineLvl w:val="9"/>
              <w:rPr>
                <w:color w:val="000000" w:themeColor="text1"/>
                <w:sz w:val="21"/>
                <w:szCs w:val="21"/>
                <w:highlight w:val="none"/>
                <w14:textFill>
                  <w14:solidFill>
                    <w14:schemeClr w14:val="tx1"/>
                  </w14:solidFill>
                </w14:textFill>
              </w:rPr>
            </w:pPr>
            <w:r>
              <w:rPr>
                <w:rFonts w:hint="eastAsia" w:ascii="宋体" w:hAnsi="宋体" w:eastAsia="宋体" w:cs="宋体"/>
                <w:bCs/>
                <w:color w:val="000000" w:themeColor="text1"/>
                <w:sz w:val="21"/>
                <w:szCs w:val="21"/>
                <w:highlight w:val="none"/>
                <w:lang w:val="en-US" w:eastAsia="zh-CN"/>
                <w14:textFill>
                  <w14:solidFill>
                    <w14:schemeClr w14:val="tx1"/>
                  </w14:solidFill>
                </w14:textFill>
              </w:rPr>
              <w:t>磋商小组</w:t>
            </w:r>
            <w:r>
              <w:rPr>
                <w:rFonts w:hint="eastAsia" w:ascii="宋体" w:hAnsi="宋体" w:eastAsia="宋体" w:cs="宋体"/>
                <w:bCs/>
                <w:color w:val="000000" w:themeColor="text1"/>
                <w:sz w:val="21"/>
                <w:szCs w:val="21"/>
                <w:highlight w:val="none"/>
                <w:lang w:val="zh-CN" w:eastAsia="zh-CN"/>
                <w14:textFill>
                  <w14:solidFill>
                    <w14:schemeClr w14:val="tx1"/>
                  </w14:solidFill>
                </w14:textFill>
              </w:rPr>
              <w:t>的组建</w:t>
            </w:r>
          </w:p>
        </w:tc>
        <w:tc>
          <w:tcPr>
            <w:tcW w:w="6675" w:type="dxa"/>
            <w:vAlign w:val="center"/>
          </w:tcPr>
          <w:p w14:paraId="027ED3BF">
            <w:pPr>
              <w:keepNext w:val="0"/>
              <w:keepLines w:val="0"/>
              <w:pageBreakBefore w:val="0"/>
              <w:widowControl w:val="0"/>
              <w:kinsoku/>
              <w:wordWrap w:val="0"/>
              <w:overflowPunct/>
              <w:topLinePunct w:val="0"/>
              <w:autoSpaceDE/>
              <w:autoSpaceDN/>
              <w:bidi w:val="0"/>
              <w:snapToGrid/>
              <w:spacing w:line="0" w:lineRule="atLeast"/>
              <w:jc w:val="both"/>
              <w:textAlignment w:val="auto"/>
              <w:outlineLvl w:val="9"/>
              <w:rPr>
                <w:rFonts w:hint="default" w:ascii="宋体" w:hAnsi="宋体" w:eastAsia="宋体"/>
                <w:color w:val="000000" w:themeColor="text1"/>
                <w:sz w:val="21"/>
                <w:szCs w:val="21"/>
                <w:highlight w:val="none"/>
                <w:lang w:val="en-US" w:eastAsia="zh-CN"/>
                <w14:textFill>
                  <w14:solidFill>
                    <w14:schemeClr w14:val="tx1"/>
                  </w14:solidFill>
                </w14:textFill>
              </w:rPr>
            </w:pPr>
            <w:r>
              <w:rPr>
                <w:rFonts w:hint="eastAsia" w:ascii="宋体" w:hAnsi="宋体"/>
                <w:color w:val="000000" w:themeColor="text1"/>
                <w:sz w:val="21"/>
                <w:szCs w:val="21"/>
                <w:highlight w:val="none"/>
                <w:lang w:val="en-US" w:eastAsia="zh-CN"/>
                <w14:textFill>
                  <w14:solidFill>
                    <w14:schemeClr w14:val="tx1"/>
                  </w14:solidFill>
                </w14:textFill>
              </w:rPr>
              <w:t>磋商小组的</w:t>
            </w:r>
            <w:r>
              <w:rPr>
                <w:rFonts w:hint="eastAsia" w:ascii="宋体" w:hAnsi="宋体"/>
                <w:color w:val="000000" w:themeColor="text1"/>
                <w:sz w:val="21"/>
                <w:szCs w:val="21"/>
                <w:highlight w:val="none"/>
                <w:lang w:val="zh-CN"/>
                <w14:textFill>
                  <w14:solidFill>
                    <w14:schemeClr w14:val="tx1"/>
                  </w14:solidFill>
                </w14:textFill>
              </w:rPr>
              <w:t>构成：</w:t>
            </w:r>
            <w:r>
              <w:rPr>
                <w:rFonts w:hint="eastAsia" w:ascii="宋体" w:hAnsi="宋体"/>
                <w:color w:val="000000" w:themeColor="text1"/>
                <w:sz w:val="21"/>
                <w:szCs w:val="21"/>
                <w:highlight w:val="none"/>
                <w:lang w:val="en-US" w:eastAsia="zh-CN"/>
                <w14:textFill>
                  <w14:solidFill>
                    <w14:schemeClr w14:val="tx1"/>
                  </w14:solidFill>
                </w14:textFill>
              </w:rPr>
              <w:t>专家3</w:t>
            </w:r>
            <w:r>
              <w:rPr>
                <w:rFonts w:hint="eastAsia" w:ascii="宋体" w:hAnsi="宋体"/>
                <w:color w:val="000000" w:themeColor="text1"/>
                <w:sz w:val="21"/>
                <w:szCs w:val="21"/>
                <w:highlight w:val="none"/>
                <w:lang w:val="zh-CN"/>
                <w14:textFill>
                  <w14:solidFill>
                    <w14:schemeClr w14:val="tx1"/>
                  </w14:solidFill>
                </w14:textFill>
              </w:rPr>
              <w:t>人</w:t>
            </w:r>
            <w:r>
              <w:rPr>
                <w:rFonts w:hint="eastAsia" w:ascii="宋体" w:hAnsi="宋体"/>
                <w:color w:val="000000" w:themeColor="text1"/>
                <w:sz w:val="21"/>
                <w:szCs w:val="21"/>
                <w:highlight w:val="none"/>
                <w:lang w:val="en-US" w:eastAsia="zh-CN"/>
                <w14:textFill>
                  <w14:solidFill>
                    <w14:schemeClr w14:val="tx1"/>
                  </w14:solidFill>
                </w14:textFill>
              </w:rPr>
              <w:t>,招标人代表1人； 有关经济、技术方面专家2人组成</w:t>
            </w:r>
          </w:p>
          <w:p w14:paraId="6D9D109F">
            <w:pPr>
              <w:keepNext w:val="0"/>
              <w:keepLines w:val="0"/>
              <w:pageBreakBefore w:val="0"/>
              <w:widowControl w:val="0"/>
              <w:kinsoku/>
              <w:wordWrap w:val="0"/>
              <w:overflowPunct/>
              <w:topLinePunct w:val="0"/>
              <w:autoSpaceDE/>
              <w:autoSpaceDN/>
              <w:bidi w:val="0"/>
              <w:snapToGrid/>
              <w:spacing w:line="0" w:lineRule="atLeast"/>
              <w:jc w:val="both"/>
              <w:textAlignment w:val="auto"/>
              <w:outlineLvl w:val="9"/>
              <w:rPr>
                <w:rFonts w:ascii="宋体" w:hAnsi="宋体"/>
                <w:color w:val="000000" w:themeColor="text1"/>
                <w:sz w:val="21"/>
                <w:szCs w:val="21"/>
                <w:highlight w:val="none"/>
                <w14:textFill>
                  <w14:solidFill>
                    <w14:schemeClr w14:val="tx1"/>
                  </w14:solidFill>
                </w14:textFill>
              </w:rPr>
            </w:pPr>
            <w:r>
              <w:rPr>
                <w:rFonts w:hint="eastAsia" w:ascii="宋体" w:hAnsi="宋体"/>
                <w:color w:val="000000" w:themeColor="text1"/>
                <w:sz w:val="21"/>
                <w:szCs w:val="21"/>
                <w:highlight w:val="none"/>
                <w:lang w:val="zh-CN"/>
                <w14:textFill>
                  <w14:solidFill>
                    <w14:schemeClr w14:val="tx1"/>
                  </w14:solidFill>
                </w14:textFill>
              </w:rPr>
              <w:t>评标专家确定方式：在</w:t>
            </w:r>
            <w:r>
              <w:rPr>
                <w:rFonts w:hint="eastAsia" w:ascii="宋体" w:hAnsi="宋体"/>
                <w:color w:val="000000" w:themeColor="text1"/>
                <w:sz w:val="21"/>
                <w:szCs w:val="21"/>
                <w:highlight w:val="none"/>
                <w:lang w:eastAsia="zh-CN"/>
                <w14:textFill>
                  <w14:solidFill>
                    <w14:schemeClr w14:val="tx1"/>
                  </w14:solidFill>
                </w14:textFill>
              </w:rPr>
              <w:t>“政采云”平台(https://www.zcygov.cn)</w:t>
            </w:r>
            <w:r>
              <w:rPr>
                <w:rFonts w:hint="eastAsia" w:ascii="宋体" w:hAnsi="宋体"/>
                <w:color w:val="000000" w:themeColor="text1"/>
                <w:sz w:val="21"/>
                <w:szCs w:val="21"/>
                <w:highlight w:val="none"/>
                <w:lang w:val="zh-CN"/>
                <w14:textFill>
                  <w14:solidFill>
                    <w14:schemeClr w14:val="tx1"/>
                  </w14:solidFill>
                </w14:textFill>
              </w:rPr>
              <w:t>的专家库中随机抽取。</w:t>
            </w:r>
          </w:p>
        </w:tc>
      </w:tr>
      <w:tr w14:paraId="1ACB3B9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96" w:hRule="atLeast"/>
          <w:jc w:val="center"/>
        </w:trPr>
        <w:tc>
          <w:tcPr>
            <w:tcW w:w="995" w:type="dxa"/>
            <w:vAlign w:val="center"/>
          </w:tcPr>
          <w:p w14:paraId="11F2F6EA">
            <w:pPr>
              <w:keepNext w:val="0"/>
              <w:keepLines w:val="0"/>
              <w:pageBreakBefore w:val="0"/>
              <w:widowControl w:val="0"/>
              <w:kinsoku/>
              <w:wordWrap w:val="0"/>
              <w:overflowPunct/>
              <w:topLinePunct w:val="0"/>
              <w:autoSpaceDE/>
              <w:autoSpaceDN/>
              <w:bidi w:val="0"/>
              <w:adjustRightInd w:val="0"/>
              <w:snapToGrid/>
              <w:spacing w:line="0" w:lineRule="atLeast"/>
              <w:jc w:val="center"/>
              <w:textAlignment w:val="auto"/>
              <w:outlineLvl w:val="9"/>
              <w:rPr>
                <w:rFonts w:hint="eastAsia" w:ascii="宋体" w:hAnsi="宋体" w:eastAsia="宋体" w:cs="宋体"/>
                <w:bCs/>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bCs/>
                <w:color w:val="000000" w:themeColor="text1"/>
                <w:sz w:val="21"/>
                <w:szCs w:val="21"/>
                <w:highlight w:val="none"/>
                <w:lang w:val="zh-CN"/>
                <w14:textFill>
                  <w14:solidFill>
                    <w14:schemeClr w14:val="tx1"/>
                  </w14:solidFill>
                </w14:textFill>
              </w:rPr>
              <w:t>6.3.</w:t>
            </w:r>
            <w:r>
              <w:rPr>
                <w:rFonts w:hint="eastAsia" w:ascii="宋体" w:hAnsi="宋体" w:cs="宋体"/>
                <w:bCs/>
                <w:color w:val="000000" w:themeColor="text1"/>
                <w:sz w:val="21"/>
                <w:szCs w:val="21"/>
                <w:highlight w:val="none"/>
                <w:lang w:val="en-US" w:eastAsia="zh-CN"/>
                <w14:textFill>
                  <w14:solidFill>
                    <w14:schemeClr w14:val="tx1"/>
                  </w14:solidFill>
                </w14:textFill>
              </w:rPr>
              <w:t>5</w:t>
            </w:r>
          </w:p>
        </w:tc>
        <w:tc>
          <w:tcPr>
            <w:tcW w:w="2095" w:type="dxa"/>
            <w:vAlign w:val="center"/>
          </w:tcPr>
          <w:p w14:paraId="0EABCA24">
            <w:pPr>
              <w:keepNext w:val="0"/>
              <w:keepLines w:val="0"/>
              <w:pageBreakBefore w:val="0"/>
              <w:widowControl w:val="0"/>
              <w:kinsoku/>
              <w:wordWrap w:val="0"/>
              <w:overflowPunct/>
              <w:topLinePunct w:val="0"/>
              <w:autoSpaceDE/>
              <w:autoSpaceDN/>
              <w:bidi w:val="0"/>
              <w:adjustRightInd w:val="0"/>
              <w:snapToGrid/>
              <w:spacing w:line="0" w:lineRule="atLeast"/>
              <w:jc w:val="center"/>
              <w:textAlignment w:val="auto"/>
              <w:outlineLvl w:val="9"/>
              <w:rPr>
                <w:rFonts w:hint="eastAsia" w:ascii="宋体" w:hAnsi="宋体" w:eastAsia="宋体" w:cs="宋体"/>
                <w:bCs/>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bCs/>
                <w:color w:val="000000" w:themeColor="text1"/>
                <w:sz w:val="21"/>
                <w:szCs w:val="21"/>
                <w:highlight w:val="none"/>
                <w:lang w:eastAsia="zh-CN"/>
                <w14:textFill>
                  <w14:solidFill>
                    <w14:schemeClr w14:val="tx1"/>
                  </w14:solidFill>
                </w14:textFill>
              </w:rPr>
              <w:t>磋商小组</w:t>
            </w:r>
            <w:r>
              <w:rPr>
                <w:rFonts w:hint="eastAsia" w:ascii="宋体" w:hAnsi="宋体" w:eastAsia="宋体" w:cs="宋体"/>
                <w:bCs/>
                <w:color w:val="000000" w:themeColor="text1"/>
                <w:sz w:val="21"/>
                <w:szCs w:val="21"/>
                <w:highlight w:val="none"/>
                <w14:textFill>
                  <w14:solidFill>
                    <w14:schemeClr w14:val="tx1"/>
                  </w14:solidFill>
                </w14:textFill>
              </w:rPr>
              <w:t>推荐</w:t>
            </w:r>
            <w:r>
              <w:rPr>
                <w:rFonts w:hint="eastAsia" w:ascii="宋体" w:hAnsi="宋体" w:eastAsia="宋体" w:cs="宋体"/>
                <w:bCs/>
                <w:color w:val="000000" w:themeColor="text1"/>
                <w:sz w:val="21"/>
                <w:szCs w:val="21"/>
                <w:highlight w:val="none"/>
                <w:lang w:eastAsia="zh-CN"/>
                <w14:textFill>
                  <w14:solidFill>
                    <w14:schemeClr w14:val="tx1"/>
                  </w14:solidFill>
                </w14:textFill>
              </w:rPr>
              <w:t>成交</w:t>
            </w:r>
            <w:r>
              <w:rPr>
                <w:rFonts w:hint="eastAsia" w:ascii="宋体" w:hAnsi="宋体" w:eastAsia="宋体" w:cs="宋体"/>
                <w:bCs/>
                <w:color w:val="000000" w:themeColor="text1"/>
                <w:sz w:val="21"/>
                <w:szCs w:val="21"/>
                <w:highlight w:val="none"/>
                <w14:textFill>
                  <w14:solidFill>
                    <w14:schemeClr w14:val="tx1"/>
                  </w14:solidFill>
                </w14:textFill>
              </w:rPr>
              <w:t>候选人的人数</w:t>
            </w:r>
          </w:p>
        </w:tc>
        <w:tc>
          <w:tcPr>
            <w:tcW w:w="6675" w:type="dxa"/>
            <w:vAlign w:val="center"/>
          </w:tcPr>
          <w:p w14:paraId="173F0501">
            <w:pPr>
              <w:keepNext w:val="0"/>
              <w:keepLines w:val="0"/>
              <w:pageBreakBefore w:val="0"/>
              <w:widowControl w:val="0"/>
              <w:kinsoku/>
              <w:wordWrap w:val="0"/>
              <w:overflowPunct/>
              <w:topLinePunct w:val="0"/>
              <w:autoSpaceDE/>
              <w:autoSpaceDN/>
              <w:bidi w:val="0"/>
              <w:adjustRightInd w:val="0"/>
              <w:snapToGrid/>
              <w:spacing w:line="0" w:lineRule="atLeast"/>
              <w:textAlignment w:val="auto"/>
              <w:outlineLvl w:val="9"/>
              <w:rPr>
                <w:rFonts w:hint="eastAsia" w:ascii="宋体" w:hAnsi="宋体" w:eastAsia="宋体" w:cs="宋体"/>
                <w:bCs/>
                <w:color w:val="000000" w:themeColor="text1"/>
                <w:kern w:val="2"/>
                <w:sz w:val="21"/>
                <w:szCs w:val="21"/>
                <w:highlight w:val="none"/>
                <w:lang w:val="zh-CN" w:eastAsia="zh-CN" w:bidi="ar-SA"/>
                <w14:textFill>
                  <w14:solidFill>
                    <w14:schemeClr w14:val="tx1"/>
                  </w14:solidFill>
                </w14:textFill>
              </w:rPr>
            </w:pPr>
            <w:r>
              <w:rPr>
                <w:rFonts w:hint="eastAsia" w:ascii="宋体" w:hAnsi="宋体" w:eastAsia="宋体" w:cs="宋体"/>
                <w:bCs/>
                <w:color w:val="000000" w:themeColor="text1"/>
                <w:sz w:val="21"/>
                <w:szCs w:val="21"/>
                <w:highlight w:val="none"/>
                <w:lang w:val="zh-CN"/>
                <w14:textFill>
                  <w14:solidFill>
                    <w14:schemeClr w14:val="tx1"/>
                  </w14:solidFill>
                </w14:textFill>
              </w:rPr>
              <w:t>推荐的成交候选人数：3人。磋商小组推荐初步评审合格，综合评审得分由高到低排名第一、第二、第三的供应商为成交候选人。</w:t>
            </w:r>
          </w:p>
        </w:tc>
      </w:tr>
      <w:tr w14:paraId="729A3D3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3" w:hRule="atLeast"/>
          <w:jc w:val="center"/>
        </w:trPr>
        <w:tc>
          <w:tcPr>
            <w:tcW w:w="995" w:type="dxa"/>
            <w:vAlign w:val="center"/>
          </w:tcPr>
          <w:p w14:paraId="0D75ACB3">
            <w:pPr>
              <w:keepNext w:val="0"/>
              <w:keepLines w:val="0"/>
              <w:pageBreakBefore w:val="0"/>
              <w:widowControl w:val="0"/>
              <w:kinsoku/>
              <w:wordWrap w:val="0"/>
              <w:overflowPunct/>
              <w:topLinePunct w:val="0"/>
              <w:autoSpaceDE/>
              <w:autoSpaceDN/>
              <w:bidi w:val="0"/>
              <w:adjustRightInd w:val="0"/>
              <w:snapToGrid/>
              <w:spacing w:line="0" w:lineRule="atLeast"/>
              <w:jc w:val="center"/>
              <w:textAlignment w:val="auto"/>
              <w:outlineLvl w:val="9"/>
              <w:rPr>
                <w:rFonts w:hint="eastAsia" w:ascii="宋体" w:hAnsi="宋体" w:eastAsia="宋体" w:cs="宋体"/>
                <w:bCs/>
                <w:color w:val="000000" w:themeColor="text1"/>
                <w:kern w:val="2"/>
                <w:sz w:val="21"/>
                <w:szCs w:val="21"/>
                <w:highlight w:val="none"/>
                <w:lang w:val="zh-CN" w:eastAsia="zh-CN" w:bidi="ar-SA"/>
                <w14:textFill>
                  <w14:solidFill>
                    <w14:schemeClr w14:val="tx1"/>
                  </w14:solidFill>
                </w14:textFill>
              </w:rPr>
            </w:pPr>
            <w:r>
              <w:rPr>
                <w:rFonts w:hint="eastAsia" w:ascii="宋体" w:hAnsi="宋体" w:eastAsia="宋体" w:cs="宋体"/>
                <w:bCs/>
                <w:color w:val="000000" w:themeColor="text1"/>
                <w:sz w:val="21"/>
                <w:szCs w:val="21"/>
                <w:highlight w:val="none"/>
                <w:lang w:val="zh-CN"/>
                <w14:textFill>
                  <w14:solidFill>
                    <w14:schemeClr w14:val="tx1"/>
                  </w14:solidFill>
                </w14:textFill>
              </w:rPr>
              <w:t>7.1</w:t>
            </w:r>
          </w:p>
        </w:tc>
        <w:tc>
          <w:tcPr>
            <w:tcW w:w="2095" w:type="dxa"/>
            <w:vAlign w:val="center"/>
          </w:tcPr>
          <w:p w14:paraId="3E7C2B70">
            <w:pPr>
              <w:keepNext w:val="0"/>
              <w:keepLines w:val="0"/>
              <w:pageBreakBefore w:val="0"/>
              <w:widowControl w:val="0"/>
              <w:kinsoku/>
              <w:wordWrap w:val="0"/>
              <w:overflowPunct/>
              <w:topLinePunct w:val="0"/>
              <w:autoSpaceDE/>
              <w:autoSpaceDN/>
              <w:bidi w:val="0"/>
              <w:snapToGrid/>
              <w:spacing w:line="0" w:lineRule="atLeast"/>
              <w:jc w:val="center"/>
              <w:textAlignment w:val="auto"/>
              <w:outlineLvl w:val="9"/>
              <w:rPr>
                <w:rFonts w:hint="eastAsia" w:ascii="宋体" w:hAnsi="宋体" w:eastAsia="宋体" w:cs="宋体"/>
                <w:bCs/>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bCs/>
                <w:color w:val="000000" w:themeColor="text1"/>
                <w:sz w:val="21"/>
                <w:szCs w:val="21"/>
                <w:highlight w:val="none"/>
                <w:lang w:eastAsia="zh-CN"/>
                <w14:textFill>
                  <w14:solidFill>
                    <w14:schemeClr w14:val="tx1"/>
                  </w14:solidFill>
                </w14:textFill>
              </w:rPr>
              <w:t>成交结果公告</w:t>
            </w:r>
            <w:r>
              <w:rPr>
                <w:rFonts w:hint="eastAsia" w:ascii="宋体" w:hAnsi="宋体" w:eastAsia="宋体" w:cs="宋体"/>
                <w:bCs/>
                <w:color w:val="000000" w:themeColor="text1"/>
                <w:sz w:val="21"/>
                <w:szCs w:val="21"/>
                <w:highlight w:val="none"/>
                <w14:textFill>
                  <w14:solidFill>
                    <w14:schemeClr w14:val="tx1"/>
                  </w14:solidFill>
                </w14:textFill>
              </w:rPr>
              <w:t>媒介及期限</w:t>
            </w:r>
          </w:p>
        </w:tc>
        <w:tc>
          <w:tcPr>
            <w:tcW w:w="6675" w:type="dxa"/>
            <w:vAlign w:val="center"/>
          </w:tcPr>
          <w:p w14:paraId="2204E248">
            <w:pPr>
              <w:keepNext w:val="0"/>
              <w:keepLines w:val="0"/>
              <w:pageBreakBefore w:val="0"/>
              <w:widowControl w:val="0"/>
              <w:kinsoku/>
              <w:wordWrap w:val="0"/>
              <w:overflowPunct/>
              <w:topLinePunct w:val="0"/>
              <w:autoSpaceDE/>
              <w:autoSpaceDN/>
              <w:bidi w:val="0"/>
              <w:adjustRightInd w:val="0"/>
              <w:snapToGrid/>
              <w:spacing w:line="0" w:lineRule="atLeast"/>
              <w:textAlignment w:val="auto"/>
              <w:outlineLvl w:val="9"/>
              <w:rPr>
                <w:rFonts w:hint="eastAsia" w:ascii="宋体" w:hAnsi="宋体" w:eastAsia="宋体" w:cs="宋体"/>
                <w:bCs/>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bCs/>
                <w:color w:val="000000" w:themeColor="text1"/>
                <w:kern w:val="2"/>
                <w:sz w:val="21"/>
                <w:szCs w:val="21"/>
                <w:highlight w:val="none"/>
                <w:lang w:val="en-US" w:eastAsia="zh-CN" w:bidi="ar-SA"/>
                <w14:textFill>
                  <w14:solidFill>
                    <w14:schemeClr w14:val="tx1"/>
                  </w14:solidFill>
                </w14:textFill>
              </w:rPr>
              <w:t>公告媒介：在“政采云”平台（http:// www.zcygov.cn），同步推送到吉林省政府采购网（http://www.ccgp-jilin.gov.cn/），并同时在中国政府采购网上发布</w:t>
            </w:r>
            <w:r>
              <w:rPr>
                <w:rFonts w:hint="eastAsia" w:ascii="宋体" w:hAnsi="宋体" w:cs="宋体"/>
                <w:bCs/>
                <w:color w:val="000000" w:themeColor="text1"/>
                <w:kern w:val="2"/>
                <w:sz w:val="21"/>
                <w:szCs w:val="21"/>
                <w:highlight w:val="none"/>
                <w:lang w:val="en-US" w:eastAsia="zh-CN" w:bidi="ar-SA"/>
                <w14:textFill>
                  <w14:solidFill>
                    <w14:schemeClr w14:val="tx1"/>
                  </w14:solidFill>
                </w14:textFill>
              </w:rPr>
              <w:t>；</w:t>
            </w:r>
          </w:p>
          <w:p w14:paraId="176C1FEF">
            <w:pPr>
              <w:keepNext w:val="0"/>
              <w:keepLines w:val="0"/>
              <w:pageBreakBefore w:val="0"/>
              <w:widowControl w:val="0"/>
              <w:kinsoku/>
              <w:wordWrap w:val="0"/>
              <w:overflowPunct/>
              <w:topLinePunct w:val="0"/>
              <w:autoSpaceDE/>
              <w:autoSpaceDN/>
              <w:bidi w:val="0"/>
              <w:adjustRightInd w:val="0"/>
              <w:snapToGrid/>
              <w:spacing w:line="0" w:lineRule="atLeast"/>
              <w:textAlignment w:val="auto"/>
              <w:outlineLvl w:val="9"/>
              <w:rPr>
                <w:rFonts w:hint="eastAsia" w:ascii="宋体" w:hAnsi="宋体" w:eastAsia="宋体" w:cs="宋体"/>
                <w:bCs/>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bCs/>
                <w:color w:val="000000" w:themeColor="text1"/>
                <w:kern w:val="2"/>
                <w:sz w:val="21"/>
                <w:szCs w:val="21"/>
                <w:highlight w:val="none"/>
                <w:lang w:val="en-US" w:eastAsia="zh-CN" w:bidi="ar-SA"/>
                <w14:textFill>
                  <w14:solidFill>
                    <w14:schemeClr w14:val="tx1"/>
                  </w14:solidFill>
                </w14:textFill>
              </w:rPr>
              <w:t>公告期限：1个工作日。</w:t>
            </w:r>
          </w:p>
        </w:tc>
      </w:tr>
      <w:tr w14:paraId="750FF04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9" w:hRule="atLeast"/>
          <w:jc w:val="center"/>
        </w:trPr>
        <w:tc>
          <w:tcPr>
            <w:tcW w:w="995" w:type="dxa"/>
            <w:vAlign w:val="center"/>
          </w:tcPr>
          <w:p w14:paraId="14C6FE7A">
            <w:pPr>
              <w:overflowPunct/>
              <w:bidi w:val="0"/>
              <w:spacing w:line="400" w:lineRule="exact"/>
              <w:jc w:val="center"/>
              <w:outlineLvl w:val="9"/>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7.3.1</w:t>
            </w:r>
          </w:p>
        </w:tc>
        <w:tc>
          <w:tcPr>
            <w:tcW w:w="2095" w:type="dxa"/>
            <w:vAlign w:val="center"/>
          </w:tcPr>
          <w:p w14:paraId="34DFD981">
            <w:pPr>
              <w:keepNext w:val="0"/>
              <w:keepLines w:val="0"/>
              <w:pageBreakBefore w:val="0"/>
              <w:widowControl w:val="0"/>
              <w:kinsoku/>
              <w:wordWrap w:val="0"/>
              <w:overflowPunct/>
              <w:topLinePunct w:val="0"/>
              <w:autoSpaceDE/>
              <w:autoSpaceDN/>
              <w:bidi w:val="0"/>
              <w:adjustRightInd w:val="0"/>
              <w:spacing w:line="0" w:lineRule="atLeast"/>
              <w:jc w:val="center"/>
              <w:textAlignment w:val="auto"/>
              <w:outlineLvl w:val="9"/>
              <w:rPr>
                <w:rFonts w:hint="eastAsia" w:ascii="宋体" w:hAnsi="宋体" w:eastAsia="宋体" w:cs="宋体"/>
                <w:bCs/>
                <w:color w:val="000000" w:themeColor="text1"/>
                <w:sz w:val="21"/>
                <w:szCs w:val="21"/>
                <w:highlight w:val="none"/>
                <w:lang w:val="zh-CN"/>
                <w14:textFill>
                  <w14:solidFill>
                    <w14:schemeClr w14:val="tx1"/>
                  </w14:solidFill>
                </w14:textFill>
              </w:rPr>
            </w:pPr>
            <w:r>
              <w:rPr>
                <w:rFonts w:hint="eastAsia" w:ascii="宋体" w:hAnsi="宋体" w:eastAsia="宋体" w:cs="宋体"/>
                <w:bCs/>
                <w:color w:val="000000" w:themeColor="text1"/>
                <w:sz w:val="21"/>
                <w:szCs w:val="21"/>
                <w:highlight w:val="none"/>
                <w:lang w:val="en-US" w:eastAsia="zh-CN"/>
                <w14:textFill>
                  <w14:solidFill>
                    <w14:schemeClr w14:val="tx1"/>
                  </w14:solidFill>
                </w14:textFill>
              </w:rPr>
              <w:t>履约担保</w:t>
            </w:r>
          </w:p>
        </w:tc>
        <w:tc>
          <w:tcPr>
            <w:tcW w:w="6675" w:type="dxa"/>
            <w:vAlign w:val="center"/>
          </w:tcPr>
          <w:p w14:paraId="3CFBE262">
            <w:pPr>
              <w:keepNext w:val="0"/>
              <w:keepLines w:val="0"/>
              <w:pageBreakBefore w:val="0"/>
              <w:widowControl w:val="0"/>
              <w:kinsoku/>
              <w:wordWrap w:val="0"/>
              <w:overflowPunct/>
              <w:topLinePunct w:val="0"/>
              <w:autoSpaceDE/>
              <w:autoSpaceDN/>
              <w:bidi w:val="0"/>
              <w:adjustRightInd w:val="0"/>
              <w:snapToGrid w:val="0"/>
              <w:spacing w:line="0" w:lineRule="atLeast"/>
              <w:textAlignment w:val="auto"/>
              <w:outlineLvl w:val="9"/>
              <w:rPr>
                <w:rFonts w:hint="default" w:ascii="宋体" w:hAnsi="宋体" w:eastAsia="宋体" w:cs="宋体"/>
                <w:bCs/>
                <w:color w:val="000000" w:themeColor="text1"/>
                <w:sz w:val="21"/>
                <w:szCs w:val="21"/>
                <w:highlight w:val="none"/>
                <w:lang w:val="en-US" w:eastAsia="zh-CN"/>
                <w14:textFill>
                  <w14:solidFill>
                    <w14:schemeClr w14:val="tx1"/>
                  </w14:solidFill>
                </w14:textFill>
              </w:rPr>
            </w:pPr>
            <w:r>
              <w:rPr>
                <w:rFonts w:hint="default" w:ascii="宋体" w:hAnsi="宋体" w:eastAsia="宋体" w:cs="宋体"/>
                <w:bCs/>
                <w:color w:val="000000" w:themeColor="text1"/>
                <w:sz w:val="21"/>
                <w:szCs w:val="21"/>
                <w:highlight w:val="none"/>
                <w:lang w:val="en-US" w:eastAsia="zh-CN"/>
                <w14:textFill>
                  <w14:solidFill>
                    <w14:schemeClr w14:val="tx1"/>
                  </w14:solidFill>
                </w14:textFill>
              </w:rPr>
              <w:t>是否要求成交人提交履约保证金：</w:t>
            </w:r>
          </w:p>
          <w:p w14:paraId="203E4746">
            <w:pPr>
              <w:keepNext w:val="0"/>
              <w:keepLines w:val="0"/>
              <w:pageBreakBefore w:val="0"/>
              <w:widowControl w:val="0"/>
              <w:kinsoku/>
              <w:wordWrap w:val="0"/>
              <w:overflowPunct/>
              <w:topLinePunct w:val="0"/>
              <w:autoSpaceDE/>
              <w:autoSpaceDN/>
              <w:bidi w:val="0"/>
              <w:adjustRightInd w:val="0"/>
              <w:snapToGrid w:val="0"/>
              <w:spacing w:line="0" w:lineRule="atLeast"/>
              <w:textAlignment w:val="auto"/>
              <w:outlineLvl w:val="9"/>
              <w:rPr>
                <w:rFonts w:hint="default" w:ascii="宋体" w:hAnsi="宋体" w:eastAsia="宋体" w:cs="宋体"/>
                <w:bCs/>
                <w:color w:val="000000" w:themeColor="text1"/>
                <w:sz w:val="21"/>
                <w:szCs w:val="21"/>
                <w:highlight w:val="none"/>
                <w:lang w:val="en-US" w:eastAsia="zh-CN"/>
                <w14:textFill>
                  <w14:solidFill>
                    <w14:schemeClr w14:val="tx1"/>
                  </w14:solidFill>
                </w14:textFill>
              </w:rPr>
            </w:pPr>
            <w:r>
              <w:rPr>
                <w:rFonts w:hint="default" w:ascii="宋体" w:hAnsi="宋体" w:eastAsia="宋体" w:cs="宋体"/>
                <w:bCs/>
                <w:color w:val="000000" w:themeColor="text1"/>
                <w:sz w:val="21"/>
                <w:szCs w:val="21"/>
                <w:highlight w:val="none"/>
                <w:lang w:val="en-US" w:eastAsia="zh-CN"/>
                <w14:textFill>
                  <w14:solidFill>
                    <w14:schemeClr w14:val="tx1"/>
                  </w14:solidFill>
                </w14:textFill>
              </w:rPr>
              <w:sym w:font="Wingdings 2" w:char="00A3"/>
            </w:r>
            <w:r>
              <w:rPr>
                <w:rFonts w:hint="default" w:ascii="宋体" w:hAnsi="宋体" w:eastAsia="宋体" w:cs="宋体"/>
                <w:bCs/>
                <w:color w:val="000000" w:themeColor="text1"/>
                <w:sz w:val="21"/>
                <w:szCs w:val="21"/>
                <w:highlight w:val="none"/>
                <w:lang w:val="en-US" w:eastAsia="zh-CN"/>
                <w14:textFill>
                  <w14:solidFill>
                    <w14:schemeClr w14:val="tx1"/>
                  </w14:solidFill>
                </w14:textFill>
              </w:rPr>
              <w:t>要求</w:t>
            </w:r>
          </w:p>
          <w:p w14:paraId="6400ACCF">
            <w:pPr>
              <w:keepNext w:val="0"/>
              <w:keepLines w:val="0"/>
              <w:pageBreakBefore w:val="0"/>
              <w:widowControl w:val="0"/>
              <w:kinsoku/>
              <w:wordWrap w:val="0"/>
              <w:overflowPunct/>
              <w:topLinePunct w:val="0"/>
              <w:autoSpaceDE/>
              <w:autoSpaceDN/>
              <w:bidi w:val="0"/>
              <w:adjustRightInd w:val="0"/>
              <w:snapToGrid w:val="0"/>
              <w:spacing w:line="0" w:lineRule="atLeast"/>
              <w:textAlignment w:val="auto"/>
              <w:outlineLvl w:val="9"/>
              <w:rPr>
                <w:rFonts w:hint="default" w:ascii="宋体" w:hAnsi="宋体" w:eastAsia="宋体" w:cs="宋体"/>
                <w:bCs/>
                <w:color w:val="000000" w:themeColor="text1"/>
                <w:sz w:val="21"/>
                <w:szCs w:val="21"/>
                <w:highlight w:val="none"/>
                <w:lang w:val="en-US" w:eastAsia="zh-CN"/>
                <w14:textFill>
                  <w14:solidFill>
                    <w14:schemeClr w14:val="tx1"/>
                  </w14:solidFill>
                </w14:textFill>
              </w:rPr>
            </w:pPr>
            <w:r>
              <w:rPr>
                <w:rFonts w:hint="default" w:ascii="宋体" w:hAnsi="宋体" w:eastAsia="宋体" w:cs="宋体"/>
                <w:bCs/>
                <w:color w:val="000000" w:themeColor="text1"/>
                <w:sz w:val="21"/>
                <w:szCs w:val="21"/>
                <w:highlight w:val="none"/>
                <w:lang w:val="en-US" w:eastAsia="zh-CN"/>
                <w14:textFill>
                  <w14:solidFill>
                    <w14:schemeClr w14:val="tx1"/>
                  </w14:solidFill>
                </w14:textFill>
              </w:rPr>
              <w:fldChar w:fldCharType="begin"/>
            </w:r>
            <w:r>
              <w:rPr>
                <w:rFonts w:hint="default" w:ascii="宋体" w:hAnsi="宋体" w:eastAsia="宋体" w:cs="宋体"/>
                <w:bCs/>
                <w:color w:val="000000" w:themeColor="text1"/>
                <w:sz w:val="21"/>
                <w:szCs w:val="21"/>
                <w:highlight w:val="none"/>
                <w:lang w:val="en-US" w:eastAsia="zh-CN"/>
                <w14:textFill>
                  <w14:solidFill>
                    <w14:schemeClr w14:val="tx1"/>
                  </w14:solidFill>
                </w14:textFill>
              </w:rPr>
              <w:instrText xml:space="preserve">eq \o\ac(□,√)</w:instrText>
            </w:r>
            <w:r>
              <w:rPr>
                <w:rFonts w:hint="default" w:ascii="宋体" w:hAnsi="宋体" w:eastAsia="宋体" w:cs="宋体"/>
                <w:bCs/>
                <w:color w:val="000000" w:themeColor="text1"/>
                <w:sz w:val="21"/>
                <w:szCs w:val="21"/>
                <w:highlight w:val="none"/>
                <w:lang w:val="en-US" w:eastAsia="zh-CN"/>
                <w14:textFill>
                  <w14:solidFill>
                    <w14:schemeClr w14:val="tx1"/>
                  </w14:solidFill>
                </w14:textFill>
              </w:rPr>
              <w:fldChar w:fldCharType="end"/>
            </w:r>
            <w:r>
              <w:rPr>
                <w:rFonts w:hint="default" w:ascii="宋体" w:hAnsi="宋体" w:eastAsia="宋体" w:cs="宋体"/>
                <w:bCs/>
                <w:color w:val="000000" w:themeColor="text1"/>
                <w:sz w:val="21"/>
                <w:szCs w:val="21"/>
                <w:highlight w:val="none"/>
                <w:lang w:val="en-US" w:eastAsia="zh-CN"/>
                <w14:textFill>
                  <w14:solidFill>
                    <w14:schemeClr w14:val="tx1"/>
                  </w14:solidFill>
                </w14:textFill>
              </w:rPr>
              <w:t>不要求</w:t>
            </w:r>
          </w:p>
        </w:tc>
      </w:tr>
      <w:tr w14:paraId="741B0DE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63" w:hRule="atLeast"/>
          <w:jc w:val="center"/>
        </w:trPr>
        <w:tc>
          <w:tcPr>
            <w:tcW w:w="995" w:type="dxa"/>
            <w:vAlign w:val="center"/>
          </w:tcPr>
          <w:p w14:paraId="215220FC">
            <w:pPr>
              <w:keepNext w:val="0"/>
              <w:keepLines w:val="0"/>
              <w:pageBreakBefore w:val="0"/>
              <w:widowControl w:val="0"/>
              <w:kinsoku/>
              <w:wordWrap w:val="0"/>
              <w:overflowPunct/>
              <w:topLinePunct w:val="0"/>
              <w:autoSpaceDE/>
              <w:autoSpaceDN/>
              <w:bidi w:val="0"/>
              <w:adjustRightInd w:val="0"/>
              <w:spacing w:line="0" w:lineRule="atLeast"/>
              <w:jc w:val="center"/>
              <w:textAlignment w:val="auto"/>
              <w:outlineLvl w:val="9"/>
              <w:rPr>
                <w:rFonts w:hint="eastAsia" w:ascii="宋体" w:hAnsi="宋体" w:eastAsia="宋体" w:cs="宋体"/>
                <w:bCs/>
                <w:color w:val="000000" w:themeColor="text1"/>
                <w:kern w:val="2"/>
                <w:sz w:val="21"/>
                <w:szCs w:val="21"/>
                <w:highlight w:val="none"/>
                <w:lang w:val="zh-CN" w:eastAsia="zh-CN" w:bidi="ar-SA"/>
                <w14:textFill>
                  <w14:solidFill>
                    <w14:schemeClr w14:val="tx1"/>
                  </w14:solidFill>
                </w14:textFill>
              </w:rPr>
            </w:pPr>
            <w:r>
              <w:rPr>
                <w:rFonts w:hint="eastAsia" w:ascii="宋体" w:hAnsi="宋体" w:eastAsia="宋体" w:cs="宋体"/>
                <w:bCs/>
                <w:color w:val="000000" w:themeColor="text1"/>
                <w:sz w:val="21"/>
                <w:szCs w:val="21"/>
                <w:highlight w:val="none"/>
                <w:lang w:val="zh-CN"/>
                <w14:textFill>
                  <w14:solidFill>
                    <w14:schemeClr w14:val="tx1"/>
                  </w14:solidFill>
                </w14:textFill>
              </w:rPr>
              <w:t>7.4</w:t>
            </w:r>
          </w:p>
        </w:tc>
        <w:tc>
          <w:tcPr>
            <w:tcW w:w="2095" w:type="dxa"/>
            <w:vAlign w:val="center"/>
          </w:tcPr>
          <w:p w14:paraId="28899CCF">
            <w:pPr>
              <w:keepNext w:val="0"/>
              <w:keepLines w:val="0"/>
              <w:pageBreakBefore w:val="0"/>
              <w:widowControl w:val="0"/>
              <w:kinsoku/>
              <w:wordWrap w:val="0"/>
              <w:overflowPunct/>
              <w:topLinePunct w:val="0"/>
              <w:autoSpaceDE/>
              <w:autoSpaceDN/>
              <w:bidi w:val="0"/>
              <w:adjustRightInd w:val="0"/>
              <w:spacing w:line="0" w:lineRule="atLeast"/>
              <w:jc w:val="center"/>
              <w:textAlignment w:val="auto"/>
              <w:outlineLvl w:val="9"/>
              <w:rPr>
                <w:rFonts w:hint="eastAsia" w:ascii="宋体" w:hAnsi="宋体" w:eastAsia="宋体" w:cs="宋体"/>
                <w:bCs/>
                <w:color w:val="000000" w:themeColor="text1"/>
                <w:sz w:val="21"/>
                <w:szCs w:val="21"/>
                <w:highlight w:val="none"/>
                <w:lang w:val="en-US" w:eastAsia="zh-CN"/>
                <w14:textFill>
                  <w14:solidFill>
                    <w14:schemeClr w14:val="tx1"/>
                  </w14:solidFill>
                </w14:textFill>
              </w:rPr>
            </w:pPr>
            <w:r>
              <w:rPr>
                <w:rFonts w:hint="eastAsia" w:ascii="宋体" w:hAnsi="宋体" w:eastAsia="宋体" w:cs="宋体"/>
                <w:bCs/>
                <w:color w:val="000000" w:themeColor="text1"/>
                <w:sz w:val="21"/>
                <w:szCs w:val="21"/>
                <w:highlight w:val="none"/>
                <w:lang w:val="zh-CN"/>
                <w14:textFill>
                  <w14:solidFill>
                    <w14:schemeClr w14:val="tx1"/>
                  </w14:solidFill>
                </w14:textFill>
              </w:rPr>
              <w:t>是否授权磋商小组确定成交人</w:t>
            </w:r>
          </w:p>
        </w:tc>
        <w:tc>
          <w:tcPr>
            <w:tcW w:w="6675" w:type="dxa"/>
            <w:vAlign w:val="center"/>
          </w:tcPr>
          <w:p w14:paraId="37DAF470">
            <w:pPr>
              <w:keepNext w:val="0"/>
              <w:keepLines w:val="0"/>
              <w:pageBreakBefore w:val="0"/>
              <w:widowControl w:val="0"/>
              <w:kinsoku/>
              <w:wordWrap w:val="0"/>
              <w:overflowPunct/>
              <w:topLinePunct w:val="0"/>
              <w:autoSpaceDE/>
              <w:autoSpaceDN/>
              <w:bidi w:val="0"/>
              <w:adjustRightInd w:val="0"/>
              <w:snapToGrid w:val="0"/>
              <w:spacing w:line="0" w:lineRule="atLeast"/>
              <w:textAlignment w:val="auto"/>
              <w:outlineLvl w:val="9"/>
              <w:rPr>
                <w:rFonts w:hint="eastAsia" w:ascii="宋体" w:hAnsi="宋体" w:eastAsia="宋体" w:cs="宋体"/>
                <w:bCs/>
                <w:color w:val="000000" w:themeColor="text1"/>
                <w:sz w:val="21"/>
                <w:szCs w:val="21"/>
                <w:highlight w:val="none"/>
                <w:lang w:eastAsia="zh-CN"/>
                <w14:textFill>
                  <w14:solidFill>
                    <w14:schemeClr w14:val="tx1"/>
                  </w14:solidFill>
                </w14:textFill>
              </w:rPr>
            </w:pPr>
            <w:r>
              <w:rPr>
                <w:rFonts w:hint="eastAsia" w:ascii="宋体" w:hAnsi="宋体" w:cs="宋体"/>
                <w:bCs/>
                <w:color w:val="000000" w:themeColor="text1"/>
                <w:sz w:val="21"/>
                <w:szCs w:val="21"/>
                <w:highlight w:val="none"/>
                <w:lang w:eastAsia="zh-CN"/>
                <w14:textFill>
                  <w14:solidFill>
                    <w14:schemeClr w14:val="tx1"/>
                  </w14:solidFill>
                </w14:textFill>
              </w:rPr>
              <w:t>□</w:t>
            </w:r>
            <w:r>
              <w:rPr>
                <w:rFonts w:hint="eastAsia" w:ascii="宋体" w:hAnsi="宋体" w:eastAsia="宋体" w:cs="宋体"/>
                <w:bCs/>
                <w:color w:val="000000" w:themeColor="text1"/>
                <w:sz w:val="21"/>
                <w:szCs w:val="21"/>
                <w:highlight w:val="none"/>
                <w:lang w:eastAsia="zh-CN"/>
                <w14:textFill>
                  <w14:solidFill>
                    <w14:schemeClr w14:val="tx1"/>
                  </w14:solidFill>
                </w14:textFill>
              </w:rPr>
              <w:t>是</w:t>
            </w:r>
          </w:p>
          <w:p w14:paraId="47FDEEA4">
            <w:pPr>
              <w:keepNext w:val="0"/>
              <w:keepLines w:val="0"/>
              <w:pageBreakBefore w:val="0"/>
              <w:widowControl w:val="0"/>
              <w:kinsoku/>
              <w:wordWrap w:val="0"/>
              <w:overflowPunct/>
              <w:topLinePunct w:val="0"/>
              <w:autoSpaceDE/>
              <w:autoSpaceDN/>
              <w:bidi w:val="0"/>
              <w:adjustRightInd w:val="0"/>
              <w:snapToGrid w:val="0"/>
              <w:spacing w:line="0" w:lineRule="atLeast"/>
              <w:textAlignment w:val="auto"/>
              <w:outlineLvl w:val="9"/>
              <w:rPr>
                <w:rFonts w:hint="eastAsia" w:ascii="宋体" w:hAnsi="宋体" w:eastAsia="宋体" w:cs="宋体"/>
                <w:bCs/>
                <w:color w:val="000000" w:themeColor="text1"/>
                <w:sz w:val="21"/>
                <w:szCs w:val="21"/>
                <w:highlight w:val="none"/>
                <w:lang w:val="en-US" w:eastAsia="zh-CN"/>
                <w14:textFill>
                  <w14:solidFill>
                    <w14:schemeClr w14:val="tx1"/>
                  </w14:solidFill>
                </w14:textFill>
              </w:rPr>
            </w:pPr>
            <w:r>
              <w:rPr>
                <w:rFonts w:hint="eastAsia" w:ascii="宋体" w:hAnsi="宋体" w:eastAsia="宋体" w:cs="宋体"/>
                <w:bCs/>
                <w:color w:val="000000" w:themeColor="text1"/>
                <w:sz w:val="21"/>
                <w:szCs w:val="21"/>
                <w:highlight w:val="none"/>
                <w:lang w:eastAsia="zh-CN"/>
                <w14:textFill>
                  <w14:solidFill>
                    <w14:schemeClr w14:val="tx1"/>
                  </w14:solidFill>
                </w14:textFill>
              </w:rPr>
              <w:fldChar w:fldCharType="begin"/>
            </w:r>
            <w:r>
              <w:rPr>
                <w:rFonts w:hint="eastAsia" w:ascii="宋体" w:hAnsi="宋体" w:eastAsia="宋体" w:cs="宋体"/>
                <w:bCs/>
                <w:color w:val="000000" w:themeColor="text1"/>
                <w:sz w:val="21"/>
                <w:szCs w:val="21"/>
                <w:highlight w:val="none"/>
                <w:lang w:eastAsia="zh-CN"/>
                <w14:textFill>
                  <w14:solidFill>
                    <w14:schemeClr w14:val="tx1"/>
                  </w14:solidFill>
                </w14:textFill>
              </w:rPr>
              <w:instrText xml:space="preserve">eq \o\ac(□,√)</w:instrText>
            </w:r>
            <w:r>
              <w:rPr>
                <w:rFonts w:hint="eastAsia" w:ascii="宋体" w:hAnsi="宋体" w:eastAsia="宋体" w:cs="宋体"/>
                <w:bCs/>
                <w:color w:val="000000" w:themeColor="text1"/>
                <w:sz w:val="21"/>
                <w:szCs w:val="21"/>
                <w:highlight w:val="none"/>
                <w:lang w:eastAsia="zh-CN"/>
                <w14:textFill>
                  <w14:solidFill>
                    <w14:schemeClr w14:val="tx1"/>
                  </w14:solidFill>
                </w14:textFill>
              </w:rPr>
              <w:fldChar w:fldCharType="end"/>
            </w:r>
            <w:r>
              <w:rPr>
                <w:rFonts w:hint="eastAsia" w:ascii="宋体" w:hAnsi="宋体" w:eastAsia="宋体" w:cs="宋体"/>
                <w:bCs/>
                <w:color w:val="000000" w:themeColor="text1"/>
                <w:sz w:val="21"/>
                <w:szCs w:val="21"/>
                <w:highlight w:val="none"/>
                <w:lang w:eastAsia="zh-CN"/>
                <w14:textFill>
                  <w14:solidFill>
                    <w14:schemeClr w14:val="tx1"/>
                  </w14:solidFill>
                </w14:textFill>
              </w:rPr>
              <w:t>否</w:t>
            </w:r>
          </w:p>
        </w:tc>
      </w:tr>
      <w:tr w14:paraId="2B78CEF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63" w:hRule="atLeast"/>
          <w:jc w:val="center"/>
        </w:trPr>
        <w:tc>
          <w:tcPr>
            <w:tcW w:w="995" w:type="dxa"/>
            <w:vAlign w:val="center"/>
          </w:tcPr>
          <w:p w14:paraId="0662391F">
            <w:pPr>
              <w:overflowPunct/>
              <w:bidi w:val="0"/>
              <w:spacing w:line="400" w:lineRule="exact"/>
              <w:jc w:val="center"/>
              <w:outlineLvl w:val="9"/>
              <w:rPr>
                <w:rFonts w:hint="eastAsia" w:ascii="宋体" w:hAnsi="宋体" w:eastAsia="宋体" w:cs="宋体"/>
                <w:bCs/>
                <w:color w:val="000000" w:themeColor="text1"/>
                <w:sz w:val="21"/>
                <w:szCs w:val="21"/>
                <w:highlight w:val="none"/>
                <w:lang w:val="zh-CN"/>
                <w14:textFill>
                  <w14:solidFill>
                    <w14:schemeClr w14:val="tx1"/>
                  </w14:solidFill>
                </w14:textFill>
              </w:rPr>
            </w:pPr>
            <w:r>
              <w:rPr>
                <w:rFonts w:hint="eastAsia"/>
                <w:color w:val="000000" w:themeColor="text1"/>
                <w:highlight w:val="none"/>
                <w14:textFill>
                  <w14:solidFill>
                    <w14:schemeClr w14:val="tx1"/>
                  </w14:solidFill>
                </w14:textFill>
              </w:rPr>
              <w:t>10.</w:t>
            </w:r>
            <w:r>
              <w:rPr>
                <w:rFonts w:hint="eastAsia"/>
                <w:color w:val="000000" w:themeColor="text1"/>
                <w:highlight w:val="none"/>
                <w:lang w:val="en-US" w:eastAsia="zh-CN"/>
                <w14:textFill>
                  <w14:solidFill>
                    <w14:schemeClr w14:val="tx1"/>
                  </w14:solidFill>
                </w14:textFill>
              </w:rPr>
              <w:t>8</w:t>
            </w:r>
          </w:p>
        </w:tc>
        <w:tc>
          <w:tcPr>
            <w:tcW w:w="2095" w:type="dxa"/>
            <w:vAlign w:val="center"/>
          </w:tcPr>
          <w:p w14:paraId="77797924">
            <w:pPr>
              <w:overflowPunct/>
              <w:bidi w:val="0"/>
              <w:spacing w:line="400" w:lineRule="exact"/>
              <w:jc w:val="center"/>
              <w:outlineLvl w:val="9"/>
              <w:rPr>
                <w:rFonts w:hint="eastAsia" w:ascii="宋体" w:hAnsi="宋体" w:eastAsia="宋体" w:cs="宋体"/>
                <w:bCs/>
                <w:color w:val="000000" w:themeColor="text1"/>
                <w:sz w:val="21"/>
                <w:szCs w:val="21"/>
                <w:highlight w:val="none"/>
                <w:lang w:val="zh-CN"/>
                <w14:textFill>
                  <w14:solidFill>
                    <w14:schemeClr w14:val="tx1"/>
                  </w14:solidFill>
                </w14:textFill>
              </w:rPr>
            </w:pPr>
            <w:r>
              <w:rPr>
                <w:rFonts w:hint="eastAsia"/>
                <w:color w:val="000000" w:themeColor="text1"/>
                <w:highlight w:val="none"/>
                <w14:textFill>
                  <w14:solidFill>
                    <w14:schemeClr w14:val="tx1"/>
                  </w14:solidFill>
                </w14:textFill>
              </w:rPr>
              <w:t>重新招标的其他情形</w:t>
            </w:r>
          </w:p>
        </w:tc>
        <w:tc>
          <w:tcPr>
            <w:tcW w:w="6675" w:type="dxa"/>
            <w:vAlign w:val="center"/>
          </w:tcPr>
          <w:p w14:paraId="5529D295">
            <w:pPr>
              <w:keepNext w:val="0"/>
              <w:keepLines w:val="0"/>
              <w:pageBreakBefore w:val="0"/>
              <w:widowControl w:val="0"/>
              <w:kinsoku/>
              <w:wordWrap/>
              <w:overflowPunct/>
              <w:topLinePunct w:val="0"/>
              <w:autoSpaceDE/>
              <w:autoSpaceDN/>
              <w:bidi w:val="0"/>
              <w:adjustRightInd/>
              <w:snapToGrid/>
              <w:spacing w:line="0" w:lineRule="atLeast"/>
              <w:ind w:left="0" w:leftChars="0" w:firstLine="0" w:firstLineChars="0"/>
              <w:textAlignment w:val="auto"/>
              <w:outlineLvl w:val="9"/>
              <w:rPr>
                <w:rFonts w:hint="eastAsia" w:ascii="宋体" w:hAnsi="宋体" w:eastAsia="宋体" w:cs="宋体"/>
                <w:color w:val="000000" w:themeColor="text1"/>
                <w:sz w:val="21"/>
                <w:szCs w:val="21"/>
                <w:highlight w:val="none"/>
                <w:lang w:val="en-US" w:eastAsia="zh-CN"/>
                <w14:textFill>
                  <w14:solidFill>
                    <w14:schemeClr w14:val="tx1"/>
                  </w14:solidFill>
                </w14:textFill>
              </w:rPr>
            </w:pPr>
            <w:r>
              <w:rPr>
                <w:rFonts w:hint="eastAsia" w:ascii="宋体" w:hAnsi="宋体" w:eastAsia="宋体" w:cs="宋体"/>
                <w:color w:val="000000" w:themeColor="text1"/>
                <w:sz w:val="21"/>
                <w:szCs w:val="21"/>
                <w:highlight w:val="none"/>
                <w:lang w:val="en-US" w:eastAsia="zh-CN"/>
                <w14:textFill>
                  <w14:solidFill>
                    <w14:schemeClr w14:val="tx1"/>
                  </w14:solidFill>
                </w14:textFill>
              </w:rPr>
              <w:t>除</w:t>
            </w:r>
            <w:r>
              <w:rPr>
                <w:rFonts w:hint="eastAsia" w:ascii="宋体" w:hAnsi="宋体" w:cs="宋体"/>
                <w:color w:val="000000" w:themeColor="text1"/>
                <w:sz w:val="21"/>
                <w:szCs w:val="21"/>
                <w:highlight w:val="none"/>
                <w:lang w:val="en-US" w:eastAsia="zh-CN"/>
                <w14:textFill>
                  <w14:solidFill>
                    <w14:schemeClr w14:val="tx1"/>
                  </w14:solidFill>
                </w14:textFill>
              </w:rPr>
              <w:t>供应商</w:t>
            </w:r>
            <w:r>
              <w:rPr>
                <w:rFonts w:hint="eastAsia" w:ascii="宋体" w:hAnsi="宋体" w:eastAsia="宋体" w:cs="宋体"/>
                <w:color w:val="000000" w:themeColor="text1"/>
                <w:sz w:val="21"/>
                <w:szCs w:val="21"/>
                <w:highlight w:val="none"/>
                <w:lang w:val="en-US" w:eastAsia="zh-CN"/>
                <w14:textFill>
                  <w14:solidFill>
                    <w14:schemeClr w14:val="tx1"/>
                  </w14:solidFill>
                </w14:textFill>
              </w:rPr>
              <w:t>须知正文第8条规定的情形外，除非已经产生成交候选人，在响应有效期内同意延长响应有效期的</w:t>
            </w:r>
            <w:r>
              <w:rPr>
                <w:rFonts w:hint="eastAsia" w:ascii="宋体" w:hAnsi="宋体" w:cs="宋体"/>
                <w:color w:val="000000" w:themeColor="text1"/>
                <w:sz w:val="21"/>
                <w:szCs w:val="21"/>
                <w:highlight w:val="none"/>
                <w:lang w:val="en-US" w:eastAsia="zh-CN"/>
                <w14:textFill>
                  <w14:solidFill>
                    <w14:schemeClr w14:val="tx1"/>
                  </w14:solidFill>
                </w14:textFill>
              </w:rPr>
              <w:t>供应商</w:t>
            </w:r>
            <w:r>
              <w:rPr>
                <w:rFonts w:hint="eastAsia" w:ascii="宋体" w:hAnsi="宋体" w:eastAsia="宋体" w:cs="宋体"/>
                <w:color w:val="000000" w:themeColor="text1"/>
                <w:sz w:val="21"/>
                <w:szCs w:val="21"/>
                <w:highlight w:val="none"/>
                <w:lang w:val="en-US" w:eastAsia="zh-CN"/>
                <w14:textFill>
                  <w14:solidFill>
                    <w14:schemeClr w14:val="tx1"/>
                  </w14:solidFill>
                </w14:textFill>
              </w:rPr>
              <w:t>少于三个的，采购人应当依法重新招标。</w:t>
            </w:r>
          </w:p>
          <w:p w14:paraId="5291C392">
            <w:pPr>
              <w:keepNext w:val="0"/>
              <w:keepLines w:val="0"/>
              <w:pageBreakBefore w:val="0"/>
              <w:widowControl w:val="0"/>
              <w:kinsoku/>
              <w:wordWrap/>
              <w:overflowPunct/>
              <w:topLinePunct w:val="0"/>
              <w:autoSpaceDE/>
              <w:autoSpaceDN/>
              <w:bidi w:val="0"/>
              <w:adjustRightInd/>
              <w:snapToGrid/>
              <w:spacing w:line="0" w:lineRule="atLeast"/>
              <w:ind w:left="0" w:leftChars="0" w:firstLine="0" w:firstLineChars="0"/>
              <w:textAlignment w:val="auto"/>
              <w:outlineLvl w:val="9"/>
              <w:rPr>
                <w:rFonts w:hint="eastAsia" w:ascii="宋体" w:hAnsi="宋体" w:eastAsia="宋体" w:cs="宋体"/>
                <w:bCs/>
                <w:color w:val="000000" w:themeColor="text1"/>
                <w:sz w:val="21"/>
                <w:szCs w:val="21"/>
                <w:highlight w:val="none"/>
                <w:lang w:eastAsia="zh-CN"/>
                <w14:textFill>
                  <w14:solidFill>
                    <w14:schemeClr w14:val="tx1"/>
                  </w14:solidFill>
                </w14:textFill>
              </w:rPr>
            </w:pPr>
            <w:r>
              <w:rPr>
                <w:rFonts w:hint="eastAsia" w:ascii="宋体" w:hAnsi="宋体" w:eastAsia="宋体" w:cs="宋体"/>
                <w:color w:val="000000" w:themeColor="text1"/>
                <w:sz w:val="21"/>
                <w:szCs w:val="21"/>
                <w:highlight w:val="none"/>
                <w:lang w:val="en-US" w:eastAsia="zh-CN"/>
                <w14:textFill>
                  <w14:solidFill>
                    <w14:schemeClr w14:val="tx1"/>
                  </w14:solidFill>
                </w14:textFill>
              </w:rPr>
              <w:t>通过初步评审的有效投标不足三个使得投标明显缺乏竞争的，磋商小组可以否决全部投标。</w:t>
            </w:r>
          </w:p>
        </w:tc>
      </w:tr>
      <w:tr w14:paraId="20B88B5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63" w:hRule="atLeast"/>
          <w:jc w:val="center"/>
        </w:trPr>
        <w:tc>
          <w:tcPr>
            <w:tcW w:w="995" w:type="dxa"/>
            <w:vAlign w:val="center"/>
          </w:tcPr>
          <w:p w14:paraId="75C8F648">
            <w:pPr>
              <w:keepNext w:val="0"/>
              <w:keepLines w:val="0"/>
              <w:pageBreakBefore w:val="0"/>
              <w:widowControl w:val="0"/>
              <w:kinsoku/>
              <w:wordWrap w:val="0"/>
              <w:overflowPunct/>
              <w:topLinePunct w:val="0"/>
              <w:autoSpaceDE/>
              <w:autoSpaceDN/>
              <w:bidi w:val="0"/>
              <w:adjustRightInd w:val="0"/>
              <w:spacing w:line="0" w:lineRule="atLeast"/>
              <w:jc w:val="center"/>
              <w:textAlignment w:val="auto"/>
              <w:outlineLvl w:val="9"/>
              <w:rPr>
                <w:rFonts w:hint="eastAsia" w:ascii="宋体" w:hAnsi="宋体" w:eastAsia="宋体" w:cs="宋体"/>
                <w:bCs/>
                <w:color w:val="000000" w:themeColor="text1"/>
                <w:kern w:val="2"/>
                <w:sz w:val="21"/>
                <w:szCs w:val="21"/>
                <w:highlight w:val="none"/>
                <w:lang w:val="zh-CN" w:eastAsia="zh-CN" w:bidi="ar-SA"/>
                <w14:textFill>
                  <w14:solidFill>
                    <w14:schemeClr w14:val="tx1"/>
                  </w14:solidFill>
                </w14:textFill>
              </w:rPr>
            </w:pPr>
            <w:r>
              <w:rPr>
                <w:rFonts w:hint="eastAsia" w:ascii="宋体" w:hAnsi="宋体" w:eastAsia="宋体" w:cs="宋体"/>
                <w:bCs/>
                <w:color w:val="000000" w:themeColor="text1"/>
                <w:sz w:val="21"/>
                <w:szCs w:val="21"/>
                <w:highlight w:val="none"/>
                <w:lang w:val="zh-CN"/>
                <w14:textFill>
                  <w14:solidFill>
                    <w14:schemeClr w14:val="tx1"/>
                  </w14:solidFill>
                </w14:textFill>
              </w:rPr>
              <w:t>9</w:t>
            </w:r>
          </w:p>
        </w:tc>
        <w:tc>
          <w:tcPr>
            <w:tcW w:w="2095" w:type="dxa"/>
            <w:vAlign w:val="center"/>
          </w:tcPr>
          <w:p w14:paraId="2DCB0E22">
            <w:pPr>
              <w:keepNext w:val="0"/>
              <w:keepLines w:val="0"/>
              <w:pageBreakBefore w:val="0"/>
              <w:widowControl w:val="0"/>
              <w:kinsoku/>
              <w:wordWrap w:val="0"/>
              <w:overflowPunct/>
              <w:topLinePunct w:val="0"/>
              <w:autoSpaceDE/>
              <w:autoSpaceDN/>
              <w:bidi w:val="0"/>
              <w:adjustRightInd w:val="0"/>
              <w:spacing w:line="0" w:lineRule="atLeast"/>
              <w:jc w:val="center"/>
              <w:textAlignment w:val="auto"/>
              <w:outlineLvl w:val="9"/>
              <w:rPr>
                <w:rFonts w:hint="eastAsia" w:ascii="宋体" w:hAnsi="宋体" w:eastAsia="宋体" w:cs="宋体"/>
                <w:bCs/>
                <w:color w:val="000000" w:themeColor="text1"/>
                <w:sz w:val="21"/>
                <w:szCs w:val="21"/>
                <w:highlight w:val="none"/>
                <w:lang w:val="en-US" w:eastAsia="zh-CN"/>
                <w14:textFill>
                  <w14:solidFill>
                    <w14:schemeClr w14:val="tx1"/>
                  </w14:solidFill>
                </w14:textFill>
              </w:rPr>
            </w:pPr>
            <w:r>
              <w:rPr>
                <w:rFonts w:hint="eastAsia" w:ascii="宋体" w:hAnsi="宋体" w:eastAsia="宋体" w:cs="宋体"/>
                <w:bCs/>
                <w:color w:val="000000" w:themeColor="text1"/>
                <w:sz w:val="21"/>
                <w:szCs w:val="21"/>
                <w:highlight w:val="none"/>
                <w:lang w:val="zh-CN"/>
                <w14:textFill>
                  <w14:solidFill>
                    <w14:schemeClr w14:val="tx1"/>
                  </w14:solidFill>
                </w14:textFill>
              </w:rPr>
              <w:t>是否采用电子招标投标</w:t>
            </w:r>
          </w:p>
        </w:tc>
        <w:tc>
          <w:tcPr>
            <w:tcW w:w="6675" w:type="dxa"/>
            <w:vAlign w:val="center"/>
          </w:tcPr>
          <w:p w14:paraId="1A21B94B">
            <w:pPr>
              <w:keepNext w:val="0"/>
              <w:keepLines w:val="0"/>
              <w:pageBreakBefore w:val="0"/>
              <w:widowControl w:val="0"/>
              <w:kinsoku/>
              <w:wordWrap w:val="0"/>
              <w:overflowPunct/>
              <w:topLinePunct w:val="0"/>
              <w:autoSpaceDE/>
              <w:autoSpaceDN/>
              <w:bidi w:val="0"/>
              <w:adjustRightInd w:val="0"/>
              <w:snapToGrid w:val="0"/>
              <w:spacing w:line="0" w:lineRule="atLeast"/>
              <w:textAlignment w:val="auto"/>
              <w:outlineLvl w:val="9"/>
              <w:rPr>
                <w:rFonts w:hint="eastAsia" w:ascii="宋体" w:hAnsi="宋体" w:eastAsia="宋体" w:cs="宋体"/>
                <w:bCs/>
                <w:color w:val="000000" w:themeColor="text1"/>
                <w:sz w:val="21"/>
                <w:szCs w:val="21"/>
                <w:highlight w:val="none"/>
                <w:lang w:eastAsia="zh-CN"/>
                <w14:textFill>
                  <w14:solidFill>
                    <w14:schemeClr w14:val="tx1"/>
                  </w14:solidFill>
                </w14:textFill>
              </w:rPr>
            </w:pPr>
            <w:r>
              <w:rPr>
                <w:rFonts w:hint="eastAsia" w:ascii="宋体" w:hAnsi="宋体" w:eastAsia="宋体" w:cs="宋体"/>
                <w:bCs/>
                <w:color w:val="000000" w:themeColor="text1"/>
                <w:sz w:val="21"/>
                <w:szCs w:val="21"/>
                <w:highlight w:val="none"/>
                <w:lang w:eastAsia="zh-CN"/>
                <w14:textFill>
                  <w14:solidFill>
                    <w14:schemeClr w14:val="tx1"/>
                  </w14:solidFill>
                </w14:textFill>
              </w:rPr>
              <w:fldChar w:fldCharType="begin"/>
            </w:r>
            <w:r>
              <w:rPr>
                <w:rFonts w:hint="eastAsia" w:ascii="宋体" w:hAnsi="宋体" w:eastAsia="宋体" w:cs="宋体"/>
                <w:bCs/>
                <w:color w:val="000000" w:themeColor="text1"/>
                <w:sz w:val="21"/>
                <w:szCs w:val="21"/>
                <w:highlight w:val="none"/>
                <w:lang w:eastAsia="zh-CN"/>
                <w14:textFill>
                  <w14:solidFill>
                    <w14:schemeClr w14:val="tx1"/>
                  </w14:solidFill>
                </w14:textFill>
              </w:rPr>
              <w:instrText xml:space="preserve">eq \o\ac(□,√)</w:instrText>
            </w:r>
            <w:r>
              <w:rPr>
                <w:rFonts w:hint="eastAsia" w:ascii="宋体" w:hAnsi="宋体" w:eastAsia="宋体" w:cs="宋体"/>
                <w:bCs/>
                <w:color w:val="000000" w:themeColor="text1"/>
                <w:sz w:val="21"/>
                <w:szCs w:val="21"/>
                <w:highlight w:val="none"/>
                <w:lang w:eastAsia="zh-CN"/>
                <w14:textFill>
                  <w14:solidFill>
                    <w14:schemeClr w14:val="tx1"/>
                  </w14:solidFill>
                </w14:textFill>
              </w:rPr>
              <w:fldChar w:fldCharType="end"/>
            </w:r>
            <w:r>
              <w:rPr>
                <w:rFonts w:hint="eastAsia" w:ascii="宋体" w:hAnsi="宋体" w:eastAsia="宋体" w:cs="宋体"/>
                <w:bCs/>
                <w:color w:val="000000" w:themeColor="text1"/>
                <w:sz w:val="21"/>
                <w:szCs w:val="21"/>
                <w:highlight w:val="none"/>
                <w:lang w:eastAsia="zh-CN"/>
                <w14:textFill>
                  <w14:solidFill>
                    <w14:schemeClr w14:val="tx1"/>
                  </w14:solidFill>
                </w14:textFill>
              </w:rPr>
              <w:t>是，具体要求：详见</w:t>
            </w:r>
            <w:r>
              <w:rPr>
                <w:rFonts w:hint="eastAsia" w:ascii="宋体" w:hAnsi="宋体" w:cs="宋体"/>
                <w:bCs/>
                <w:color w:val="000000" w:themeColor="text1"/>
                <w:sz w:val="21"/>
                <w:szCs w:val="21"/>
                <w:highlight w:val="none"/>
                <w:lang w:eastAsia="zh-CN"/>
                <w14:textFill>
                  <w14:solidFill>
                    <w14:schemeClr w14:val="tx1"/>
                  </w14:solidFill>
                </w14:textFill>
              </w:rPr>
              <w:t>供应商</w:t>
            </w:r>
            <w:r>
              <w:rPr>
                <w:rFonts w:hint="eastAsia" w:ascii="宋体" w:hAnsi="宋体" w:eastAsia="宋体" w:cs="宋体"/>
                <w:bCs/>
                <w:color w:val="000000" w:themeColor="text1"/>
                <w:sz w:val="21"/>
                <w:szCs w:val="21"/>
                <w:highlight w:val="none"/>
                <w:lang w:eastAsia="zh-CN"/>
                <w14:textFill>
                  <w14:solidFill>
                    <w14:schemeClr w14:val="tx1"/>
                  </w14:solidFill>
                </w14:textFill>
              </w:rPr>
              <w:t>须知前附表第10.</w:t>
            </w:r>
            <w:r>
              <w:rPr>
                <w:rFonts w:hint="eastAsia" w:ascii="宋体" w:hAnsi="宋体" w:eastAsia="宋体" w:cs="宋体"/>
                <w:bCs/>
                <w:color w:val="000000" w:themeColor="text1"/>
                <w:sz w:val="21"/>
                <w:szCs w:val="21"/>
                <w:highlight w:val="none"/>
                <w:lang w:val="en-US" w:eastAsia="zh-CN"/>
                <w14:textFill>
                  <w14:solidFill>
                    <w14:schemeClr w14:val="tx1"/>
                  </w14:solidFill>
                </w14:textFill>
              </w:rPr>
              <w:t>7</w:t>
            </w:r>
            <w:r>
              <w:rPr>
                <w:rFonts w:hint="eastAsia" w:ascii="宋体" w:hAnsi="宋体" w:eastAsia="宋体" w:cs="宋体"/>
                <w:bCs/>
                <w:color w:val="000000" w:themeColor="text1"/>
                <w:sz w:val="21"/>
                <w:szCs w:val="21"/>
                <w:highlight w:val="none"/>
                <w:lang w:eastAsia="zh-CN"/>
                <w14:textFill>
                  <w14:solidFill>
                    <w14:schemeClr w14:val="tx1"/>
                  </w14:solidFill>
                </w14:textFill>
              </w:rPr>
              <w:t>项。</w:t>
            </w:r>
          </w:p>
          <w:p w14:paraId="3C4F2A83">
            <w:pPr>
              <w:keepNext w:val="0"/>
              <w:keepLines w:val="0"/>
              <w:pageBreakBefore w:val="0"/>
              <w:widowControl w:val="0"/>
              <w:kinsoku/>
              <w:wordWrap w:val="0"/>
              <w:overflowPunct/>
              <w:topLinePunct w:val="0"/>
              <w:autoSpaceDE/>
              <w:autoSpaceDN/>
              <w:bidi w:val="0"/>
              <w:adjustRightInd w:val="0"/>
              <w:snapToGrid w:val="0"/>
              <w:spacing w:line="0" w:lineRule="atLeast"/>
              <w:textAlignment w:val="auto"/>
              <w:outlineLvl w:val="9"/>
              <w:rPr>
                <w:rFonts w:hint="eastAsia" w:ascii="宋体" w:hAnsi="宋体" w:eastAsia="宋体" w:cs="宋体"/>
                <w:bCs/>
                <w:color w:val="000000" w:themeColor="text1"/>
                <w:sz w:val="21"/>
                <w:szCs w:val="21"/>
                <w:highlight w:val="none"/>
                <w:lang w:val="en-US" w:eastAsia="zh-CN"/>
                <w14:textFill>
                  <w14:solidFill>
                    <w14:schemeClr w14:val="tx1"/>
                  </w14:solidFill>
                </w14:textFill>
              </w:rPr>
            </w:pPr>
            <w:r>
              <w:rPr>
                <w:rFonts w:hint="eastAsia" w:ascii="宋体" w:hAnsi="宋体" w:eastAsia="宋体" w:cs="宋体"/>
                <w:bCs/>
                <w:color w:val="000000" w:themeColor="text1"/>
                <w:sz w:val="21"/>
                <w:szCs w:val="21"/>
                <w:highlight w:val="none"/>
                <w:lang w:eastAsia="zh-CN"/>
                <w14:textFill>
                  <w14:solidFill>
                    <w14:schemeClr w14:val="tx1"/>
                  </w14:solidFill>
                </w14:textFill>
              </w:rPr>
              <w:sym w:font="Wingdings 2" w:char="00A3"/>
            </w:r>
            <w:r>
              <w:rPr>
                <w:rFonts w:hint="eastAsia" w:ascii="宋体" w:hAnsi="宋体" w:eastAsia="宋体" w:cs="宋体"/>
                <w:bCs/>
                <w:color w:val="000000" w:themeColor="text1"/>
                <w:sz w:val="21"/>
                <w:szCs w:val="21"/>
                <w:highlight w:val="none"/>
                <w:lang w:eastAsia="zh-CN"/>
                <w14:textFill>
                  <w14:solidFill>
                    <w14:schemeClr w14:val="tx1"/>
                  </w14:solidFill>
                </w14:textFill>
              </w:rPr>
              <w:t>否</w:t>
            </w:r>
          </w:p>
        </w:tc>
      </w:tr>
      <w:tr w14:paraId="56C11CF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9" w:hRule="atLeast"/>
          <w:jc w:val="center"/>
        </w:trPr>
        <w:tc>
          <w:tcPr>
            <w:tcW w:w="995" w:type="dxa"/>
            <w:vAlign w:val="center"/>
          </w:tcPr>
          <w:p w14:paraId="2795EC0F">
            <w:pPr>
              <w:overflowPunct/>
              <w:bidi w:val="0"/>
              <w:spacing w:line="400" w:lineRule="exact"/>
              <w:jc w:val="center"/>
              <w:outlineLvl w:val="9"/>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10.1</w:t>
            </w:r>
          </w:p>
        </w:tc>
        <w:tc>
          <w:tcPr>
            <w:tcW w:w="2095" w:type="dxa"/>
            <w:vAlign w:val="center"/>
          </w:tcPr>
          <w:p w14:paraId="3FDA2110">
            <w:pPr>
              <w:keepNext w:val="0"/>
              <w:keepLines w:val="0"/>
              <w:pageBreakBefore w:val="0"/>
              <w:widowControl w:val="0"/>
              <w:kinsoku/>
              <w:wordWrap w:val="0"/>
              <w:overflowPunct/>
              <w:topLinePunct w:val="0"/>
              <w:autoSpaceDE/>
              <w:autoSpaceDN/>
              <w:bidi w:val="0"/>
              <w:adjustRightInd w:val="0"/>
              <w:spacing w:line="0" w:lineRule="atLeast"/>
              <w:jc w:val="center"/>
              <w:textAlignment w:val="auto"/>
              <w:outlineLvl w:val="9"/>
              <w:rPr>
                <w:rFonts w:hint="default" w:ascii="宋体" w:hAnsi="宋体" w:eastAsia="宋体" w:cs="宋体"/>
                <w:bCs/>
                <w:color w:val="000000" w:themeColor="text1"/>
                <w:sz w:val="21"/>
                <w:szCs w:val="21"/>
                <w:highlight w:val="none"/>
                <w:lang w:val="en-US" w:eastAsia="zh-CN"/>
                <w14:textFill>
                  <w14:solidFill>
                    <w14:schemeClr w14:val="tx1"/>
                  </w14:solidFill>
                </w14:textFill>
              </w:rPr>
            </w:pPr>
            <w:r>
              <w:rPr>
                <w:rFonts w:hint="eastAsia" w:ascii="宋体" w:hAnsi="宋体" w:eastAsia="宋体" w:cs="宋体"/>
                <w:bCs/>
                <w:color w:val="000000" w:themeColor="text1"/>
                <w:sz w:val="21"/>
                <w:szCs w:val="21"/>
                <w:highlight w:val="none"/>
                <w:lang w:val="zh-CN"/>
                <w14:textFill>
                  <w14:solidFill>
                    <w14:schemeClr w14:val="tx1"/>
                  </w14:solidFill>
                </w14:textFill>
              </w:rPr>
              <w:t>评审办法</w:t>
            </w:r>
          </w:p>
        </w:tc>
        <w:tc>
          <w:tcPr>
            <w:tcW w:w="6675" w:type="dxa"/>
            <w:vAlign w:val="center"/>
          </w:tcPr>
          <w:p w14:paraId="6C1093E1">
            <w:pPr>
              <w:keepNext w:val="0"/>
              <w:keepLines w:val="0"/>
              <w:pageBreakBefore w:val="0"/>
              <w:widowControl w:val="0"/>
              <w:kinsoku/>
              <w:wordWrap w:val="0"/>
              <w:overflowPunct/>
              <w:topLinePunct w:val="0"/>
              <w:autoSpaceDE/>
              <w:autoSpaceDN/>
              <w:bidi w:val="0"/>
              <w:adjustRightInd w:val="0"/>
              <w:snapToGrid w:val="0"/>
              <w:spacing w:line="0" w:lineRule="atLeast"/>
              <w:textAlignment w:val="auto"/>
              <w:outlineLvl w:val="9"/>
              <w:rPr>
                <w:rFonts w:hint="eastAsia" w:ascii="宋体" w:hAnsi="宋体" w:eastAsia="宋体" w:cs="宋体"/>
                <w:bCs/>
                <w:color w:val="000000" w:themeColor="text1"/>
                <w:sz w:val="21"/>
                <w:szCs w:val="21"/>
                <w:highlight w:val="none"/>
                <w:lang w:val="zh-CN" w:eastAsia="zh-CN"/>
                <w14:textFill>
                  <w14:solidFill>
                    <w14:schemeClr w14:val="tx1"/>
                  </w14:solidFill>
                </w14:textFill>
              </w:rPr>
            </w:pPr>
            <w:r>
              <w:rPr>
                <w:rFonts w:hint="eastAsia" w:ascii="宋体" w:hAnsi="宋体" w:eastAsia="宋体" w:cs="宋体"/>
                <w:bCs/>
                <w:color w:val="000000" w:themeColor="text1"/>
                <w:sz w:val="21"/>
                <w:szCs w:val="21"/>
                <w:highlight w:val="none"/>
                <w:lang w:val="zh-CN" w:eastAsia="zh-CN"/>
                <w14:textFill>
                  <w14:solidFill>
                    <w14:schemeClr w14:val="tx1"/>
                  </w14:solidFill>
                </w14:textFill>
              </w:rPr>
              <w:t>综合评分法</w:t>
            </w:r>
          </w:p>
        </w:tc>
      </w:tr>
      <w:tr w14:paraId="12D1220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5" w:hRule="atLeast"/>
          <w:jc w:val="center"/>
        </w:trPr>
        <w:tc>
          <w:tcPr>
            <w:tcW w:w="995" w:type="dxa"/>
            <w:vAlign w:val="center"/>
          </w:tcPr>
          <w:p w14:paraId="33230D1C">
            <w:pPr>
              <w:overflowPunct/>
              <w:bidi w:val="0"/>
              <w:spacing w:line="400" w:lineRule="exact"/>
              <w:jc w:val="center"/>
              <w:outlineLvl w:val="9"/>
              <w:rPr>
                <w:rFonts w:hint="eastAsia" w:eastAsia="宋体"/>
                <w:color w:val="000000" w:themeColor="text1"/>
                <w:highlight w:val="none"/>
                <w:lang w:eastAsia="zh-CN"/>
                <w14:textFill>
                  <w14:solidFill>
                    <w14:schemeClr w14:val="tx1"/>
                  </w14:solidFill>
                </w14:textFill>
              </w:rPr>
            </w:pPr>
            <w:r>
              <w:rPr>
                <w:rFonts w:hint="eastAsia"/>
                <w:color w:val="000000" w:themeColor="text1"/>
                <w:highlight w:val="none"/>
                <w14:textFill>
                  <w14:solidFill>
                    <w14:schemeClr w14:val="tx1"/>
                  </w14:solidFill>
                </w14:textFill>
              </w:rPr>
              <w:t>10.</w:t>
            </w:r>
            <w:r>
              <w:rPr>
                <w:rFonts w:hint="eastAsia"/>
                <w:color w:val="000000" w:themeColor="text1"/>
                <w:highlight w:val="none"/>
                <w:lang w:val="en-US" w:eastAsia="zh-CN"/>
                <w14:textFill>
                  <w14:solidFill>
                    <w14:schemeClr w14:val="tx1"/>
                  </w14:solidFill>
                </w14:textFill>
              </w:rPr>
              <w:t>2</w:t>
            </w:r>
          </w:p>
        </w:tc>
        <w:tc>
          <w:tcPr>
            <w:tcW w:w="2095" w:type="dxa"/>
            <w:vAlign w:val="center"/>
          </w:tcPr>
          <w:p w14:paraId="55A056B7">
            <w:pPr>
              <w:keepNext w:val="0"/>
              <w:keepLines w:val="0"/>
              <w:pageBreakBefore w:val="0"/>
              <w:widowControl w:val="0"/>
              <w:kinsoku/>
              <w:wordWrap w:val="0"/>
              <w:overflowPunct/>
              <w:topLinePunct w:val="0"/>
              <w:autoSpaceDE/>
              <w:autoSpaceDN/>
              <w:bidi w:val="0"/>
              <w:adjustRightInd w:val="0"/>
              <w:spacing w:line="0" w:lineRule="atLeast"/>
              <w:jc w:val="center"/>
              <w:textAlignment w:val="auto"/>
              <w:outlineLvl w:val="9"/>
              <w:rPr>
                <w:rFonts w:hint="eastAsia" w:ascii="宋体" w:hAnsi="宋体" w:eastAsia="宋体" w:cs="宋体"/>
                <w:bCs/>
                <w:color w:val="000000" w:themeColor="text1"/>
                <w:sz w:val="21"/>
                <w:szCs w:val="21"/>
                <w:highlight w:val="none"/>
                <w:lang w:val="en-US" w:eastAsia="zh-CN"/>
                <w14:textFill>
                  <w14:solidFill>
                    <w14:schemeClr w14:val="tx1"/>
                  </w14:solidFill>
                </w14:textFill>
              </w:rPr>
            </w:pPr>
            <w:r>
              <w:rPr>
                <w:rFonts w:hint="eastAsia" w:ascii="宋体" w:hAnsi="宋体" w:eastAsia="宋体" w:cs="宋体"/>
                <w:bCs/>
                <w:color w:val="000000" w:themeColor="text1"/>
                <w:sz w:val="21"/>
                <w:szCs w:val="21"/>
                <w:highlight w:val="none"/>
                <w:lang w:val="zh-CN"/>
                <w14:textFill>
                  <w14:solidFill>
                    <w14:schemeClr w14:val="tx1"/>
                  </w14:solidFill>
                </w14:textFill>
              </w:rPr>
              <w:t>付款方式</w:t>
            </w:r>
          </w:p>
        </w:tc>
        <w:tc>
          <w:tcPr>
            <w:tcW w:w="6675" w:type="dxa"/>
            <w:vAlign w:val="center"/>
          </w:tcPr>
          <w:p w14:paraId="6950574C">
            <w:pPr>
              <w:keepNext w:val="0"/>
              <w:keepLines w:val="0"/>
              <w:pageBreakBefore w:val="0"/>
              <w:widowControl w:val="0"/>
              <w:kinsoku/>
              <w:wordWrap w:val="0"/>
              <w:overflowPunct/>
              <w:topLinePunct w:val="0"/>
              <w:autoSpaceDE/>
              <w:autoSpaceDN/>
              <w:bidi w:val="0"/>
              <w:adjustRightInd w:val="0"/>
              <w:snapToGrid w:val="0"/>
              <w:spacing w:line="0" w:lineRule="atLeast"/>
              <w:textAlignment w:val="auto"/>
              <w:outlineLvl w:val="9"/>
              <w:rPr>
                <w:rFonts w:hint="default" w:ascii="宋体" w:hAnsi="宋体" w:eastAsia="宋体" w:cs="宋体"/>
                <w:bCs/>
                <w:color w:val="000000" w:themeColor="text1"/>
                <w:sz w:val="21"/>
                <w:szCs w:val="21"/>
                <w:highlight w:val="none"/>
                <w:lang w:val="en-US" w:eastAsia="zh-CN"/>
                <w14:textFill>
                  <w14:solidFill>
                    <w14:schemeClr w14:val="tx1"/>
                  </w14:solidFill>
                </w14:textFill>
              </w:rPr>
            </w:pPr>
            <w:r>
              <w:rPr>
                <w:rFonts w:hint="default" w:ascii="宋体" w:hAnsi="宋体" w:eastAsia="宋体" w:cs="宋体"/>
                <w:bCs/>
                <w:color w:val="000000" w:themeColor="text1"/>
                <w:sz w:val="21"/>
                <w:szCs w:val="21"/>
                <w:highlight w:val="none"/>
                <w:lang w:val="en-US" w:eastAsia="zh-CN"/>
                <w14:textFill>
                  <w14:solidFill>
                    <w14:schemeClr w14:val="tx1"/>
                  </w14:solidFill>
                </w14:textFill>
              </w:rPr>
              <w:t>验收合格后</w:t>
            </w:r>
            <w:r>
              <w:rPr>
                <w:rFonts w:hint="eastAsia" w:ascii="宋体" w:hAnsi="宋体" w:cs="宋体"/>
                <w:bCs/>
                <w:color w:val="000000" w:themeColor="text1"/>
                <w:sz w:val="21"/>
                <w:szCs w:val="21"/>
                <w:highlight w:val="none"/>
                <w:lang w:val="en-US" w:eastAsia="zh-CN"/>
                <w14:textFill>
                  <w14:solidFill>
                    <w14:schemeClr w14:val="tx1"/>
                  </w14:solidFill>
                </w14:textFill>
              </w:rPr>
              <w:t>3</w:t>
            </w:r>
            <w:r>
              <w:rPr>
                <w:rFonts w:hint="default" w:ascii="宋体" w:hAnsi="宋体" w:eastAsia="宋体" w:cs="宋体"/>
                <w:bCs/>
                <w:color w:val="000000" w:themeColor="text1"/>
                <w:sz w:val="21"/>
                <w:szCs w:val="21"/>
                <w:highlight w:val="none"/>
                <w:lang w:val="en-US" w:eastAsia="zh-CN"/>
                <w14:textFill>
                  <w14:solidFill>
                    <w14:schemeClr w14:val="tx1"/>
                  </w14:solidFill>
                </w14:textFill>
              </w:rPr>
              <w:t>年内付清（具体以实际签订合同为准）。</w:t>
            </w:r>
          </w:p>
        </w:tc>
      </w:tr>
      <w:tr w14:paraId="37C29D7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8" w:hRule="atLeast"/>
          <w:jc w:val="center"/>
        </w:trPr>
        <w:tc>
          <w:tcPr>
            <w:tcW w:w="995" w:type="dxa"/>
            <w:vAlign w:val="center"/>
          </w:tcPr>
          <w:p w14:paraId="4C3B6040">
            <w:pPr>
              <w:overflowPunct/>
              <w:bidi w:val="0"/>
              <w:spacing w:line="400" w:lineRule="exact"/>
              <w:jc w:val="center"/>
              <w:outlineLvl w:val="9"/>
              <w:rPr>
                <w:rFonts w:hint="eastAsia" w:eastAsia="宋体"/>
                <w:color w:val="000000" w:themeColor="text1"/>
                <w:highlight w:val="none"/>
                <w:lang w:eastAsia="zh-CN"/>
                <w14:textFill>
                  <w14:solidFill>
                    <w14:schemeClr w14:val="tx1"/>
                  </w14:solidFill>
                </w14:textFill>
              </w:rPr>
            </w:pPr>
            <w:r>
              <w:rPr>
                <w:rFonts w:hint="eastAsia"/>
                <w:color w:val="000000" w:themeColor="text1"/>
                <w:highlight w:val="none"/>
                <w14:textFill>
                  <w14:solidFill>
                    <w14:schemeClr w14:val="tx1"/>
                  </w14:solidFill>
                </w14:textFill>
              </w:rPr>
              <w:t>10.</w:t>
            </w:r>
            <w:r>
              <w:rPr>
                <w:rFonts w:hint="eastAsia"/>
                <w:color w:val="000000" w:themeColor="text1"/>
                <w:highlight w:val="none"/>
                <w:lang w:val="en-US" w:eastAsia="zh-CN"/>
                <w14:textFill>
                  <w14:solidFill>
                    <w14:schemeClr w14:val="tx1"/>
                  </w14:solidFill>
                </w14:textFill>
              </w:rPr>
              <w:t>3</w:t>
            </w:r>
          </w:p>
        </w:tc>
        <w:tc>
          <w:tcPr>
            <w:tcW w:w="2095" w:type="dxa"/>
            <w:vAlign w:val="center"/>
          </w:tcPr>
          <w:p w14:paraId="5B277750">
            <w:pPr>
              <w:keepNext w:val="0"/>
              <w:keepLines w:val="0"/>
              <w:pageBreakBefore w:val="0"/>
              <w:widowControl w:val="0"/>
              <w:kinsoku/>
              <w:wordWrap/>
              <w:overflowPunct/>
              <w:topLinePunct w:val="0"/>
              <w:autoSpaceDE/>
              <w:autoSpaceDN/>
              <w:bidi w:val="0"/>
              <w:adjustRightInd/>
              <w:snapToGrid/>
              <w:spacing w:line="0" w:lineRule="atLeast"/>
              <w:jc w:val="center"/>
              <w:textAlignment w:val="auto"/>
              <w:outlineLvl w:val="9"/>
              <w:rPr>
                <w:rFonts w:hint="eastAsia" w:ascii="Times New Roman" w:hAnsi="Times New Roman" w:eastAsia="宋体" w:cs="Times New Roman"/>
                <w:color w:val="000000" w:themeColor="text1"/>
                <w:highlight w:val="none"/>
                <w:lang w:val="en-US" w:eastAsia="zh-CN"/>
                <w14:textFill>
                  <w14:solidFill>
                    <w14:schemeClr w14:val="tx1"/>
                  </w14:solidFill>
                </w14:textFill>
              </w:rPr>
            </w:pPr>
            <w:r>
              <w:rPr>
                <w:rFonts w:hint="eastAsia" w:ascii="Times New Roman" w:hAnsi="Times New Roman" w:eastAsia="宋体" w:cs="Times New Roman"/>
                <w:color w:val="000000" w:themeColor="text1"/>
                <w:highlight w:val="none"/>
                <w:lang w:val="en-US" w:eastAsia="zh-CN"/>
                <w14:textFill>
                  <w14:solidFill>
                    <w14:schemeClr w14:val="tx1"/>
                  </w14:solidFill>
                </w14:textFill>
              </w:rPr>
              <w:t>采购</w:t>
            </w:r>
            <w:r>
              <w:rPr>
                <w:rFonts w:hint="eastAsia" w:ascii="Times New Roman" w:hAnsi="Times New Roman" w:eastAsia="宋体" w:cs="Times New Roman"/>
                <w:color w:val="000000" w:themeColor="text1"/>
                <w:highlight w:val="none"/>
                <w14:textFill>
                  <w14:solidFill>
                    <w14:schemeClr w14:val="tx1"/>
                  </w14:solidFill>
                </w14:textFill>
              </w:rPr>
              <w:t>代理</w:t>
            </w:r>
            <w:r>
              <w:rPr>
                <w:rFonts w:hint="eastAsia" w:ascii="Times New Roman" w:hAnsi="Times New Roman" w:eastAsia="宋体" w:cs="Times New Roman"/>
                <w:color w:val="000000" w:themeColor="text1"/>
                <w:highlight w:val="none"/>
                <w:lang w:val="en-US" w:eastAsia="zh-CN"/>
                <w14:textFill>
                  <w14:solidFill>
                    <w14:schemeClr w14:val="tx1"/>
                  </w14:solidFill>
                </w14:textFill>
              </w:rPr>
              <w:t>服务</w:t>
            </w:r>
            <w:r>
              <w:rPr>
                <w:rFonts w:hint="eastAsia" w:ascii="Times New Roman" w:hAnsi="Times New Roman" w:eastAsia="宋体" w:cs="Times New Roman"/>
                <w:color w:val="000000" w:themeColor="text1"/>
                <w:highlight w:val="none"/>
                <w14:textFill>
                  <w14:solidFill>
                    <w14:schemeClr w14:val="tx1"/>
                  </w14:solidFill>
                </w14:textFill>
              </w:rPr>
              <w:t>费</w:t>
            </w:r>
          </w:p>
        </w:tc>
        <w:tc>
          <w:tcPr>
            <w:tcW w:w="6675" w:type="dxa"/>
            <w:vAlign w:val="top"/>
          </w:tcPr>
          <w:p w14:paraId="2BADD936">
            <w:pPr>
              <w:keepNext w:val="0"/>
              <w:keepLines w:val="0"/>
              <w:pageBreakBefore w:val="0"/>
              <w:widowControl w:val="0"/>
              <w:kinsoku/>
              <w:wordWrap/>
              <w:overflowPunct/>
              <w:topLinePunct w:val="0"/>
              <w:autoSpaceDE/>
              <w:autoSpaceDN/>
              <w:bidi w:val="0"/>
              <w:adjustRightInd/>
              <w:snapToGrid/>
              <w:spacing w:line="0" w:lineRule="atLeast"/>
              <w:ind w:left="0" w:leftChars="0" w:firstLine="0" w:firstLineChars="0"/>
              <w:textAlignment w:val="auto"/>
              <w:outlineLvl w:val="9"/>
              <w:rPr>
                <w:rFonts w:hint="eastAsia" w:ascii="宋体" w:hAnsi="宋体" w:eastAsia="宋体" w:cs="宋体"/>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color w:val="000000" w:themeColor="text1"/>
                <w:kern w:val="2"/>
                <w:sz w:val="21"/>
                <w:szCs w:val="21"/>
                <w:highlight w:val="none"/>
                <w:lang w:val="en-US" w:eastAsia="zh-CN" w:bidi="ar-SA"/>
                <w14:textFill>
                  <w14:solidFill>
                    <w14:schemeClr w14:val="tx1"/>
                  </w14:solidFill>
                </w14:textFill>
              </w:rPr>
              <w:t>按照国家发展计划委员会“发改价格【2015】299号”文要求，于成交通知书下发前向成交人收取。</w:t>
            </w:r>
          </w:p>
        </w:tc>
      </w:tr>
      <w:tr w14:paraId="401B949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85" w:hRule="atLeast"/>
          <w:jc w:val="center"/>
        </w:trPr>
        <w:tc>
          <w:tcPr>
            <w:tcW w:w="995" w:type="dxa"/>
            <w:vMerge w:val="restart"/>
            <w:vAlign w:val="center"/>
          </w:tcPr>
          <w:p w14:paraId="76E6FDE2">
            <w:pPr>
              <w:overflowPunct/>
              <w:bidi w:val="0"/>
              <w:spacing w:line="400" w:lineRule="exact"/>
              <w:jc w:val="center"/>
              <w:outlineLvl w:val="9"/>
              <w:rPr>
                <w:rFonts w:hint="default" w:eastAsia="宋体"/>
                <w:color w:val="000000" w:themeColor="text1"/>
                <w:highlight w:val="none"/>
                <w:lang w:val="en-US" w:eastAsia="zh-CN"/>
                <w14:textFill>
                  <w14:solidFill>
                    <w14:schemeClr w14:val="tx1"/>
                  </w14:solidFill>
                </w14:textFill>
              </w:rPr>
            </w:pPr>
            <w:r>
              <w:rPr>
                <w:rFonts w:hint="eastAsia"/>
                <w:color w:val="000000" w:themeColor="text1"/>
                <w:highlight w:val="none"/>
                <w:lang w:val="en-US" w:eastAsia="zh-CN"/>
                <w14:textFill>
                  <w14:solidFill>
                    <w14:schemeClr w14:val="tx1"/>
                  </w14:solidFill>
                </w14:textFill>
              </w:rPr>
              <w:t>10.4</w:t>
            </w:r>
          </w:p>
        </w:tc>
        <w:tc>
          <w:tcPr>
            <w:tcW w:w="2095" w:type="dxa"/>
            <w:vMerge w:val="restart"/>
            <w:vAlign w:val="center"/>
          </w:tcPr>
          <w:p w14:paraId="6CFC3467">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leftChars="0" w:right="0" w:rightChars="0" w:firstLine="0" w:firstLineChars="0"/>
              <w:jc w:val="center"/>
              <w:outlineLvl w:val="9"/>
              <w:rPr>
                <w:rFonts w:hint="eastAsia" w:ascii="宋体" w:hAnsi="宋体" w:eastAsia="宋体" w:cs="宋体"/>
                <w:color w:val="000000" w:themeColor="text1"/>
                <w:sz w:val="21"/>
                <w:szCs w:val="21"/>
                <w:highlight w:val="none"/>
                <w:lang w:val="zh-CN"/>
                <w14:textFill>
                  <w14:solidFill>
                    <w14:schemeClr w14:val="tx1"/>
                  </w14:solidFill>
                </w14:textFill>
              </w:rPr>
            </w:pPr>
            <w:r>
              <w:rPr>
                <w:rFonts w:hint="eastAsia" w:ascii="宋体" w:hAnsi="宋体" w:eastAsia="宋体" w:cs="宋体"/>
                <w:b w:val="0"/>
                <w:bCs w:val="0"/>
                <w:caps w:val="0"/>
                <w:color w:val="000000" w:themeColor="text1"/>
                <w:kern w:val="2"/>
                <w:sz w:val="21"/>
                <w:szCs w:val="21"/>
                <w:highlight w:val="none"/>
                <w:vertAlign w:val="baseline"/>
                <w:lang w:val="en-US" w:eastAsia="zh-CN" w:bidi="ar"/>
                <w14:textFill>
                  <w14:solidFill>
                    <w14:schemeClr w14:val="tx1"/>
                  </w14:solidFill>
                </w14:textFill>
              </w:rPr>
              <w:t>其他要求</w:t>
            </w:r>
          </w:p>
        </w:tc>
        <w:tc>
          <w:tcPr>
            <w:tcW w:w="6675" w:type="dxa"/>
            <w:vAlign w:val="center"/>
          </w:tcPr>
          <w:p w14:paraId="4B5CF4B7">
            <w:pPr>
              <w:numPr>
                <w:ilvl w:val="0"/>
                <w:numId w:val="5"/>
              </w:numPr>
              <w:overflowPunct/>
              <w:bidi w:val="0"/>
              <w:spacing w:line="320" w:lineRule="exact"/>
              <w:jc w:val="left"/>
              <w:outlineLvl w:val="9"/>
              <w:rPr>
                <w:rFonts w:hint="eastAsia" w:ascii="宋体" w:hAnsi="宋体" w:eastAsia="宋体" w:cs="宋体"/>
                <w:bCs/>
                <w:color w:val="000000" w:themeColor="text1"/>
                <w:szCs w:val="21"/>
                <w:highlight w:val="none"/>
                <w:lang w:val="zh-CN"/>
                <w14:textFill>
                  <w14:solidFill>
                    <w14:schemeClr w14:val="tx1"/>
                  </w14:solidFill>
                </w14:textFill>
              </w:rPr>
            </w:pPr>
            <w:r>
              <w:rPr>
                <w:rFonts w:hint="eastAsia" w:ascii="宋体" w:hAnsi="宋体" w:eastAsia="宋体" w:cs="宋体"/>
                <w:bCs/>
                <w:color w:val="000000" w:themeColor="text1"/>
                <w:szCs w:val="21"/>
                <w:highlight w:val="none"/>
                <w:lang w:val="zh-CN"/>
                <w14:textFill>
                  <w14:solidFill>
                    <w14:schemeClr w14:val="tx1"/>
                  </w14:solidFill>
                </w14:textFill>
              </w:rPr>
              <w:t>按照财政部、发展改革委、生态环境部、市场监管总局最新发布执行的《关于调整优化节能产品、环境标志产品政府采购执行机制的通知》的规定，《货物清单及技术参数》中凡包含强制采购产品的，投标人必须提供列入《节能产品政府采购品目清单》的产品，投标文件中需提供认证证明，认证机构须在市场监管总局公布的名录内（详见《市场监管总局关于发布参与实施政府采购节能产品、环境标志产品认证机构名录的公告》2019年第16号文件），否则投标无效。</w:t>
            </w:r>
          </w:p>
          <w:p w14:paraId="52D4777A">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leftChars="0" w:right="0" w:rightChars="0" w:firstLine="0" w:firstLineChars="0"/>
              <w:jc w:val="both"/>
              <w:outlineLvl w:val="9"/>
              <w:rPr>
                <w:rFonts w:hint="eastAsia" w:ascii="宋体" w:hAnsi="宋体" w:eastAsia="宋体" w:cs="宋体"/>
                <w:b w:val="0"/>
                <w:bCs w:val="0"/>
                <w:caps w:val="0"/>
                <w:color w:val="000000" w:themeColor="text1"/>
                <w:kern w:val="2"/>
                <w:sz w:val="21"/>
                <w:szCs w:val="21"/>
                <w:highlight w:val="none"/>
                <w:vertAlign w:val="baseline"/>
                <w:lang w:val="en-US" w:eastAsia="zh-CN" w:bidi="ar"/>
                <w14:textFill>
                  <w14:solidFill>
                    <w14:schemeClr w14:val="tx1"/>
                  </w14:solidFill>
                </w14:textFill>
              </w:rPr>
            </w:pPr>
            <w:r>
              <w:rPr>
                <w:rFonts w:hint="eastAsia" w:ascii="宋体" w:hAnsi="宋体" w:eastAsia="宋体" w:cs="宋体"/>
                <w:bCs/>
                <w:color w:val="000000" w:themeColor="text1"/>
                <w:szCs w:val="21"/>
                <w:highlight w:val="none"/>
                <w14:textFill>
                  <w14:solidFill>
                    <w14:schemeClr w14:val="tx1"/>
                  </w14:solidFill>
                </w14:textFill>
              </w:rPr>
              <w:t>2、</w:t>
            </w:r>
            <w:r>
              <w:rPr>
                <w:rFonts w:hint="eastAsia" w:ascii="宋体" w:hAnsi="宋体" w:eastAsia="宋体" w:cs="宋体"/>
                <w:bCs/>
                <w:color w:val="000000" w:themeColor="text1"/>
                <w:szCs w:val="21"/>
                <w:highlight w:val="none"/>
                <w:lang w:val="zh-CN"/>
                <w14:textFill>
                  <w14:solidFill>
                    <w14:schemeClr w14:val="tx1"/>
                  </w14:solidFill>
                </w14:textFill>
              </w:rPr>
              <w:t>《货物清单及技术参数》中包含计算机设备的，投标人必须投标预装正版操作系统软件的计算机产品，否则无效。</w:t>
            </w:r>
          </w:p>
        </w:tc>
      </w:tr>
      <w:tr w14:paraId="3B8E8A1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8" w:hRule="atLeast"/>
          <w:jc w:val="center"/>
        </w:trPr>
        <w:tc>
          <w:tcPr>
            <w:tcW w:w="995" w:type="dxa"/>
            <w:vMerge w:val="continue"/>
            <w:vAlign w:val="center"/>
          </w:tcPr>
          <w:p w14:paraId="77550DEE">
            <w:pPr>
              <w:overflowPunct/>
              <w:bidi w:val="0"/>
              <w:spacing w:line="400" w:lineRule="exact"/>
              <w:jc w:val="center"/>
              <w:outlineLvl w:val="9"/>
              <w:rPr>
                <w:rFonts w:hint="eastAsia"/>
                <w:color w:val="000000" w:themeColor="text1"/>
                <w:highlight w:val="none"/>
                <w:lang w:val="en-US" w:eastAsia="zh-CN"/>
                <w14:textFill>
                  <w14:solidFill>
                    <w14:schemeClr w14:val="tx1"/>
                  </w14:solidFill>
                </w14:textFill>
              </w:rPr>
            </w:pPr>
          </w:p>
        </w:tc>
        <w:tc>
          <w:tcPr>
            <w:tcW w:w="2095" w:type="dxa"/>
            <w:vMerge w:val="continue"/>
            <w:vAlign w:val="center"/>
          </w:tcPr>
          <w:p w14:paraId="1412FD69">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leftChars="0" w:right="0" w:rightChars="0" w:firstLine="0" w:firstLineChars="0"/>
              <w:jc w:val="center"/>
              <w:outlineLvl w:val="9"/>
              <w:rPr>
                <w:rFonts w:hint="eastAsia" w:ascii="宋体" w:hAnsi="宋体" w:eastAsia="宋体" w:cs="宋体"/>
                <w:b w:val="0"/>
                <w:bCs w:val="0"/>
                <w:caps w:val="0"/>
                <w:color w:val="000000" w:themeColor="text1"/>
                <w:kern w:val="2"/>
                <w:sz w:val="21"/>
                <w:szCs w:val="21"/>
                <w:highlight w:val="none"/>
                <w:vertAlign w:val="baseline"/>
                <w:lang w:val="en-US" w:eastAsia="zh-CN" w:bidi="ar"/>
                <w14:textFill>
                  <w14:solidFill>
                    <w14:schemeClr w14:val="tx1"/>
                  </w14:solidFill>
                </w14:textFill>
              </w:rPr>
            </w:pPr>
          </w:p>
        </w:tc>
        <w:tc>
          <w:tcPr>
            <w:tcW w:w="6675" w:type="dxa"/>
            <w:vAlign w:val="center"/>
          </w:tcPr>
          <w:p w14:paraId="1A6D48F9">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leftChars="0" w:right="0" w:rightChars="0" w:firstLine="0" w:firstLineChars="0"/>
              <w:jc w:val="both"/>
              <w:outlineLvl w:val="9"/>
              <w:rPr>
                <w:rFonts w:hint="eastAsia" w:ascii="宋体" w:hAnsi="宋体" w:eastAsia="宋体" w:cs="宋体"/>
                <w:b w:val="0"/>
                <w:bCs w:val="0"/>
                <w:caps w:val="0"/>
                <w:color w:val="000000" w:themeColor="text1"/>
                <w:kern w:val="2"/>
                <w:sz w:val="21"/>
                <w:szCs w:val="21"/>
                <w:highlight w:val="none"/>
                <w:vertAlign w:val="baseline"/>
                <w:lang w:val="en-US" w:eastAsia="zh-CN" w:bidi="ar"/>
                <w14:textFill>
                  <w14:solidFill>
                    <w14:schemeClr w14:val="tx1"/>
                  </w14:solidFill>
                </w14:textFill>
              </w:rPr>
            </w:pPr>
            <w:r>
              <w:rPr>
                <w:rFonts w:hint="eastAsia" w:ascii="宋体" w:hAnsi="宋体" w:cs="宋体"/>
                <w:b w:val="0"/>
                <w:bCs w:val="0"/>
                <w:caps w:val="0"/>
                <w:color w:val="000000" w:themeColor="text1"/>
                <w:kern w:val="2"/>
                <w:sz w:val="21"/>
                <w:szCs w:val="21"/>
                <w:highlight w:val="none"/>
                <w:vertAlign w:val="baseline"/>
                <w:lang w:val="en-US" w:eastAsia="zh-CN" w:bidi="ar"/>
                <w14:textFill>
                  <w14:solidFill>
                    <w14:schemeClr w14:val="tx1"/>
                  </w14:solidFill>
                </w14:textFill>
              </w:rPr>
              <w:t>本项目不专门面向中小企业</w:t>
            </w:r>
            <w:r>
              <w:rPr>
                <w:rFonts w:hint="eastAsia" w:ascii="宋体" w:hAnsi="宋体" w:eastAsia="宋体" w:cs="宋体"/>
                <w:b w:val="0"/>
                <w:bCs w:val="0"/>
                <w:caps w:val="0"/>
                <w:color w:val="000000" w:themeColor="text1"/>
                <w:kern w:val="2"/>
                <w:sz w:val="21"/>
                <w:szCs w:val="21"/>
                <w:highlight w:val="none"/>
                <w:vertAlign w:val="baseline"/>
                <w:lang w:val="en-US" w:eastAsia="zh-CN" w:bidi="ar"/>
                <w14:textFill>
                  <w14:solidFill>
                    <w14:schemeClr w14:val="tx1"/>
                  </w14:solidFill>
                </w14:textFill>
              </w:rPr>
              <w:t>。(价格扣除)</w:t>
            </w:r>
          </w:p>
          <w:p w14:paraId="4ED87292">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leftChars="0" w:right="0" w:rightChars="0" w:firstLine="0" w:firstLineChars="0"/>
              <w:jc w:val="both"/>
              <w:outlineLvl w:val="9"/>
              <w:rPr>
                <w:rFonts w:hint="eastAsia" w:ascii="宋体" w:hAnsi="宋体" w:eastAsia="宋体" w:cs="宋体"/>
                <w:b w:val="0"/>
                <w:bCs w:val="0"/>
                <w:caps w:val="0"/>
                <w:color w:val="000000" w:themeColor="text1"/>
                <w:kern w:val="2"/>
                <w:sz w:val="21"/>
                <w:szCs w:val="21"/>
                <w:highlight w:val="none"/>
                <w:vertAlign w:val="baseline"/>
                <w:lang w:val="en-US" w:eastAsia="zh-CN" w:bidi="ar"/>
                <w14:textFill>
                  <w14:solidFill>
                    <w14:schemeClr w14:val="tx1"/>
                  </w14:solidFill>
                </w14:textFill>
              </w:rPr>
            </w:pPr>
            <w:r>
              <w:rPr>
                <w:rFonts w:hint="eastAsia" w:ascii="宋体" w:hAnsi="宋体" w:eastAsia="宋体" w:cs="宋体"/>
                <w:b w:val="0"/>
                <w:bCs w:val="0"/>
                <w:caps w:val="0"/>
                <w:color w:val="000000" w:themeColor="text1"/>
                <w:kern w:val="2"/>
                <w:sz w:val="21"/>
                <w:szCs w:val="21"/>
                <w:highlight w:val="none"/>
                <w:vertAlign w:val="baseline"/>
                <w:lang w:val="en-US" w:eastAsia="zh-CN" w:bidi="ar"/>
                <w14:textFill>
                  <w14:solidFill>
                    <w14:schemeClr w14:val="tx1"/>
                  </w14:solidFill>
                </w14:textFill>
              </w:rPr>
              <w:t>（1）对于列入财政部、国家环保总局发布的《环境标志产品政府采购清单》的产品，对其投标价格给予3%的价格扣除，并按照扣除后的价格参加排序。采购项目或者分包中既包含环境标志产品也包含非环境标志产品的，只对列入《环境标志产品政府采购清单》的产品按其在总报价中所占的比例给予价格扣除。</w:t>
            </w:r>
          </w:p>
          <w:p w14:paraId="5F6CA8E4">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leftChars="0" w:right="0" w:rightChars="0" w:firstLine="0" w:firstLineChars="0"/>
              <w:jc w:val="both"/>
              <w:outlineLvl w:val="9"/>
              <w:rPr>
                <w:rFonts w:hint="eastAsia" w:ascii="宋体" w:hAnsi="宋体" w:eastAsia="宋体" w:cs="宋体"/>
                <w:b w:val="0"/>
                <w:bCs w:val="0"/>
                <w:caps w:val="0"/>
                <w:color w:val="000000" w:themeColor="text1"/>
                <w:kern w:val="2"/>
                <w:sz w:val="21"/>
                <w:szCs w:val="21"/>
                <w:highlight w:val="none"/>
                <w:vertAlign w:val="baseline"/>
                <w:lang w:val="en-US" w:eastAsia="zh-CN" w:bidi="ar"/>
                <w14:textFill>
                  <w14:solidFill>
                    <w14:schemeClr w14:val="tx1"/>
                  </w14:solidFill>
                </w14:textFill>
              </w:rPr>
            </w:pPr>
            <w:r>
              <w:rPr>
                <w:rFonts w:hint="eastAsia" w:ascii="宋体" w:hAnsi="宋体" w:eastAsia="宋体" w:cs="宋体"/>
                <w:b w:val="0"/>
                <w:bCs w:val="0"/>
                <w:caps w:val="0"/>
                <w:color w:val="000000" w:themeColor="text1"/>
                <w:kern w:val="2"/>
                <w:sz w:val="21"/>
                <w:szCs w:val="21"/>
                <w:highlight w:val="none"/>
                <w:vertAlign w:val="baseline"/>
                <w:lang w:val="en-US" w:eastAsia="zh-CN" w:bidi="ar"/>
                <w14:textFill>
                  <w14:solidFill>
                    <w14:schemeClr w14:val="tx1"/>
                  </w14:solidFill>
                </w14:textFill>
              </w:rPr>
              <w:t>（2）对于列入财政部、国家发改委发布的《节能产品政府采购清单》但不属于国家强制采购的产品，对其投标价格给予3%的价格扣除，并按照扣除后的价格参加排序。采购项目或者分包中既包含节能产品也包含非节能产品的，只对列入《节能产品政府采购清单》但不属于国家强制采购的产品按其在总报价中所占的比例给予价格扣除。</w:t>
            </w:r>
          </w:p>
          <w:p w14:paraId="667F7F1B">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leftChars="0" w:right="0" w:rightChars="0" w:firstLine="0" w:firstLineChars="0"/>
              <w:jc w:val="both"/>
              <w:outlineLvl w:val="9"/>
              <w:rPr>
                <w:rFonts w:hint="eastAsia" w:ascii="宋体" w:hAnsi="宋体" w:eastAsia="宋体" w:cs="宋体"/>
                <w:b w:val="0"/>
                <w:bCs w:val="0"/>
                <w:caps w:val="0"/>
                <w:color w:val="000000" w:themeColor="text1"/>
                <w:kern w:val="2"/>
                <w:sz w:val="21"/>
                <w:szCs w:val="21"/>
                <w:highlight w:val="none"/>
                <w:vertAlign w:val="baseline"/>
                <w:lang w:val="en-US" w:eastAsia="zh-CN" w:bidi="ar"/>
                <w14:textFill>
                  <w14:solidFill>
                    <w14:schemeClr w14:val="tx1"/>
                  </w14:solidFill>
                </w14:textFill>
              </w:rPr>
            </w:pPr>
            <w:r>
              <w:rPr>
                <w:rFonts w:hint="eastAsia" w:ascii="宋体" w:hAnsi="宋体" w:eastAsia="宋体" w:cs="宋体"/>
                <w:b w:val="0"/>
                <w:bCs w:val="0"/>
                <w:caps w:val="0"/>
                <w:color w:val="000000" w:themeColor="text1"/>
                <w:kern w:val="2"/>
                <w:sz w:val="21"/>
                <w:szCs w:val="21"/>
                <w:highlight w:val="none"/>
                <w:vertAlign w:val="baseline"/>
                <w:lang w:val="en-US" w:eastAsia="zh-CN" w:bidi="ar"/>
                <w14:textFill>
                  <w14:solidFill>
                    <w14:schemeClr w14:val="tx1"/>
                  </w14:solidFill>
                </w14:textFill>
              </w:rPr>
              <w:t>（3）对于列入财政部、国家发改委、信息产业部发布的《无线局域网认证产品政府采购清单》的产品，对其投标价格给予3%的价格扣除，并按扣除后的价格参加排序。采购项目或者分包中既包含清单中产品也包含非清单中产品的，只对列入清单的产品按其在总报价中所占的比例给予价格扣除。</w:t>
            </w:r>
          </w:p>
          <w:p w14:paraId="2F2BE0C6">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leftChars="0" w:right="0" w:rightChars="0" w:firstLine="0" w:firstLineChars="0"/>
              <w:jc w:val="both"/>
              <w:outlineLvl w:val="9"/>
              <w:rPr>
                <w:rFonts w:hint="eastAsia" w:ascii="宋体" w:hAnsi="宋体" w:eastAsia="宋体" w:cs="宋体"/>
                <w:b w:val="0"/>
                <w:bCs w:val="0"/>
                <w:caps w:val="0"/>
                <w:color w:val="000000" w:themeColor="text1"/>
                <w:kern w:val="2"/>
                <w:sz w:val="21"/>
                <w:szCs w:val="21"/>
                <w:highlight w:val="none"/>
                <w:vertAlign w:val="baseline"/>
                <w:lang w:val="en-US" w:eastAsia="zh-CN" w:bidi="ar"/>
                <w14:textFill>
                  <w14:solidFill>
                    <w14:schemeClr w14:val="tx1"/>
                  </w14:solidFill>
                </w14:textFill>
              </w:rPr>
            </w:pPr>
            <w:r>
              <w:rPr>
                <w:rFonts w:hint="eastAsia" w:ascii="宋体" w:hAnsi="宋体" w:eastAsia="宋体" w:cs="宋体"/>
                <w:b w:val="0"/>
                <w:bCs w:val="0"/>
                <w:caps w:val="0"/>
                <w:color w:val="000000" w:themeColor="text1"/>
                <w:kern w:val="2"/>
                <w:sz w:val="21"/>
                <w:szCs w:val="21"/>
                <w:highlight w:val="none"/>
                <w:vertAlign w:val="baseline"/>
                <w:lang w:val="en-US" w:eastAsia="zh-CN" w:bidi="ar"/>
                <w14:textFill>
                  <w14:solidFill>
                    <w14:schemeClr w14:val="tx1"/>
                  </w14:solidFill>
                </w14:textFill>
              </w:rPr>
              <w:t>（4）投标产品同时列入上述多个清单的，将上述规定的价格扣除比例叠加后计算价格扣除。</w:t>
            </w:r>
          </w:p>
          <w:p w14:paraId="50FFA48A">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leftChars="0" w:right="0" w:rightChars="0" w:firstLine="0" w:firstLineChars="0"/>
              <w:jc w:val="both"/>
              <w:outlineLvl w:val="9"/>
              <w:rPr>
                <w:rFonts w:hint="eastAsia" w:ascii="宋体" w:hAnsi="宋体" w:eastAsia="宋体" w:cs="宋体"/>
                <w:b w:val="0"/>
                <w:bCs w:val="0"/>
                <w:caps w:val="0"/>
                <w:color w:val="000000" w:themeColor="text1"/>
                <w:kern w:val="2"/>
                <w:sz w:val="21"/>
                <w:szCs w:val="21"/>
                <w:highlight w:val="none"/>
                <w:vertAlign w:val="baseline"/>
                <w:lang w:val="en-US" w:eastAsia="zh-CN" w:bidi="ar"/>
                <w14:textFill>
                  <w14:solidFill>
                    <w14:schemeClr w14:val="tx1"/>
                  </w14:solidFill>
                </w14:textFill>
              </w:rPr>
            </w:pPr>
            <w:r>
              <w:rPr>
                <w:rFonts w:hint="eastAsia" w:ascii="宋体" w:hAnsi="宋体" w:eastAsia="宋体" w:cs="宋体"/>
                <w:b w:val="0"/>
                <w:bCs w:val="0"/>
                <w:caps w:val="0"/>
                <w:color w:val="000000" w:themeColor="text1"/>
                <w:kern w:val="2"/>
                <w:sz w:val="21"/>
                <w:szCs w:val="21"/>
                <w:highlight w:val="none"/>
                <w:vertAlign w:val="baseline"/>
                <w:lang w:val="en-US" w:eastAsia="zh-CN" w:bidi="ar"/>
                <w14:textFill>
                  <w14:solidFill>
                    <w14:schemeClr w14:val="tx1"/>
                  </w14:solidFill>
                </w14:textFill>
              </w:rPr>
              <w:t>（5）根据财库【2022】19号文件规定，对小型和微型企业的产品给予10%～20%的价格扣除，并按照扣除后的价格参加排序。（本项目按10%的价格扣除）</w:t>
            </w:r>
          </w:p>
          <w:p w14:paraId="35F5C873">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leftChars="0" w:right="0" w:rightChars="0" w:firstLine="0" w:firstLineChars="0"/>
              <w:jc w:val="both"/>
              <w:outlineLvl w:val="9"/>
              <w:rPr>
                <w:rFonts w:hint="eastAsia" w:ascii="宋体" w:hAnsi="宋体" w:eastAsia="宋体" w:cs="宋体"/>
                <w:b w:val="0"/>
                <w:bCs w:val="0"/>
                <w:caps w:val="0"/>
                <w:color w:val="000000" w:themeColor="text1"/>
                <w:kern w:val="2"/>
                <w:sz w:val="21"/>
                <w:szCs w:val="21"/>
                <w:highlight w:val="none"/>
                <w:vertAlign w:val="baseline"/>
                <w:lang w:val="en-US" w:eastAsia="zh-CN" w:bidi="ar"/>
                <w14:textFill>
                  <w14:solidFill>
                    <w14:schemeClr w14:val="tx1"/>
                  </w14:solidFill>
                </w14:textFill>
              </w:rPr>
            </w:pPr>
            <w:r>
              <w:rPr>
                <w:rFonts w:hint="eastAsia" w:ascii="宋体" w:hAnsi="宋体" w:eastAsia="宋体" w:cs="宋体"/>
                <w:b w:val="0"/>
                <w:bCs w:val="0"/>
                <w:caps w:val="0"/>
                <w:color w:val="000000" w:themeColor="text1"/>
                <w:kern w:val="2"/>
                <w:sz w:val="21"/>
                <w:szCs w:val="21"/>
                <w:highlight w:val="none"/>
                <w:vertAlign w:val="baseline"/>
                <w:lang w:val="en-US" w:eastAsia="zh-CN" w:bidi="ar"/>
                <w14:textFill>
                  <w14:solidFill>
                    <w14:schemeClr w14:val="tx1"/>
                  </w14:solidFill>
                </w14:textFill>
              </w:rPr>
              <w:t>（6）价格扣除的依据：第（1）至（4）条提供投标货物相关认证证书复印件加盖供应商公章。第（5）条提供中小企业声明函。</w:t>
            </w:r>
          </w:p>
          <w:p w14:paraId="6EC5449B">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leftChars="0" w:right="0" w:rightChars="0" w:firstLine="0" w:firstLineChars="0"/>
              <w:jc w:val="both"/>
              <w:outlineLvl w:val="9"/>
              <w:rPr>
                <w:rFonts w:hint="eastAsia" w:ascii="宋体" w:hAnsi="宋体" w:eastAsia="宋体" w:cs="宋体"/>
                <w:b w:val="0"/>
                <w:bCs w:val="0"/>
                <w:caps w:val="0"/>
                <w:color w:val="000000" w:themeColor="text1"/>
                <w:kern w:val="2"/>
                <w:sz w:val="21"/>
                <w:szCs w:val="21"/>
                <w:highlight w:val="none"/>
                <w:vertAlign w:val="baseline"/>
                <w:lang w:val="en-US" w:eastAsia="zh-CN" w:bidi="ar"/>
                <w14:textFill>
                  <w14:solidFill>
                    <w14:schemeClr w14:val="tx1"/>
                  </w14:solidFill>
                </w14:textFill>
              </w:rPr>
            </w:pPr>
            <w:r>
              <w:rPr>
                <w:rFonts w:hint="eastAsia" w:ascii="宋体" w:hAnsi="宋体" w:eastAsia="宋体" w:cs="宋体"/>
                <w:b w:val="0"/>
                <w:bCs w:val="0"/>
                <w:caps w:val="0"/>
                <w:color w:val="000000" w:themeColor="text1"/>
                <w:kern w:val="2"/>
                <w:sz w:val="21"/>
                <w:szCs w:val="21"/>
                <w:highlight w:val="none"/>
                <w:vertAlign w:val="baseline"/>
                <w:lang w:val="en-US" w:eastAsia="zh-CN" w:bidi="ar"/>
                <w14:textFill>
                  <w14:solidFill>
                    <w14:schemeClr w14:val="tx1"/>
                  </w14:solidFill>
                </w14:textFill>
              </w:rPr>
              <w:t>（7）中小企业划分标准认定原则：</w:t>
            </w:r>
          </w:p>
          <w:p w14:paraId="1D45AFE9">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leftChars="0" w:right="0" w:rightChars="0" w:firstLine="0" w:firstLineChars="0"/>
              <w:jc w:val="both"/>
              <w:outlineLvl w:val="9"/>
              <w:rPr>
                <w:rFonts w:hint="eastAsia" w:ascii="宋体" w:hAnsi="宋体" w:eastAsia="宋体" w:cs="宋体"/>
                <w:b w:val="0"/>
                <w:bCs w:val="0"/>
                <w:caps w:val="0"/>
                <w:color w:val="000000" w:themeColor="text1"/>
                <w:kern w:val="2"/>
                <w:sz w:val="21"/>
                <w:szCs w:val="21"/>
                <w:highlight w:val="none"/>
                <w:vertAlign w:val="baseline"/>
                <w:lang w:val="en-US" w:eastAsia="zh-CN" w:bidi="ar"/>
                <w14:textFill>
                  <w14:solidFill>
                    <w14:schemeClr w14:val="tx1"/>
                  </w14:solidFill>
                </w14:textFill>
              </w:rPr>
            </w:pPr>
            <w:r>
              <w:rPr>
                <w:rFonts w:hint="eastAsia" w:ascii="宋体" w:hAnsi="宋体" w:eastAsia="宋体" w:cs="宋体"/>
                <w:b w:val="0"/>
                <w:bCs w:val="0"/>
                <w:caps w:val="0"/>
                <w:color w:val="000000" w:themeColor="text1"/>
                <w:kern w:val="2"/>
                <w:sz w:val="21"/>
                <w:szCs w:val="21"/>
                <w:highlight w:val="none"/>
                <w:vertAlign w:val="baseline"/>
                <w:lang w:val="en-US" w:eastAsia="zh-CN" w:bidi="ar"/>
                <w14:textFill>
                  <w14:solidFill>
                    <w14:schemeClr w14:val="tx1"/>
                  </w14:solidFill>
                </w14:textFill>
              </w:rPr>
              <w:t xml:space="preserve">a、提供本企业制造的货物、承担的工程或者服务，或者提供其他中小企业制造的货物。本项所称货物不包括使用大型企业注册商标的货物。 </w:t>
            </w:r>
          </w:p>
          <w:p w14:paraId="2A2424E4">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leftChars="0" w:right="0" w:rightChars="0" w:firstLine="0" w:firstLineChars="0"/>
              <w:jc w:val="both"/>
              <w:outlineLvl w:val="9"/>
              <w:rPr>
                <w:rFonts w:hint="eastAsia" w:ascii="宋体" w:hAnsi="宋体" w:eastAsia="宋体" w:cs="宋体"/>
                <w:b w:val="0"/>
                <w:bCs w:val="0"/>
                <w:caps w:val="0"/>
                <w:color w:val="000000" w:themeColor="text1"/>
                <w:kern w:val="2"/>
                <w:sz w:val="21"/>
                <w:szCs w:val="21"/>
                <w:highlight w:val="none"/>
                <w:vertAlign w:val="baseline"/>
                <w:lang w:val="en-US" w:eastAsia="zh-CN" w:bidi="ar"/>
                <w14:textFill>
                  <w14:solidFill>
                    <w14:schemeClr w14:val="tx1"/>
                  </w14:solidFill>
                </w14:textFill>
              </w:rPr>
            </w:pPr>
            <w:r>
              <w:rPr>
                <w:rFonts w:hint="eastAsia" w:ascii="宋体" w:hAnsi="宋体" w:eastAsia="宋体" w:cs="宋体"/>
                <w:b w:val="0"/>
                <w:bCs w:val="0"/>
                <w:caps w:val="0"/>
                <w:color w:val="000000" w:themeColor="text1"/>
                <w:kern w:val="2"/>
                <w:sz w:val="21"/>
                <w:szCs w:val="21"/>
                <w:highlight w:val="none"/>
                <w:vertAlign w:val="baseline"/>
                <w:lang w:val="en-US" w:eastAsia="zh-CN" w:bidi="ar"/>
                <w14:textFill>
                  <w14:solidFill>
                    <w14:schemeClr w14:val="tx1"/>
                  </w14:solidFill>
                </w14:textFill>
              </w:rPr>
              <w:t>b、中小企业划分标准以《工业和信息化部、国家统计局、国家发展和改革委员会、财政部关于印发中小企业划型标准规定的通知》(工信部联企业[2011]300 号)规定的划分标准为准。</w:t>
            </w:r>
          </w:p>
          <w:p w14:paraId="35E2FEB0">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leftChars="0" w:right="0" w:rightChars="0" w:firstLine="0" w:firstLineChars="0"/>
              <w:jc w:val="both"/>
              <w:outlineLvl w:val="9"/>
              <w:rPr>
                <w:rFonts w:hint="eastAsia" w:ascii="宋体" w:hAnsi="宋体" w:eastAsia="宋体" w:cs="宋体"/>
                <w:b w:val="0"/>
                <w:bCs w:val="0"/>
                <w:caps w:val="0"/>
                <w:color w:val="000000" w:themeColor="text1"/>
                <w:kern w:val="2"/>
                <w:sz w:val="21"/>
                <w:szCs w:val="21"/>
                <w:highlight w:val="none"/>
                <w:vertAlign w:val="baseline"/>
                <w:lang w:val="en-US" w:eastAsia="zh-CN" w:bidi="ar"/>
                <w14:textFill>
                  <w14:solidFill>
                    <w14:schemeClr w14:val="tx1"/>
                  </w14:solidFill>
                </w14:textFill>
              </w:rPr>
            </w:pPr>
            <w:r>
              <w:rPr>
                <w:rFonts w:hint="eastAsia" w:ascii="宋体" w:hAnsi="宋体" w:eastAsia="宋体" w:cs="宋体"/>
                <w:b w:val="0"/>
                <w:bCs w:val="0"/>
                <w:caps w:val="0"/>
                <w:color w:val="000000" w:themeColor="text1"/>
                <w:kern w:val="2"/>
                <w:sz w:val="21"/>
                <w:szCs w:val="21"/>
                <w:highlight w:val="none"/>
                <w:vertAlign w:val="baseline"/>
                <w:lang w:val="en-US" w:eastAsia="zh-CN" w:bidi="ar"/>
                <w14:textFill>
                  <w14:solidFill>
                    <w14:schemeClr w14:val="tx1"/>
                  </w14:solidFill>
                </w14:textFill>
              </w:rPr>
              <w:t>c、小型、微型企业提供中型企业制造的货物的，视同为中型企业。</w:t>
            </w:r>
          </w:p>
          <w:p w14:paraId="127E8C6F">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leftChars="0" w:right="0" w:rightChars="0" w:firstLine="0" w:firstLineChars="0"/>
              <w:jc w:val="both"/>
              <w:outlineLvl w:val="9"/>
              <w:rPr>
                <w:rFonts w:hint="eastAsia" w:ascii="宋体" w:hAnsi="宋体" w:eastAsia="宋体" w:cs="宋体"/>
                <w:b w:val="0"/>
                <w:bCs w:val="0"/>
                <w:caps w:val="0"/>
                <w:color w:val="000000" w:themeColor="text1"/>
                <w:kern w:val="2"/>
                <w:sz w:val="21"/>
                <w:szCs w:val="21"/>
                <w:highlight w:val="none"/>
                <w:vertAlign w:val="baseline"/>
                <w:lang w:val="en-US" w:eastAsia="zh-CN" w:bidi="ar"/>
                <w14:textFill>
                  <w14:solidFill>
                    <w14:schemeClr w14:val="tx1"/>
                  </w14:solidFill>
                </w14:textFill>
              </w:rPr>
            </w:pPr>
            <w:r>
              <w:rPr>
                <w:rFonts w:hint="eastAsia" w:ascii="宋体" w:hAnsi="宋体" w:eastAsia="宋体" w:cs="宋体"/>
                <w:b w:val="0"/>
                <w:bCs w:val="0"/>
                <w:caps w:val="0"/>
                <w:color w:val="000000" w:themeColor="text1"/>
                <w:kern w:val="2"/>
                <w:sz w:val="21"/>
                <w:szCs w:val="21"/>
                <w:highlight w:val="none"/>
                <w:vertAlign w:val="baseline"/>
                <w:lang w:val="en-US" w:eastAsia="zh-CN" w:bidi="ar"/>
                <w14:textFill>
                  <w14:solidFill>
                    <w14:schemeClr w14:val="tx1"/>
                  </w14:solidFill>
                </w14:textFill>
              </w:rPr>
              <w:t>d、组成联合体的大中型企业和其他自然人、法人或者其他组织，与小型、微型企业之间不得存在投资关系。</w:t>
            </w:r>
          </w:p>
          <w:p w14:paraId="29804E81">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leftChars="0" w:right="0" w:rightChars="0" w:firstLine="0" w:firstLineChars="0"/>
              <w:jc w:val="both"/>
              <w:outlineLvl w:val="9"/>
              <w:rPr>
                <w:rFonts w:hint="eastAsia" w:ascii="宋体" w:hAnsi="宋体" w:eastAsia="宋体" w:cs="宋体"/>
                <w:b w:val="0"/>
                <w:bCs w:val="0"/>
                <w:caps w:val="0"/>
                <w:color w:val="000000" w:themeColor="text1"/>
                <w:kern w:val="2"/>
                <w:sz w:val="21"/>
                <w:szCs w:val="21"/>
                <w:highlight w:val="none"/>
                <w:vertAlign w:val="baseline"/>
                <w:lang w:val="en-US" w:eastAsia="zh-CN" w:bidi="ar"/>
                <w14:textFill>
                  <w14:solidFill>
                    <w14:schemeClr w14:val="tx1"/>
                  </w14:solidFill>
                </w14:textFill>
              </w:rPr>
            </w:pPr>
            <w:r>
              <w:rPr>
                <w:rFonts w:hint="eastAsia" w:ascii="宋体" w:hAnsi="宋体" w:eastAsia="宋体" w:cs="宋体"/>
                <w:b w:val="0"/>
                <w:bCs w:val="0"/>
                <w:caps w:val="0"/>
                <w:color w:val="000000" w:themeColor="text1"/>
                <w:kern w:val="2"/>
                <w:sz w:val="21"/>
                <w:szCs w:val="21"/>
                <w:highlight w:val="none"/>
                <w:vertAlign w:val="baseline"/>
                <w:lang w:val="en-US" w:eastAsia="zh-CN" w:bidi="ar"/>
                <w14:textFill>
                  <w14:solidFill>
                    <w14:schemeClr w14:val="tx1"/>
                  </w14:solidFill>
                </w14:textFill>
              </w:rPr>
              <w:t>e、监狱企业产品价格扣除：</w:t>
            </w:r>
          </w:p>
          <w:p w14:paraId="4254EAAE">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leftChars="0" w:right="0" w:rightChars="0" w:firstLine="0" w:firstLineChars="0"/>
              <w:jc w:val="both"/>
              <w:outlineLvl w:val="9"/>
              <w:rPr>
                <w:rFonts w:hint="eastAsia" w:ascii="宋体" w:hAnsi="宋体" w:eastAsia="宋体" w:cs="宋体"/>
                <w:b w:val="0"/>
                <w:bCs w:val="0"/>
                <w:caps w:val="0"/>
                <w:color w:val="000000" w:themeColor="text1"/>
                <w:kern w:val="2"/>
                <w:sz w:val="21"/>
                <w:szCs w:val="21"/>
                <w:highlight w:val="none"/>
                <w:vertAlign w:val="baseline"/>
                <w:lang w:val="en-US" w:eastAsia="zh-CN" w:bidi="ar"/>
                <w14:textFill>
                  <w14:solidFill>
                    <w14:schemeClr w14:val="tx1"/>
                  </w14:solidFill>
                </w14:textFill>
              </w:rPr>
            </w:pPr>
            <w:r>
              <w:rPr>
                <w:rFonts w:hint="eastAsia" w:ascii="宋体" w:hAnsi="宋体" w:eastAsia="宋体" w:cs="宋体"/>
                <w:b w:val="0"/>
                <w:bCs w:val="0"/>
                <w:caps w:val="0"/>
                <w:color w:val="000000" w:themeColor="text1"/>
                <w:kern w:val="2"/>
                <w:sz w:val="21"/>
                <w:szCs w:val="21"/>
                <w:highlight w:val="none"/>
                <w:vertAlign w:val="baseline"/>
                <w:lang w:val="en-US" w:eastAsia="zh-CN" w:bidi="ar"/>
                <w14:textFill>
                  <w14:solidFill>
                    <w14:schemeClr w14:val="tx1"/>
                  </w14:solidFill>
                </w14:textFill>
              </w:rPr>
              <w:t>根据财政部印发的《司法部关于政府采购支持监狱企业发展有关问题》的通知(财库〔2014〕68号)的规定，支持监狱和戒毒企业(简称“监狱企业”)发展，监狱企业视同中小企业给予相当中小企业的价格扣除。监狱企业参加政府采购活动时，应当提供由省级以上监狱管理局、戒毒管理局(含新疆生产建设兵团)出具的属于监狱企业的证明文件，否则视为非监狱企业。</w:t>
            </w:r>
          </w:p>
          <w:p w14:paraId="64F4BD47">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leftChars="0" w:right="0" w:rightChars="0" w:firstLine="0" w:firstLineChars="0"/>
              <w:jc w:val="both"/>
              <w:outlineLvl w:val="9"/>
              <w:rPr>
                <w:rFonts w:hint="eastAsia" w:ascii="宋体" w:hAnsi="宋体" w:eastAsia="宋体" w:cs="宋体"/>
                <w:b w:val="0"/>
                <w:bCs w:val="0"/>
                <w:caps w:val="0"/>
                <w:color w:val="000000" w:themeColor="text1"/>
                <w:kern w:val="2"/>
                <w:sz w:val="21"/>
                <w:szCs w:val="21"/>
                <w:highlight w:val="none"/>
                <w:vertAlign w:val="baseline"/>
                <w:lang w:val="en-US" w:eastAsia="zh-CN" w:bidi="ar"/>
                <w14:textFill>
                  <w14:solidFill>
                    <w14:schemeClr w14:val="tx1"/>
                  </w14:solidFill>
                </w14:textFill>
              </w:rPr>
            </w:pPr>
            <w:r>
              <w:rPr>
                <w:rFonts w:hint="eastAsia" w:ascii="宋体" w:hAnsi="宋体" w:eastAsia="宋体" w:cs="宋体"/>
                <w:b w:val="0"/>
                <w:bCs w:val="0"/>
                <w:caps w:val="0"/>
                <w:color w:val="000000" w:themeColor="text1"/>
                <w:kern w:val="2"/>
                <w:sz w:val="21"/>
                <w:szCs w:val="21"/>
                <w:highlight w:val="none"/>
                <w:vertAlign w:val="baseline"/>
                <w:lang w:val="en-US" w:eastAsia="zh-CN" w:bidi="ar"/>
                <w14:textFill>
                  <w14:solidFill>
                    <w14:schemeClr w14:val="tx1"/>
                  </w14:solidFill>
                </w14:textFill>
              </w:rPr>
              <w:t>f、残疾人福利性单位产品价格扣除：</w:t>
            </w:r>
          </w:p>
          <w:p w14:paraId="3422E177">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leftChars="0" w:right="0" w:rightChars="0" w:firstLine="0" w:firstLineChars="0"/>
              <w:jc w:val="both"/>
              <w:outlineLvl w:val="9"/>
              <w:rPr>
                <w:rFonts w:hint="eastAsia" w:ascii="宋体" w:hAnsi="宋体" w:eastAsia="宋体" w:cs="宋体"/>
                <w:b w:val="0"/>
                <w:bCs w:val="0"/>
                <w:caps w:val="0"/>
                <w:color w:val="000000" w:themeColor="text1"/>
                <w:kern w:val="2"/>
                <w:sz w:val="21"/>
                <w:szCs w:val="21"/>
                <w:highlight w:val="none"/>
                <w:vertAlign w:val="baseline"/>
                <w:lang w:val="en-US" w:eastAsia="zh-CN" w:bidi="ar"/>
                <w14:textFill>
                  <w14:solidFill>
                    <w14:schemeClr w14:val="tx1"/>
                  </w14:solidFill>
                </w14:textFill>
              </w:rPr>
            </w:pPr>
            <w:r>
              <w:rPr>
                <w:rFonts w:hint="eastAsia" w:ascii="宋体" w:hAnsi="宋体" w:eastAsia="宋体" w:cs="宋体"/>
                <w:b w:val="0"/>
                <w:bCs w:val="0"/>
                <w:caps w:val="0"/>
                <w:color w:val="000000" w:themeColor="text1"/>
                <w:kern w:val="2"/>
                <w:sz w:val="21"/>
                <w:szCs w:val="21"/>
                <w:highlight w:val="none"/>
                <w:vertAlign w:val="baseline"/>
                <w:lang w:val="en-US" w:eastAsia="zh-CN" w:bidi="ar"/>
                <w14:textFill>
                  <w14:solidFill>
                    <w14:schemeClr w14:val="tx1"/>
                  </w14:solidFill>
                </w14:textFill>
              </w:rPr>
              <w:t>根据财政部印发的《关于促进残疾人就业政府采购政策的通知》(财库〔2017〕141号)的规定，残疾人福利性单位视同中小企业给予相当中小企业的价格扣除。残疾人福利性单位参加政府采购活动时，应当提供《残疾人福利性单位声明函》(格式见第六章响应文件格式)，否则视为非残疾人福利性单位。</w:t>
            </w:r>
          </w:p>
          <w:p w14:paraId="74552DAB">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leftChars="0" w:right="0" w:rightChars="0" w:firstLine="0" w:firstLineChars="0"/>
              <w:jc w:val="both"/>
              <w:outlineLvl w:val="9"/>
              <w:rPr>
                <w:rFonts w:hint="eastAsia" w:ascii="宋体" w:hAnsi="宋体" w:eastAsia="宋体" w:cs="宋体"/>
                <w:b w:val="0"/>
                <w:bCs w:val="0"/>
                <w:caps w:val="0"/>
                <w:color w:val="000000" w:themeColor="text1"/>
                <w:kern w:val="2"/>
                <w:sz w:val="21"/>
                <w:szCs w:val="21"/>
                <w:highlight w:val="none"/>
                <w:vertAlign w:val="baseline"/>
                <w:lang w:val="en-US" w:eastAsia="zh-CN" w:bidi="ar"/>
                <w14:textFill>
                  <w14:solidFill>
                    <w14:schemeClr w14:val="tx1"/>
                  </w14:solidFill>
                </w14:textFill>
              </w:rPr>
            </w:pPr>
            <w:r>
              <w:rPr>
                <w:rFonts w:hint="eastAsia" w:ascii="宋体" w:hAnsi="宋体" w:eastAsia="宋体" w:cs="宋体"/>
                <w:b w:val="0"/>
                <w:bCs w:val="0"/>
                <w:caps w:val="0"/>
                <w:color w:val="000000" w:themeColor="text1"/>
                <w:kern w:val="2"/>
                <w:sz w:val="21"/>
                <w:szCs w:val="21"/>
                <w:highlight w:val="none"/>
                <w:vertAlign w:val="baseline"/>
                <w:lang w:val="en-US" w:eastAsia="zh-CN" w:bidi="ar"/>
                <w14:textFill>
                  <w14:solidFill>
                    <w14:schemeClr w14:val="tx1"/>
                  </w14:solidFill>
                </w14:textFill>
              </w:rPr>
              <w:t>注1：供应商若同时为中小企业、监狱企业、残疾人福利性单位或其中两种，均只能享受一次价格扣除。</w:t>
            </w:r>
          </w:p>
          <w:p w14:paraId="42268D17">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leftChars="0" w:right="0" w:rightChars="0" w:firstLine="0" w:firstLineChars="0"/>
              <w:jc w:val="both"/>
              <w:outlineLvl w:val="9"/>
              <w:rPr>
                <w:rFonts w:hint="eastAsia" w:ascii="宋体" w:hAnsi="宋体" w:eastAsia="宋体" w:cs="宋体"/>
                <w:b w:val="0"/>
                <w:bCs w:val="0"/>
                <w:caps w:val="0"/>
                <w:color w:val="000000" w:themeColor="text1"/>
                <w:kern w:val="2"/>
                <w:sz w:val="21"/>
                <w:szCs w:val="21"/>
                <w:highlight w:val="none"/>
                <w:vertAlign w:val="baseline"/>
                <w:lang w:val="en-US" w:eastAsia="zh-CN" w:bidi="ar"/>
                <w14:textFill>
                  <w14:solidFill>
                    <w14:schemeClr w14:val="tx1"/>
                  </w14:solidFill>
                </w14:textFill>
              </w:rPr>
            </w:pPr>
            <w:r>
              <w:rPr>
                <w:rFonts w:hint="eastAsia" w:ascii="宋体" w:hAnsi="宋体" w:eastAsia="宋体" w:cs="宋体"/>
                <w:b w:val="0"/>
                <w:bCs w:val="0"/>
                <w:caps w:val="0"/>
                <w:color w:val="000000" w:themeColor="text1"/>
                <w:kern w:val="2"/>
                <w:sz w:val="21"/>
                <w:szCs w:val="21"/>
                <w:highlight w:val="none"/>
                <w:vertAlign w:val="baseline"/>
                <w:lang w:val="en-US" w:eastAsia="zh-CN" w:bidi="ar"/>
                <w14:textFill>
                  <w14:solidFill>
                    <w14:schemeClr w14:val="tx1"/>
                  </w14:solidFill>
                </w14:textFill>
              </w:rPr>
              <w:t>注2：中小企业、残疾人福利性单位提供其他企业制造的货物的，则该货物的制造商也必须为上述企业，否则不能享受价格优惠。</w:t>
            </w:r>
          </w:p>
          <w:p w14:paraId="61A48016">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leftChars="0" w:right="0" w:rightChars="0" w:firstLine="0" w:firstLineChars="0"/>
              <w:jc w:val="both"/>
              <w:outlineLvl w:val="9"/>
              <w:rPr>
                <w:rFonts w:hint="eastAsia" w:ascii="宋体" w:hAnsi="宋体" w:eastAsia="宋体" w:cs="宋体"/>
                <w:b/>
                <w:bCs/>
                <w:color w:val="000000" w:themeColor="text1"/>
                <w:sz w:val="21"/>
                <w:szCs w:val="21"/>
                <w:highlight w:val="none"/>
                <w:u w:val="single"/>
                <w:lang w:val="en-US" w:eastAsia="zh-CN" w:bidi="ar-SA"/>
                <w14:textFill>
                  <w14:solidFill>
                    <w14:schemeClr w14:val="tx1"/>
                  </w14:solidFill>
                </w14:textFill>
              </w:rPr>
            </w:pPr>
            <w:r>
              <w:rPr>
                <w:rFonts w:hint="eastAsia" w:ascii="宋体" w:hAnsi="宋体" w:eastAsia="宋体" w:cs="宋体"/>
                <w:b w:val="0"/>
                <w:bCs w:val="0"/>
                <w:caps w:val="0"/>
                <w:color w:val="000000" w:themeColor="text1"/>
                <w:kern w:val="2"/>
                <w:sz w:val="21"/>
                <w:szCs w:val="21"/>
                <w:highlight w:val="none"/>
                <w:vertAlign w:val="baseline"/>
                <w:lang w:val="en-US" w:eastAsia="zh-CN" w:bidi="ar"/>
                <w14:textFill>
                  <w14:solidFill>
                    <w14:schemeClr w14:val="tx1"/>
                  </w14:solidFill>
                </w14:textFill>
              </w:rPr>
              <w:t>注3：本项目不专门面向中小企业，为货物类采购项目，采购标的对应的中小企业划分标准所属行业为</w:t>
            </w:r>
            <w:r>
              <w:rPr>
                <w:rFonts w:hint="eastAsia" w:ascii="宋体" w:hAnsi="宋体" w:cs="宋体"/>
                <w:b w:val="0"/>
                <w:bCs w:val="0"/>
                <w:caps w:val="0"/>
                <w:color w:val="000000" w:themeColor="text1"/>
                <w:kern w:val="2"/>
                <w:sz w:val="21"/>
                <w:szCs w:val="21"/>
                <w:highlight w:val="none"/>
                <w:vertAlign w:val="baseline"/>
                <w:lang w:val="en-US" w:eastAsia="zh-CN" w:bidi="ar"/>
                <w14:textFill>
                  <w14:solidFill>
                    <w14:schemeClr w14:val="tx1"/>
                  </w14:solidFill>
                </w14:textFill>
              </w:rPr>
              <w:t>工</w:t>
            </w:r>
            <w:r>
              <w:rPr>
                <w:rFonts w:hint="eastAsia" w:ascii="宋体" w:hAnsi="宋体" w:eastAsia="宋体" w:cs="宋体"/>
                <w:b w:val="0"/>
                <w:bCs w:val="0"/>
                <w:caps w:val="0"/>
                <w:color w:val="000000" w:themeColor="text1"/>
                <w:kern w:val="2"/>
                <w:sz w:val="21"/>
                <w:szCs w:val="21"/>
                <w:highlight w:val="none"/>
                <w:vertAlign w:val="baseline"/>
                <w:lang w:val="en-US" w:eastAsia="zh-CN" w:bidi="ar"/>
                <w14:textFill>
                  <w14:solidFill>
                    <w14:schemeClr w14:val="tx1"/>
                  </w14:solidFill>
                </w14:textFill>
              </w:rPr>
              <w:t>业。若投标人提供的《中小企业声明函》不是货物类的版本或其中填写的行业与磋商文件明确的采购标的对应的中小企业划分标准所属行业不一致，则不予认定为中小企业。</w:t>
            </w:r>
          </w:p>
        </w:tc>
      </w:tr>
      <w:tr w14:paraId="12D2E88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8" w:hRule="atLeast"/>
          <w:jc w:val="center"/>
        </w:trPr>
        <w:tc>
          <w:tcPr>
            <w:tcW w:w="995" w:type="dxa"/>
            <w:vMerge w:val="continue"/>
            <w:vAlign w:val="center"/>
          </w:tcPr>
          <w:p w14:paraId="365FDA56">
            <w:pPr>
              <w:overflowPunct/>
              <w:bidi w:val="0"/>
              <w:spacing w:line="400" w:lineRule="exact"/>
              <w:jc w:val="center"/>
              <w:outlineLvl w:val="9"/>
              <w:rPr>
                <w:rFonts w:hint="eastAsia"/>
                <w:color w:val="000000" w:themeColor="text1"/>
                <w:highlight w:val="none"/>
                <w:lang w:val="en-US" w:eastAsia="zh-CN"/>
                <w14:textFill>
                  <w14:solidFill>
                    <w14:schemeClr w14:val="tx1"/>
                  </w14:solidFill>
                </w14:textFill>
              </w:rPr>
            </w:pPr>
          </w:p>
        </w:tc>
        <w:tc>
          <w:tcPr>
            <w:tcW w:w="2095" w:type="dxa"/>
            <w:vMerge w:val="continue"/>
            <w:vAlign w:val="center"/>
          </w:tcPr>
          <w:p w14:paraId="3305BBA1">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leftChars="0" w:right="0" w:rightChars="0" w:firstLine="0" w:firstLineChars="0"/>
              <w:jc w:val="center"/>
              <w:outlineLvl w:val="9"/>
              <w:rPr>
                <w:rFonts w:hint="eastAsia" w:ascii="宋体" w:hAnsi="宋体" w:eastAsia="宋体" w:cs="宋体"/>
                <w:b w:val="0"/>
                <w:bCs w:val="0"/>
                <w:caps w:val="0"/>
                <w:color w:val="000000" w:themeColor="text1"/>
                <w:kern w:val="2"/>
                <w:sz w:val="21"/>
                <w:szCs w:val="21"/>
                <w:highlight w:val="none"/>
                <w:vertAlign w:val="baseline"/>
                <w:lang w:val="en-US" w:eastAsia="zh-CN" w:bidi="ar"/>
                <w14:textFill>
                  <w14:solidFill>
                    <w14:schemeClr w14:val="tx1"/>
                  </w14:solidFill>
                </w14:textFill>
              </w:rPr>
            </w:pPr>
          </w:p>
        </w:tc>
        <w:tc>
          <w:tcPr>
            <w:tcW w:w="6675" w:type="dxa"/>
            <w:vAlign w:val="center"/>
          </w:tcPr>
          <w:p w14:paraId="1BA83A25">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leftChars="0" w:right="0" w:rightChars="0" w:firstLine="0" w:firstLineChars="0"/>
              <w:jc w:val="both"/>
              <w:outlineLvl w:val="9"/>
              <w:rPr>
                <w:rFonts w:hint="eastAsia" w:ascii="宋体" w:hAnsi="宋体" w:eastAsia="宋体" w:cs="宋体"/>
                <w:b w:val="0"/>
                <w:bCs w:val="0"/>
                <w:caps w:val="0"/>
                <w:color w:val="000000" w:themeColor="text1"/>
                <w:kern w:val="2"/>
                <w:sz w:val="21"/>
                <w:szCs w:val="21"/>
                <w:highlight w:val="none"/>
                <w:vertAlign w:val="baseline"/>
                <w:lang w:val="en-US" w:eastAsia="zh-CN" w:bidi="ar"/>
                <w14:textFill>
                  <w14:solidFill>
                    <w14:schemeClr w14:val="tx1"/>
                  </w14:solidFill>
                </w14:textFill>
              </w:rPr>
            </w:pPr>
            <w:r>
              <w:rPr>
                <w:rFonts w:hint="eastAsia" w:ascii="宋体" w:hAnsi="宋体" w:eastAsia="宋体" w:cs="宋体"/>
                <w:b w:val="0"/>
                <w:bCs w:val="0"/>
                <w:caps w:val="0"/>
                <w:color w:val="000000" w:themeColor="text1"/>
                <w:kern w:val="2"/>
                <w:sz w:val="21"/>
                <w:szCs w:val="21"/>
                <w:highlight w:val="none"/>
                <w:vertAlign w:val="baseline"/>
                <w:lang w:val="en-US" w:eastAsia="zh-CN" w:bidi="ar"/>
                <w14:textFill>
                  <w14:solidFill>
                    <w14:schemeClr w14:val="tx1"/>
                  </w14:solidFill>
                </w14:textFill>
              </w:rPr>
              <w:t>只接受以书面形式向采购人、采购代理机构提出质疑，不接受以其他形式或提出的质疑。</w:t>
            </w:r>
          </w:p>
        </w:tc>
      </w:tr>
      <w:tr w14:paraId="2994F0F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8" w:hRule="atLeast"/>
          <w:jc w:val="center"/>
        </w:trPr>
        <w:tc>
          <w:tcPr>
            <w:tcW w:w="995" w:type="dxa"/>
            <w:vAlign w:val="center"/>
          </w:tcPr>
          <w:p w14:paraId="5BCDAA0D">
            <w:pPr>
              <w:overflowPunct/>
              <w:bidi w:val="0"/>
              <w:spacing w:line="400" w:lineRule="exact"/>
              <w:jc w:val="center"/>
              <w:outlineLvl w:val="9"/>
              <w:rPr>
                <w:rFonts w:hint="eastAsia" w:eastAsia="宋体"/>
                <w:color w:val="000000" w:themeColor="text1"/>
                <w:highlight w:val="none"/>
                <w:lang w:eastAsia="zh-CN"/>
                <w14:textFill>
                  <w14:solidFill>
                    <w14:schemeClr w14:val="tx1"/>
                  </w14:solidFill>
                </w14:textFill>
              </w:rPr>
            </w:pPr>
            <w:r>
              <w:rPr>
                <w:rFonts w:hint="eastAsia"/>
                <w:color w:val="000000" w:themeColor="text1"/>
                <w:highlight w:val="none"/>
                <w14:textFill>
                  <w14:solidFill>
                    <w14:schemeClr w14:val="tx1"/>
                  </w14:solidFill>
                </w14:textFill>
              </w:rPr>
              <w:t>10.</w:t>
            </w:r>
            <w:r>
              <w:rPr>
                <w:rFonts w:hint="eastAsia"/>
                <w:color w:val="000000" w:themeColor="text1"/>
                <w:highlight w:val="none"/>
                <w:lang w:val="en-US" w:eastAsia="zh-CN"/>
                <w14:textFill>
                  <w14:solidFill>
                    <w14:schemeClr w14:val="tx1"/>
                  </w14:solidFill>
                </w14:textFill>
              </w:rPr>
              <w:t>5</w:t>
            </w:r>
          </w:p>
        </w:tc>
        <w:tc>
          <w:tcPr>
            <w:tcW w:w="2095" w:type="dxa"/>
            <w:vAlign w:val="center"/>
          </w:tcPr>
          <w:p w14:paraId="253A3262">
            <w:pPr>
              <w:keepNext w:val="0"/>
              <w:keepLines w:val="0"/>
              <w:pageBreakBefore w:val="0"/>
              <w:widowControl w:val="0"/>
              <w:kinsoku/>
              <w:wordWrap/>
              <w:overflowPunct/>
              <w:topLinePunct w:val="0"/>
              <w:autoSpaceDE/>
              <w:autoSpaceDN/>
              <w:bidi w:val="0"/>
              <w:adjustRightInd/>
              <w:snapToGrid/>
              <w:spacing w:line="0" w:lineRule="atLeast"/>
              <w:ind w:left="0" w:leftChars="0" w:firstLine="0" w:firstLineChars="0"/>
              <w:jc w:val="center"/>
              <w:textAlignment w:val="auto"/>
              <w:outlineLvl w:val="9"/>
              <w:rPr>
                <w:rFonts w:hint="eastAsia" w:ascii="宋体" w:hAnsi="宋体" w:eastAsia="宋体" w:cs="宋体"/>
                <w:color w:val="000000" w:themeColor="text1"/>
                <w:sz w:val="21"/>
                <w:szCs w:val="21"/>
                <w:highlight w:val="none"/>
                <w:lang w:val="en-US" w:eastAsia="zh-CN"/>
                <w14:textFill>
                  <w14:solidFill>
                    <w14:schemeClr w14:val="tx1"/>
                  </w14:solidFill>
                </w14:textFill>
              </w:rPr>
            </w:pPr>
            <w:r>
              <w:rPr>
                <w:rFonts w:hint="eastAsia" w:ascii="宋体" w:hAnsi="宋体" w:eastAsia="宋体" w:cs="宋体"/>
                <w:color w:val="000000" w:themeColor="text1"/>
                <w:sz w:val="21"/>
                <w:szCs w:val="21"/>
                <w:highlight w:val="none"/>
                <w:lang w:val="zh-CN"/>
                <w14:textFill>
                  <w14:solidFill>
                    <w14:schemeClr w14:val="tx1"/>
                  </w14:solidFill>
                </w14:textFill>
              </w:rPr>
              <w:t>供应商</w:t>
            </w:r>
            <w:r>
              <w:rPr>
                <w:rFonts w:hint="eastAsia" w:ascii="宋体" w:hAnsi="宋体" w:eastAsia="宋体" w:cs="宋体"/>
                <w:color w:val="000000" w:themeColor="text1"/>
                <w:sz w:val="21"/>
                <w:szCs w:val="21"/>
                <w:highlight w:val="none"/>
                <w:lang w:val="en-US" w:eastAsia="zh-CN"/>
                <w14:textFill>
                  <w14:solidFill>
                    <w14:schemeClr w14:val="tx1"/>
                  </w14:solidFill>
                </w14:textFill>
              </w:rPr>
              <w:t>投标无效</w:t>
            </w:r>
            <w:r>
              <w:rPr>
                <w:rFonts w:hint="eastAsia" w:ascii="宋体" w:hAnsi="宋体" w:eastAsia="宋体" w:cs="宋体"/>
                <w:color w:val="000000" w:themeColor="text1"/>
                <w:sz w:val="21"/>
                <w:szCs w:val="21"/>
                <w:highlight w:val="none"/>
                <w:lang w:val="zh-CN"/>
                <w14:textFill>
                  <w14:solidFill>
                    <w14:schemeClr w14:val="tx1"/>
                  </w14:solidFill>
                </w14:textFill>
              </w:rPr>
              <w:t>说明</w:t>
            </w:r>
          </w:p>
        </w:tc>
        <w:tc>
          <w:tcPr>
            <w:tcW w:w="6675" w:type="dxa"/>
            <w:vAlign w:val="center"/>
          </w:tcPr>
          <w:p w14:paraId="3C653440">
            <w:pPr>
              <w:keepNext w:val="0"/>
              <w:keepLines w:val="0"/>
              <w:pageBreakBefore w:val="0"/>
              <w:widowControl w:val="0"/>
              <w:kinsoku/>
              <w:wordWrap/>
              <w:overflowPunct/>
              <w:topLinePunct w:val="0"/>
              <w:autoSpaceDE/>
              <w:autoSpaceDN/>
              <w:bidi w:val="0"/>
              <w:adjustRightInd/>
              <w:snapToGrid/>
              <w:spacing w:line="0" w:lineRule="atLeast"/>
              <w:ind w:left="0" w:leftChars="0" w:firstLine="0" w:firstLineChars="0"/>
              <w:textAlignment w:val="auto"/>
              <w:outlineLvl w:val="9"/>
              <w:rPr>
                <w:rFonts w:hint="eastAsia" w:ascii="宋体" w:hAnsi="宋体" w:eastAsia="宋体" w:cs="宋体"/>
                <w:color w:val="000000" w:themeColor="text1"/>
                <w:sz w:val="21"/>
                <w:szCs w:val="21"/>
                <w:highlight w:val="none"/>
                <w:lang w:val="zh-CN"/>
                <w14:textFill>
                  <w14:solidFill>
                    <w14:schemeClr w14:val="tx1"/>
                  </w14:solidFill>
                </w14:textFill>
              </w:rPr>
            </w:pPr>
            <w:r>
              <w:rPr>
                <w:rFonts w:hint="eastAsia" w:ascii="宋体" w:hAnsi="宋体" w:eastAsia="宋体" w:cs="宋体"/>
                <w:color w:val="000000" w:themeColor="text1"/>
                <w:sz w:val="21"/>
                <w:szCs w:val="21"/>
                <w:highlight w:val="none"/>
                <w:lang w:val="zh-CN"/>
                <w14:textFill>
                  <w14:solidFill>
                    <w14:schemeClr w14:val="tx1"/>
                  </w14:solidFill>
                </w14:textFill>
              </w:rPr>
              <w:t>1、供应商需在开标前将</w:t>
            </w:r>
            <w:r>
              <w:rPr>
                <w:rFonts w:hint="eastAsia" w:ascii="宋体" w:hAnsi="宋体" w:eastAsia="宋体" w:cs="宋体"/>
                <w:color w:val="000000" w:themeColor="text1"/>
                <w:sz w:val="21"/>
                <w:szCs w:val="21"/>
                <w:highlight w:val="none"/>
                <w:lang w:val="en-US" w:eastAsia="zh-CN"/>
                <w14:textFill>
                  <w14:solidFill>
                    <w14:schemeClr w14:val="tx1"/>
                  </w14:solidFill>
                </w14:textFill>
              </w:rPr>
              <w:t>响应文件</w:t>
            </w:r>
            <w:r>
              <w:rPr>
                <w:rFonts w:hint="eastAsia" w:ascii="宋体" w:hAnsi="宋体" w:eastAsia="宋体" w:cs="宋体"/>
                <w:color w:val="000000" w:themeColor="text1"/>
                <w:sz w:val="21"/>
                <w:szCs w:val="21"/>
                <w:highlight w:val="none"/>
                <w:lang w:val="zh-CN"/>
                <w14:textFill>
                  <w14:solidFill>
                    <w14:schemeClr w14:val="tx1"/>
                  </w14:solidFill>
                </w14:textFill>
              </w:rPr>
              <w:t>制作工具生成的加密文件上传到政府采购云平台（网址：http://www.zcygov.cn）。</w:t>
            </w:r>
          </w:p>
          <w:p w14:paraId="72539A48">
            <w:pPr>
              <w:keepNext w:val="0"/>
              <w:keepLines w:val="0"/>
              <w:pageBreakBefore w:val="0"/>
              <w:widowControl w:val="0"/>
              <w:kinsoku/>
              <w:wordWrap/>
              <w:overflowPunct/>
              <w:topLinePunct w:val="0"/>
              <w:autoSpaceDE/>
              <w:autoSpaceDN/>
              <w:bidi w:val="0"/>
              <w:adjustRightInd/>
              <w:snapToGrid/>
              <w:spacing w:line="0" w:lineRule="atLeast"/>
              <w:ind w:left="0" w:leftChars="0" w:firstLine="0" w:firstLineChars="0"/>
              <w:textAlignment w:val="auto"/>
              <w:outlineLvl w:val="9"/>
              <w:rPr>
                <w:rFonts w:hint="eastAsia" w:ascii="宋体" w:hAnsi="宋体" w:eastAsia="宋体" w:cs="宋体"/>
                <w:color w:val="000000" w:themeColor="text1"/>
                <w:sz w:val="21"/>
                <w:szCs w:val="21"/>
                <w:highlight w:val="none"/>
                <w:lang w:val="zh-CN"/>
                <w14:textFill>
                  <w14:solidFill>
                    <w14:schemeClr w14:val="tx1"/>
                  </w14:solidFill>
                </w14:textFill>
              </w:rPr>
            </w:pPr>
            <w:r>
              <w:rPr>
                <w:rFonts w:hint="eastAsia" w:ascii="宋体" w:hAnsi="宋体" w:eastAsia="宋体" w:cs="宋体"/>
                <w:color w:val="000000" w:themeColor="text1"/>
                <w:sz w:val="21"/>
                <w:szCs w:val="21"/>
                <w:highlight w:val="none"/>
                <w:lang w:val="zh-CN"/>
                <w14:textFill>
                  <w14:solidFill>
                    <w14:schemeClr w14:val="tx1"/>
                  </w14:solidFill>
                </w14:textFill>
              </w:rPr>
              <w:t>2、开标时，供应商需用生成最终</w:t>
            </w:r>
            <w:r>
              <w:rPr>
                <w:rFonts w:hint="eastAsia" w:ascii="宋体" w:hAnsi="宋体" w:eastAsia="宋体" w:cs="宋体"/>
                <w:color w:val="000000" w:themeColor="text1"/>
                <w:sz w:val="21"/>
                <w:szCs w:val="21"/>
                <w:highlight w:val="none"/>
                <w:lang w:val="en-US" w:eastAsia="zh-CN"/>
                <w14:textFill>
                  <w14:solidFill>
                    <w14:schemeClr w14:val="tx1"/>
                  </w14:solidFill>
                </w14:textFill>
              </w:rPr>
              <w:t>响应文件</w:t>
            </w:r>
            <w:r>
              <w:rPr>
                <w:rFonts w:hint="eastAsia" w:ascii="宋体" w:hAnsi="宋体" w:eastAsia="宋体" w:cs="宋体"/>
                <w:color w:val="000000" w:themeColor="text1"/>
                <w:sz w:val="21"/>
                <w:szCs w:val="21"/>
                <w:highlight w:val="none"/>
                <w:lang w:val="zh-CN"/>
                <w14:textFill>
                  <w14:solidFill>
                    <w14:schemeClr w14:val="tx1"/>
                  </w14:solidFill>
                </w14:textFill>
              </w:rPr>
              <w:t>所使用的数字证书（CA锁），以防</w:t>
            </w:r>
            <w:r>
              <w:rPr>
                <w:rFonts w:hint="eastAsia" w:ascii="宋体" w:hAnsi="宋体" w:eastAsia="宋体" w:cs="宋体"/>
                <w:color w:val="000000" w:themeColor="text1"/>
                <w:sz w:val="21"/>
                <w:szCs w:val="21"/>
                <w:highlight w:val="none"/>
                <w14:textFill>
                  <w14:solidFill>
                    <w14:schemeClr w14:val="tx1"/>
                  </w14:solidFill>
                </w14:textFill>
              </w:rPr>
              <w:t>签到、</w:t>
            </w:r>
            <w:r>
              <w:rPr>
                <w:rFonts w:hint="eastAsia" w:ascii="宋体" w:hAnsi="宋体" w:eastAsia="宋体" w:cs="宋体"/>
                <w:color w:val="000000" w:themeColor="text1"/>
                <w:sz w:val="21"/>
                <w:szCs w:val="21"/>
                <w:highlight w:val="none"/>
                <w:lang w:val="zh-CN"/>
                <w14:textFill>
                  <w14:solidFill>
                    <w14:schemeClr w14:val="tx1"/>
                  </w14:solidFill>
                </w14:textFill>
              </w:rPr>
              <w:t>解密失败。</w:t>
            </w:r>
          </w:p>
          <w:p w14:paraId="2D62C68B">
            <w:pPr>
              <w:keepNext w:val="0"/>
              <w:keepLines w:val="0"/>
              <w:pageBreakBefore w:val="0"/>
              <w:widowControl w:val="0"/>
              <w:kinsoku/>
              <w:wordWrap/>
              <w:overflowPunct/>
              <w:topLinePunct w:val="0"/>
              <w:autoSpaceDE/>
              <w:autoSpaceDN/>
              <w:bidi w:val="0"/>
              <w:adjustRightInd/>
              <w:snapToGrid/>
              <w:spacing w:line="0" w:lineRule="atLeast"/>
              <w:ind w:left="0" w:leftChars="0" w:firstLine="0" w:firstLineChars="0"/>
              <w:textAlignment w:val="auto"/>
              <w:outlineLvl w:val="9"/>
              <w:rPr>
                <w:rFonts w:hint="eastAsia" w:ascii="宋体" w:hAnsi="宋体" w:eastAsia="宋体" w:cs="宋体"/>
                <w:color w:val="000000" w:themeColor="text1"/>
                <w:sz w:val="21"/>
                <w:szCs w:val="21"/>
                <w:highlight w:val="none"/>
                <w:lang w:val="en-US" w:eastAsia="zh-CN"/>
                <w14:textFill>
                  <w14:solidFill>
                    <w14:schemeClr w14:val="tx1"/>
                  </w14:solidFill>
                </w14:textFill>
              </w:rPr>
            </w:pPr>
            <w:r>
              <w:rPr>
                <w:rFonts w:hint="eastAsia" w:ascii="宋体" w:hAnsi="宋体" w:eastAsia="宋体" w:cs="宋体"/>
                <w:color w:val="000000" w:themeColor="text1"/>
                <w:sz w:val="21"/>
                <w:szCs w:val="21"/>
                <w:highlight w:val="none"/>
                <w:lang w:val="zh-CN"/>
                <w14:textFill>
                  <w14:solidFill>
                    <w14:schemeClr w14:val="tx1"/>
                  </w14:solidFill>
                </w14:textFill>
              </w:rPr>
              <w:t>开评标过程中如因上述原因导致</w:t>
            </w:r>
            <w:r>
              <w:rPr>
                <w:rFonts w:hint="eastAsia" w:ascii="宋体" w:hAnsi="宋体" w:eastAsia="宋体" w:cs="宋体"/>
                <w:color w:val="000000" w:themeColor="text1"/>
                <w:sz w:val="21"/>
                <w:szCs w:val="21"/>
                <w:highlight w:val="none"/>
                <w:lang w:val="en-US" w:eastAsia="zh-CN"/>
                <w14:textFill>
                  <w14:solidFill>
                    <w14:schemeClr w14:val="tx1"/>
                  </w14:solidFill>
                </w14:textFill>
              </w:rPr>
              <w:t>投标无效</w:t>
            </w:r>
            <w:r>
              <w:rPr>
                <w:rFonts w:hint="eastAsia" w:ascii="宋体" w:hAnsi="宋体" w:eastAsia="宋体" w:cs="宋体"/>
                <w:color w:val="000000" w:themeColor="text1"/>
                <w:sz w:val="21"/>
                <w:szCs w:val="21"/>
                <w:highlight w:val="none"/>
                <w:lang w:val="zh-CN"/>
                <w14:textFill>
                  <w14:solidFill>
                    <w14:schemeClr w14:val="tx1"/>
                  </w14:solidFill>
                </w14:textFill>
              </w:rPr>
              <w:t>标，供应商自行承担后果。</w:t>
            </w:r>
          </w:p>
        </w:tc>
      </w:tr>
      <w:tr w14:paraId="4D52EC6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8" w:hRule="atLeast"/>
          <w:jc w:val="center"/>
        </w:trPr>
        <w:tc>
          <w:tcPr>
            <w:tcW w:w="995" w:type="dxa"/>
            <w:vAlign w:val="center"/>
          </w:tcPr>
          <w:p w14:paraId="263399B6">
            <w:pPr>
              <w:overflowPunct/>
              <w:bidi w:val="0"/>
              <w:spacing w:line="400" w:lineRule="exact"/>
              <w:jc w:val="center"/>
              <w:outlineLvl w:val="9"/>
              <w:rPr>
                <w:rFonts w:hint="eastAsia" w:eastAsia="宋体"/>
                <w:color w:val="000000" w:themeColor="text1"/>
                <w:highlight w:val="none"/>
                <w:lang w:eastAsia="zh-CN"/>
                <w14:textFill>
                  <w14:solidFill>
                    <w14:schemeClr w14:val="tx1"/>
                  </w14:solidFill>
                </w14:textFill>
              </w:rPr>
            </w:pPr>
            <w:r>
              <w:rPr>
                <w:rFonts w:hint="eastAsia"/>
                <w:color w:val="000000" w:themeColor="text1"/>
                <w:highlight w:val="none"/>
                <w14:textFill>
                  <w14:solidFill>
                    <w14:schemeClr w14:val="tx1"/>
                  </w14:solidFill>
                </w14:textFill>
              </w:rPr>
              <w:t>10.</w:t>
            </w:r>
            <w:r>
              <w:rPr>
                <w:rFonts w:hint="eastAsia"/>
                <w:color w:val="000000" w:themeColor="text1"/>
                <w:highlight w:val="none"/>
                <w:lang w:val="en-US" w:eastAsia="zh-CN"/>
                <w14:textFill>
                  <w14:solidFill>
                    <w14:schemeClr w14:val="tx1"/>
                  </w14:solidFill>
                </w14:textFill>
              </w:rPr>
              <w:t>6</w:t>
            </w:r>
          </w:p>
        </w:tc>
        <w:tc>
          <w:tcPr>
            <w:tcW w:w="2095" w:type="dxa"/>
            <w:vAlign w:val="center"/>
          </w:tcPr>
          <w:p w14:paraId="48AA23A7">
            <w:pPr>
              <w:keepNext w:val="0"/>
              <w:keepLines w:val="0"/>
              <w:pageBreakBefore w:val="0"/>
              <w:widowControl w:val="0"/>
              <w:kinsoku/>
              <w:wordWrap/>
              <w:overflowPunct/>
              <w:topLinePunct w:val="0"/>
              <w:autoSpaceDE/>
              <w:autoSpaceDN/>
              <w:bidi w:val="0"/>
              <w:adjustRightInd/>
              <w:snapToGrid/>
              <w:spacing w:line="0" w:lineRule="atLeast"/>
              <w:jc w:val="center"/>
              <w:textAlignment w:val="auto"/>
              <w:outlineLvl w:val="9"/>
              <w:rPr>
                <w:rFonts w:hint="eastAsia" w:ascii="Times New Roman" w:hAnsi="Times New Roman" w:eastAsia="宋体" w:cs="Times New Roman"/>
                <w:color w:val="000000" w:themeColor="text1"/>
                <w:highlight w:val="none"/>
                <w:lang w:val="en-US" w:eastAsia="zh-CN"/>
                <w14:textFill>
                  <w14:solidFill>
                    <w14:schemeClr w14:val="tx1"/>
                  </w14:solidFill>
                </w14:textFill>
              </w:rPr>
            </w:pPr>
            <w:r>
              <w:rPr>
                <w:rFonts w:hint="eastAsia" w:ascii="Times New Roman" w:hAnsi="Times New Roman" w:eastAsia="宋体" w:cs="Times New Roman"/>
                <w:color w:val="000000" w:themeColor="text1"/>
                <w:highlight w:val="none"/>
                <w:lang w:val="zh-CN"/>
                <w14:textFill>
                  <w14:solidFill>
                    <w14:schemeClr w14:val="tx1"/>
                  </w14:solidFill>
                </w14:textFill>
              </w:rPr>
              <w:t>电子招投标相关说明</w:t>
            </w:r>
          </w:p>
        </w:tc>
        <w:tc>
          <w:tcPr>
            <w:tcW w:w="6675" w:type="dxa"/>
            <w:vAlign w:val="center"/>
          </w:tcPr>
          <w:p w14:paraId="05684752">
            <w:pPr>
              <w:keepNext w:val="0"/>
              <w:keepLines w:val="0"/>
              <w:pageBreakBefore w:val="0"/>
              <w:widowControl w:val="0"/>
              <w:kinsoku/>
              <w:wordWrap/>
              <w:overflowPunct/>
              <w:topLinePunct w:val="0"/>
              <w:autoSpaceDE/>
              <w:autoSpaceDN/>
              <w:bidi w:val="0"/>
              <w:adjustRightInd/>
              <w:snapToGrid/>
              <w:spacing w:line="0" w:lineRule="atLeast"/>
              <w:ind w:left="0" w:leftChars="0" w:firstLine="0" w:firstLineChars="0"/>
              <w:textAlignment w:val="auto"/>
              <w:outlineLvl w:val="9"/>
              <w:rPr>
                <w:rFonts w:hint="eastAsia" w:ascii="宋体" w:hAnsi="宋体" w:eastAsia="宋体" w:cs="宋体"/>
                <w:color w:val="000000" w:themeColor="text1"/>
                <w:sz w:val="21"/>
                <w:szCs w:val="21"/>
                <w:highlight w:val="none"/>
                <w:lang w:val="zh-CN"/>
                <w14:textFill>
                  <w14:solidFill>
                    <w14:schemeClr w14:val="tx1"/>
                  </w14:solidFill>
                </w14:textFill>
              </w:rPr>
            </w:pPr>
            <w:r>
              <w:rPr>
                <w:rFonts w:hint="eastAsia" w:ascii="宋体" w:hAnsi="宋体" w:eastAsia="宋体" w:cs="宋体"/>
                <w:color w:val="000000" w:themeColor="text1"/>
                <w:sz w:val="21"/>
                <w:szCs w:val="21"/>
                <w:highlight w:val="none"/>
                <w:lang w:val="zh-CN"/>
                <w14:textFill>
                  <w14:solidFill>
                    <w14:schemeClr w14:val="tx1"/>
                  </w14:solidFill>
                </w14:textFill>
              </w:rPr>
              <w:t>本次招标实行不见面开标，具体要求如下：</w:t>
            </w:r>
          </w:p>
          <w:p w14:paraId="7B836673">
            <w:pPr>
              <w:keepNext w:val="0"/>
              <w:keepLines w:val="0"/>
              <w:pageBreakBefore w:val="0"/>
              <w:widowControl w:val="0"/>
              <w:kinsoku/>
              <w:wordWrap/>
              <w:overflowPunct/>
              <w:topLinePunct w:val="0"/>
              <w:autoSpaceDE/>
              <w:autoSpaceDN/>
              <w:bidi w:val="0"/>
              <w:adjustRightInd/>
              <w:snapToGrid/>
              <w:spacing w:line="0" w:lineRule="atLeast"/>
              <w:ind w:left="0" w:leftChars="0" w:firstLine="0" w:firstLineChars="0"/>
              <w:textAlignment w:val="auto"/>
              <w:outlineLvl w:val="9"/>
              <w:rPr>
                <w:rFonts w:hint="eastAsia" w:ascii="宋体" w:hAnsi="宋体" w:eastAsia="宋体" w:cs="宋体"/>
                <w:color w:val="000000" w:themeColor="text1"/>
                <w:sz w:val="21"/>
                <w:szCs w:val="21"/>
                <w:highlight w:val="none"/>
                <w:lang w:val="zh-CN"/>
                <w14:textFill>
                  <w14:solidFill>
                    <w14:schemeClr w14:val="tx1"/>
                  </w14:solidFill>
                </w14:textFill>
              </w:rPr>
            </w:pPr>
            <w:r>
              <w:rPr>
                <w:rFonts w:hint="eastAsia" w:ascii="宋体" w:hAnsi="宋体" w:eastAsia="宋体" w:cs="宋体"/>
                <w:color w:val="000000" w:themeColor="text1"/>
                <w:sz w:val="21"/>
                <w:szCs w:val="21"/>
                <w:highlight w:val="none"/>
                <w:lang w:val="zh-CN"/>
                <w14:textFill>
                  <w14:solidFill>
                    <w14:schemeClr w14:val="tx1"/>
                  </w14:solidFill>
                </w14:textFill>
              </w:rPr>
              <w:t>一、业务要求</w:t>
            </w:r>
          </w:p>
          <w:p w14:paraId="6DBB4ECE">
            <w:pPr>
              <w:keepNext w:val="0"/>
              <w:keepLines w:val="0"/>
              <w:pageBreakBefore w:val="0"/>
              <w:widowControl w:val="0"/>
              <w:kinsoku/>
              <w:wordWrap/>
              <w:overflowPunct/>
              <w:topLinePunct w:val="0"/>
              <w:autoSpaceDE/>
              <w:autoSpaceDN/>
              <w:bidi w:val="0"/>
              <w:adjustRightInd/>
              <w:snapToGrid/>
              <w:spacing w:line="0" w:lineRule="atLeast"/>
              <w:ind w:left="0" w:leftChars="0" w:firstLine="0" w:firstLineChars="0"/>
              <w:textAlignment w:val="auto"/>
              <w:outlineLvl w:val="9"/>
              <w:rPr>
                <w:rFonts w:hint="eastAsia" w:ascii="宋体" w:hAnsi="宋体" w:eastAsia="宋体" w:cs="宋体"/>
                <w:color w:val="000000" w:themeColor="text1"/>
                <w:sz w:val="21"/>
                <w:szCs w:val="21"/>
                <w:highlight w:val="none"/>
                <w:lang w:val="zh-CN"/>
                <w14:textFill>
                  <w14:solidFill>
                    <w14:schemeClr w14:val="tx1"/>
                  </w14:solidFill>
                </w14:textFill>
              </w:rPr>
            </w:pPr>
            <w:r>
              <w:rPr>
                <w:rFonts w:hint="eastAsia" w:ascii="宋体" w:hAnsi="宋体" w:eastAsia="宋体" w:cs="宋体"/>
                <w:color w:val="000000" w:themeColor="text1"/>
                <w:sz w:val="21"/>
                <w:szCs w:val="21"/>
                <w:highlight w:val="none"/>
                <w:lang w:val="zh-CN"/>
                <w14:textFill>
                  <w14:solidFill>
                    <w14:schemeClr w14:val="tx1"/>
                  </w14:solidFill>
                </w14:textFill>
              </w:rPr>
              <w:t>1.开标项目的时间均以国家授时中心发布的时间为准。</w:t>
            </w:r>
          </w:p>
          <w:p w14:paraId="528C14B4">
            <w:pPr>
              <w:keepNext w:val="0"/>
              <w:keepLines w:val="0"/>
              <w:pageBreakBefore w:val="0"/>
              <w:widowControl w:val="0"/>
              <w:kinsoku/>
              <w:wordWrap/>
              <w:overflowPunct/>
              <w:topLinePunct w:val="0"/>
              <w:autoSpaceDE/>
              <w:autoSpaceDN/>
              <w:bidi w:val="0"/>
              <w:adjustRightInd/>
              <w:snapToGrid/>
              <w:spacing w:line="0" w:lineRule="atLeast"/>
              <w:ind w:left="0" w:leftChars="0" w:firstLine="0" w:firstLineChars="0"/>
              <w:textAlignment w:val="auto"/>
              <w:outlineLvl w:val="9"/>
              <w:rPr>
                <w:rFonts w:hint="eastAsia" w:ascii="宋体" w:hAnsi="宋体" w:eastAsia="宋体" w:cs="宋体"/>
                <w:color w:val="000000" w:themeColor="text1"/>
                <w:sz w:val="21"/>
                <w:szCs w:val="21"/>
                <w:highlight w:val="none"/>
                <w:lang w:val="zh-CN"/>
                <w14:textFill>
                  <w14:solidFill>
                    <w14:schemeClr w14:val="tx1"/>
                  </w14:solidFill>
                </w14:textFill>
              </w:rPr>
            </w:pPr>
            <w:r>
              <w:rPr>
                <w:rFonts w:hint="eastAsia" w:ascii="宋体" w:hAnsi="宋体" w:eastAsia="宋体" w:cs="宋体"/>
                <w:color w:val="000000" w:themeColor="text1"/>
                <w:sz w:val="21"/>
                <w:szCs w:val="21"/>
                <w:highlight w:val="none"/>
                <w:lang w:val="zh-CN"/>
                <w14:textFill>
                  <w14:solidFill>
                    <w14:schemeClr w14:val="tx1"/>
                  </w14:solidFill>
                </w14:textFill>
              </w:rPr>
              <w:t>2.政府采购云平台不见面开标系统适用进入政府采购云平台的政府采购项目。</w:t>
            </w:r>
          </w:p>
          <w:p w14:paraId="7CE5CC09">
            <w:pPr>
              <w:keepNext w:val="0"/>
              <w:keepLines w:val="0"/>
              <w:pageBreakBefore w:val="0"/>
              <w:widowControl w:val="0"/>
              <w:kinsoku/>
              <w:wordWrap/>
              <w:overflowPunct/>
              <w:topLinePunct w:val="0"/>
              <w:autoSpaceDE/>
              <w:autoSpaceDN/>
              <w:bidi w:val="0"/>
              <w:adjustRightInd/>
              <w:snapToGrid/>
              <w:spacing w:line="0" w:lineRule="atLeast"/>
              <w:ind w:left="0" w:leftChars="0" w:firstLine="0" w:firstLineChars="0"/>
              <w:textAlignment w:val="auto"/>
              <w:outlineLvl w:val="9"/>
              <w:rPr>
                <w:rFonts w:hint="eastAsia" w:ascii="宋体" w:hAnsi="宋体" w:eastAsia="宋体" w:cs="宋体"/>
                <w:color w:val="000000" w:themeColor="text1"/>
                <w:sz w:val="21"/>
                <w:szCs w:val="21"/>
                <w:highlight w:val="none"/>
                <w:lang w:val="zh-CN"/>
                <w14:textFill>
                  <w14:solidFill>
                    <w14:schemeClr w14:val="tx1"/>
                  </w14:solidFill>
                </w14:textFill>
              </w:rPr>
            </w:pPr>
            <w:r>
              <w:rPr>
                <w:rFonts w:hint="eastAsia" w:ascii="宋体" w:hAnsi="宋体" w:eastAsia="宋体" w:cs="宋体"/>
                <w:color w:val="000000" w:themeColor="text1"/>
                <w:sz w:val="21"/>
                <w:szCs w:val="21"/>
                <w:highlight w:val="none"/>
                <w:lang w:val="zh-CN"/>
                <w14:textFill>
                  <w14:solidFill>
                    <w14:schemeClr w14:val="tx1"/>
                  </w14:solidFill>
                </w14:textFill>
              </w:rPr>
              <w:t>3.通过该系统完成投标过程。依照</w:t>
            </w:r>
            <w:r>
              <w:rPr>
                <w:rFonts w:hint="eastAsia" w:ascii="宋体" w:hAnsi="宋体" w:eastAsia="宋体" w:cs="宋体"/>
                <w:color w:val="000000" w:themeColor="text1"/>
                <w:sz w:val="21"/>
                <w:szCs w:val="21"/>
                <w:highlight w:val="none"/>
                <w:lang w:val="zh-CN" w:eastAsia="zh-CN"/>
                <w14:textFill>
                  <w14:solidFill>
                    <w14:schemeClr w14:val="tx1"/>
                  </w14:solidFill>
                </w14:textFill>
              </w:rPr>
              <w:t>磋商文件</w:t>
            </w:r>
            <w:r>
              <w:rPr>
                <w:rFonts w:hint="eastAsia" w:ascii="宋体" w:hAnsi="宋体" w:eastAsia="宋体" w:cs="宋体"/>
                <w:color w:val="000000" w:themeColor="text1"/>
                <w:sz w:val="21"/>
                <w:szCs w:val="21"/>
                <w:highlight w:val="none"/>
                <w:lang w:val="zh-CN"/>
                <w14:textFill>
                  <w14:solidFill>
                    <w14:schemeClr w14:val="tx1"/>
                  </w14:solidFill>
                </w14:textFill>
              </w:rPr>
              <w:t>的规定完成电子</w:t>
            </w:r>
            <w:r>
              <w:rPr>
                <w:rFonts w:hint="eastAsia" w:ascii="宋体" w:hAnsi="宋体" w:eastAsia="宋体" w:cs="宋体"/>
                <w:color w:val="000000" w:themeColor="text1"/>
                <w:sz w:val="21"/>
                <w:szCs w:val="21"/>
                <w:highlight w:val="none"/>
                <w:lang w:val="zh-CN" w:eastAsia="zh-CN"/>
                <w14:textFill>
                  <w14:solidFill>
                    <w14:schemeClr w14:val="tx1"/>
                  </w14:solidFill>
                </w14:textFill>
              </w:rPr>
              <w:t>响应文件</w:t>
            </w:r>
            <w:r>
              <w:rPr>
                <w:rFonts w:hint="eastAsia" w:ascii="宋体" w:hAnsi="宋体" w:eastAsia="宋体" w:cs="宋体"/>
                <w:color w:val="000000" w:themeColor="text1"/>
                <w:sz w:val="21"/>
                <w:szCs w:val="21"/>
                <w:highlight w:val="none"/>
                <w:lang w:val="zh-CN"/>
                <w14:textFill>
                  <w14:solidFill>
                    <w14:schemeClr w14:val="tx1"/>
                  </w14:solidFill>
                </w14:textFill>
              </w:rPr>
              <w:t>的编制和提交。如未按</w:t>
            </w:r>
            <w:r>
              <w:rPr>
                <w:rFonts w:hint="eastAsia" w:ascii="宋体" w:hAnsi="宋体" w:eastAsia="宋体" w:cs="宋体"/>
                <w:color w:val="000000" w:themeColor="text1"/>
                <w:sz w:val="21"/>
                <w:szCs w:val="21"/>
                <w:highlight w:val="none"/>
                <w:lang w:val="zh-CN" w:eastAsia="zh-CN"/>
                <w14:textFill>
                  <w14:solidFill>
                    <w14:schemeClr w14:val="tx1"/>
                  </w14:solidFill>
                </w14:textFill>
              </w:rPr>
              <w:t>磋商文件</w:t>
            </w:r>
            <w:r>
              <w:rPr>
                <w:rFonts w:hint="eastAsia" w:ascii="宋体" w:hAnsi="宋体" w:eastAsia="宋体" w:cs="宋体"/>
                <w:color w:val="000000" w:themeColor="text1"/>
                <w:sz w:val="21"/>
                <w:szCs w:val="21"/>
                <w:highlight w:val="none"/>
                <w:lang w:val="zh-CN"/>
                <w14:textFill>
                  <w14:solidFill>
                    <w14:schemeClr w14:val="tx1"/>
                  </w14:solidFill>
                </w14:textFill>
              </w:rPr>
              <w:t>要求编制、提交电子</w:t>
            </w:r>
            <w:r>
              <w:rPr>
                <w:rFonts w:hint="eastAsia" w:ascii="宋体" w:hAnsi="宋体" w:eastAsia="宋体" w:cs="宋体"/>
                <w:color w:val="000000" w:themeColor="text1"/>
                <w:sz w:val="21"/>
                <w:szCs w:val="21"/>
                <w:highlight w:val="none"/>
                <w:lang w:val="zh-CN" w:eastAsia="zh-CN"/>
                <w14:textFill>
                  <w14:solidFill>
                    <w14:schemeClr w14:val="tx1"/>
                  </w14:solidFill>
                </w14:textFill>
              </w:rPr>
              <w:t>响应文件</w:t>
            </w:r>
            <w:r>
              <w:rPr>
                <w:rFonts w:hint="eastAsia" w:ascii="宋体" w:hAnsi="宋体" w:eastAsia="宋体" w:cs="宋体"/>
                <w:color w:val="000000" w:themeColor="text1"/>
                <w:sz w:val="21"/>
                <w:szCs w:val="21"/>
                <w:highlight w:val="none"/>
                <w:lang w:val="zh-CN"/>
                <w14:textFill>
                  <w14:solidFill>
                    <w14:schemeClr w14:val="tx1"/>
                  </w14:solidFill>
                </w14:textFill>
              </w:rPr>
              <w:t>，将可能导致否决投标，其后果由</w:t>
            </w:r>
            <w:r>
              <w:rPr>
                <w:rFonts w:hint="eastAsia" w:ascii="宋体" w:hAnsi="宋体" w:cs="宋体"/>
                <w:color w:val="000000" w:themeColor="text1"/>
                <w:sz w:val="21"/>
                <w:szCs w:val="21"/>
                <w:highlight w:val="none"/>
                <w:lang w:val="zh-CN"/>
                <w14:textFill>
                  <w14:solidFill>
                    <w14:schemeClr w14:val="tx1"/>
                  </w14:solidFill>
                </w14:textFill>
              </w:rPr>
              <w:t>供应商</w:t>
            </w:r>
            <w:r>
              <w:rPr>
                <w:rFonts w:hint="eastAsia" w:ascii="宋体" w:hAnsi="宋体" w:eastAsia="宋体" w:cs="宋体"/>
                <w:color w:val="000000" w:themeColor="text1"/>
                <w:sz w:val="21"/>
                <w:szCs w:val="21"/>
                <w:highlight w:val="none"/>
                <w:lang w:val="zh-CN"/>
                <w14:textFill>
                  <w14:solidFill>
                    <w14:schemeClr w14:val="tx1"/>
                  </w14:solidFill>
                </w14:textFill>
              </w:rPr>
              <w:t>自负。</w:t>
            </w:r>
          </w:p>
          <w:p w14:paraId="551EACF8">
            <w:pPr>
              <w:keepNext w:val="0"/>
              <w:keepLines w:val="0"/>
              <w:pageBreakBefore w:val="0"/>
              <w:widowControl w:val="0"/>
              <w:kinsoku/>
              <w:wordWrap/>
              <w:overflowPunct/>
              <w:topLinePunct w:val="0"/>
              <w:autoSpaceDE/>
              <w:autoSpaceDN/>
              <w:bidi w:val="0"/>
              <w:adjustRightInd/>
              <w:snapToGrid/>
              <w:spacing w:line="0" w:lineRule="atLeast"/>
              <w:ind w:left="0" w:leftChars="0" w:firstLine="0" w:firstLineChars="0"/>
              <w:textAlignment w:val="auto"/>
              <w:outlineLvl w:val="9"/>
              <w:rPr>
                <w:rFonts w:hint="eastAsia" w:ascii="宋体" w:hAnsi="宋体" w:eastAsia="宋体" w:cs="宋体"/>
                <w:color w:val="000000" w:themeColor="text1"/>
                <w:sz w:val="21"/>
                <w:szCs w:val="21"/>
                <w:highlight w:val="none"/>
                <w:lang w:val="zh-CN"/>
                <w14:textFill>
                  <w14:solidFill>
                    <w14:schemeClr w14:val="tx1"/>
                  </w14:solidFill>
                </w14:textFill>
              </w:rPr>
            </w:pPr>
            <w:r>
              <w:rPr>
                <w:rFonts w:hint="eastAsia" w:ascii="宋体" w:hAnsi="宋体" w:eastAsia="宋体" w:cs="宋体"/>
                <w:color w:val="000000" w:themeColor="text1"/>
                <w:sz w:val="21"/>
                <w:szCs w:val="21"/>
                <w:highlight w:val="none"/>
                <w:lang w:val="zh-CN"/>
                <w14:textFill>
                  <w14:solidFill>
                    <w14:schemeClr w14:val="tx1"/>
                  </w14:solidFill>
                </w14:textFill>
              </w:rPr>
              <w:t>4.</w:t>
            </w:r>
            <w:r>
              <w:rPr>
                <w:rFonts w:hint="eastAsia" w:ascii="宋体" w:hAnsi="宋体" w:cs="宋体"/>
                <w:color w:val="000000" w:themeColor="text1"/>
                <w:sz w:val="21"/>
                <w:szCs w:val="21"/>
                <w:highlight w:val="none"/>
                <w:lang w:val="zh-CN"/>
                <w14:textFill>
                  <w14:solidFill>
                    <w14:schemeClr w14:val="tx1"/>
                  </w14:solidFill>
                </w14:textFill>
              </w:rPr>
              <w:t>供应商</w:t>
            </w:r>
            <w:r>
              <w:rPr>
                <w:rFonts w:hint="eastAsia" w:ascii="宋体" w:hAnsi="宋体" w:eastAsia="宋体" w:cs="宋体"/>
                <w:color w:val="000000" w:themeColor="text1"/>
                <w:sz w:val="21"/>
                <w:szCs w:val="21"/>
                <w:highlight w:val="none"/>
                <w:lang w:val="zh-CN"/>
                <w14:textFill>
                  <w14:solidFill>
                    <w14:schemeClr w14:val="tx1"/>
                  </w14:solidFill>
                </w14:textFill>
              </w:rPr>
              <w:t>应充分考虑到网络及系统平台可能存在的突发状况，在</w:t>
            </w:r>
            <w:r>
              <w:rPr>
                <w:rFonts w:hint="eastAsia" w:ascii="宋体" w:hAnsi="宋体" w:eastAsia="宋体" w:cs="宋体"/>
                <w:color w:val="000000" w:themeColor="text1"/>
                <w:sz w:val="21"/>
                <w:szCs w:val="21"/>
                <w:highlight w:val="none"/>
                <w:lang w:val="zh-CN" w:eastAsia="zh-CN"/>
                <w14:textFill>
                  <w14:solidFill>
                    <w14:schemeClr w14:val="tx1"/>
                  </w14:solidFill>
                </w14:textFill>
              </w:rPr>
              <w:t>响应文件</w:t>
            </w:r>
            <w:r>
              <w:rPr>
                <w:rFonts w:hint="eastAsia" w:ascii="宋体" w:hAnsi="宋体" w:eastAsia="宋体" w:cs="宋体"/>
                <w:color w:val="000000" w:themeColor="text1"/>
                <w:sz w:val="21"/>
                <w:szCs w:val="21"/>
                <w:highlight w:val="none"/>
                <w:lang w:val="zh-CN"/>
                <w14:textFill>
                  <w14:solidFill>
                    <w14:schemeClr w14:val="tx1"/>
                  </w14:solidFill>
                </w14:textFill>
              </w:rPr>
              <w:t>编制完成后尽早完成上传。</w:t>
            </w:r>
          </w:p>
          <w:p w14:paraId="281A7415">
            <w:pPr>
              <w:keepNext w:val="0"/>
              <w:keepLines w:val="0"/>
              <w:pageBreakBefore w:val="0"/>
              <w:widowControl w:val="0"/>
              <w:kinsoku/>
              <w:wordWrap/>
              <w:overflowPunct/>
              <w:topLinePunct w:val="0"/>
              <w:autoSpaceDE/>
              <w:autoSpaceDN/>
              <w:bidi w:val="0"/>
              <w:adjustRightInd/>
              <w:snapToGrid/>
              <w:spacing w:line="0" w:lineRule="atLeast"/>
              <w:ind w:left="0" w:leftChars="0" w:firstLine="0" w:firstLineChars="0"/>
              <w:textAlignment w:val="auto"/>
              <w:outlineLvl w:val="9"/>
              <w:rPr>
                <w:rFonts w:hint="eastAsia" w:ascii="宋体" w:hAnsi="宋体" w:eastAsia="宋体" w:cs="宋体"/>
                <w:color w:val="000000" w:themeColor="text1"/>
                <w:sz w:val="21"/>
                <w:szCs w:val="21"/>
                <w:highlight w:val="none"/>
                <w:lang w:val="zh-CN"/>
                <w14:textFill>
                  <w14:solidFill>
                    <w14:schemeClr w14:val="tx1"/>
                  </w14:solidFill>
                </w14:textFill>
              </w:rPr>
            </w:pPr>
            <w:r>
              <w:rPr>
                <w:rFonts w:hint="eastAsia" w:ascii="宋体" w:hAnsi="宋体" w:eastAsia="宋体" w:cs="宋体"/>
                <w:color w:val="000000" w:themeColor="text1"/>
                <w:sz w:val="21"/>
                <w:szCs w:val="21"/>
                <w:highlight w:val="none"/>
                <w:lang w:val="zh-CN"/>
                <w14:textFill>
                  <w14:solidFill>
                    <w14:schemeClr w14:val="tx1"/>
                  </w14:solidFill>
                </w14:textFill>
              </w:rPr>
              <w:t>5.</w:t>
            </w:r>
            <w:r>
              <w:rPr>
                <w:rFonts w:hint="eastAsia" w:ascii="宋体" w:hAnsi="宋体" w:eastAsia="宋体" w:cs="宋体"/>
                <w:color w:val="000000" w:themeColor="text1"/>
                <w:sz w:val="21"/>
                <w:szCs w:val="21"/>
                <w:highlight w:val="none"/>
                <w:lang w:val="zh-CN" w:eastAsia="zh-CN"/>
                <w14:textFill>
                  <w14:solidFill>
                    <w14:schemeClr w14:val="tx1"/>
                  </w14:solidFill>
                </w14:textFill>
              </w:rPr>
              <w:t>响应文件</w:t>
            </w:r>
            <w:r>
              <w:rPr>
                <w:rFonts w:hint="eastAsia" w:ascii="宋体" w:hAnsi="宋体" w:eastAsia="宋体" w:cs="宋体"/>
                <w:color w:val="000000" w:themeColor="text1"/>
                <w:sz w:val="21"/>
                <w:szCs w:val="21"/>
                <w:highlight w:val="none"/>
                <w:lang w:val="zh-CN"/>
                <w14:textFill>
                  <w14:solidFill>
                    <w14:schemeClr w14:val="tx1"/>
                  </w14:solidFill>
                </w14:textFill>
              </w:rPr>
              <w:t xml:space="preserve">提交截止时间前，采购人或招标代理提前进入政府采购云平台（网址：http:// </w:t>
            </w:r>
            <w:r>
              <w:rPr>
                <w:rFonts w:hint="eastAsia" w:ascii="宋体" w:hAnsi="宋体" w:eastAsia="宋体" w:cs="宋体"/>
                <w:color w:val="000000" w:themeColor="text1"/>
                <w:sz w:val="21"/>
                <w:szCs w:val="21"/>
                <w:highlight w:val="none"/>
                <w:lang w:val="zh-CN"/>
                <w14:textFill>
                  <w14:solidFill>
                    <w14:schemeClr w14:val="tx1"/>
                  </w14:solidFill>
                </w14:textFill>
              </w:rPr>
              <w:fldChar w:fldCharType="begin"/>
            </w:r>
            <w:r>
              <w:rPr>
                <w:rFonts w:hint="eastAsia" w:ascii="宋体" w:hAnsi="宋体" w:eastAsia="宋体" w:cs="宋体"/>
                <w:color w:val="000000" w:themeColor="text1"/>
                <w:sz w:val="21"/>
                <w:szCs w:val="21"/>
                <w:highlight w:val="none"/>
                <w:lang w:val="zh-CN"/>
                <w14:textFill>
                  <w14:solidFill>
                    <w14:schemeClr w14:val="tx1"/>
                  </w14:solidFill>
                </w14:textFill>
              </w:rPr>
              <w:instrText xml:space="preserve"> HYPERLINK "http://www.zcygov.cn）不见面开标系统，播放测试音频，各投标人提前进入该系统(网址http:/www.zcygov.cn），实时观看音视频交互效果并及时在系统互动区反馈，未按时加入系统互动区并完成登录操作的或未能在开标会议区内全程参与交互的，视为放弃交互和放弃对开评标全过程质疑的权利，投标人将无法看到解密指令、否决投标及澄清、唱标等实时情况，并承担由此产生的一切后果。" </w:instrText>
            </w:r>
            <w:r>
              <w:rPr>
                <w:rFonts w:hint="eastAsia" w:ascii="宋体" w:hAnsi="宋体" w:eastAsia="宋体" w:cs="宋体"/>
                <w:color w:val="000000" w:themeColor="text1"/>
                <w:sz w:val="21"/>
                <w:szCs w:val="21"/>
                <w:highlight w:val="none"/>
                <w:lang w:val="zh-CN"/>
                <w14:textFill>
                  <w14:solidFill>
                    <w14:schemeClr w14:val="tx1"/>
                  </w14:solidFill>
                </w14:textFill>
              </w:rPr>
              <w:fldChar w:fldCharType="separate"/>
            </w:r>
            <w:r>
              <w:rPr>
                <w:rFonts w:hint="eastAsia" w:ascii="宋体" w:hAnsi="宋体" w:eastAsia="宋体" w:cs="宋体"/>
                <w:color w:val="000000" w:themeColor="text1"/>
                <w:sz w:val="21"/>
                <w:szCs w:val="21"/>
                <w:highlight w:val="none"/>
                <w:lang w:val="zh-CN"/>
                <w14:textFill>
                  <w14:solidFill>
                    <w14:schemeClr w14:val="tx1"/>
                  </w14:solidFill>
                </w14:textFill>
              </w:rPr>
              <w:t>www.zcygov.cn）不见面开标系统，播放测试音频，各</w:t>
            </w:r>
            <w:r>
              <w:rPr>
                <w:rFonts w:hint="eastAsia" w:ascii="宋体" w:hAnsi="宋体" w:cs="宋体"/>
                <w:color w:val="000000" w:themeColor="text1"/>
                <w:sz w:val="21"/>
                <w:szCs w:val="21"/>
                <w:highlight w:val="none"/>
                <w:lang w:val="zh-CN"/>
                <w14:textFill>
                  <w14:solidFill>
                    <w14:schemeClr w14:val="tx1"/>
                  </w14:solidFill>
                </w14:textFill>
              </w:rPr>
              <w:t>供应商</w:t>
            </w:r>
            <w:r>
              <w:rPr>
                <w:rFonts w:hint="eastAsia" w:ascii="宋体" w:hAnsi="宋体" w:eastAsia="宋体" w:cs="宋体"/>
                <w:color w:val="000000" w:themeColor="text1"/>
                <w:sz w:val="21"/>
                <w:szCs w:val="21"/>
                <w:highlight w:val="none"/>
                <w:lang w:val="zh-CN"/>
                <w14:textFill>
                  <w14:solidFill>
                    <w14:schemeClr w14:val="tx1"/>
                  </w14:solidFill>
                </w14:textFill>
              </w:rPr>
              <w:t>提前进入该系统(网址http://www.zcygov.cn），实时观看音视频交互效果并及时在系统互动区反馈，未按时加入系统互动区并完成登录操作的或未能在开标会议区内全程参与交互的，视为放弃交互和放弃对开评标全过程质疑的权利，</w:t>
            </w:r>
            <w:r>
              <w:rPr>
                <w:rFonts w:hint="eastAsia" w:ascii="宋体" w:hAnsi="宋体" w:cs="宋体"/>
                <w:color w:val="000000" w:themeColor="text1"/>
                <w:sz w:val="21"/>
                <w:szCs w:val="21"/>
                <w:highlight w:val="none"/>
                <w:lang w:val="zh-CN"/>
                <w14:textFill>
                  <w14:solidFill>
                    <w14:schemeClr w14:val="tx1"/>
                  </w14:solidFill>
                </w14:textFill>
              </w:rPr>
              <w:t>供应商</w:t>
            </w:r>
            <w:r>
              <w:rPr>
                <w:rFonts w:hint="eastAsia" w:ascii="宋体" w:hAnsi="宋体" w:eastAsia="宋体" w:cs="宋体"/>
                <w:color w:val="000000" w:themeColor="text1"/>
                <w:sz w:val="21"/>
                <w:szCs w:val="21"/>
                <w:highlight w:val="none"/>
                <w:lang w:val="zh-CN"/>
                <w14:textFill>
                  <w14:solidFill>
                    <w14:schemeClr w14:val="tx1"/>
                  </w14:solidFill>
                </w14:textFill>
              </w:rPr>
              <w:t>将无法看到解密指令、否决投标及澄清、唱标等实时情况，并承担由此产生的一切后果。</w:t>
            </w:r>
            <w:r>
              <w:rPr>
                <w:rFonts w:hint="eastAsia" w:ascii="宋体" w:hAnsi="宋体" w:eastAsia="宋体" w:cs="宋体"/>
                <w:color w:val="000000" w:themeColor="text1"/>
                <w:sz w:val="21"/>
                <w:szCs w:val="21"/>
                <w:highlight w:val="none"/>
                <w:lang w:val="zh-CN"/>
                <w14:textFill>
                  <w14:solidFill>
                    <w14:schemeClr w14:val="tx1"/>
                  </w14:solidFill>
                </w14:textFill>
              </w:rPr>
              <w:fldChar w:fldCharType="end"/>
            </w:r>
          </w:p>
          <w:p w14:paraId="0A829128">
            <w:pPr>
              <w:keepNext w:val="0"/>
              <w:keepLines w:val="0"/>
              <w:pageBreakBefore w:val="0"/>
              <w:widowControl w:val="0"/>
              <w:kinsoku/>
              <w:wordWrap/>
              <w:overflowPunct/>
              <w:topLinePunct w:val="0"/>
              <w:autoSpaceDE/>
              <w:autoSpaceDN/>
              <w:bidi w:val="0"/>
              <w:adjustRightInd/>
              <w:snapToGrid/>
              <w:spacing w:line="0" w:lineRule="atLeast"/>
              <w:ind w:left="0" w:leftChars="0" w:firstLine="0" w:firstLineChars="0"/>
              <w:textAlignment w:val="auto"/>
              <w:outlineLvl w:val="9"/>
              <w:rPr>
                <w:rFonts w:hint="eastAsia" w:ascii="宋体" w:hAnsi="宋体" w:eastAsia="宋体" w:cs="宋体"/>
                <w:color w:val="000000" w:themeColor="text1"/>
                <w:sz w:val="21"/>
                <w:szCs w:val="21"/>
                <w:highlight w:val="none"/>
                <w:lang w:val="zh-CN"/>
                <w14:textFill>
                  <w14:solidFill>
                    <w14:schemeClr w14:val="tx1"/>
                  </w14:solidFill>
                </w14:textFill>
              </w:rPr>
            </w:pPr>
            <w:r>
              <w:rPr>
                <w:rFonts w:hint="eastAsia" w:ascii="宋体" w:hAnsi="宋体" w:eastAsia="宋体" w:cs="宋体"/>
                <w:color w:val="000000" w:themeColor="text1"/>
                <w:sz w:val="21"/>
                <w:szCs w:val="21"/>
                <w:highlight w:val="none"/>
                <w:lang w:val="zh-CN"/>
                <w14:textFill>
                  <w14:solidFill>
                    <w14:schemeClr w14:val="tx1"/>
                  </w14:solidFill>
                </w14:textFill>
              </w:rPr>
              <w:t>6.</w:t>
            </w:r>
            <w:r>
              <w:rPr>
                <w:rFonts w:hint="eastAsia" w:ascii="宋体" w:hAnsi="宋体" w:eastAsia="宋体" w:cs="宋体"/>
                <w:color w:val="000000" w:themeColor="text1"/>
                <w:sz w:val="21"/>
                <w:szCs w:val="21"/>
                <w:highlight w:val="none"/>
                <w:lang w:val="zh-CN" w:eastAsia="zh-CN"/>
                <w14:textFill>
                  <w14:solidFill>
                    <w14:schemeClr w14:val="tx1"/>
                  </w14:solidFill>
                </w14:textFill>
              </w:rPr>
              <w:t>响应文件</w:t>
            </w:r>
            <w:r>
              <w:rPr>
                <w:rFonts w:hint="eastAsia" w:ascii="宋体" w:hAnsi="宋体" w:eastAsia="宋体" w:cs="宋体"/>
                <w:color w:val="000000" w:themeColor="text1"/>
                <w:sz w:val="21"/>
                <w:szCs w:val="21"/>
                <w:highlight w:val="none"/>
                <w:lang w:val="zh-CN"/>
                <w14:textFill>
                  <w14:solidFill>
                    <w14:schemeClr w14:val="tx1"/>
                  </w14:solidFill>
                </w14:textFill>
              </w:rPr>
              <w:t>提交截止时间后，通过系统互动区发出</w:t>
            </w:r>
            <w:r>
              <w:rPr>
                <w:rFonts w:hint="eastAsia" w:ascii="宋体" w:hAnsi="宋体" w:eastAsia="宋体" w:cs="宋体"/>
                <w:color w:val="000000" w:themeColor="text1"/>
                <w:sz w:val="21"/>
                <w:szCs w:val="21"/>
                <w:highlight w:val="none"/>
                <w:lang w:val="zh-CN" w:eastAsia="zh-CN"/>
                <w14:textFill>
                  <w14:solidFill>
                    <w14:schemeClr w14:val="tx1"/>
                  </w14:solidFill>
                </w14:textFill>
              </w:rPr>
              <w:t>响应文件</w:t>
            </w:r>
            <w:r>
              <w:rPr>
                <w:rFonts w:hint="eastAsia" w:ascii="宋体" w:hAnsi="宋体" w:eastAsia="宋体" w:cs="宋体"/>
                <w:color w:val="000000" w:themeColor="text1"/>
                <w:sz w:val="21"/>
                <w:szCs w:val="21"/>
                <w:highlight w:val="none"/>
                <w:lang w:val="zh-CN"/>
                <w14:textFill>
                  <w14:solidFill>
                    <w14:schemeClr w14:val="tx1"/>
                  </w14:solidFill>
                </w14:textFill>
              </w:rPr>
              <w:t>解密的指令，</w:t>
            </w:r>
            <w:r>
              <w:rPr>
                <w:rFonts w:hint="eastAsia" w:ascii="宋体" w:hAnsi="宋体" w:cs="宋体"/>
                <w:color w:val="000000" w:themeColor="text1"/>
                <w:sz w:val="21"/>
                <w:szCs w:val="21"/>
                <w:highlight w:val="none"/>
                <w:lang w:val="zh-CN"/>
                <w14:textFill>
                  <w14:solidFill>
                    <w14:schemeClr w14:val="tx1"/>
                  </w14:solidFill>
                </w14:textFill>
              </w:rPr>
              <w:t>供应商</w:t>
            </w:r>
            <w:r>
              <w:rPr>
                <w:rFonts w:hint="eastAsia" w:ascii="宋体" w:hAnsi="宋体" w:eastAsia="宋体" w:cs="宋体"/>
                <w:color w:val="000000" w:themeColor="text1"/>
                <w:sz w:val="21"/>
                <w:szCs w:val="21"/>
                <w:highlight w:val="none"/>
                <w:lang w:val="zh-CN"/>
                <w14:textFill>
                  <w14:solidFill>
                    <w14:schemeClr w14:val="tx1"/>
                  </w14:solidFill>
                </w14:textFill>
              </w:rPr>
              <w:t xml:space="preserve">在任意地点按规定时间自行实施远程解密，解密限定在规定时间内完成。 </w:t>
            </w:r>
          </w:p>
          <w:p w14:paraId="08690B2F">
            <w:pPr>
              <w:keepNext w:val="0"/>
              <w:keepLines w:val="0"/>
              <w:pageBreakBefore w:val="0"/>
              <w:widowControl w:val="0"/>
              <w:kinsoku/>
              <w:wordWrap/>
              <w:overflowPunct/>
              <w:topLinePunct w:val="0"/>
              <w:autoSpaceDE/>
              <w:autoSpaceDN/>
              <w:bidi w:val="0"/>
              <w:adjustRightInd/>
              <w:snapToGrid/>
              <w:spacing w:line="0" w:lineRule="atLeast"/>
              <w:ind w:left="0" w:leftChars="0" w:firstLine="0" w:firstLineChars="0"/>
              <w:textAlignment w:val="auto"/>
              <w:outlineLvl w:val="9"/>
              <w:rPr>
                <w:rFonts w:hint="eastAsia" w:ascii="宋体" w:hAnsi="宋体" w:eastAsia="宋体" w:cs="宋体"/>
                <w:color w:val="000000" w:themeColor="text1"/>
                <w:sz w:val="21"/>
                <w:szCs w:val="21"/>
                <w:highlight w:val="none"/>
                <w:lang w:val="zh-CN"/>
                <w14:textFill>
                  <w14:solidFill>
                    <w14:schemeClr w14:val="tx1"/>
                  </w14:solidFill>
                </w14:textFill>
              </w:rPr>
            </w:pPr>
            <w:r>
              <w:rPr>
                <w:rFonts w:hint="eastAsia" w:ascii="宋体" w:hAnsi="宋体" w:eastAsia="宋体" w:cs="宋体"/>
                <w:color w:val="000000" w:themeColor="text1"/>
                <w:sz w:val="21"/>
                <w:szCs w:val="21"/>
                <w:highlight w:val="none"/>
                <w:lang w:val="zh-CN"/>
                <w14:textFill>
                  <w14:solidFill>
                    <w14:schemeClr w14:val="tx1"/>
                  </w14:solidFill>
                </w14:textFill>
              </w:rPr>
              <w:t>7.</w:t>
            </w:r>
            <w:r>
              <w:rPr>
                <w:rFonts w:hint="eastAsia" w:ascii="宋体" w:hAnsi="宋体" w:cs="宋体"/>
                <w:color w:val="000000" w:themeColor="text1"/>
                <w:sz w:val="21"/>
                <w:szCs w:val="21"/>
                <w:highlight w:val="none"/>
                <w:lang w:val="zh-CN"/>
                <w14:textFill>
                  <w14:solidFill>
                    <w14:schemeClr w14:val="tx1"/>
                  </w14:solidFill>
                </w14:textFill>
              </w:rPr>
              <w:t>供应商</w:t>
            </w:r>
            <w:r>
              <w:rPr>
                <w:rFonts w:hint="eastAsia" w:ascii="宋体" w:hAnsi="宋体" w:eastAsia="宋体" w:cs="宋体"/>
                <w:color w:val="000000" w:themeColor="text1"/>
                <w:sz w:val="21"/>
                <w:szCs w:val="21"/>
                <w:highlight w:val="none"/>
                <w:lang w:val="zh-CN"/>
                <w14:textFill>
                  <w14:solidFill>
                    <w14:schemeClr w14:val="tx1"/>
                  </w14:solidFill>
                </w14:textFill>
              </w:rPr>
              <w:t>必须使用能正确解密</w:t>
            </w:r>
            <w:r>
              <w:rPr>
                <w:rFonts w:hint="eastAsia" w:ascii="宋体" w:hAnsi="宋体" w:eastAsia="宋体" w:cs="宋体"/>
                <w:color w:val="000000" w:themeColor="text1"/>
                <w:sz w:val="21"/>
                <w:szCs w:val="21"/>
                <w:highlight w:val="none"/>
                <w:lang w:val="zh-CN" w:eastAsia="zh-CN"/>
                <w14:textFill>
                  <w14:solidFill>
                    <w14:schemeClr w14:val="tx1"/>
                  </w14:solidFill>
                </w14:textFill>
              </w:rPr>
              <w:t>响应文件</w:t>
            </w:r>
            <w:r>
              <w:rPr>
                <w:rFonts w:hint="eastAsia" w:ascii="宋体" w:hAnsi="宋体" w:eastAsia="宋体" w:cs="宋体"/>
                <w:color w:val="000000" w:themeColor="text1"/>
                <w:sz w:val="21"/>
                <w:szCs w:val="21"/>
                <w:highlight w:val="none"/>
                <w:lang w:val="zh-CN"/>
                <w14:textFill>
                  <w14:solidFill>
                    <w14:schemeClr w14:val="tx1"/>
                  </w14:solidFill>
                </w14:textFill>
              </w:rPr>
              <w:t>的CA 证书，在</w:t>
            </w:r>
            <w:r>
              <w:rPr>
                <w:rFonts w:hint="eastAsia" w:ascii="宋体" w:hAnsi="宋体" w:eastAsia="宋体" w:cs="宋体"/>
                <w:color w:val="000000" w:themeColor="text1"/>
                <w:sz w:val="21"/>
                <w:szCs w:val="21"/>
                <w:highlight w:val="none"/>
                <w:lang w:val="zh-CN" w:eastAsia="zh-CN"/>
                <w14:textFill>
                  <w14:solidFill>
                    <w14:schemeClr w14:val="tx1"/>
                  </w14:solidFill>
                </w14:textFill>
              </w:rPr>
              <w:t>系统</w:t>
            </w:r>
            <w:r>
              <w:rPr>
                <w:rFonts w:hint="eastAsia" w:ascii="宋体" w:hAnsi="宋体" w:eastAsia="宋体" w:cs="宋体"/>
                <w:color w:val="000000" w:themeColor="text1"/>
                <w:sz w:val="21"/>
                <w:szCs w:val="21"/>
                <w:highlight w:val="none"/>
                <w:lang w:val="zh-CN"/>
                <w14:textFill>
                  <w14:solidFill>
                    <w14:schemeClr w14:val="tx1"/>
                  </w14:solidFill>
                </w14:textFill>
              </w:rPr>
              <w:t>规定的时间内完成远程解密，因</w:t>
            </w:r>
            <w:r>
              <w:rPr>
                <w:rFonts w:hint="eastAsia" w:ascii="宋体" w:hAnsi="宋体" w:cs="宋体"/>
                <w:color w:val="000000" w:themeColor="text1"/>
                <w:sz w:val="21"/>
                <w:szCs w:val="21"/>
                <w:highlight w:val="none"/>
                <w:lang w:val="zh-CN"/>
                <w14:textFill>
                  <w14:solidFill>
                    <w14:schemeClr w14:val="tx1"/>
                  </w14:solidFill>
                </w14:textFill>
              </w:rPr>
              <w:t>供应商</w:t>
            </w:r>
            <w:r>
              <w:rPr>
                <w:rFonts w:hint="eastAsia" w:ascii="宋体" w:hAnsi="宋体" w:eastAsia="宋体" w:cs="宋体"/>
                <w:color w:val="000000" w:themeColor="text1"/>
                <w:sz w:val="21"/>
                <w:szCs w:val="21"/>
                <w:highlight w:val="none"/>
                <w:lang w:val="zh-CN"/>
                <w14:textFill>
                  <w14:solidFill>
                    <w14:schemeClr w14:val="tx1"/>
                  </w14:solidFill>
                </w14:textFill>
              </w:rPr>
              <w:t>原因未能解密、解密失败或解密超时，视为</w:t>
            </w:r>
            <w:r>
              <w:rPr>
                <w:rFonts w:hint="eastAsia" w:ascii="宋体" w:hAnsi="宋体" w:cs="宋体"/>
                <w:color w:val="000000" w:themeColor="text1"/>
                <w:sz w:val="21"/>
                <w:szCs w:val="21"/>
                <w:highlight w:val="none"/>
                <w:lang w:val="zh-CN"/>
                <w14:textFill>
                  <w14:solidFill>
                    <w14:schemeClr w14:val="tx1"/>
                  </w14:solidFill>
                </w14:textFill>
              </w:rPr>
              <w:t>供应商</w:t>
            </w:r>
            <w:r>
              <w:rPr>
                <w:rFonts w:hint="eastAsia" w:ascii="宋体" w:hAnsi="宋体" w:eastAsia="宋体" w:cs="宋体"/>
                <w:color w:val="000000" w:themeColor="text1"/>
                <w:sz w:val="21"/>
                <w:szCs w:val="21"/>
                <w:highlight w:val="none"/>
                <w:lang w:val="zh-CN"/>
                <w14:textFill>
                  <w14:solidFill>
                    <w14:schemeClr w14:val="tx1"/>
                  </w14:solidFill>
                </w14:textFill>
              </w:rPr>
              <w:t>撤销其</w:t>
            </w:r>
            <w:r>
              <w:rPr>
                <w:rFonts w:hint="eastAsia" w:ascii="宋体" w:hAnsi="宋体" w:eastAsia="宋体" w:cs="宋体"/>
                <w:color w:val="000000" w:themeColor="text1"/>
                <w:sz w:val="21"/>
                <w:szCs w:val="21"/>
                <w:highlight w:val="none"/>
                <w:lang w:val="zh-CN" w:eastAsia="zh-CN"/>
                <w14:textFill>
                  <w14:solidFill>
                    <w14:schemeClr w14:val="tx1"/>
                  </w14:solidFill>
                </w14:textFill>
              </w:rPr>
              <w:t>响应文件</w:t>
            </w:r>
            <w:r>
              <w:rPr>
                <w:rFonts w:hint="eastAsia" w:ascii="宋体" w:hAnsi="宋体" w:eastAsia="宋体" w:cs="宋体"/>
                <w:color w:val="000000" w:themeColor="text1"/>
                <w:sz w:val="21"/>
                <w:szCs w:val="21"/>
                <w:highlight w:val="none"/>
                <w:lang w:val="zh-CN"/>
                <w14:textFill>
                  <w14:solidFill>
                    <w14:schemeClr w14:val="tx1"/>
                  </w14:solidFill>
                </w14:textFill>
              </w:rPr>
              <w:t>；因采购人或系统原因，导致无法按时完成</w:t>
            </w:r>
            <w:r>
              <w:rPr>
                <w:rFonts w:hint="eastAsia" w:ascii="宋体" w:hAnsi="宋体" w:eastAsia="宋体" w:cs="宋体"/>
                <w:color w:val="000000" w:themeColor="text1"/>
                <w:sz w:val="21"/>
                <w:szCs w:val="21"/>
                <w:highlight w:val="none"/>
                <w:lang w:val="zh-CN" w:eastAsia="zh-CN"/>
                <w14:textFill>
                  <w14:solidFill>
                    <w14:schemeClr w14:val="tx1"/>
                  </w14:solidFill>
                </w14:textFill>
              </w:rPr>
              <w:t>响应文件</w:t>
            </w:r>
            <w:r>
              <w:rPr>
                <w:rFonts w:hint="eastAsia" w:ascii="宋体" w:hAnsi="宋体" w:eastAsia="宋体" w:cs="宋体"/>
                <w:color w:val="000000" w:themeColor="text1"/>
                <w:sz w:val="21"/>
                <w:szCs w:val="21"/>
                <w:highlight w:val="none"/>
                <w:lang w:val="zh-CN"/>
                <w14:textFill>
                  <w14:solidFill>
                    <w14:schemeClr w14:val="tx1"/>
                  </w14:solidFill>
                </w14:textFill>
              </w:rPr>
              <w:t xml:space="preserve">解密或开标、评标工作无法进行的，可根据实际情况相应延迟解密时间或调整开标、评标时间。 </w:t>
            </w:r>
          </w:p>
          <w:p w14:paraId="02E3D2E8">
            <w:pPr>
              <w:keepNext w:val="0"/>
              <w:keepLines w:val="0"/>
              <w:pageBreakBefore w:val="0"/>
              <w:widowControl w:val="0"/>
              <w:kinsoku/>
              <w:wordWrap/>
              <w:overflowPunct/>
              <w:topLinePunct w:val="0"/>
              <w:autoSpaceDE/>
              <w:autoSpaceDN/>
              <w:bidi w:val="0"/>
              <w:adjustRightInd/>
              <w:snapToGrid/>
              <w:spacing w:line="0" w:lineRule="atLeast"/>
              <w:ind w:left="0" w:leftChars="0" w:firstLine="0" w:firstLineChars="0"/>
              <w:textAlignment w:val="auto"/>
              <w:outlineLvl w:val="9"/>
              <w:rPr>
                <w:rFonts w:hint="eastAsia" w:ascii="宋体" w:hAnsi="宋体" w:eastAsia="宋体" w:cs="宋体"/>
                <w:color w:val="000000" w:themeColor="text1"/>
                <w:sz w:val="21"/>
                <w:szCs w:val="21"/>
                <w:highlight w:val="none"/>
                <w:lang w:val="zh-CN"/>
                <w14:textFill>
                  <w14:solidFill>
                    <w14:schemeClr w14:val="tx1"/>
                  </w14:solidFill>
                </w14:textFill>
              </w:rPr>
            </w:pPr>
            <w:r>
              <w:rPr>
                <w:rFonts w:hint="eastAsia" w:ascii="宋体" w:hAnsi="宋体" w:eastAsia="宋体" w:cs="宋体"/>
                <w:color w:val="000000" w:themeColor="text1"/>
                <w:sz w:val="21"/>
                <w:szCs w:val="21"/>
                <w:highlight w:val="none"/>
                <w:lang w:val="zh-CN"/>
                <w14:textFill>
                  <w14:solidFill>
                    <w14:schemeClr w14:val="tx1"/>
                  </w14:solidFill>
                </w14:textFill>
              </w:rPr>
              <w:t>8.开标当日，</w:t>
            </w:r>
            <w:r>
              <w:rPr>
                <w:rFonts w:hint="eastAsia" w:ascii="宋体" w:hAnsi="宋体" w:cs="宋体"/>
                <w:color w:val="000000" w:themeColor="text1"/>
                <w:sz w:val="21"/>
                <w:szCs w:val="21"/>
                <w:highlight w:val="none"/>
                <w:lang w:val="zh-CN"/>
                <w14:textFill>
                  <w14:solidFill>
                    <w14:schemeClr w14:val="tx1"/>
                  </w14:solidFill>
                </w14:textFill>
              </w:rPr>
              <w:t>供应商</w:t>
            </w:r>
            <w:r>
              <w:rPr>
                <w:rFonts w:hint="eastAsia" w:ascii="宋体" w:hAnsi="宋体" w:eastAsia="宋体" w:cs="宋体"/>
                <w:color w:val="000000" w:themeColor="text1"/>
                <w:sz w:val="21"/>
                <w:szCs w:val="21"/>
                <w:highlight w:val="none"/>
                <w:lang w:val="zh-CN"/>
                <w14:textFill>
                  <w14:solidFill>
                    <w14:schemeClr w14:val="tx1"/>
                  </w14:solidFill>
                </w14:textFill>
              </w:rPr>
              <w:t xml:space="preserve">不必抵达开标现场，仅需在任意地点通过政府采购云平台（网址：http:// www.zcygov.cn）不见面开标系统参加开标会议，并根据需要使用开标系统与现场采购人进行互动交流、澄清、质疑等活动。 </w:t>
            </w:r>
          </w:p>
          <w:p w14:paraId="55387158">
            <w:pPr>
              <w:keepNext w:val="0"/>
              <w:keepLines w:val="0"/>
              <w:pageBreakBefore w:val="0"/>
              <w:widowControl w:val="0"/>
              <w:kinsoku/>
              <w:wordWrap/>
              <w:overflowPunct/>
              <w:topLinePunct w:val="0"/>
              <w:autoSpaceDE/>
              <w:autoSpaceDN/>
              <w:bidi w:val="0"/>
              <w:adjustRightInd/>
              <w:snapToGrid/>
              <w:spacing w:line="0" w:lineRule="atLeast"/>
              <w:ind w:left="0" w:leftChars="0" w:firstLine="0" w:firstLineChars="0"/>
              <w:textAlignment w:val="auto"/>
              <w:outlineLvl w:val="9"/>
              <w:rPr>
                <w:rFonts w:hint="eastAsia" w:ascii="宋体" w:hAnsi="宋体" w:eastAsia="宋体" w:cs="宋体"/>
                <w:color w:val="000000" w:themeColor="text1"/>
                <w:sz w:val="21"/>
                <w:szCs w:val="21"/>
                <w:highlight w:val="none"/>
                <w:lang w:val="zh-CN"/>
                <w14:textFill>
                  <w14:solidFill>
                    <w14:schemeClr w14:val="tx1"/>
                  </w14:solidFill>
                </w14:textFill>
              </w:rPr>
            </w:pPr>
            <w:r>
              <w:rPr>
                <w:rFonts w:hint="eastAsia" w:ascii="宋体" w:hAnsi="宋体" w:eastAsia="宋体" w:cs="宋体"/>
                <w:color w:val="000000" w:themeColor="text1"/>
                <w:sz w:val="21"/>
                <w:szCs w:val="21"/>
                <w:highlight w:val="none"/>
                <w:lang w:val="zh-CN"/>
                <w14:textFill>
                  <w14:solidFill>
                    <w14:schemeClr w14:val="tx1"/>
                  </w14:solidFill>
                </w14:textFill>
              </w:rPr>
              <w:t>9.开标、评标过程中，参与远程交互的各</w:t>
            </w:r>
            <w:r>
              <w:rPr>
                <w:rFonts w:hint="eastAsia" w:ascii="宋体" w:hAnsi="宋体" w:cs="宋体"/>
                <w:color w:val="000000" w:themeColor="text1"/>
                <w:sz w:val="21"/>
                <w:szCs w:val="21"/>
                <w:highlight w:val="none"/>
                <w:lang w:val="zh-CN"/>
                <w14:textFill>
                  <w14:solidFill>
                    <w14:schemeClr w14:val="tx1"/>
                  </w14:solidFill>
                </w14:textFill>
              </w:rPr>
              <w:t>供应商</w:t>
            </w:r>
            <w:r>
              <w:rPr>
                <w:rFonts w:hint="eastAsia" w:ascii="宋体" w:hAnsi="宋体" w:eastAsia="宋体" w:cs="宋体"/>
                <w:color w:val="000000" w:themeColor="text1"/>
                <w:sz w:val="21"/>
                <w:szCs w:val="21"/>
                <w:highlight w:val="none"/>
                <w:lang w:val="zh-CN"/>
                <w14:textFill>
                  <w14:solidFill>
                    <w14:schemeClr w14:val="tx1"/>
                  </w14:solidFill>
                </w14:textFill>
              </w:rPr>
              <w:t>应始终为同一个人，中途不得更换，在否决投标、澄清、质疑等特殊情况下需要交互时，</w:t>
            </w:r>
            <w:r>
              <w:rPr>
                <w:rFonts w:hint="eastAsia" w:ascii="宋体" w:hAnsi="宋体" w:cs="宋体"/>
                <w:color w:val="000000" w:themeColor="text1"/>
                <w:sz w:val="21"/>
                <w:szCs w:val="21"/>
                <w:highlight w:val="none"/>
                <w:lang w:val="zh-CN"/>
                <w14:textFill>
                  <w14:solidFill>
                    <w14:schemeClr w14:val="tx1"/>
                  </w14:solidFill>
                </w14:textFill>
              </w:rPr>
              <w:t>供应商</w:t>
            </w:r>
            <w:r>
              <w:rPr>
                <w:rFonts w:hint="eastAsia" w:ascii="宋体" w:hAnsi="宋体" w:eastAsia="宋体" w:cs="宋体"/>
                <w:color w:val="000000" w:themeColor="text1"/>
                <w:sz w:val="21"/>
                <w:szCs w:val="21"/>
                <w:highlight w:val="none"/>
                <w:lang w:val="zh-CN"/>
                <w14:textFill>
                  <w14:solidFill>
                    <w14:schemeClr w14:val="tx1"/>
                  </w14:solidFill>
                </w14:textFill>
              </w:rPr>
              <w:t>一端参与交互的人员只能是</w:t>
            </w:r>
            <w:r>
              <w:rPr>
                <w:rFonts w:hint="eastAsia" w:ascii="宋体" w:hAnsi="宋体" w:cs="宋体"/>
                <w:color w:val="000000" w:themeColor="text1"/>
                <w:sz w:val="21"/>
                <w:szCs w:val="21"/>
                <w:highlight w:val="none"/>
                <w:lang w:val="zh-CN"/>
                <w14:textFill>
                  <w14:solidFill>
                    <w14:schemeClr w14:val="tx1"/>
                  </w14:solidFill>
                </w14:textFill>
              </w:rPr>
              <w:t>供应商</w:t>
            </w:r>
            <w:r>
              <w:rPr>
                <w:rFonts w:hint="eastAsia" w:ascii="宋体" w:hAnsi="宋体" w:eastAsia="宋体" w:cs="宋体"/>
                <w:color w:val="000000" w:themeColor="text1"/>
                <w:sz w:val="21"/>
                <w:szCs w:val="21"/>
                <w:highlight w:val="none"/>
                <w:lang w:val="zh-CN"/>
                <w14:textFill>
                  <w14:solidFill>
                    <w14:schemeClr w14:val="tx1"/>
                  </w14:solidFill>
                </w14:textFill>
              </w:rPr>
              <w:t>的法定代表人或授权委托人（答辩等类似环节需要其他人员参与的除外），</w:t>
            </w:r>
            <w:r>
              <w:rPr>
                <w:rFonts w:hint="eastAsia" w:ascii="宋体" w:hAnsi="宋体" w:cs="宋体"/>
                <w:color w:val="000000" w:themeColor="text1"/>
                <w:sz w:val="21"/>
                <w:szCs w:val="21"/>
                <w:highlight w:val="none"/>
                <w:lang w:val="zh-CN"/>
                <w14:textFill>
                  <w14:solidFill>
                    <w14:schemeClr w14:val="tx1"/>
                  </w14:solidFill>
                </w14:textFill>
              </w:rPr>
              <w:t>供应商</w:t>
            </w:r>
            <w:r>
              <w:rPr>
                <w:rFonts w:hint="eastAsia" w:ascii="宋体" w:hAnsi="宋体" w:eastAsia="宋体" w:cs="宋体"/>
                <w:color w:val="000000" w:themeColor="text1"/>
                <w:sz w:val="21"/>
                <w:szCs w:val="21"/>
                <w:highlight w:val="none"/>
                <w:lang w:val="zh-CN"/>
                <w14:textFill>
                  <w14:solidFill>
                    <w14:schemeClr w14:val="tx1"/>
                  </w14:solidFill>
                </w14:textFill>
              </w:rPr>
              <w:t>不得以不承认交互人员的资格或身份等为借口推脱，</w:t>
            </w:r>
            <w:r>
              <w:rPr>
                <w:rFonts w:hint="eastAsia" w:ascii="宋体" w:hAnsi="宋体" w:cs="宋体"/>
                <w:color w:val="000000" w:themeColor="text1"/>
                <w:sz w:val="21"/>
                <w:szCs w:val="21"/>
                <w:highlight w:val="none"/>
                <w:lang w:val="zh-CN"/>
                <w14:textFill>
                  <w14:solidFill>
                    <w14:schemeClr w14:val="tx1"/>
                  </w14:solidFill>
                </w14:textFill>
              </w:rPr>
              <w:t>供应商</w:t>
            </w:r>
            <w:r>
              <w:rPr>
                <w:rFonts w:hint="eastAsia" w:ascii="宋体" w:hAnsi="宋体" w:eastAsia="宋体" w:cs="宋体"/>
                <w:color w:val="000000" w:themeColor="text1"/>
                <w:sz w:val="21"/>
                <w:szCs w:val="21"/>
                <w:highlight w:val="none"/>
                <w:lang w:val="zh-CN"/>
                <w14:textFill>
                  <w14:solidFill>
                    <w14:schemeClr w14:val="tx1"/>
                  </w14:solidFill>
                </w14:textFill>
              </w:rPr>
              <w:t>自行承担随意更换人员所导致的一切后果。</w:t>
            </w:r>
          </w:p>
          <w:p w14:paraId="0BB36648">
            <w:pPr>
              <w:keepNext w:val="0"/>
              <w:keepLines w:val="0"/>
              <w:pageBreakBefore w:val="0"/>
              <w:widowControl w:val="0"/>
              <w:kinsoku/>
              <w:wordWrap/>
              <w:overflowPunct/>
              <w:topLinePunct w:val="0"/>
              <w:autoSpaceDE/>
              <w:autoSpaceDN/>
              <w:bidi w:val="0"/>
              <w:adjustRightInd/>
              <w:snapToGrid/>
              <w:spacing w:line="0" w:lineRule="atLeast"/>
              <w:ind w:left="0" w:leftChars="0" w:firstLine="0" w:firstLineChars="0"/>
              <w:textAlignment w:val="auto"/>
              <w:outlineLvl w:val="9"/>
              <w:rPr>
                <w:rFonts w:hint="eastAsia" w:ascii="宋体" w:hAnsi="宋体" w:eastAsia="宋体" w:cs="宋体"/>
                <w:color w:val="000000" w:themeColor="text1"/>
                <w:sz w:val="21"/>
                <w:szCs w:val="21"/>
                <w:highlight w:val="none"/>
                <w:lang w:val="zh-CN"/>
                <w14:textFill>
                  <w14:solidFill>
                    <w14:schemeClr w14:val="tx1"/>
                  </w14:solidFill>
                </w14:textFill>
              </w:rPr>
            </w:pPr>
            <w:r>
              <w:rPr>
                <w:rFonts w:hint="eastAsia" w:ascii="宋体" w:hAnsi="宋体" w:eastAsia="宋体" w:cs="宋体"/>
                <w:color w:val="000000" w:themeColor="text1"/>
                <w:sz w:val="21"/>
                <w:szCs w:val="21"/>
                <w:highlight w:val="none"/>
                <w:lang w:val="zh-CN"/>
                <w14:textFill>
                  <w14:solidFill>
                    <w14:schemeClr w14:val="tx1"/>
                  </w14:solidFill>
                </w14:textFill>
              </w:rPr>
              <w:t>10.纸质</w:t>
            </w:r>
            <w:r>
              <w:rPr>
                <w:rFonts w:hint="eastAsia" w:ascii="宋体" w:hAnsi="宋体" w:eastAsia="宋体" w:cs="宋体"/>
                <w:color w:val="000000" w:themeColor="text1"/>
                <w:sz w:val="21"/>
                <w:szCs w:val="21"/>
                <w:highlight w:val="none"/>
                <w:lang w:val="zh-CN" w:eastAsia="zh-CN"/>
                <w14:textFill>
                  <w14:solidFill>
                    <w14:schemeClr w14:val="tx1"/>
                  </w14:solidFill>
                </w14:textFill>
              </w:rPr>
              <w:t>响应文件</w:t>
            </w:r>
            <w:r>
              <w:rPr>
                <w:rFonts w:hint="eastAsia" w:ascii="宋体" w:hAnsi="宋体" w:eastAsia="宋体" w:cs="宋体"/>
                <w:color w:val="000000" w:themeColor="text1"/>
                <w:sz w:val="21"/>
                <w:szCs w:val="21"/>
                <w:highlight w:val="none"/>
                <w:lang w:val="zh-CN"/>
                <w14:textFill>
                  <w14:solidFill>
                    <w14:schemeClr w14:val="tx1"/>
                  </w14:solidFill>
                </w14:textFill>
              </w:rPr>
              <w:t>的</w:t>
            </w:r>
            <w:r>
              <w:rPr>
                <w:rFonts w:hint="eastAsia" w:ascii="宋体" w:hAnsi="宋体" w:eastAsia="宋体" w:cs="宋体"/>
                <w:color w:val="000000" w:themeColor="text1"/>
                <w:sz w:val="21"/>
                <w:szCs w:val="21"/>
                <w:highlight w:val="none"/>
                <w:lang w:val="zh-CN" w:eastAsia="zh-CN"/>
                <w14:textFill>
                  <w14:solidFill>
                    <w14:schemeClr w14:val="tx1"/>
                  </w14:solidFill>
                </w14:textFill>
              </w:rPr>
              <w:t>存档</w:t>
            </w:r>
            <w:r>
              <w:rPr>
                <w:rFonts w:hint="eastAsia" w:ascii="宋体" w:hAnsi="宋体" w:eastAsia="宋体" w:cs="宋体"/>
                <w:color w:val="000000" w:themeColor="text1"/>
                <w:sz w:val="21"/>
                <w:szCs w:val="21"/>
                <w:highlight w:val="none"/>
                <w:lang w:val="zh-CN"/>
                <w14:textFill>
                  <w14:solidFill>
                    <w14:schemeClr w14:val="tx1"/>
                  </w14:solidFill>
                </w14:textFill>
              </w:rPr>
              <w:t>，</w:t>
            </w:r>
            <w:r>
              <w:rPr>
                <w:rFonts w:hint="eastAsia" w:ascii="宋体" w:hAnsi="宋体" w:eastAsia="宋体" w:cs="宋体"/>
                <w:color w:val="000000" w:themeColor="text1"/>
                <w:sz w:val="21"/>
                <w:szCs w:val="21"/>
                <w:highlight w:val="none"/>
                <w:lang w:val="zh-CN" w:eastAsia="zh-CN"/>
                <w14:textFill>
                  <w14:solidFill>
                    <w14:schemeClr w14:val="tx1"/>
                  </w14:solidFill>
                </w14:textFill>
              </w:rPr>
              <w:t>按照</w:t>
            </w:r>
            <w:r>
              <w:rPr>
                <w:rFonts w:hint="eastAsia" w:ascii="宋体" w:hAnsi="宋体" w:eastAsia="宋体" w:cs="宋体"/>
                <w:color w:val="000000" w:themeColor="text1"/>
                <w:sz w:val="21"/>
                <w:szCs w:val="21"/>
                <w:highlight w:val="none"/>
                <w:lang w:val="zh-CN"/>
                <w14:textFill>
                  <w14:solidFill>
                    <w14:schemeClr w14:val="tx1"/>
                  </w14:solidFill>
                </w14:textFill>
              </w:rPr>
              <w:t>代理机构</w:t>
            </w:r>
            <w:r>
              <w:rPr>
                <w:rFonts w:hint="eastAsia" w:ascii="宋体" w:hAnsi="宋体" w:eastAsia="宋体" w:cs="宋体"/>
                <w:color w:val="000000" w:themeColor="text1"/>
                <w:sz w:val="21"/>
                <w:szCs w:val="21"/>
                <w:highlight w:val="none"/>
                <w:lang w:val="zh-CN" w:eastAsia="zh-CN"/>
                <w14:textFill>
                  <w14:solidFill>
                    <w14:schemeClr w14:val="tx1"/>
                  </w14:solidFill>
                </w14:textFill>
              </w:rPr>
              <w:t>具体递交要求执行</w:t>
            </w:r>
            <w:r>
              <w:rPr>
                <w:rFonts w:hint="eastAsia" w:ascii="宋体" w:hAnsi="宋体" w:eastAsia="宋体" w:cs="宋体"/>
                <w:color w:val="000000" w:themeColor="text1"/>
                <w:sz w:val="21"/>
                <w:szCs w:val="21"/>
                <w:highlight w:val="none"/>
                <w:lang w:val="zh-CN"/>
                <w14:textFill>
                  <w14:solidFill>
                    <w14:schemeClr w14:val="tx1"/>
                  </w14:solidFill>
                </w14:textFill>
              </w:rPr>
              <w:t>。</w:t>
            </w:r>
          </w:p>
          <w:p w14:paraId="526CAD44">
            <w:pPr>
              <w:keepNext w:val="0"/>
              <w:keepLines w:val="0"/>
              <w:pageBreakBefore w:val="0"/>
              <w:widowControl w:val="0"/>
              <w:kinsoku/>
              <w:wordWrap/>
              <w:overflowPunct/>
              <w:topLinePunct w:val="0"/>
              <w:autoSpaceDE/>
              <w:autoSpaceDN/>
              <w:bidi w:val="0"/>
              <w:adjustRightInd/>
              <w:snapToGrid/>
              <w:spacing w:line="0" w:lineRule="atLeast"/>
              <w:ind w:left="0" w:leftChars="0" w:firstLine="0" w:firstLineChars="0"/>
              <w:textAlignment w:val="auto"/>
              <w:outlineLvl w:val="9"/>
              <w:rPr>
                <w:rFonts w:hint="eastAsia" w:ascii="宋体" w:hAnsi="宋体" w:eastAsia="宋体" w:cs="宋体"/>
                <w:color w:val="000000" w:themeColor="text1"/>
                <w:sz w:val="21"/>
                <w:szCs w:val="21"/>
                <w:highlight w:val="none"/>
                <w:lang w:val="zh-CN"/>
                <w14:textFill>
                  <w14:solidFill>
                    <w14:schemeClr w14:val="tx1"/>
                  </w14:solidFill>
                </w14:textFill>
              </w:rPr>
            </w:pPr>
            <w:r>
              <w:rPr>
                <w:rFonts w:hint="eastAsia" w:ascii="宋体" w:hAnsi="宋体" w:eastAsia="宋体" w:cs="宋体"/>
                <w:color w:val="000000" w:themeColor="text1"/>
                <w:sz w:val="21"/>
                <w:szCs w:val="21"/>
                <w:highlight w:val="none"/>
                <w:lang w:val="zh-CN"/>
                <w14:textFill>
                  <w14:solidFill>
                    <w14:schemeClr w14:val="tx1"/>
                  </w14:solidFill>
                </w14:textFill>
              </w:rPr>
              <w:t>二、系统操作注意事项</w:t>
            </w:r>
          </w:p>
          <w:p w14:paraId="07C7052B">
            <w:pPr>
              <w:keepNext w:val="0"/>
              <w:keepLines w:val="0"/>
              <w:pageBreakBefore w:val="0"/>
              <w:widowControl w:val="0"/>
              <w:kinsoku/>
              <w:wordWrap/>
              <w:overflowPunct/>
              <w:topLinePunct w:val="0"/>
              <w:autoSpaceDE/>
              <w:autoSpaceDN/>
              <w:bidi w:val="0"/>
              <w:adjustRightInd/>
              <w:snapToGrid/>
              <w:spacing w:line="0" w:lineRule="atLeast"/>
              <w:ind w:left="0" w:leftChars="0" w:firstLine="0" w:firstLineChars="0"/>
              <w:textAlignment w:val="auto"/>
              <w:outlineLvl w:val="9"/>
              <w:rPr>
                <w:rFonts w:hint="eastAsia" w:ascii="宋体" w:hAnsi="宋体" w:eastAsia="宋体" w:cs="宋体"/>
                <w:color w:val="000000" w:themeColor="text1"/>
                <w:sz w:val="21"/>
                <w:szCs w:val="21"/>
                <w:highlight w:val="none"/>
                <w:lang w:val="zh-CN"/>
                <w14:textFill>
                  <w14:solidFill>
                    <w14:schemeClr w14:val="tx1"/>
                  </w14:solidFill>
                </w14:textFill>
              </w:rPr>
            </w:pPr>
            <w:r>
              <w:rPr>
                <w:rFonts w:hint="eastAsia" w:ascii="宋体" w:hAnsi="宋体" w:eastAsia="宋体" w:cs="宋体"/>
                <w:color w:val="000000" w:themeColor="text1"/>
                <w:sz w:val="21"/>
                <w:szCs w:val="21"/>
                <w:highlight w:val="none"/>
                <w:lang w:val="zh-CN"/>
                <w14:textFill>
                  <w14:solidFill>
                    <w14:schemeClr w14:val="tx1"/>
                  </w14:solidFill>
                </w14:textFill>
              </w:rPr>
              <w:t>（一）软硬件及网络要求</w:t>
            </w:r>
          </w:p>
          <w:p w14:paraId="5381CCFA">
            <w:pPr>
              <w:keepNext w:val="0"/>
              <w:keepLines w:val="0"/>
              <w:pageBreakBefore w:val="0"/>
              <w:widowControl w:val="0"/>
              <w:kinsoku/>
              <w:wordWrap/>
              <w:overflowPunct/>
              <w:topLinePunct w:val="0"/>
              <w:autoSpaceDE/>
              <w:autoSpaceDN/>
              <w:bidi w:val="0"/>
              <w:adjustRightInd/>
              <w:snapToGrid/>
              <w:spacing w:line="0" w:lineRule="atLeast"/>
              <w:ind w:left="0" w:leftChars="0" w:firstLine="0" w:firstLineChars="0"/>
              <w:textAlignment w:val="auto"/>
              <w:outlineLvl w:val="9"/>
              <w:rPr>
                <w:rFonts w:hint="eastAsia" w:ascii="宋体" w:hAnsi="宋体" w:eastAsia="宋体" w:cs="宋体"/>
                <w:color w:val="000000" w:themeColor="text1"/>
                <w:sz w:val="21"/>
                <w:szCs w:val="21"/>
                <w:highlight w:val="none"/>
                <w:lang w:val="zh-CN"/>
                <w14:textFill>
                  <w14:solidFill>
                    <w14:schemeClr w14:val="tx1"/>
                  </w14:solidFill>
                </w14:textFill>
              </w:rPr>
            </w:pPr>
            <w:r>
              <w:rPr>
                <w:rFonts w:hint="eastAsia" w:ascii="宋体" w:hAnsi="宋体" w:eastAsia="宋体" w:cs="宋体"/>
                <w:color w:val="000000" w:themeColor="text1"/>
                <w:sz w:val="21"/>
                <w:szCs w:val="21"/>
                <w:highlight w:val="none"/>
                <w:lang w:val="zh-CN"/>
                <w14:textFill>
                  <w14:solidFill>
                    <w14:schemeClr w14:val="tx1"/>
                  </w14:solidFill>
                </w14:textFill>
              </w:rPr>
              <w:t>1.参与不见面开标电脑须安装有清晰可用的摄像头、音响和麦克风设备。</w:t>
            </w:r>
          </w:p>
          <w:p w14:paraId="1CE0B77F">
            <w:pPr>
              <w:keepNext w:val="0"/>
              <w:keepLines w:val="0"/>
              <w:pageBreakBefore w:val="0"/>
              <w:widowControl w:val="0"/>
              <w:kinsoku/>
              <w:wordWrap/>
              <w:overflowPunct/>
              <w:topLinePunct w:val="0"/>
              <w:autoSpaceDE/>
              <w:autoSpaceDN/>
              <w:bidi w:val="0"/>
              <w:adjustRightInd/>
              <w:snapToGrid/>
              <w:spacing w:line="0" w:lineRule="atLeast"/>
              <w:ind w:left="0" w:leftChars="0" w:firstLine="0" w:firstLineChars="0"/>
              <w:textAlignment w:val="auto"/>
              <w:outlineLvl w:val="9"/>
              <w:rPr>
                <w:rFonts w:hint="eastAsia" w:ascii="宋体" w:hAnsi="宋体" w:eastAsia="宋体" w:cs="宋体"/>
                <w:color w:val="000000" w:themeColor="text1"/>
                <w:sz w:val="21"/>
                <w:szCs w:val="21"/>
                <w:highlight w:val="none"/>
                <w:lang w:val="zh-CN"/>
                <w14:textFill>
                  <w14:solidFill>
                    <w14:schemeClr w14:val="tx1"/>
                  </w14:solidFill>
                </w14:textFill>
              </w:rPr>
            </w:pPr>
            <w:r>
              <w:rPr>
                <w:rFonts w:hint="eastAsia" w:ascii="宋体" w:hAnsi="宋体" w:eastAsia="宋体" w:cs="宋体"/>
                <w:color w:val="000000" w:themeColor="text1"/>
                <w:sz w:val="21"/>
                <w:szCs w:val="21"/>
                <w:highlight w:val="none"/>
                <w:lang w:val="zh-CN"/>
                <w14:textFill>
                  <w14:solidFill>
                    <w14:schemeClr w14:val="tx1"/>
                  </w14:solidFill>
                </w14:textFill>
              </w:rPr>
              <w:t>2.参与不见面开标电脑须安装正确驱动，可在不见面开标系统登录界面的驱动下载页面进行下载及后续安装。</w:t>
            </w:r>
          </w:p>
          <w:p w14:paraId="086874FD">
            <w:pPr>
              <w:keepNext w:val="0"/>
              <w:keepLines w:val="0"/>
              <w:pageBreakBefore w:val="0"/>
              <w:widowControl w:val="0"/>
              <w:kinsoku/>
              <w:wordWrap/>
              <w:overflowPunct/>
              <w:topLinePunct w:val="0"/>
              <w:autoSpaceDE/>
              <w:autoSpaceDN/>
              <w:bidi w:val="0"/>
              <w:adjustRightInd/>
              <w:snapToGrid/>
              <w:spacing w:line="0" w:lineRule="atLeast"/>
              <w:ind w:left="0" w:leftChars="0" w:firstLine="0" w:firstLineChars="0"/>
              <w:textAlignment w:val="auto"/>
              <w:outlineLvl w:val="9"/>
              <w:rPr>
                <w:rFonts w:hint="eastAsia" w:ascii="宋体" w:hAnsi="宋体" w:eastAsia="宋体" w:cs="宋体"/>
                <w:color w:val="000000" w:themeColor="text1"/>
                <w:sz w:val="21"/>
                <w:szCs w:val="21"/>
                <w:highlight w:val="none"/>
                <w:lang w:val="zh-CN"/>
                <w14:textFill>
                  <w14:solidFill>
                    <w14:schemeClr w14:val="tx1"/>
                  </w14:solidFill>
                </w14:textFill>
              </w:rPr>
            </w:pPr>
            <w:r>
              <w:rPr>
                <w:rFonts w:hint="eastAsia" w:ascii="宋体" w:hAnsi="宋体" w:eastAsia="宋体" w:cs="宋体"/>
                <w:color w:val="000000" w:themeColor="text1"/>
                <w:sz w:val="21"/>
                <w:szCs w:val="21"/>
                <w:highlight w:val="none"/>
                <w:lang w:val="zh-CN"/>
                <w14:textFill>
                  <w14:solidFill>
                    <w14:schemeClr w14:val="tx1"/>
                  </w14:solidFill>
                </w14:textFill>
              </w:rPr>
              <w:t>3.为更好实时查看不见面开标室现场，推荐使用20M 及以上网络宽带。</w:t>
            </w:r>
          </w:p>
          <w:p w14:paraId="4CDA49A3">
            <w:pPr>
              <w:keepNext w:val="0"/>
              <w:keepLines w:val="0"/>
              <w:pageBreakBefore w:val="0"/>
              <w:widowControl w:val="0"/>
              <w:kinsoku/>
              <w:wordWrap/>
              <w:overflowPunct/>
              <w:topLinePunct w:val="0"/>
              <w:autoSpaceDE/>
              <w:autoSpaceDN/>
              <w:bidi w:val="0"/>
              <w:adjustRightInd/>
              <w:snapToGrid/>
              <w:spacing w:line="0" w:lineRule="atLeast"/>
              <w:ind w:left="0" w:leftChars="0" w:firstLine="0" w:firstLineChars="0"/>
              <w:textAlignment w:val="auto"/>
              <w:outlineLvl w:val="9"/>
              <w:rPr>
                <w:rFonts w:hint="eastAsia" w:ascii="宋体" w:hAnsi="宋体" w:eastAsia="宋体" w:cs="宋体"/>
                <w:color w:val="000000" w:themeColor="text1"/>
                <w:sz w:val="21"/>
                <w:szCs w:val="21"/>
                <w:highlight w:val="none"/>
                <w:lang w:val="zh-CN" w:eastAsia="zh-CN"/>
                <w14:textFill>
                  <w14:solidFill>
                    <w14:schemeClr w14:val="tx1"/>
                  </w14:solidFill>
                </w14:textFill>
              </w:rPr>
            </w:pPr>
            <w:r>
              <w:rPr>
                <w:rFonts w:hint="eastAsia" w:ascii="宋体" w:hAnsi="宋体" w:eastAsia="宋体" w:cs="宋体"/>
                <w:color w:val="000000" w:themeColor="text1"/>
                <w:sz w:val="21"/>
                <w:szCs w:val="21"/>
                <w:highlight w:val="none"/>
                <w:lang w:val="zh-CN"/>
                <w14:textFill>
                  <w14:solidFill>
                    <w14:schemeClr w14:val="tx1"/>
                  </w14:solidFill>
                </w14:textFill>
              </w:rPr>
              <w:t>4.操作系统为 win7 或 win10 系统，IE10 版本及以上，运存≥4G</w:t>
            </w:r>
            <w:r>
              <w:rPr>
                <w:rFonts w:hint="eastAsia" w:ascii="宋体" w:hAnsi="宋体" w:eastAsia="宋体" w:cs="宋体"/>
                <w:color w:val="000000" w:themeColor="text1"/>
                <w:sz w:val="21"/>
                <w:szCs w:val="21"/>
                <w:highlight w:val="none"/>
                <w:lang w:val="zh-CN" w:eastAsia="zh-CN"/>
                <w14:textFill>
                  <w14:solidFill>
                    <w14:schemeClr w14:val="tx1"/>
                  </w14:solidFill>
                </w14:textFill>
              </w:rPr>
              <w:t>。</w:t>
            </w:r>
          </w:p>
          <w:p w14:paraId="578B0936">
            <w:pPr>
              <w:keepNext w:val="0"/>
              <w:keepLines w:val="0"/>
              <w:pageBreakBefore w:val="0"/>
              <w:widowControl w:val="0"/>
              <w:kinsoku/>
              <w:wordWrap/>
              <w:overflowPunct/>
              <w:topLinePunct w:val="0"/>
              <w:autoSpaceDE/>
              <w:autoSpaceDN/>
              <w:bidi w:val="0"/>
              <w:adjustRightInd/>
              <w:snapToGrid/>
              <w:spacing w:line="0" w:lineRule="atLeast"/>
              <w:ind w:left="0" w:leftChars="0" w:firstLine="0" w:firstLineChars="0"/>
              <w:textAlignment w:val="auto"/>
              <w:outlineLvl w:val="9"/>
              <w:rPr>
                <w:rFonts w:hint="eastAsia" w:ascii="宋体" w:hAnsi="宋体" w:eastAsia="宋体" w:cs="宋体"/>
                <w:color w:val="000000" w:themeColor="text1"/>
                <w:sz w:val="21"/>
                <w:szCs w:val="21"/>
                <w:highlight w:val="none"/>
                <w:lang w:val="zh-CN"/>
                <w14:textFill>
                  <w14:solidFill>
                    <w14:schemeClr w14:val="tx1"/>
                  </w14:solidFill>
                </w14:textFill>
              </w:rPr>
            </w:pPr>
            <w:r>
              <w:rPr>
                <w:rFonts w:hint="eastAsia" w:ascii="宋体" w:hAnsi="宋体" w:eastAsia="宋体" w:cs="宋体"/>
                <w:color w:val="000000" w:themeColor="text1"/>
                <w:sz w:val="21"/>
                <w:szCs w:val="21"/>
                <w:highlight w:val="none"/>
                <w:lang w:val="zh-CN"/>
                <w14:textFill>
                  <w14:solidFill>
                    <w14:schemeClr w14:val="tx1"/>
                  </w14:solidFill>
                </w14:textFill>
              </w:rPr>
              <w:t>（二）</w:t>
            </w:r>
            <w:r>
              <w:rPr>
                <w:rFonts w:hint="eastAsia" w:ascii="宋体" w:hAnsi="宋体" w:eastAsia="宋体" w:cs="宋体"/>
                <w:color w:val="000000" w:themeColor="text1"/>
                <w:sz w:val="21"/>
                <w:szCs w:val="21"/>
                <w:highlight w:val="none"/>
                <w:lang w:val="zh-CN" w:eastAsia="zh-CN"/>
                <w14:textFill>
                  <w14:solidFill>
                    <w14:schemeClr w14:val="tx1"/>
                  </w14:solidFill>
                </w14:textFill>
              </w:rPr>
              <w:t>响应文件</w:t>
            </w:r>
            <w:r>
              <w:rPr>
                <w:rFonts w:hint="eastAsia" w:ascii="宋体" w:hAnsi="宋体" w:eastAsia="宋体" w:cs="宋体"/>
                <w:color w:val="000000" w:themeColor="text1"/>
                <w:sz w:val="21"/>
                <w:szCs w:val="21"/>
                <w:highlight w:val="none"/>
                <w:lang w:val="zh-CN"/>
                <w14:textFill>
                  <w14:solidFill>
                    <w14:schemeClr w14:val="tx1"/>
                  </w14:solidFill>
                </w14:textFill>
              </w:rPr>
              <w:t>制作及上传说明</w:t>
            </w:r>
          </w:p>
          <w:p w14:paraId="1CC73589">
            <w:pPr>
              <w:keepNext w:val="0"/>
              <w:keepLines w:val="0"/>
              <w:pageBreakBefore w:val="0"/>
              <w:widowControl w:val="0"/>
              <w:kinsoku/>
              <w:wordWrap/>
              <w:overflowPunct/>
              <w:topLinePunct w:val="0"/>
              <w:autoSpaceDE/>
              <w:autoSpaceDN/>
              <w:bidi w:val="0"/>
              <w:adjustRightInd/>
              <w:snapToGrid/>
              <w:spacing w:line="0" w:lineRule="atLeast"/>
              <w:ind w:left="0" w:leftChars="0" w:firstLine="0" w:firstLineChars="0"/>
              <w:textAlignment w:val="auto"/>
              <w:outlineLvl w:val="9"/>
              <w:rPr>
                <w:rFonts w:hint="eastAsia" w:ascii="宋体" w:hAnsi="宋体" w:eastAsia="宋体" w:cs="宋体"/>
                <w:color w:val="000000" w:themeColor="text1"/>
                <w:sz w:val="21"/>
                <w:szCs w:val="21"/>
                <w:highlight w:val="none"/>
                <w:lang w:val="zh-CN"/>
                <w14:textFill>
                  <w14:solidFill>
                    <w14:schemeClr w14:val="tx1"/>
                  </w14:solidFill>
                </w14:textFill>
              </w:rPr>
            </w:pPr>
            <w:r>
              <w:rPr>
                <w:rFonts w:hint="eastAsia" w:ascii="宋体" w:hAnsi="宋体" w:eastAsia="宋体" w:cs="宋体"/>
                <w:color w:val="000000" w:themeColor="text1"/>
                <w:sz w:val="21"/>
                <w:szCs w:val="21"/>
                <w:highlight w:val="none"/>
                <w:lang w:val="zh-CN"/>
                <w14:textFill>
                  <w14:solidFill>
                    <w14:schemeClr w14:val="tx1"/>
                  </w14:solidFill>
                </w14:textFill>
              </w:rPr>
              <w:t>1.供应商在政府采购云平台网注册入库成为正式供应商后，在平台上按《政府采购项目电子交易管理操作指南-供应商》进行投标操作。</w:t>
            </w:r>
            <w:r>
              <w:rPr>
                <w:rFonts w:hint="eastAsia" w:ascii="宋体" w:hAnsi="宋体" w:cs="宋体"/>
                <w:color w:val="000000" w:themeColor="text1"/>
                <w:sz w:val="21"/>
                <w:szCs w:val="21"/>
                <w:highlight w:val="none"/>
                <w:lang w:val="zh-CN"/>
                <w14:textFill>
                  <w14:solidFill>
                    <w14:schemeClr w14:val="tx1"/>
                  </w14:solidFill>
                </w14:textFill>
              </w:rPr>
              <w:t>供应商</w:t>
            </w:r>
            <w:r>
              <w:rPr>
                <w:rFonts w:hint="eastAsia" w:ascii="宋体" w:hAnsi="宋体" w:eastAsia="宋体" w:cs="宋体"/>
                <w:color w:val="000000" w:themeColor="text1"/>
                <w:sz w:val="21"/>
                <w:szCs w:val="21"/>
                <w:highlight w:val="none"/>
                <w:lang w:val="zh-CN"/>
                <w14:textFill>
                  <w14:solidFill>
                    <w14:schemeClr w14:val="tx1"/>
                  </w14:solidFill>
                </w14:textFill>
              </w:rPr>
              <w:t>须办理数字证书方可参加投标。</w:t>
            </w:r>
          </w:p>
          <w:p w14:paraId="444CAAF1">
            <w:pPr>
              <w:keepNext w:val="0"/>
              <w:keepLines w:val="0"/>
              <w:pageBreakBefore w:val="0"/>
              <w:widowControl w:val="0"/>
              <w:kinsoku/>
              <w:wordWrap/>
              <w:overflowPunct/>
              <w:topLinePunct w:val="0"/>
              <w:autoSpaceDE/>
              <w:autoSpaceDN/>
              <w:bidi w:val="0"/>
              <w:adjustRightInd/>
              <w:snapToGrid/>
              <w:spacing w:line="0" w:lineRule="atLeast"/>
              <w:ind w:left="0" w:leftChars="0" w:firstLine="0" w:firstLineChars="0"/>
              <w:textAlignment w:val="auto"/>
              <w:outlineLvl w:val="9"/>
              <w:rPr>
                <w:rFonts w:hint="eastAsia" w:ascii="宋体" w:hAnsi="宋体" w:eastAsia="宋体" w:cs="宋体"/>
                <w:color w:val="000000" w:themeColor="text1"/>
                <w:sz w:val="21"/>
                <w:szCs w:val="21"/>
                <w:highlight w:val="none"/>
                <w:lang w:val="zh-CN"/>
                <w14:textFill>
                  <w14:solidFill>
                    <w14:schemeClr w14:val="tx1"/>
                  </w14:solidFill>
                </w14:textFill>
              </w:rPr>
            </w:pPr>
            <w:r>
              <w:rPr>
                <w:rFonts w:hint="eastAsia" w:ascii="宋体" w:hAnsi="宋体" w:eastAsia="宋体" w:cs="宋体"/>
                <w:color w:val="000000" w:themeColor="text1"/>
                <w:sz w:val="21"/>
                <w:szCs w:val="21"/>
                <w:highlight w:val="none"/>
                <w:lang w:val="zh-CN"/>
                <w14:textFill>
                  <w14:solidFill>
                    <w14:schemeClr w14:val="tx1"/>
                  </w14:solidFill>
                </w14:textFill>
              </w:rPr>
              <w:t>2.收到 CA 锁以后在“政采云”登陆界面，点击CA 登录-CA驱动下载-下载并安装政采云投标客户端和CA 驱动，账号绑定CA后才能进行</w:t>
            </w:r>
            <w:r>
              <w:rPr>
                <w:rFonts w:hint="eastAsia" w:ascii="宋体" w:hAnsi="宋体" w:eastAsia="宋体" w:cs="宋体"/>
                <w:color w:val="000000" w:themeColor="text1"/>
                <w:sz w:val="21"/>
                <w:szCs w:val="21"/>
                <w:highlight w:val="none"/>
                <w:lang w:val="zh-CN" w:eastAsia="zh-CN"/>
                <w14:textFill>
                  <w14:solidFill>
                    <w14:schemeClr w14:val="tx1"/>
                  </w14:solidFill>
                </w14:textFill>
              </w:rPr>
              <w:t>响应文件</w:t>
            </w:r>
            <w:r>
              <w:rPr>
                <w:rFonts w:hint="eastAsia" w:ascii="宋体" w:hAnsi="宋体" w:eastAsia="宋体" w:cs="宋体"/>
                <w:color w:val="000000" w:themeColor="text1"/>
                <w:sz w:val="21"/>
                <w:szCs w:val="21"/>
                <w:highlight w:val="none"/>
                <w:lang w:val="zh-CN"/>
                <w14:textFill>
                  <w14:solidFill>
                    <w14:schemeClr w14:val="tx1"/>
                  </w14:solidFill>
                </w14:textFill>
              </w:rPr>
              <w:t>制作。</w:t>
            </w:r>
          </w:p>
          <w:p w14:paraId="0E9ED1B9">
            <w:pPr>
              <w:keepNext w:val="0"/>
              <w:keepLines w:val="0"/>
              <w:pageBreakBefore w:val="0"/>
              <w:widowControl w:val="0"/>
              <w:kinsoku/>
              <w:wordWrap/>
              <w:overflowPunct/>
              <w:topLinePunct w:val="0"/>
              <w:autoSpaceDE/>
              <w:autoSpaceDN/>
              <w:bidi w:val="0"/>
              <w:adjustRightInd/>
              <w:snapToGrid/>
              <w:spacing w:line="0" w:lineRule="atLeast"/>
              <w:ind w:left="0" w:leftChars="0" w:firstLine="0" w:firstLineChars="0"/>
              <w:textAlignment w:val="auto"/>
              <w:outlineLvl w:val="9"/>
              <w:rPr>
                <w:rFonts w:hint="eastAsia" w:ascii="宋体" w:hAnsi="宋体" w:eastAsia="宋体" w:cs="宋体"/>
                <w:color w:val="000000" w:themeColor="text1"/>
                <w:sz w:val="21"/>
                <w:szCs w:val="21"/>
                <w:highlight w:val="none"/>
                <w:lang w:val="zh-CN"/>
                <w14:textFill>
                  <w14:solidFill>
                    <w14:schemeClr w14:val="tx1"/>
                  </w14:solidFill>
                </w14:textFill>
              </w:rPr>
            </w:pPr>
            <w:r>
              <w:rPr>
                <w:rFonts w:hint="eastAsia" w:ascii="宋体" w:hAnsi="宋体" w:eastAsia="宋体" w:cs="宋体"/>
                <w:color w:val="000000" w:themeColor="text1"/>
                <w:sz w:val="21"/>
                <w:szCs w:val="21"/>
                <w:highlight w:val="none"/>
                <w:lang w:val="zh-CN"/>
                <w14:textFill>
                  <w14:solidFill>
                    <w14:schemeClr w14:val="tx1"/>
                  </w14:solidFill>
                </w14:textFill>
              </w:rPr>
              <w:t>3.若对项目采购电子交易系统操作有疑问，可登录“政采云”平台，点击右侧咨询小采，获取采小蜜智能服务管家帮助，或拨打政采云服务热线 95763 获取帮助。</w:t>
            </w:r>
          </w:p>
          <w:p w14:paraId="38423BA9">
            <w:pPr>
              <w:keepNext w:val="0"/>
              <w:keepLines w:val="0"/>
              <w:pageBreakBefore w:val="0"/>
              <w:widowControl w:val="0"/>
              <w:kinsoku/>
              <w:wordWrap/>
              <w:overflowPunct/>
              <w:topLinePunct w:val="0"/>
              <w:autoSpaceDE/>
              <w:autoSpaceDN/>
              <w:bidi w:val="0"/>
              <w:adjustRightInd/>
              <w:snapToGrid/>
              <w:spacing w:line="0" w:lineRule="atLeast"/>
              <w:ind w:left="0" w:leftChars="0" w:firstLine="0" w:firstLineChars="0"/>
              <w:textAlignment w:val="auto"/>
              <w:outlineLvl w:val="9"/>
              <w:rPr>
                <w:rFonts w:hint="eastAsia" w:ascii="宋体" w:hAnsi="宋体" w:eastAsia="宋体" w:cs="宋体"/>
                <w:color w:val="000000" w:themeColor="text1"/>
                <w:sz w:val="21"/>
                <w:szCs w:val="21"/>
                <w:highlight w:val="none"/>
                <w:lang w:val="zh-CN"/>
                <w14:textFill>
                  <w14:solidFill>
                    <w14:schemeClr w14:val="tx1"/>
                  </w14:solidFill>
                </w14:textFill>
              </w:rPr>
            </w:pPr>
            <w:r>
              <w:rPr>
                <w:rFonts w:hint="eastAsia" w:ascii="宋体" w:hAnsi="宋体" w:eastAsia="宋体" w:cs="宋体"/>
                <w:color w:val="000000" w:themeColor="text1"/>
                <w:sz w:val="21"/>
                <w:szCs w:val="21"/>
                <w:highlight w:val="none"/>
                <w:lang w:val="zh-CN"/>
                <w14:textFill>
                  <w14:solidFill>
                    <w14:schemeClr w14:val="tx1"/>
                  </w14:solidFill>
                </w14:textFill>
              </w:rPr>
              <w:t>4.根据</w:t>
            </w:r>
            <w:r>
              <w:rPr>
                <w:rFonts w:hint="eastAsia" w:ascii="宋体" w:hAnsi="宋体" w:eastAsia="宋体" w:cs="宋体"/>
                <w:color w:val="000000" w:themeColor="text1"/>
                <w:sz w:val="21"/>
                <w:szCs w:val="21"/>
                <w:highlight w:val="none"/>
                <w:lang w:val="zh-CN" w:eastAsia="zh-CN"/>
                <w14:textFill>
                  <w14:solidFill>
                    <w14:schemeClr w14:val="tx1"/>
                  </w14:solidFill>
                </w14:textFill>
              </w:rPr>
              <w:t>相关</w:t>
            </w:r>
            <w:r>
              <w:rPr>
                <w:rFonts w:hint="eastAsia" w:ascii="宋体" w:hAnsi="宋体" w:eastAsia="宋体" w:cs="宋体"/>
                <w:color w:val="000000" w:themeColor="text1"/>
                <w:sz w:val="21"/>
                <w:szCs w:val="21"/>
                <w:highlight w:val="none"/>
                <w:lang w:val="zh-CN"/>
                <w14:textFill>
                  <w14:solidFill>
                    <w14:schemeClr w14:val="tx1"/>
                  </w14:solidFill>
                </w14:textFill>
              </w:rPr>
              <w:t>要求使用对应版本的</w:t>
            </w:r>
            <w:r>
              <w:rPr>
                <w:rFonts w:hint="eastAsia" w:ascii="宋体" w:hAnsi="宋体" w:eastAsia="宋体" w:cs="宋体"/>
                <w:color w:val="000000" w:themeColor="text1"/>
                <w:sz w:val="21"/>
                <w:szCs w:val="21"/>
                <w:highlight w:val="none"/>
                <w:lang w:val="zh-CN" w:eastAsia="zh-CN"/>
                <w14:textFill>
                  <w14:solidFill>
                    <w14:schemeClr w14:val="tx1"/>
                  </w14:solidFill>
                </w14:textFill>
              </w:rPr>
              <w:t>响应文件</w:t>
            </w:r>
            <w:r>
              <w:rPr>
                <w:rFonts w:hint="eastAsia" w:ascii="宋体" w:hAnsi="宋体" w:eastAsia="宋体" w:cs="宋体"/>
                <w:color w:val="000000" w:themeColor="text1"/>
                <w:sz w:val="21"/>
                <w:szCs w:val="21"/>
                <w:highlight w:val="none"/>
                <w:lang w:val="zh-CN"/>
                <w14:textFill>
                  <w14:solidFill>
                    <w14:schemeClr w14:val="tx1"/>
                  </w14:solidFill>
                </w14:textFill>
              </w:rPr>
              <w:t>制作工具。</w:t>
            </w:r>
          </w:p>
          <w:p w14:paraId="1D5773A0">
            <w:pPr>
              <w:keepNext w:val="0"/>
              <w:keepLines w:val="0"/>
              <w:pageBreakBefore w:val="0"/>
              <w:widowControl w:val="0"/>
              <w:kinsoku/>
              <w:wordWrap/>
              <w:overflowPunct/>
              <w:topLinePunct w:val="0"/>
              <w:autoSpaceDE/>
              <w:autoSpaceDN/>
              <w:bidi w:val="0"/>
              <w:adjustRightInd/>
              <w:snapToGrid/>
              <w:spacing w:line="0" w:lineRule="atLeast"/>
              <w:ind w:left="0" w:leftChars="0" w:firstLine="0" w:firstLineChars="0"/>
              <w:textAlignment w:val="auto"/>
              <w:outlineLvl w:val="9"/>
              <w:rPr>
                <w:rFonts w:hint="eastAsia" w:ascii="宋体" w:hAnsi="宋体" w:eastAsia="宋体" w:cs="宋体"/>
                <w:color w:val="000000" w:themeColor="text1"/>
                <w:sz w:val="21"/>
                <w:szCs w:val="21"/>
                <w:highlight w:val="none"/>
                <w:lang w:val="zh-CN"/>
                <w14:textFill>
                  <w14:solidFill>
                    <w14:schemeClr w14:val="tx1"/>
                  </w14:solidFill>
                </w14:textFill>
              </w:rPr>
            </w:pPr>
            <w:r>
              <w:rPr>
                <w:rFonts w:hint="eastAsia" w:ascii="宋体" w:hAnsi="宋体" w:eastAsia="宋体" w:cs="宋体"/>
                <w:color w:val="000000" w:themeColor="text1"/>
                <w:sz w:val="21"/>
                <w:szCs w:val="21"/>
                <w:highlight w:val="none"/>
                <w:lang w:val="zh-CN"/>
                <w14:textFill>
                  <w14:solidFill>
                    <w14:schemeClr w14:val="tx1"/>
                  </w14:solidFill>
                </w14:textFill>
              </w:rPr>
              <w:t>（三）开标过程注意事项</w:t>
            </w:r>
          </w:p>
          <w:p w14:paraId="720A0CEC">
            <w:pPr>
              <w:keepNext w:val="0"/>
              <w:keepLines w:val="0"/>
              <w:pageBreakBefore w:val="0"/>
              <w:widowControl w:val="0"/>
              <w:kinsoku/>
              <w:wordWrap/>
              <w:overflowPunct/>
              <w:topLinePunct w:val="0"/>
              <w:autoSpaceDE/>
              <w:autoSpaceDN/>
              <w:bidi w:val="0"/>
              <w:adjustRightInd/>
              <w:snapToGrid/>
              <w:spacing w:line="0" w:lineRule="atLeast"/>
              <w:ind w:left="0" w:leftChars="0" w:firstLine="0" w:firstLineChars="0"/>
              <w:textAlignment w:val="auto"/>
              <w:outlineLvl w:val="9"/>
              <w:rPr>
                <w:rFonts w:hint="eastAsia" w:ascii="宋体" w:hAnsi="宋体" w:eastAsia="宋体" w:cs="宋体"/>
                <w:color w:val="000000" w:themeColor="text1"/>
                <w:sz w:val="21"/>
                <w:szCs w:val="21"/>
                <w:highlight w:val="none"/>
                <w:lang w:val="zh-CN"/>
                <w14:textFill>
                  <w14:solidFill>
                    <w14:schemeClr w14:val="tx1"/>
                  </w14:solidFill>
                </w14:textFill>
              </w:rPr>
            </w:pPr>
            <w:r>
              <w:rPr>
                <w:rFonts w:hint="eastAsia" w:ascii="宋体" w:hAnsi="宋体" w:eastAsia="宋体" w:cs="宋体"/>
                <w:color w:val="000000" w:themeColor="text1"/>
                <w:sz w:val="21"/>
                <w:szCs w:val="21"/>
                <w:highlight w:val="none"/>
                <w:lang w:val="zh-CN"/>
                <w14:textFill>
                  <w14:solidFill>
                    <w14:schemeClr w14:val="tx1"/>
                  </w14:solidFill>
                </w14:textFill>
              </w:rPr>
              <w:t>1.开标当天，</w:t>
            </w:r>
            <w:r>
              <w:rPr>
                <w:rFonts w:hint="eastAsia" w:ascii="宋体" w:hAnsi="宋体" w:cs="宋体"/>
                <w:color w:val="000000" w:themeColor="text1"/>
                <w:sz w:val="21"/>
                <w:szCs w:val="21"/>
                <w:highlight w:val="none"/>
                <w:lang w:val="zh-CN"/>
                <w14:textFill>
                  <w14:solidFill>
                    <w14:schemeClr w14:val="tx1"/>
                  </w14:solidFill>
                </w14:textFill>
              </w:rPr>
              <w:t>供应商</w:t>
            </w:r>
            <w:r>
              <w:rPr>
                <w:rFonts w:hint="eastAsia" w:ascii="宋体" w:hAnsi="宋体" w:eastAsia="宋体" w:cs="宋体"/>
                <w:color w:val="000000" w:themeColor="text1"/>
                <w:sz w:val="21"/>
                <w:szCs w:val="21"/>
                <w:highlight w:val="none"/>
                <w:lang w:val="zh-CN"/>
                <w14:textFill>
                  <w14:solidFill>
                    <w14:schemeClr w14:val="tx1"/>
                  </w14:solidFill>
                </w14:textFill>
              </w:rPr>
              <w:t>务必于开标前提前登录系统，进入所投标项目，在项目签到界面进行线上签到。</w:t>
            </w:r>
          </w:p>
          <w:p w14:paraId="67B23FFB">
            <w:pPr>
              <w:keepNext w:val="0"/>
              <w:keepLines w:val="0"/>
              <w:pageBreakBefore w:val="0"/>
              <w:widowControl w:val="0"/>
              <w:kinsoku/>
              <w:wordWrap/>
              <w:overflowPunct/>
              <w:topLinePunct w:val="0"/>
              <w:autoSpaceDE/>
              <w:autoSpaceDN/>
              <w:bidi w:val="0"/>
              <w:adjustRightInd/>
              <w:snapToGrid/>
              <w:spacing w:line="0" w:lineRule="atLeast"/>
              <w:ind w:left="0" w:leftChars="0" w:firstLine="0" w:firstLineChars="0"/>
              <w:textAlignment w:val="auto"/>
              <w:outlineLvl w:val="9"/>
              <w:rPr>
                <w:rFonts w:hint="eastAsia" w:ascii="宋体" w:hAnsi="宋体" w:eastAsia="宋体" w:cs="宋体"/>
                <w:color w:val="000000" w:themeColor="text1"/>
                <w:sz w:val="21"/>
                <w:szCs w:val="21"/>
                <w:highlight w:val="none"/>
                <w:lang w:val="zh-CN"/>
                <w14:textFill>
                  <w14:solidFill>
                    <w14:schemeClr w14:val="tx1"/>
                  </w14:solidFill>
                </w14:textFill>
              </w:rPr>
            </w:pPr>
            <w:r>
              <w:rPr>
                <w:rFonts w:hint="eastAsia" w:ascii="宋体" w:hAnsi="宋体" w:eastAsia="宋体" w:cs="宋体"/>
                <w:color w:val="000000" w:themeColor="text1"/>
                <w:sz w:val="21"/>
                <w:szCs w:val="21"/>
                <w:highlight w:val="none"/>
                <w:lang w:val="zh-CN"/>
                <w14:textFill>
                  <w14:solidFill>
                    <w14:schemeClr w14:val="tx1"/>
                  </w14:solidFill>
                </w14:textFill>
              </w:rPr>
              <w:t>2.开标过程中请重点关注不见面开标系统互动区消息，及时查阅，并根据消息提醒及时进行</w:t>
            </w:r>
            <w:r>
              <w:rPr>
                <w:rFonts w:hint="eastAsia" w:ascii="宋体" w:hAnsi="宋体" w:eastAsia="宋体" w:cs="宋体"/>
                <w:color w:val="000000" w:themeColor="text1"/>
                <w:sz w:val="21"/>
                <w:szCs w:val="21"/>
                <w:highlight w:val="none"/>
                <w:lang w:val="zh-CN" w:eastAsia="zh-CN"/>
                <w14:textFill>
                  <w14:solidFill>
                    <w14:schemeClr w14:val="tx1"/>
                  </w14:solidFill>
                </w14:textFill>
              </w:rPr>
              <w:t>响应文件</w:t>
            </w:r>
            <w:r>
              <w:rPr>
                <w:rFonts w:hint="eastAsia" w:ascii="宋体" w:hAnsi="宋体" w:eastAsia="宋体" w:cs="宋体"/>
                <w:color w:val="000000" w:themeColor="text1"/>
                <w:sz w:val="21"/>
                <w:szCs w:val="21"/>
                <w:highlight w:val="none"/>
                <w:lang w:val="zh-CN"/>
                <w14:textFill>
                  <w14:solidFill>
                    <w14:schemeClr w14:val="tx1"/>
                  </w14:solidFill>
                </w14:textFill>
              </w:rPr>
              <w:t>在线解密等操作。</w:t>
            </w:r>
          </w:p>
          <w:p w14:paraId="0577E5F3">
            <w:pPr>
              <w:keepNext w:val="0"/>
              <w:keepLines w:val="0"/>
              <w:pageBreakBefore w:val="0"/>
              <w:widowControl w:val="0"/>
              <w:kinsoku/>
              <w:wordWrap/>
              <w:overflowPunct/>
              <w:topLinePunct w:val="0"/>
              <w:autoSpaceDE/>
              <w:autoSpaceDN/>
              <w:bidi w:val="0"/>
              <w:adjustRightInd/>
              <w:snapToGrid/>
              <w:spacing w:line="0" w:lineRule="atLeast"/>
              <w:ind w:left="0" w:leftChars="0" w:firstLine="0" w:firstLineChars="0"/>
              <w:textAlignment w:val="auto"/>
              <w:outlineLvl w:val="9"/>
              <w:rPr>
                <w:rFonts w:hint="eastAsia" w:ascii="宋体" w:hAnsi="宋体" w:eastAsia="宋体" w:cs="宋体"/>
                <w:color w:val="000000" w:themeColor="text1"/>
                <w:sz w:val="21"/>
                <w:szCs w:val="21"/>
                <w:highlight w:val="none"/>
                <w:lang w:val="zh-CN"/>
                <w14:textFill>
                  <w14:solidFill>
                    <w14:schemeClr w14:val="tx1"/>
                  </w14:solidFill>
                </w14:textFill>
              </w:rPr>
            </w:pPr>
            <w:r>
              <w:rPr>
                <w:rFonts w:hint="eastAsia" w:ascii="宋体" w:hAnsi="宋体" w:eastAsia="宋体" w:cs="宋体"/>
                <w:color w:val="000000" w:themeColor="text1"/>
                <w:sz w:val="21"/>
                <w:szCs w:val="21"/>
                <w:highlight w:val="none"/>
                <w:lang w:val="zh-CN"/>
                <w14:textFill>
                  <w14:solidFill>
                    <w14:schemeClr w14:val="tx1"/>
                  </w14:solidFill>
                </w14:textFill>
              </w:rPr>
              <w:t>3.项目进入</w:t>
            </w:r>
            <w:r>
              <w:rPr>
                <w:rFonts w:hint="eastAsia" w:ascii="宋体" w:hAnsi="宋体" w:eastAsia="宋体" w:cs="宋体"/>
                <w:color w:val="000000" w:themeColor="text1"/>
                <w:sz w:val="21"/>
                <w:szCs w:val="21"/>
                <w:highlight w:val="none"/>
                <w:lang w:val="zh-CN" w:eastAsia="zh-CN"/>
                <w14:textFill>
                  <w14:solidFill>
                    <w14:schemeClr w14:val="tx1"/>
                  </w14:solidFill>
                </w14:textFill>
              </w:rPr>
              <w:t>响应文件</w:t>
            </w:r>
            <w:r>
              <w:rPr>
                <w:rFonts w:hint="eastAsia" w:ascii="宋体" w:hAnsi="宋体" w:eastAsia="宋体" w:cs="宋体"/>
                <w:color w:val="000000" w:themeColor="text1"/>
                <w:sz w:val="21"/>
                <w:szCs w:val="21"/>
                <w:highlight w:val="none"/>
                <w:lang w:val="zh-CN"/>
                <w14:textFill>
                  <w14:solidFill>
                    <w14:schemeClr w14:val="tx1"/>
                  </w14:solidFill>
                </w14:textFill>
              </w:rPr>
              <w:t>在线解密阶段后，须在</w:t>
            </w:r>
            <w:r>
              <w:rPr>
                <w:rFonts w:hint="eastAsia" w:ascii="宋体" w:hAnsi="宋体" w:eastAsia="宋体" w:cs="宋体"/>
                <w:color w:val="000000" w:themeColor="text1"/>
                <w:sz w:val="21"/>
                <w:szCs w:val="21"/>
                <w:highlight w:val="none"/>
                <w:lang w:val="zh-CN" w:eastAsia="zh-CN"/>
                <w14:textFill>
                  <w14:solidFill>
                    <w14:schemeClr w14:val="tx1"/>
                  </w14:solidFill>
                </w14:textFill>
              </w:rPr>
              <w:t>磋商文件</w:t>
            </w:r>
            <w:r>
              <w:rPr>
                <w:rFonts w:hint="eastAsia" w:ascii="宋体" w:hAnsi="宋体" w:eastAsia="宋体" w:cs="宋体"/>
                <w:color w:val="000000" w:themeColor="text1"/>
                <w:sz w:val="21"/>
                <w:szCs w:val="21"/>
                <w:highlight w:val="none"/>
                <w:lang w:val="zh-CN"/>
                <w14:textFill>
                  <w14:solidFill>
                    <w14:schemeClr w14:val="tx1"/>
                  </w14:solidFill>
                </w14:textFill>
              </w:rPr>
              <w:t>规定解密时间内使用相应的</w:t>
            </w:r>
            <w:r>
              <w:rPr>
                <w:rFonts w:hint="eastAsia" w:ascii="宋体" w:hAnsi="宋体" w:eastAsia="宋体" w:cs="宋体"/>
                <w:color w:val="000000" w:themeColor="text1"/>
                <w:sz w:val="21"/>
                <w:szCs w:val="21"/>
                <w:highlight w:val="none"/>
                <w:lang w:val="zh-CN" w:eastAsia="zh-CN"/>
                <w14:textFill>
                  <w14:solidFill>
                    <w14:schemeClr w14:val="tx1"/>
                  </w14:solidFill>
                </w14:textFill>
              </w:rPr>
              <w:t>响应文件</w:t>
            </w:r>
            <w:r>
              <w:rPr>
                <w:rFonts w:hint="eastAsia" w:ascii="宋体" w:hAnsi="宋体" w:eastAsia="宋体" w:cs="宋体"/>
                <w:color w:val="000000" w:themeColor="text1"/>
                <w:sz w:val="21"/>
                <w:szCs w:val="21"/>
                <w:highlight w:val="none"/>
                <w:lang w:val="zh-CN"/>
                <w14:textFill>
                  <w14:solidFill>
                    <w14:schemeClr w14:val="tx1"/>
                  </w14:solidFill>
                </w14:textFill>
              </w:rPr>
              <w:t xml:space="preserve"> CA 证书进行在线解密，否则将无法解密。</w:t>
            </w:r>
          </w:p>
          <w:p w14:paraId="226D036B">
            <w:pPr>
              <w:keepNext w:val="0"/>
              <w:keepLines w:val="0"/>
              <w:pageBreakBefore w:val="0"/>
              <w:widowControl w:val="0"/>
              <w:kinsoku/>
              <w:wordWrap/>
              <w:overflowPunct/>
              <w:topLinePunct w:val="0"/>
              <w:autoSpaceDE/>
              <w:autoSpaceDN/>
              <w:bidi w:val="0"/>
              <w:adjustRightInd/>
              <w:snapToGrid/>
              <w:spacing w:line="0" w:lineRule="atLeast"/>
              <w:ind w:left="0" w:leftChars="0" w:firstLine="0" w:firstLineChars="0"/>
              <w:textAlignment w:val="auto"/>
              <w:outlineLvl w:val="9"/>
              <w:rPr>
                <w:rFonts w:hint="eastAsia" w:ascii="宋体" w:hAnsi="宋体" w:eastAsia="宋体" w:cs="宋体"/>
                <w:color w:val="000000" w:themeColor="text1"/>
                <w:sz w:val="21"/>
                <w:szCs w:val="21"/>
                <w:highlight w:val="none"/>
                <w:lang w:val="zh-CN"/>
                <w14:textFill>
                  <w14:solidFill>
                    <w14:schemeClr w14:val="tx1"/>
                  </w14:solidFill>
                </w14:textFill>
              </w:rPr>
            </w:pPr>
            <w:r>
              <w:rPr>
                <w:rFonts w:hint="eastAsia" w:ascii="宋体" w:hAnsi="宋体" w:eastAsia="宋体" w:cs="宋体"/>
                <w:color w:val="000000" w:themeColor="text1"/>
                <w:sz w:val="21"/>
                <w:szCs w:val="21"/>
                <w:highlight w:val="none"/>
                <w:lang w:val="zh-CN"/>
                <w14:textFill>
                  <w14:solidFill>
                    <w14:schemeClr w14:val="tx1"/>
                  </w14:solidFill>
                </w14:textFill>
              </w:rPr>
              <w:t>四、技术支持</w:t>
            </w:r>
          </w:p>
          <w:p w14:paraId="739795AC">
            <w:pPr>
              <w:keepNext w:val="0"/>
              <w:keepLines w:val="0"/>
              <w:pageBreakBefore w:val="0"/>
              <w:widowControl w:val="0"/>
              <w:kinsoku/>
              <w:wordWrap/>
              <w:overflowPunct/>
              <w:topLinePunct w:val="0"/>
              <w:autoSpaceDE/>
              <w:autoSpaceDN/>
              <w:bidi w:val="0"/>
              <w:adjustRightInd/>
              <w:snapToGrid/>
              <w:spacing w:line="0" w:lineRule="atLeast"/>
              <w:ind w:left="0" w:leftChars="0" w:firstLine="0" w:firstLineChars="0"/>
              <w:textAlignment w:val="auto"/>
              <w:outlineLvl w:val="9"/>
              <w:rPr>
                <w:rFonts w:hint="eastAsia" w:ascii="宋体" w:hAnsi="宋体" w:eastAsia="宋体" w:cs="宋体"/>
                <w:color w:val="000000" w:themeColor="text1"/>
                <w:sz w:val="21"/>
                <w:szCs w:val="21"/>
                <w:highlight w:val="none"/>
                <w:lang w:val="zh-CN"/>
                <w14:textFill>
                  <w14:solidFill>
                    <w14:schemeClr w14:val="tx1"/>
                  </w14:solidFill>
                </w14:textFill>
              </w:rPr>
            </w:pPr>
            <w:r>
              <w:rPr>
                <w:rFonts w:hint="eastAsia" w:ascii="宋体" w:hAnsi="宋体" w:eastAsia="宋体" w:cs="宋体"/>
                <w:color w:val="000000" w:themeColor="text1"/>
                <w:sz w:val="21"/>
                <w:szCs w:val="21"/>
                <w:highlight w:val="none"/>
                <w:lang w:val="zh-CN"/>
                <w14:textFill>
                  <w14:solidFill>
                    <w14:schemeClr w14:val="tx1"/>
                  </w14:solidFill>
                </w14:textFill>
              </w:rPr>
              <w:t>1.若遇问题可联系工作人员，通过以下方式：可登录“政采云”平台，点击右侧咨询小采，获取采小蜜智能服务管家帮助，或拨打政采云服务热线95763 获取帮助。</w:t>
            </w:r>
          </w:p>
          <w:p w14:paraId="237EE249">
            <w:pPr>
              <w:keepNext w:val="0"/>
              <w:keepLines w:val="0"/>
              <w:pageBreakBefore w:val="0"/>
              <w:widowControl w:val="0"/>
              <w:kinsoku/>
              <w:wordWrap/>
              <w:overflowPunct/>
              <w:topLinePunct w:val="0"/>
              <w:autoSpaceDE/>
              <w:autoSpaceDN/>
              <w:bidi w:val="0"/>
              <w:adjustRightInd/>
              <w:snapToGrid/>
              <w:spacing w:line="0" w:lineRule="atLeast"/>
              <w:ind w:left="0" w:leftChars="0" w:firstLine="0" w:firstLineChars="0"/>
              <w:textAlignment w:val="auto"/>
              <w:outlineLvl w:val="9"/>
              <w:rPr>
                <w:rFonts w:hint="eastAsia" w:ascii="宋体" w:hAnsi="宋体" w:eastAsia="宋体" w:cs="宋体"/>
                <w:color w:val="000000" w:themeColor="text1"/>
                <w:sz w:val="21"/>
                <w:szCs w:val="21"/>
                <w:highlight w:val="none"/>
                <w:lang w:val="zh-CN"/>
                <w14:textFill>
                  <w14:solidFill>
                    <w14:schemeClr w14:val="tx1"/>
                  </w14:solidFill>
                </w14:textFill>
              </w:rPr>
            </w:pPr>
            <w:r>
              <w:rPr>
                <w:rFonts w:hint="eastAsia" w:ascii="宋体" w:hAnsi="宋体" w:eastAsia="宋体" w:cs="宋体"/>
                <w:color w:val="000000" w:themeColor="text1"/>
                <w:sz w:val="21"/>
                <w:szCs w:val="21"/>
                <w:highlight w:val="none"/>
                <w:lang w:val="zh-CN"/>
                <w14:textFill>
                  <w14:solidFill>
                    <w14:schemeClr w14:val="tx1"/>
                  </w14:solidFill>
                </w14:textFill>
              </w:rPr>
              <w:t>2.为更直观了解、掌握本系统使用方法，建议在具体项目开标前先行浏览本系统相关操作手册，可在本系统登录界面的操作手册页面进行下载、查看。</w:t>
            </w:r>
          </w:p>
          <w:p w14:paraId="0BA4E837">
            <w:pPr>
              <w:keepNext w:val="0"/>
              <w:keepLines w:val="0"/>
              <w:pageBreakBefore w:val="0"/>
              <w:widowControl w:val="0"/>
              <w:kinsoku/>
              <w:wordWrap/>
              <w:overflowPunct/>
              <w:topLinePunct w:val="0"/>
              <w:autoSpaceDE/>
              <w:autoSpaceDN/>
              <w:bidi w:val="0"/>
              <w:adjustRightInd/>
              <w:snapToGrid/>
              <w:spacing w:line="0" w:lineRule="atLeast"/>
              <w:ind w:left="0" w:leftChars="0" w:firstLine="0" w:firstLineChars="0"/>
              <w:textAlignment w:val="auto"/>
              <w:outlineLvl w:val="9"/>
              <w:rPr>
                <w:rFonts w:hint="eastAsia" w:ascii="宋体" w:hAnsi="宋体" w:eastAsia="宋体" w:cs="宋体"/>
                <w:color w:val="000000" w:themeColor="text1"/>
                <w:sz w:val="21"/>
                <w:szCs w:val="21"/>
                <w:highlight w:val="none"/>
                <w:lang w:val="en-US" w:eastAsia="zh-CN"/>
                <w14:textFill>
                  <w14:solidFill>
                    <w14:schemeClr w14:val="tx1"/>
                  </w14:solidFill>
                </w14:textFill>
              </w:rPr>
            </w:pPr>
            <w:r>
              <w:rPr>
                <w:rFonts w:hint="eastAsia" w:ascii="宋体" w:hAnsi="宋体" w:eastAsia="宋体" w:cs="宋体"/>
                <w:color w:val="000000" w:themeColor="text1"/>
                <w:sz w:val="21"/>
                <w:szCs w:val="21"/>
                <w:highlight w:val="none"/>
                <w:lang w:val="zh-CN"/>
                <w14:textFill>
                  <w14:solidFill>
                    <w14:schemeClr w14:val="tx1"/>
                  </w14:solidFill>
                </w14:textFill>
              </w:rPr>
              <w:t>3.关于后续相关常见问题及注意事项，请及时关注政府采购云平台（网址：http:// www.zcygov.cn）。</w:t>
            </w:r>
          </w:p>
        </w:tc>
      </w:tr>
      <w:tr w14:paraId="093294C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995" w:type="dxa"/>
            <w:tcBorders>
              <w:top w:val="single" w:color="auto" w:sz="4" w:space="0"/>
            </w:tcBorders>
            <w:vAlign w:val="center"/>
          </w:tcPr>
          <w:p w14:paraId="13459F9B">
            <w:pPr>
              <w:overflowPunct/>
              <w:bidi w:val="0"/>
              <w:spacing w:line="400" w:lineRule="exact"/>
              <w:jc w:val="center"/>
              <w:outlineLvl w:val="9"/>
              <w:rPr>
                <w:rFonts w:hint="default" w:ascii="宋体" w:hAnsi="宋体"/>
                <w:color w:val="000000" w:themeColor="text1"/>
                <w:szCs w:val="21"/>
                <w:highlight w:val="none"/>
                <w:lang w:val="en-US"/>
                <w14:textFill>
                  <w14:solidFill>
                    <w14:schemeClr w14:val="tx1"/>
                  </w14:solidFill>
                </w14:textFill>
              </w:rPr>
            </w:pPr>
            <w:r>
              <w:rPr>
                <w:rFonts w:hint="eastAsia"/>
                <w:color w:val="000000" w:themeColor="text1"/>
                <w:highlight w:val="none"/>
                <w14:textFill>
                  <w14:solidFill>
                    <w14:schemeClr w14:val="tx1"/>
                  </w14:solidFill>
                </w14:textFill>
              </w:rPr>
              <w:t>10.</w:t>
            </w:r>
            <w:r>
              <w:rPr>
                <w:rFonts w:hint="eastAsia"/>
                <w:color w:val="000000" w:themeColor="text1"/>
                <w:highlight w:val="none"/>
                <w:lang w:val="en-US" w:eastAsia="zh-CN"/>
                <w14:textFill>
                  <w14:solidFill>
                    <w14:schemeClr w14:val="tx1"/>
                  </w14:solidFill>
                </w14:textFill>
              </w:rPr>
              <w:t>7</w:t>
            </w:r>
          </w:p>
        </w:tc>
        <w:tc>
          <w:tcPr>
            <w:tcW w:w="2095" w:type="dxa"/>
            <w:tcBorders>
              <w:top w:val="single" w:color="auto" w:sz="4" w:space="0"/>
            </w:tcBorders>
            <w:vAlign w:val="center"/>
          </w:tcPr>
          <w:p w14:paraId="75AE161C">
            <w:pPr>
              <w:overflowPunct/>
              <w:bidi w:val="0"/>
              <w:spacing w:line="400" w:lineRule="exact"/>
              <w:jc w:val="center"/>
              <w:outlineLvl w:val="9"/>
              <w:rPr>
                <w:rFonts w:ascii="Times New Roman" w:hAnsi="Times New Roman" w:eastAsia="宋体" w:cs="Times New Roman"/>
                <w:color w:val="000000" w:themeColor="text1"/>
                <w:kern w:val="2"/>
                <w:sz w:val="21"/>
                <w:szCs w:val="24"/>
                <w:highlight w:val="none"/>
                <w:lang w:val="en-US" w:eastAsia="zh-CN" w:bidi="ar-SA"/>
                <w14:textFill>
                  <w14:solidFill>
                    <w14:schemeClr w14:val="tx1"/>
                  </w14:solidFill>
                </w14:textFill>
              </w:rPr>
            </w:pPr>
            <w:r>
              <w:rPr>
                <w:rFonts w:hint="eastAsia"/>
                <w:color w:val="000000" w:themeColor="text1"/>
                <w:highlight w:val="none"/>
                <w14:textFill>
                  <w14:solidFill>
                    <w14:schemeClr w14:val="tx1"/>
                  </w14:solidFill>
                </w14:textFill>
              </w:rPr>
              <w:t>解释权</w:t>
            </w:r>
          </w:p>
        </w:tc>
        <w:tc>
          <w:tcPr>
            <w:tcW w:w="6675" w:type="dxa"/>
            <w:tcBorders>
              <w:top w:val="single" w:color="auto" w:sz="4" w:space="0"/>
            </w:tcBorders>
            <w:vAlign w:val="center"/>
          </w:tcPr>
          <w:p w14:paraId="49077698">
            <w:pPr>
              <w:keepNext w:val="0"/>
              <w:keepLines w:val="0"/>
              <w:pageBreakBefore w:val="0"/>
              <w:widowControl w:val="0"/>
              <w:kinsoku/>
              <w:wordWrap/>
              <w:overflowPunct/>
              <w:topLinePunct w:val="0"/>
              <w:autoSpaceDE/>
              <w:autoSpaceDN/>
              <w:bidi w:val="0"/>
              <w:adjustRightInd/>
              <w:snapToGrid/>
              <w:spacing w:line="0" w:lineRule="atLeast"/>
              <w:ind w:left="0" w:leftChars="0" w:firstLine="0" w:firstLineChars="0"/>
              <w:textAlignment w:val="auto"/>
              <w:outlineLvl w:val="9"/>
              <w:rPr>
                <w:rFonts w:hint="eastAsia" w:ascii="宋体" w:hAnsi="宋体" w:eastAsia="宋体" w:cs="宋体"/>
                <w:color w:val="000000" w:themeColor="text1"/>
                <w:sz w:val="21"/>
                <w:szCs w:val="21"/>
                <w:highlight w:val="none"/>
                <w:lang w:val="en-US" w:eastAsia="zh-CN"/>
                <w14:textFill>
                  <w14:solidFill>
                    <w14:schemeClr w14:val="tx1"/>
                  </w14:solidFill>
                </w14:textFill>
              </w:rPr>
            </w:pPr>
            <w:r>
              <w:rPr>
                <w:rFonts w:hint="eastAsia" w:ascii="宋体" w:hAnsi="宋体" w:eastAsia="宋体" w:cs="宋体"/>
                <w:color w:val="000000" w:themeColor="text1"/>
                <w:sz w:val="21"/>
                <w:szCs w:val="21"/>
                <w:highlight w:val="none"/>
                <w:lang w:val="en-US" w:eastAsia="zh-CN"/>
                <w14:textFill>
                  <w14:solidFill>
                    <w14:schemeClr w14:val="tx1"/>
                  </w14:solidFill>
                </w14:textFill>
              </w:rPr>
              <w:t>构成本磋商文件的各个组成文件应互为解释，互为说明；如有不明确或不一致，构成合同文件组成内容的，以合同文件约定内容为准，且以专用合同条款约定的合同文件优先顺序解释；除磋商文件中有特别规定外，仅适用于招标投标阶段的规定，按磋商公告（投标邀请书）、</w:t>
            </w:r>
            <w:r>
              <w:rPr>
                <w:rFonts w:hint="eastAsia" w:ascii="宋体" w:hAnsi="宋体" w:cs="宋体"/>
                <w:color w:val="000000" w:themeColor="text1"/>
                <w:sz w:val="21"/>
                <w:szCs w:val="21"/>
                <w:highlight w:val="none"/>
                <w:lang w:val="en-US" w:eastAsia="zh-CN"/>
                <w14:textFill>
                  <w14:solidFill>
                    <w14:schemeClr w14:val="tx1"/>
                  </w14:solidFill>
                </w14:textFill>
              </w:rPr>
              <w:t>供应商</w:t>
            </w:r>
            <w:r>
              <w:rPr>
                <w:rFonts w:hint="eastAsia" w:ascii="宋体" w:hAnsi="宋体" w:eastAsia="宋体" w:cs="宋体"/>
                <w:color w:val="000000" w:themeColor="text1"/>
                <w:sz w:val="21"/>
                <w:szCs w:val="21"/>
                <w:highlight w:val="none"/>
                <w:lang w:val="en-US" w:eastAsia="zh-CN"/>
                <w14:textFill>
                  <w14:solidFill>
                    <w14:schemeClr w14:val="tx1"/>
                  </w14:solidFill>
                </w14:textFill>
              </w:rPr>
              <w:t>须知、评审办法、响应文件格式的先后顺序解释；同一组成文件中就同一事项的规定或约定不一致的，以编排顺序在后者为准；同一组成文件不同版本之间有不一致的，以形成时间在后者为准。按本款前述规定仍不能形成结论的，由采购人负责解释。</w:t>
            </w:r>
          </w:p>
        </w:tc>
      </w:tr>
    </w:tbl>
    <w:p w14:paraId="41938451">
      <w:pPr>
        <w:overflowPunct/>
        <w:bidi w:val="0"/>
        <w:outlineLvl w:val="9"/>
        <w:rPr>
          <w:rFonts w:ascii="宋体" w:hAnsi="宋体"/>
          <w:color w:val="000000" w:themeColor="text1"/>
          <w:highlight w:val="none"/>
          <w14:textFill>
            <w14:solidFill>
              <w14:schemeClr w14:val="tx1"/>
            </w14:solidFill>
          </w14:textFill>
        </w:rPr>
      </w:pPr>
      <w:r>
        <w:rPr>
          <w:rFonts w:ascii="黑体"/>
          <w:color w:val="000000" w:themeColor="text1"/>
          <w:sz w:val="28"/>
          <w:szCs w:val="28"/>
          <w:highlight w:val="none"/>
          <w14:textFill>
            <w14:solidFill>
              <w14:schemeClr w14:val="tx1"/>
            </w14:solidFill>
          </w14:textFill>
        </w:rPr>
        <w:br w:type="page"/>
      </w:r>
      <w:bookmarkEnd w:id="23"/>
      <w:bookmarkEnd w:id="24"/>
      <w:r>
        <w:rPr>
          <w:rFonts w:hint="eastAsia" w:ascii="宋体" w:hAnsi="宋体"/>
          <w:color w:val="000000" w:themeColor="text1"/>
          <w:highlight w:val="none"/>
          <w14:textFill>
            <w14:solidFill>
              <w14:schemeClr w14:val="tx1"/>
            </w14:solidFill>
          </w14:textFill>
        </w:rPr>
        <w:t>1 ．总则</w:t>
      </w:r>
      <w:bookmarkEnd w:id="25"/>
    </w:p>
    <w:p w14:paraId="3123A570">
      <w:pPr>
        <w:overflowPunct/>
        <w:bidi w:val="0"/>
        <w:outlineLvl w:val="9"/>
        <w:rPr>
          <w:rFonts w:ascii="宋体" w:hAnsi="宋体" w:eastAsia="宋体"/>
          <w:color w:val="000000" w:themeColor="text1"/>
          <w:highlight w:val="none"/>
          <w14:textFill>
            <w14:solidFill>
              <w14:schemeClr w14:val="tx1"/>
            </w14:solidFill>
          </w14:textFill>
        </w:rPr>
      </w:pPr>
      <w:r>
        <w:rPr>
          <w:rFonts w:hint="eastAsia" w:ascii="宋体" w:hAnsi="宋体" w:eastAsia="宋体"/>
          <w:color w:val="000000" w:themeColor="text1"/>
          <w:highlight w:val="none"/>
          <w14:textFill>
            <w14:solidFill>
              <w14:schemeClr w14:val="tx1"/>
            </w14:solidFill>
          </w14:textFill>
        </w:rPr>
        <w:t>1.1 项目概况</w:t>
      </w:r>
    </w:p>
    <w:p w14:paraId="7428EF25">
      <w:pPr>
        <w:overflowPunct/>
        <w:bidi w:val="0"/>
        <w:spacing w:line="360" w:lineRule="auto"/>
        <w:ind w:firstLine="420" w:firstLineChars="200"/>
        <w:outlineLvl w:val="9"/>
        <w:rPr>
          <w:rFonts w:ascii="宋体" w:hAnsi="宋体"/>
          <w:color w:val="000000" w:themeColor="text1"/>
          <w:szCs w:val="21"/>
          <w:highlight w:val="none"/>
          <w14:textFill>
            <w14:solidFill>
              <w14:schemeClr w14:val="tx1"/>
            </w14:solidFill>
          </w14:textFill>
        </w:rPr>
      </w:pPr>
      <w:r>
        <w:rPr>
          <w:rFonts w:hint="eastAsia" w:ascii="宋体" w:hAnsi="宋体"/>
          <w:color w:val="000000" w:themeColor="text1"/>
          <w:szCs w:val="21"/>
          <w:highlight w:val="none"/>
          <w14:textFill>
            <w14:solidFill>
              <w14:schemeClr w14:val="tx1"/>
            </w14:solidFill>
          </w14:textFill>
        </w:rPr>
        <w:t xml:space="preserve">1.1.1 </w:t>
      </w:r>
      <w:r>
        <w:rPr>
          <w:rFonts w:hint="eastAsia" w:ascii="宋体" w:hAnsi="宋体"/>
          <w:color w:val="000000" w:themeColor="text1"/>
          <w:szCs w:val="21"/>
          <w:highlight w:val="none"/>
          <w:lang w:eastAsia="zh-CN"/>
          <w14:textFill>
            <w14:solidFill>
              <w14:schemeClr w14:val="tx1"/>
            </w14:solidFill>
          </w14:textFill>
        </w:rPr>
        <w:t>根据</w:t>
      </w:r>
      <w:r>
        <w:rPr>
          <w:rFonts w:hint="eastAsia" w:ascii="宋体" w:hAnsi="宋体"/>
          <w:color w:val="000000" w:themeColor="text1"/>
          <w:szCs w:val="21"/>
          <w:highlight w:val="none"/>
          <w:lang w:val="zh-CN" w:eastAsia="zh-CN"/>
          <w14:textFill>
            <w14:solidFill>
              <w14:schemeClr w14:val="tx1"/>
            </w14:solidFill>
          </w14:textFill>
        </w:rPr>
        <w:t>《中华人民共和国政府采购法》、《中华人民共和国政府采购法实施条例》、《政府采购竞争性磋商采购方式管理暂行办法》</w:t>
      </w:r>
      <w:r>
        <w:rPr>
          <w:rFonts w:hint="eastAsia" w:ascii="宋体" w:hAnsi="宋体"/>
          <w:color w:val="000000" w:themeColor="text1"/>
          <w:szCs w:val="21"/>
          <w:highlight w:val="none"/>
          <w:lang w:eastAsia="zh-CN"/>
          <w14:textFill>
            <w14:solidFill>
              <w14:schemeClr w14:val="tx1"/>
            </w14:solidFill>
          </w14:textFill>
        </w:rPr>
        <w:t>等有关法律、法规和规章的规定，本采购项目已具备磋商条件</w:t>
      </w:r>
      <w:r>
        <w:rPr>
          <w:rFonts w:hint="eastAsia" w:ascii="宋体" w:hAnsi="宋体"/>
          <w:color w:val="000000" w:themeColor="text1"/>
          <w:szCs w:val="21"/>
          <w:highlight w:val="none"/>
          <w14:textFill>
            <w14:solidFill>
              <w14:schemeClr w14:val="tx1"/>
            </w14:solidFill>
          </w14:textFill>
        </w:rPr>
        <w:t>，现对本项目进行竞争性磋商。</w:t>
      </w:r>
    </w:p>
    <w:p w14:paraId="2BE50D5E">
      <w:pPr>
        <w:overflowPunct/>
        <w:bidi w:val="0"/>
        <w:spacing w:line="360" w:lineRule="auto"/>
        <w:ind w:firstLine="420" w:firstLineChars="200"/>
        <w:outlineLvl w:val="9"/>
        <w:rPr>
          <w:rFonts w:ascii="宋体" w:hAnsi="宋体"/>
          <w:color w:val="000000" w:themeColor="text1"/>
          <w:szCs w:val="21"/>
          <w:highlight w:val="none"/>
          <w14:textFill>
            <w14:solidFill>
              <w14:schemeClr w14:val="tx1"/>
            </w14:solidFill>
          </w14:textFill>
        </w:rPr>
      </w:pPr>
      <w:r>
        <w:rPr>
          <w:rFonts w:hint="eastAsia" w:ascii="宋体" w:hAnsi="宋体"/>
          <w:color w:val="000000" w:themeColor="text1"/>
          <w:szCs w:val="21"/>
          <w:highlight w:val="none"/>
          <w14:textFill>
            <w14:solidFill>
              <w14:schemeClr w14:val="tx1"/>
            </w14:solidFill>
          </w14:textFill>
        </w:rPr>
        <w:t>1.1.2 本项目采购人：见</w:t>
      </w:r>
      <w:r>
        <w:rPr>
          <w:rFonts w:hint="eastAsia" w:ascii="宋体" w:hAnsi="宋体"/>
          <w:color w:val="000000" w:themeColor="text1"/>
          <w:szCs w:val="21"/>
          <w:highlight w:val="none"/>
          <w:lang w:eastAsia="zh-CN"/>
          <w14:textFill>
            <w14:solidFill>
              <w14:schemeClr w14:val="tx1"/>
            </w14:solidFill>
          </w14:textFill>
        </w:rPr>
        <w:t>供应商</w:t>
      </w:r>
      <w:r>
        <w:rPr>
          <w:rFonts w:hint="eastAsia" w:ascii="宋体" w:hAnsi="宋体"/>
          <w:color w:val="000000" w:themeColor="text1"/>
          <w:szCs w:val="21"/>
          <w:highlight w:val="none"/>
          <w14:textFill>
            <w14:solidFill>
              <w14:schemeClr w14:val="tx1"/>
            </w14:solidFill>
          </w14:textFill>
        </w:rPr>
        <w:t>须知前附表。</w:t>
      </w:r>
    </w:p>
    <w:p w14:paraId="01279D80">
      <w:pPr>
        <w:overflowPunct/>
        <w:bidi w:val="0"/>
        <w:spacing w:line="360" w:lineRule="auto"/>
        <w:ind w:firstLine="420" w:firstLineChars="200"/>
        <w:outlineLvl w:val="9"/>
        <w:rPr>
          <w:rFonts w:ascii="宋体" w:hAnsi="宋体"/>
          <w:color w:val="000000" w:themeColor="text1"/>
          <w:szCs w:val="21"/>
          <w:highlight w:val="none"/>
          <w14:textFill>
            <w14:solidFill>
              <w14:schemeClr w14:val="tx1"/>
            </w14:solidFill>
          </w14:textFill>
        </w:rPr>
      </w:pPr>
      <w:r>
        <w:rPr>
          <w:rFonts w:hint="eastAsia" w:ascii="宋体" w:hAnsi="宋体"/>
          <w:color w:val="000000" w:themeColor="text1"/>
          <w:szCs w:val="21"/>
          <w:highlight w:val="none"/>
          <w14:textFill>
            <w14:solidFill>
              <w14:schemeClr w14:val="tx1"/>
            </w14:solidFill>
          </w14:textFill>
        </w:rPr>
        <w:t>1.1.3 本项目采购代理机构：见</w:t>
      </w:r>
      <w:r>
        <w:rPr>
          <w:rFonts w:hint="eastAsia" w:ascii="宋体" w:hAnsi="宋体"/>
          <w:color w:val="000000" w:themeColor="text1"/>
          <w:szCs w:val="21"/>
          <w:highlight w:val="none"/>
          <w:lang w:eastAsia="zh-CN"/>
          <w14:textFill>
            <w14:solidFill>
              <w14:schemeClr w14:val="tx1"/>
            </w14:solidFill>
          </w14:textFill>
        </w:rPr>
        <w:t>供应商</w:t>
      </w:r>
      <w:r>
        <w:rPr>
          <w:rFonts w:hint="eastAsia" w:ascii="宋体" w:hAnsi="宋体"/>
          <w:color w:val="000000" w:themeColor="text1"/>
          <w:szCs w:val="21"/>
          <w:highlight w:val="none"/>
          <w14:textFill>
            <w14:solidFill>
              <w14:schemeClr w14:val="tx1"/>
            </w14:solidFill>
          </w14:textFill>
        </w:rPr>
        <w:t>须知前附表。</w:t>
      </w:r>
    </w:p>
    <w:p w14:paraId="5D71796F">
      <w:pPr>
        <w:overflowPunct/>
        <w:bidi w:val="0"/>
        <w:spacing w:line="360" w:lineRule="auto"/>
        <w:ind w:firstLine="420" w:firstLineChars="200"/>
        <w:outlineLvl w:val="9"/>
        <w:rPr>
          <w:rFonts w:ascii="宋体" w:hAnsi="宋体"/>
          <w:color w:val="000000" w:themeColor="text1"/>
          <w:szCs w:val="21"/>
          <w:highlight w:val="none"/>
          <w14:textFill>
            <w14:solidFill>
              <w14:schemeClr w14:val="tx1"/>
            </w14:solidFill>
          </w14:textFill>
        </w:rPr>
      </w:pPr>
      <w:r>
        <w:rPr>
          <w:rFonts w:hint="eastAsia" w:ascii="宋体" w:hAnsi="宋体"/>
          <w:color w:val="000000" w:themeColor="text1"/>
          <w:szCs w:val="21"/>
          <w:highlight w:val="none"/>
          <w14:textFill>
            <w14:solidFill>
              <w14:schemeClr w14:val="tx1"/>
            </w14:solidFill>
          </w14:textFill>
        </w:rPr>
        <w:t>1.1.4 本项目采购项目名称：见</w:t>
      </w:r>
      <w:r>
        <w:rPr>
          <w:rFonts w:hint="eastAsia" w:ascii="宋体" w:hAnsi="宋体"/>
          <w:color w:val="000000" w:themeColor="text1"/>
          <w:szCs w:val="21"/>
          <w:highlight w:val="none"/>
          <w:lang w:eastAsia="zh-CN"/>
          <w14:textFill>
            <w14:solidFill>
              <w14:schemeClr w14:val="tx1"/>
            </w14:solidFill>
          </w14:textFill>
        </w:rPr>
        <w:t>供应商</w:t>
      </w:r>
      <w:r>
        <w:rPr>
          <w:rFonts w:hint="eastAsia" w:ascii="宋体" w:hAnsi="宋体"/>
          <w:color w:val="000000" w:themeColor="text1"/>
          <w:szCs w:val="21"/>
          <w:highlight w:val="none"/>
          <w14:textFill>
            <w14:solidFill>
              <w14:schemeClr w14:val="tx1"/>
            </w14:solidFill>
          </w14:textFill>
        </w:rPr>
        <w:t>须知前附表。</w:t>
      </w:r>
    </w:p>
    <w:p w14:paraId="3B5BD184">
      <w:pPr>
        <w:overflowPunct/>
        <w:bidi w:val="0"/>
        <w:spacing w:line="360" w:lineRule="auto"/>
        <w:ind w:firstLine="420" w:firstLineChars="200"/>
        <w:outlineLvl w:val="9"/>
        <w:rPr>
          <w:rFonts w:ascii="宋体" w:hAnsi="宋体"/>
          <w:color w:val="000000" w:themeColor="text1"/>
          <w:szCs w:val="21"/>
          <w:highlight w:val="none"/>
          <w14:textFill>
            <w14:solidFill>
              <w14:schemeClr w14:val="tx1"/>
            </w14:solidFill>
          </w14:textFill>
        </w:rPr>
      </w:pPr>
      <w:r>
        <w:rPr>
          <w:rFonts w:hint="eastAsia" w:ascii="宋体" w:hAnsi="宋体"/>
          <w:color w:val="000000" w:themeColor="text1"/>
          <w:szCs w:val="21"/>
          <w:highlight w:val="none"/>
          <w14:textFill>
            <w14:solidFill>
              <w14:schemeClr w14:val="tx1"/>
            </w14:solidFill>
          </w14:textFill>
        </w:rPr>
        <w:t>1.1.5 本项目</w:t>
      </w:r>
      <w:r>
        <w:rPr>
          <w:rFonts w:hint="eastAsia" w:ascii="宋体" w:hAnsi="宋体"/>
          <w:color w:val="000000" w:themeColor="text1"/>
          <w:szCs w:val="21"/>
          <w:highlight w:val="none"/>
          <w:lang w:val="en-US" w:eastAsia="zh-CN"/>
          <w14:textFill>
            <w14:solidFill>
              <w14:schemeClr w14:val="tx1"/>
            </w14:solidFill>
          </w14:textFill>
        </w:rPr>
        <w:t>供货</w:t>
      </w:r>
      <w:r>
        <w:rPr>
          <w:rFonts w:hint="eastAsia" w:ascii="宋体" w:hAnsi="宋体"/>
          <w:color w:val="000000" w:themeColor="text1"/>
          <w:szCs w:val="21"/>
          <w:highlight w:val="none"/>
          <w14:textFill>
            <w14:solidFill>
              <w14:schemeClr w14:val="tx1"/>
            </w14:solidFill>
          </w14:textFill>
        </w:rPr>
        <w:t>地点：见</w:t>
      </w:r>
      <w:r>
        <w:rPr>
          <w:rFonts w:hint="eastAsia" w:ascii="宋体" w:hAnsi="宋体"/>
          <w:color w:val="000000" w:themeColor="text1"/>
          <w:szCs w:val="21"/>
          <w:highlight w:val="none"/>
          <w:lang w:eastAsia="zh-CN"/>
          <w14:textFill>
            <w14:solidFill>
              <w14:schemeClr w14:val="tx1"/>
            </w14:solidFill>
          </w14:textFill>
        </w:rPr>
        <w:t>供应商</w:t>
      </w:r>
      <w:r>
        <w:rPr>
          <w:rFonts w:hint="eastAsia" w:ascii="宋体" w:hAnsi="宋体"/>
          <w:color w:val="000000" w:themeColor="text1"/>
          <w:szCs w:val="21"/>
          <w:highlight w:val="none"/>
          <w14:textFill>
            <w14:solidFill>
              <w14:schemeClr w14:val="tx1"/>
            </w14:solidFill>
          </w14:textFill>
        </w:rPr>
        <w:t>须知前附表。</w:t>
      </w:r>
    </w:p>
    <w:p w14:paraId="6380AD6C">
      <w:pPr>
        <w:overflowPunct/>
        <w:bidi w:val="0"/>
        <w:outlineLvl w:val="9"/>
        <w:rPr>
          <w:rFonts w:ascii="宋体" w:hAnsi="宋体" w:eastAsia="宋体"/>
          <w:color w:val="000000" w:themeColor="text1"/>
          <w:highlight w:val="none"/>
          <w14:textFill>
            <w14:solidFill>
              <w14:schemeClr w14:val="tx1"/>
            </w14:solidFill>
          </w14:textFill>
        </w:rPr>
      </w:pPr>
      <w:r>
        <w:rPr>
          <w:rFonts w:hint="eastAsia" w:ascii="宋体" w:hAnsi="宋体" w:eastAsia="宋体"/>
          <w:color w:val="000000" w:themeColor="text1"/>
          <w:highlight w:val="none"/>
          <w14:textFill>
            <w14:solidFill>
              <w14:schemeClr w14:val="tx1"/>
            </w14:solidFill>
          </w14:textFill>
        </w:rPr>
        <w:t>1.2 资金来源和落实情况</w:t>
      </w:r>
    </w:p>
    <w:p w14:paraId="39C8EE6F">
      <w:pPr>
        <w:overflowPunct/>
        <w:bidi w:val="0"/>
        <w:spacing w:line="360" w:lineRule="auto"/>
        <w:ind w:firstLine="420" w:firstLineChars="200"/>
        <w:outlineLvl w:val="9"/>
        <w:rPr>
          <w:rFonts w:ascii="宋体" w:hAnsi="宋体"/>
          <w:color w:val="000000" w:themeColor="text1"/>
          <w:szCs w:val="21"/>
          <w:highlight w:val="none"/>
          <w14:textFill>
            <w14:solidFill>
              <w14:schemeClr w14:val="tx1"/>
            </w14:solidFill>
          </w14:textFill>
        </w:rPr>
      </w:pPr>
      <w:r>
        <w:rPr>
          <w:rFonts w:hint="eastAsia" w:ascii="宋体" w:hAnsi="宋体"/>
          <w:color w:val="000000" w:themeColor="text1"/>
          <w:szCs w:val="21"/>
          <w:highlight w:val="none"/>
          <w14:textFill>
            <w14:solidFill>
              <w14:schemeClr w14:val="tx1"/>
            </w14:solidFill>
          </w14:textFill>
        </w:rPr>
        <w:t>1.2.1 本采购项目的资金来源：见</w:t>
      </w:r>
      <w:r>
        <w:rPr>
          <w:rFonts w:hint="eastAsia" w:ascii="宋体" w:hAnsi="宋体"/>
          <w:color w:val="000000" w:themeColor="text1"/>
          <w:szCs w:val="21"/>
          <w:highlight w:val="none"/>
          <w:lang w:eastAsia="zh-CN"/>
          <w14:textFill>
            <w14:solidFill>
              <w14:schemeClr w14:val="tx1"/>
            </w14:solidFill>
          </w14:textFill>
        </w:rPr>
        <w:t>供应商</w:t>
      </w:r>
      <w:r>
        <w:rPr>
          <w:rFonts w:hint="eastAsia" w:ascii="宋体" w:hAnsi="宋体"/>
          <w:color w:val="000000" w:themeColor="text1"/>
          <w:szCs w:val="21"/>
          <w:highlight w:val="none"/>
          <w14:textFill>
            <w14:solidFill>
              <w14:schemeClr w14:val="tx1"/>
            </w14:solidFill>
          </w14:textFill>
        </w:rPr>
        <w:t>须知前附表。</w:t>
      </w:r>
    </w:p>
    <w:p w14:paraId="040817A5">
      <w:pPr>
        <w:overflowPunct/>
        <w:bidi w:val="0"/>
        <w:spacing w:line="360" w:lineRule="auto"/>
        <w:ind w:firstLine="420" w:firstLineChars="200"/>
        <w:outlineLvl w:val="9"/>
        <w:rPr>
          <w:rFonts w:ascii="宋体" w:hAnsi="宋体"/>
          <w:color w:val="000000" w:themeColor="text1"/>
          <w:szCs w:val="21"/>
          <w:highlight w:val="none"/>
          <w14:textFill>
            <w14:solidFill>
              <w14:schemeClr w14:val="tx1"/>
            </w14:solidFill>
          </w14:textFill>
        </w:rPr>
      </w:pPr>
      <w:r>
        <w:rPr>
          <w:rFonts w:hint="eastAsia" w:ascii="宋体" w:hAnsi="宋体"/>
          <w:color w:val="000000" w:themeColor="text1"/>
          <w:szCs w:val="21"/>
          <w:highlight w:val="none"/>
          <w14:textFill>
            <w14:solidFill>
              <w14:schemeClr w14:val="tx1"/>
            </w14:solidFill>
          </w14:textFill>
        </w:rPr>
        <w:t>1.2.2 本采购项目的出资比例：见</w:t>
      </w:r>
      <w:r>
        <w:rPr>
          <w:rFonts w:hint="eastAsia" w:ascii="宋体" w:hAnsi="宋体"/>
          <w:color w:val="000000" w:themeColor="text1"/>
          <w:szCs w:val="21"/>
          <w:highlight w:val="none"/>
          <w:lang w:eastAsia="zh-CN"/>
          <w14:textFill>
            <w14:solidFill>
              <w14:schemeClr w14:val="tx1"/>
            </w14:solidFill>
          </w14:textFill>
        </w:rPr>
        <w:t>供应商</w:t>
      </w:r>
      <w:r>
        <w:rPr>
          <w:rFonts w:hint="eastAsia" w:ascii="宋体" w:hAnsi="宋体"/>
          <w:color w:val="000000" w:themeColor="text1"/>
          <w:szCs w:val="21"/>
          <w:highlight w:val="none"/>
          <w14:textFill>
            <w14:solidFill>
              <w14:schemeClr w14:val="tx1"/>
            </w14:solidFill>
          </w14:textFill>
        </w:rPr>
        <w:t>须知前附表。</w:t>
      </w:r>
    </w:p>
    <w:p w14:paraId="1820266D">
      <w:pPr>
        <w:overflowPunct/>
        <w:bidi w:val="0"/>
        <w:spacing w:line="360" w:lineRule="auto"/>
        <w:ind w:firstLine="420" w:firstLineChars="200"/>
        <w:outlineLvl w:val="9"/>
        <w:rPr>
          <w:rFonts w:ascii="宋体" w:hAnsi="宋体"/>
          <w:color w:val="000000" w:themeColor="text1"/>
          <w:szCs w:val="21"/>
          <w:highlight w:val="none"/>
          <w14:textFill>
            <w14:solidFill>
              <w14:schemeClr w14:val="tx1"/>
            </w14:solidFill>
          </w14:textFill>
        </w:rPr>
      </w:pPr>
      <w:r>
        <w:rPr>
          <w:rFonts w:hint="eastAsia" w:ascii="宋体" w:hAnsi="宋体"/>
          <w:color w:val="000000" w:themeColor="text1"/>
          <w:szCs w:val="21"/>
          <w:highlight w:val="none"/>
          <w14:textFill>
            <w14:solidFill>
              <w14:schemeClr w14:val="tx1"/>
            </w14:solidFill>
          </w14:textFill>
        </w:rPr>
        <w:t>1.2.3 本采购项目的资金落实情况：见</w:t>
      </w:r>
      <w:r>
        <w:rPr>
          <w:rFonts w:hint="eastAsia" w:ascii="宋体" w:hAnsi="宋体"/>
          <w:color w:val="000000" w:themeColor="text1"/>
          <w:szCs w:val="21"/>
          <w:highlight w:val="none"/>
          <w:lang w:eastAsia="zh-CN"/>
          <w14:textFill>
            <w14:solidFill>
              <w14:schemeClr w14:val="tx1"/>
            </w14:solidFill>
          </w14:textFill>
        </w:rPr>
        <w:t>供应商</w:t>
      </w:r>
      <w:r>
        <w:rPr>
          <w:rFonts w:hint="eastAsia" w:ascii="宋体" w:hAnsi="宋体"/>
          <w:color w:val="000000" w:themeColor="text1"/>
          <w:szCs w:val="21"/>
          <w:highlight w:val="none"/>
          <w14:textFill>
            <w14:solidFill>
              <w14:schemeClr w14:val="tx1"/>
            </w14:solidFill>
          </w14:textFill>
        </w:rPr>
        <w:t>须知前附表。</w:t>
      </w:r>
    </w:p>
    <w:p w14:paraId="0155CC80">
      <w:pPr>
        <w:overflowPunct/>
        <w:bidi w:val="0"/>
        <w:outlineLvl w:val="9"/>
        <w:rPr>
          <w:rFonts w:ascii="宋体" w:hAnsi="宋体" w:eastAsia="宋体"/>
          <w:color w:val="000000" w:themeColor="text1"/>
          <w:highlight w:val="none"/>
          <w14:textFill>
            <w14:solidFill>
              <w14:schemeClr w14:val="tx1"/>
            </w14:solidFill>
          </w14:textFill>
        </w:rPr>
      </w:pPr>
      <w:r>
        <w:rPr>
          <w:rFonts w:hint="eastAsia" w:ascii="宋体" w:hAnsi="宋体" w:eastAsia="宋体"/>
          <w:color w:val="000000" w:themeColor="text1"/>
          <w:highlight w:val="none"/>
          <w14:textFill>
            <w14:solidFill>
              <w14:schemeClr w14:val="tx1"/>
            </w14:solidFill>
          </w14:textFill>
        </w:rPr>
        <w:t xml:space="preserve">1.3 </w:t>
      </w:r>
      <w:r>
        <w:rPr>
          <w:rFonts w:hint="eastAsia" w:ascii="宋体" w:hAnsi="宋体" w:eastAsia="宋体"/>
          <w:color w:val="000000" w:themeColor="text1"/>
          <w:highlight w:val="none"/>
          <w:lang w:val="en-US" w:eastAsia="zh-CN"/>
          <w14:textFill>
            <w14:solidFill>
              <w14:schemeClr w14:val="tx1"/>
            </w14:solidFill>
          </w14:textFill>
        </w:rPr>
        <w:t>采购</w:t>
      </w:r>
      <w:r>
        <w:rPr>
          <w:rFonts w:hint="eastAsia" w:ascii="宋体" w:hAnsi="宋体" w:eastAsia="宋体"/>
          <w:color w:val="000000" w:themeColor="text1"/>
          <w:highlight w:val="none"/>
          <w14:textFill>
            <w14:solidFill>
              <w14:schemeClr w14:val="tx1"/>
            </w14:solidFill>
          </w14:textFill>
        </w:rPr>
        <w:t>范围、</w:t>
      </w:r>
      <w:r>
        <w:rPr>
          <w:rFonts w:hint="eastAsia" w:ascii="宋体" w:hAnsi="宋体" w:eastAsia="宋体"/>
          <w:color w:val="000000" w:themeColor="text1"/>
          <w:highlight w:val="none"/>
          <w:lang w:val="en-US" w:eastAsia="zh-CN"/>
          <w14:textFill>
            <w14:solidFill>
              <w14:schemeClr w14:val="tx1"/>
            </w14:solidFill>
          </w14:textFill>
        </w:rPr>
        <w:t>供货期限</w:t>
      </w:r>
      <w:r>
        <w:rPr>
          <w:rFonts w:hint="eastAsia" w:ascii="宋体" w:hAnsi="宋体" w:eastAsia="宋体"/>
          <w:color w:val="000000" w:themeColor="text1"/>
          <w:highlight w:val="none"/>
          <w14:textFill>
            <w14:solidFill>
              <w14:schemeClr w14:val="tx1"/>
            </w14:solidFill>
          </w14:textFill>
        </w:rPr>
        <w:t>和质量标准</w:t>
      </w:r>
    </w:p>
    <w:p w14:paraId="4ABB9537">
      <w:pPr>
        <w:overflowPunct/>
        <w:bidi w:val="0"/>
        <w:spacing w:line="360" w:lineRule="auto"/>
        <w:ind w:firstLine="420" w:firstLineChars="200"/>
        <w:outlineLvl w:val="9"/>
        <w:rPr>
          <w:rFonts w:ascii="宋体" w:hAnsi="宋体"/>
          <w:color w:val="000000" w:themeColor="text1"/>
          <w:szCs w:val="21"/>
          <w:highlight w:val="none"/>
          <w14:textFill>
            <w14:solidFill>
              <w14:schemeClr w14:val="tx1"/>
            </w14:solidFill>
          </w14:textFill>
        </w:rPr>
      </w:pPr>
      <w:r>
        <w:rPr>
          <w:rFonts w:hint="eastAsia" w:ascii="宋体" w:hAnsi="宋体"/>
          <w:color w:val="000000" w:themeColor="text1"/>
          <w:szCs w:val="21"/>
          <w:highlight w:val="none"/>
          <w14:textFill>
            <w14:solidFill>
              <w14:schemeClr w14:val="tx1"/>
            </w14:solidFill>
          </w14:textFill>
        </w:rPr>
        <w:t>1.3.1 本项目</w:t>
      </w:r>
      <w:r>
        <w:rPr>
          <w:rFonts w:hint="eastAsia" w:ascii="宋体" w:hAnsi="宋体"/>
          <w:color w:val="000000" w:themeColor="text1"/>
          <w:szCs w:val="21"/>
          <w:highlight w:val="none"/>
          <w:lang w:val="en-US" w:eastAsia="zh-CN"/>
          <w14:textFill>
            <w14:solidFill>
              <w14:schemeClr w14:val="tx1"/>
            </w14:solidFill>
          </w14:textFill>
        </w:rPr>
        <w:t>采购内容</w:t>
      </w:r>
      <w:r>
        <w:rPr>
          <w:rFonts w:hint="eastAsia" w:ascii="宋体" w:hAnsi="宋体"/>
          <w:color w:val="000000" w:themeColor="text1"/>
          <w:szCs w:val="21"/>
          <w:highlight w:val="none"/>
          <w14:textFill>
            <w14:solidFill>
              <w14:schemeClr w14:val="tx1"/>
            </w14:solidFill>
          </w14:textFill>
        </w:rPr>
        <w:t>：见</w:t>
      </w:r>
      <w:r>
        <w:rPr>
          <w:rFonts w:hint="eastAsia" w:ascii="宋体" w:hAnsi="宋体"/>
          <w:color w:val="000000" w:themeColor="text1"/>
          <w:szCs w:val="21"/>
          <w:highlight w:val="none"/>
          <w:lang w:eastAsia="zh-CN"/>
          <w14:textFill>
            <w14:solidFill>
              <w14:schemeClr w14:val="tx1"/>
            </w14:solidFill>
          </w14:textFill>
        </w:rPr>
        <w:t>供应商</w:t>
      </w:r>
      <w:r>
        <w:rPr>
          <w:rFonts w:hint="eastAsia" w:ascii="宋体" w:hAnsi="宋体"/>
          <w:color w:val="000000" w:themeColor="text1"/>
          <w:szCs w:val="21"/>
          <w:highlight w:val="none"/>
          <w14:textFill>
            <w14:solidFill>
              <w14:schemeClr w14:val="tx1"/>
            </w14:solidFill>
          </w14:textFill>
        </w:rPr>
        <w:t>须知前附表。</w:t>
      </w:r>
    </w:p>
    <w:p w14:paraId="493A9C29">
      <w:pPr>
        <w:overflowPunct/>
        <w:bidi w:val="0"/>
        <w:spacing w:line="360" w:lineRule="auto"/>
        <w:ind w:firstLine="420" w:firstLineChars="200"/>
        <w:outlineLvl w:val="9"/>
        <w:rPr>
          <w:rFonts w:ascii="宋体" w:hAnsi="宋体"/>
          <w:color w:val="000000" w:themeColor="text1"/>
          <w:szCs w:val="21"/>
          <w:highlight w:val="none"/>
          <w14:textFill>
            <w14:solidFill>
              <w14:schemeClr w14:val="tx1"/>
            </w14:solidFill>
          </w14:textFill>
        </w:rPr>
      </w:pPr>
      <w:r>
        <w:rPr>
          <w:rFonts w:hint="eastAsia" w:ascii="宋体" w:hAnsi="宋体"/>
          <w:color w:val="000000" w:themeColor="text1"/>
          <w:szCs w:val="21"/>
          <w:highlight w:val="none"/>
          <w14:textFill>
            <w14:solidFill>
              <w14:schemeClr w14:val="tx1"/>
            </w14:solidFill>
          </w14:textFill>
        </w:rPr>
        <w:t>1.3.2 本项目</w:t>
      </w:r>
      <w:r>
        <w:rPr>
          <w:rFonts w:hint="eastAsia" w:ascii="宋体" w:hAnsi="宋体"/>
          <w:color w:val="000000" w:themeColor="text1"/>
          <w:szCs w:val="21"/>
          <w:highlight w:val="none"/>
          <w:lang w:val="en-US" w:eastAsia="zh-CN"/>
          <w14:textFill>
            <w14:solidFill>
              <w14:schemeClr w14:val="tx1"/>
            </w14:solidFill>
          </w14:textFill>
        </w:rPr>
        <w:t>供货期限</w:t>
      </w:r>
      <w:r>
        <w:rPr>
          <w:rFonts w:hint="eastAsia" w:ascii="宋体" w:hAnsi="宋体"/>
          <w:color w:val="000000" w:themeColor="text1"/>
          <w:szCs w:val="21"/>
          <w:highlight w:val="none"/>
          <w14:textFill>
            <w14:solidFill>
              <w14:schemeClr w14:val="tx1"/>
            </w14:solidFill>
          </w14:textFill>
        </w:rPr>
        <w:t>：见</w:t>
      </w:r>
      <w:r>
        <w:rPr>
          <w:rFonts w:hint="eastAsia" w:ascii="宋体" w:hAnsi="宋体"/>
          <w:color w:val="000000" w:themeColor="text1"/>
          <w:szCs w:val="21"/>
          <w:highlight w:val="none"/>
          <w:lang w:eastAsia="zh-CN"/>
          <w14:textFill>
            <w14:solidFill>
              <w14:schemeClr w14:val="tx1"/>
            </w14:solidFill>
          </w14:textFill>
        </w:rPr>
        <w:t>供应商</w:t>
      </w:r>
      <w:r>
        <w:rPr>
          <w:rFonts w:hint="eastAsia" w:ascii="宋体" w:hAnsi="宋体"/>
          <w:color w:val="000000" w:themeColor="text1"/>
          <w:szCs w:val="21"/>
          <w:highlight w:val="none"/>
          <w14:textFill>
            <w14:solidFill>
              <w14:schemeClr w14:val="tx1"/>
            </w14:solidFill>
          </w14:textFill>
        </w:rPr>
        <w:t>须知前附表。</w:t>
      </w:r>
    </w:p>
    <w:p w14:paraId="1BDD6C53">
      <w:pPr>
        <w:overflowPunct/>
        <w:bidi w:val="0"/>
        <w:spacing w:line="360" w:lineRule="auto"/>
        <w:ind w:firstLine="420" w:firstLineChars="200"/>
        <w:outlineLvl w:val="9"/>
        <w:rPr>
          <w:rFonts w:ascii="宋体" w:hAnsi="宋体"/>
          <w:color w:val="000000" w:themeColor="text1"/>
          <w:szCs w:val="21"/>
          <w:highlight w:val="none"/>
          <w14:textFill>
            <w14:solidFill>
              <w14:schemeClr w14:val="tx1"/>
            </w14:solidFill>
          </w14:textFill>
        </w:rPr>
      </w:pPr>
      <w:r>
        <w:rPr>
          <w:rFonts w:hint="eastAsia" w:ascii="宋体" w:hAnsi="宋体"/>
          <w:color w:val="000000" w:themeColor="text1"/>
          <w:szCs w:val="21"/>
          <w:highlight w:val="none"/>
          <w14:textFill>
            <w14:solidFill>
              <w14:schemeClr w14:val="tx1"/>
            </w14:solidFill>
          </w14:textFill>
        </w:rPr>
        <w:t>1.3.3 本项目的质量标准：见</w:t>
      </w:r>
      <w:r>
        <w:rPr>
          <w:rFonts w:hint="eastAsia" w:ascii="宋体" w:hAnsi="宋体"/>
          <w:color w:val="000000" w:themeColor="text1"/>
          <w:szCs w:val="21"/>
          <w:highlight w:val="none"/>
          <w:lang w:eastAsia="zh-CN"/>
          <w14:textFill>
            <w14:solidFill>
              <w14:schemeClr w14:val="tx1"/>
            </w14:solidFill>
          </w14:textFill>
        </w:rPr>
        <w:t>供应商</w:t>
      </w:r>
      <w:r>
        <w:rPr>
          <w:rFonts w:hint="eastAsia" w:ascii="宋体" w:hAnsi="宋体"/>
          <w:color w:val="000000" w:themeColor="text1"/>
          <w:szCs w:val="21"/>
          <w:highlight w:val="none"/>
          <w14:textFill>
            <w14:solidFill>
              <w14:schemeClr w14:val="tx1"/>
            </w14:solidFill>
          </w14:textFill>
        </w:rPr>
        <w:t>须知前附表。</w:t>
      </w:r>
    </w:p>
    <w:p w14:paraId="62B53F9F">
      <w:pPr>
        <w:overflowPunct/>
        <w:bidi w:val="0"/>
        <w:outlineLvl w:val="9"/>
        <w:rPr>
          <w:rFonts w:ascii="宋体" w:hAnsi="宋体" w:eastAsia="宋体"/>
          <w:color w:val="000000" w:themeColor="text1"/>
          <w:highlight w:val="none"/>
          <w14:textFill>
            <w14:solidFill>
              <w14:schemeClr w14:val="tx1"/>
            </w14:solidFill>
          </w14:textFill>
        </w:rPr>
      </w:pPr>
      <w:r>
        <w:rPr>
          <w:rFonts w:hint="eastAsia" w:ascii="宋体" w:hAnsi="宋体" w:eastAsia="宋体"/>
          <w:color w:val="000000" w:themeColor="text1"/>
          <w:highlight w:val="none"/>
          <w14:textFill>
            <w14:solidFill>
              <w14:schemeClr w14:val="tx1"/>
            </w14:solidFill>
          </w14:textFill>
        </w:rPr>
        <w:t xml:space="preserve">1.4 </w:t>
      </w:r>
      <w:r>
        <w:rPr>
          <w:rFonts w:hint="eastAsia" w:ascii="宋体" w:hAnsi="宋体" w:eastAsia="宋体"/>
          <w:color w:val="000000" w:themeColor="text1"/>
          <w:highlight w:val="none"/>
          <w:lang w:eastAsia="zh-CN"/>
          <w14:textFill>
            <w14:solidFill>
              <w14:schemeClr w14:val="tx1"/>
            </w14:solidFill>
          </w14:textFill>
        </w:rPr>
        <w:t>供应商</w:t>
      </w:r>
      <w:r>
        <w:rPr>
          <w:rFonts w:hint="eastAsia" w:ascii="宋体" w:hAnsi="宋体" w:eastAsia="宋体"/>
          <w:color w:val="000000" w:themeColor="text1"/>
          <w:highlight w:val="none"/>
          <w14:textFill>
            <w14:solidFill>
              <w14:schemeClr w14:val="tx1"/>
            </w14:solidFill>
          </w14:textFill>
        </w:rPr>
        <w:t>资格要求</w:t>
      </w:r>
    </w:p>
    <w:p w14:paraId="41DD9D2B">
      <w:pPr>
        <w:overflowPunct/>
        <w:bidi w:val="0"/>
        <w:spacing w:line="360" w:lineRule="auto"/>
        <w:ind w:firstLine="420" w:firstLineChars="200"/>
        <w:outlineLvl w:val="9"/>
        <w:rPr>
          <w:rFonts w:ascii="宋体" w:hAnsi="宋体"/>
          <w:color w:val="000000" w:themeColor="text1"/>
          <w:szCs w:val="21"/>
          <w:highlight w:val="none"/>
          <w14:textFill>
            <w14:solidFill>
              <w14:schemeClr w14:val="tx1"/>
            </w14:solidFill>
          </w14:textFill>
        </w:rPr>
      </w:pPr>
      <w:r>
        <w:rPr>
          <w:rFonts w:hint="eastAsia" w:ascii="宋体" w:hAnsi="宋体"/>
          <w:color w:val="000000" w:themeColor="text1"/>
          <w:szCs w:val="21"/>
          <w:highlight w:val="none"/>
          <w14:textFill>
            <w14:solidFill>
              <w14:schemeClr w14:val="tx1"/>
            </w14:solidFill>
          </w14:textFill>
        </w:rPr>
        <w:t xml:space="preserve">1.4.1 </w:t>
      </w:r>
      <w:r>
        <w:rPr>
          <w:rFonts w:hint="eastAsia" w:ascii="宋体" w:hAnsi="宋体"/>
          <w:color w:val="000000" w:themeColor="text1"/>
          <w:szCs w:val="21"/>
          <w:highlight w:val="none"/>
          <w:lang w:eastAsia="zh-CN"/>
          <w14:textFill>
            <w14:solidFill>
              <w14:schemeClr w14:val="tx1"/>
            </w14:solidFill>
          </w14:textFill>
        </w:rPr>
        <w:t>供应商</w:t>
      </w:r>
      <w:r>
        <w:rPr>
          <w:rFonts w:hint="eastAsia" w:ascii="宋体" w:hAnsi="宋体"/>
          <w:color w:val="000000" w:themeColor="text1"/>
          <w:szCs w:val="21"/>
          <w:highlight w:val="none"/>
          <w14:textFill>
            <w14:solidFill>
              <w14:schemeClr w14:val="tx1"/>
            </w14:solidFill>
          </w14:textFill>
        </w:rPr>
        <w:t>应具备承担本标段的资质条件、能力和信誉。</w:t>
      </w:r>
    </w:p>
    <w:p w14:paraId="15F6584F">
      <w:pPr>
        <w:overflowPunct/>
        <w:bidi w:val="0"/>
        <w:spacing w:line="360" w:lineRule="auto"/>
        <w:ind w:firstLine="420" w:firstLineChars="200"/>
        <w:outlineLvl w:val="9"/>
        <w:rPr>
          <w:rFonts w:ascii="宋体" w:hAnsi="宋体"/>
          <w:color w:val="000000" w:themeColor="text1"/>
          <w:szCs w:val="21"/>
          <w:highlight w:val="none"/>
          <w14:textFill>
            <w14:solidFill>
              <w14:schemeClr w14:val="tx1"/>
            </w14:solidFill>
          </w14:textFill>
        </w:rPr>
      </w:pPr>
      <w:r>
        <w:rPr>
          <w:rFonts w:hint="eastAsia" w:ascii="宋体" w:hAnsi="宋体"/>
          <w:color w:val="000000" w:themeColor="text1"/>
          <w:szCs w:val="21"/>
          <w:highlight w:val="none"/>
          <w14:textFill>
            <w14:solidFill>
              <w14:schemeClr w14:val="tx1"/>
            </w14:solidFill>
          </w14:textFill>
        </w:rPr>
        <w:t>见</w:t>
      </w:r>
      <w:r>
        <w:rPr>
          <w:rFonts w:hint="eastAsia" w:ascii="宋体" w:hAnsi="宋体"/>
          <w:color w:val="000000" w:themeColor="text1"/>
          <w:szCs w:val="21"/>
          <w:highlight w:val="none"/>
          <w:lang w:eastAsia="zh-CN"/>
          <w14:textFill>
            <w14:solidFill>
              <w14:schemeClr w14:val="tx1"/>
            </w14:solidFill>
          </w14:textFill>
        </w:rPr>
        <w:t>供应商</w:t>
      </w:r>
      <w:r>
        <w:rPr>
          <w:rFonts w:hint="eastAsia" w:ascii="宋体" w:hAnsi="宋体"/>
          <w:color w:val="000000" w:themeColor="text1"/>
          <w:szCs w:val="21"/>
          <w:highlight w:val="none"/>
          <w14:textFill>
            <w14:solidFill>
              <w14:schemeClr w14:val="tx1"/>
            </w14:solidFill>
          </w14:textFill>
        </w:rPr>
        <w:t>须知前附表。</w:t>
      </w:r>
    </w:p>
    <w:p w14:paraId="63552224">
      <w:pPr>
        <w:overflowPunct/>
        <w:bidi w:val="0"/>
        <w:spacing w:line="360" w:lineRule="auto"/>
        <w:ind w:firstLine="420" w:firstLineChars="200"/>
        <w:outlineLvl w:val="9"/>
        <w:rPr>
          <w:rFonts w:hint="eastAsia" w:ascii="宋体" w:hAnsi="宋体" w:eastAsia="宋体" w:cs="Times New Roman"/>
          <w:color w:val="000000" w:themeColor="text1"/>
          <w:szCs w:val="21"/>
          <w:highlight w:val="none"/>
          <w14:textFill>
            <w14:solidFill>
              <w14:schemeClr w14:val="tx1"/>
            </w14:solidFill>
          </w14:textFill>
        </w:rPr>
      </w:pPr>
      <w:r>
        <w:rPr>
          <w:rFonts w:hint="eastAsia" w:ascii="宋体" w:hAnsi="宋体"/>
          <w:color w:val="000000" w:themeColor="text1"/>
          <w:szCs w:val="21"/>
          <w:highlight w:val="none"/>
          <w14:textFill>
            <w14:solidFill>
              <w14:schemeClr w14:val="tx1"/>
            </w14:solidFill>
          </w14:textFill>
        </w:rPr>
        <w:t>1.4</w:t>
      </w:r>
      <w:r>
        <w:rPr>
          <w:rFonts w:hint="eastAsia" w:ascii="宋体" w:hAnsi="宋体" w:eastAsia="宋体" w:cs="Times New Roman"/>
          <w:color w:val="000000" w:themeColor="text1"/>
          <w:szCs w:val="21"/>
          <w:highlight w:val="none"/>
          <w14:textFill>
            <w14:solidFill>
              <w14:schemeClr w14:val="tx1"/>
            </w14:solidFill>
          </w14:textFill>
        </w:rPr>
        <w:t xml:space="preserve">.2 </w:t>
      </w:r>
      <w:r>
        <w:rPr>
          <w:rFonts w:hint="eastAsia" w:ascii="宋体" w:hAnsi="宋体" w:eastAsia="宋体" w:cs="Times New Roman"/>
          <w:color w:val="000000" w:themeColor="text1"/>
          <w:szCs w:val="21"/>
          <w:highlight w:val="none"/>
          <w:lang w:eastAsia="zh-CN"/>
          <w14:textFill>
            <w14:solidFill>
              <w14:schemeClr w14:val="tx1"/>
            </w14:solidFill>
          </w14:textFill>
        </w:rPr>
        <w:t>供应商</w:t>
      </w:r>
      <w:r>
        <w:rPr>
          <w:rFonts w:hint="eastAsia" w:ascii="宋体" w:hAnsi="宋体" w:eastAsia="宋体" w:cs="Times New Roman"/>
          <w:color w:val="000000" w:themeColor="text1"/>
          <w:szCs w:val="21"/>
          <w:highlight w:val="none"/>
          <w14:textFill>
            <w14:solidFill>
              <w14:schemeClr w14:val="tx1"/>
            </w14:solidFill>
          </w14:textFill>
        </w:rPr>
        <w:t>须知前附表规定接受联合体投标的，除应符合本章第1.4.1项和</w:t>
      </w:r>
      <w:r>
        <w:rPr>
          <w:rFonts w:hint="eastAsia" w:ascii="宋体" w:hAnsi="宋体" w:eastAsia="宋体" w:cs="Times New Roman"/>
          <w:color w:val="000000" w:themeColor="text1"/>
          <w:szCs w:val="21"/>
          <w:highlight w:val="none"/>
          <w:lang w:eastAsia="zh-CN"/>
          <w14:textFill>
            <w14:solidFill>
              <w14:schemeClr w14:val="tx1"/>
            </w14:solidFill>
          </w14:textFill>
        </w:rPr>
        <w:t>供应商</w:t>
      </w:r>
      <w:r>
        <w:rPr>
          <w:rFonts w:hint="eastAsia" w:ascii="宋体" w:hAnsi="宋体" w:eastAsia="宋体" w:cs="Times New Roman"/>
          <w:color w:val="000000" w:themeColor="text1"/>
          <w:szCs w:val="21"/>
          <w:highlight w:val="none"/>
          <w14:textFill>
            <w14:solidFill>
              <w14:schemeClr w14:val="tx1"/>
            </w14:solidFill>
          </w14:textFill>
        </w:rPr>
        <w:t>须知前附表的要求外，还应遵守以下规定：</w:t>
      </w:r>
    </w:p>
    <w:p w14:paraId="3BAA77A1">
      <w:pPr>
        <w:overflowPunct/>
        <w:bidi w:val="0"/>
        <w:spacing w:line="360" w:lineRule="auto"/>
        <w:ind w:firstLine="420" w:firstLineChars="200"/>
        <w:outlineLvl w:val="9"/>
        <w:rPr>
          <w:rFonts w:hint="eastAsia" w:ascii="宋体" w:hAnsi="宋体" w:eastAsia="宋体" w:cs="Times New Roman"/>
          <w:color w:val="000000" w:themeColor="text1"/>
          <w:szCs w:val="21"/>
          <w:highlight w:val="none"/>
          <w14:textFill>
            <w14:solidFill>
              <w14:schemeClr w14:val="tx1"/>
            </w14:solidFill>
          </w14:textFill>
        </w:rPr>
      </w:pPr>
      <w:r>
        <w:rPr>
          <w:rFonts w:hint="eastAsia" w:ascii="宋体" w:hAnsi="宋体" w:eastAsia="宋体" w:cs="Times New Roman"/>
          <w:color w:val="000000" w:themeColor="text1"/>
          <w:szCs w:val="21"/>
          <w:highlight w:val="none"/>
          <w14:textFill>
            <w14:solidFill>
              <w14:schemeClr w14:val="tx1"/>
            </w14:solidFill>
          </w14:textFill>
        </w:rPr>
        <w:t>(1）联合体各方应按磋商文件提供的格式签订联合体协议书，明确联合体牵头人和各方权利义务；</w:t>
      </w:r>
    </w:p>
    <w:p w14:paraId="36BAE4B2">
      <w:pPr>
        <w:overflowPunct/>
        <w:bidi w:val="0"/>
        <w:spacing w:line="360" w:lineRule="auto"/>
        <w:ind w:firstLine="420" w:firstLineChars="200"/>
        <w:outlineLvl w:val="9"/>
        <w:rPr>
          <w:rFonts w:hint="eastAsia" w:ascii="宋体" w:hAnsi="宋体" w:eastAsia="宋体" w:cs="Times New Roman"/>
          <w:color w:val="000000" w:themeColor="text1"/>
          <w:szCs w:val="21"/>
          <w:highlight w:val="none"/>
          <w14:textFill>
            <w14:solidFill>
              <w14:schemeClr w14:val="tx1"/>
            </w14:solidFill>
          </w14:textFill>
        </w:rPr>
      </w:pPr>
      <w:r>
        <w:rPr>
          <w:rFonts w:hint="eastAsia" w:ascii="宋体" w:hAnsi="宋体" w:eastAsia="宋体" w:cs="Times New Roman"/>
          <w:color w:val="000000" w:themeColor="text1"/>
          <w:szCs w:val="21"/>
          <w:highlight w:val="none"/>
          <w14:textFill>
            <w14:solidFill>
              <w14:schemeClr w14:val="tx1"/>
            </w14:solidFill>
          </w14:textFill>
        </w:rPr>
        <w:t>(2）由同一专业的单位组成的联合体，按照资质等级较低的单位确定资质等级；</w:t>
      </w:r>
    </w:p>
    <w:p w14:paraId="2A006E5D">
      <w:pPr>
        <w:overflowPunct/>
        <w:bidi w:val="0"/>
        <w:spacing w:line="360" w:lineRule="auto"/>
        <w:ind w:firstLine="420" w:firstLineChars="200"/>
        <w:outlineLvl w:val="9"/>
        <w:rPr>
          <w:rFonts w:hint="eastAsia" w:ascii="宋体" w:hAnsi="宋体" w:eastAsia="宋体" w:cs="Times New Roman"/>
          <w:color w:val="000000" w:themeColor="text1"/>
          <w:szCs w:val="21"/>
          <w:highlight w:val="none"/>
          <w14:textFill>
            <w14:solidFill>
              <w14:schemeClr w14:val="tx1"/>
            </w14:solidFill>
          </w14:textFill>
        </w:rPr>
      </w:pPr>
      <w:r>
        <w:rPr>
          <w:rFonts w:hint="eastAsia" w:ascii="宋体" w:hAnsi="宋体" w:eastAsia="宋体" w:cs="Times New Roman"/>
          <w:color w:val="000000" w:themeColor="text1"/>
          <w:szCs w:val="21"/>
          <w:highlight w:val="none"/>
          <w14:textFill>
            <w14:solidFill>
              <w14:schemeClr w14:val="tx1"/>
            </w14:solidFill>
          </w14:textFill>
        </w:rPr>
        <w:t>(3）联合体各方不得再以自己名义单独或参加其他联合体在同一标段中投标。</w:t>
      </w:r>
    </w:p>
    <w:p w14:paraId="3A1419ED">
      <w:pPr>
        <w:overflowPunct/>
        <w:bidi w:val="0"/>
        <w:spacing w:line="360" w:lineRule="auto"/>
        <w:ind w:firstLine="420" w:firstLineChars="200"/>
        <w:outlineLvl w:val="9"/>
        <w:rPr>
          <w:rFonts w:ascii="宋体" w:hAnsi="宋体"/>
          <w:color w:val="000000" w:themeColor="text1"/>
          <w:szCs w:val="21"/>
          <w:highlight w:val="none"/>
          <w14:textFill>
            <w14:solidFill>
              <w14:schemeClr w14:val="tx1"/>
            </w14:solidFill>
          </w14:textFill>
        </w:rPr>
      </w:pPr>
      <w:r>
        <w:rPr>
          <w:rFonts w:hint="eastAsia" w:ascii="宋体" w:hAnsi="宋体"/>
          <w:color w:val="000000" w:themeColor="text1"/>
          <w:szCs w:val="21"/>
          <w:highlight w:val="none"/>
          <w14:textFill>
            <w14:solidFill>
              <w14:schemeClr w14:val="tx1"/>
            </w14:solidFill>
          </w14:textFill>
        </w:rPr>
        <w:t xml:space="preserve">1.4.3 </w:t>
      </w:r>
      <w:r>
        <w:rPr>
          <w:rFonts w:hint="eastAsia" w:ascii="宋体" w:hAnsi="宋体"/>
          <w:color w:val="000000" w:themeColor="text1"/>
          <w:szCs w:val="21"/>
          <w:highlight w:val="none"/>
          <w:lang w:eastAsia="zh-CN"/>
          <w14:textFill>
            <w14:solidFill>
              <w14:schemeClr w14:val="tx1"/>
            </w14:solidFill>
          </w14:textFill>
        </w:rPr>
        <w:t>供应商</w:t>
      </w:r>
      <w:r>
        <w:rPr>
          <w:rFonts w:hint="eastAsia" w:ascii="宋体" w:hAnsi="宋体"/>
          <w:color w:val="000000" w:themeColor="text1"/>
          <w:szCs w:val="21"/>
          <w:highlight w:val="none"/>
          <w14:textFill>
            <w14:solidFill>
              <w14:schemeClr w14:val="tx1"/>
            </w14:solidFill>
          </w14:textFill>
        </w:rPr>
        <w:t>不得存在下列情形之一：</w:t>
      </w:r>
    </w:p>
    <w:p w14:paraId="4C0A8C0D">
      <w:pPr>
        <w:overflowPunct/>
        <w:bidi w:val="0"/>
        <w:spacing w:line="360" w:lineRule="auto"/>
        <w:ind w:right="105" w:rightChars="50" w:firstLine="420" w:firstLineChars="200"/>
        <w:outlineLvl w:val="9"/>
        <w:rPr>
          <w:rFonts w:ascii="宋体" w:hAnsi="宋体" w:cs="宋体"/>
          <w:color w:val="000000" w:themeColor="text1"/>
          <w:szCs w:val="21"/>
          <w:highlight w:val="none"/>
          <w14:textFill>
            <w14:solidFill>
              <w14:schemeClr w14:val="tx1"/>
            </w14:solidFill>
          </w14:textFill>
        </w:rPr>
      </w:pPr>
      <w:r>
        <w:rPr>
          <w:rFonts w:ascii="宋体" w:hAnsi="宋体" w:cs="宋体"/>
          <w:color w:val="000000" w:themeColor="text1"/>
          <w:szCs w:val="21"/>
          <w:highlight w:val="none"/>
          <w14:textFill>
            <w14:solidFill>
              <w14:schemeClr w14:val="tx1"/>
            </w14:solidFill>
          </w14:textFill>
        </w:rPr>
        <w:t>(1)为</w:t>
      </w:r>
      <w:r>
        <w:rPr>
          <w:rFonts w:hint="eastAsia" w:ascii="宋体" w:hAnsi="宋体" w:cs="宋体"/>
          <w:color w:val="000000" w:themeColor="text1"/>
          <w:szCs w:val="21"/>
          <w:highlight w:val="none"/>
          <w14:textFill>
            <w14:solidFill>
              <w14:schemeClr w14:val="tx1"/>
            </w14:solidFill>
          </w14:textFill>
        </w:rPr>
        <w:t>采购人</w:t>
      </w:r>
      <w:r>
        <w:rPr>
          <w:rFonts w:ascii="宋体" w:hAnsi="宋体" w:cs="宋体"/>
          <w:color w:val="000000" w:themeColor="text1"/>
          <w:szCs w:val="21"/>
          <w:highlight w:val="none"/>
          <w14:textFill>
            <w14:solidFill>
              <w14:schemeClr w14:val="tx1"/>
            </w14:solidFill>
          </w14:textFill>
        </w:rPr>
        <w:t>不具有独立法人资格的附属机构(单位)；</w:t>
      </w:r>
    </w:p>
    <w:p w14:paraId="0E4277BA">
      <w:pPr>
        <w:overflowPunct/>
        <w:bidi w:val="0"/>
        <w:spacing w:line="360" w:lineRule="auto"/>
        <w:ind w:right="105" w:rightChars="50" w:firstLine="420" w:firstLineChars="200"/>
        <w:outlineLvl w:val="9"/>
        <w:rPr>
          <w:rFonts w:hint="eastAsia"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 xml:space="preserve"> </w:t>
      </w:r>
      <w:r>
        <w:rPr>
          <w:rFonts w:ascii="宋体" w:hAnsi="宋体" w:cs="宋体"/>
          <w:color w:val="000000" w:themeColor="text1"/>
          <w:szCs w:val="21"/>
          <w:highlight w:val="none"/>
          <w14:textFill>
            <w14:solidFill>
              <w14:schemeClr w14:val="tx1"/>
            </w14:solidFill>
          </w14:textFill>
        </w:rPr>
        <w:t>(2)被责令停业的；</w:t>
      </w:r>
    </w:p>
    <w:p w14:paraId="222EFA01">
      <w:pPr>
        <w:overflowPunct/>
        <w:bidi w:val="0"/>
        <w:spacing w:line="360" w:lineRule="auto"/>
        <w:ind w:right="105" w:rightChars="50" w:firstLine="420" w:firstLineChars="200"/>
        <w:outlineLvl w:val="9"/>
        <w:rPr>
          <w:rFonts w:ascii="宋体" w:hAnsi="宋体" w:cs="宋体"/>
          <w:color w:val="000000" w:themeColor="text1"/>
          <w:szCs w:val="21"/>
          <w:highlight w:val="none"/>
          <w14:textFill>
            <w14:solidFill>
              <w14:schemeClr w14:val="tx1"/>
            </w14:solidFill>
          </w14:textFill>
        </w:rPr>
      </w:pPr>
      <w:r>
        <w:rPr>
          <w:rFonts w:ascii="宋体" w:hAnsi="宋体" w:cs="宋体"/>
          <w:color w:val="000000" w:themeColor="text1"/>
          <w:szCs w:val="21"/>
          <w:highlight w:val="none"/>
          <w14:textFill>
            <w14:solidFill>
              <w14:schemeClr w14:val="tx1"/>
            </w14:solidFill>
          </w14:textFill>
        </w:rPr>
        <w:t xml:space="preserve"> (3)被暂停或取消</w:t>
      </w:r>
      <w:r>
        <w:rPr>
          <w:rFonts w:hint="eastAsia" w:ascii="宋体" w:hAnsi="宋体" w:cs="宋体"/>
          <w:color w:val="000000" w:themeColor="text1"/>
          <w:szCs w:val="21"/>
          <w:highlight w:val="none"/>
          <w14:textFill>
            <w14:solidFill>
              <w14:schemeClr w14:val="tx1"/>
            </w14:solidFill>
          </w14:textFill>
        </w:rPr>
        <w:t>磋商</w:t>
      </w:r>
      <w:r>
        <w:rPr>
          <w:rFonts w:ascii="宋体" w:hAnsi="宋体" w:cs="宋体"/>
          <w:color w:val="000000" w:themeColor="text1"/>
          <w:szCs w:val="21"/>
          <w:highlight w:val="none"/>
          <w14:textFill>
            <w14:solidFill>
              <w14:schemeClr w14:val="tx1"/>
            </w14:solidFill>
          </w14:textFill>
        </w:rPr>
        <w:t>资格的；</w:t>
      </w:r>
    </w:p>
    <w:p w14:paraId="4741D0A4">
      <w:pPr>
        <w:overflowPunct/>
        <w:bidi w:val="0"/>
        <w:spacing w:line="360" w:lineRule="auto"/>
        <w:ind w:right="105" w:rightChars="50" w:firstLine="420" w:firstLineChars="200"/>
        <w:outlineLvl w:val="9"/>
        <w:rPr>
          <w:rFonts w:ascii="宋体" w:hAnsi="宋体" w:cs="宋体"/>
          <w:color w:val="000000" w:themeColor="text1"/>
          <w:szCs w:val="21"/>
          <w:highlight w:val="none"/>
          <w14:textFill>
            <w14:solidFill>
              <w14:schemeClr w14:val="tx1"/>
            </w14:solidFill>
          </w14:textFill>
        </w:rPr>
      </w:pPr>
      <w:r>
        <w:rPr>
          <w:rFonts w:ascii="宋体" w:hAnsi="宋体" w:cs="宋体"/>
          <w:color w:val="000000" w:themeColor="text1"/>
          <w:szCs w:val="21"/>
          <w:highlight w:val="none"/>
          <w14:textFill>
            <w14:solidFill>
              <w14:schemeClr w14:val="tx1"/>
            </w14:solidFill>
          </w14:textFill>
        </w:rPr>
        <w:t xml:space="preserve"> (4)财产被接管或冻结的；</w:t>
      </w:r>
    </w:p>
    <w:p w14:paraId="6EC2B60F">
      <w:pPr>
        <w:overflowPunct/>
        <w:bidi w:val="0"/>
        <w:spacing w:line="360" w:lineRule="auto"/>
        <w:ind w:right="105" w:rightChars="50" w:firstLine="420" w:firstLineChars="200"/>
        <w:outlineLvl w:val="9"/>
        <w:rPr>
          <w:rFonts w:ascii="宋体" w:hAnsi="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 xml:space="preserve"> </w:t>
      </w:r>
      <w:r>
        <w:rPr>
          <w:rFonts w:ascii="宋体" w:hAnsi="宋体" w:cs="宋体"/>
          <w:color w:val="000000" w:themeColor="text1"/>
          <w:szCs w:val="21"/>
          <w:highlight w:val="none"/>
          <w14:textFill>
            <w14:solidFill>
              <w14:schemeClr w14:val="tx1"/>
            </w14:solidFill>
          </w14:textFill>
        </w:rPr>
        <w:t>(5)在最近三年内有骗取</w:t>
      </w:r>
      <w:r>
        <w:rPr>
          <w:rFonts w:hint="eastAsia" w:ascii="宋体" w:hAnsi="宋体" w:cs="宋体"/>
          <w:color w:val="000000" w:themeColor="text1"/>
          <w:szCs w:val="21"/>
          <w:highlight w:val="none"/>
          <w14:textFill>
            <w14:solidFill>
              <w14:schemeClr w14:val="tx1"/>
            </w14:solidFill>
          </w14:textFill>
        </w:rPr>
        <w:t>成交</w:t>
      </w:r>
      <w:r>
        <w:rPr>
          <w:rFonts w:ascii="宋体" w:hAnsi="宋体" w:cs="宋体"/>
          <w:color w:val="000000" w:themeColor="text1"/>
          <w:szCs w:val="21"/>
          <w:highlight w:val="none"/>
          <w14:textFill>
            <w14:solidFill>
              <w14:schemeClr w14:val="tx1"/>
            </w14:solidFill>
          </w14:textFill>
        </w:rPr>
        <w:t>或严重违约或重大质量问题的。</w:t>
      </w:r>
    </w:p>
    <w:p w14:paraId="1EE7EBC0">
      <w:pPr>
        <w:overflowPunct/>
        <w:bidi w:val="0"/>
        <w:outlineLvl w:val="9"/>
        <w:rPr>
          <w:rFonts w:ascii="宋体" w:hAnsi="宋体" w:eastAsia="宋体"/>
          <w:color w:val="000000" w:themeColor="text1"/>
          <w:highlight w:val="none"/>
          <w14:textFill>
            <w14:solidFill>
              <w14:schemeClr w14:val="tx1"/>
            </w14:solidFill>
          </w14:textFill>
        </w:rPr>
      </w:pPr>
      <w:r>
        <w:rPr>
          <w:rFonts w:hint="eastAsia" w:ascii="宋体" w:hAnsi="宋体" w:eastAsia="宋体"/>
          <w:color w:val="000000" w:themeColor="text1"/>
          <w:highlight w:val="none"/>
          <w14:textFill>
            <w14:solidFill>
              <w14:schemeClr w14:val="tx1"/>
            </w14:solidFill>
          </w14:textFill>
        </w:rPr>
        <w:t>1.5 费用承担</w:t>
      </w:r>
    </w:p>
    <w:p w14:paraId="1A43E6E1">
      <w:pPr>
        <w:overflowPunct/>
        <w:bidi w:val="0"/>
        <w:spacing w:line="360" w:lineRule="auto"/>
        <w:ind w:firstLine="420" w:firstLineChars="200"/>
        <w:outlineLvl w:val="9"/>
        <w:rPr>
          <w:rFonts w:ascii="宋体" w:hAnsi="宋体"/>
          <w:color w:val="000000" w:themeColor="text1"/>
          <w:szCs w:val="21"/>
          <w:highlight w:val="none"/>
          <w14:textFill>
            <w14:solidFill>
              <w14:schemeClr w14:val="tx1"/>
            </w14:solidFill>
          </w14:textFill>
        </w:rPr>
      </w:pPr>
      <w:r>
        <w:rPr>
          <w:rFonts w:hint="eastAsia" w:ascii="宋体" w:hAnsi="宋体"/>
          <w:color w:val="000000" w:themeColor="text1"/>
          <w:szCs w:val="21"/>
          <w:highlight w:val="none"/>
          <w:lang w:eastAsia="zh-CN"/>
          <w14:textFill>
            <w14:solidFill>
              <w14:schemeClr w14:val="tx1"/>
            </w14:solidFill>
          </w14:textFill>
        </w:rPr>
        <w:t>供应商</w:t>
      </w:r>
      <w:r>
        <w:rPr>
          <w:rFonts w:hint="eastAsia" w:ascii="宋体" w:hAnsi="宋体"/>
          <w:color w:val="000000" w:themeColor="text1"/>
          <w:szCs w:val="21"/>
          <w:highlight w:val="none"/>
          <w14:textFill>
            <w14:solidFill>
              <w14:schemeClr w14:val="tx1"/>
            </w14:solidFill>
          </w14:textFill>
        </w:rPr>
        <w:t>准备和参加磋商活动发生的费用自理。</w:t>
      </w:r>
    </w:p>
    <w:p w14:paraId="1CCA5A08">
      <w:pPr>
        <w:overflowPunct/>
        <w:bidi w:val="0"/>
        <w:outlineLvl w:val="9"/>
        <w:rPr>
          <w:rFonts w:ascii="宋体" w:hAnsi="宋体" w:eastAsia="宋体"/>
          <w:color w:val="000000" w:themeColor="text1"/>
          <w:highlight w:val="none"/>
          <w14:textFill>
            <w14:solidFill>
              <w14:schemeClr w14:val="tx1"/>
            </w14:solidFill>
          </w14:textFill>
        </w:rPr>
      </w:pPr>
      <w:r>
        <w:rPr>
          <w:rFonts w:hint="eastAsia" w:ascii="宋体" w:hAnsi="宋体" w:eastAsia="宋体"/>
          <w:color w:val="000000" w:themeColor="text1"/>
          <w:highlight w:val="none"/>
          <w14:textFill>
            <w14:solidFill>
              <w14:schemeClr w14:val="tx1"/>
            </w14:solidFill>
          </w14:textFill>
        </w:rPr>
        <w:t>1.6 保密</w:t>
      </w:r>
    </w:p>
    <w:p w14:paraId="62D6B51E">
      <w:pPr>
        <w:overflowPunct/>
        <w:bidi w:val="0"/>
        <w:spacing w:line="360" w:lineRule="auto"/>
        <w:ind w:firstLine="420" w:firstLineChars="200"/>
        <w:outlineLvl w:val="9"/>
        <w:rPr>
          <w:rFonts w:ascii="宋体" w:hAnsi="宋体"/>
          <w:color w:val="000000" w:themeColor="text1"/>
          <w:szCs w:val="21"/>
          <w:highlight w:val="none"/>
          <w14:textFill>
            <w14:solidFill>
              <w14:schemeClr w14:val="tx1"/>
            </w14:solidFill>
          </w14:textFill>
        </w:rPr>
      </w:pPr>
      <w:r>
        <w:rPr>
          <w:rFonts w:hint="eastAsia" w:ascii="宋体" w:hAnsi="宋体"/>
          <w:color w:val="000000" w:themeColor="text1"/>
          <w:szCs w:val="21"/>
          <w:highlight w:val="none"/>
          <w14:textFill>
            <w14:solidFill>
              <w14:schemeClr w14:val="tx1"/>
            </w14:solidFill>
          </w14:textFill>
        </w:rPr>
        <w:t>参与磋商活动的各方应对磋商文件和响应文件中的商业和技术等秘密保密，违者应对由此造成的后果承担法律责任。</w:t>
      </w:r>
    </w:p>
    <w:p w14:paraId="40F94B5F">
      <w:pPr>
        <w:overflowPunct/>
        <w:bidi w:val="0"/>
        <w:outlineLvl w:val="9"/>
        <w:rPr>
          <w:rFonts w:ascii="宋体" w:hAnsi="宋体" w:eastAsia="宋体"/>
          <w:color w:val="000000" w:themeColor="text1"/>
          <w:highlight w:val="none"/>
          <w14:textFill>
            <w14:solidFill>
              <w14:schemeClr w14:val="tx1"/>
            </w14:solidFill>
          </w14:textFill>
        </w:rPr>
      </w:pPr>
      <w:r>
        <w:rPr>
          <w:rFonts w:hint="eastAsia" w:ascii="宋体" w:hAnsi="宋体" w:eastAsia="宋体"/>
          <w:color w:val="000000" w:themeColor="text1"/>
          <w:highlight w:val="none"/>
          <w14:textFill>
            <w14:solidFill>
              <w14:schemeClr w14:val="tx1"/>
            </w14:solidFill>
          </w14:textFill>
        </w:rPr>
        <w:t>1.7 语言文字</w:t>
      </w:r>
    </w:p>
    <w:p w14:paraId="5F9014A1">
      <w:pPr>
        <w:overflowPunct/>
        <w:bidi w:val="0"/>
        <w:spacing w:line="360" w:lineRule="auto"/>
        <w:ind w:firstLine="420" w:firstLineChars="200"/>
        <w:outlineLvl w:val="9"/>
        <w:rPr>
          <w:rFonts w:ascii="宋体" w:hAnsi="宋体"/>
          <w:color w:val="000000" w:themeColor="text1"/>
          <w:szCs w:val="21"/>
          <w:highlight w:val="none"/>
          <w14:textFill>
            <w14:solidFill>
              <w14:schemeClr w14:val="tx1"/>
            </w14:solidFill>
          </w14:textFill>
        </w:rPr>
      </w:pPr>
      <w:r>
        <w:rPr>
          <w:rFonts w:hint="eastAsia" w:ascii="宋体" w:hAnsi="宋体"/>
          <w:color w:val="000000" w:themeColor="text1"/>
          <w:szCs w:val="21"/>
          <w:highlight w:val="none"/>
          <w14:textFill>
            <w14:solidFill>
              <w14:schemeClr w14:val="tx1"/>
            </w14:solidFill>
          </w14:textFill>
        </w:rPr>
        <w:t>除专用术语外，与磋商活动有关的语言均使用中文。必要时专用术语应附有中文注释。</w:t>
      </w:r>
    </w:p>
    <w:p w14:paraId="3613D270">
      <w:pPr>
        <w:overflowPunct/>
        <w:bidi w:val="0"/>
        <w:outlineLvl w:val="9"/>
        <w:rPr>
          <w:rFonts w:ascii="宋体" w:hAnsi="宋体" w:eastAsia="宋体"/>
          <w:color w:val="000000" w:themeColor="text1"/>
          <w:highlight w:val="none"/>
          <w14:textFill>
            <w14:solidFill>
              <w14:schemeClr w14:val="tx1"/>
            </w14:solidFill>
          </w14:textFill>
        </w:rPr>
      </w:pPr>
      <w:r>
        <w:rPr>
          <w:rFonts w:hint="eastAsia" w:ascii="宋体" w:hAnsi="宋体" w:eastAsia="宋体"/>
          <w:color w:val="000000" w:themeColor="text1"/>
          <w:highlight w:val="none"/>
          <w14:textFill>
            <w14:solidFill>
              <w14:schemeClr w14:val="tx1"/>
            </w14:solidFill>
          </w14:textFill>
        </w:rPr>
        <w:t>1.8 计量单位</w:t>
      </w:r>
    </w:p>
    <w:p w14:paraId="7DAE3D5C">
      <w:pPr>
        <w:overflowPunct/>
        <w:bidi w:val="0"/>
        <w:spacing w:line="360" w:lineRule="auto"/>
        <w:ind w:firstLine="420" w:firstLineChars="200"/>
        <w:outlineLvl w:val="9"/>
        <w:rPr>
          <w:rFonts w:ascii="宋体" w:hAnsi="宋体"/>
          <w:color w:val="000000" w:themeColor="text1"/>
          <w:szCs w:val="21"/>
          <w:highlight w:val="none"/>
          <w14:textFill>
            <w14:solidFill>
              <w14:schemeClr w14:val="tx1"/>
            </w14:solidFill>
          </w14:textFill>
        </w:rPr>
      </w:pPr>
      <w:r>
        <w:rPr>
          <w:rFonts w:hint="eastAsia" w:ascii="宋体" w:hAnsi="宋体"/>
          <w:color w:val="000000" w:themeColor="text1"/>
          <w:szCs w:val="21"/>
          <w:highlight w:val="none"/>
          <w14:textFill>
            <w14:solidFill>
              <w14:schemeClr w14:val="tx1"/>
            </w14:solidFill>
          </w14:textFill>
        </w:rPr>
        <w:t>所有计量均采用中华人民共和国法定计量单位。</w:t>
      </w:r>
    </w:p>
    <w:p w14:paraId="6E91D995">
      <w:pPr>
        <w:overflowPunct/>
        <w:bidi w:val="0"/>
        <w:outlineLvl w:val="9"/>
        <w:rPr>
          <w:rFonts w:ascii="宋体" w:hAnsi="宋体" w:eastAsia="宋体"/>
          <w:color w:val="000000" w:themeColor="text1"/>
          <w:highlight w:val="none"/>
          <w14:textFill>
            <w14:solidFill>
              <w14:schemeClr w14:val="tx1"/>
            </w14:solidFill>
          </w14:textFill>
        </w:rPr>
      </w:pPr>
      <w:r>
        <w:rPr>
          <w:rFonts w:hint="eastAsia" w:ascii="宋体" w:hAnsi="宋体" w:eastAsia="宋体"/>
          <w:color w:val="000000" w:themeColor="text1"/>
          <w:highlight w:val="none"/>
          <w14:textFill>
            <w14:solidFill>
              <w14:schemeClr w14:val="tx1"/>
            </w14:solidFill>
          </w14:textFill>
        </w:rPr>
        <w:t>1.9 踏勘现场</w:t>
      </w:r>
    </w:p>
    <w:p w14:paraId="4872FFDC">
      <w:pPr>
        <w:overflowPunct/>
        <w:bidi w:val="0"/>
        <w:spacing w:line="360" w:lineRule="auto"/>
        <w:ind w:firstLine="420" w:firstLineChars="200"/>
        <w:outlineLvl w:val="9"/>
        <w:rPr>
          <w:rFonts w:ascii="宋体" w:hAnsi="宋体"/>
          <w:color w:val="000000" w:themeColor="text1"/>
          <w:szCs w:val="21"/>
          <w:highlight w:val="none"/>
          <w14:textFill>
            <w14:solidFill>
              <w14:schemeClr w14:val="tx1"/>
            </w14:solidFill>
          </w14:textFill>
        </w:rPr>
      </w:pPr>
      <w:r>
        <w:rPr>
          <w:rFonts w:hint="eastAsia" w:ascii="宋体" w:hAnsi="宋体"/>
          <w:color w:val="000000" w:themeColor="text1"/>
          <w:szCs w:val="21"/>
          <w:highlight w:val="none"/>
          <w14:textFill>
            <w14:solidFill>
              <w14:schemeClr w14:val="tx1"/>
            </w14:solidFill>
          </w14:textFill>
        </w:rPr>
        <w:t xml:space="preserve">1.9.1 </w:t>
      </w:r>
      <w:r>
        <w:rPr>
          <w:rFonts w:hint="eastAsia" w:ascii="宋体" w:hAnsi="宋体"/>
          <w:color w:val="000000" w:themeColor="text1"/>
          <w:szCs w:val="21"/>
          <w:highlight w:val="none"/>
          <w:lang w:eastAsia="zh-CN"/>
          <w14:textFill>
            <w14:solidFill>
              <w14:schemeClr w14:val="tx1"/>
            </w14:solidFill>
          </w14:textFill>
        </w:rPr>
        <w:t>供应商</w:t>
      </w:r>
      <w:r>
        <w:rPr>
          <w:rFonts w:hint="eastAsia" w:ascii="宋体" w:hAnsi="宋体"/>
          <w:color w:val="000000" w:themeColor="text1"/>
          <w:szCs w:val="21"/>
          <w:highlight w:val="none"/>
          <w14:textFill>
            <w14:solidFill>
              <w14:schemeClr w14:val="tx1"/>
            </w14:solidFill>
          </w14:textFill>
        </w:rPr>
        <w:t>须知前附表规定组织踏勘现场的，采购人按</w:t>
      </w:r>
      <w:r>
        <w:rPr>
          <w:rFonts w:hint="eastAsia" w:ascii="宋体" w:hAnsi="宋体"/>
          <w:color w:val="000000" w:themeColor="text1"/>
          <w:szCs w:val="21"/>
          <w:highlight w:val="none"/>
          <w:lang w:eastAsia="zh-CN"/>
          <w14:textFill>
            <w14:solidFill>
              <w14:schemeClr w14:val="tx1"/>
            </w14:solidFill>
          </w14:textFill>
        </w:rPr>
        <w:t>供应商</w:t>
      </w:r>
      <w:r>
        <w:rPr>
          <w:rFonts w:hint="eastAsia" w:ascii="宋体" w:hAnsi="宋体"/>
          <w:color w:val="000000" w:themeColor="text1"/>
          <w:szCs w:val="21"/>
          <w:highlight w:val="none"/>
          <w14:textFill>
            <w14:solidFill>
              <w14:schemeClr w14:val="tx1"/>
            </w14:solidFill>
          </w14:textFill>
        </w:rPr>
        <w:t>须知前附表规定的时间、地点组织</w:t>
      </w:r>
      <w:r>
        <w:rPr>
          <w:rFonts w:hint="eastAsia" w:ascii="宋体" w:hAnsi="宋体"/>
          <w:color w:val="000000" w:themeColor="text1"/>
          <w:szCs w:val="21"/>
          <w:highlight w:val="none"/>
          <w:lang w:eastAsia="zh-CN"/>
          <w14:textFill>
            <w14:solidFill>
              <w14:schemeClr w14:val="tx1"/>
            </w14:solidFill>
          </w14:textFill>
        </w:rPr>
        <w:t>供应商</w:t>
      </w:r>
      <w:r>
        <w:rPr>
          <w:rFonts w:hint="eastAsia" w:ascii="宋体" w:hAnsi="宋体"/>
          <w:color w:val="000000" w:themeColor="text1"/>
          <w:szCs w:val="21"/>
          <w:highlight w:val="none"/>
          <w14:textFill>
            <w14:solidFill>
              <w14:schemeClr w14:val="tx1"/>
            </w14:solidFill>
          </w14:textFill>
        </w:rPr>
        <w:t>踏勘项目现场。</w:t>
      </w:r>
    </w:p>
    <w:p w14:paraId="22D7D82C">
      <w:pPr>
        <w:overflowPunct/>
        <w:bidi w:val="0"/>
        <w:spacing w:line="360" w:lineRule="auto"/>
        <w:ind w:firstLine="420" w:firstLineChars="200"/>
        <w:outlineLvl w:val="9"/>
        <w:rPr>
          <w:rFonts w:ascii="宋体" w:hAnsi="宋体"/>
          <w:color w:val="000000" w:themeColor="text1"/>
          <w:szCs w:val="21"/>
          <w:highlight w:val="none"/>
          <w14:textFill>
            <w14:solidFill>
              <w14:schemeClr w14:val="tx1"/>
            </w14:solidFill>
          </w14:textFill>
        </w:rPr>
      </w:pPr>
      <w:r>
        <w:rPr>
          <w:rFonts w:hint="eastAsia" w:ascii="宋体" w:hAnsi="宋体"/>
          <w:color w:val="000000" w:themeColor="text1"/>
          <w:szCs w:val="21"/>
          <w:highlight w:val="none"/>
          <w14:textFill>
            <w14:solidFill>
              <w14:schemeClr w14:val="tx1"/>
            </w14:solidFill>
          </w14:textFill>
        </w:rPr>
        <w:t xml:space="preserve">1.9.2 </w:t>
      </w:r>
      <w:r>
        <w:rPr>
          <w:rFonts w:hint="eastAsia" w:ascii="宋体" w:hAnsi="宋体"/>
          <w:color w:val="000000" w:themeColor="text1"/>
          <w:szCs w:val="21"/>
          <w:highlight w:val="none"/>
          <w:lang w:eastAsia="zh-CN"/>
          <w14:textFill>
            <w14:solidFill>
              <w14:schemeClr w14:val="tx1"/>
            </w14:solidFill>
          </w14:textFill>
        </w:rPr>
        <w:t>供应商</w:t>
      </w:r>
      <w:r>
        <w:rPr>
          <w:rFonts w:hint="eastAsia" w:ascii="宋体" w:hAnsi="宋体"/>
          <w:color w:val="000000" w:themeColor="text1"/>
          <w:szCs w:val="21"/>
          <w:highlight w:val="none"/>
          <w14:textFill>
            <w14:solidFill>
              <w14:schemeClr w14:val="tx1"/>
            </w14:solidFill>
          </w14:textFill>
        </w:rPr>
        <w:t>踏勘现场发生的费用自理。</w:t>
      </w:r>
    </w:p>
    <w:p w14:paraId="4BB32514">
      <w:pPr>
        <w:overflowPunct/>
        <w:bidi w:val="0"/>
        <w:spacing w:line="360" w:lineRule="auto"/>
        <w:ind w:firstLine="420" w:firstLineChars="200"/>
        <w:outlineLvl w:val="9"/>
        <w:rPr>
          <w:rFonts w:ascii="宋体" w:hAnsi="宋体"/>
          <w:color w:val="000000" w:themeColor="text1"/>
          <w:szCs w:val="21"/>
          <w:highlight w:val="none"/>
          <w14:textFill>
            <w14:solidFill>
              <w14:schemeClr w14:val="tx1"/>
            </w14:solidFill>
          </w14:textFill>
        </w:rPr>
      </w:pPr>
      <w:r>
        <w:rPr>
          <w:rFonts w:hint="eastAsia" w:ascii="宋体" w:hAnsi="宋体"/>
          <w:color w:val="000000" w:themeColor="text1"/>
          <w:szCs w:val="21"/>
          <w:highlight w:val="none"/>
          <w14:textFill>
            <w14:solidFill>
              <w14:schemeClr w14:val="tx1"/>
            </w14:solidFill>
          </w14:textFill>
        </w:rPr>
        <w:t>1.9 .3 除采购人的原因外，</w:t>
      </w:r>
      <w:r>
        <w:rPr>
          <w:rFonts w:hint="eastAsia" w:ascii="宋体" w:hAnsi="宋体"/>
          <w:color w:val="000000" w:themeColor="text1"/>
          <w:szCs w:val="21"/>
          <w:highlight w:val="none"/>
          <w:lang w:eastAsia="zh-CN"/>
          <w14:textFill>
            <w14:solidFill>
              <w14:schemeClr w14:val="tx1"/>
            </w14:solidFill>
          </w14:textFill>
        </w:rPr>
        <w:t>供应商</w:t>
      </w:r>
      <w:r>
        <w:rPr>
          <w:rFonts w:hint="eastAsia" w:ascii="宋体" w:hAnsi="宋体"/>
          <w:color w:val="000000" w:themeColor="text1"/>
          <w:szCs w:val="21"/>
          <w:highlight w:val="none"/>
          <w14:textFill>
            <w14:solidFill>
              <w14:schemeClr w14:val="tx1"/>
            </w14:solidFill>
          </w14:textFill>
        </w:rPr>
        <w:t>自行负责在踏勘现场中所发生的人员伤亡和财产损失。</w:t>
      </w:r>
    </w:p>
    <w:p w14:paraId="08029E89">
      <w:pPr>
        <w:overflowPunct/>
        <w:bidi w:val="0"/>
        <w:spacing w:line="360" w:lineRule="auto"/>
        <w:ind w:firstLine="420" w:firstLineChars="200"/>
        <w:outlineLvl w:val="9"/>
        <w:rPr>
          <w:rFonts w:ascii="宋体" w:hAnsi="宋体"/>
          <w:color w:val="000000" w:themeColor="text1"/>
          <w:szCs w:val="21"/>
          <w:highlight w:val="none"/>
          <w14:textFill>
            <w14:solidFill>
              <w14:schemeClr w14:val="tx1"/>
            </w14:solidFill>
          </w14:textFill>
        </w:rPr>
      </w:pPr>
      <w:r>
        <w:rPr>
          <w:rFonts w:hint="eastAsia" w:ascii="宋体" w:hAnsi="宋体"/>
          <w:color w:val="000000" w:themeColor="text1"/>
          <w:szCs w:val="21"/>
          <w:highlight w:val="none"/>
          <w14:textFill>
            <w14:solidFill>
              <w14:schemeClr w14:val="tx1"/>
            </w14:solidFill>
          </w14:textFill>
        </w:rPr>
        <w:t>1.9.4 采购人在踏勘现场中介绍的工程场地和相关的周边环境情况，供</w:t>
      </w:r>
      <w:r>
        <w:rPr>
          <w:rFonts w:hint="eastAsia" w:ascii="宋体" w:hAnsi="宋体"/>
          <w:color w:val="000000" w:themeColor="text1"/>
          <w:szCs w:val="21"/>
          <w:highlight w:val="none"/>
          <w:lang w:eastAsia="zh-CN"/>
          <w14:textFill>
            <w14:solidFill>
              <w14:schemeClr w14:val="tx1"/>
            </w14:solidFill>
          </w14:textFill>
        </w:rPr>
        <w:t>供应商</w:t>
      </w:r>
      <w:r>
        <w:rPr>
          <w:rFonts w:hint="eastAsia" w:ascii="宋体" w:hAnsi="宋体"/>
          <w:color w:val="000000" w:themeColor="text1"/>
          <w:szCs w:val="21"/>
          <w:highlight w:val="none"/>
          <w14:textFill>
            <w14:solidFill>
              <w14:schemeClr w14:val="tx1"/>
            </w14:solidFill>
          </w14:textFill>
        </w:rPr>
        <w:t>在编制响应文件时参考，采购人不对</w:t>
      </w:r>
      <w:r>
        <w:rPr>
          <w:rFonts w:hint="eastAsia" w:ascii="宋体" w:hAnsi="宋体"/>
          <w:color w:val="000000" w:themeColor="text1"/>
          <w:szCs w:val="21"/>
          <w:highlight w:val="none"/>
          <w:lang w:eastAsia="zh-CN"/>
          <w14:textFill>
            <w14:solidFill>
              <w14:schemeClr w14:val="tx1"/>
            </w14:solidFill>
          </w14:textFill>
        </w:rPr>
        <w:t>供应商</w:t>
      </w:r>
      <w:r>
        <w:rPr>
          <w:rFonts w:hint="eastAsia" w:ascii="宋体" w:hAnsi="宋体"/>
          <w:color w:val="000000" w:themeColor="text1"/>
          <w:szCs w:val="21"/>
          <w:highlight w:val="none"/>
          <w14:textFill>
            <w14:solidFill>
              <w14:schemeClr w14:val="tx1"/>
            </w14:solidFill>
          </w14:textFill>
        </w:rPr>
        <w:t>据此作出的判断和决策负责。</w:t>
      </w:r>
    </w:p>
    <w:p w14:paraId="4EC0C72E">
      <w:pPr>
        <w:overflowPunct/>
        <w:bidi w:val="0"/>
        <w:outlineLvl w:val="9"/>
        <w:rPr>
          <w:rFonts w:ascii="宋体" w:hAnsi="宋体" w:eastAsia="宋体"/>
          <w:color w:val="000000" w:themeColor="text1"/>
          <w:highlight w:val="none"/>
          <w14:textFill>
            <w14:solidFill>
              <w14:schemeClr w14:val="tx1"/>
            </w14:solidFill>
          </w14:textFill>
        </w:rPr>
      </w:pPr>
      <w:r>
        <w:rPr>
          <w:rFonts w:hint="eastAsia" w:ascii="宋体" w:hAnsi="宋体" w:eastAsia="宋体"/>
          <w:color w:val="000000" w:themeColor="text1"/>
          <w:highlight w:val="none"/>
          <w14:textFill>
            <w14:solidFill>
              <w14:schemeClr w14:val="tx1"/>
            </w14:solidFill>
          </w14:textFill>
        </w:rPr>
        <w:t>1.10 磋商预备会</w:t>
      </w:r>
    </w:p>
    <w:p w14:paraId="0B0E583A">
      <w:pPr>
        <w:overflowPunct/>
        <w:bidi w:val="0"/>
        <w:spacing w:line="360" w:lineRule="auto"/>
        <w:ind w:firstLine="420" w:firstLineChars="200"/>
        <w:outlineLvl w:val="9"/>
        <w:rPr>
          <w:rFonts w:ascii="宋体" w:hAnsi="宋体"/>
          <w:color w:val="000000" w:themeColor="text1"/>
          <w:szCs w:val="21"/>
          <w:highlight w:val="none"/>
          <w14:textFill>
            <w14:solidFill>
              <w14:schemeClr w14:val="tx1"/>
            </w14:solidFill>
          </w14:textFill>
        </w:rPr>
      </w:pPr>
      <w:r>
        <w:rPr>
          <w:rFonts w:hint="eastAsia" w:ascii="宋体" w:hAnsi="宋体"/>
          <w:color w:val="000000" w:themeColor="text1"/>
          <w:szCs w:val="21"/>
          <w:highlight w:val="none"/>
          <w14:textFill>
            <w14:solidFill>
              <w14:schemeClr w14:val="tx1"/>
            </w14:solidFill>
          </w14:textFill>
        </w:rPr>
        <w:t xml:space="preserve">1.10.1 </w:t>
      </w:r>
      <w:r>
        <w:rPr>
          <w:rFonts w:hint="eastAsia" w:ascii="宋体" w:hAnsi="宋体"/>
          <w:color w:val="000000" w:themeColor="text1"/>
          <w:szCs w:val="21"/>
          <w:highlight w:val="none"/>
          <w:lang w:eastAsia="zh-CN"/>
          <w14:textFill>
            <w14:solidFill>
              <w14:schemeClr w14:val="tx1"/>
            </w14:solidFill>
          </w14:textFill>
        </w:rPr>
        <w:t>供应商</w:t>
      </w:r>
      <w:r>
        <w:rPr>
          <w:rFonts w:hint="eastAsia" w:ascii="宋体" w:hAnsi="宋体"/>
          <w:color w:val="000000" w:themeColor="text1"/>
          <w:szCs w:val="21"/>
          <w:highlight w:val="none"/>
          <w14:textFill>
            <w14:solidFill>
              <w14:schemeClr w14:val="tx1"/>
            </w14:solidFill>
          </w14:textFill>
        </w:rPr>
        <w:t>须知前附表规定召开磋商预备会的，采购人按</w:t>
      </w:r>
      <w:r>
        <w:rPr>
          <w:rFonts w:hint="eastAsia" w:ascii="宋体" w:hAnsi="宋体"/>
          <w:color w:val="000000" w:themeColor="text1"/>
          <w:szCs w:val="21"/>
          <w:highlight w:val="none"/>
          <w:lang w:eastAsia="zh-CN"/>
          <w14:textFill>
            <w14:solidFill>
              <w14:schemeClr w14:val="tx1"/>
            </w14:solidFill>
          </w14:textFill>
        </w:rPr>
        <w:t>供应商</w:t>
      </w:r>
      <w:r>
        <w:rPr>
          <w:rFonts w:hint="eastAsia" w:ascii="宋体" w:hAnsi="宋体"/>
          <w:color w:val="000000" w:themeColor="text1"/>
          <w:szCs w:val="21"/>
          <w:highlight w:val="none"/>
          <w14:textFill>
            <w14:solidFill>
              <w14:schemeClr w14:val="tx1"/>
            </w14:solidFill>
          </w14:textFill>
        </w:rPr>
        <w:t>须知前附表规定的时间和地点召开磋商预备会，澄清</w:t>
      </w:r>
      <w:r>
        <w:rPr>
          <w:rFonts w:hint="eastAsia" w:ascii="宋体" w:hAnsi="宋体"/>
          <w:color w:val="000000" w:themeColor="text1"/>
          <w:szCs w:val="21"/>
          <w:highlight w:val="none"/>
          <w:lang w:eastAsia="zh-CN"/>
          <w14:textFill>
            <w14:solidFill>
              <w14:schemeClr w14:val="tx1"/>
            </w14:solidFill>
          </w14:textFill>
        </w:rPr>
        <w:t>供应商</w:t>
      </w:r>
      <w:r>
        <w:rPr>
          <w:rFonts w:hint="eastAsia" w:ascii="宋体" w:hAnsi="宋体"/>
          <w:color w:val="000000" w:themeColor="text1"/>
          <w:szCs w:val="21"/>
          <w:highlight w:val="none"/>
          <w14:textFill>
            <w14:solidFill>
              <w14:schemeClr w14:val="tx1"/>
            </w14:solidFill>
          </w14:textFill>
        </w:rPr>
        <w:t>提出的问题。</w:t>
      </w:r>
    </w:p>
    <w:p w14:paraId="71B38C66">
      <w:pPr>
        <w:overflowPunct/>
        <w:bidi w:val="0"/>
        <w:spacing w:line="360" w:lineRule="auto"/>
        <w:ind w:firstLine="420" w:firstLineChars="200"/>
        <w:outlineLvl w:val="9"/>
        <w:rPr>
          <w:rFonts w:ascii="宋体" w:hAnsi="宋体"/>
          <w:color w:val="000000" w:themeColor="text1"/>
          <w:szCs w:val="21"/>
          <w:highlight w:val="none"/>
          <w14:textFill>
            <w14:solidFill>
              <w14:schemeClr w14:val="tx1"/>
            </w14:solidFill>
          </w14:textFill>
        </w:rPr>
      </w:pPr>
      <w:r>
        <w:rPr>
          <w:rFonts w:hint="eastAsia" w:ascii="宋体" w:hAnsi="宋体"/>
          <w:color w:val="000000" w:themeColor="text1"/>
          <w:szCs w:val="21"/>
          <w:highlight w:val="none"/>
          <w14:textFill>
            <w14:solidFill>
              <w14:schemeClr w14:val="tx1"/>
            </w14:solidFill>
          </w14:textFill>
        </w:rPr>
        <w:t xml:space="preserve">1.10.2 </w:t>
      </w:r>
      <w:r>
        <w:rPr>
          <w:rFonts w:hint="eastAsia" w:ascii="宋体" w:hAnsi="宋体"/>
          <w:color w:val="000000" w:themeColor="text1"/>
          <w:szCs w:val="21"/>
          <w:highlight w:val="none"/>
          <w:lang w:eastAsia="zh-CN"/>
          <w14:textFill>
            <w14:solidFill>
              <w14:schemeClr w14:val="tx1"/>
            </w14:solidFill>
          </w14:textFill>
        </w:rPr>
        <w:t>供应商</w:t>
      </w:r>
      <w:r>
        <w:rPr>
          <w:rFonts w:hint="eastAsia" w:ascii="宋体" w:hAnsi="宋体"/>
          <w:color w:val="000000" w:themeColor="text1"/>
          <w:szCs w:val="21"/>
          <w:highlight w:val="none"/>
          <w14:textFill>
            <w14:solidFill>
              <w14:schemeClr w14:val="tx1"/>
            </w14:solidFill>
          </w14:textFill>
        </w:rPr>
        <w:t>应在</w:t>
      </w:r>
      <w:r>
        <w:rPr>
          <w:rFonts w:hint="eastAsia" w:ascii="宋体" w:hAnsi="宋体"/>
          <w:color w:val="000000" w:themeColor="text1"/>
          <w:szCs w:val="21"/>
          <w:highlight w:val="none"/>
          <w:lang w:eastAsia="zh-CN"/>
          <w14:textFill>
            <w14:solidFill>
              <w14:schemeClr w14:val="tx1"/>
            </w14:solidFill>
          </w14:textFill>
        </w:rPr>
        <w:t>供应商</w:t>
      </w:r>
      <w:r>
        <w:rPr>
          <w:rFonts w:hint="eastAsia" w:ascii="宋体" w:hAnsi="宋体"/>
          <w:color w:val="000000" w:themeColor="text1"/>
          <w:szCs w:val="21"/>
          <w:highlight w:val="none"/>
          <w14:textFill>
            <w14:solidFill>
              <w14:schemeClr w14:val="tx1"/>
            </w14:solidFill>
          </w14:textFill>
        </w:rPr>
        <w:t>须知前附表规定的时间前，以书面形式将提出的问题送达采购人，以便采购人在会议期间澄清。</w:t>
      </w:r>
    </w:p>
    <w:p w14:paraId="53E79357">
      <w:pPr>
        <w:overflowPunct/>
        <w:bidi w:val="0"/>
        <w:spacing w:line="360" w:lineRule="auto"/>
        <w:ind w:firstLine="420" w:firstLineChars="200"/>
        <w:outlineLvl w:val="9"/>
        <w:rPr>
          <w:rFonts w:ascii="宋体" w:hAnsi="宋体"/>
          <w:color w:val="000000" w:themeColor="text1"/>
          <w:szCs w:val="21"/>
          <w:highlight w:val="none"/>
          <w14:textFill>
            <w14:solidFill>
              <w14:schemeClr w14:val="tx1"/>
            </w14:solidFill>
          </w14:textFill>
        </w:rPr>
      </w:pPr>
      <w:r>
        <w:rPr>
          <w:rFonts w:hint="eastAsia" w:ascii="宋体" w:hAnsi="宋体"/>
          <w:color w:val="000000" w:themeColor="text1"/>
          <w:szCs w:val="21"/>
          <w:highlight w:val="none"/>
          <w14:textFill>
            <w14:solidFill>
              <w14:schemeClr w14:val="tx1"/>
            </w14:solidFill>
          </w14:textFill>
        </w:rPr>
        <w:t>1.10.3 磋商预备会后，采购人在</w:t>
      </w:r>
      <w:r>
        <w:rPr>
          <w:rFonts w:hint="eastAsia" w:ascii="宋体" w:hAnsi="宋体"/>
          <w:color w:val="000000" w:themeColor="text1"/>
          <w:szCs w:val="21"/>
          <w:highlight w:val="none"/>
          <w:lang w:eastAsia="zh-CN"/>
          <w14:textFill>
            <w14:solidFill>
              <w14:schemeClr w14:val="tx1"/>
            </w14:solidFill>
          </w14:textFill>
        </w:rPr>
        <w:t>供应商</w:t>
      </w:r>
      <w:r>
        <w:rPr>
          <w:rFonts w:hint="eastAsia" w:ascii="宋体" w:hAnsi="宋体"/>
          <w:color w:val="000000" w:themeColor="text1"/>
          <w:szCs w:val="21"/>
          <w:highlight w:val="none"/>
          <w14:textFill>
            <w14:solidFill>
              <w14:schemeClr w14:val="tx1"/>
            </w14:solidFill>
          </w14:textFill>
        </w:rPr>
        <w:t>须知前附表规定的时间内，将对</w:t>
      </w:r>
      <w:r>
        <w:rPr>
          <w:rFonts w:hint="eastAsia" w:ascii="宋体" w:hAnsi="宋体"/>
          <w:color w:val="000000" w:themeColor="text1"/>
          <w:szCs w:val="21"/>
          <w:highlight w:val="none"/>
          <w:lang w:eastAsia="zh-CN"/>
          <w14:textFill>
            <w14:solidFill>
              <w14:schemeClr w14:val="tx1"/>
            </w14:solidFill>
          </w14:textFill>
        </w:rPr>
        <w:t>供应商</w:t>
      </w:r>
      <w:r>
        <w:rPr>
          <w:rFonts w:hint="eastAsia" w:ascii="宋体" w:hAnsi="宋体"/>
          <w:color w:val="000000" w:themeColor="text1"/>
          <w:szCs w:val="21"/>
          <w:highlight w:val="none"/>
          <w14:textFill>
            <w14:solidFill>
              <w14:schemeClr w14:val="tx1"/>
            </w14:solidFill>
          </w14:textFill>
        </w:rPr>
        <w:t>所提问题的澄清，以书面方式通知所有购买磋商文件的</w:t>
      </w:r>
      <w:r>
        <w:rPr>
          <w:rFonts w:hint="eastAsia" w:ascii="宋体" w:hAnsi="宋体"/>
          <w:color w:val="000000" w:themeColor="text1"/>
          <w:szCs w:val="21"/>
          <w:highlight w:val="none"/>
          <w:lang w:eastAsia="zh-CN"/>
          <w14:textFill>
            <w14:solidFill>
              <w14:schemeClr w14:val="tx1"/>
            </w14:solidFill>
          </w14:textFill>
        </w:rPr>
        <w:t>供应商</w:t>
      </w:r>
      <w:r>
        <w:rPr>
          <w:rFonts w:hint="eastAsia" w:ascii="宋体" w:hAnsi="宋体"/>
          <w:color w:val="000000" w:themeColor="text1"/>
          <w:szCs w:val="21"/>
          <w:highlight w:val="none"/>
          <w14:textFill>
            <w14:solidFill>
              <w14:schemeClr w14:val="tx1"/>
            </w14:solidFill>
          </w14:textFill>
        </w:rPr>
        <w:t>。该澄清内容为磋商文件的组成部分。</w:t>
      </w:r>
    </w:p>
    <w:p w14:paraId="5A2E335A">
      <w:pPr>
        <w:overflowPunct/>
        <w:bidi w:val="0"/>
        <w:outlineLvl w:val="9"/>
        <w:rPr>
          <w:rFonts w:ascii="宋体" w:hAnsi="宋体" w:eastAsia="宋体"/>
          <w:color w:val="000000" w:themeColor="text1"/>
          <w:highlight w:val="none"/>
          <w14:textFill>
            <w14:solidFill>
              <w14:schemeClr w14:val="tx1"/>
            </w14:solidFill>
          </w14:textFill>
        </w:rPr>
      </w:pPr>
      <w:r>
        <w:rPr>
          <w:rFonts w:hint="eastAsia" w:ascii="宋体" w:hAnsi="宋体" w:eastAsia="宋体"/>
          <w:color w:val="000000" w:themeColor="text1"/>
          <w:highlight w:val="none"/>
          <w14:textFill>
            <w14:solidFill>
              <w14:schemeClr w14:val="tx1"/>
            </w14:solidFill>
          </w14:textFill>
        </w:rPr>
        <w:t>1.11 分包</w:t>
      </w:r>
    </w:p>
    <w:p w14:paraId="1BF53610">
      <w:pPr>
        <w:overflowPunct/>
        <w:bidi w:val="0"/>
        <w:spacing w:line="360" w:lineRule="auto"/>
        <w:ind w:firstLine="420" w:firstLineChars="200"/>
        <w:outlineLvl w:val="9"/>
        <w:rPr>
          <w:rFonts w:ascii="宋体" w:hAnsi="宋体"/>
          <w:color w:val="000000" w:themeColor="text1"/>
          <w:szCs w:val="21"/>
          <w:highlight w:val="none"/>
          <w14:textFill>
            <w14:solidFill>
              <w14:schemeClr w14:val="tx1"/>
            </w14:solidFill>
          </w14:textFill>
        </w:rPr>
      </w:pPr>
      <w:r>
        <w:rPr>
          <w:rFonts w:hint="eastAsia" w:ascii="宋体" w:hAnsi="宋体"/>
          <w:color w:val="000000" w:themeColor="text1"/>
          <w:szCs w:val="21"/>
          <w:highlight w:val="none"/>
          <w:lang w:eastAsia="zh-CN"/>
          <w14:textFill>
            <w14:solidFill>
              <w14:schemeClr w14:val="tx1"/>
            </w14:solidFill>
          </w14:textFill>
        </w:rPr>
        <w:t>供应商</w:t>
      </w:r>
      <w:r>
        <w:rPr>
          <w:rFonts w:hint="eastAsia" w:ascii="宋体" w:hAnsi="宋体"/>
          <w:color w:val="000000" w:themeColor="text1"/>
          <w:szCs w:val="21"/>
          <w:highlight w:val="none"/>
          <w14:textFill>
            <w14:solidFill>
              <w14:schemeClr w14:val="tx1"/>
            </w14:solidFill>
          </w14:textFill>
        </w:rPr>
        <w:t>拟在成交后将中标项目的部分非主体、非关键性工作进行分包的，应符合</w:t>
      </w:r>
      <w:r>
        <w:rPr>
          <w:rFonts w:hint="eastAsia" w:ascii="宋体" w:hAnsi="宋体"/>
          <w:color w:val="000000" w:themeColor="text1"/>
          <w:szCs w:val="21"/>
          <w:highlight w:val="none"/>
          <w:lang w:eastAsia="zh-CN"/>
          <w14:textFill>
            <w14:solidFill>
              <w14:schemeClr w14:val="tx1"/>
            </w14:solidFill>
          </w14:textFill>
        </w:rPr>
        <w:t>供应商</w:t>
      </w:r>
      <w:r>
        <w:rPr>
          <w:rFonts w:hint="eastAsia" w:ascii="宋体" w:hAnsi="宋体"/>
          <w:color w:val="000000" w:themeColor="text1"/>
          <w:szCs w:val="21"/>
          <w:highlight w:val="none"/>
          <w14:textFill>
            <w14:solidFill>
              <w14:schemeClr w14:val="tx1"/>
            </w14:solidFill>
          </w14:textFill>
        </w:rPr>
        <w:t>须知前附表规定的分包内容、分包金额和接受分包的第三人资质要求等限制性条件。</w:t>
      </w:r>
    </w:p>
    <w:p w14:paraId="45974217">
      <w:pPr>
        <w:overflowPunct/>
        <w:bidi w:val="0"/>
        <w:outlineLvl w:val="9"/>
        <w:rPr>
          <w:rFonts w:ascii="宋体" w:hAnsi="宋体" w:eastAsia="宋体"/>
          <w:color w:val="000000" w:themeColor="text1"/>
          <w:highlight w:val="none"/>
          <w14:textFill>
            <w14:solidFill>
              <w14:schemeClr w14:val="tx1"/>
            </w14:solidFill>
          </w14:textFill>
        </w:rPr>
      </w:pPr>
      <w:r>
        <w:rPr>
          <w:rFonts w:hint="eastAsia" w:ascii="宋体" w:hAnsi="宋体" w:eastAsia="宋体"/>
          <w:color w:val="000000" w:themeColor="text1"/>
          <w:highlight w:val="none"/>
          <w14:textFill>
            <w14:solidFill>
              <w14:schemeClr w14:val="tx1"/>
            </w14:solidFill>
          </w14:textFill>
        </w:rPr>
        <w:t>1.12 偏离</w:t>
      </w:r>
    </w:p>
    <w:p w14:paraId="2A805AF9">
      <w:pPr>
        <w:overflowPunct/>
        <w:bidi w:val="0"/>
        <w:spacing w:line="360" w:lineRule="auto"/>
        <w:ind w:firstLine="420" w:firstLineChars="200"/>
        <w:outlineLvl w:val="9"/>
        <w:rPr>
          <w:rFonts w:ascii="宋体" w:hAnsi="宋体"/>
          <w:color w:val="000000" w:themeColor="text1"/>
          <w:szCs w:val="21"/>
          <w:highlight w:val="none"/>
          <w14:textFill>
            <w14:solidFill>
              <w14:schemeClr w14:val="tx1"/>
            </w14:solidFill>
          </w14:textFill>
        </w:rPr>
      </w:pPr>
      <w:r>
        <w:rPr>
          <w:rFonts w:hint="eastAsia" w:ascii="宋体" w:hAnsi="宋体"/>
          <w:color w:val="000000" w:themeColor="text1"/>
          <w:szCs w:val="21"/>
          <w:highlight w:val="none"/>
          <w:lang w:eastAsia="zh-CN"/>
          <w14:textFill>
            <w14:solidFill>
              <w14:schemeClr w14:val="tx1"/>
            </w14:solidFill>
          </w14:textFill>
        </w:rPr>
        <w:t>供应商</w:t>
      </w:r>
      <w:r>
        <w:rPr>
          <w:rFonts w:hint="eastAsia" w:ascii="宋体" w:hAnsi="宋体"/>
          <w:color w:val="000000" w:themeColor="text1"/>
          <w:szCs w:val="21"/>
          <w:highlight w:val="none"/>
          <w14:textFill>
            <w14:solidFill>
              <w14:schemeClr w14:val="tx1"/>
            </w14:solidFill>
          </w14:textFill>
        </w:rPr>
        <w:t>须知前附表允许响应文件偏离磋商文件某些要求的，偏离应当符合磋商文件规定的偏离范围和幅度。</w:t>
      </w:r>
    </w:p>
    <w:p w14:paraId="07D79020">
      <w:pPr>
        <w:overflowPunct/>
        <w:bidi w:val="0"/>
        <w:outlineLvl w:val="9"/>
        <w:rPr>
          <w:rFonts w:ascii="宋体" w:hAnsi="宋体"/>
          <w:color w:val="000000" w:themeColor="text1"/>
          <w:highlight w:val="none"/>
          <w14:textFill>
            <w14:solidFill>
              <w14:schemeClr w14:val="tx1"/>
            </w14:solidFill>
          </w14:textFill>
        </w:rPr>
      </w:pPr>
      <w:bookmarkStart w:id="27" w:name="_Toc184635072"/>
      <w:r>
        <w:rPr>
          <w:rFonts w:hint="eastAsia" w:ascii="宋体" w:hAnsi="宋体"/>
          <w:color w:val="000000" w:themeColor="text1"/>
          <w:highlight w:val="none"/>
          <w14:textFill>
            <w14:solidFill>
              <w14:schemeClr w14:val="tx1"/>
            </w14:solidFill>
          </w14:textFill>
        </w:rPr>
        <w:t>2．磋商文件</w:t>
      </w:r>
      <w:bookmarkEnd w:id="27"/>
    </w:p>
    <w:p w14:paraId="107DA4CE">
      <w:pPr>
        <w:overflowPunct/>
        <w:bidi w:val="0"/>
        <w:outlineLvl w:val="9"/>
        <w:rPr>
          <w:rFonts w:ascii="宋体" w:hAnsi="宋体" w:eastAsia="宋体"/>
          <w:color w:val="000000" w:themeColor="text1"/>
          <w:highlight w:val="none"/>
          <w14:textFill>
            <w14:solidFill>
              <w14:schemeClr w14:val="tx1"/>
            </w14:solidFill>
          </w14:textFill>
        </w:rPr>
      </w:pPr>
      <w:r>
        <w:rPr>
          <w:rFonts w:hint="eastAsia" w:ascii="宋体" w:hAnsi="宋体" w:eastAsia="宋体"/>
          <w:color w:val="000000" w:themeColor="text1"/>
          <w:highlight w:val="none"/>
          <w14:textFill>
            <w14:solidFill>
              <w14:schemeClr w14:val="tx1"/>
            </w14:solidFill>
          </w14:textFill>
        </w:rPr>
        <w:t>2.1 磋商文件的组成</w:t>
      </w:r>
    </w:p>
    <w:p w14:paraId="7B523593">
      <w:pPr>
        <w:overflowPunct/>
        <w:bidi w:val="0"/>
        <w:spacing w:line="360" w:lineRule="auto"/>
        <w:ind w:firstLine="420" w:firstLineChars="200"/>
        <w:outlineLvl w:val="9"/>
        <w:rPr>
          <w:rFonts w:ascii="宋体" w:hAnsi="宋体"/>
          <w:color w:val="000000" w:themeColor="text1"/>
          <w:szCs w:val="21"/>
          <w:highlight w:val="none"/>
          <w14:textFill>
            <w14:solidFill>
              <w14:schemeClr w14:val="tx1"/>
            </w14:solidFill>
          </w14:textFill>
        </w:rPr>
      </w:pPr>
      <w:r>
        <w:rPr>
          <w:rFonts w:hint="eastAsia" w:ascii="宋体" w:hAnsi="宋体"/>
          <w:color w:val="000000" w:themeColor="text1"/>
          <w:szCs w:val="21"/>
          <w:highlight w:val="none"/>
          <w14:textFill>
            <w14:solidFill>
              <w14:schemeClr w14:val="tx1"/>
            </w14:solidFill>
          </w14:textFill>
        </w:rPr>
        <w:t>本磋商文件包括：</w:t>
      </w:r>
    </w:p>
    <w:p w14:paraId="3BDBBCDB">
      <w:pPr>
        <w:overflowPunct/>
        <w:bidi w:val="0"/>
        <w:spacing w:line="360" w:lineRule="auto"/>
        <w:ind w:firstLine="420" w:firstLineChars="200"/>
        <w:outlineLvl w:val="9"/>
        <w:rPr>
          <w:rFonts w:ascii="宋体" w:hAnsi="宋体"/>
          <w:color w:val="000000" w:themeColor="text1"/>
          <w:szCs w:val="21"/>
          <w:highlight w:val="none"/>
          <w14:textFill>
            <w14:solidFill>
              <w14:schemeClr w14:val="tx1"/>
            </w14:solidFill>
          </w14:textFill>
        </w:rPr>
      </w:pPr>
      <w:r>
        <w:rPr>
          <w:rFonts w:hint="eastAsia" w:ascii="宋体" w:hAnsi="宋体"/>
          <w:color w:val="000000" w:themeColor="text1"/>
          <w:szCs w:val="21"/>
          <w:highlight w:val="none"/>
          <w14:textFill>
            <w14:solidFill>
              <w14:schemeClr w14:val="tx1"/>
            </w14:solidFill>
          </w14:textFill>
        </w:rPr>
        <w:t>(1）</w:t>
      </w:r>
      <w:r>
        <w:rPr>
          <w:rFonts w:hint="eastAsia" w:ascii="宋体" w:hAnsi="宋体"/>
          <w:color w:val="000000" w:themeColor="text1"/>
          <w:szCs w:val="21"/>
          <w:highlight w:val="none"/>
          <w:lang w:val="en-US" w:eastAsia="zh-CN"/>
          <w14:textFill>
            <w14:solidFill>
              <w14:schemeClr w14:val="tx1"/>
            </w14:solidFill>
          </w14:textFill>
        </w:rPr>
        <w:t>竞争性</w:t>
      </w:r>
      <w:r>
        <w:rPr>
          <w:rFonts w:hint="eastAsia" w:ascii="宋体" w:hAnsi="宋体"/>
          <w:color w:val="000000" w:themeColor="text1"/>
          <w:szCs w:val="21"/>
          <w:highlight w:val="none"/>
          <w14:textFill>
            <w14:solidFill>
              <w14:schemeClr w14:val="tx1"/>
            </w14:solidFill>
          </w14:textFill>
        </w:rPr>
        <w:t>磋商公告；</w:t>
      </w:r>
    </w:p>
    <w:p w14:paraId="25B095AE">
      <w:pPr>
        <w:overflowPunct/>
        <w:bidi w:val="0"/>
        <w:spacing w:line="360" w:lineRule="auto"/>
        <w:ind w:firstLine="420" w:firstLineChars="200"/>
        <w:outlineLvl w:val="9"/>
        <w:rPr>
          <w:rFonts w:ascii="宋体" w:hAnsi="宋体"/>
          <w:color w:val="000000" w:themeColor="text1"/>
          <w:szCs w:val="21"/>
          <w:highlight w:val="none"/>
          <w14:textFill>
            <w14:solidFill>
              <w14:schemeClr w14:val="tx1"/>
            </w14:solidFill>
          </w14:textFill>
        </w:rPr>
      </w:pPr>
      <w:r>
        <w:rPr>
          <w:rFonts w:hint="eastAsia" w:ascii="宋体" w:hAnsi="宋体"/>
          <w:color w:val="000000" w:themeColor="text1"/>
          <w:szCs w:val="21"/>
          <w:highlight w:val="none"/>
          <w14:textFill>
            <w14:solidFill>
              <w14:schemeClr w14:val="tx1"/>
            </w14:solidFill>
          </w14:textFill>
        </w:rPr>
        <w:t>(2）</w:t>
      </w:r>
      <w:r>
        <w:rPr>
          <w:rFonts w:hint="eastAsia" w:ascii="宋体" w:hAnsi="宋体"/>
          <w:color w:val="000000" w:themeColor="text1"/>
          <w:szCs w:val="21"/>
          <w:highlight w:val="none"/>
          <w:lang w:eastAsia="zh-CN"/>
          <w14:textFill>
            <w14:solidFill>
              <w14:schemeClr w14:val="tx1"/>
            </w14:solidFill>
          </w14:textFill>
        </w:rPr>
        <w:t>供应商</w:t>
      </w:r>
      <w:r>
        <w:rPr>
          <w:rFonts w:hint="eastAsia" w:ascii="宋体" w:hAnsi="宋体"/>
          <w:color w:val="000000" w:themeColor="text1"/>
          <w:szCs w:val="21"/>
          <w:highlight w:val="none"/>
          <w14:textFill>
            <w14:solidFill>
              <w14:schemeClr w14:val="tx1"/>
            </w14:solidFill>
          </w14:textFill>
        </w:rPr>
        <w:t>须知；</w:t>
      </w:r>
    </w:p>
    <w:p w14:paraId="27CF9BEB">
      <w:pPr>
        <w:overflowPunct/>
        <w:bidi w:val="0"/>
        <w:spacing w:line="360" w:lineRule="auto"/>
        <w:ind w:firstLine="420" w:firstLineChars="200"/>
        <w:outlineLvl w:val="9"/>
        <w:rPr>
          <w:rFonts w:ascii="宋体" w:hAnsi="宋体"/>
          <w:color w:val="000000" w:themeColor="text1"/>
          <w:szCs w:val="21"/>
          <w:highlight w:val="none"/>
          <w14:textFill>
            <w14:solidFill>
              <w14:schemeClr w14:val="tx1"/>
            </w14:solidFill>
          </w14:textFill>
        </w:rPr>
      </w:pPr>
      <w:r>
        <w:rPr>
          <w:rFonts w:hint="eastAsia" w:ascii="宋体" w:hAnsi="宋体"/>
          <w:color w:val="000000" w:themeColor="text1"/>
          <w:szCs w:val="21"/>
          <w:highlight w:val="none"/>
          <w14:textFill>
            <w14:solidFill>
              <w14:schemeClr w14:val="tx1"/>
            </w14:solidFill>
          </w14:textFill>
        </w:rPr>
        <w:t>(3）评审办法；</w:t>
      </w:r>
    </w:p>
    <w:p w14:paraId="223D76E9">
      <w:pPr>
        <w:overflowPunct/>
        <w:bidi w:val="0"/>
        <w:spacing w:line="360" w:lineRule="auto"/>
        <w:ind w:firstLine="420" w:firstLineChars="200"/>
        <w:outlineLvl w:val="9"/>
        <w:rPr>
          <w:rFonts w:ascii="宋体" w:hAnsi="宋体"/>
          <w:color w:val="000000" w:themeColor="text1"/>
          <w:szCs w:val="21"/>
          <w:highlight w:val="none"/>
          <w14:textFill>
            <w14:solidFill>
              <w14:schemeClr w14:val="tx1"/>
            </w14:solidFill>
          </w14:textFill>
        </w:rPr>
      </w:pPr>
      <w:r>
        <w:rPr>
          <w:rFonts w:hint="eastAsia" w:ascii="宋体" w:hAnsi="宋体"/>
          <w:color w:val="000000" w:themeColor="text1"/>
          <w:szCs w:val="21"/>
          <w:highlight w:val="none"/>
          <w14:textFill>
            <w14:solidFill>
              <w14:schemeClr w14:val="tx1"/>
            </w14:solidFill>
          </w14:textFill>
        </w:rPr>
        <w:t>(4）合同条款及格式；</w:t>
      </w:r>
    </w:p>
    <w:p w14:paraId="07D2817A">
      <w:pPr>
        <w:overflowPunct/>
        <w:bidi w:val="0"/>
        <w:spacing w:line="360" w:lineRule="auto"/>
        <w:ind w:firstLine="420" w:firstLineChars="200"/>
        <w:outlineLvl w:val="9"/>
        <w:rPr>
          <w:rFonts w:ascii="宋体" w:hAnsi="宋体"/>
          <w:color w:val="000000" w:themeColor="text1"/>
          <w:szCs w:val="21"/>
          <w:highlight w:val="none"/>
          <w14:textFill>
            <w14:solidFill>
              <w14:schemeClr w14:val="tx1"/>
            </w14:solidFill>
          </w14:textFill>
        </w:rPr>
      </w:pPr>
      <w:r>
        <w:rPr>
          <w:rFonts w:hint="eastAsia" w:ascii="宋体" w:hAnsi="宋体"/>
          <w:color w:val="000000" w:themeColor="text1"/>
          <w:szCs w:val="21"/>
          <w:highlight w:val="none"/>
          <w14:textFill>
            <w14:solidFill>
              <w14:schemeClr w14:val="tx1"/>
            </w14:solidFill>
          </w14:textFill>
        </w:rPr>
        <w:t>(5）</w:t>
      </w:r>
      <w:r>
        <w:rPr>
          <w:rFonts w:hint="eastAsia" w:ascii="宋体" w:hAnsi="宋体"/>
          <w:color w:val="000000" w:themeColor="text1"/>
          <w:szCs w:val="21"/>
          <w:highlight w:val="none"/>
          <w:lang w:val="en-US" w:eastAsia="zh-CN"/>
          <w14:textFill>
            <w14:solidFill>
              <w14:schemeClr w14:val="tx1"/>
            </w14:solidFill>
          </w14:textFill>
        </w:rPr>
        <w:t>采购需求</w:t>
      </w:r>
      <w:r>
        <w:rPr>
          <w:rFonts w:hint="eastAsia" w:ascii="宋体" w:hAnsi="宋体"/>
          <w:color w:val="000000" w:themeColor="text1"/>
          <w:szCs w:val="21"/>
          <w:highlight w:val="none"/>
          <w14:textFill>
            <w14:solidFill>
              <w14:schemeClr w14:val="tx1"/>
            </w14:solidFill>
          </w14:textFill>
        </w:rPr>
        <w:t>；</w:t>
      </w:r>
    </w:p>
    <w:p w14:paraId="014E1F41">
      <w:pPr>
        <w:overflowPunct/>
        <w:bidi w:val="0"/>
        <w:spacing w:line="360" w:lineRule="auto"/>
        <w:ind w:firstLine="420" w:firstLineChars="200"/>
        <w:outlineLvl w:val="9"/>
        <w:rPr>
          <w:rFonts w:ascii="宋体" w:hAnsi="宋体"/>
          <w:color w:val="000000" w:themeColor="text1"/>
          <w:szCs w:val="21"/>
          <w:highlight w:val="none"/>
          <w14:textFill>
            <w14:solidFill>
              <w14:schemeClr w14:val="tx1"/>
            </w14:solidFill>
          </w14:textFill>
        </w:rPr>
      </w:pPr>
      <w:r>
        <w:rPr>
          <w:rFonts w:hint="eastAsia" w:ascii="宋体" w:hAnsi="宋体"/>
          <w:color w:val="000000" w:themeColor="text1"/>
          <w:szCs w:val="21"/>
          <w:highlight w:val="none"/>
          <w14:textFill>
            <w14:solidFill>
              <w14:schemeClr w14:val="tx1"/>
            </w14:solidFill>
          </w14:textFill>
        </w:rPr>
        <w:t>(6）</w:t>
      </w:r>
      <w:r>
        <w:rPr>
          <w:rFonts w:hint="eastAsia" w:ascii="宋体" w:hAnsi="宋体"/>
          <w:color w:val="000000" w:themeColor="text1"/>
          <w:szCs w:val="21"/>
          <w:highlight w:val="none"/>
          <w:lang w:val="en-US" w:eastAsia="zh-CN"/>
          <w14:textFill>
            <w14:solidFill>
              <w14:schemeClr w14:val="tx1"/>
            </w14:solidFill>
          </w14:textFill>
        </w:rPr>
        <w:t>响应文件格式</w:t>
      </w:r>
      <w:r>
        <w:rPr>
          <w:rFonts w:hint="eastAsia" w:ascii="宋体" w:hAnsi="宋体"/>
          <w:color w:val="000000" w:themeColor="text1"/>
          <w:szCs w:val="21"/>
          <w:highlight w:val="none"/>
          <w14:textFill>
            <w14:solidFill>
              <w14:schemeClr w14:val="tx1"/>
            </w14:solidFill>
          </w14:textFill>
        </w:rPr>
        <w:t>；</w:t>
      </w:r>
    </w:p>
    <w:p w14:paraId="3E3CE6E9">
      <w:pPr>
        <w:overflowPunct/>
        <w:bidi w:val="0"/>
        <w:spacing w:line="360" w:lineRule="auto"/>
        <w:ind w:firstLine="420" w:firstLineChars="200"/>
        <w:outlineLvl w:val="9"/>
        <w:rPr>
          <w:rFonts w:ascii="宋体" w:hAnsi="宋体"/>
          <w:color w:val="000000" w:themeColor="text1"/>
          <w:szCs w:val="21"/>
          <w:highlight w:val="none"/>
          <w14:textFill>
            <w14:solidFill>
              <w14:schemeClr w14:val="tx1"/>
            </w14:solidFill>
          </w14:textFill>
        </w:rPr>
      </w:pPr>
      <w:r>
        <w:rPr>
          <w:rFonts w:hint="eastAsia" w:ascii="宋体" w:hAnsi="宋体"/>
          <w:color w:val="000000" w:themeColor="text1"/>
          <w:szCs w:val="21"/>
          <w:highlight w:val="none"/>
          <w14:textFill>
            <w14:solidFill>
              <w14:schemeClr w14:val="tx1"/>
            </w14:solidFill>
          </w14:textFill>
        </w:rPr>
        <w:t>根据本章第1.10 款、第2.2 款和第2.3 款对磋商文件所作的澄清、修改，构成磋商文件的组成部分。</w:t>
      </w:r>
    </w:p>
    <w:p w14:paraId="5D1C154E">
      <w:pPr>
        <w:overflowPunct/>
        <w:bidi w:val="0"/>
        <w:outlineLvl w:val="9"/>
        <w:rPr>
          <w:rFonts w:ascii="宋体" w:hAnsi="宋体" w:eastAsia="宋体"/>
          <w:color w:val="000000" w:themeColor="text1"/>
          <w:highlight w:val="none"/>
          <w14:textFill>
            <w14:solidFill>
              <w14:schemeClr w14:val="tx1"/>
            </w14:solidFill>
          </w14:textFill>
        </w:rPr>
      </w:pPr>
      <w:r>
        <w:rPr>
          <w:rFonts w:hint="eastAsia" w:ascii="宋体" w:hAnsi="宋体" w:eastAsia="宋体"/>
          <w:color w:val="000000" w:themeColor="text1"/>
          <w:highlight w:val="none"/>
          <w14:textFill>
            <w14:solidFill>
              <w14:schemeClr w14:val="tx1"/>
            </w14:solidFill>
          </w14:textFill>
        </w:rPr>
        <w:t>2.2 磋商文件的澄清</w:t>
      </w:r>
      <w:r>
        <w:rPr>
          <w:rFonts w:hint="eastAsia" w:ascii="宋体" w:hAnsi="宋体" w:eastAsia="宋体"/>
          <w:color w:val="000000" w:themeColor="text1"/>
          <w:highlight w:val="none"/>
          <w:lang w:val="en-US" w:eastAsia="zh-CN"/>
          <w14:textFill>
            <w14:solidFill>
              <w14:schemeClr w14:val="tx1"/>
            </w14:solidFill>
          </w14:textFill>
        </w:rPr>
        <w:t>和</w:t>
      </w:r>
      <w:r>
        <w:rPr>
          <w:rFonts w:hint="eastAsia" w:ascii="宋体" w:hAnsi="宋体" w:eastAsia="宋体"/>
          <w:color w:val="000000" w:themeColor="text1"/>
          <w:highlight w:val="none"/>
          <w14:textFill>
            <w14:solidFill>
              <w14:schemeClr w14:val="tx1"/>
            </w14:solidFill>
          </w14:textFill>
        </w:rPr>
        <w:t>修改</w:t>
      </w:r>
    </w:p>
    <w:p w14:paraId="2D7F952A">
      <w:pPr>
        <w:overflowPunct/>
        <w:autoSpaceDE w:val="0"/>
        <w:autoSpaceDN w:val="0"/>
        <w:bidi w:val="0"/>
        <w:adjustRightInd w:val="0"/>
        <w:spacing w:line="400" w:lineRule="exact"/>
        <w:ind w:firstLine="420"/>
        <w:jc w:val="left"/>
        <w:outlineLvl w:val="9"/>
        <w:rPr>
          <w:rFonts w:hint="eastAsia" w:ascii="宋体" w:hAnsi="宋体" w:eastAsia="宋体" w:cs="宋体"/>
          <w:bCs/>
          <w:color w:val="000000" w:themeColor="text1"/>
          <w:szCs w:val="18"/>
          <w:highlight w:val="none"/>
          <w:lang w:val="zh-CN"/>
          <w14:textFill>
            <w14:solidFill>
              <w14:schemeClr w14:val="tx1"/>
            </w14:solidFill>
          </w14:textFill>
        </w:rPr>
      </w:pPr>
      <w:bookmarkStart w:id="28" w:name="_Toc184635073"/>
      <w:r>
        <w:rPr>
          <w:rFonts w:hint="eastAsia" w:ascii="宋体" w:hAnsi="宋体" w:eastAsia="宋体" w:cs="宋体"/>
          <w:bCs/>
          <w:color w:val="000000" w:themeColor="text1"/>
          <w:szCs w:val="18"/>
          <w:highlight w:val="none"/>
          <w:lang w:val="en-US" w:eastAsia="zh-CN"/>
          <w14:textFill>
            <w14:solidFill>
              <w14:schemeClr w14:val="tx1"/>
            </w14:solidFill>
          </w14:textFill>
        </w:rPr>
        <w:t>2.2.1</w:t>
      </w:r>
      <w:r>
        <w:rPr>
          <w:rFonts w:hint="eastAsia" w:ascii="宋体" w:hAnsi="宋体" w:eastAsia="宋体" w:cs="宋体"/>
          <w:bCs/>
          <w:color w:val="000000" w:themeColor="text1"/>
          <w:szCs w:val="18"/>
          <w:highlight w:val="none"/>
          <w:lang w:val="zh-CN"/>
          <w14:textFill>
            <w14:solidFill>
              <w14:schemeClr w14:val="tx1"/>
            </w14:solidFill>
          </w14:textFill>
        </w:rPr>
        <w:t>任何要求对招标文件进行澄清的</w:t>
      </w:r>
      <w:r>
        <w:rPr>
          <w:rFonts w:hint="eastAsia" w:ascii="宋体" w:hAnsi="宋体" w:cs="宋体"/>
          <w:bCs/>
          <w:color w:val="000000" w:themeColor="text1"/>
          <w:szCs w:val="18"/>
          <w:highlight w:val="none"/>
          <w:lang w:val="zh-CN"/>
          <w14:textFill>
            <w14:solidFill>
              <w14:schemeClr w14:val="tx1"/>
            </w14:solidFill>
          </w14:textFill>
        </w:rPr>
        <w:t>供应商</w:t>
      </w:r>
      <w:r>
        <w:rPr>
          <w:rFonts w:hint="eastAsia" w:ascii="宋体" w:hAnsi="宋体" w:eastAsia="宋体" w:cs="宋体"/>
          <w:bCs/>
          <w:color w:val="000000" w:themeColor="text1"/>
          <w:szCs w:val="18"/>
          <w:highlight w:val="none"/>
          <w:lang w:val="zh-CN"/>
          <w14:textFill>
            <w14:solidFill>
              <w14:schemeClr w14:val="tx1"/>
            </w14:solidFill>
          </w14:textFill>
        </w:rPr>
        <w:t>，采购人可在投标截止时间5日前（含）对</w:t>
      </w:r>
      <w:r>
        <w:rPr>
          <w:rFonts w:hint="eastAsia" w:ascii="宋体" w:hAnsi="宋体" w:eastAsia="宋体" w:cs="宋体"/>
          <w:bCs/>
          <w:color w:val="000000" w:themeColor="text1"/>
          <w:szCs w:val="18"/>
          <w:highlight w:val="none"/>
          <w:lang w:val="en-US" w:eastAsia="zh-CN"/>
          <w14:textFill>
            <w14:solidFill>
              <w14:schemeClr w14:val="tx1"/>
            </w14:solidFill>
          </w14:textFill>
        </w:rPr>
        <w:t>磋商</w:t>
      </w:r>
      <w:r>
        <w:rPr>
          <w:rFonts w:hint="eastAsia" w:ascii="宋体" w:hAnsi="宋体" w:eastAsia="宋体" w:cs="宋体"/>
          <w:bCs/>
          <w:color w:val="000000" w:themeColor="text1"/>
          <w:szCs w:val="18"/>
          <w:highlight w:val="none"/>
          <w:lang w:val="zh-CN"/>
          <w14:textFill>
            <w14:solidFill>
              <w14:schemeClr w14:val="tx1"/>
            </w14:solidFill>
          </w14:textFill>
        </w:rPr>
        <w:t>文件进行澄清、修改、补充。</w:t>
      </w:r>
      <w:r>
        <w:rPr>
          <w:rFonts w:hint="eastAsia" w:ascii="宋体" w:hAnsi="宋体" w:eastAsia="宋体" w:cs="宋体"/>
          <w:bCs/>
          <w:color w:val="000000" w:themeColor="text1"/>
          <w:szCs w:val="18"/>
          <w:highlight w:val="none"/>
          <w:lang w:val="en-US" w:eastAsia="zh-CN"/>
          <w14:textFill>
            <w14:solidFill>
              <w14:schemeClr w14:val="tx1"/>
            </w14:solidFill>
          </w14:textFill>
        </w:rPr>
        <w:t>磋商</w:t>
      </w:r>
      <w:r>
        <w:rPr>
          <w:rFonts w:hint="eastAsia" w:ascii="宋体" w:hAnsi="宋体" w:eastAsia="宋体" w:cs="宋体"/>
          <w:bCs/>
          <w:color w:val="000000" w:themeColor="text1"/>
          <w:szCs w:val="18"/>
          <w:highlight w:val="none"/>
          <w:lang w:val="zh-CN"/>
          <w14:textFill>
            <w14:solidFill>
              <w14:schemeClr w14:val="tx1"/>
            </w14:solidFill>
          </w14:textFill>
        </w:rPr>
        <w:t>文件的澄清、修改、补充文件将在“政采云”平台(http：//www.zcygov.cn)向潜在</w:t>
      </w:r>
      <w:r>
        <w:rPr>
          <w:rFonts w:hint="eastAsia" w:ascii="宋体" w:hAnsi="宋体" w:cs="宋体"/>
          <w:bCs/>
          <w:color w:val="000000" w:themeColor="text1"/>
          <w:szCs w:val="18"/>
          <w:highlight w:val="none"/>
          <w:lang w:val="zh-CN"/>
          <w14:textFill>
            <w14:solidFill>
              <w14:schemeClr w14:val="tx1"/>
            </w14:solidFill>
          </w14:textFill>
        </w:rPr>
        <w:t>供应商</w:t>
      </w:r>
      <w:r>
        <w:rPr>
          <w:rFonts w:hint="eastAsia" w:ascii="宋体" w:hAnsi="宋体" w:eastAsia="宋体" w:cs="宋体"/>
          <w:bCs/>
          <w:color w:val="000000" w:themeColor="text1"/>
          <w:szCs w:val="18"/>
          <w:highlight w:val="none"/>
          <w:lang w:val="zh-CN"/>
          <w14:textFill>
            <w14:solidFill>
              <w14:schemeClr w14:val="tx1"/>
            </w14:solidFill>
          </w14:textFill>
        </w:rPr>
        <w:t>发出。</w:t>
      </w:r>
    </w:p>
    <w:p w14:paraId="66E5BAFF">
      <w:pPr>
        <w:overflowPunct/>
        <w:autoSpaceDE w:val="0"/>
        <w:autoSpaceDN w:val="0"/>
        <w:bidi w:val="0"/>
        <w:adjustRightInd w:val="0"/>
        <w:spacing w:line="400" w:lineRule="exact"/>
        <w:ind w:firstLine="420"/>
        <w:jc w:val="left"/>
        <w:outlineLvl w:val="9"/>
        <w:rPr>
          <w:rFonts w:hint="eastAsia" w:ascii="宋体" w:hAnsi="宋体" w:eastAsia="宋体" w:cs="宋体"/>
          <w:bCs/>
          <w:color w:val="000000" w:themeColor="text1"/>
          <w:szCs w:val="18"/>
          <w:highlight w:val="none"/>
          <w:lang w:val="zh-CN"/>
          <w14:textFill>
            <w14:solidFill>
              <w14:schemeClr w14:val="tx1"/>
            </w14:solidFill>
          </w14:textFill>
        </w:rPr>
      </w:pPr>
      <w:r>
        <w:rPr>
          <w:rFonts w:hint="eastAsia" w:ascii="宋体" w:hAnsi="宋体" w:eastAsia="宋体" w:cs="宋体"/>
          <w:bCs/>
          <w:color w:val="000000" w:themeColor="text1"/>
          <w:szCs w:val="18"/>
          <w:highlight w:val="none"/>
          <w:lang w:val="en-US" w:eastAsia="zh-CN"/>
          <w14:textFill>
            <w14:solidFill>
              <w14:schemeClr w14:val="tx1"/>
            </w14:solidFill>
          </w14:textFill>
        </w:rPr>
        <w:t>2.2.2</w:t>
      </w:r>
      <w:r>
        <w:rPr>
          <w:rFonts w:hint="eastAsia" w:ascii="宋体" w:hAnsi="宋体" w:eastAsia="宋体" w:cs="宋体"/>
          <w:bCs/>
          <w:color w:val="000000" w:themeColor="text1"/>
          <w:szCs w:val="18"/>
          <w:highlight w:val="none"/>
          <w:lang w:val="zh-CN"/>
          <w14:textFill>
            <w14:solidFill>
              <w14:schemeClr w14:val="tx1"/>
            </w14:solidFill>
          </w14:textFill>
        </w:rPr>
        <w:t xml:space="preserve"> 对</w:t>
      </w:r>
      <w:r>
        <w:rPr>
          <w:rFonts w:hint="eastAsia" w:ascii="宋体" w:hAnsi="宋体" w:eastAsia="宋体" w:cs="宋体"/>
          <w:bCs/>
          <w:color w:val="000000" w:themeColor="text1"/>
          <w:szCs w:val="18"/>
          <w:highlight w:val="none"/>
          <w:lang w:val="en-US" w:eastAsia="zh-CN"/>
          <w14:textFill>
            <w14:solidFill>
              <w14:schemeClr w14:val="tx1"/>
            </w14:solidFill>
          </w14:textFill>
        </w:rPr>
        <w:t>磋商</w:t>
      </w:r>
      <w:r>
        <w:rPr>
          <w:rFonts w:hint="eastAsia" w:ascii="宋体" w:hAnsi="宋体" w:eastAsia="宋体" w:cs="宋体"/>
          <w:bCs/>
          <w:color w:val="000000" w:themeColor="text1"/>
          <w:szCs w:val="18"/>
          <w:highlight w:val="none"/>
          <w:lang w:val="zh-CN"/>
          <w14:textFill>
            <w14:solidFill>
              <w14:schemeClr w14:val="tx1"/>
            </w14:solidFill>
          </w14:textFill>
        </w:rPr>
        <w:t>文件内容进行质疑的</w:t>
      </w:r>
      <w:r>
        <w:rPr>
          <w:rFonts w:hint="eastAsia" w:ascii="宋体" w:hAnsi="宋体" w:cs="宋体"/>
          <w:bCs/>
          <w:color w:val="000000" w:themeColor="text1"/>
          <w:szCs w:val="18"/>
          <w:highlight w:val="none"/>
          <w:lang w:val="zh-CN"/>
          <w14:textFill>
            <w14:solidFill>
              <w14:schemeClr w14:val="tx1"/>
            </w14:solidFill>
          </w14:textFill>
        </w:rPr>
        <w:t>供应商</w:t>
      </w:r>
      <w:r>
        <w:rPr>
          <w:rFonts w:hint="eastAsia" w:ascii="宋体" w:hAnsi="宋体" w:eastAsia="宋体" w:cs="宋体"/>
          <w:bCs/>
          <w:color w:val="000000" w:themeColor="text1"/>
          <w:szCs w:val="18"/>
          <w:highlight w:val="none"/>
          <w:lang w:val="zh-CN"/>
          <w14:textFill>
            <w14:solidFill>
              <w14:schemeClr w14:val="tx1"/>
            </w14:solidFill>
          </w14:textFill>
        </w:rPr>
        <w:t>，均应在《中华人民共和国政府采购法》、《中华人民共和国政府采购法实施条例》规定时间内在“政采云”平台(http：//www.zcygov.cn)提交给采购代理机构，超过规定期限提出的招标文件质疑将不予受理。采购代理机构对收到的质疑要求视所提问题的具体情况在“政采云”平台(http：//www.zcygov.cn)予以答复、发出。答复中可以包括所提的问题，但不包括问题的来源。</w:t>
      </w:r>
    </w:p>
    <w:p w14:paraId="19C564EE">
      <w:pPr>
        <w:overflowPunct/>
        <w:autoSpaceDE w:val="0"/>
        <w:autoSpaceDN w:val="0"/>
        <w:bidi w:val="0"/>
        <w:adjustRightInd w:val="0"/>
        <w:spacing w:line="400" w:lineRule="exact"/>
        <w:ind w:firstLine="420"/>
        <w:jc w:val="left"/>
        <w:outlineLvl w:val="9"/>
        <w:rPr>
          <w:rFonts w:hint="eastAsia" w:ascii="宋体" w:hAnsi="宋体" w:eastAsia="宋体" w:cs="宋体"/>
          <w:bCs/>
          <w:color w:val="000000" w:themeColor="text1"/>
          <w:szCs w:val="18"/>
          <w:highlight w:val="none"/>
          <w:lang w:val="zh-CN"/>
          <w14:textFill>
            <w14:solidFill>
              <w14:schemeClr w14:val="tx1"/>
            </w14:solidFill>
          </w14:textFill>
        </w:rPr>
      </w:pPr>
      <w:r>
        <w:rPr>
          <w:rFonts w:hint="eastAsia" w:ascii="宋体" w:hAnsi="宋体" w:eastAsia="宋体" w:cs="宋体"/>
          <w:bCs/>
          <w:color w:val="000000" w:themeColor="text1"/>
          <w:szCs w:val="18"/>
          <w:highlight w:val="none"/>
          <w:lang w:val="en-US" w:eastAsia="zh-CN"/>
          <w14:textFill>
            <w14:solidFill>
              <w14:schemeClr w14:val="tx1"/>
            </w14:solidFill>
          </w14:textFill>
        </w:rPr>
        <w:t>2.2.3</w:t>
      </w:r>
      <w:r>
        <w:rPr>
          <w:rFonts w:hint="eastAsia" w:ascii="宋体" w:hAnsi="宋体" w:eastAsia="宋体" w:cs="宋体"/>
          <w:bCs/>
          <w:color w:val="000000" w:themeColor="text1"/>
          <w:szCs w:val="18"/>
          <w:highlight w:val="none"/>
          <w:lang w:val="zh-CN"/>
          <w14:textFill>
            <w14:solidFill>
              <w14:schemeClr w14:val="tx1"/>
            </w14:solidFill>
          </w14:textFill>
        </w:rPr>
        <w:t xml:space="preserve"> </w:t>
      </w:r>
      <w:r>
        <w:rPr>
          <w:rFonts w:hint="eastAsia" w:ascii="宋体" w:hAnsi="宋体" w:eastAsia="宋体" w:cs="宋体"/>
          <w:bCs/>
          <w:color w:val="000000" w:themeColor="text1"/>
          <w:szCs w:val="18"/>
          <w:highlight w:val="none"/>
          <w:lang w:val="en-US" w:eastAsia="zh-CN"/>
          <w14:textFill>
            <w14:solidFill>
              <w14:schemeClr w14:val="tx1"/>
            </w14:solidFill>
          </w14:textFill>
        </w:rPr>
        <w:t>磋商</w:t>
      </w:r>
      <w:r>
        <w:rPr>
          <w:rFonts w:hint="eastAsia" w:ascii="宋体" w:hAnsi="宋体" w:eastAsia="宋体" w:cs="宋体"/>
          <w:bCs/>
          <w:color w:val="000000" w:themeColor="text1"/>
          <w:szCs w:val="18"/>
          <w:highlight w:val="none"/>
          <w:lang w:val="zh-CN"/>
          <w14:textFill>
            <w14:solidFill>
              <w14:schemeClr w14:val="tx1"/>
            </w14:solidFill>
          </w14:textFill>
        </w:rPr>
        <w:t>文件的澄清、修改、补充文件均构成招标文件的组成部分，对所有</w:t>
      </w:r>
      <w:r>
        <w:rPr>
          <w:rFonts w:hint="eastAsia" w:ascii="宋体" w:hAnsi="宋体" w:cs="宋体"/>
          <w:bCs/>
          <w:color w:val="000000" w:themeColor="text1"/>
          <w:szCs w:val="18"/>
          <w:highlight w:val="none"/>
          <w:lang w:val="zh-CN"/>
          <w14:textFill>
            <w14:solidFill>
              <w14:schemeClr w14:val="tx1"/>
            </w14:solidFill>
          </w14:textFill>
        </w:rPr>
        <w:t>供应商</w:t>
      </w:r>
      <w:r>
        <w:rPr>
          <w:rFonts w:hint="eastAsia" w:ascii="宋体" w:hAnsi="宋体" w:eastAsia="宋体" w:cs="宋体"/>
          <w:bCs/>
          <w:color w:val="000000" w:themeColor="text1"/>
          <w:szCs w:val="18"/>
          <w:highlight w:val="none"/>
          <w:lang w:val="zh-CN"/>
          <w14:textFill>
            <w14:solidFill>
              <w14:schemeClr w14:val="tx1"/>
            </w14:solidFill>
          </w14:textFill>
        </w:rPr>
        <w:t>具有约束力，而无论其是否已经实际收到该澄清、修改、补充文件（包括答疑会纪要）。</w:t>
      </w:r>
    </w:p>
    <w:p w14:paraId="51B1EEB4">
      <w:pPr>
        <w:overflowPunct/>
        <w:autoSpaceDE w:val="0"/>
        <w:autoSpaceDN w:val="0"/>
        <w:bidi w:val="0"/>
        <w:adjustRightInd w:val="0"/>
        <w:spacing w:line="400" w:lineRule="exact"/>
        <w:ind w:firstLine="420"/>
        <w:jc w:val="left"/>
        <w:outlineLvl w:val="9"/>
        <w:rPr>
          <w:rFonts w:hint="eastAsia" w:ascii="宋体" w:hAnsi="宋体" w:eastAsia="宋体" w:cs="宋体"/>
          <w:bCs/>
          <w:color w:val="000000" w:themeColor="text1"/>
          <w:szCs w:val="18"/>
          <w:highlight w:val="none"/>
          <w:lang w:val="zh-CN"/>
          <w14:textFill>
            <w14:solidFill>
              <w14:schemeClr w14:val="tx1"/>
            </w14:solidFill>
          </w14:textFill>
        </w:rPr>
      </w:pPr>
      <w:r>
        <w:rPr>
          <w:rFonts w:hint="eastAsia" w:ascii="宋体" w:hAnsi="宋体" w:eastAsia="宋体" w:cs="宋体"/>
          <w:bCs/>
          <w:color w:val="000000" w:themeColor="text1"/>
          <w:szCs w:val="18"/>
          <w:highlight w:val="none"/>
          <w:lang w:val="en-US" w:eastAsia="zh-CN"/>
          <w14:textFill>
            <w14:solidFill>
              <w14:schemeClr w14:val="tx1"/>
            </w14:solidFill>
          </w14:textFill>
        </w:rPr>
        <w:t>2.2.4</w:t>
      </w:r>
      <w:r>
        <w:rPr>
          <w:rFonts w:hint="eastAsia" w:ascii="宋体" w:hAnsi="宋体" w:eastAsia="宋体" w:cs="宋体"/>
          <w:bCs/>
          <w:color w:val="000000" w:themeColor="text1"/>
          <w:szCs w:val="18"/>
          <w:highlight w:val="none"/>
          <w:lang w:val="zh-CN"/>
          <w14:textFill>
            <w14:solidFill>
              <w14:schemeClr w14:val="tx1"/>
            </w14:solidFill>
          </w14:textFill>
        </w:rPr>
        <w:t>为使</w:t>
      </w:r>
      <w:r>
        <w:rPr>
          <w:rFonts w:hint="eastAsia" w:ascii="宋体" w:hAnsi="宋体" w:cs="宋体"/>
          <w:bCs/>
          <w:color w:val="000000" w:themeColor="text1"/>
          <w:szCs w:val="18"/>
          <w:highlight w:val="none"/>
          <w:lang w:val="zh-CN"/>
          <w14:textFill>
            <w14:solidFill>
              <w14:schemeClr w14:val="tx1"/>
            </w14:solidFill>
          </w14:textFill>
        </w:rPr>
        <w:t>供应商</w:t>
      </w:r>
      <w:r>
        <w:rPr>
          <w:rFonts w:hint="eastAsia" w:ascii="宋体" w:hAnsi="宋体" w:eastAsia="宋体" w:cs="宋体"/>
          <w:bCs/>
          <w:color w:val="000000" w:themeColor="text1"/>
          <w:szCs w:val="18"/>
          <w:highlight w:val="none"/>
          <w:lang w:val="zh-CN"/>
          <w14:textFill>
            <w14:solidFill>
              <w14:schemeClr w14:val="tx1"/>
            </w14:solidFill>
          </w14:textFill>
        </w:rPr>
        <w:t>有充分的时间对</w:t>
      </w:r>
      <w:r>
        <w:rPr>
          <w:rFonts w:hint="eastAsia" w:ascii="宋体" w:hAnsi="宋体" w:eastAsia="宋体" w:cs="宋体"/>
          <w:bCs/>
          <w:color w:val="000000" w:themeColor="text1"/>
          <w:szCs w:val="18"/>
          <w:highlight w:val="none"/>
          <w:lang w:val="en-US" w:eastAsia="zh-CN"/>
          <w14:textFill>
            <w14:solidFill>
              <w14:schemeClr w14:val="tx1"/>
            </w14:solidFill>
          </w14:textFill>
        </w:rPr>
        <w:t>磋商</w:t>
      </w:r>
      <w:r>
        <w:rPr>
          <w:rFonts w:hint="eastAsia" w:ascii="宋体" w:hAnsi="宋体" w:eastAsia="宋体" w:cs="宋体"/>
          <w:bCs/>
          <w:color w:val="000000" w:themeColor="text1"/>
          <w:szCs w:val="18"/>
          <w:highlight w:val="none"/>
          <w:lang w:val="zh-CN"/>
          <w14:textFill>
            <w14:solidFill>
              <w14:schemeClr w14:val="tx1"/>
            </w14:solidFill>
          </w14:textFill>
        </w:rPr>
        <w:t>文件的澄清、修改、补充部分进行研究，采购人可在投标截止时间前 3日自行决定酌情延长投标截止时间，延长投标截止时间的公告将在“政采云”平台(http：//www.zcygov.cn)向所有潜在</w:t>
      </w:r>
      <w:r>
        <w:rPr>
          <w:rFonts w:hint="eastAsia" w:ascii="宋体" w:hAnsi="宋体" w:cs="宋体"/>
          <w:bCs/>
          <w:color w:val="000000" w:themeColor="text1"/>
          <w:szCs w:val="18"/>
          <w:highlight w:val="none"/>
          <w:lang w:val="zh-CN"/>
          <w14:textFill>
            <w14:solidFill>
              <w14:schemeClr w14:val="tx1"/>
            </w14:solidFill>
          </w14:textFill>
        </w:rPr>
        <w:t>供应商</w:t>
      </w:r>
      <w:r>
        <w:rPr>
          <w:rFonts w:hint="eastAsia" w:ascii="宋体" w:hAnsi="宋体" w:eastAsia="宋体" w:cs="宋体"/>
          <w:bCs/>
          <w:color w:val="000000" w:themeColor="text1"/>
          <w:szCs w:val="18"/>
          <w:highlight w:val="none"/>
          <w:lang w:val="zh-CN"/>
          <w14:textFill>
            <w14:solidFill>
              <w14:schemeClr w14:val="tx1"/>
            </w14:solidFill>
          </w14:textFill>
        </w:rPr>
        <w:t>发出。在这种情况下，采购代理机构和</w:t>
      </w:r>
      <w:r>
        <w:rPr>
          <w:rFonts w:hint="eastAsia" w:ascii="宋体" w:hAnsi="宋体" w:cs="宋体"/>
          <w:bCs/>
          <w:color w:val="000000" w:themeColor="text1"/>
          <w:szCs w:val="18"/>
          <w:highlight w:val="none"/>
          <w:lang w:val="zh-CN"/>
          <w14:textFill>
            <w14:solidFill>
              <w14:schemeClr w14:val="tx1"/>
            </w14:solidFill>
          </w14:textFill>
        </w:rPr>
        <w:t>供应商</w:t>
      </w:r>
      <w:r>
        <w:rPr>
          <w:rFonts w:hint="eastAsia" w:ascii="宋体" w:hAnsi="宋体" w:eastAsia="宋体" w:cs="宋体"/>
          <w:bCs/>
          <w:color w:val="000000" w:themeColor="text1"/>
          <w:szCs w:val="18"/>
          <w:highlight w:val="none"/>
          <w:lang w:val="zh-CN"/>
          <w14:textFill>
            <w14:solidFill>
              <w14:schemeClr w14:val="tx1"/>
            </w14:solidFill>
          </w14:textFill>
        </w:rPr>
        <w:t>受投标截止时间制约的所有权利和义务均相应延长至新的投标截止时间。</w:t>
      </w:r>
    </w:p>
    <w:p w14:paraId="67909EC4">
      <w:pPr>
        <w:overflowPunct/>
        <w:bidi w:val="0"/>
        <w:outlineLvl w:val="9"/>
        <w:rPr>
          <w:rFonts w:ascii="宋体" w:hAnsi="宋体"/>
          <w:color w:val="000000" w:themeColor="text1"/>
          <w:highlight w:val="none"/>
          <w14:textFill>
            <w14:solidFill>
              <w14:schemeClr w14:val="tx1"/>
            </w14:solidFill>
          </w14:textFill>
        </w:rPr>
      </w:pPr>
      <w:r>
        <w:rPr>
          <w:rFonts w:hint="eastAsia" w:ascii="宋体" w:hAnsi="宋体"/>
          <w:color w:val="000000" w:themeColor="text1"/>
          <w:highlight w:val="none"/>
          <w14:textFill>
            <w14:solidFill>
              <w14:schemeClr w14:val="tx1"/>
            </w14:solidFill>
          </w14:textFill>
        </w:rPr>
        <w:t>3．响应文件</w:t>
      </w:r>
      <w:bookmarkEnd w:id="28"/>
    </w:p>
    <w:p w14:paraId="722DEEB1">
      <w:pPr>
        <w:overflowPunct/>
        <w:bidi w:val="0"/>
        <w:outlineLvl w:val="9"/>
        <w:rPr>
          <w:rFonts w:ascii="宋体" w:hAnsi="宋体" w:eastAsia="宋体"/>
          <w:color w:val="000000" w:themeColor="text1"/>
          <w:highlight w:val="none"/>
          <w14:textFill>
            <w14:solidFill>
              <w14:schemeClr w14:val="tx1"/>
            </w14:solidFill>
          </w14:textFill>
        </w:rPr>
      </w:pPr>
      <w:r>
        <w:rPr>
          <w:rFonts w:hint="eastAsia" w:ascii="宋体" w:hAnsi="宋体" w:eastAsia="宋体"/>
          <w:color w:val="000000" w:themeColor="text1"/>
          <w:highlight w:val="none"/>
          <w14:textFill>
            <w14:solidFill>
              <w14:schemeClr w14:val="tx1"/>
            </w14:solidFill>
          </w14:textFill>
        </w:rPr>
        <w:t>3.1 响应文件的组成</w:t>
      </w:r>
    </w:p>
    <w:p w14:paraId="73E438C0">
      <w:pPr>
        <w:overflowPunct/>
        <w:bidi w:val="0"/>
        <w:spacing w:line="360" w:lineRule="auto"/>
        <w:ind w:firstLine="420" w:firstLineChars="200"/>
        <w:outlineLvl w:val="9"/>
        <w:rPr>
          <w:rFonts w:ascii="宋体" w:hAnsi="宋体"/>
          <w:color w:val="000000" w:themeColor="text1"/>
          <w:szCs w:val="21"/>
          <w:highlight w:val="none"/>
          <w14:textFill>
            <w14:solidFill>
              <w14:schemeClr w14:val="tx1"/>
            </w14:solidFill>
          </w14:textFill>
        </w:rPr>
      </w:pPr>
      <w:r>
        <w:rPr>
          <w:rFonts w:ascii="宋体" w:hAnsi="宋体"/>
          <w:color w:val="000000" w:themeColor="text1"/>
          <w:szCs w:val="21"/>
          <w:highlight w:val="none"/>
          <w14:textFill>
            <w14:solidFill>
              <w14:schemeClr w14:val="tx1"/>
            </w14:solidFill>
          </w14:textFill>
        </w:rPr>
        <w:t>3.1.1</w:t>
      </w:r>
      <w:r>
        <w:rPr>
          <w:rFonts w:hint="eastAsia" w:ascii="宋体" w:hAnsi="宋体"/>
          <w:color w:val="000000" w:themeColor="text1"/>
          <w:szCs w:val="21"/>
          <w:highlight w:val="none"/>
          <w14:textFill>
            <w14:solidFill>
              <w14:schemeClr w14:val="tx1"/>
            </w14:solidFill>
          </w14:textFill>
        </w:rPr>
        <w:t xml:space="preserve"> 响应文件应包括下列内容</w:t>
      </w:r>
      <w:r>
        <w:rPr>
          <w:rFonts w:ascii="宋体" w:hAnsi="宋体"/>
          <w:color w:val="000000" w:themeColor="text1"/>
          <w:szCs w:val="21"/>
          <w:highlight w:val="none"/>
          <w14:textFill>
            <w14:solidFill>
              <w14:schemeClr w14:val="tx1"/>
            </w14:solidFill>
          </w14:textFill>
        </w:rPr>
        <w:t>：</w:t>
      </w:r>
    </w:p>
    <w:p w14:paraId="40F2F60E">
      <w:pPr>
        <w:overflowPunct/>
        <w:bidi w:val="0"/>
        <w:spacing w:line="360" w:lineRule="auto"/>
        <w:ind w:right="105" w:rightChars="50" w:firstLine="420" w:firstLineChars="200"/>
        <w:outlineLvl w:val="9"/>
        <w:rPr>
          <w:rFonts w:ascii="宋体" w:hAnsi="宋体" w:cs="宋体"/>
          <w:color w:val="000000" w:themeColor="text1"/>
          <w:szCs w:val="21"/>
          <w:highlight w:val="none"/>
          <w14:textFill>
            <w14:solidFill>
              <w14:schemeClr w14:val="tx1"/>
            </w14:solidFill>
          </w14:textFill>
        </w:rPr>
      </w:pPr>
      <w:r>
        <w:rPr>
          <w:rFonts w:ascii="宋体" w:hAnsi="宋体" w:cs="宋体"/>
          <w:color w:val="000000" w:themeColor="text1"/>
          <w:szCs w:val="21"/>
          <w:highlight w:val="none"/>
          <w14:textFill>
            <w14:solidFill>
              <w14:schemeClr w14:val="tx1"/>
            </w14:solidFill>
          </w14:textFill>
        </w:rPr>
        <w:t>一、</w:t>
      </w:r>
      <w:r>
        <w:rPr>
          <w:rFonts w:hint="eastAsia" w:ascii="宋体" w:hAnsi="宋体" w:cs="宋体"/>
          <w:color w:val="000000" w:themeColor="text1"/>
          <w:szCs w:val="21"/>
          <w:highlight w:val="none"/>
          <w14:textFill>
            <w14:solidFill>
              <w14:schemeClr w14:val="tx1"/>
            </w14:solidFill>
          </w14:textFill>
        </w:rPr>
        <w:t>磋商函</w:t>
      </w:r>
    </w:p>
    <w:p w14:paraId="597881FA">
      <w:pPr>
        <w:overflowPunct/>
        <w:bidi w:val="0"/>
        <w:spacing w:line="360" w:lineRule="auto"/>
        <w:ind w:right="105" w:rightChars="50" w:firstLine="420" w:firstLineChars="200"/>
        <w:outlineLvl w:val="9"/>
        <w:rPr>
          <w:rFonts w:hint="eastAsia" w:ascii="宋体" w:hAnsi="宋体" w:cs="宋体"/>
          <w:color w:val="000000" w:themeColor="text1"/>
          <w:szCs w:val="21"/>
          <w:highlight w:val="none"/>
          <w14:textFill>
            <w14:solidFill>
              <w14:schemeClr w14:val="tx1"/>
            </w14:solidFill>
          </w14:textFill>
        </w:rPr>
      </w:pPr>
      <w:r>
        <w:rPr>
          <w:rFonts w:ascii="宋体" w:hAnsi="宋体" w:cs="宋体"/>
          <w:color w:val="000000" w:themeColor="text1"/>
          <w:szCs w:val="21"/>
          <w:highlight w:val="none"/>
          <w14:textFill>
            <w14:solidFill>
              <w14:schemeClr w14:val="tx1"/>
            </w14:solidFill>
          </w14:textFill>
        </w:rPr>
        <w:t>二、</w:t>
      </w:r>
      <w:r>
        <w:rPr>
          <w:rFonts w:hint="eastAsia" w:ascii="宋体" w:hAnsi="宋体" w:cs="宋体"/>
          <w:color w:val="000000" w:themeColor="text1"/>
          <w:szCs w:val="21"/>
          <w:highlight w:val="none"/>
          <w14:textFill>
            <w14:solidFill>
              <w14:schemeClr w14:val="tx1"/>
            </w14:solidFill>
          </w14:textFill>
        </w:rPr>
        <w:t>法定代表人资格证明</w:t>
      </w:r>
    </w:p>
    <w:p w14:paraId="7147F12B">
      <w:pPr>
        <w:overflowPunct/>
        <w:bidi w:val="0"/>
        <w:spacing w:line="360" w:lineRule="auto"/>
        <w:ind w:right="105" w:rightChars="50" w:firstLine="420" w:firstLineChars="200"/>
        <w:outlineLvl w:val="9"/>
        <w:rPr>
          <w:rFonts w:ascii="宋体" w:hAnsi="宋体" w:cs="宋体"/>
          <w:color w:val="000000" w:themeColor="text1"/>
          <w:szCs w:val="21"/>
          <w:highlight w:val="none"/>
          <w14:textFill>
            <w14:solidFill>
              <w14:schemeClr w14:val="tx1"/>
            </w14:solidFill>
          </w14:textFill>
        </w:rPr>
      </w:pPr>
      <w:r>
        <w:rPr>
          <w:rFonts w:ascii="宋体" w:hAnsi="宋体" w:cs="宋体"/>
          <w:color w:val="000000" w:themeColor="text1"/>
          <w:szCs w:val="21"/>
          <w:highlight w:val="none"/>
          <w14:textFill>
            <w14:solidFill>
              <w14:schemeClr w14:val="tx1"/>
            </w14:solidFill>
          </w14:textFill>
        </w:rPr>
        <w:t>三、授权委托书</w:t>
      </w:r>
    </w:p>
    <w:p w14:paraId="548B9215">
      <w:pPr>
        <w:overflowPunct/>
        <w:bidi w:val="0"/>
        <w:spacing w:line="360" w:lineRule="auto"/>
        <w:ind w:right="105" w:rightChars="50" w:firstLine="420" w:firstLineChars="200"/>
        <w:outlineLvl w:val="9"/>
        <w:rPr>
          <w:rFonts w:ascii="宋体" w:hAnsi="宋体" w:cs="宋体"/>
          <w:color w:val="000000" w:themeColor="text1"/>
          <w:szCs w:val="21"/>
          <w:highlight w:val="none"/>
          <w14:textFill>
            <w14:solidFill>
              <w14:schemeClr w14:val="tx1"/>
            </w14:solidFill>
          </w14:textFill>
        </w:rPr>
      </w:pPr>
      <w:r>
        <w:rPr>
          <w:rFonts w:ascii="宋体" w:hAnsi="宋体" w:cs="宋体"/>
          <w:color w:val="000000" w:themeColor="text1"/>
          <w:szCs w:val="21"/>
          <w:highlight w:val="none"/>
          <w14:textFill>
            <w14:solidFill>
              <w14:schemeClr w14:val="tx1"/>
            </w14:solidFill>
          </w14:textFill>
        </w:rPr>
        <w:t>四、</w:t>
      </w:r>
      <w:r>
        <w:rPr>
          <w:rFonts w:hint="eastAsia" w:ascii="宋体" w:hAnsi="宋体" w:cs="宋体"/>
          <w:color w:val="000000" w:themeColor="text1"/>
          <w:szCs w:val="21"/>
          <w:highlight w:val="none"/>
          <w14:textFill>
            <w14:solidFill>
              <w14:schemeClr w14:val="tx1"/>
            </w14:solidFill>
          </w14:textFill>
        </w:rPr>
        <w:t>报价</w:t>
      </w:r>
      <w:r>
        <w:rPr>
          <w:rFonts w:ascii="宋体" w:hAnsi="宋体" w:cs="宋体"/>
          <w:color w:val="000000" w:themeColor="text1"/>
          <w:szCs w:val="21"/>
          <w:highlight w:val="none"/>
          <w14:textFill>
            <w14:solidFill>
              <w14:schemeClr w14:val="tx1"/>
            </w14:solidFill>
          </w14:textFill>
        </w:rPr>
        <w:t>一览表</w:t>
      </w:r>
    </w:p>
    <w:p w14:paraId="488A4579">
      <w:pPr>
        <w:overflowPunct/>
        <w:bidi w:val="0"/>
        <w:spacing w:line="360" w:lineRule="auto"/>
        <w:ind w:right="105" w:rightChars="50" w:firstLine="420" w:firstLineChars="200"/>
        <w:outlineLvl w:val="9"/>
        <w:rPr>
          <w:rFonts w:ascii="宋体" w:hAnsi="宋体" w:cs="宋体"/>
          <w:color w:val="000000" w:themeColor="text1"/>
          <w:szCs w:val="21"/>
          <w:highlight w:val="none"/>
          <w14:textFill>
            <w14:solidFill>
              <w14:schemeClr w14:val="tx1"/>
            </w14:solidFill>
          </w14:textFill>
        </w:rPr>
      </w:pPr>
      <w:r>
        <w:rPr>
          <w:rFonts w:ascii="宋体" w:hAnsi="宋体" w:cs="宋体"/>
          <w:color w:val="000000" w:themeColor="text1"/>
          <w:szCs w:val="21"/>
          <w:highlight w:val="none"/>
          <w14:textFill>
            <w14:solidFill>
              <w14:schemeClr w14:val="tx1"/>
            </w14:solidFill>
          </w14:textFill>
        </w:rPr>
        <w:t>五、报价</w:t>
      </w:r>
      <w:r>
        <w:rPr>
          <w:rFonts w:hint="eastAsia" w:ascii="宋体" w:hAnsi="宋体" w:cs="宋体"/>
          <w:color w:val="000000" w:themeColor="text1"/>
          <w:szCs w:val="21"/>
          <w:highlight w:val="none"/>
          <w14:textFill>
            <w14:solidFill>
              <w14:schemeClr w14:val="tx1"/>
            </w14:solidFill>
          </w14:textFill>
        </w:rPr>
        <w:t>明细</w:t>
      </w:r>
    </w:p>
    <w:p w14:paraId="47756F27">
      <w:pPr>
        <w:overflowPunct/>
        <w:bidi w:val="0"/>
        <w:spacing w:line="360" w:lineRule="auto"/>
        <w:ind w:right="105" w:rightChars="50" w:firstLine="420" w:firstLineChars="200"/>
        <w:outlineLvl w:val="9"/>
        <w:rPr>
          <w:rFonts w:ascii="宋体" w:hAnsi="宋体" w:cs="宋体"/>
          <w:color w:val="000000" w:themeColor="text1"/>
          <w:szCs w:val="21"/>
          <w:highlight w:val="none"/>
          <w14:textFill>
            <w14:solidFill>
              <w14:schemeClr w14:val="tx1"/>
            </w14:solidFill>
          </w14:textFill>
        </w:rPr>
      </w:pPr>
      <w:r>
        <w:rPr>
          <w:rFonts w:ascii="宋体" w:hAnsi="宋体" w:cs="宋体"/>
          <w:color w:val="000000" w:themeColor="text1"/>
          <w:szCs w:val="21"/>
          <w:highlight w:val="none"/>
          <w14:textFill>
            <w14:solidFill>
              <w14:schemeClr w14:val="tx1"/>
            </w14:solidFill>
          </w14:textFill>
        </w:rPr>
        <w:t>六、投标保证金</w:t>
      </w:r>
    </w:p>
    <w:p w14:paraId="3367D153">
      <w:pPr>
        <w:overflowPunct/>
        <w:bidi w:val="0"/>
        <w:spacing w:line="360" w:lineRule="auto"/>
        <w:ind w:right="105" w:rightChars="50" w:firstLine="420" w:firstLineChars="200"/>
        <w:outlineLvl w:val="9"/>
        <w:rPr>
          <w:rFonts w:ascii="宋体" w:hAnsi="宋体" w:cs="宋体"/>
          <w:color w:val="000000" w:themeColor="text1"/>
          <w:szCs w:val="21"/>
          <w:highlight w:val="none"/>
          <w14:textFill>
            <w14:solidFill>
              <w14:schemeClr w14:val="tx1"/>
            </w14:solidFill>
          </w14:textFill>
        </w:rPr>
      </w:pPr>
      <w:r>
        <w:rPr>
          <w:rFonts w:ascii="宋体" w:hAnsi="宋体" w:cs="宋体"/>
          <w:color w:val="000000" w:themeColor="text1"/>
          <w:szCs w:val="21"/>
          <w:highlight w:val="none"/>
          <w14:textFill>
            <w14:solidFill>
              <w14:schemeClr w14:val="tx1"/>
            </w14:solidFill>
          </w14:textFill>
        </w:rPr>
        <w:t>七、资格审查资料</w:t>
      </w:r>
    </w:p>
    <w:p w14:paraId="2490C93A">
      <w:pPr>
        <w:overflowPunct/>
        <w:bidi w:val="0"/>
        <w:spacing w:line="360" w:lineRule="auto"/>
        <w:ind w:right="105" w:rightChars="50" w:firstLine="420" w:firstLineChars="200"/>
        <w:outlineLvl w:val="9"/>
        <w:rPr>
          <w:rFonts w:hint="eastAsia" w:ascii="宋体" w:hAnsi="宋体" w:eastAsia="宋体" w:cs="宋体"/>
          <w:color w:val="000000" w:themeColor="text1"/>
          <w:szCs w:val="21"/>
          <w:highlight w:val="none"/>
          <w:lang w:eastAsia="zh-CN"/>
          <w14:textFill>
            <w14:solidFill>
              <w14:schemeClr w14:val="tx1"/>
            </w14:solidFill>
          </w14:textFill>
        </w:rPr>
      </w:pPr>
      <w:r>
        <w:rPr>
          <w:rFonts w:ascii="宋体" w:hAnsi="宋体" w:cs="宋体"/>
          <w:color w:val="000000" w:themeColor="text1"/>
          <w:szCs w:val="21"/>
          <w:highlight w:val="none"/>
          <w14:textFill>
            <w14:solidFill>
              <w14:schemeClr w14:val="tx1"/>
            </w14:solidFill>
          </w14:textFill>
        </w:rPr>
        <w:t>八、</w:t>
      </w:r>
      <w:r>
        <w:rPr>
          <w:rFonts w:hint="eastAsia" w:ascii="宋体" w:hAnsi="宋体" w:cs="宋体"/>
          <w:color w:val="000000" w:themeColor="text1"/>
          <w:szCs w:val="21"/>
          <w:highlight w:val="none"/>
          <w:lang w:eastAsia="zh-CN"/>
          <w14:textFill>
            <w14:solidFill>
              <w14:schemeClr w14:val="tx1"/>
            </w14:solidFill>
          </w14:textFill>
        </w:rPr>
        <w:t>技术部分</w:t>
      </w:r>
    </w:p>
    <w:p w14:paraId="0CEE4D9E">
      <w:pPr>
        <w:overflowPunct/>
        <w:bidi w:val="0"/>
        <w:spacing w:line="360" w:lineRule="auto"/>
        <w:ind w:right="105" w:rightChars="50" w:firstLine="420" w:firstLineChars="200"/>
        <w:outlineLvl w:val="9"/>
        <w:rPr>
          <w:rFonts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lang w:eastAsia="zh-CN"/>
          <w14:textFill>
            <w14:solidFill>
              <w14:schemeClr w14:val="tx1"/>
            </w14:solidFill>
          </w14:textFill>
        </w:rPr>
        <w:t>九、</w:t>
      </w:r>
      <w:r>
        <w:rPr>
          <w:rFonts w:ascii="宋体" w:hAnsi="宋体" w:cs="宋体"/>
          <w:color w:val="000000" w:themeColor="text1"/>
          <w:szCs w:val="21"/>
          <w:highlight w:val="none"/>
          <w14:textFill>
            <w14:solidFill>
              <w14:schemeClr w14:val="tx1"/>
            </w14:solidFill>
          </w14:textFill>
        </w:rPr>
        <w:t>其他资料</w:t>
      </w:r>
    </w:p>
    <w:p w14:paraId="03E990C0">
      <w:pPr>
        <w:overflowPunct/>
        <w:autoSpaceDE w:val="0"/>
        <w:autoSpaceDN w:val="0"/>
        <w:bidi w:val="0"/>
        <w:adjustRightInd w:val="0"/>
        <w:spacing w:line="400" w:lineRule="exact"/>
        <w:jc w:val="left"/>
        <w:outlineLvl w:val="9"/>
        <w:rPr>
          <w:rFonts w:ascii="宋体" w:hAnsi="宋体"/>
          <w:color w:val="000000" w:themeColor="text1"/>
          <w:szCs w:val="21"/>
          <w:highlight w:val="none"/>
          <w14:textFill>
            <w14:solidFill>
              <w14:schemeClr w14:val="tx1"/>
            </w14:solidFill>
          </w14:textFill>
        </w:rPr>
      </w:pPr>
      <w:r>
        <w:rPr>
          <w:rFonts w:hint="eastAsia" w:ascii="宋体" w:hAnsi="宋体"/>
          <w:color w:val="000000" w:themeColor="text1"/>
          <w:szCs w:val="21"/>
          <w:highlight w:val="none"/>
          <w14:textFill>
            <w14:solidFill>
              <w14:schemeClr w14:val="tx1"/>
            </w14:solidFill>
          </w14:textFill>
        </w:rPr>
        <w:t xml:space="preserve">3.1.2 </w:t>
      </w:r>
      <w:r>
        <w:rPr>
          <w:rFonts w:hint="eastAsia" w:ascii="宋体" w:hAnsi="宋体"/>
          <w:color w:val="000000" w:themeColor="text1"/>
          <w:szCs w:val="21"/>
          <w:highlight w:val="none"/>
          <w:lang w:eastAsia="zh-CN"/>
          <w14:textFill>
            <w14:solidFill>
              <w14:schemeClr w14:val="tx1"/>
            </w14:solidFill>
          </w14:textFill>
        </w:rPr>
        <w:t>供应商</w:t>
      </w:r>
      <w:r>
        <w:rPr>
          <w:rFonts w:hint="eastAsia" w:ascii="宋体" w:hAnsi="宋体"/>
          <w:color w:val="000000" w:themeColor="text1"/>
          <w:szCs w:val="21"/>
          <w:highlight w:val="none"/>
          <w14:textFill>
            <w14:solidFill>
              <w14:schemeClr w14:val="tx1"/>
            </w14:solidFill>
          </w14:textFill>
        </w:rPr>
        <w:t>须知前附表规定不接受联合体投标的，或</w:t>
      </w:r>
      <w:r>
        <w:rPr>
          <w:rFonts w:hint="eastAsia" w:ascii="宋体" w:hAnsi="宋体"/>
          <w:color w:val="000000" w:themeColor="text1"/>
          <w:szCs w:val="21"/>
          <w:highlight w:val="none"/>
          <w:lang w:eastAsia="zh-CN"/>
          <w14:textFill>
            <w14:solidFill>
              <w14:schemeClr w14:val="tx1"/>
            </w14:solidFill>
          </w14:textFill>
        </w:rPr>
        <w:t>供应商</w:t>
      </w:r>
      <w:r>
        <w:rPr>
          <w:rFonts w:hint="eastAsia" w:ascii="宋体" w:hAnsi="宋体"/>
          <w:color w:val="000000" w:themeColor="text1"/>
          <w:szCs w:val="21"/>
          <w:highlight w:val="none"/>
          <w14:textFill>
            <w14:solidFill>
              <w14:schemeClr w14:val="tx1"/>
            </w14:solidFill>
          </w14:textFill>
        </w:rPr>
        <w:t>没有组成联合体的，响应文件不包括本章第3.1.1 （3）所指的联合体协议书。</w:t>
      </w:r>
    </w:p>
    <w:p w14:paraId="72A4BD51">
      <w:pPr>
        <w:overflowPunct/>
        <w:bidi w:val="0"/>
        <w:outlineLvl w:val="9"/>
        <w:rPr>
          <w:rFonts w:ascii="宋体" w:hAnsi="宋体" w:eastAsia="宋体"/>
          <w:color w:val="000000" w:themeColor="text1"/>
          <w:highlight w:val="none"/>
          <w14:textFill>
            <w14:solidFill>
              <w14:schemeClr w14:val="tx1"/>
            </w14:solidFill>
          </w14:textFill>
        </w:rPr>
      </w:pPr>
      <w:r>
        <w:rPr>
          <w:rFonts w:hint="eastAsia" w:ascii="宋体" w:hAnsi="宋体" w:eastAsia="宋体"/>
          <w:color w:val="000000" w:themeColor="text1"/>
          <w:highlight w:val="none"/>
          <w14:textFill>
            <w14:solidFill>
              <w14:schemeClr w14:val="tx1"/>
            </w14:solidFill>
          </w14:textFill>
        </w:rPr>
        <w:t>3.2 磋商报价</w:t>
      </w:r>
    </w:p>
    <w:p w14:paraId="6C2AD461">
      <w:pPr>
        <w:overflowPunct/>
        <w:bidi w:val="0"/>
        <w:spacing w:line="360" w:lineRule="auto"/>
        <w:ind w:firstLine="420" w:firstLineChars="200"/>
        <w:outlineLvl w:val="9"/>
        <w:rPr>
          <w:rFonts w:hint="eastAsia" w:ascii="宋体" w:hAnsi="宋体"/>
          <w:color w:val="000000" w:themeColor="text1"/>
          <w:szCs w:val="21"/>
          <w:highlight w:val="none"/>
          <w14:textFill>
            <w14:solidFill>
              <w14:schemeClr w14:val="tx1"/>
            </w14:solidFill>
          </w14:textFill>
        </w:rPr>
      </w:pPr>
      <w:r>
        <w:rPr>
          <w:rFonts w:hint="eastAsia" w:ascii="宋体" w:hAnsi="宋体"/>
          <w:color w:val="000000" w:themeColor="text1"/>
          <w:szCs w:val="21"/>
          <w:highlight w:val="none"/>
          <w14:textFill>
            <w14:solidFill>
              <w14:schemeClr w14:val="tx1"/>
            </w14:solidFill>
          </w14:textFill>
        </w:rPr>
        <w:t>3.</w:t>
      </w:r>
      <w:r>
        <w:rPr>
          <w:rFonts w:hint="eastAsia" w:ascii="宋体" w:hAnsi="宋体"/>
          <w:color w:val="000000" w:themeColor="text1"/>
          <w:szCs w:val="21"/>
          <w:highlight w:val="none"/>
          <w:lang w:val="en-US" w:eastAsia="zh-CN"/>
          <w14:textFill>
            <w14:solidFill>
              <w14:schemeClr w14:val="tx1"/>
            </w14:solidFill>
          </w14:textFill>
        </w:rPr>
        <w:t>2</w:t>
      </w:r>
      <w:r>
        <w:rPr>
          <w:rFonts w:hint="eastAsia" w:ascii="宋体" w:hAnsi="宋体"/>
          <w:color w:val="000000" w:themeColor="text1"/>
          <w:szCs w:val="21"/>
          <w:highlight w:val="none"/>
          <w14:textFill>
            <w14:solidFill>
              <w14:schemeClr w14:val="tx1"/>
            </w14:solidFill>
          </w14:textFill>
        </w:rPr>
        <w:t>.1</w:t>
      </w:r>
      <w:r>
        <w:rPr>
          <w:rFonts w:hint="eastAsia" w:ascii="宋体" w:hAnsi="宋体"/>
          <w:color w:val="000000" w:themeColor="text1"/>
          <w:szCs w:val="21"/>
          <w:highlight w:val="none"/>
          <w:lang w:eastAsia="zh-CN"/>
          <w14:textFill>
            <w14:solidFill>
              <w14:schemeClr w14:val="tx1"/>
            </w14:solidFill>
          </w14:textFill>
        </w:rPr>
        <w:t>供应商</w:t>
      </w:r>
      <w:r>
        <w:rPr>
          <w:rFonts w:hint="eastAsia" w:ascii="宋体" w:hAnsi="宋体"/>
          <w:color w:val="000000" w:themeColor="text1"/>
          <w:szCs w:val="21"/>
          <w:highlight w:val="none"/>
          <w14:textFill>
            <w14:solidFill>
              <w14:schemeClr w14:val="tx1"/>
            </w14:solidFill>
          </w14:textFill>
        </w:rPr>
        <w:t>应按采购人提供的“采购需求”的要求填写</w:t>
      </w:r>
      <w:r>
        <w:rPr>
          <w:rFonts w:hint="eastAsia" w:ascii="宋体" w:hAnsi="宋体"/>
          <w:color w:val="000000" w:themeColor="text1"/>
          <w:szCs w:val="21"/>
          <w:highlight w:val="none"/>
          <w:lang w:val="en-US" w:eastAsia="zh-CN"/>
          <w14:textFill>
            <w14:solidFill>
              <w14:schemeClr w14:val="tx1"/>
            </w14:solidFill>
          </w14:textFill>
        </w:rPr>
        <w:t>报价</w:t>
      </w:r>
      <w:r>
        <w:rPr>
          <w:rFonts w:hint="eastAsia" w:ascii="宋体" w:hAnsi="宋体"/>
          <w:color w:val="000000" w:themeColor="text1"/>
          <w:szCs w:val="21"/>
          <w:highlight w:val="none"/>
          <w14:textFill>
            <w14:solidFill>
              <w14:schemeClr w14:val="tx1"/>
            </w14:solidFill>
          </w14:textFill>
        </w:rPr>
        <w:t>。</w:t>
      </w:r>
    </w:p>
    <w:p w14:paraId="389A5081">
      <w:pPr>
        <w:overflowPunct/>
        <w:bidi w:val="0"/>
        <w:spacing w:line="360" w:lineRule="auto"/>
        <w:ind w:firstLine="420" w:firstLineChars="200"/>
        <w:outlineLvl w:val="9"/>
        <w:rPr>
          <w:rFonts w:hint="eastAsia" w:ascii="宋体" w:hAnsi="宋体"/>
          <w:color w:val="000000" w:themeColor="text1"/>
          <w:szCs w:val="21"/>
          <w:highlight w:val="none"/>
          <w14:textFill>
            <w14:solidFill>
              <w14:schemeClr w14:val="tx1"/>
            </w14:solidFill>
          </w14:textFill>
        </w:rPr>
      </w:pPr>
      <w:r>
        <w:rPr>
          <w:rFonts w:hint="eastAsia" w:ascii="宋体" w:hAnsi="宋体"/>
          <w:color w:val="000000" w:themeColor="text1"/>
          <w:szCs w:val="21"/>
          <w:highlight w:val="none"/>
          <w14:textFill>
            <w14:solidFill>
              <w14:schemeClr w14:val="tx1"/>
            </w14:solidFill>
          </w14:textFill>
        </w:rPr>
        <w:t>3.</w:t>
      </w:r>
      <w:r>
        <w:rPr>
          <w:rFonts w:hint="eastAsia" w:ascii="宋体" w:hAnsi="宋体"/>
          <w:color w:val="000000" w:themeColor="text1"/>
          <w:szCs w:val="21"/>
          <w:highlight w:val="none"/>
          <w:lang w:val="en-US" w:eastAsia="zh-CN"/>
          <w14:textFill>
            <w14:solidFill>
              <w14:schemeClr w14:val="tx1"/>
            </w14:solidFill>
          </w14:textFill>
        </w:rPr>
        <w:t>2</w:t>
      </w:r>
      <w:r>
        <w:rPr>
          <w:rFonts w:hint="eastAsia" w:ascii="宋体" w:hAnsi="宋体"/>
          <w:color w:val="000000" w:themeColor="text1"/>
          <w:szCs w:val="21"/>
          <w:highlight w:val="none"/>
          <w14:textFill>
            <w14:solidFill>
              <w14:schemeClr w14:val="tx1"/>
            </w14:solidFill>
          </w14:textFill>
        </w:rPr>
        <w:t xml:space="preserve">.2 </w:t>
      </w:r>
      <w:r>
        <w:rPr>
          <w:rFonts w:hint="eastAsia" w:ascii="宋体" w:hAnsi="宋体"/>
          <w:color w:val="000000" w:themeColor="text1"/>
          <w:szCs w:val="21"/>
          <w:highlight w:val="none"/>
          <w:lang w:eastAsia="zh-CN"/>
          <w14:textFill>
            <w14:solidFill>
              <w14:schemeClr w14:val="tx1"/>
            </w14:solidFill>
          </w14:textFill>
        </w:rPr>
        <w:t>供应商</w:t>
      </w:r>
      <w:r>
        <w:rPr>
          <w:rFonts w:hint="eastAsia" w:ascii="宋体" w:hAnsi="宋体"/>
          <w:color w:val="000000" w:themeColor="text1"/>
          <w:szCs w:val="21"/>
          <w:highlight w:val="none"/>
          <w14:textFill>
            <w14:solidFill>
              <w14:schemeClr w14:val="tx1"/>
            </w14:solidFill>
          </w14:textFill>
        </w:rPr>
        <w:t>磋商报价总额为各分项金额之和。</w:t>
      </w:r>
    </w:p>
    <w:p w14:paraId="3976A1E0">
      <w:pPr>
        <w:overflowPunct/>
        <w:bidi w:val="0"/>
        <w:spacing w:line="360" w:lineRule="auto"/>
        <w:ind w:firstLine="420" w:firstLineChars="200"/>
        <w:outlineLvl w:val="9"/>
        <w:rPr>
          <w:rFonts w:hint="eastAsia" w:ascii="宋体" w:hAnsi="宋体"/>
          <w:color w:val="000000" w:themeColor="text1"/>
          <w:szCs w:val="21"/>
          <w:highlight w:val="none"/>
          <w14:textFill>
            <w14:solidFill>
              <w14:schemeClr w14:val="tx1"/>
            </w14:solidFill>
          </w14:textFill>
        </w:rPr>
      </w:pPr>
      <w:r>
        <w:rPr>
          <w:rFonts w:hint="eastAsia" w:ascii="宋体" w:hAnsi="宋体"/>
          <w:color w:val="000000" w:themeColor="text1"/>
          <w:szCs w:val="21"/>
          <w:highlight w:val="none"/>
          <w14:textFill>
            <w14:solidFill>
              <w14:schemeClr w14:val="tx1"/>
            </w14:solidFill>
          </w14:textFill>
        </w:rPr>
        <w:t>3.</w:t>
      </w:r>
      <w:r>
        <w:rPr>
          <w:rFonts w:hint="eastAsia" w:ascii="宋体" w:hAnsi="宋体"/>
          <w:color w:val="000000" w:themeColor="text1"/>
          <w:szCs w:val="21"/>
          <w:highlight w:val="none"/>
          <w:lang w:val="en-US" w:eastAsia="zh-CN"/>
          <w14:textFill>
            <w14:solidFill>
              <w14:schemeClr w14:val="tx1"/>
            </w14:solidFill>
          </w14:textFill>
        </w:rPr>
        <w:t>2</w:t>
      </w:r>
      <w:r>
        <w:rPr>
          <w:rFonts w:hint="eastAsia" w:ascii="宋体" w:hAnsi="宋体"/>
          <w:color w:val="000000" w:themeColor="text1"/>
          <w:szCs w:val="21"/>
          <w:highlight w:val="none"/>
          <w14:textFill>
            <w14:solidFill>
              <w14:schemeClr w14:val="tx1"/>
            </w14:solidFill>
          </w14:textFill>
        </w:rPr>
        <w:t>.3 采购人设有采购预算的，</w:t>
      </w:r>
      <w:r>
        <w:rPr>
          <w:rFonts w:hint="eastAsia" w:ascii="宋体" w:hAnsi="宋体"/>
          <w:color w:val="000000" w:themeColor="text1"/>
          <w:szCs w:val="21"/>
          <w:highlight w:val="none"/>
          <w:lang w:eastAsia="zh-CN"/>
          <w14:textFill>
            <w14:solidFill>
              <w14:schemeClr w14:val="tx1"/>
            </w14:solidFill>
          </w14:textFill>
        </w:rPr>
        <w:t>供应商</w:t>
      </w:r>
      <w:r>
        <w:rPr>
          <w:rFonts w:hint="eastAsia" w:ascii="宋体" w:hAnsi="宋体"/>
          <w:color w:val="000000" w:themeColor="text1"/>
          <w:szCs w:val="21"/>
          <w:highlight w:val="none"/>
          <w14:textFill>
            <w14:solidFill>
              <w14:schemeClr w14:val="tx1"/>
            </w14:solidFill>
          </w14:textFill>
        </w:rPr>
        <w:t>的磋商报价不得超过采购预算。</w:t>
      </w:r>
    </w:p>
    <w:p w14:paraId="6A7EA16D">
      <w:pPr>
        <w:overflowPunct/>
        <w:bidi w:val="0"/>
        <w:spacing w:line="360" w:lineRule="auto"/>
        <w:ind w:firstLine="420" w:firstLineChars="200"/>
        <w:outlineLvl w:val="9"/>
        <w:rPr>
          <w:rFonts w:hint="eastAsia" w:ascii="宋体" w:hAnsi="宋体"/>
          <w:color w:val="000000" w:themeColor="text1"/>
          <w:szCs w:val="21"/>
          <w:highlight w:val="none"/>
          <w14:textFill>
            <w14:solidFill>
              <w14:schemeClr w14:val="tx1"/>
            </w14:solidFill>
          </w14:textFill>
        </w:rPr>
      </w:pPr>
      <w:r>
        <w:rPr>
          <w:rFonts w:hint="eastAsia" w:ascii="宋体" w:hAnsi="宋体"/>
          <w:color w:val="000000" w:themeColor="text1"/>
          <w:szCs w:val="21"/>
          <w:highlight w:val="none"/>
          <w14:textFill>
            <w14:solidFill>
              <w14:schemeClr w14:val="tx1"/>
            </w14:solidFill>
          </w14:textFill>
        </w:rPr>
        <w:t>3.</w:t>
      </w:r>
      <w:r>
        <w:rPr>
          <w:rFonts w:hint="eastAsia" w:ascii="宋体" w:hAnsi="宋体"/>
          <w:color w:val="000000" w:themeColor="text1"/>
          <w:szCs w:val="21"/>
          <w:highlight w:val="none"/>
          <w:lang w:val="en-US" w:eastAsia="zh-CN"/>
          <w14:textFill>
            <w14:solidFill>
              <w14:schemeClr w14:val="tx1"/>
            </w14:solidFill>
          </w14:textFill>
        </w:rPr>
        <w:t>2</w:t>
      </w:r>
      <w:r>
        <w:rPr>
          <w:rFonts w:hint="eastAsia" w:ascii="宋体" w:hAnsi="宋体"/>
          <w:color w:val="000000" w:themeColor="text1"/>
          <w:szCs w:val="21"/>
          <w:highlight w:val="none"/>
          <w14:textFill>
            <w14:solidFill>
              <w14:schemeClr w14:val="tx1"/>
            </w14:solidFill>
          </w14:textFill>
        </w:rPr>
        <w:t>.4 磋商报价为</w:t>
      </w:r>
      <w:r>
        <w:rPr>
          <w:rFonts w:hint="eastAsia" w:ascii="宋体" w:hAnsi="宋体"/>
          <w:color w:val="000000" w:themeColor="text1"/>
          <w:szCs w:val="21"/>
          <w:highlight w:val="none"/>
          <w:lang w:eastAsia="zh-CN"/>
          <w14:textFill>
            <w14:solidFill>
              <w14:schemeClr w14:val="tx1"/>
            </w14:solidFill>
          </w14:textFill>
        </w:rPr>
        <w:t>供应商</w:t>
      </w:r>
      <w:r>
        <w:rPr>
          <w:rFonts w:hint="eastAsia" w:ascii="宋体" w:hAnsi="宋体"/>
          <w:color w:val="000000" w:themeColor="text1"/>
          <w:szCs w:val="21"/>
          <w:highlight w:val="none"/>
          <w14:textFill>
            <w14:solidFill>
              <w14:schemeClr w14:val="tx1"/>
            </w14:solidFill>
          </w14:textFill>
        </w:rPr>
        <w:t>在响应文件中提出的各项报价的总和。</w:t>
      </w:r>
    </w:p>
    <w:p w14:paraId="73909CC7">
      <w:pPr>
        <w:overflowPunct/>
        <w:bidi w:val="0"/>
        <w:spacing w:line="360" w:lineRule="auto"/>
        <w:ind w:firstLine="420" w:firstLineChars="200"/>
        <w:outlineLvl w:val="9"/>
        <w:rPr>
          <w:rFonts w:hint="eastAsia" w:ascii="宋体" w:hAnsi="宋体"/>
          <w:color w:val="000000" w:themeColor="text1"/>
          <w:szCs w:val="21"/>
          <w:highlight w:val="none"/>
          <w14:textFill>
            <w14:solidFill>
              <w14:schemeClr w14:val="tx1"/>
            </w14:solidFill>
          </w14:textFill>
        </w:rPr>
      </w:pPr>
      <w:r>
        <w:rPr>
          <w:rFonts w:hint="eastAsia" w:ascii="宋体" w:hAnsi="宋体"/>
          <w:color w:val="000000" w:themeColor="text1"/>
          <w:szCs w:val="21"/>
          <w:highlight w:val="none"/>
          <w14:textFill>
            <w14:solidFill>
              <w14:schemeClr w14:val="tx1"/>
            </w14:solidFill>
          </w14:textFill>
        </w:rPr>
        <w:t>3.</w:t>
      </w:r>
      <w:r>
        <w:rPr>
          <w:rFonts w:hint="eastAsia" w:ascii="宋体" w:hAnsi="宋体"/>
          <w:color w:val="000000" w:themeColor="text1"/>
          <w:szCs w:val="21"/>
          <w:highlight w:val="none"/>
          <w:lang w:val="en-US" w:eastAsia="zh-CN"/>
          <w14:textFill>
            <w14:solidFill>
              <w14:schemeClr w14:val="tx1"/>
            </w14:solidFill>
          </w14:textFill>
        </w:rPr>
        <w:t>2</w:t>
      </w:r>
      <w:r>
        <w:rPr>
          <w:rFonts w:hint="eastAsia" w:ascii="宋体" w:hAnsi="宋体"/>
          <w:color w:val="000000" w:themeColor="text1"/>
          <w:szCs w:val="21"/>
          <w:highlight w:val="none"/>
          <w14:textFill>
            <w14:solidFill>
              <w14:schemeClr w14:val="tx1"/>
            </w14:solidFill>
          </w14:textFill>
        </w:rPr>
        <w:t xml:space="preserve">.5 </w:t>
      </w:r>
      <w:r>
        <w:rPr>
          <w:rFonts w:hint="eastAsia" w:ascii="宋体" w:hAnsi="宋体"/>
          <w:color w:val="000000" w:themeColor="text1"/>
          <w:szCs w:val="21"/>
          <w:highlight w:val="none"/>
          <w:lang w:eastAsia="zh-CN"/>
          <w14:textFill>
            <w14:solidFill>
              <w14:schemeClr w14:val="tx1"/>
            </w14:solidFill>
          </w14:textFill>
        </w:rPr>
        <w:t>供应商</w:t>
      </w:r>
      <w:r>
        <w:rPr>
          <w:rFonts w:hint="eastAsia" w:ascii="宋体" w:hAnsi="宋体"/>
          <w:color w:val="000000" w:themeColor="text1"/>
          <w:szCs w:val="21"/>
          <w:highlight w:val="none"/>
          <w14:textFill>
            <w14:solidFill>
              <w14:schemeClr w14:val="tx1"/>
            </w14:solidFill>
          </w14:textFill>
        </w:rPr>
        <w:t>的磋商报价，应是完成本须知和竞争性磋商中所列采购需求的全部，作为</w:t>
      </w:r>
      <w:r>
        <w:rPr>
          <w:rFonts w:hint="eastAsia" w:ascii="宋体" w:hAnsi="宋体"/>
          <w:color w:val="000000" w:themeColor="text1"/>
          <w:szCs w:val="21"/>
          <w:highlight w:val="none"/>
          <w:lang w:eastAsia="zh-CN"/>
          <w14:textFill>
            <w14:solidFill>
              <w14:schemeClr w14:val="tx1"/>
            </w14:solidFill>
          </w14:textFill>
        </w:rPr>
        <w:t>供应商</w:t>
      </w:r>
      <w:r>
        <w:rPr>
          <w:rFonts w:hint="eastAsia" w:ascii="宋体" w:hAnsi="宋体"/>
          <w:color w:val="000000" w:themeColor="text1"/>
          <w:szCs w:val="21"/>
          <w:highlight w:val="none"/>
          <w14:textFill>
            <w14:solidFill>
              <w14:schemeClr w14:val="tx1"/>
            </w14:solidFill>
          </w14:textFill>
        </w:rPr>
        <w:t>计算单价或总价的依据。</w:t>
      </w:r>
    </w:p>
    <w:p w14:paraId="0A1E0588">
      <w:pPr>
        <w:overflowPunct/>
        <w:bidi w:val="0"/>
        <w:spacing w:line="360" w:lineRule="auto"/>
        <w:ind w:firstLine="420" w:firstLineChars="200"/>
        <w:outlineLvl w:val="9"/>
        <w:rPr>
          <w:rFonts w:hint="eastAsia" w:ascii="宋体" w:hAnsi="宋体"/>
          <w:color w:val="000000" w:themeColor="text1"/>
          <w:szCs w:val="21"/>
          <w:highlight w:val="none"/>
          <w14:textFill>
            <w14:solidFill>
              <w14:schemeClr w14:val="tx1"/>
            </w14:solidFill>
          </w14:textFill>
        </w:rPr>
      </w:pPr>
      <w:r>
        <w:rPr>
          <w:rFonts w:hint="eastAsia" w:ascii="宋体" w:hAnsi="宋体"/>
          <w:color w:val="000000" w:themeColor="text1"/>
          <w:szCs w:val="21"/>
          <w:highlight w:val="none"/>
          <w14:textFill>
            <w14:solidFill>
              <w14:schemeClr w14:val="tx1"/>
            </w14:solidFill>
          </w14:textFill>
        </w:rPr>
        <w:t>3.</w:t>
      </w:r>
      <w:r>
        <w:rPr>
          <w:rFonts w:hint="eastAsia" w:ascii="宋体" w:hAnsi="宋体"/>
          <w:color w:val="000000" w:themeColor="text1"/>
          <w:szCs w:val="21"/>
          <w:highlight w:val="none"/>
          <w:lang w:val="en-US" w:eastAsia="zh-CN"/>
          <w14:textFill>
            <w14:solidFill>
              <w14:schemeClr w14:val="tx1"/>
            </w14:solidFill>
          </w14:textFill>
        </w:rPr>
        <w:t>2</w:t>
      </w:r>
      <w:r>
        <w:rPr>
          <w:rFonts w:hint="eastAsia" w:ascii="宋体" w:hAnsi="宋体"/>
          <w:color w:val="000000" w:themeColor="text1"/>
          <w:szCs w:val="21"/>
          <w:highlight w:val="none"/>
          <w14:textFill>
            <w14:solidFill>
              <w14:schemeClr w14:val="tx1"/>
            </w14:solidFill>
          </w14:textFill>
        </w:rPr>
        <w:t>.6</w:t>
      </w:r>
      <w:r>
        <w:rPr>
          <w:rFonts w:ascii="宋体" w:hAnsi="宋体"/>
          <w:color w:val="000000" w:themeColor="text1"/>
          <w:szCs w:val="21"/>
          <w:highlight w:val="none"/>
          <w14:textFill>
            <w14:solidFill>
              <w14:schemeClr w14:val="tx1"/>
            </w14:solidFill>
          </w14:textFill>
        </w:rPr>
        <w:t>最低报价不能作为</w:t>
      </w:r>
      <w:r>
        <w:rPr>
          <w:rFonts w:hint="eastAsia" w:ascii="宋体" w:hAnsi="宋体"/>
          <w:color w:val="000000" w:themeColor="text1"/>
          <w:szCs w:val="21"/>
          <w:highlight w:val="none"/>
          <w14:textFill>
            <w14:solidFill>
              <w14:schemeClr w14:val="tx1"/>
            </w14:solidFill>
          </w14:textFill>
        </w:rPr>
        <w:t>成交</w:t>
      </w:r>
      <w:r>
        <w:rPr>
          <w:rFonts w:ascii="宋体" w:hAnsi="宋体"/>
          <w:color w:val="000000" w:themeColor="text1"/>
          <w:szCs w:val="21"/>
          <w:highlight w:val="none"/>
          <w14:textFill>
            <w14:solidFill>
              <w14:schemeClr w14:val="tx1"/>
            </w14:solidFill>
          </w14:textFill>
        </w:rPr>
        <w:t>的唯一依据</w:t>
      </w:r>
      <w:r>
        <w:rPr>
          <w:rFonts w:hint="eastAsia" w:ascii="宋体" w:hAnsi="宋体"/>
          <w:color w:val="000000" w:themeColor="text1"/>
          <w:szCs w:val="21"/>
          <w:highlight w:val="none"/>
          <w14:textFill>
            <w14:solidFill>
              <w14:schemeClr w14:val="tx1"/>
            </w14:solidFill>
          </w14:textFill>
        </w:rPr>
        <w:t>。</w:t>
      </w:r>
    </w:p>
    <w:p w14:paraId="01615A94">
      <w:pPr>
        <w:overflowPunct/>
        <w:bidi w:val="0"/>
        <w:spacing w:line="360" w:lineRule="auto"/>
        <w:ind w:firstLine="420" w:firstLineChars="200"/>
        <w:outlineLvl w:val="9"/>
        <w:rPr>
          <w:rFonts w:ascii="宋体" w:hAnsi="宋体"/>
          <w:color w:val="000000" w:themeColor="text1"/>
          <w:szCs w:val="21"/>
          <w:highlight w:val="none"/>
          <w14:textFill>
            <w14:solidFill>
              <w14:schemeClr w14:val="tx1"/>
            </w14:solidFill>
          </w14:textFill>
        </w:rPr>
      </w:pPr>
      <w:r>
        <w:rPr>
          <w:rFonts w:hint="eastAsia" w:ascii="宋体" w:hAnsi="宋体"/>
          <w:color w:val="000000" w:themeColor="text1"/>
          <w:szCs w:val="21"/>
          <w:highlight w:val="none"/>
          <w14:textFill>
            <w14:solidFill>
              <w14:schemeClr w14:val="tx1"/>
            </w14:solidFill>
          </w14:textFill>
        </w:rPr>
        <w:t>3.</w:t>
      </w:r>
      <w:r>
        <w:rPr>
          <w:rFonts w:hint="eastAsia" w:ascii="宋体" w:hAnsi="宋体"/>
          <w:color w:val="000000" w:themeColor="text1"/>
          <w:szCs w:val="21"/>
          <w:highlight w:val="none"/>
          <w:lang w:val="en-US" w:eastAsia="zh-CN"/>
          <w14:textFill>
            <w14:solidFill>
              <w14:schemeClr w14:val="tx1"/>
            </w14:solidFill>
          </w14:textFill>
        </w:rPr>
        <w:t>2</w:t>
      </w:r>
      <w:r>
        <w:rPr>
          <w:rFonts w:hint="eastAsia" w:ascii="宋体" w:hAnsi="宋体"/>
          <w:color w:val="000000" w:themeColor="text1"/>
          <w:szCs w:val="21"/>
          <w:highlight w:val="none"/>
          <w14:textFill>
            <w14:solidFill>
              <w14:schemeClr w14:val="tx1"/>
            </w14:solidFill>
          </w14:textFill>
        </w:rPr>
        <w:t>.7本项目采用两轮报价（第二轮报价即最后报价）。</w:t>
      </w:r>
    </w:p>
    <w:p w14:paraId="14E7FD4E">
      <w:pPr>
        <w:overflowPunct/>
        <w:bidi w:val="0"/>
        <w:outlineLvl w:val="9"/>
        <w:rPr>
          <w:rFonts w:ascii="宋体" w:hAnsi="宋体" w:eastAsia="宋体"/>
          <w:color w:val="000000" w:themeColor="text1"/>
          <w:highlight w:val="none"/>
          <w14:textFill>
            <w14:solidFill>
              <w14:schemeClr w14:val="tx1"/>
            </w14:solidFill>
          </w14:textFill>
        </w:rPr>
      </w:pPr>
      <w:r>
        <w:rPr>
          <w:rFonts w:hint="eastAsia" w:ascii="宋体" w:hAnsi="宋体" w:eastAsia="宋体"/>
          <w:color w:val="000000" w:themeColor="text1"/>
          <w:highlight w:val="none"/>
          <w14:textFill>
            <w14:solidFill>
              <w14:schemeClr w14:val="tx1"/>
            </w14:solidFill>
          </w14:textFill>
        </w:rPr>
        <w:t>3.3 响应有效期</w:t>
      </w:r>
    </w:p>
    <w:p w14:paraId="54E58A9A">
      <w:pPr>
        <w:overflowPunct/>
        <w:bidi w:val="0"/>
        <w:spacing w:line="360" w:lineRule="auto"/>
        <w:ind w:firstLine="420" w:firstLineChars="200"/>
        <w:outlineLvl w:val="9"/>
        <w:rPr>
          <w:rFonts w:ascii="宋体" w:hAnsi="宋体"/>
          <w:color w:val="000000" w:themeColor="text1"/>
          <w:szCs w:val="21"/>
          <w:highlight w:val="none"/>
          <w14:textFill>
            <w14:solidFill>
              <w14:schemeClr w14:val="tx1"/>
            </w14:solidFill>
          </w14:textFill>
        </w:rPr>
      </w:pPr>
      <w:r>
        <w:rPr>
          <w:rFonts w:hint="eastAsia" w:ascii="宋体" w:hAnsi="宋体"/>
          <w:color w:val="000000" w:themeColor="text1"/>
          <w:szCs w:val="21"/>
          <w:highlight w:val="none"/>
          <w14:textFill>
            <w14:solidFill>
              <w14:schemeClr w14:val="tx1"/>
            </w14:solidFill>
          </w14:textFill>
        </w:rPr>
        <w:t>3.3.1 在</w:t>
      </w:r>
      <w:r>
        <w:rPr>
          <w:rFonts w:hint="eastAsia" w:ascii="宋体" w:hAnsi="宋体"/>
          <w:color w:val="000000" w:themeColor="text1"/>
          <w:szCs w:val="21"/>
          <w:highlight w:val="none"/>
          <w:lang w:eastAsia="zh-CN"/>
          <w14:textFill>
            <w14:solidFill>
              <w14:schemeClr w14:val="tx1"/>
            </w14:solidFill>
          </w14:textFill>
        </w:rPr>
        <w:t>供应商</w:t>
      </w:r>
      <w:r>
        <w:rPr>
          <w:rFonts w:hint="eastAsia" w:ascii="宋体" w:hAnsi="宋体"/>
          <w:color w:val="000000" w:themeColor="text1"/>
          <w:szCs w:val="21"/>
          <w:highlight w:val="none"/>
          <w14:textFill>
            <w14:solidFill>
              <w14:schemeClr w14:val="tx1"/>
            </w14:solidFill>
          </w14:textFill>
        </w:rPr>
        <w:t>须知前附表规定的响应有效期内，</w:t>
      </w:r>
      <w:r>
        <w:rPr>
          <w:rFonts w:hint="eastAsia" w:ascii="宋体" w:hAnsi="宋体"/>
          <w:color w:val="000000" w:themeColor="text1"/>
          <w:szCs w:val="21"/>
          <w:highlight w:val="none"/>
          <w:lang w:eastAsia="zh-CN"/>
          <w14:textFill>
            <w14:solidFill>
              <w14:schemeClr w14:val="tx1"/>
            </w14:solidFill>
          </w14:textFill>
        </w:rPr>
        <w:t>供应商</w:t>
      </w:r>
      <w:r>
        <w:rPr>
          <w:rFonts w:hint="eastAsia" w:ascii="宋体" w:hAnsi="宋体"/>
          <w:color w:val="000000" w:themeColor="text1"/>
          <w:szCs w:val="21"/>
          <w:highlight w:val="none"/>
          <w14:textFill>
            <w14:solidFill>
              <w14:schemeClr w14:val="tx1"/>
            </w14:solidFill>
          </w14:textFill>
        </w:rPr>
        <w:t>不得要求撤销或修改其响应文件。</w:t>
      </w:r>
    </w:p>
    <w:p w14:paraId="4E27A7F6">
      <w:pPr>
        <w:overflowPunct/>
        <w:bidi w:val="0"/>
        <w:spacing w:line="360" w:lineRule="auto"/>
        <w:ind w:firstLine="420" w:firstLineChars="200"/>
        <w:outlineLvl w:val="9"/>
        <w:rPr>
          <w:rFonts w:ascii="宋体" w:hAnsi="宋体"/>
          <w:color w:val="000000" w:themeColor="text1"/>
          <w:szCs w:val="21"/>
          <w:highlight w:val="none"/>
          <w14:textFill>
            <w14:solidFill>
              <w14:schemeClr w14:val="tx1"/>
            </w14:solidFill>
          </w14:textFill>
        </w:rPr>
      </w:pPr>
      <w:r>
        <w:rPr>
          <w:rFonts w:hint="eastAsia" w:ascii="宋体" w:hAnsi="宋体"/>
          <w:color w:val="000000" w:themeColor="text1"/>
          <w:szCs w:val="21"/>
          <w:highlight w:val="none"/>
          <w14:textFill>
            <w14:solidFill>
              <w14:schemeClr w14:val="tx1"/>
            </w14:solidFill>
          </w14:textFill>
        </w:rPr>
        <w:t>3.3.2 出现特殊情况需要延长响应有效期的，采购人以书面形式通知所有</w:t>
      </w:r>
      <w:r>
        <w:rPr>
          <w:rFonts w:hint="eastAsia" w:ascii="宋体" w:hAnsi="宋体"/>
          <w:color w:val="000000" w:themeColor="text1"/>
          <w:szCs w:val="21"/>
          <w:highlight w:val="none"/>
          <w:lang w:eastAsia="zh-CN"/>
          <w14:textFill>
            <w14:solidFill>
              <w14:schemeClr w14:val="tx1"/>
            </w14:solidFill>
          </w14:textFill>
        </w:rPr>
        <w:t>供应商</w:t>
      </w:r>
      <w:r>
        <w:rPr>
          <w:rFonts w:hint="eastAsia" w:ascii="宋体" w:hAnsi="宋体"/>
          <w:color w:val="000000" w:themeColor="text1"/>
          <w:szCs w:val="21"/>
          <w:highlight w:val="none"/>
          <w14:textFill>
            <w14:solidFill>
              <w14:schemeClr w14:val="tx1"/>
            </w14:solidFill>
          </w14:textFill>
        </w:rPr>
        <w:t>延长响应有效期。</w:t>
      </w:r>
      <w:r>
        <w:rPr>
          <w:rFonts w:hint="eastAsia" w:ascii="宋体" w:hAnsi="宋体"/>
          <w:color w:val="000000" w:themeColor="text1"/>
          <w:szCs w:val="21"/>
          <w:highlight w:val="none"/>
          <w:lang w:eastAsia="zh-CN"/>
          <w14:textFill>
            <w14:solidFill>
              <w14:schemeClr w14:val="tx1"/>
            </w14:solidFill>
          </w14:textFill>
        </w:rPr>
        <w:t>供应商</w:t>
      </w:r>
      <w:r>
        <w:rPr>
          <w:rFonts w:hint="eastAsia" w:ascii="宋体" w:hAnsi="宋体"/>
          <w:color w:val="000000" w:themeColor="text1"/>
          <w:szCs w:val="21"/>
          <w:highlight w:val="none"/>
          <w14:textFill>
            <w14:solidFill>
              <w14:schemeClr w14:val="tx1"/>
            </w14:solidFill>
          </w14:textFill>
        </w:rPr>
        <w:t>同意延长的，应相应延长其磋商保证金的有效期，但不得要求或被允许修改或撤销其响应文件；</w:t>
      </w:r>
      <w:r>
        <w:rPr>
          <w:rFonts w:hint="eastAsia" w:ascii="宋体" w:hAnsi="宋体"/>
          <w:color w:val="000000" w:themeColor="text1"/>
          <w:szCs w:val="21"/>
          <w:highlight w:val="none"/>
          <w:lang w:eastAsia="zh-CN"/>
          <w14:textFill>
            <w14:solidFill>
              <w14:schemeClr w14:val="tx1"/>
            </w14:solidFill>
          </w14:textFill>
        </w:rPr>
        <w:t>供应商</w:t>
      </w:r>
      <w:r>
        <w:rPr>
          <w:rFonts w:hint="eastAsia" w:ascii="宋体" w:hAnsi="宋体"/>
          <w:color w:val="000000" w:themeColor="text1"/>
          <w:szCs w:val="21"/>
          <w:highlight w:val="none"/>
          <w14:textFill>
            <w14:solidFill>
              <w14:schemeClr w14:val="tx1"/>
            </w14:solidFill>
          </w14:textFill>
        </w:rPr>
        <w:t>拒绝延长的，其投标失效，但</w:t>
      </w:r>
      <w:r>
        <w:rPr>
          <w:rFonts w:hint="eastAsia" w:ascii="宋体" w:hAnsi="宋体"/>
          <w:color w:val="000000" w:themeColor="text1"/>
          <w:szCs w:val="21"/>
          <w:highlight w:val="none"/>
          <w:lang w:eastAsia="zh-CN"/>
          <w14:textFill>
            <w14:solidFill>
              <w14:schemeClr w14:val="tx1"/>
            </w14:solidFill>
          </w14:textFill>
        </w:rPr>
        <w:t>供应商</w:t>
      </w:r>
      <w:r>
        <w:rPr>
          <w:rFonts w:hint="eastAsia" w:ascii="宋体" w:hAnsi="宋体"/>
          <w:color w:val="000000" w:themeColor="text1"/>
          <w:szCs w:val="21"/>
          <w:highlight w:val="none"/>
          <w14:textFill>
            <w14:solidFill>
              <w14:schemeClr w14:val="tx1"/>
            </w14:solidFill>
          </w14:textFill>
        </w:rPr>
        <w:t>有权收回其磋商保证金。</w:t>
      </w:r>
    </w:p>
    <w:p w14:paraId="7CCCF876">
      <w:pPr>
        <w:overflowPunct/>
        <w:bidi w:val="0"/>
        <w:outlineLvl w:val="9"/>
        <w:rPr>
          <w:rFonts w:ascii="宋体" w:hAnsi="宋体" w:eastAsia="宋体"/>
          <w:color w:val="000000" w:themeColor="text1"/>
          <w:highlight w:val="none"/>
          <w14:textFill>
            <w14:solidFill>
              <w14:schemeClr w14:val="tx1"/>
            </w14:solidFill>
          </w14:textFill>
        </w:rPr>
      </w:pPr>
      <w:r>
        <w:rPr>
          <w:rFonts w:hint="eastAsia" w:ascii="宋体" w:hAnsi="宋体" w:eastAsia="宋体"/>
          <w:color w:val="000000" w:themeColor="text1"/>
          <w:highlight w:val="none"/>
          <w14:textFill>
            <w14:solidFill>
              <w14:schemeClr w14:val="tx1"/>
            </w14:solidFill>
          </w14:textFill>
        </w:rPr>
        <w:t>3.4 磋商保证金</w:t>
      </w:r>
    </w:p>
    <w:p w14:paraId="407E2ECE">
      <w:pPr>
        <w:overflowPunct/>
        <w:bidi w:val="0"/>
        <w:spacing w:line="360" w:lineRule="auto"/>
        <w:ind w:firstLine="420" w:firstLineChars="200"/>
        <w:outlineLvl w:val="9"/>
        <w:rPr>
          <w:rFonts w:ascii="宋体" w:hAnsi="宋体"/>
          <w:color w:val="000000" w:themeColor="text1"/>
          <w:szCs w:val="21"/>
          <w:highlight w:val="none"/>
          <w14:textFill>
            <w14:solidFill>
              <w14:schemeClr w14:val="tx1"/>
            </w14:solidFill>
          </w14:textFill>
        </w:rPr>
      </w:pPr>
      <w:r>
        <w:rPr>
          <w:rFonts w:hint="eastAsia" w:ascii="宋体" w:hAnsi="宋体"/>
          <w:color w:val="000000" w:themeColor="text1"/>
          <w:szCs w:val="21"/>
          <w:highlight w:val="none"/>
          <w14:textFill>
            <w14:solidFill>
              <w14:schemeClr w14:val="tx1"/>
            </w14:solidFill>
          </w14:textFill>
        </w:rPr>
        <w:t xml:space="preserve">3.4.1 </w:t>
      </w:r>
      <w:r>
        <w:rPr>
          <w:rFonts w:hint="eastAsia" w:ascii="宋体" w:hAnsi="宋体"/>
          <w:color w:val="000000" w:themeColor="text1"/>
          <w:szCs w:val="21"/>
          <w:highlight w:val="none"/>
          <w:lang w:eastAsia="zh-CN"/>
          <w14:textFill>
            <w14:solidFill>
              <w14:schemeClr w14:val="tx1"/>
            </w14:solidFill>
          </w14:textFill>
        </w:rPr>
        <w:t>供应商</w:t>
      </w:r>
      <w:r>
        <w:rPr>
          <w:rFonts w:hint="eastAsia" w:ascii="宋体" w:hAnsi="宋体"/>
          <w:color w:val="000000" w:themeColor="text1"/>
          <w:szCs w:val="21"/>
          <w:highlight w:val="none"/>
          <w14:textFill>
            <w14:solidFill>
              <w14:schemeClr w14:val="tx1"/>
            </w14:solidFill>
          </w14:textFill>
        </w:rPr>
        <w:t>在递交响应文件的同时，应按</w:t>
      </w:r>
      <w:r>
        <w:rPr>
          <w:rFonts w:hint="eastAsia" w:ascii="宋体" w:hAnsi="宋体"/>
          <w:color w:val="000000" w:themeColor="text1"/>
          <w:szCs w:val="21"/>
          <w:highlight w:val="none"/>
          <w:lang w:eastAsia="zh-CN"/>
          <w14:textFill>
            <w14:solidFill>
              <w14:schemeClr w14:val="tx1"/>
            </w14:solidFill>
          </w14:textFill>
        </w:rPr>
        <w:t>供应商</w:t>
      </w:r>
      <w:r>
        <w:rPr>
          <w:rFonts w:hint="eastAsia" w:ascii="宋体" w:hAnsi="宋体"/>
          <w:color w:val="000000" w:themeColor="text1"/>
          <w:szCs w:val="21"/>
          <w:highlight w:val="none"/>
          <w14:textFill>
            <w14:solidFill>
              <w14:schemeClr w14:val="tx1"/>
            </w14:solidFill>
          </w14:textFill>
        </w:rPr>
        <w:t>须知前附表规定的金额、担保形式和第八章“响应文件格式”规定的磋商保证金格式递交磋商保证金，并作为其响应文件的组成部分。联合体投标的，其磋商保证金由牵头人递交，并应符合</w:t>
      </w:r>
      <w:r>
        <w:rPr>
          <w:rFonts w:hint="eastAsia" w:ascii="宋体" w:hAnsi="宋体"/>
          <w:color w:val="000000" w:themeColor="text1"/>
          <w:szCs w:val="21"/>
          <w:highlight w:val="none"/>
          <w:lang w:eastAsia="zh-CN"/>
          <w14:textFill>
            <w14:solidFill>
              <w14:schemeClr w14:val="tx1"/>
            </w14:solidFill>
          </w14:textFill>
        </w:rPr>
        <w:t>供应商</w:t>
      </w:r>
      <w:r>
        <w:rPr>
          <w:rFonts w:hint="eastAsia" w:ascii="宋体" w:hAnsi="宋体"/>
          <w:color w:val="000000" w:themeColor="text1"/>
          <w:szCs w:val="21"/>
          <w:highlight w:val="none"/>
          <w14:textFill>
            <w14:solidFill>
              <w14:schemeClr w14:val="tx1"/>
            </w14:solidFill>
          </w14:textFill>
        </w:rPr>
        <w:t>须知前附表的规定。</w:t>
      </w:r>
    </w:p>
    <w:p w14:paraId="50EDAE0E">
      <w:pPr>
        <w:overflowPunct/>
        <w:bidi w:val="0"/>
        <w:spacing w:line="360" w:lineRule="auto"/>
        <w:ind w:firstLine="420" w:firstLineChars="200"/>
        <w:outlineLvl w:val="9"/>
        <w:rPr>
          <w:rFonts w:ascii="宋体" w:hAnsi="宋体"/>
          <w:color w:val="000000" w:themeColor="text1"/>
          <w:szCs w:val="21"/>
          <w:highlight w:val="none"/>
          <w14:textFill>
            <w14:solidFill>
              <w14:schemeClr w14:val="tx1"/>
            </w14:solidFill>
          </w14:textFill>
        </w:rPr>
      </w:pPr>
      <w:r>
        <w:rPr>
          <w:rFonts w:hint="eastAsia" w:ascii="宋体" w:hAnsi="宋体"/>
          <w:color w:val="000000" w:themeColor="text1"/>
          <w:szCs w:val="21"/>
          <w:highlight w:val="none"/>
          <w14:textFill>
            <w14:solidFill>
              <w14:schemeClr w14:val="tx1"/>
            </w14:solidFill>
          </w14:textFill>
        </w:rPr>
        <w:t xml:space="preserve">3.4.2 </w:t>
      </w:r>
      <w:r>
        <w:rPr>
          <w:rFonts w:hint="eastAsia" w:ascii="宋体" w:hAnsi="宋体"/>
          <w:color w:val="000000" w:themeColor="text1"/>
          <w:szCs w:val="21"/>
          <w:highlight w:val="none"/>
          <w:lang w:eastAsia="zh-CN"/>
          <w14:textFill>
            <w14:solidFill>
              <w14:schemeClr w14:val="tx1"/>
            </w14:solidFill>
          </w14:textFill>
        </w:rPr>
        <w:t>供应商</w:t>
      </w:r>
      <w:r>
        <w:rPr>
          <w:rFonts w:hint="eastAsia" w:ascii="宋体" w:hAnsi="宋体"/>
          <w:color w:val="000000" w:themeColor="text1"/>
          <w:szCs w:val="21"/>
          <w:highlight w:val="none"/>
          <w14:textFill>
            <w14:solidFill>
              <w14:schemeClr w14:val="tx1"/>
            </w14:solidFill>
          </w14:textFill>
        </w:rPr>
        <w:t>不按本章第3.4.1 项要求提交磋商保证金的，其响应文件作废标处理</w:t>
      </w:r>
      <w:r>
        <w:rPr>
          <w:rFonts w:hint="eastAsia" w:ascii="宋体" w:hAnsi="宋体"/>
          <w:color w:val="000000" w:themeColor="text1"/>
          <w:szCs w:val="21"/>
          <w:highlight w:val="none"/>
          <w:lang w:val="zh-CN"/>
          <w14:textFill>
            <w14:solidFill>
              <w14:schemeClr w14:val="tx1"/>
            </w14:solidFill>
          </w14:textFill>
        </w:rPr>
        <w:t>（</w:t>
      </w:r>
      <w:r>
        <w:rPr>
          <w:rFonts w:hint="eastAsia" w:ascii="宋体" w:hAnsi="宋体"/>
          <w:color w:val="000000" w:themeColor="text1"/>
          <w:szCs w:val="21"/>
          <w:highlight w:val="none"/>
          <w:lang w:val="en-US" w:eastAsia="zh-CN"/>
          <w14:textFill>
            <w14:solidFill>
              <w14:schemeClr w14:val="tx1"/>
            </w14:solidFill>
          </w14:textFill>
        </w:rPr>
        <w:t>本项目不收取磋商保证金</w:t>
      </w:r>
      <w:r>
        <w:rPr>
          <w:rFonts w:hint="eastAsia" w:ascii="宋体" w:hAnsi="宋体"/>
          <w:color w:val="000000" w:themeColor="text1"/>
          <w:szCs w:val="21"/>
          <w:highlight w:val="none"/>
          <w:lang w:val="zh-CN"/>
          <w14:textFill>
            <w14:solidFill>
              <w14:schemeClr w14:val="tx1"/>
            </w14:solidFill>
          </w14:textFill>
        </w:rPr>
        <w:t>）</w:t>
      </w:r>
      <w:r>
        <w:rPr>
          <w:rFonts w:hint="eastAsia" w:ascii="宋体" w:hAnsi="宋体"/>
          <w:color w:val="000000" w:themeColor="text1"/>
          <w:szCs w:val="21"/>
          <w:highlight w:val="none"/>
          <w14:textFill>
            <w14:solidFill>
              <w14:schemeClr w14:val="tx1"/>
            </w14:solidFill>
          </w14:textFill>
        </w:rPr>
        <w:t>。</w:t>
      </w:r>
    </w:p>
    <w:p w14:paraId="19CF67EE">
      <w:pPr>
        <w:overflowPunct/>
        <w:bidi w:val="0"/>
        <w:spacing w:line="360" w:lineRule="auto"/>
        <w:ind w:firstLine="420" w:firstLineChars="200"/>
        <w:outlineLvl w:val="9"/>
        <w:rPr>
          <w:rFonts w:ascii="宋体" w:hAnsi="宋体"/>
          <w:color w:val="000000" w:themeColor="text1"/>
          <w:szCs w:val="21"/>
          <w:highlight w:val="none"/>
          <w14:textFill>
            <w14:solidFill>
              <w14:schemeClr w14:val="tx1"/>
            </w14:solidFill>
          </w14:textFill>
        </w:rPr>
      </w:pPr>
      <w:r>
        <w:rPr>
          <w:rFonts w:hint="eastAsia" w:ascii="宋体" w:hAnsi="宋体"/>
          <w:color w:val="000000" w:themeColor="text1"/>
          <w:szCs w:val="21"/>
          <w:highlight w:val="none"/>
          <w14:textFill>
            <w14:solidFill>
              <w14:schemeClr w14:val="tx1"/>
            </w14:solidFill>
          </w14:textFill>
        </w:rPr>
        <w:t>3.4.3未</w:t>
      </w:r>
      <w:r>
        <w:rPr>
          <w:rFonts w:hint="eastAsia" w:ascii="宋体" w:hAnsi="宋体"/>
          <w:color w:val="000000" w:themeColor="text1"/>
          <w:szCs w:val="21"/>
          <w:highlight w:val="none"/>
          <w:lang w:eastAsia="zh-CN"/>
          <w14:textFill>
            <w14:solidFill>
              <w14:schemeClr w14:val="tx1"/>
            </w14:solidFill>
          </w14:textFill>
        </w:rPr>
        <w:t>成交人</w:t>
      </w:r>
      <w:r>
        <w:rPr>
          <w:rFonts w:hint="eastAsia" w:ascii="宋体" w:hAnsi="宋体"/>
          <w:color w:val="000000" w:themeColor="text1"/>
          <w:szCs w:val="21"/>
          <w:highlight w:val="none"/>
          <w14:textFill>
            <w14:solidFill>
              <w14:schemeClr w14:val="tx1"/>
            </w14:solidFill>
          </w14:textFill>
        </w:rPr>
        <w:t>的磋商保证金应当在成交通知书发出后5个工作日内退还，</w:t>
      </w:r>
      <w:r>
        <w:rPr>
          <w:rFonts w:hint="eastAsia" w:ascii="宋体" w:hAnsi="宋体"/>
          <w:color w:val="000000" w:themeColor="text1"/>
          <w:szCs w:val="21"/>
          <w:highlight w:val="none"/>
          <w:lang w:eastAsia="zh-CN"/>
          <w14:textFill>
            <w14:solidFill>
              <w14:schemeClr w14:val="tx1"/>
            </w14:solidFill>
          </w14:textFill>
        </w:rPr>
        <w:t>成交人</w:t>
      </w:r>
      <w:r>
        <w:rPr>
          <w:rFonts w:hint="eastAsia" w:ascii="宋体" w:hAnsi="宋体"/>
          <w:color w:val="000000" w:themeColor="text1"/>
          <w:szCs w:val="21"/>
          <w:highlight w:val="none"/>
          <w14:textFill>
            <w14:solidFill>
              <w14:schemeClr w14:val="tx1"/>
            </w14:solidFill>
          </w14:textFill>
        </w:rPr>
        <w:t>的磋商保证金应当在项目合同签订后5个工作日内退还</w:t>
      </w:r>
      <w:r>
        <w:rPr>
          <w:rFonts w:hint="eastAsia" w:ascii="宋体" w:hAnsi="宋体"/>
          <w:color w:val="000000" w:themeColor="text1"/>
          <w:szCs w:val="21"/>
          <w:highlight w:val="none"/>
          <w:lang w:val="zh-CN"/>
          <w14:textFill>
            <w14:solidFill>
              <w14:schemeClr w14:val="tx1"/>
            </w14:solidFill>
          </w14:textFill>
        </w:rPr>
        <w:t>（</w:t>
      </w:r>
      <w:r>
        <w:rPr>
          <w:rFonts w:hint="eastAsia" w:ascii="宋体" w:hAnsi="宋体"/>
          <w:color w:val="000000" w:themeColor="text1"/>
          <w:szCs w:val="21"/>
          <w:highlight w:val="none"/>
          <w:lang w:val="en-US" w:eastAsia="zh-CN"/>
          <w14:textFill>
            <w14:solidFill>
              <w14:schemeClr w14:val="tx1"/>
            </w14:solidFill>
          </w14:textFill>
        </w:rPr>
        <w:t>本项目不收取磋商保证金</w:t>
      </w:r>
      <w:r>
        <w:rPr>
          <w:rFonts w:hint="eastAsia" w:ascii="宋体" w:hAnsi="宋体"/>
          <w:color w:val="000000" w:themeColor="text1"/>
          <w:szCs w:val="21"/>
          <w:highlight w:val="none"/>
          <w:lang w:val="zh-CN"/>
          <w14:textFill>
            <w14:solidFill>
              <w14:schemeClr w14:val="tx1"/>
            </w14:solidFill>
          </w14:textFill>
        </w:rPr>
        <w:t>）</w:t>
      </w:r>
      <w:r>
        <w:rPr>
          <w:rFonts w:hint="eastAsia" w:ascii="宋体" w:hAnsi="宋体"/>
          <w:color w:val="000000" w:themeColor="text1"/>
          <w:szCs w:val="21"/>
          <w:highlight w:val="none"/>
          <w14:textFill>
            <w14:solidFill>
              <w14:schemeClr w14:val="tx1"/>
            </w14:solidFill>
          </w14:textFill>
        </w:rPr>
        <w:t>。</w:t>
      </w:r>
    </w:p>
    <w:p w14:paraId="7848FB00">
      <w:pPr>
        <w:overflowPunct/>
        <w:bidi w:val="0"/>
        <w:spacing w:line="360" w:lineRule="auto"/>
        <w:ind w:firstLine="420" w:firstLineChars="200"/>
        <w:outlineLvl w:val="9"/>
        <w:rPr>
          <w:rFonts w:ascii="宋体" w:hAnsi="宋体"/>
          <w:color w:val="000000" w:themeColor="text1"/>
          <w:szCs w:val="21"/>
          <w:highlight w:val="none"/>
          <w14:textFill>
            <w14:solidFill>
              <w14:schemeClr w14:val="tx1"/>
            </w14:solidFill>
          </w14:textFill>
        </w:rPr>
      </w:pPr>
      <w:r>
        <w:rPr>
          <w:rFonts w:hint="eastAsia" w:ascii="宋体" w:hAnsi="宋体"/>
          <w:color w:val="000000" w:themeColor="text1"/>
          <w:szCs w:val="21"/>
          <w:highlight w:val="none"/>
          <w14:textFill>
            <w14:solidFill>
              <w14:schemeClr w14:val="tx1"/>
            </w14:solidFill>
          </w14:textFill>
        </w:rPr>
        <w:t>3.4.4 有下列情形之一的，磋商保证金将不予退还：</w:t>
      </w:r>
    </w:p>
    <w:p w14:paraId="731C7322">
      <w:pPr>
        <w:overflowPunct/>
        <w:bidi w:val="0"/>
        <w:spacing w:line="360" w:lineRule="auto"/>
        <w:ind w:firstLine="420" w:firstLineChars="200"/>
        <w:outlineLvl w:val="9"/>
        <w:rPr>
          <w:rFonts w:ascii="宋体" w:hAnsi="宋体"/>
          <w:color w:val="000000" w:themeColor="text1"/>
          <w:szCs w:val="21"/>
          <w:highlight w:val="none"/>
          <w14:textFill>
            <w14:solidFill>
              <w14:schemeClr w14:val="tx1"/>
            </w14:solidFill>
          </w14:textFill>
        </w:rPr>
      </w:pPr>
      <w:r>
        <w:rPr>
          <w:rFonts w:hint="eastAsia" w:ascii="宋体" w:hAnsi="宋体"/>
          <w:color w:val="000000" w:themeColor="text1"/>
          <w:szCs w:val="21"/>
          <w:highlight w:val="none"/>
          <w14:textFill>
            <w14:solidFill>
              <w14:schemeClr w14:val="tx1"/>
            </w14:solidFill>
          </w14:textFill>
        </w:rPr>
        <w:t>(1）</w:t>
      </w:r>
      <w:r>
        <w:rPr>
          <w:rFonts w:hint="eastAsia" w:ascii="宋体" w:hAnsi="宋体"/>
          <w:color w:val="000000" w:themeColor="text1"/>
          <w:szCs w:val="21"/>
          <w:highlight w:val="none"/>
          <w:lang w:eastAsia="zh-CN"/>
          <w14:textFill>
            <w14:solidFill>
              <w14:schemeClr w14:val="tx1"/>
            </w14:solidFill>
          </w14:textFill>
        </w:rPr>
        <w:t>供应商</w:t>
      </w:r>
      <w:r>
        <w:rPr>
          <w:rFonts w:hint="eastAsia" w:ascii="宋体" w:hAnsi="宋体"/>
          <w:color w:val="000000" w:themeColor="text1"/>
          <w:szCs w:val="21"/>
          <w:highlight w:val="none"/>
          <w14:textFill>
            <w14:solidFill>
              <w14:schemeClr w14:val="tx1"/>
            </w14:solidFill>
          </w14:textFill>
        </w:rPr>
        <w:t>在规定的响应有效期内撤销或修改其响应文件；</w:t>
      </w:r>
    </w:p>
    <w:p w14:paraId="57D05C23">
      <w:pPr>
        <w:overflowPunct/>
        <w:bidi w:val="0"/>
        <w:spacing w:line="360" w:lineRule="auto"/>
        <w:ind w:firstLine="420" w:firstLineChars="200"/>
        <w:outlineLvl w:val="9"/>
        <w:rPr>
          <w:rFonts w:ascii="宋体" w:hAnsi="宋体"/>
          <w:color w:val="000000" w:themeColor="text1"/>
          <w:szCs w:val="21"/>
          <w:highlight w:val="none"/>
          <w14:textFill>
            <w14:solidFill>
              <w14:schemeClr w14:val="tx1"/>
            </w14:solidFill>
          </w14:textFill>
        </w:rPr>
      </w:pPr>
      <w:r>
        <w:rPr>
          <w:rFonts w:hint="eastAsia" w:ascii="宋体" w:hAnsi="宋体"/>
          <w:color w:val="000000" w:themeColor="text1"/>
          <w:szCs w:val="21"/>
          <w:highlight w:val="none"/>
          <w14:textFill>
            <w14:solidFill>
              <w14:schemeClr w14:val="tx1"/>
            </w14:solidFill>
          </w14:textFill>
        </w:rPr>
        <w:t>(2）成交单位在收到成交通知书后，无正当理由拒签合同协议书或未按磋商文件规定提交履约担保。</w:t>
      </w:r>
    </w:p>
    <w:p w14:paraId="712C6691">
      <w:pPr>
        <w:overflowPunct/>
        <w:bidi w:val="0"/>
        <w:spacing w:line="360" w:lineRule="auto"/>
        <w:ind w:firstLine="420" w:firstLineChars="200"/>
        <w:outlineLvl w:val="9"/>
        <w:rPr>
          <w:rFonts w:ascii="宋体" w:hAnsi="宋体"/>
          <w:color w:val="000000" w:themeColor="text1"/>
          <w:szCs w:val="21"/>
          <w:highlight w:val="none"/>
          <w14:textFill>
            <w14:solidFill>
              <w14:schemeClr w14:val="tx1"/>
            </w14:solidFill>
          </w14:textFill>
        </w:rPr>
      </w:pPr>
      <w:r>
        <w:rPr>
          <w:rFonts w:hint="eastAsia" w:ascii="宋体" w:hAnsi="宋体"/>
          <w:color w:val="000000" w:themeColor="text1"/>
          <w:szCs w:val="21"/>
          <w:highlight w:val="none"/>
          <w:lang w:eastAsia="zh-CN"/>
          <w14:textFill>
            <w14:solidFill>
              <w14:schemeClr w14:val="tx1"/>
            </w14:solidFill>
          </w14:textFill>
        </w:rPr>
        <w:t>供应商</w:t>
      </w:r>
      <w:r>
        <w:rPr>
          <w:rFonts w:hint="eastAsia" w:ascii="宋体" w:hAnsi="宋体"/>
          <w:color w:val="000000" w:themeColor="text1"/>
          <w:szCs w:val="21"/>
          <w:highlight w:val="none"/>
          <w14:textFill>
            <w14:solidFill>
              <w14:schemeClr w14:val="tx1"/>
            </w14:solidFill>
          </w14:textFill>
        </w:rPr>
        <w:t>在编制响应文件时，应按新情况更新或补充其在申请资格预审时提供的资料，以证实其各项资格条件仍能继续满足资格预审文件的要求，具备承担本标段施工的资质条件、能力和信誉。</w:t>
      </w:r>
    </w:p>
    <w:p w14:paraId="1F19EB8F">
      <w:pPr>
        <w:overflowPunct/>
        <w:bidi w:val="0"/>
        <w:outlineLvl w:val="9"/>
        <w:rPr>
          <w:rFonts w:ascii="宋体" w:hAnsi="宋体" w:eastAsia="宋体"/>
          <w:color w:val="000000" w:themeColor="text1"/>
          <w:highlight w:val="none"/>
          <w14:textFill>
            <w14:solidFill>
              <w14:schemeClr w14:val="tx1"/>
            </w14:solidFill>
          </w14:textFill>
        </w:rPr>
      </w:pPr>
      <w:r>
        <w:rPr>
          <w:rFonts w:hint="eastAsia" w:ascii="宋体" w:hAnsi="宋体" w:eastAsia="宋体"/>
          <w:color w:val="000000" w:themeColor="text1"/>
          <w:highlight w:val="none"/>
          <w14:textFill>
            <w14:solidFill>
              <w14:schemeClr w14:val="tx1"/>
            </w14:solidFill>
          </w14:textFill>
        </w:rPr>
        <w:t>3.</w:t>
      </w:r>
      <w:r>
        <w:rPr>
          <w:rFonts w:hint="eastAsia" w:ascii="宋体" w:hAnsi="宋体" w:eastAsia="宋体"/>
          <w:color w:val="000000" w:themeColor="text1"/>
          <w:highlight w:val="none"/>
          <w:lang w:val="en-US" w:eastAsia="zh-CN"/>
          <w14:textFill>
            <w14:solidFill>
              <w14:schemeClr w14:val="tx1"/>
            </w14:solidFill>
          </w14:textFill>
        </w:rPr>
        <w:t>5</w:t>
      </w:r>
      <w:r>
        <w:rPr>
          <w:rFonts w:hint="eastAsia" w:ascii="宋体" w:hAnsi="宋体" w:eastAsia="宋体"/>
          <w:color w:val="000000" w:themeColor="text1"/>
          <w:highlight w:val="none"/>
          <w14:textFill>
            <w14:solidFill>
              <w14:schemeClr w14:val="tx1"/>
            </w14:solidFill>
          </w14:textFill>
        </w:rPr>
        <w:t xml:space="preserve"> 备选投标方案</w:t>
      </w:r>
    </w:p>
    <w:p w14:paraId="035E70DB">
      <w:pPr>
        <w:overflowPunct/>
        <w:bidi w:val="0"/>
        <w:spacing w:line="360" w:lineRule="auto"/>
        <w:ind w:firstLine="420" w:firstLineChars="200"/>
        <w:outlineLvl w:val="9"/>
        <w:rPr>
          <w:rFonts w:ascii="宋体" w:hAnsi="宋体"/>
          <w:color w:val="000000" w:themeColor="text1"/>
          <w:szCs w:val="21"/>
          <w:highlight w:val="none"/>
          <w14:textFill>
            <w14:solidFill>
              <w14:schemeClr w14:val="tx1"/>
            </w14:solidFill>
          </w14:textFill>
        </w:rPr>
      </w:pPr>
      <w:r>
        <w:rPr>
          <w:rFonts w:hint="eastAsia" w:ascii="宋体" w:hAnsi="宋体"/>
          <w:color w:val="000000" w:themeColor="text1"/>
          <w:szCs w:val="21"/>
          <w:highlight w:val="none"/>
          <w14:textFill>
            <w14:solidFill>
              <w14:schemeClr w14:val="tx1"/>
            </w14:solidFill>
          </w14:textFill>
        </w:rPr>
        <w:t>除</w:t>
      </w:r>
      <w:r>
        <w:rPr>
          <w:rFonts w:hint="eastAsia" w:ascii="宋体" w:hAnsi="宋体"/>
          <w:color w:val="000000" w:themeColor="text1"/>
          <w:szCs w:val="21"/>
          <w:highlight w:val="none"/>
          <w:lang w:eastAsia="zh-CN"/>
          <w14:textFill>
            <w14:solidFill>
              <w14:schemeClr w14:val="tx1"/>
            </w14:solidFill>
          </w14:textFill>
        </w:rPr>
        <w:t>供应商</w:t>
      </w:r>
      <w:r>
        <w:rPr>
          <w:rFonts w:hint="eastAsia" w:ascii="宋体" w:hAnsi="宋体"/>
          <w:color w:val="000000" w:themeColor="text1"/>
          <w:szCs w:val="21"/>
          <w:highlight w:val="none"/>
          <w14:textFill>
            <w14:solidFill>
              <w14:schemeClr w14:val="tx1"/>
            </w14:solidFill>
          </w14:textFill>
        </w:rPr>
        <w:t>须知前附表另有规定外，</w:t>
      </w:r>
      <w:r>
        <w:rPr>
          <w:rFonts w:hint="eastAsia" w:ascii="宋体" w:hAnsi="宋体"/>
          <w:color w:val="000000" w:themeColor="text1"/>
          <w:szCs w:val="21"/>
          <w:highlight w:val="none"/>
          <w:lang w:eastAsia="zh-CN"/>
          <w14:textFill>
            <w14:solidFill>
              <w14:schemeClr w14:val="tx1"/>
            </w14:solidFill>
          </w14:textFill>
        </w:rPr>
        <w:t>供应商</w:t>
      </w:r>
      <w:r>
        <w:rPr>
          <w:rFonts w:hint="eastAsia" w:ascii="宋体" w:hAnsi="宋体"/>
          <w:color w:val="000000" w:themeColor="text1"/>
          <w:szCs w:val="21"/>
          <w:highlight w:val="none"/>
          <w14:textFill>
            <w14:solidFill>
              <w14:schemeClr w14:val="tx1"/>
            </w14:solidFill>
          </w14:textFill>
        </w:rPr>
        <w:t>不得递交备选投标方案。允许</w:t>
      </w:r>
      <w:r>
        <w:rPr>
          <w:rFonts w:hint="eastAsia" w:ascii="宋体" w:hAnsi="宋体"/>
          <w:color w:val="000000" w:themeColor="text1"/>
          <w:szCs w:val="21"/>
          <w:highlight w:val="none"/>
          <w:lang w:eastAsia="zh-CN"/>
          <w14:textFill>
            <w14:solidFill>
              <w14:schemeClr w14:val="tx1"/>
            </w14:solidFill>
          </w14:textFill>
        </w:rPr>
        <w:t>供应商</w:t>
      </w:r>
      <w:r>
        <w:rPr>
          <w:rFonts w:hint="eastAsia" w:ascii="宋体" w:hAnsi="宋体"/>
          <w:color w:val="000000" w:themeColor="text1"/>
          <w:szCs w:val="21"/>
          <w:highlight w:val="none"/>
          <w14:textFill>
            <w14:solidFill>
              <w14:schemeClr w14:val="tx1"/>
            </w14:solidFill>
          </w14:textFill>
        </w:rPr>
        <w:t>递交备选投标方案的，只有成交单位所递交的备选投标方案方可予以考虑。磋商小组认为成交单位的备选投标方案优于其按照磋商文件要求编制的投标方案的，采购人可以接受该备选投标方案。</w:t>
      </w:r>
    </w:p>
    <w:p w14:paraId="3B24CE5D">
      <w:pPr>
        <w:overflowPunct/>
        <w:bidi w:val="0"/>
        <w:outlineLvl w:val="9"/>
        <w:rPr>
          <w:rFonts w:ascii="宋体" w:hAnsi="宋体" w:eastAsia="宋体"/>
          <w:color w:val="000000" w:themeColor="text1"/>
          <w:highlight w:val="none"/>
          <w14:textFill>
            <w14:solidFill>
              <w14:schemeClr w14:val="tx1"/>
            </w14:solidFill>
          </w14:textFill>
        </w:rPr>
      </w:pPr>
      <w:r>
        <w:rPr>
          <w:rFonts w:hint="eastAsia" w:ascii="宋体" w:hAnsi="宋体" w:eastAsia="宋体"/>
          <w:color w:val="000000" w:themeColor="text1"/>
          <w:highlight w:val="none"/>
          <w14:textFill>
            <w14:solidFill>
              <w14:schemeClr w14:val="tx1"/>
            </w14:solidFill>
          </w14:textFill>
        </w:rPr>
        <w:t>3.</w:t>
      </w:r>
      <w:r>
        <w:rPr>
          <w:rFonts w:hint="eastAsia" w:ascii="宋体" w:hAnsi="宋体" w:eastAsia="宋体"/>
          <w:color w:val="000000" w:themeColor="text1"/>
          <w:highlight w:val="none"/>
          <w:lang w:val="en-US" w:eastAsia="zh-CN"/>
          <w14:textFill>
            <w14:solidFill>
              <w14:schemeClr w14:val="tx1"/>
            </w14:solidFill>
          </w14:textFill>
        </w:rPr>
        <w:t>6</w:t>
      </w:r>
      <w:r>
        <w:rPr>
          <w:rFonts w:hint="eastAsia" w:ascii="宋体" w:hAnsi="宋体" w:eastAsia="宋体"/>
          <w:color w:val="000000" w:themeColor="text1"/>
          <w:highlight w:val="none"/>
          <w14:textFill>
            <w14:solidFill>
              <w14:schemeClr w14:val="tx1"/>
            </w14:solidFill>
          </w14:textFill>
        </w:rPr>
        <w:t xml:space="preserve"> 响应文件的编制</w:t>
      </w:r>
    </w:p>
    <w:p w14:paraId="0F214947">
      <w:pPr>
        <w:overflowPunct/>
        <w:bidi w:val="0"/>
        <w:spacing w:line="360" w:lineRule="auto"/>
        <w:ind w:firstLine="420" w:firstLineChars="200"/>
        <w:outlineLvl w:val="9"/>
        <w:rPr>
          <w:rFonts w:ascii="宋体" w:hAnsi="宋体"/>
          <w:color w:val="000000" w:themeColor="text1"/>
          <w:szCs w:val="21"/>
          <w:highlight w:val="none"/>
          <w14:textFill>
            <w14:solidFill>
              <w14:schemeClr w14:val="tx1"/>
            </w14:solidFill>
          </w14:textFill>
        </w:rPr>
      </w:pPr>
      <w:r>
        <w:rPr>
          <w:rFonts w:hint="eastAsia" w:ascii="宋体" w:hAnsi="宋体"/>
          <w:color w:val="000000" w:themeColor="text1"/>
          <w:szCs w:val="21"/>
          <w:highlight w:val="none"/>
          <w14:textFill>
            <w14:solidFill>
              <w14:schemeClr w14:val="tx1"/>
            </w14:solidFill>
          </w14:textFill>
        </w:rPr>
        <w:t>3.</w:t>
      </w:r>
      <w:r>
        <w:rPr>
          <w:rFonts w:hint="eastAsia" w:ascii="宋体" w:hAnsi="宋体"/>
          <w:color w:val="000000" w:themeColor="text1"/>
          <w:szCs w:val="21"/>
          <w:highlight w:val="none"/>
          <w:lang w:val="en-US" w:eastAsia="zh-CN"/>
          <w14:textFill>
            <w14:solidFill>
              <w14:schemeClr w14:val="tx1"/>
            </w14:solidFill>
          </w14:textFill>
        </w:rPr>
        <w:t>6</w:t>
      </w:r>
      <w:r>
        <w:rPr>
          <w:rFonts w:hint="eastAsia" w:ascii="宋体" w:hAnsi="宋体"/>
          <w:color w:val="000000" w:themeColor="text1"/>
          <w:szCs w:val="21"/>
          <w:highlight w:val="none"/>
          <w14:textFill>
            <w14:solidFill>
              <w14:schemeClr w14:val="tx1"/>
            </w14:solidFill>
          </w14:textFill>
        </w:rPr>
        <w:t>.1 响应文件应按第</w:t>
      </w:r>
      <w:r>
        <w:rPr>
          <w:rFonts w:hint="eastAsia" w:ascii="宋体" w:hAnsi="宋体"/>
          <w:color w:val="000000" w:themeColor="text1"/>
          <w:szCs w:val="21"/>
          <w:highlight w:val="none"/>
          <w:lang w:val="en-US" w:eastAsia="zh-CN"/>
          <w14:textFill>
            <w14:solidFill>
              <w14:schemeClr w14:val="tx1"/>
            </w14:solidFill>
          </w14:textFill>
        </w:rPr>
        <w:t>六</w:t>
      </w:r>
      <w:r>
        <w:rPr>
          <w:rFonts w:hint="eastAsia" w:ascii="宋体" w:hAnsi="宋体"/>
          <w:color w:val="000000" w:themeColor="text1"/>
          <w:szCs w:val="21"/>
          <w:highlight w:val="none"/>
          <w14:textFill>
            <w14:solidFill>
              <w14:schemeClr w14:val="tx1"/>
            </w14:solidFill>
          </w14:textFill>
        </w:rPr>
        <w:t>章“响应文件格式”进行编写，如有必要，可以增加附页，作为响应文件的组成部分。其中，磋商函附录在满足磋商文件实质性要求的基础上，可以提出比磋商文件要求更有利于采购人的承诺。</w:t>
      </w:r>
    </w:p>
    <w:p w14:paraId="757AEF3B">
      <w:pPr>
        <w:overflowPunct/>
        <w:bidi w:val="0"/>
        <w:spacing w:line="360" w:lineRule="auto"/>
        <w:ind w:firstLine="420" w:firstLineChars="200"/>
        <w:outlineLvl w:val="9"/>
        <w:rPr>
          <w:rFonts w:ascii="宋体" w:hAnsi="宋体"/>
          <w:bCs/>
          <w:color w:val="000000" w:themeColor="text1"/>
          <w:szCs w:val="21"/>
          <w:highlight w:val="none"/>
          <w:lang w:val="zh-CN"/>
          <w14:textFill>
            <w14:solidFill>
              <w14:schemeClr w14:val="tx1"/>
            </w14:solidFill>
          </w14:textFill>
        </w:rPr>
      </w:pPr>
      <w:r>
        <w:rPr>
          <w:rFonts w:ascii="宋体" w:hAnsi="宋体"/>
          <w:bCs/>
          <w:color w:val="000000" w:themeColor="text1"/>
          <w:szCs w:val="21"/>
          <w:highlight w:val="none"/>
          <w:lang w:val="zh-CN"/>
          <w14:textFill>
            <w14:solidFill>
              <w14:schemeClr w14:val="tx1"/>
            </w14:solidFill>
          </w14:textFill>
        </w:rPr>
        <w:t>3</w:t>
      </w:r>
      <w:r>
        <w:rPr>
          <w:rFonts w:hint="eastAsia" w:ascii="宋体" w:hAnsi="宋体"/>
          <w:bCs/>
          <w:color w:val="000000" w:themeColor="text1"/>
          <w:szCs w:val="21"/>
          <w:highlight w:val="none"/>
          <w:lang w:val="zh-CN"/>
          <w14:textFill>
            <w14:solidFill>
              <w14:schemeClr w14:val="tx1"/>
            </w14:solidFill>
          </w14:textFill>
        </w:rPr>
        <w:t>.</w:t>
      </w:r>
      <w:r>
        <w:rPr>
          <w:rFonts w:hint="eastAsia" w:ascii="宋体" w:hAnsi="宋体"/>
          <w:bCs/>
          <w:color w:val="000000" w:themeColor="text1"/>
          <w:szCs w:val="21"/>
          <w:highlight w:val="none"/>
          <w:lang w:val="en-US" w:eastAsia="zh-CN"/>
          <w14:textFill>
            <w14:solidFill>
              <w14:schemeClr w14:val="tx1"/>
            </w14:solidFill>
          </w14:textFill>
        </w:rPr>
        <w:t>6</w:t>
      </w:r>
      <w:r>
        <w:rPr>
          <w:rFonts w:hint="eastAsia" w:ascii="宋体" w:hAnsi="宋体"/>
          <w:bCs/>
          <w:color w:val="000000" w:themeColor="text1"/>
          <w:szCs w:val="21"/>
          <w:highlight w:val="none"/>
          <w:lang w:val="zh-CN"/>
          <w14:textFill>
            <w14:solidFill>
              <w14:schemeClr w14:val="tx1"/>
            </w14:solidFill>
          </w14:textFill>
        </w:rPr>
        <w:t>.</w:t>
      </w:r>
      <w:r>
        <w:rPr>
          <w:rFonts w:ascii="宋体" w:hAnsi="宋体"/>
          <w:bCs/>
          <w:color w:val="000000" w:themeColor="text1"/>
          <w:szCs w:val="21"/>
          <w:highlight w:val="none"/>
          <w:lang w:val="zh-CN"/>
          <w14:textFill>
            <w14:solidFill>
              <w14:schemeClr w14:val="tx1"/>
            </w14:solidFill>
          </w14:textFill>
        </w:rPr>
        <w:t>2</w:t>
      </w:r>
      <w:r>
        <w:rPr>
          <w:rFonts w:hint="eastAsia" w:ascii="宋体" w:hAnsi="宋体"/>
          <w:bCs/>
          <w:color w:val="000000" w:themeColor="text1"/>
          <w:szCs w:val="21"/>
          <w:highlight w:val="none"/>
          <w:lang w:val="zh-CN"/>
          <w14:textFill>
            <w14:solidFill>
              <w14:schemeClr w14:val="tx1"/>
            </w14:solidFill>
          </w14:textFill>
        </w:rPr>
        <w:t xml:space="preserve"> 响应文件应当对磋商文件有关工期、响应有效期、质量标准、技术标准和要求、</w:t>
      </w:r>
      <w:r>
        <w:rPr>
          <w:rFonts w:hint="eastAsia" w:ascii="宋体" w:hAnsi="宋体"/>
          <w:bCs/>
          <w:color w:val="000000" w:themeColor="text1"/>
          <w:szCs w:val="21"/>
          <w:highlight w:val="none"/>
          <w:lang w:val="en-US" w:eastAsia="zh-CN"/>
          <w14:textFill>
            <w14:solidFill>
              <w14:schemeClr w14:val="tx1"/>
            </w14:solidFill>
          </w14:textFill>
        </w:rPr>
        <w:t>采购</w:t>
      </w:r>
      <w:r>
        <w:rPr>
          <w:rFonts w:hint="eastAsia" w:ascii="宋体" w:hAnsi="宋体"/>
          <w:bCs/>
          <w:color w:val="000000" w:themeColor="text1"/>
          <w:szCs w:val="21"/>
          <w:highlight w:val="none"/>
          <w:lang w:val="zh-CN"/>
          <w14:textFill>
            <w14:solidFill>
              <w14:schemeClr w14:val="tx1"/>
            </w14:solidFill>
          </w14:textFill>
        </w:rPr>
        <w:t>范围等实质性内容作出响应。</w:t>
      </w:r>
    </w:p>
    <w:p w14:paraId="29D896D8">
      <w:pPr>
        <w:overflowPunct/>
        <w:bidi w:val="0"/>
        <w:spacing w:line="360" w:lineRule="auto"/>
        <w:ind w:firstLine="420" w:firstLineChars="200"/>
        <w:outlineLvl w:val="9"/>
        <w:rPr>
          <w:rFonts w:ascii="宋体" w:hAnsi="宋体"/>
          <w:bCs/>
          <w:color w:val="000000" w:themeColor="text1"/>
          <w:szCs w:val="21"/>
          <w:highlight w:val="none"/>
          <w:lang w:val="zh-CN"/>
          <w14:textFill>
            <w14:solidFill>
              <w14:schemeClr w14:val="tx1"/>
            </w14:solidFill>
          </w14:textFill>
        </w:rPr>
      </w:pPr>
      <w:r>
        <w:rPr>
          <w:rFonts w:hint="eastAsia" w:ascii="宋体" w:hAnsi="宋体"/>
          <w:bCs/>
          <w:color w:val="000000" w:themeColor="text1"/>
          <w:szCs w:val="21"/>
          <w:highlight w:val="none"/>
          <w:lang w:val="zh-CN"/>
          <w14:textFill>
            <w14:solidFill>
              <w14:schemeClr w14:val="tx1"/>
            </w14:solidFill>
          </w14:textFill>
        </w:rPr>
        <w:t>3.</w:t>
      </w:r>
      <w:r>
        <w:rPr>
          <w:rFonts w:hint="eastAsia" w:ascii="宋体" w:hAnsi="宋体"/>
          <w:bCs/>
          <w:color w:val="000000" w:themeColor="text1"/>
          <w:szCs w:val="21"/>
          <w:highlight w:val="none"/>
          <w:lang w:val="en-US" w:eastAsia="zh-CN"/>
          <w14:textFill>
            <w14:solidFill>
              <w14:schemeClr w14:val="tx1"/>
            </w14:solidFill>
          </w14:textFill>
        </w:rPr>
        <w:t>6</w:t>
      </w:r>
      <w:r>
        <w:rPr>
          <w:rFonts w:hint="eastAsia" w:ascii="宋体" w:hAnsi="宋体"/>
          <w:bCs/>
          <w:color w:val="000000" w:themeColor="text1"/>
          <w:szCs w:val="21"/>
          <w:highlight w:val="none"/>
          <w:lang w:val="zh-CN"/>
          <w14:textFill>
            <w14:solidFill>
              <w14:schemeClr w14:val="tx1"/>
            </w14:solidFill>
          </w14:textFill>
        </w:rPr>
        <w:t>.3 响应文件应用不褪色的材料书写或打印，由供应商的法定代表人或其委托代理人签字或盖单位章。委托代理人签字的，响应文件应附法定代表人签署的授权委托书。响应文件应尽量避免涂改、行间插字或删除。如果出现上述情况，改动之处应加盖单位章或由供应商的法定代表人或其授权的代理人签字确认。签字或盖章的具体要求见供应商须知前附表。</w:t>
      </w:r>
    </w:p>
    <w:p w14:paraId="56C0912C">
      <w:pPr>
        <w:overflowPunct/>
        <w:bidi w:val="0"/>
        <w:spacing w:line="360" w:lineRule="auto"/>
        <w:ind w:firstLine="420" w:firstLineChars="200"/>
        <w:outlineLvl w:val="9"/>
        <w:rPr>
          <w:rFonts w:ascii="宋体" w:hAnsi="宋体"/>
          <w:bCs/>
          <w:color w:val="000000" w:themeColor="text1"/>
          <w:szCs w:val="21"/>
          <w:highlight w:val="none"/>
          <w:lang w:val="zh-CN"/>
          <w14:textFill>
            <w14:solidFill>
              <w14:schemeClr w14:val="tx1"/>
            </w14:solidFill>
          </w14:textFill>
        </w:rPr>
      </w:pPr>
      <w:r>
        <w:rPr>
          <w:rFonts w:ascii="宋体" w:hAnsi="宋体"/>
          <w:bCs/>
          <w:color w:val="000000" w:themeColor="text1"/>
          <w:szCs w:val="21"/>
          <w:highlight w:val="none"/>
          <w:lang w:val="zh-CN"/>
          <w14:textFill>
            <w14:solidFill>
              <w14:schemeClr w14:val="tx1"/>
            </w14:solidFill>
          </w14:textFill>
        </w:rPr>
        <w:t>3</w:t>
      </w:r>
      <w:r>
        <w:rPr>
          <w:rFonts w:hint="eastAsia" w:ascii="宋体" w:hAnsi="宋体"/>
          <w:bCs/>
          <w:color w:val="000000" w:themeColor="text1"/>
          <w:szCs w:val="21"/>
          <w:highlight w:val="none"/>
          <w:lang w:val="zh-CN"/>
          <w14:textFill>
            <w14:solidFill>
              <w14:schemeClr w14:val="tx1"/>
            </w14:solidFill>
          </w14:textFill>
        </w:rPr>
        <w:t>.</w:t>
      </w:r>
      <w:r>
        <w:rPr>
          <w:rFonts w:hint="eastAsia" w:ascii="宋体" w:hAnsi="宋体"/>
          <w:bCs/>
          <w:color w:val="000000" w:themeColor="text1"/>
          <w:szCs w:val="21"/>
          <w:highlight w:val="none"/>
          <w:lang w:val="en-US" w:eastAsia="zh-CN"/>
          <w14:textFill>
            <w14:solidFill>
              <w14:schemeClr w14:val="tx1"/>
            </w14:solidFill>
          </w14:textFill>
        </w:rPr>
        <w:t>6</w:t>
      </w:r>
      <w:r>
        <w:rPr>
          <w:rFonts w:hint="eastAsia" w:ascii="宋体" w:hAnsi="宋体"/>
          <w:bCs/>
          <w:color w:val="000000" w:themeColor="text1"/>
          <w:szCs w:val="21"/>
          <w:highlight w:val="none"/>
          <w:lang w:val="zh-CN"/>
          <w14:textFill>
            <w14:solidFill>
              <w14:schemeClr w14:val="tx1"/>
            </w14:solidFill>
          </w14:textFill>
        </w:rPr>
        <w:t>.4响应文件正本一份，副本份数见供应商须知前附表。正本和副本的封面上应清楚地标记</w:t>
      </w:r>
      <w:r>
        <w:rPr>
          <w:rFonts w:ascii="宋体" w:hAnsi="宋体"/>
          <w:bCs/>
          <w:color w:val="000000" w:themeColor="text1"/>
          <w:szCs w:val="21"/>
          <w:highlight w:val="none"/>
          <w:lang w:val="zh-CN"/>
          <w14:textFill>
            <w14:solidFill>
              <w14:schemeClr w14:val="tx1"/>
            </w14:solidFill>
          </w14:textFill>
        </w:rPr>
        <w:t>“</w:t>
      </w:r>
      <w:r>
        <w:rPr>
          <w:rFonts w:hint="eastAsia" w:ascii="宋体" w:hAnsi="宋体"/>
          <w:bCs/>
          <w:color w:val="000000" w:themeColor="text1"/>
          <w:szCs w:val="21"/>
          <w:highlight w:val="none"/>
          <w:lang w:val="zh-CN"/>
          <w14:textFill>
            <w14:solidFill>
              <w14:schemeClr w14:val="tx1"/>
            </w14:solidFill>
          </w14:textFill>
        </w:rPr>
        <w:t>正本</w:t>
      </w:r>
      <w:r>
        <w:rPr>
          <w:rFonts w:ascii="宋体" w:hAnsi="宋体"/>
          <w:bCs/>
          <w:color w:val="000000" w:themeColor="text1"/>
          <w:szCs w:val="21"/>
          <w:highlight w:val="none"/>
          <w:lang w:val="zh-CN"/>
          <w14:textFill>
            <w14:solidFill>
              <w14:schemeClr w14:val="tx1"/>
            </w14:solidFill>
          </w14:textFill>
        </w:rPr>
        <w:t>”</w:t>
      </w:r>
      <w:r>
        <w:rPr>
          <w:rFonts w:hint="eastAsia" w:ascii="宋体" w:hAnsi="宋体"/>
          <w:bCs/>
          <w:color w:val="000000" w:themeColor="text1"/>
          <w:szCs w:val="21"/>
          <w:highlight w:val="none"/>
          <w:lang w:val="zh-CN"/>
          <w14:textFill>
            <w14:solidFill>
              <w14:schemeClr w14:val="tx1"/>
            </w14:solidFill>
          </w14:textFill>
        </w:rPr>
        <w:t>或</w:t>
      </w:r>
      <w:r>
        <w:rPr>
          <w:rFonts w:ascii="宋体" w:hAnsi="宋体"/>
          <w:bCs/>
          <w:color w:val="000000" w:themeColor="text1"/>
          <w:szCs w:val="21"/>
          <w:highlight w:val="none"/>
          <w:lang w:val="zh-CN"/>
          <w14:textFill>
            <w14:solidFill>
              <w14:schemeClr w14:val="tx1"/>
            </w14:solidFill>
          </w14:textFill>
        </w:rPr>
        <w:t>“</w:t>
      </w:r>
      <w:r>
        <w:rPr>
          <w:rFonts w:hint="eastAsia" w:ascii="宋体" w:hAnsi="宋体"/>
          <w:bCs/>
          <w:color w:val="000000" w:themeColor="text1"/>
          <w:szCs w:val="21"/>
          <w:highlight w:val="none"/>
          <w:lang w:val="zh-CN"/>
          <w14:textFill>
            <w14:solidFill>
              <w14:schemeClr w14:val="tx1"/>
            </w14:solidFill>
          </w14:textFill>
        </w:rPr>
        <w:t>副本</w:t>
      </w:r>
      <w:r>
        <w:rPr>
          <w:rFonts w:ascii="宋体" w:hAnsi="宋体"/>
          <w:bCs/>
          <w:color w:val="000000" w:themeColor="text1"/>
          <w:szCs w:val="21"/>
          <w:highlight w:val="none"/>
          <w:lang w:val="zh-CN"/>
          <w14:textFill>
            <w14:solidFill>
              <w14:schemeClr w14:val="tx1"/>
            </w14:solidFill>
          </w14:textFill>
        </w:rPr>
        <w:t>”</w:t>
      </w:r>
      <w:r>
        <w:rPr>
          <w:rFonts w:hint="eastAsia" w:ascii="宋体" w:hAnsi="宋体"/>
          <w:bCs/>
          <w:color w:val="000000" w:themeColor="text1"/>
          <w:szCs w:val="21"/>
          <w:highlight w:val="none"/>
          <w:lang w:val="zh-CN"/>
          <w14:textFill>
            <w14:solidFill>
              <w14:schemeClr w14:val="tx1"/>
            </w14:solidFill>
          </w14:textFill>
        </w:rPr>
        <w:t>的字样。当副本和正本不一致时，以正本为准。</w:t>
      </w:r>
    </w:p>
    <w:p w14:paraId="065769CC">
      <w:pPr>
        <w:overflowPunct/>
        <w:bidi w:val="0"/>
        <w:spacing w:line="360" w:lineRule="auto"/>
        <w:ind w:firstLine="420" w:firstLineChars="200"/>
        <w:outlineLvl w:val="9"/>
        <w:rPr>
          <w:rFonts w:ascii="宋体" w:hAnsi="宋体"/>
          <w:bCs/>
          <w:color w:val="000000" w:themeColor="text1"/>
          <w:szCs w:val="21"/>
          <w:highlight w:val="none"/>
          <w:lang w:val="zh-CN"/>
          <w14:textFill>
            <w14:solidFill>
              <w14:schemeClr w14:val="tx1"/>
            </w14:solidFill>
          </w14:textFill>
        </w:rPr>
      </w:pPr>
      <w:r>
        <w:rPr>
          <w:rFonts w:ascii="宋体" w:hAnsi="宋体"/>
          <w:bCs/>
          <w:color w:val="000000" w:themeColor="text1"/>
          <w:szCs w:val="21"/>
          <w:highlight w:val="none"/>
          <w:lang w:val="zh-CN"/>
          <w14:textFill>
            <w14:solidFill>
              <w14:schemeClr w14:val="tx1"/>
            </w14:solidFill>
          </w14:textFill>
        </w:rPr>
        <w:t>3</w:t>
      </w:r>
      <w:r>
        <w:rPr>
          <w:rFonts w:hint="eastAsia" w:ascii="宋体" w:hAnsi="宋体"/>
          <w:bCs/>
          <w:color w:val="000000" w:themeColor="text1"/>
          <w:szCs w:val="21"/>
          <w:highlight w:val="none"/>
          <w:lang w:val="zh-CN"/>
          <w14:textFill>
            <w14:solidFill>
              <w14:schemeClr w14:val="tx1"/>
            </w14:solidFill>
          </w14:textFill>
        </w:rPr>
        <w:t>.</w:t>
      </w:r>
      <w:r>
        <w:rPr>
          <w:rFonts w:hint="eastAsia" w:ascii="宋体" w:hAnsi="宋体"/>
          <w:bCs/>
          <w:color w:val="000000" w:themeColor="text1"/>
          <w:szCs w:val="21"/>
          <w:highlight w:val="none"/>
          <w:lang w:val="en-US" w:eastAsia="zh-CN"/>
          <w14:textFill>
            <w14:solidFill>
              <w14:schemeClr w14:val="tx1"/>
            </w14:solidFill>
          </w14:textFill>
        </w:rPr>
        <w:t>6</w:t>
      </w:r>
      <w:r>
        <w:rPr>
          <w:rFonts w:hint="eastAsia" w:ascii="宋体" w:hAnsi="宋体"/>
          <w:bCs/>
          <w:color w:val="000000" w:themeColor="text1"/>
          <w:szCs w:val="21"/>
          <w:highlight w:val="none"/>
          <w:lang w:val="zh-CN"/>
          <w14:textFill>
            <w14:solidFill>
              <w14:schemeClr w14:val="tx1"/>
            </w14:solidFill>
          </w14:textFill>
        </w:rPr>
        <w:t>.5 响应文件的正本与副本应分别装订成册，并编制目录，具体装订要求见供应商须知前附表规定。</w:t>
      </w:r>
    </w:p>
    <w:p w14:paraId="4842B64F">
      <w:pPr>
        <w:overflowPunct/>
        <w:bidi w:val="0"/>
        <w:outlineLvl w:val="9"/>
        <w:rPr>
          <w:rFonts w:ascii="宋体" w:hAnsi="宋体"/>
          <w:color w:val="000000" w:themeColor="text1"/>
          <w:highlight w:val="none"/>
          <w14:textFill>
            <w14:solidFill>
              <w14:schemeClr w14:val="tx1"/>
            </w14:solidFill>
          </w14:textFill>
        </w:rPr>
      </w:pPr>
      <w:bookmarkStart w:id="29" w:name="_Toc184635074"/>
      <w:r>
        <w:rPr>
          <w:rFonts w:hint="eastAsia" w:ascii="宋体" w:hAnsi="宋体"/>
          <w:color w:val="000000" w:themeColor="text1"/>
          <w:highlight w:val="none"/>
          <w14:textFill>
            <w14:solidFill>
              <w14:schemeClr w14:val="tx1"/>
            </w14:solidFill>
          </w14:textFill>
        </w:rPr>
        <w:t>4．投标</w:t>
      </w:r>
      <w:bookmarkEnd w:id="29"/>
    </w:p>
    <w:p w14:paraId="06C785F4">
      <w:pPr>
        <w:overflowPunct/>
        <w:bidi w:val="0"/>
        <w:outlineLvl w:val="9"/>
        <w:rPr>
          <w:rFonts w:ascii="宋体" w:hAnsi="宋体" w:eastAsia="宋体"/>
          <w:color w:val="000000" w:themeColor="text1"/>
          <w:highlight w:val="none"/>
          <w14:textFill>
            <w14:solidFill>
              <w14:schemeClr w14:val="tx1"/>
            </w14:solidFill>
          </w14:textFill>
        </w:rPr>
      </w:pPr>
      <w:r>
        <w:rPr>
          <w:rFonts w:hint="eastAsia" w:ascii="宋体" w:hAnsi="宋体" w:eastAsia="宋体"/>
          <w:color w:val="000000" w:themeColor="text1"/>
          <w:highlight w:val="none"/>
          <w14:textFill>
            <w14:solidFill>
              <w14:schemeClr w14:val="tx1"/>
            </w14:solidFill>
          </w14:textFill>
        </w:rPr>
        <w:t>4.1 响应文件的密封和标记</w:t>
      </w:r>
    </w:p>
    <w:p w14:paraId="4B78DE23">
      <w:pPr>
        <w:overflowPunct/>
        <w:autoSpaceDE w:val="0"/>
        <w:autoSpaceDN w:val="0"/>
        <w:bidi w:val="0"/>
        <w:adjustRightInd w:val="0"/>
        <w:spacing w:line="400" w:lineRule="exact"/>
        <w:ind w:firstLine="480"/>
        <w:jc w:val="left"/>
        <w:outlineLvl w:val="9"/>
        <w:rPr>
          <w:rFonts w:ascii="宋体" w:hAnsi="宋体" w:cs="宋体"/>
          <w:bCs/>
          <w:color w:val="000000" w:themeColor="text1"/>
          <w:szCs w:val="21"/>
          <w:highlight w:val="none"/>
          <w:lang w:val="zh-CN"/>
          <w14:textFill>
            <w14:solidFill>
              <w14:schemeClr w14:val="tx1"/>
            </w14:solidFill>
          </w14:textFill>
        </w:rPr>
      </w:pPr>
      <w:r>
        <w:rPr>
          <w:rFonts w:ascii="宋体" w:hAnsi="宋体" w:cs="宋体"/>
          <w:bCs/>
          <w:color w:val="000000" w:themeColor="text1"/>
          <w:szCs w:val="21"/>
          <w:highlight w:val="none"/>
          <w:lang w:val="zh-CN"/>
          <w14:textFill>
            <w14:solidFill>
              <w14:schemeClr w14:val="tx1"/>
            </w14:solidFill>
          </w14:textFill>
        </w:rPr>
        <w:t>4.1</w:t>
      </w:r>
      <w:r>
        <w:rPr>
          <w:rFonts w:hint="eastAsia" w:ascii="宋体" w:hAnsi="宋体" w:cs="宋体"/>
          <w:bCs/>
          <w:color w:val="000000" w:themeColor="text1"/>
          <w:szCs w:val="21"/>
          <w:highlight w:val="none"/>
          <w:lang w:val="zh-CN"/>
          <w14:textFill>
            <w14:solidFill>
              <w14:schemeClr w14:val="tx1"/>
            </w14:solidFill>
          </w14:textFill>
        </w:rPr>
        <w:t>.1 响应文件正、副本应分开包装，封套上应清楚地标记</w:t>
      </w:r>
      <w:r>
        <w:rPr>
          <w:rFonts w:ascii="宋体" w:hAnsi="宋体" w:cs="宋体"/>
          <w:bCs/>
          <w:color w:val="000000" w:themeColor="text1"/>
          <w:szCs w:val="21"/>
          <w:highlight w:val="none"/>
          <w:lang w:val="zh-CN"/>
          <w14:textFill>
            <w14:solidFill>
              <w14:schemeClr w14:val="tx1"/>
            </w14:solidFill>
          </w14:textFill>
        </w:rPr>
        <w:t>“</w:t>
      </w:r>
      <w:r>
        <w:rPr>
          <w:rFonts w:hint="eastAsia" w:ascii="宋体" w:hAnsi="宋体" w:cs="宋体"/>
          <w:bCs/>
          <w:color w:val="000000" w:themeColor="text1"/>
          <w:szCs w:val="21"/>
          <w:highlight w:val="none"/>
          <w:lang w:val="zh-CN"/>
          <w14:textFill>
            <w14:solidFill>
              <w14:schemeClr w14:val="tx1"/>
            </w14:solidFill>
          </w14:textFill>
        </w:rPr>
        <w:t>正本</w:t>
      </w:r>
      <w:r>
        <w:rPr>
          <w:rFonts w:ascii="宋体" w:hAnsi="宋体" w:cs="宋体"/>
          <w:bCs/>
          <w:color w:val="000000" w:themeColor="text1"/>
          <w:szCs w:val="21"/>
          <w:highlight w:val="none"/>
          <w:lang w:val="zh-CN"/>
          <w14:textFill>
            <w14:solidFill>
              <w14:schemeClr w14:val="tx1"/>
            </w14:solidFill>
          </w14:textFill>
        </w:rPr>
        <w:t>”</w:t>
      </w:r>
      <w:r>
        <w:rPr>
          <w:rFonts w:hint="eastAsia" w:ascii="宋体" w:hAnsi="宋体" w:cs="宋体"/>
          <w:bCs/>
          <w:color w:val="000000" w:themeColor="text1"/>
          <w:szCs w:val="21"/>
          <w:highlight w:val="none"/>
          <w:lang w:val="zh-CN"/>
          <w14:textFill>
            <w14:solidFill>
              <w14:schemeClr w14:val="tx1"/>
            </w14:solidFill>
          </w14:textFill>
        </w:rPr>
        <w:t>或</w:t>
      </w:r>
      <w:r>
        <w:rPr>
          <w:rFonts w:ascii="宋体" w:hAnsi="宋体" w:cs="宋体"/>
          <w:bCs/>
          <w:color w:val="000000" w:themeColor="text1"/>
          <w:szCs w:val="21"/>
          <w:highlight w:val="none"/>
          <w:lang w:val="zh-CN"/>
          <w14:textFill>
            <w14:solidFill>
              <w14:schemeClr w14:val="tx1"/>
            </w14:solidFill>
          </w14:textFill>
        </w:rPr>
        <w:t>“</w:t>
      </w:r>
      <w:r>
        <w:rPr>
          <w:rFonts w:hint="eastAsia" w:ascii="宋体" w:hAnsi="宋体" w:cs="宋体"/>
          <w:bCs/>
          <w:color w:val="000000" w:themeColor="text1"/>
          <w:szCs w:val="21"/>
          <w:highlight w:val="none"/>
          <w:lang w:val="zh-CN"/>
          <w14:textFill>
            <w14:solidFill>
              <w14:schemeClr w14:val="tx1"/>
            </w14:solidFill>
          </w14:textFill>
        </w:rPr>
        <w:t>副本</w:t>
      </w:r>
      <w:r>
        <w:rPr>
          <w:rFonts w:ascii="宋体" w:hAnsi="宋体" w:cs="宋体"/>
          <w:bCs/>
          <w:color w:val="000000" w:themeColor="text1"/>
          <w:szCs w:val="21"/>
          <w:highlight w:val="none"/>
          <w:lang w:val="zh-CN"/>
          <w14:textFill>
            <w14:solidFill>
              <w14:schemeClr w14:val="tx1"/>
            </w14:solidFill>
          </w14:textFill>
        </w:rPr>
        <w:t>”</w:t>
      </w:r>
      <w:r>
        <w:rPr>
          <w:rFonts w:hint="eastAsia" w:ascii="宋体" w:hAnsi="宋体" w:cs="宋体"/>
          <w:bCs/>
          <w:color w:val="000000" w:themeColor="text1"/>
          <w:szCs w:val="21"/>
          <w:highlight w:val="none"/>
          <w:lang w:val="zh-CN"/>
          <w14:textFill>
            <w14:solidFill>
              <w14:schemeClr w14:val="tx1"/>
            </w14:solidFill>
          </w14:textFill>
        </w:rPr>
        <w:t>字样，并在封套的封口处加盖供应商单位章。封套上应写明的其他内容见供应商须知前附表。</w:t>
      </w:r>
    </w:p>
    <w:p w14:paraId="53D7FFB5">
      <w:pPr>
        <w:overflowPunct/>
        <w:bidi w:val="0"/>
        <w:spacing w:line="400" w:lineRule="exact"/>
        <w:ind w:firstLine="420" w:firstLineChars="200"/>
        <w:outlineLvl w:val="9"/>
        <w:rPr>
          <w:rFonts w:ascii="宋体" w:hAnsi="宋体"/>
          <w:color w:val="000000" w:themeColor="text1"/>
          <w:szCs w:val="21"/>
          <w:highlight w:val="none"/>
          <w14:textFill>
            <w14:solidFill>
              <w14:schemeClr w14:val="tx1"/>
            </w14:solidFill>
          </w14:textFill>
        </w:rPr>
      </w:pPr>
      <w:r>
        <w:rPr>
          <w:rFonts w:hint="eastAsia" w:ascii="宋体" w:hAnsi="宋体"/>
          <w:color w:val="000000" w:themeColor="text1"/>
          <w:szCs w:val="21"/>
          <w:highlight w:val="none"/>
          <w14:textFill>
            <w14:solidFill>
              <w14:schemeClr w14:val="tx1"/>
            </w14:solidFill>
          </w14:textFill>
        </w:rPr>
        <w:t>4.1.2电子U盘、磋商报价函，单独放入一个密封袋中，加贴封条，并在封套封口处加盖</w:t>
      </w:r>
      <w:r>
        <w:rPr>
          <w:rFonts w:hint="eastAsia" w:ascii="宋体" w:hAnsi="宋体"/>
          <w:color w:val="000000" w:themeColor="text1"/>
          <w:szCs w:val="21"/>
          <w:highlight w:val="none"/>
          <w:lang w:eastAsia="zh-CN"/>
          <w14:textFill>
            <w14:solidFill>
              <w14:schemeClr w14:val="tx1"/>
            </w14:solidFill>
          </w14:textFill>
        </w:rPr>
        <w:t>供应商</w:t>
      </w:r>
      <w:r>
        <w:rPr>
          <w:rFonts w:hint="eastAsia" w:ascii="宋体" w:hAnsi="宋体"/>
          <w:color w:val="000000" w:themeColor="text1"/>
          <w:szCs w:val="21"/>
          <w:highlight w:val="none"/>
          <w14:textFill>
            <w14:solidFill>
              <w14:schemeClr w14:val="tx1"/>
            </w14:solidFill>
          </w14:textFill>
        </w:rPr>
        <w:t>单位公章，在封套上分别标记“响应文件电子版”或“磋商报价函”字样。</w:t>
      </w:r>
    </w:p>
    <w:p w14:paraId="79474F32">
      <w:pPr>
        <w:overflowPunct/>
        <w:autoSpaceDE w:val="0"/>
        <w:autoSpaceDN w:val="0"/>
        <w:bidi w:val="0"/>
        <w:adjustRightInd w:val="0"/>
        <w:spacing w:line="400" w:lineRule="exact"/>
        <w:ind w:firstLine="420" w:firstLineChars="200"/>
        <w:jc w:val="left"/>
        <w:outlineLvl w:val="9"/>
        <w:rPr>
          <w:rFonts w:ascii="宋体" w:hAnsi="宋体" w:cs="宋体"/>
          <w:bCs/>
          <w:color w:val="000000" w:themeColor="text1"/>
          <w:szCs w:val="21"/>
          <w:highlight w:val="none"/>
          <w:lang w:val="zh-CN"/>
          <w14:textFill>
            <w14:solidFill>
              <w14:schemeClr w14:val="tx1"/>
            </w14:solidFill>
          </w14:textFill>
        </w:rPr>
      </w:pPr>
      <w:r>
        <w:rPr>
          <w:rFonts w:ascii="宋体" w:hAnsi="宋体" w:cs="宋体"/>
          <w:bCs/>
          <w:color w:val="000000" w:themeColor="text1"/>
          <w:szCs w:val="21"/>
          <w:highlight w:val="none"/>
          <w:lang w:val="zh-CN"/>
          <w14:textFill>
            <w14:solidFill>
              <w14:schemeClr w14:val="tx1"/>
            </w14:solidFill>
          </w14:textFill>
        </w:rPr>
        <w:t>4.1.</w:t>
      </w:r>
      <w:r>
        <w:rPr>
          <w:rFonts w:hint="eastAsia" w:ascii="宋体" w:hAnsi="宋体" w:cs="宋体"/>
          <w:bCs/>
          <w:color w:val="000000" w:themeColor="text1"/>
          <w:szCs w:val="21"/>
          <w:highlight w:val="none"/>
          <w:lang w:val="zh-CN"/>
          <w14:textFill>
            <w14:solidFill>
              <w14:schemeClr w14:val="tx1"/>
            </w14:solidFill>
          </w14:textFill>
        </w:rPr>
        <w:t>3未按本章第</w:t>
      </w:r>
      <w:r>
        <w:rPr>
          <w:rFonts w:ascii="宋体" w:hAnsi="宋体" w:cs="宋体"/>
          <w:bCs/>
          <w:color w:val="000000" w:themeColor="text1"/>
          <w:szCs w:val="21"/>
          <w:highlight w:val="none"/>
          <w:lang w:val="zh-CN"/>
          <w14:textFill>
            <w14:solidFill>
              <w14:schemeClr w14:val="tx1"/>
            </w14:solidFill>
          </w14:textFill>
        </w:rPr>
        <w:t>4.1</w:t>
      </w:r>
      <w:r>
        <w:rPr>
          <w:rFonts w:hint="eastAsia" w:ascii="宋体" w:hAnsi="宋体" w:cs="宋体"/>
          <w:bCs/>
          <w:color w:val="000000" w:themeColor="text1"/>
          <w:szCs w:val="21"/>
          <w:highlight w:val="none"/>
          <w:lang w:val="zh-CN"/>
          <w14:textFill>
            <w14:solidFill>
              <w14:schemeClr w14:val="tx1"/>
            </w14:solidFill>
          </w14:textFill>
        </w:rPr>
        <w:t>条要求密封和加写标记的响应文件，采购人不予受理。</w:t>
      </w:r>
    </w:p>
    <w:p w14:paraId="6CE78722">
      <w:pPr>
        <w:overflowPunct/>
        <w:bidi w:val="0"/>
        <w:outlineLvl w:val="9"/>
        <w:rPr>
          <w:rFonts w:ascii="宋体" w:hAnsi="宋体" w:eastAsia="宋体"/>
          <w:color w:val="000000" w:themeColor="text1"/>
          <w:highlight w:val="none"/>
          <w14:textFill>
            <w14:solidFill>
              <w14:schemeClr w14:val="tx1"/>
            </w14:solidFill>
          </w14:textFill>
        </w:rPr>
      </w:pPr>
      <w:r>
        <w:rPr>
          <w:rFonts w:hint="eastAsia" w:ascii="宋体" w:hAnsi="宋体" w:eastAsia="宋体"/>
          <w:color w:val="000000" w:themeColor="text1"/>
          <w:highlight w:val="none"/>
          <w14:textFill>
            <w14:solidFill>
              <w14:schemeClr w14:val="tx1"/>
            </w14:solidFill>
          </w14:textFill>
        </w:rPr>
        <w:t>4.2 响应文件的递交</w:t>
      </w:r>
    </w:p>
    <w:p w14:paraId="14ACFDA8">
      <w:pPr>
        <w:overflowPunct/>
        <w:bidi w:val="0"/>
        <w:spacing w:line="360" w:lineRule="auto"/>
        <w:ind w:firstLine="420" w:firstLineChars="200"/>
        <w:outlineLvl w:val="9"/>
        <w:rPr>
          <w:rFonts w:ascii="宋体" w:hAnsi="宋体"/>
          <w:color w:val="000000" w:themeColor="text1"/>
          <w:szCs w:val="21"/>
          <w:highlight w:val="none"/>
          <w14:textFill>
            <w14:solidFill>
              <w14:schemeClr w14:val="tx1"/>
            </w14:solidFill>
          </w14:textFill>
        </w:rPr>
      </w:pPr>
      <w:r>
        <w:rPr>
          <w:rFonts w:hint="eastAsia" w:ascii="宋体" w:hAnsi="宋体"/>
          <w:color w:val="000000" w:themeColor="text1"/>
          <w:szCs w:val="21"/>
          <w:highlight w:val="none"/>
          <w14:textFill>
            <w14:solidFill>
              <w14:schemeClr w14:val="tx1"/>
            </w14:solidFill>
          </w14:textFill>
        </w:rPr>
        <w:t xml:space="preserve">4.2.1 </w:t>
      </w:r>
      <w:r>
        <w:rPr>
          <w:rFonts w:hint="eastAsia" w:ascii="宋体" w:hAnsi="宋体"/>
          <w:color w:val="000000" w:themeColor="text1"/>
          <w:szCs w:val="21"/>
          <w:highlight w:val="none"/>
          <w:lang w:eastAsia="zh-CN"/>
          <w14:textFill>
            <w14:solidFill>
              <w14:schemeClr w14:val="tx1"/>
            </w14:solidFill>
          </w14:textFill>
        </w:rPr>
        <w:t>供应商</w:t>
      </w:r>
      <w:r>
        <w:rPr>
          <w:rFonts w:hint="eastAsia" w:ascii="宋体" w:hAnsi="宋体"/>
          <w:color w:val="000000" w:themeColor="text1"/>
          <w:szCs w:val="21"/>
          <w:highlight w:val="none"/>
          <w14:textFill>
            <w14:solidFill>
              <w14:schemeClr w14:val="tx1"/>
            </w14:solidFill>
          </w14:textFill>
        </w:rPr>
        <w:t>应在本章第2.2.2 项规定的递交响应文件截止时间前</w:t>
      </w:r>
      <w:r>
        <w:rPr>
          <w:rFonts w:hint="eastAsia" w:ascii="宋体" w:hAnsi="宋体"/>
          <w:color w:val="000000" w:themeColor="text1"/>
          <w:szCs w:val="21"/>
          <w:highlight w:val="none"/>
          <w:lang w:val="en-US" w:eastAsia="zh-CN"/>
          <w14:textFill>
            <w14:solidFill>
              <w14:schemeClr w14:val="tx1"/>
            </w14:solidFill>
          </w14:textFill>
        </w:rPr>
        <w:t>上传</w:t>
      </w:r>
      <w:r>
        <w:rPr>
          <w:rFonts w:hint="eastAsia" w:ascii="宋体" w:hAnsi="宋体"/>
          <w:color w:val="000000" w:themeColor="text1"/>
          <w:szCs w:val="21"/>
          <w:highlight w:val="none"/>
          <w14:textFill>
            <w14:solidFill>
              <w14:schemeClr w14:val="tx1"/>
            </w14:solidFill>
          </w14:textFill>
        </w:rPr>
        <w:t>响应文件。</w:t>
      </w:r>
    </w:p>
    <w:p w14:paraId="7FE0EC9B">
      <w:pPr>
        <w:overflowPunct/>
        <w:bidi w:val="0"/>
        <w:spacing w:line="360" w:lineRule="auto"/>
        <w:ind w:firstLine="420" w:firstLineChars="200"/>
        <w:outlineLvl w:val="9"/>
        <w:rPr>
          <w:rFonts w:ascii="宋体" w:hAnsi="宋体"/>
          <w:color w:val="000000" w:themeColor="text1"/>
          <w:szCs w:val="21"/>
          <w:highlight w:val="none"/>
          <w14:textFill>
            <w14:solidFill>
              <w14:schemeClr w14:val="tx1"/>
            </w14:solidFill>
          </w14:textFill>
        </w:rPr>
      </w:pPr>
      <w:r>
        <w:rPr>
          <w:rFonts w:hint="eastAsia" w:ascii="宋体" w:hAnsi="宋体"/>
          <w:color w:val="000000" w:themeColor="text1"/>
          <w:szCs w:val="21"/>
          <w:highlight w:val="none"/>
          <w14:textFill>
            <w14:solidFill>
              <w14:schemeClr w14:val="tx1"/>
            </w14:solidFill>
          </w14:textFill>
        </w:rPr>
        <w:t xml:space="preserve">4.2.2 </w:t>
      </w:r>
      <w:r>
        <w:rPr>
          <w:rFonts w:hint="eastAsia" w:ascii="宋体" w:hAnsi="宋体"/>
          <w:color w:val="000000" w:themeColor="text1"/>
          <w:szCs w:val="21"/>
          <w:highlight w:val="none"/>
          <w:lang w:eastAsia="zh-CN"/>
          <w14:textFill>
            <w14:solidFill>
              <w14:schemeClr w14:val="tx1"/>
            </w14:solidFill>
          </w14:textFill>
        </w:rPr>
        <w:t>供应商</w:t>
      </w:r>
      <w:r>
        <w:rPr>
          <w:rFonts w:hint="eastAsia" w:ascii="宋体" w:hAnsi="宋体"/>
          <w:color w:val="000000" w:themeColor="text1"/>
          <w:szCs w:val="21"/>
          <w:highlight w:val="none"/>
          <w14:textFill>
            <w14:solidFill>
              <w14:schemeClr w14:val="tx1"/>
            </w14:solidFill>
          </w14:textFill>
        </w:rPr>
        <w:t>递交响应文件的地点：见</w:t>
      </w:r>
      <w:r>
        <w:rPr>
          <w:rFonts w:hint="eastAsia" w:ascii="宋体" w:hAnsi="宋体"/>
          <w:color w:val="000000" w:themeColor="text1"/>
          <w:szCs w:val="21"/>
          <w:highlight w:val="none"/>
          <w:lang w:eastAsia="zh-CN"/>
          <w14:textFill>
            <w14:solidFill>
              <w14:schemeClr w14:val="tx1"/>
            </w14:solidFill>
          </w14:textFill>
        </w:rPr>
        <w:t>供应商</w:t>
      </w:r>
      <w:r>
        <w:rPr>
          <w:rFonts w:hint="eastAsia" w:ascii="宋体" w:hAnsi="宋体"/>
          <w:color w:val="000000" w:themeColor="text1"/>
          <w:szCs w:val="21"/>
          <w:highlight w:val="none"/>
          <w14:textFill>
            <w14:solidFill>
              <w14:schemeClr w14:val="tx1"/>
            </w14:solidFill>
          </w14:textFill>
        </w:rPr>
        <w:t>须知前附表。</w:t>
      </w:r>
    </w:p>
    <w:p w14:paraId="705B2BC0">
      <w:pPr>
        <w:overflowPunct/>
        <w:bidi w:val="0"/>
        <w:spacing w:line="360" w:lineRule="auto"/>
        <w:ind w:firstLine="420" w:firstLineChars="200"/>
        <w:outlineLvl w:val="9"/>
        <w:rPr>
          <w:rFonts w:ascii="宋体" w:hAnsi="宋体"/>
          <w:color w:val="000000" w:themeColor="text1"/>
          <w:szCs w:val="21"/>
          <w:highlight w:val="none"/>
          <w14:textFill>
            <w14:solidFill>
              <w14:schemeClr w14:val="tx1"/>
            </w14:solidFill>
          </w14:textFill>
        </w:rPr>
      </w:pPr>
      <w:r>
        <w:rPr>
          <w:rFonts w:hint="eastAsia" w:ascii="宋体" w:hAnsi="宋体"/>
          <w:color w:val="000000" w:themeColor="text1"/>
          <w:szCs w:val="21"/>
          <w:highlight w:val="none"/>
          <w14:textFill>
            <w14:solidFill>
              <w14:schemeClr w14:val="tx1"/>
            </w14:solidFill>
          </w14:textFill>
        </w:rPr>
        <w:t>4.2.3 除</w:t>
      </w:r>
      <w:r>
        <w:rPr>
          <w:rFonts w:hint="eastAsia" w:ascii="宋体" w:hAnsi="宋体"/>
          <w:color w:val="000000" w:themeColor="text1"/>
          <w:szCs w:val="21"/>
          <w:highlight w:val="none"/>
          <w:lang w:eastAsia="zh-CN"/>
          <w14:textFill>
            <w14:solidFill>
              <w14:schemeClr w14:val="tx1"/>
            </w14:solidFill>
          </w14:textFill>
        </w:rPr>
        <w:t>供应商</w:t>
      </w:r>
      <w:r>
        <w:rPr>
          <w:rFonts w:hint="eastAsia" w:ascii="宋体" w:hAnsi="宋体"/>
          <w:color w:val="000000" w:themeColor="text1"/>
          <w:szCs w:val="21"/>
          <w:highlight w:val="none"/>
          <w14:textFill>
            <w14:solidFill>
              <w14:schemeClr w14:val="tx1"/>
            </w14:solidFill>
          </w14:textFill>
        </w:rPr>
        <w:t>须知前附表另有规定外，</w:t>
      </w:r>
      <w:r>
        <w:rPr>
          <w:rFonts w:hint="eastAsia" w:ascii="宋体" w:hAnsi="宋体"/>
          <w:color w:val="000000" w:themeColor="text1"/>
          <w:szCs w:val="21"/>
          <w:highlight w:val="none"/>
          <w:lang w:eastAsia="zh-CN"/>
          <w14:textFill>
            <w14:solidFill>
              <w14:schemeClr w14:val="tx1"/>
            </w14:solidFill>
          </w14:textFill>
        </w:rPr>
        <w:t>供应商</w:t>
      </w:r>
      <w:r>
        <w:rPr>
          <w:rFonts w:hint="eastAsia" w:ascii="宋体" w:hAnsi="宋体"/>
          <w:color w:val="000000" w:themeColor="text1"/>
          <w:szCs w:val="21"/>
          <w:highlight w:val="none"/>
          <w14:textFill>
            <w14:solidFill>
              <w14:schemeClr w14:val="tx1"/>
            </w14:solidFill>
          </w14:textFill>
        </w:rPr>
        <w:t>所递交的响应文件不予退还。</w:t>
      </w:r>
    </w:p>
    <w:p w14:paraId="1B60DB15">
      <w:pPr>
        <w:overflowPunct/>
        <w:bidi w:val="0"/>
        <w:spacing w:line="360" w:lineRule="auto"/>
        <w:ind w:firstLine="420" w:firstLineChars="200"/>
        <w:outlineLvl w:val="9"/>
        <w:rPr>
          <w:rFonts w:ascii="宋体" w:hAnsi="宋体"/>
          <w:color w:val="000000" w:themeColor="text1"/>
          <w:szCs w:val="21"/>
          <w:highlight w:val="none"/>
          <w14:textFill>
            <w14:solidFill>
              <w14:schemeClr w14:val="tx1"/>
            </w14:solidFill>
          </w14:textFill>
        </w:rPr>
      </w:pPr>
      <w:r>
        <w:rPr>
          <w:rFonts w:hint="eastAsia" w:ascii="宋体" w:hAnsi="宋体"/>
          <w:color w:val="000000" w:themeColor="text1"/>
          <w:szCs w:val="21"/>
          <w:highlight w:val="none"/>
          <w14:textFill>
            <w14:solidFill>
              <w14:schemeClr w14:val="tx1"/>
            </w14:solidFill>
          </w14:textFill>
        </w:rPr>
        <w:t>4.2.4 采购人收到响应文件后，向</w:t>
      </w:r>
      <w:r>
        <w:rPr>
          <w:rFonts w:hint="eastAsia" w:ascii="宋体" w:hAnsi="宋体"/>
          <w:color w:val="000000" w:themeColor="text1"/>
          <w:szCs w:val="21"/>
          <w:highlight w:val="none"/>
          <w:lang w:eastAsia="zh-CN"/>
          <w14:textFill>
            <w14:solidFill>
              <w14:schemeClr w14:val="tx1"/>
            </w14:solidFill>
          </w14:textFill>
        </w:rPr>
        <w:t>供应商</w:t>
      </w:r>
      <w:r>
        <w:rPr>
          <w:rFonts w:hint="eastAsia" w:ascii="宋体" w:hAnsi="宋体"/>
          <w:color w:val="000000" w:themeColor="text1"/>
          <w:szCs w:val="21"/>
          <w:highlight w:val="none"/>
          <w14:textFill>
            <w14:solidFill>
              <w14:schemeClr w14:val="tx1"/>
            </w14:solidFill>
          </w14:textFill>
        </w:rPr>
        <w:t>出具签收凭证。</w:t>
      </w:r>
    </w:p>
    <w:p w14:paraId="75BA6FA7">
      <w:pPr>
        <w:overflowPunct/>
        <w:bidi w:val="0"/>
        <w:spacing w:line="360" w:lineRule="auto"/>
        <w:ind w:firstLine="420" w:firstLineChars="200"/>
        <w:outlineLvl w:val="9"/>
        <w:rPr>
          <w:rFonts w:ascii="宋体" w:hAnsi="宋体"/>
          <w:color w:val="000000" w:themeColor="text1"/>
          <w:szCs w:val="21"/>
          <w:highlight w:val="none"/>
          <w14:textFill>
            <w14:solidFill>
              <w14:schemeClr w14:val="tx1"/>
            </w14:solidFill>
          </w14:textFill>
        </w:rPr>
      </w:pPr>
      <w:r>
        <w:rPr>
          <w:rFonts w:hint="eastAsia" w:ascii="宋体" w:hAnsi="宋体"/>
          <w:color w:val="000000" w:themeColor="text1"/>
          <w:szCs w:val="21"/>
          <w:highlight w:val="none"/>
          <w14:textFill>
            <w14:solidFill>
              <w14:schemeClr w14:val="tx1"/>
            </w14:solidFill>
          </w14:textFill>
        </w:rPr>
        <w:t>4.2.5 逾期送达的或者未送达指定地点的响应文件，采购人不予受理。</w:t>
      </w:r>
    </w:p>
    <w:p w14:paraId="0965DF8B">
      <w:pPr>
        <w:overflowPunct/>
        <w:bidi w:val="0"/>
        <w:spacing w:line="360" w:lineRule="auto"/>
        <w:ind w:firstLine="420" w:firstLineChars="200"/>
        <w:outlineLvl w:val="9"/>
        <w:rPr>
          <w:rFonts w:ascii="宋体" w:hAnsi="宋体"/>
          <w:color w:val="000000" w:themeColor="text1"/>
          <w:szCs w:val="21"/>
          <w:highlight w:val="none"/>
          <w14:textFill>
            <w14:solidFill>
              <w14:schemeClr w14:val="tx1"/>
            </w14:solidFill>
          </w14:textFill>
        </w:rPr>
      </w:pPr>
      <w:r>
        <w:rPr>
          <w:rFonts w:hint="eastAsia" w:ascii="宋体" w:hAnsi="宋体"/>
          <w:color w:val="000000" w:themeColor="text1"/>
          <w:szCs w:val="21"/>
          <w:highlight w:val="none"/>
          <w14:textFill>
            <w14:solidFill>
              <w14:schemeClr w14:val="tx1"/>
            </w14:solidFill>
          </w14:textFill>
        </w:rPr>
        <w:t>4.3 响应文件的修改与撤回</w:t>
      </w:r>
    </w:p>
    <w:p w14:paraId="6EA3A5C1">
      <w:pPr>
        <w:overflowPunct/>
        <w:bidi w:val="0"/>
        <w:spacing w:line="360" w:lineRule="auto"/>
        <w:ind w:firstLine="420" w:firstLineChars="200"/>
        <w:outlineLvl w:val="9"/>
        <w:rPr>
          <w:rFonts w:ascii="宋体" w:hAnsi="宋体"/>
          <w:color w:val="000000" w:themeColor="text1"/>
          <w:szCs w:val="21"/>
          <w:highlight w:val="none"/>
          <w14:textFill>
            <w14:solidFill>
              <w14:schemeClr w14:val="tx1"/>
            </w14:solidFill>
          </w14:textFill>
        </w:rPr>
      </w:pPr>
      <w:r>
        <w:rPr>
          <w:rFonts w:hint="eastAsia" w:ascii="宋体" w:hAnsi="宋体"/>
          <w:color w:val="000000" w:themeColor="text1"/>
          <w:szCs w:val="21"/>
          <w:highlight w:val="none"/>
          <w14:textFill>
            <w14:solidFill>
              <w14:schemeClr w14:val="tx1"/>
            </w14:solidFill>
          </w14:textFill>
        </w:rPr>
        <w:t>4.3.1 在本章第2.2.2 项规定的递交响应文件截止时间前，</w:t>
      </w:r>
      <w:r>
        <w:rPr>
          <w:rFonts w:hint="eastAsia" w:ascii="宋体" w:hAnsi="宋体"/>
          <w:color w:val="000000" w:themeColor="text1"/>
          <w:szCs w:val="21"/>
          <w:highlight w:val="none"/>
          <w:lang w:eastAsia="zh-CN"/>
          <w14:textFill>
            <w14:solidFill>
              <w14:schemeClr w14:val="tx1"/>
            </w14:solidFill>
          </w14:textFill>
        </w:rPr>
        <w:t>供应商</w:t>
      </w:r>
      <w:r>
        <w:rPr>
          <w:rFonts w:hint="eastAsia" w:ascii="宋体" w:hAnsi="宋体"/>
          <w:color w:val="000000" w:themeColor="text1"/>
          <w:szCs w:val="21"/>
          <w:highlight w:val="none"/>
          <w14:textFill>
            <w14:solidFill>
              <w14:schemeClr w14:val="tx1"/>
            </w14:solidFill>
          </w14:textFill>
        </w:rPr>
        <w:t>可以修改或撤回已递交的响应文件，但应以书面形式通知采购人。</w:t>
      </w:r>
    </w:p>
    <w:p w14:paraId="41B992FA">
      <w:pPr>
        <w:overflowPunct/>
        <w:bidi w:val="0"/>
        <w:spacing w:line="360" w:lineRule="auto"/>
        <w:ind w:firstLine="420" w:firstLineChars="200"/>
        <w:outlineLvl w:val="9"/>
        <w:rPr>
          <w:rFonts w:ascii="宋体" w:hAnsi="宋体"/>
          <w:color w:val="000000" w:themeColor="text1"/>
          <w:szCs w:val="21"/>
          <w:highlight w:val="none"/>
          <w14:textFill>
            <w14:solidFill>
              <w14:schemeClr w14:val="tx1"/>
            </w14:solidFill>
          </w14:textFill>
        </w:rPr>
      </w:pPr>
      <w:r>
        <w:rPr>
          <w:rFonts w:hint="eastAsia" w:ascii="宋体" w:hAnsi="宋体"/>
          <w:color w:val="000000" w:themeColor="text1"/>
          <w:szCs w:val="21"/>
          <w:highlight w:val="none"/>
          <w14:textFill>
            <w14:solidFill>
              <w14:schemeClr w14:val="tx1"/>
            </w14:solidFill>
          </w14:textFill>
        </w:rPr>
        <w:t xml:space="preserve">4.3.2 </w:t>
      </w:r>
      <w:r>
        <w:rPr>
          <w:rFonts w:hint="eastAsia" w:ascii="宋体" w:hAnsi="宋体"/>
          <w:color w:val="000000" w:themeColor="text1"/>
          <w:szCs w:val="21"/>
          <w:highlight w:val="none"/>
          <w:lang w:eastAsia="zh-CN"/>
          <w14:textFill>
            <w14:solidFill>
              <w14:schemeClr w14:val="tx1"/>
            </w14:solidFill>
          </w14:textFill>
        </w:rPr>
        <w:t>供应商</w:t>
      </w:r>
      <w:r>
        <w:rPr>
          <w:rFonts w:hint="eastAsia" w:ascii="宋体" w:hAnsi="宋体"/>
          <w:color w:val="000000" w:themeColor="text1"/>
          <w:szCs w:val="21"/>
          <w:highlight w:val="none"/>
          <w14:textFill>
            <w14:solidFill>
              <w14:schemeClr w14:val="tx1"/>
            </w14:solidFill>
          </w14:textFill>
        </w:rPr>
        <w:t>修改或撤回已递交响应文件的书面通知应按照本章第3.7.3 项的要求签字或盖章。采购人收到书面通知后，向</w:t>
      </w:r>
      <w:r>
        <w:rPr>
          <w:rFonts w:hint="eastAsia" w:ascii="宋体" w:hAnsi="宋体"/>
          <w:color w:val="000000" w:themeColor="text1"/>
          <w:szCs w:val="21"/>
          <w:highlight w:val="none"/>
          <w:lang w:eastAsia="zh-CN"/>
          <w14:textFill>
            <w14:solidFill>
              <w14:schemeClr w14:val="tx1"/>
            </w14:solidFill>
          </w14:textFill>
        </w:rPr>
        <w:t>供应商</w:t>
      </w:r>
      <w:r>
        <w:rPr>
          <w:rFonts w:hint="eastAsia" w:ascii="宋体" w:hAnsi="宋体"/>
          <w:color w:val="000000" w:themeColor="text1"/>
          <w:szCs w:val="21"/>
          <w:highlight w:val="none"/>
          <w14:textFill>
            <w14:solidFill>
              <w14:schemeClr w14:val="tx1"/>
            </w14:solidFill>
          </w14:textFill>
        </w:rPr>
        <w:t>出具签收凭证。</w:t>
      </w:r>
    </w:p>
    <w:p w14:paraId="73E88B81">
      <w:pPr>
        <w:overflowPunct/>
        <w:bidi w:val="0"/>
        <w:spacing w:line="360" w:lineRule="auto"/>
        <w:ind w:firstLine="420" w:firstLineChars="200"/>
        <w:outlineLvl w:val="9"/>
        <w:rPr>
          <w:rFonts w:ascii="宋体" w:hAnsi="宋体"/>
          <w:color w:val="000000" w:themeColor="text1"/>
          <w:szCs w:val="21"/>
          <w:highlight w:val="none"/>
          <w14:textFill>
            <w14:solidFill>
              <w14:schemeClr w14:val="tx1"/>
            </w14:solidFill>
          </w14:textFill>
        </w:rPr>
      </w:pPr>
      <w:r>
        <w:rPr>
          <w:rFonts w:hint="eastAsia" w:ascii="宋体" w:hAnsi="宋体"/>
          <w:color w:val="000000" w:themeColor="text1"/>
          <w:szCs w:val="21"/>
          <w:highlight w:val="none"/>
          <w14:textFill>
            <w14:solidFill>
              <w14:schemeClr w14:val="tx1"/>
            </w14:solidFill>
          </w14:textFill>
        </w:rPr>
        <w:t>4.3.3 修改的内容为响应文件的组成部分。修改的响应文件应按照本章第3 条、第4 条规定进行编制、密封、标记和递交，并标明“修改”字样。</w:t>
      </w:r>
    </w:p>
    <w:p w14:paraId="20CE0C8B">
      <w:pPr>
        <w:overflowPunct/>
        <w:bidi w:val="0"/>
        <w:outlineLvl w:val="9"/>
        <w:rPr>
          <w:rFonts w:hint="eastAsia" w:ascii="宋体" w:hAnsi="宋体" w:eastAsia="宋体"/>
          <w:color w:val="000000" w:themeColor="text1"/>
          <w:highlight w:val="none"/>
          <w:lang w:eastAsia="zh-CN"/>
          <w14:textFill>
            <w14:solidFill>
              <w14:schemeClr w14:val="tx1"/>
            </w14:solidFill>
          </w14:textFill>
        </w:rPr>
      </w:pPr>
      <w:bookmarkStart w:id="30" w:name="_Toc184635075"/>
      <w:r>
        <w:rPr>
          <w:rFonts w:hint="eastAsia" w:ascii="宋体" w:hAnsi="宋体"/>
          <w:color w:val="000000" w:themeColor="text1"/>
          <w:highlight w:val="none"/>
          <w14:textFill>
            <w14:solidFill>
              <w14:schemeClr w14:val="tx1"/>
            </w14:solidFill>
          </w14:textFill>
        </w:rPr>
        <w:t>5．开</w:t>
      </w:r>
      <w:bookmarkEnd w:id="30"/>
      <w:r>
        <w:rPr>
          <w:rFonts w:hint="eastAsia" w:ascii="宋体" w:hAnsi="宋体"/>
          <w:color w:val="000000" w:themeColor="text1"/>
          <w:highlight w:val="none"/>
          <w:lang w:val="en-US" w:eastAsia="zh-CN"/>
          <w14:textFill>
            <w14:solidFill>
              <w14:schemeClr w14:val="tx1"/>
            </w14:solidFill>
          </w14:textFill>
        </w:rPr>
        <w:t>启</w:t>
      </w:r>
    </w:p>
    <w:p w14:paraId="79F38CCD">
      <w:pPr>
        <w:overflowPunct/>
        <w:bidi w:val="0"/>
        <w:outlineLvl w:val="9"/>
        <w:rPr>
          <w:rFonts w:ascii="宋体" w:hAnsi="宋体" w:eastAsia="宋体"/>
          <w:color w:val="000000" w:themeColor="text1"/>
          <w:highlight w:val="none"/>
          <w14:textFill>
            <w14:solidFill>
              <w14:schemeClr w14:val="tx1"/>
            </w14:solidFill>
          </w14:textFill>
        </w:rPr>
      </w:pPr>
      <w:r>
        <w:rPr>
          <w:rFonts w:hint="eastAsia" w:ascii="宋体" w:hAnsi="宋体" w:eastAsia="宋体"/>
          <w:color w:val="000000" w:themeColor="text1"/>
          <w:highlight w:val="none"/>
          <w14:textFill>
            <w14:solidFill>
              <w14:schemeClr w14:val="tx1"/>
            </w14:solidFill>
          </w14:textFill>
        </w:rPr>
        <w:t>5.1 开启时间和地点</w:t>
      </w:r>
    </w:p>
    <w:p w14:paraId="27B9CFA5">
      <w:pPr>
        <w:overflowPunct/>
        <w:bidi w:val="0"/>
        <w:spacing w:line="360" w:lineRule="auto"/>
        <w:ind w:firstLine="420" w:firstLineChars="200"/>
        <w:outlineLvl w:val="9"/>
        <w:rPr>
          <w:rFonts w:ascii="宋体" w:hAnsi="宋体"/>
          <w:color w:val="000000" w:themeColor="text1"/>
          <w:szCs w:val="21"/>
          <w:highlight w:val="none"/>
          <w14:textFill>
            <w14:solidFill>
              <w14:schemeClr w14:val="tx1"/>
            </w14:solidFill>
          </w14:textFill>
        </w:rPr>
      </w:pPr>
      <w:r>
        <w:rPr>
          <w:rFonts w:hint="eastAsia" w:ascii="宋体" w:hAnsi="宋体"/>
          <w:color w:val="000000" w:themeColor="text1"/>
          <w:szCs w:val="21"/>
          <w:highlight w:val="none"/>
          <w14:textFill>
            <w14:solidFill>
              <w14:schemeClr w14:val="tx1"/>
            </w14:solidFill>
          </w14:textFill>
        </w:rPr>
        <w:t>采购人在本章第2.2.2 项规定的递交响应文件截止时间（开启时间）</w:t>
      </w:r>
      <w:r>
        <w:rPr>
          <w:rFonts w:hint="eastAsia" w:ascii="宋体" w:hAnsi="宋体"/>
          <w:color w:val="000000" w:themeColor="text1"/>
          <w:szCs w:val="21"/>
          <w:highlight w:val="none"/>
          <w:lang w:val="zh-CN"/>
          <w14:textFill>
            <w14:solidFill>
              <w14:schemeClr w14:val="tx1"/>
            </w14:solidFill>
          </w14:textFill>
        </w:rPr>
        <w:t>和供应商须知前附表规定的网址、地点</w:t>
      </w:r>
      <w:r>
        <w:rPr>
          <w:rFonts w:hint="eastAsia" w:ascii="宋体" w:hAnsi="宋体"/>
          <w:color w:val="000000" w:themeColor="text1"/>
          <w:szCs w:val="21"/>
          <w:highlight w:val="none"/>
          <w:lang w:val="en-US" w:eastAsia="zh-CN"/>
          <w14:textFill>
            <w14:solidFill>
              <w14:schemeClr w14:val="tx1"/>
            </w14:solidFill>
          </w14:textFill>
        </w:rPr>
        <w:t>参加磋商会议</w:t>
      </w:r>
      <w:r>
        <w:rPr>
          <w:rFonts w:hint="eastAsia" w:ascii="宋体" w:hAnsi="宋体"/>
          <w:color w:val="000000" w:themeColor="text1"/>
          <w:szCs w:val="21"/>
          <w:highlight w:val="none"/>
          <w14:textFill>
            <w14:solidFill>
              <w14:schemeClr w14:val="tx1"/>
            </w14:solidFill>
          </w14:textFill>
        </w:rPr>
        <w:t>。</w:t>
      </w:r>
    </w:p>
    <w:p w14:paraId="5B26676F">
      <w:pPr>
        <w:overflowPunct/>
        <w:bidi w:val="0"/>
        <w:outlineLvl w:val="9"/>
        <w:rPr>
          <w:rFonts w:ascii="宋体" w:hAnsi="宋体" w:eastAsia="宋体"/>
          <w:color w:val="000000" w:themeColor="text1"/>
          <w:highlight w:val="none"/>
          <w14:textFill>
            <w14:solidFill>
              <w14:schemeClr w14:val="tx1"/>
            </w14:solidFill>
          </w14:textFill>
        </w:rPr>
      </w:pPr>
      <w:r>
        <w:rPr>
          <w:rFonts w:hint="eastAsia" w:ascii="宋体" w:hAnsi="宋体" w:eastAsia="宋体"/>
          <w:color w:val="000000" w:themeColor="text1"/>
          <w:highlight w:val="none"/>
          <w14:textFill>
            <w14:solidFill>
              <w14:schemeClr w14:val="tx1"/>
            </w14:solidFill>
          </w14:textFill>
        </w:rPr>
        <w:t>5.2 磋商程序</w:t>
      </w:r>
    </w:p>
    <w:p w14:paraId="04D3F00F">
      <w:pPr>
        <w:overflowPunct/>
        <w:bidi w:val="0"/>
        <w:spacing w:line="360" w:lineRule="auto"/>
        <w:ind w:firstLine="420" w:firstLineChars="200"/>
        <w:outlineLvl w:val="9"/>
        <w:rPr>
          <w:rFonts w:ascii="宋体" w:hAnsi="宋体"/>
          <w:color w:val="000000" w:themeColor="text1"/>
          <w:szCs w:val="21"/>
          <w:highlight w:val="none"/>
          <w14:textFill>
            <w14:solidFill>
              <w14:schemeClr w14:val="tx1"/>
            </w14:solidFill>
          </w14:textFill>
        </w:rPr>
      </w:pPr>
      <w:r>
        <w:rPr>
          <w:rFonts w:hint="eastAsia" w:ascii="宋体" w:hAnsi="宋体"/>
          <w:color w:val="000000" w:themeColor="text1"/>
          <w:szCs w:val="21"/>
          <w:highlight w:val="none"/>
          <w14:textFill>
            <w14:solidFill>
              <w14:schemeClr w14:val="tx1"/>
            </w14:solidFill>
          </w14:textFill>
        </w:rPr>
        <w:t>主持人按下列程序进行开标：</w:t>
      </w:r>
    </w:p>
    <w:p w14:paraId="19D57EBF">
      <w:pPr>
        <w:overflowPunct/>
        <w:bidi w:val="0"/>
        <w:outlineLvl w:val="9"/>
        <w:rPr>
          <w:rFonts w:hint="eastAsia" w:ascii="宋体" w:hAnsi="宋体" w:eastAsia="宋体" w:cs="Times New Roman"/>
          <w:b w:val="0"/>
          <w:bCs w:val="0"/>
          <w:color w:val="000000" w:themeColor="text1"/>
          <w:kern w:val="2"/>
          <w:sz w:val="21"/>
          <w:szCs w:val="21"/>
          <w:highlight w:val="none"/>
          <w:lang w:val="zh-CN" w:eastAsia="zh-CN" w:bidi="ar-SA"/>
          <w14:textFill>
            <w14:solidFill>
              <w14:schemeClr w14:val="tx1"/>
            </w14:solidFill>
          </w14:textFill>
        </w:rPr>
      </w:pPr>
      <w:bookmarkStart w:id="31" w:name="_Toc184635076"/>
      <w:r>
        <w:rPr>
          <w:rFonts w:hint="eastAsia" w:ascii="宋体" w:hAnsi="宋体" w:eastAsia="宋体" w:cs="Times New Roman"/>
          <w:b w:val="0"/>
          <w:bCs w:val="0"/>
          <w:color w:val="000000" w:themeColor="text1"/>
          <w:kern w:val="2"/>
          <w:sz w:val="21"/>
          <w:szCs w:val="21"/>
          <w:highlight w:val="none"/>
          <w:lang w:val="zh-CN" w:eastAsia="zh-CN" w:bidi="ar-SA"/>
          <w14:textFill>
            <w14:solidFill>
              <w14:schemeClr w14:val="tx1"/>
            </w14:solidFill>
          </w14:textFill>
        </w:rPr>
        <w:t>（1）宣布开标纪律；</w:t>
      </w:r>
    </w:p>
    <w:p w14:paraId="3521AB79">
      <w:pPr>
        <w:overflowPunct/>
        <w:bidi w:val="0"/>
        <w:outlineLvl w:val="9"/>
        <w:rPr>
          <w:rFonts w:hint="eastAsia" w:ascii="宋体" w:hAnsi="宋体" w:eastAsia="宋体" w:cs="Times New Roman"/>
          <w:b w:val="0"/>
          <w:bCs w:val="0"/>
          <w:color w:val="000000" w:themeColor="text1"/>
          <w:kern w:val="2"/>
          <w:sz w:val="21"/>
          <w:szCs w:val="21"/>
          <w:highlight w:val="none"/>
          <w:lang w:val="zh-CN" w:eastAsia="zh-CN" w:bidi="ar-SA"/>
          <w14:textFill>
            <w14:solidFill>
              <w14:schemeClr w14:val="tx1"/>
            </w14:solidFill>
          </w14:textFill>
        </w:rPr>
      </w:pPr>
      <w:r>
        <w:rPr>
          <w:rFonts w:hint="eastAsia" w:ascii="宋体" w:hAnsi="宋体" w:eastAsia="宋体" w:cs="Times New Roman"/>
          <w:b w:val="0"/>
          <w:bCs w:val="0"/>
          <w:color w:val="000000" w:themeColor="text1"/>
          <w:kern w:val="2"/>
          <w:sz w:val="21"/>
          <w:szCs w:val="21"/>
          <w:highlight w:val="none"/>
          <w:lang w:val="zh-CN" w:eastAsia="zh-CN" w:bidi="ar-SA"/>
          <w14:textFill>
            <w14:solidFill>
              <w14:schemeClr w14:val="tx1"/>
            </w14:solidFill>
          </w14:textFill>
        </w:rPr>
        <w:t>（2）查看并公布投标报名名单；</w:t>
      </w:r>
    </w:p>
    <w:p w14:paraId="28882DCF">
      <w:pPr>
        <w:overflowPunct/>
        <w:bidi w:val="0"/>
        <w:outlineLvl w:val="9"/>
        <w:rPr>
          <w:rFonts w:hint="eastAsia" w:ascii="宋体" w:hAnsi="宋体" w:eastAsia="宋体" w:cs="Times New Roman"/>
          <w:b w:val="0"/>
          <w:bCs w:val="0"/>
          <w:color w:val="000000" w:themeColor="text1"/>
          <w:kern w:val="2"/>
          <w:sz w:val="21"/>
          <w:szCs w:val="21"/>
          <w:highlight w:val="none"/>
          <w:lang w:val="zh-CN" w:eastAsia="zh-CN" w:bidi="ar-SA"/>
          <w14:textFill>
            <w14:solidFill>
              <w14:schemeClr w14:val="tx1"/>
            </w14:solidFill>
          </w14:textFill>
        </w:rPr>
      </w:pPr>
      <w:r>
        <w:rPr>
          <w:rFonts w:hint="eastAsia" w:ascii="宋体" w:hAnsi="宋体" w:eastAsia="宋体" w:cs="Times New Roman"/>
          <w:b w:val="0"/>
          <w:bCs w:val="0"/>
          <w:color w:val="000000" w:themeColor="text1"/>
          <w:kern w:val="2"/>
          <w:sz w:val="21"/>
          <w:szCs w:val="21"/>
          <w:highlight w:val="none"/>
          <w:lang w:val="zh-CN" w:eastAsia="zh-CN" w:bidi="ar-SA"/>
          <w14:textFill>
            <w14:solidFill>
              <w14:schemeClr w14:val="tx1"/>
            </w14:solidFill>
          </w14:textFill>
        </w:rPr>
        <w:t>（3）宣布开标人、监标人等有关人员；</w:t>
      </w:r>
    </w:p>
    <w:p w14:paraId="2AFA565A">
      <w:pPr>
        <w:overflowPunct/>
        <w:bidi w:val="0"/>
        <w:outlineLvl w:val="9"/>
        <w:rPr>
          <w:rFonts w:hint="eastAsia" w:ascii="宋体" w:hAnsi="宋体" w:eastAsia="宋体" w:cs="Times New Roman"/>
          <w:b w:val="0"/>
          <w:bCs w:val="0"/>
          <w:color w:val="000000" w:themeColor="text1"/>
          <w:kern w:val="2"/>
          <w:sz w:val="21"/>
          <w:szCs w:val="21"/>
          <w:highlight w:val="none"/>
          <w:lang w:val="zh-CN" w:eastAsia="zh-CN" w:bidi="ar-SA"/>
          <w14:textFill>
            <w14:solidFill>
              <w14:schemeClr w14:val="tx1"/>
            </w14:solidFill>
          </w14:textFill>
        </w:rPr>
      </w:pPr>
      <w:r>
        <w:rPr>
          <w:rFonts w:hint="eastAsia" w:ascii="宋体" w:hAnsi="宋体" w:eastAsia="宋体" w:cs="Times New Roman"/>
          <w:b w:val="0"/>
          <w:bCs w:val="0"/>
          <w:color w:val="000000" w:themeColor="text1"/>
          <w:kern w:val="2"/>
          <w:sz w:val="21"/>
          <w:szCs w:val="21"/>
          <w:highlight w:val="none"/>
          <w:lang w:val="zh-CN" w:eastAsia="zh-CN" w:bidi="ar-SA"/>
          <w14:textFill>
            <w14:solidFill>
              <w14:schemeClr w14:val="tx1"/>
            </w14:solidFill>
          </w14:textFill>
        </w:rPr>
        <w:t>（4）采购代理机构</w:t>
      </w:r>
      <w:r>
        <w:rPr>
          <w:rFonts w:hint="eastAsia" w:ascii="宋体" w:hAnsi="宋体" w:eastAsia="宋体" w:cs="Times New Roman"/>
          <w:b w:val="0"/>
          <w:bCs w:val="0"/>
          <w:color w:val="000000" w:themeColor="text1"/>
          <w:kern w:val="2"/>
          <w:sz w:val="21"/>
          <w:szCs w:val="21"/>
          <w:highlight w:val="none"/>
          <w:lang w:val="en-US" w:eastAsia="zh-CN" w:bidi="ar-SA"/>
          <w14:textFill>
            <w14:solidFill>
              <w14:schemeClr w14:val="tx1"/>
            </w14:solidFill>
          </w14:textFill>
        </w:rPr>
        <w:t>对</w:t>
      </w:r>
      <w:r>
        <w:rPr>
          <w:rFonts w:hint="eastAsia" w:ascii="宋体" w:hAnsi="宋体" w:eastAsia="宋体" w:cs="Times New Roman"/>
          <w:b w:val="0"/>
          <w:bCs w:val="0"/>
          <w:color w:val="000000" w:themeColor="text1"/>
          <w:kern w:val="2"/>
          <w:sz w:val="21"/>
          <w:szCs w:val="21"/>
          <w:highlight w:val="none"/>
          <w:lang w:val="zh-CN" w:eastAsia="zh-CN" w:bidi="ar-SA"/>
          <w14:textFill>
            <w14:solidFill>
              <w14:schemeClr w14:val="tx1"/>
            </w14:solidFill>
          </w14:textFill>
        </w:rPr>
        <w:t>供应商电子投标文件解密。</w:t>
      </w:r>
    </w:p>
    <w:p w14:paraId="51D16B10">
      <w:pPr>
        <w:overflowPunct/>
        <w:bidi w:val="0"/>
        <w:outlineLvl w:val="9"/>
        <w:rPr>
          <w:rFonts w:ascii="宋体" w:hAnsi="宋体"/>
          <w:color w:val="000000" w:themeColor="text1"/>
          <w:highlight w:val="none"/>
          <w14:textFill>
            <w14:solidFill>
              <w14:schemeClr w14:val="tx1"/>
            </w14:solidFill>
          </w14:textFill>
        </w:rPr>
      </w:pPr>
      <w:r>
        <w:rPr>
          <w:rFonts w:hint="eastAsia" w:ascii="宋体" w:hAnsi="宋体"/>
          <w:color w:val="000000" w:themeColor="text1"/>
          <w:highlight w:val="none"/>
          <w14:textFill>
            <w14:solidFill>
              <w14:schemeClr w14:val="tx1"/>
            </w14:solidFill>
          </w14:textFill>
        </w:rPr>
        <w:t>6．评审</w:t>
      </w:r>
      <w:bookmarkEnd w:id="31"/>
    </w:p>
    <w:p w14:paraId="30869151">
      <w:pPr>
        <w:overflowPunct/>
        <w:bidi w:val="0"/>
        <w:outlineLvl w:val="9"/>
        <w:rPr>
          <w:rFonts w:ascii="宋体" w:hAnsi="宋体" w:eastAsia="宋体"/>
          <w:color w:val="000000" w:themeColor="text1"/>
          <w:highlight w:val="none"/>
          <w14:textFill>
            <w14:solidFill>
              <w14:schemeClr w14:val="tx1"/>
            </w14:solidFill>
          </w14:textFill>
        </w:rPr>
      </w:pPr>
      <w:r>
        <w:rPr>
          <w:rFonts w:hint="eastAsia" w:ascii="宋体" w:hAnsi="宋体" w:eastAsia="宋体"/>
          <w:color w:val="000000" w:themeColor="text1"/>
          <w:highlight w:val="none"/>
          <w14:textFill>
            <w14:solidFill>
              <w14:schemeClr w14:val="tx1"/>
            </w14:solidFill>
          </w14:textFill>
        </w:rPr>
        <w:t>6.1 磋商小组</w:t>
      </w:r>
    </w:p>
    <w:p w14:paraId="00D3282A">
      <w:pPr>
        <w:overflowPunct/>
        <w:bidi w:val="0"/>
        <w:spacing w:line="360" w:lineRule="auto"/>
        <w:ind w:firstLine="420" w:firstLineChars="200"/>
        <w:outlineLvl w:val="9"/>
        <w:rPr>
          <w:rFonts w:ascii="宋体" w:hAnsi="宋体"/>
          <w:color w:val="000000" w:themeColor="text1"/>
          <w:szCs w:val="21"/>
          <w:highlight w:val="none"/>
          <w14:textFill>
            <w14:solidFill>
              <w14:schemeClr w14:val="tx1"/>
            </w14:solidFill>
          </w14:textFill>
        </w:rPr>
      </w:pPr>
      <w:r>
        <w:rPr>
          <w:rFonts w:hint="eastAsia" w:ascii="宋体" w:hAnsi="宋体"/>
          <w:color w:val="000000" w:themeColor="text1"/>
          <w:szCs w:val="21"/>
          <w:highlight w:val="none"/>
          <w14:textFill>
            <w14:solidFill>
              <w14:schemeClr w14:val="tx1"/>
            </w14:solidFill>
          </w14:textFill>
        </w:rPr>
        <w:t>6.1.1 评审工作由采购人依法组建的磋商小组负责。磋商小组由采购人代表和有关技术、经济等方面专家，共</w:t>
      </w:r>
      <w:r>
        <w:rPr>
          <w:rFonts w:hint="eastAsia" w:ascii="宋体" w:hAnsi="宋体"/>
          <w:color w:val="000000" w:themeColor="text1"/>
          <w:szCs w:val="21"/>
          <w:highlight w:val="none"/>
          <w:lang w:val="en-US" w:eastAsia="zh-CN"/>
          <w14:textFill>
            <w14:solidFill>
              <w14:schemeClr w14:val="tx1"/>
            </w14:solidFill>
          </w14:textFill>
        </w:rPr>
        <w:t xml:space="preserve">3 </w:t>
      </w:r>
      <w:r>
        <w:rPr>
          <w:rFonts w:hint="eastAsia" w:ascii="宋体" w:hAnsi="宋体"/>
          <w:color w:val="000000" w:themeColor="text1"/>
          <w:szCs w:val="21"/>
          <w:highlight w:val="none"/>
          <w14:textFill>
            <w14:solidFill>
              <w14:schemeClr w14:val="tx1"/>
            </w14:solidFill>
          </w14:textFill>
        </w:rPr>
        <w:t>人组成。磋商小组成员人数以及技术、经济等方面专家的确定方式见</w:t>
      </w:r>
      <w:r>
        <w:rPr>
          <w:rFonts w:hint="eastAsia" w:ascii="宋体" w:hAnsi="宋体"/>
          <w:color w:val="000000" w:themeColor="text1"/>
          <w:szCs w:val="21"/>
          <w:highlight w:val="none"/>
          <w:lang w:eastAsia="zh-CN"/>
          <w14:textFill>
            <w14:solidFill>
              <w14:schemeClr w14:val="tx1"/>
            </w14:solidFill>
          </w14:textFill>
        </w:rPr>
        <w:t>供应商</w:t>
      </w:r>
      <w:r>
        <w:rPr>
          <w:rFonts w:hint="eastAsia" w:ascii="宋体" w:hAnsi="宋体"/>
          <w:color w:val="000000" w:themeColor="text1"/>
          <w:szCs w:val="21"/>
          <w:highlight w:val="none"/>
          <w14:textFill>
            <w14:solidFill>
              <w14:schemeClr w14:val="tx1"/>
            </w14:solidFill>
          </w14:textFill>
        </w:rPr>
        <w:t>须知前附表。</w:t>
      </w:r>
    </w:p>
    <w:p w14:paraId="4FFC710F">
      <w:pPr>
        <w:overflowPunct/>
        <w:bidi w:val="0"/>
        <w:spacing w:line="360" w:lineRule="auto"/>
        <w:ind w:firstLine="420" w:firstLineChars="200"/>
        <w:outlineLvl w:val="9"/>
        <w:rPr>
          <w:rFonts w:ascii="宋体" w:hAnsi="宋体"/>
          <w:color w:val="000000" w:themeColor="text1"/>
          <w:szCs w:val="21"/>
          <w:highlight w:val="none"/>
          <w14:textFill>
            <w14:solidFill>
              <w14:schemeClr w14:val="tx1"/>
            </w14:solidFill>
          </w14:textFill>
        </w:rPr>
      </w:pPr>
      <w:r>
        <w:rPr>
          <w:rFonts w:hint="eastAsia" w:ascii="宋体" w:hAnsi="宋体"/>
          <w:color w:val="000000" w:themeColor="text1"/>
          <w:szCs w:val="21"/>
          <w:highlight w:val="none"/>
          <w14:textFill>
            <w14:solidFill>
              <w14:schemeClr w14:val="tx1"/>
            </w14:solidFill>
          </w14:textFill>
        </w:rPr>
        <w:t>6.1.2 磋商小组成员有下列情形之一的，应当回避：</w:t>
      </w:r>
    </w:p>
    <w:p w14:paraId="5C3D31B3">
      <w:pPr>
        <w:overflowPunct/>
        <w:bidi w:val="0"/>
        <w:spacing w:line="360" w:lineRule="auto"/>
        <w:ind w:firstLine="420" w:firstLineChars="200"/>
        <w:outlineLvl w:val="9"/>
        <w:rPr>
          <w:rFonts w:ascii="宋体" w:hAnsi="宋体"/>
          <w:color w:val="000000" w:themeColor="text1"/>
          <w:szCs w:val="21"/>
          <w:highlight w:val="none"/>
          <w14:textFill>
            <w14:solidFill>
              <w14:schemeClr w14:val="tx1"/>
            </w14:solidFill>
          </w14:textFill>
        </w:rPr>
      </w:pPr>
      <w:r>
        <w:rPr>
          <w:rFonts w:hint="eastAsia" w:ascii="宋体" w:hAnsi="宋体"/>
          <w:color w:val="000000" w:themeColor="text1"/>
          <w:szCs w:val="21"/>
          <w:highlight w:val="none"/>
          <w14:textFill>
            <w14:solidFill>
              <w14:schemeClr w14:val="tx1"/>
            </w14:solidFill>
          </w14:textFill>
        </w:rPr>
        <w:t>(1）采购人或</w:t>
      </w:r>
      <w:r>
        <w:rPr>
          <w:rFonts w:hint="eastAsia" w:ascii="宋体" w:hAnsi="宋体"/>
          <w:color w:val="000000" w:themeColor="text1"/>
          <w:szCs w:val="21"/>
          <w:highlight w:val="none"/>
          <w:lang w:eastAsia="zh-CN"/>
          <w14:textFill>
            <w14:solidFill>
              <w14:schemeClr w14:val="tx1"/>
            </w14:solidFill>
          </w14:textFill>
        </w:rPr>
        <w:t>供应商</w:t>
      </w:r>
      <w:r>
        <w:rPr>
          <w:rFonts w:hint="eastAsia" w:ascii="宋体" w:hAnsi="宋体"/>
          <w:color w:val="000000" w:themeColor="text1"/>
          <w:szCs w:val="21"/>
          <w:highlight w:val="none"/>
          <w14:textFill>
            <w14:solidFill>
              <w14:schemeClr w14:val="tx1"/>
            </w14:solidFill>
          </w14:textFill>
        </w:rPr>
        <w:t>的主要负责人的近亲属；</w:t>
      </w:r>
    </w:p>
    <w:p w14:paraId="12B6E989">
      <w:pPr>
        <w:overflowPunct/>
        <w:bidi w:val="0"/>
        <w:spacing w:line="360" w:lineRule="auto"/>
        <w:ind w:firstLine="420" w:firstLineChars="200"/>
        <w:outlineLvl w:val="9"/>
        <w:rPr>
          <w:rFonts w:ascii="宋体" w:hAnsi="宋体"/>
          <w:color w:val="000000" w:themeColor="text1"/>
          <w:szCs w:val="21"/>
          <w:highlight w:val="none"/>
          <w14:textFill>
            <w14:solidFill>
              <w14:schemeClr w14:val="tx1"/>
            </w14:solidFill>
          </w14:textFill>
        </w:rPr>
      </w:pPr>
      <w:r>
        <w:rPr>
          <w:rFonts w:hint="eastAsia" w:ascii="宋体" w:hAnsi="宋体"/>
          <w:color w:val="000000" w:themeColor="text1"/>
          <w:szCs w:val="21"/>
          <w:highlight w:val="none"/>
          <w14:textFill>
            <w14:solidFill>
              <w14:schemeClr w14:val="tx1"/>
            </w14:solidFill>
          </w14:textFill>
        </w:rPr>
        <w:t>(2）项目主管部门或者行政监督部门的人员；</w:t>
      </w:r>
    </w:p>
    <w:p w14:paraId="519CD991">
      <w:pPr>
        <w:overflowPunct/>
        <w:bidi w:val="0"/>
        <w:spacing w:line="360" w:lineRule="auto"/>
        <w:ind w:firstLine="420" w:firstLineChars="200"/>
        <w:outlineLvl w:val="9"/>
        <w:rPr>
          <w:rFonts w:ascii="宋体" w:hAnsi="宋体"/>
          <w:color w:val="000000" w:themeColor="text1"/>
          <w:szCs w:val="21"/>
          <w:highlight w:val="none"/>
          <w14:textFill>
            <w14:solidFill>
              <w14:schemeClr w14:val="tx1"/>
            </w14:solidFill>
          </w14:textFill>
        </w:rPr>
      </w:pPr>
      <w:r>
        <w:rPr>
          <w:rFonts w:hint="eastAsia" w:ascii="宋体" w:hAnsi="宋体"/>
          <w:color w:val="000000" w:themeColor="text1"/>
          <w:szCs w:val="21"/>
          <w:highlight w:val="none"/>
          <w14:textFill>
            <w14:solidFill>
              <w14:schemeClr w14:val="tx1"/>
            </w14:solidFill>
          </w14:textFill>
        </w:rPr>
        <w:t>(3）与</w:t>
      </w:r>
      <w:r>
        <w:rPr>
          <w:rFonts w:hint="eastAsia" w:ascii="宋体" w:hAnsi="宋体"/>
          <w:color w:val="000000" w:themeColor="text1"/>
          <w:szCs w:val="21"/>
          <w:highlight w:val="none"/>
          <w:lang w:eastAsia="zh-CN"/>
          <w14:textFill>
            <w14:solidFill>
              <w14:schemeClr w14:val="tx1"/>
            </w14:solidFill>
          </w14:textFill>
        </w:rPr>
        <w:t>供应商</w:t>
      </w:r>
      <w:r>
        <w:rPr>
          <w:rFonts w:hint="eastAsia" w:ascii="宋体" w:hAnsi="宋体"/>
          <w:color w:val="000000" w:themeColor="text1"/>
          <w:szCs w:val="21"/>
          <w:highlight w:val="none"/>
          <w14:textFill>
            <w14:solidFill>
              <w14:schemeClr w14:val="tx1"/>
            </w14:solidFill>
          </w14:textFill>
        </w:rPr>
        <w:t>有经济利益关系，可能影响对投标公正评审的；</w:t>
      </w:r>
    </w:p>
    <w:p w14:paraId="5C20EF81">
      <w:pPr>
        <w:overflowPunct/>
        <w:bidi w:val="0"/>
        <w:spacing w:line="360" w:lineRule="auto"/>
        <w:ind w:firstLine="420" w:firstLineChars="200"/>
        <w:outlineLvl w:val="9"/>
        <w:rPr>
          <w:rFonts w:ascii="宋体" w:hAnsi="宋体"/>
          <w:color w:val="000000" w:themeColor="text1"/>
          <w:szCs w:val="21"/>
          <w:highlight w:val="none"/>
          <w14:textFill>
            <w14:solidFill>
              <w14:schemeClr w14:val="tx1"/>
            </w14:solidFill>
          </w14:textFill>
        </w:rPr>
      </w:pPr>
      <w:r>
        <w:rPr>
          <w:rFonts w:hint="eastAsia" w:ascii="宋体" w:hAnsi="宋体"/>
          <w:color w:val="000000" w:themeColor="text1"/>
          <w:szCs w:val="21"/>
          <w:highlight w:val="none"/>
          <w14:textFill>
            <w14:solidFill>
              <w14:schemeClr w14:val="tx1"/>
            </w14:solidFill>
          </w14:textFill>
        </w:rPr>
        <w:t>(4）曾因在招标、评审工作以及其他与招标投标有关活动中从事违法行为而受过行政处罚或刑事处罚的。</w:t>
      </w:r>
    </w:p>
    <w:p w14:paraId="772DF142">
      <w:pPr>
        <w:overflowPunct/>
        <w:bidi w:val="0"/>
        <w:outlineLvl w:val="9"/>
        <w:rPr>
          <w:rFonts w:ascii="宋体" w:hAnsi="宋体" w:eastAsia="宋体"/>
          <w:color w:val="000000" w:themeColor="text1"/>
          <w:highlight w:val="none"/>
          <w14:textFill>
            <w14:solidFill>
              <w14:schemeClr w14:val="tx1"/>
            </w14:solidFill>
          </w14:textFill>
        </w:rPr>
      </w:pPr>
      <w:r>
        <w:rPr>
          <w:rFonts w:hint="eastAsia" w:ascii="宋体" w:hAnsi="宋体" w:eastAsia="宋体"/>
          <w:color w:val="000000" w:themeColor="text1"/>
          <w:highlight w:val="none"/>
          <w14:textFill>
            <w14:solidFill>
              <w14:schemeClr w14:val="tx1"/>
            </w14:solidFill>
          </w14:textFill>
        </w:rPr>
        <w:t>6.2 评审原则</w:t>
      </w:r>
    </w:p>
    <w:p w14:paraId="79A888DE">
      <w:pPr>
        <w:overflowPunct/>
        <w:bidi w:val="0"/>
        <w:spacing w:line="360" w:lineRule="auto"/>
        <w:ind w:firstLine="420" w:firstLineChars="200"/>
        <w:outlineLvl w:val="9"/>
        <w:rPr>
          <w:rFonts w:ascii="宋体" w:hAnsi="宋体"/>
          <w:color w:val="000000" w:themeColor="text1"/>
          <w:szCs w:val="21"/>
          <w:highlight w:val="none"/>
          <w14:textFill>
            <w14:solidFill>
              <w14:schemeClr w14:val="tx1"/>
            </w14:solidFill>
          </w14:textFill>
        </w:rPr>
      </w:pPr>
      <w:r>
        <w:rPr>
          <w:rFonts w:hint="eastAsia" w:ascii="宋体" w:hAnsi="宋体"/>
          <w:color w:val="000000" w:themeColor="text1"/>
          <w:szCs w:val="21"/>
          <w:highlight w:val="none"/>
          <w14:textFill>
            <w14:solidFill>
              <w14:schemeClr w14:val="tx1"/>
            </w14:solidFill>
          </w14:textFill>
        </w:rPr>
        <w:t>评审工作活动遵循公平、公正、科学和择优的原则。</w:t>
      </w:r>
    </w:p>
    <w:p w14:paraId="29743F5C">
      <w:pPr>
        <w:overflowPunct/>
        <w:bidi w:val="0"/>
        <w:outlineLvl w:val="9"/>
        <w:rPr>
          <w:rFonts w:ascii="宋体" w:hAnsi="宋体" w:eastAsia="宋体"/>
          <w:color w:val="000000" w:themeColor="text1"/>
          <w:highlight w:val="none"/>
          <w14:textFill>
            <w14:solidFill>
              <w14:schemeClr w14:val="tx1"/>
            </w14:solidFill>
          </w14:textFill>
        </w:rPr>
      </w:pPr>
      <w:r>
        <w:rPr>
          <w:rFonts w:hint="eastAsia" w:ascii="宋体" w:hAnsi="宋体" w:eastAsia="宋体"/>
          <w:color w:val="000000" w:themeColor="text1"/>
          <w:highlight w:val="none"/>
          <w14:textFill>
            <w14:solidFill>
              <w14:schemeClr w14:val="tx1"/>
            </w14:solidFill>
          </w14:textFill>
        </w:rPr>
        <w:t>6.3 评审工作</w:t>
      </w:r>
    </w:p>
    <w:p w14:paraId="6D3CF517">
      <w:pPr>
        <w:overflowPunct/>
        <w:bidi w:val="0"/>
        <w:spacing w:line="360" w:lineRule="auto"/>
        <w:ind w:firstLine="420" w:firstLineChars="200"/>
        <w:outlineLvl w:val="9"/>
        <w:rPr>
          <w:rFonts w:ascii="宋体" w:hAnsi="宋体"/>
          <w:color w:val="000000" w:themeColor="text1"/>
          <w:szCs w:val="21"/>
          <w:highlight w:val="none"/>
          <w14:textFill>
            <w14:solidFill>
              <w14:schemeClr w14:val="tx1"/>
            </w14:solidFill>
          </w14:textFill>
        </w:rPr>
      </w:pPr>
      <w:r>
        <w:rPr>
          <w:rFonts w:hint="eastAsia" w:ascii="宋体" w:hAnsi="宋体"/>
          <w:color w:val="000000" w:themeColor="text1"/>
          <w:szCs w:val="21"/>
          <w:highlight w:val="none"/>
          <w14:textFill>
            <w14:solidFill>
              <w14:schemeClr w14:val="tx1"/>
            </w14:solidFill>
          </w14:textFill>
        </w:rPr>
        <w:t>磋商小组按照第三章“评审办法”规定的方法、评审因素、标准和程序对响应文件进行评审。第三章“评审办法”没有规定的方法、评审因素和标准，不作为评审工作依据。</w:t>
      </w:r>
    </w:p>
    <w:p w14:paraId="0FAE2C06">
      <w:pPr>
        <w:overflowPunct/>
        <w:bidi w:val="0"/>
        <w:spacing w:line="360" w:lineRule="auto"/>
        <w:ind w:firstLine="420" w:firstLineChars="200"/>
        <w:outlineLvl w:val="9"/>
        <w:rPr>
          <w:rFonts w:ascii="宋体" w:hAnsi="宋体"/>
          <w:color w:val="000000" w:themeColor="text1"/>
          <w:szCs w:val="21"/>
          <w:highlight w:val="none"/>
          <w:lang w:val="zh-TW"/>
          <w14:textFill>
            <w14:solidFill>
              <w14:schemeClr w14:val="tx1"/>
            </w14:solidFill>
          </w14:textFill>
        </w:rPr>
      </w:pPr>
      <w:r>
        <w:rPr>
          <w:rFonts w:hint="eastAsia" w:ascii="宋体" w:hAnsi="宋体"/>
          <w:color w:val="000000" w:themeColor="text1"/>
          <w:szCs w:val="21"/>
          <w:highlight w:val="none"/>
          <w14:textFill>
            <w14:solidFill>
              <w14:schemeClr w14:val="tx1"/>
            </w14:solidFill>
          </w14:textFill>
        </w:rPr>
        <w:t>6.3.1</w:t>
      </w:r>
      <w:r>
        <w:rPr>
          <w:rFonts w:ascii="宋体" w:hAnsi="宋体"/>
          <w:color w:val="000000" w:themeColor="text1"/>
          <w:szCs w:val="21"/>
          <w:highlight w:val="none"/>
          <w:lang w:val="zh-TW"/>
          <w14:textFill>
            <w14:solidFill>
              <w14:schemeClr w14:val="tx1"/>
            </w14:solidFill>
          </w14:textFill>
        </w:rPr>
        <w:t>磋商小组对所有响应文件进行</w:t>
      </w:r>
      <w:r>
        <w:rPr>
          <w:rFonts w:hint="eastAsia" w:ascii="宋体" w:hAnsi="宋体"/>
          <w:color w:val="000000" w:themeColor="text1"/>
          <w:szCs w:val="21"/>
          <w:highlight w:val="none"/>
          <w:lang w:val="zh-TW"/>
          <w14:textFill>
            <w14:solidFill>
              <w14:schemeClr w14:val="tx1"/>
            </w14:solidFill>
          </w14:textFill>
        </w:rPr>
        <w:t>资格、</w:t>
      </w:r>
      <w:r>
        <w:rPr>
          <w:rFonts w:hint="eastAsia" w:ascii="宋体" w:hAnsi="宋体"/>
          <w:color w:val="000000" w:themeColor="text1"/>
          <w:szCs w:val="21"/>
          <w:highlight w:val="none"/>
          <w:lang w:val="en-US" w:eastAsia="zh-CN"/>
          <w14:textFill>
            <w14:solidFill>
              <w14:schemeClr w14:val="tx1"/>
            </w14:solidFill>
          </w14:textFill>
        </w:rPr>
        <w:t>符合</w:t>
      </w:r>
      <w:r>
        <w:rPr>
          <w:rFonts w:hint="eastAsia" w:ascii="宋体" w:hAnsi="宋体"/>
          <w:color w:val="000000" w:themeColor="text1"/>
          <w:szCs w:val="21"/>
          <w:highlight w:val="none"/>
          <w:lang w:val="zh-TW"/>
          <w14:textFill>
            <w14:solidFill>
              <w14:schemeClr w14:val="tx1"/>
            </w14:solidFill>
          </w14:textFill>
        </w:rPr>
        <w:t>性评审；</w:t>
      </w:r>
    </w:p>
    <w:p w14:paraId="7CA3FD58">
      <w:pPr>
        <w:overflowPunct/>
        <w:bidi w:val="0"/>
        <w:spacing w:line="360" w:lineRule="auto"/>
        <w:ind w:firstLine="420" w:firstLineChars="200"/>
        <w:outlineLvl w:val="9"/>
        <w:rPr>
          <w:rFonts w:ascii="宋体" w:hAnsi="宋体"/>
          <w:color w:val="000000" w:themeColor="text1"/>
          <w:szCs w:val="21"/>
          <w:highlight w:val="none"/>
          <w14:textFill>
            <w14:solidFill>
              <w14:schemeClr w14:val="tx1"/>
            </w14:solidFill>
          </w14:textFill>
        </w:rPr>
      </w:pPr>
      <w:r>
        <w:rPr>
          <w:rFonts w:hint="eastAsia" w:ascii="宋体" w:hAnsi="宋体"/>
          <w:color w:val="000000" w:themeColor="text1"/>
          <w:szCs w:val="21"/>
          <w:highlight w:val="none"/>
          <w14:textFill>
            <w14:solidFill>
              <w14:schemeClr w14:val="tx1"/>
            </w14:solidFill>
          </w14:textFill>
        </w:rPr>
        <w:t>6.3.2</w:t>
      </w:r>
      <w:r>
        <w:rPr>
          <w:rFonts w:ascii="宋体" w:hAnsi="宋体"/>
          <w:color w:val="000000" w:themeColor="text1"/>
          <w:szCs w:val="21"/>
          <w:highlight w:val="none"/>
          <w:lang w:val="zh-TW"/>
          <w14:textFill>
            <w14:solidFill>
              <w14:schemeClr w14:val="tx1"/>
            </w14:solidFill>
          </w14:textFill>
        </w:rPr>
        <w:t>磋商小组所有成员集中与通过</w:t>
      </w:r>
      <w:r>
        <w:rPr>
          <w:rFonts w:hint="eastAsia" w:ascii="宋体" w:hAnsi="宋体"/>
          <w:color w:val="000000" w:themeColor="text1"/>
          <w:szCs w:val="21"/>
          <w:highlight w:val="none"/>
          <w:lang w:val="zh-TW"/>
          <w14:textFill>
            <w14:solidFill>
              <w14:schemeClr w14:val="tx1"/>
            </w14:solidFill>
          </w14:textFill>
        </w:rPr>
        <w:t>资格、</w:t>
      </w:r>
      <w:r>
        <w:rPr>
          <w:rFonts w:hint="eastAsia" w:ascii="宋体" w:hAnsi="宋体"/>
          <w:color w:val="000000" w:themeColor="text1"/>
          <w:szCs w:val="21"/>
          <w:highlight w:val="none"/>
          <w:lang w:val="zh-TW" w:eastAsia="zh-CN"/>
          <w14:textFill>
            <w14:solidFill>
              <w14:schemeClr w14:val="tx1"/>
            </w14:solidFill>
          </w14:textFill>
        </w:rPr>
        <w:t>符合</w:t>
      </w:r>
      <w:r>
        <w:rPr>
          <w:rFonts w:hint="eastAsia" w:ascii="宋体" w:hAnsi="宋体"/>
          <w:color w:val="000000" w:themeColor="text1"/>
          <w:szCs w:val="21"/>
          <w:highlight w:val="none"/>
          <w:lang w:val="zh-TW"/>
          <w14:textFill>
            <w14:solidFill>
              <w14:schemeClr w14:val="tx1"/>
            </w14:solidFill>
          </w14:textFill>
        </w:rPr>
        <w:t>性评审</w:t>
      </w:r>
      <w:r>
        <w:rPr>
          <w:rFonts w:ascii="宋体" w:hAnsi="宋体"/>
          <w:color w:val="000000" w:themeColor="text1"/>
          <w:szCs w:val="21"/>
          <w:highlight w:val="none"/>
          <w:lang w:val="zh-TW"/>
          <w14:textFill>
            <w14:solidFill>
              <w14:schemeClr w14:val="tx1"/>
            </w14:solidFill>
          </w14:textFill>
        </w:rPr>
        <w:t>的单一</w:t>
      </w:r>
      <w:r>
        <w:rPr>
          <w:rFonts w:hint="eastAsia" w:ascii="宋体" w:hAnsi="宋体"/>
          <w:color w:val="000000" w:themeColor="text1"/>
          <w:szCs w:val="21"/>
          <w:highlight w:val="none"/>
          <w:lang w:val="zh-TW" w:eastAsia="zh-CN"/>
          <w14:textFill>
            <w14:solidFill>
              <w14:schemeClr w14:val="tx1"/>
            </w14:solidFill>
          </w14:textFill>
        </w:rPr>
        <w:t>供应商</w:t>
      </w:r>
      <w:r>
        <w:rPr>
          <w:rFonts w:ascii="宋体" w:hAnsi="宋体"/>
          <w:color w:val="000000" w:themeColor="text1"/>
          <w:szCs w:val="21"/>
          <w:highlight w:val="none"/>
          <w:lang w:val="zh-TW"/>
          <w14:textFill>
            <w14:solidFill>
              <w14:schemeClr w14:val="tx1"/>
            </w14:solidFill>
          </w14:textFill>
        </w:rPr>
        <w:t>分别进行磋商，并给予所有参加磋商的</w:t>
      </w:r>
      <w:r>
        <w:rPr>
          <w:rFonts w:hint="eastAsia" w:ascii="宋体" w:hAnsi="宋体"/>
          <w:color w:val="000000" w:themeColor="text1"/>
          <w:szCs w:val="21"/>
          <w:highlight w:val="none"/>
          <w:lang w:val="zh-TW" w:eastAsia="zh-CN"/>
          <w14:textFill>
            <w14:solidFill>
              <w14:schemeClr w14:val="tx1"/>
            </w14:solidFill>
          </w14:textFill>
        </w:rPr>
        <w:t>供应商</w:t>
      </w:r>
      <w:r>
        <w:rPr>
          <w:rFonts w:ascii="宋体" w:hAnsi="宋体"/>
          <w:color w:val="000000" w:themeColor="text1"/>
          <w:szCs w:val="21"/>
          <w:highlight w:val="none"/>
          <w:lang w:val="zh-TW"/>
          <w14:textFill>
            <w14:solidFill>
              <w14:schemeClr w14:val="tx1"/>
            </w14:solidFill>
          </w14:textFill>
        </w:rPr>
        <w:t>平等的磋商机会。</w:t>
      </w:r>
      <w:r>
        <w:rPr>
          <w:rFonts w:hint="eastAsia" w:ascii="宋体" w:hAnsi="宋体"/>
          <w:color w:val="000000" w:themeColor="text1"/>
          <w:szCs w:val="21"/>
          <w:highlight w:val="none"/>
          <w14:textFill>
            <w14:solidFill>
              <w14:schemeClr w14:val="tx1"/>
            </w14:solidFill>
          </w14:textFill>
        </w:rPr>
        <w:t>在磋商过程中，磋商小组可以根据磋商文件和磋商情况实质性变动采购需求中的技术、服务要求以及合同草案条款，但不得变动磋商文件中的其他内容。实质性变动的内容，须经采购人代表确认。</w:t>
      </w:r>
    </w:p>
    <w:p w14:paraId="5A80412F">
      <w:pPr>
        <w:overflowPunct/>
        <w:bidi w:val="0"/>
        <w:spacing w:line="360" w:lineRule="auto"/>
        <w:ind w:firstLine="420" w:firstLineChars="200"/>
        <w:outlineLvl w:val="9"/>
        <w:rPr>
          <w:rFonts w:ascii="宋体" w:hAnsi="宋体"/>
          <w:color w:val="000000" w:themeColor="text1"/>
          <w:szCs w:val="21"/>
          <w:highlight w:val="none"/>
          <w:lang w:val="zh-TW"/>
          <w14:textFill>
            <w14:solidFill>
              <w14:schemeClr w14:val="tx1"/>
            </w14:solidFill>
          </w14:textFill>
        </w:rPr>
      </w:pPr>
      <w:r>
        <w:rPr>
          <w:rFonts w:hint="eastAsia" w:ascii="宋体" w:hAnsi="宋体" w:cs="宋体"/>
          <w:color w:val="000000" w:themeColor="text1"/>
          <w:highlight w:val="none"/>
          <w14:textFill>
            <w14:solidFill>
              <w14:schemeClr w14:val="tx1"/>
            </w14:solidFill>
          </w14:textFill>
        </w:rPr>
        <w:t>对磋商文件作出的实质性变动是磋商文件的有效组成部分，磋商小组应当及时以书面形式同时通知所有参加磋商的</w:t>
      </w:r>
      <w:r>
        <w:rPr>
          <w:rFonts w:hint="eastAsia" w:ascii="宋体" w:hAnsi="宋体" w:cs="宋体"/>
          <w:color w:val="000000" w:themeColor="text1"/>
          <w:highlight w:val="none"/>
          <w:lang w:eastAsia="zh-CN"/>
          <w14:textFill>
            <w14:solidFill>
              <w14:schemeClr w14:val="tx1"/>
            </w14:solidFill>
          </w14:textFill>
        </w:rPr>
        <w:t>供应商</w:t>
      </w:r>
      <w:r>
        <w:rPr>
          <w:rFonts w:hint="eastAsia" w:ascii="宋体" w:hAnsi="宋体" w:cs="宋体"/>
          <w:color w:val="000000" w:themeColor="text1"/>
          <w:highlight w:val="none"/>
          <w14:textFill>
            <w14:solidFill>
              <w14:schemeClr w14:val="tx1"/>
            </w14:solidFill>
          </w14:textFill>
        </w:rPr>
        <w:t>。</w:t>
      </w:r>
    </w:p>
    <w:p w14:paraId="238C8003">
      <w:pPr>
        <w:overflowPunct/>
        <w:bidi w:val="0"/>
        <w:spacing w:line="360" w:lineRule="auto"/>
        <w:ind w:firstLine="420" w:firstLineChars="200"/>
        <w:outlineLvl w:val="9"/>
        <w:rPr>
          <w:rFonts w:ascii="宋体" w:hAnsi="宋体"/>
          <w:color w:val="000000" w:themeColor="text1"/>
          <w:szCs w:val="21"/>
          <w:highlight w:val="none"/>
          <w14:textFill>
            <w14:solidFill>
              <w14:schemeClr w14:val="tx1"/>
            </w14:solidFill>
          </w14:textFill>
        </w:rPr>
      </w:pPr>
      <w:r>
        <w:rPr>
          <w:rFonts w:hint="eastAsia" w:ascii="宋体" w:hAnsi="宋体"/>
          <w:color w:val="000000" w:themeColor="text1"/>
          <w:szCs w:val="21"/>
          <w:highlight w:val="none"/>
          <w:lang w:eastAsia="zh-CN"/>
          <w14:textFill>
            <w14:solidFill>
              <w14:schemeClr w14:val="tx1"/>
            </w14:solidFill>
          </w14:textFill>
        </w:rPr>
        <w:t>供应商</w:t>
      </w:r>
      <w:r>
        <w:rPr>
          <w:rFonts w:hint="eastAsia" w:ascii="宋体" w:hAnsi="宋体"/>
          <w:color w:val="000000" w:themeColor="text1"/>
          <w:szCs w:val="21"/>
          <w:highlight w:val="none"/>
          <w14:textFill>
            <w14:solidFill>
              <w14:schemeClr w14:val="tx1"/>
            </w14:solidFill>
          </w14:textFill>
        </w:rPr>
        <w:t>应当按照磋商文件的变动情况和磋商小组的要求重新提交响应文件，并由其法定代表人或授权代表签字或者加盖公章。由授权代表签字的，应当附法定代表人授权书。</w:t>
      </w:r>
      <w:r>
        <w:rPr>
          <w:rFonts w:hint="eastAsia" w:ascii="宋体" w:hAnsi="宋体"/>
          <w:color w:val="000000" w:themeColor="text1"/>
          <w:szCs w:val="21"/>
          <w:highlight w:val="none"/>
          <w:lang w:eastAsia="zh-CN"/>
          <w14:textFill>
            <w14:solidFill>
              <w14:schemeClr w14:val="tx1"/>
            </w14:solidFill>
          </w14:textFill>
        </w:rPr>
        <w:t>供应商</w:t>
      </w:r>
      <w:r>
        <w:rPr>
          <w:rFonts w:hint="eastAsia" w:ascii="宋体" w:hAnsi="宋体"/>
          <w:color w:val="000000" w:themeColor="text1"/>
          <w:szCs w:val="21"/>
          <w:highlight w:val="none"/>
          <w14:textFill>
            <w14:solidFill>
              <w14:schemeClr w14:val="tx1"/>
            </w14:solidFill>
          </w14:textFill>
        </w:rPr>
        <w:t>为自然人的，应当由本人签字并附身份证明。</w:t>
      </w:r>
    </w:p>
    <w:p w14:paraId="584B08FC">
      <w:pPr>
        <w:overflowPunct/>
        <w:bidi w:val="0"/>
        <w:spacing w:line="360" w:lineRule="auto"/>
        <w:ind w:firstLine="420" w:firstLineChars="200"/>
        <w:outlineLvl w:val="9"/>
        <w:rPr>
          <w:rFonts w:ascii="宋体" w:hAnsi="宋体" w:cs="宋体"/>
          <w:color w:val="000000" w:themeColor="text1"/>
          <w:highlight w:val="none"/>
          <w14:textFill>
            <w14:solidFill>
              <w14:schemeClr w14:val="tx1"/>
            </w14:solidFill>
          </w14:textFill>
        </w:rPr>
      </w:pPr>
      <w:r>
        <w:rPr>
          <w:rFonts w:hint="eastAsia" w:ascii="宋体" w:hAnsi="宋体"/>
          <w:color w:val="000000" w:themeColor="text1"/>
          <w:szCs w:val="21"/>
          <w:highlight w:val="none"/>
          <w14:textFill>
            <w14:solidFill>
              <w14:schemeClr w14:val="tx1"/>
            </w14:solidFill>
          </w14:textFill>
        </w:rPr>
        <w:t>6.3.3</w:t>
      </w:r>
      <w:r>
        <w:rPr>
          <w:rFonts w:hint="eastAsia" w:ascii="宋体" w:hAnsi="宋体" w:cs="宋体"/>
          <w:color w:val="000000" w:themeColor="text1"/>
          <w:highlight w:val="none"/>
          <w14:textFill>
            <w14:solidFill>
              <w14:schemeClr w14:val="tx1"/>
            </w14:solidFill>
          </w14:textFill>
        </w:rPr>
        <w:t>磋商文件能够详细列明采购标的的技术、服务要求的，磋商结束后，磋商小组应当要求所有实质性响应的</w:t>
      </w:r>
      <w:r>
        <w:rPr>
          <w:rFonts w:hint="eastAsia" w:ascii="宋体" w:hAnsi="宋体" w:cs="宋体"/>
          <w:color w:val="000000" w:themeColor="text1"/>
          <w:highlight w:val="none"/>
          <w:lang w:eastAsia="zh-CN"/>
          <w14:textFill>
            <w14:solidFill>
              <w14:schemeClr w14:val="tx1"/>
            </w14:solidFill>
          </w14:textFill>
        </w:rPr>
        <w:t>供应商</w:t>
      </w:r>
      <w:r>
        <w:rPr>
          <w:rFonts w:hint="eastAsia" w:ascii="宋体" w:hAnsi="宋体" w:cs="宋体"/>
          <w:color w:val="000000" w:themeColor="text1"/>
          <w:highlight w:val="none"/>
          <w14:textFill>
            <w14:solidFill>
              <w14:schemeClr w14:val="tx1"/>
            </w14:solidFill>
          </w14:textFill>
        </w:rPr>
        <w:t>在规定时间内提交最后报价，提交最后报价的</w:t>
      </w:r>
      <w:r>
        <w:rPr>
          <w:rFonts w:hint="eastAsia" w:ascii="宋体" w:hAnsi="宋体" w:cs="宋体"/>
          <w:color w:val="000000" w:themeColor="text1"/>
          <w:highlight w:val="none"/>
          <w:lang w:eastAsia="zh-CN"/>
          <w14:textFill>
            <w14:solidFill>
              <w14:schemeClr w14:val="tx1"/>
            </w14:solidFill>
          </w14:textFill>
        </w:rPr>
        <w:t>供应商</w:t>
      </w:r>
      <w:r>
        <w:rPr>
          <w:rFonts w:hint="eastAsia" w:ascii="宋体" w:hAnsi="宋体" w:cs="宋体"/>
          <w:color w:val="000000" w:themeColor="text1"/>
          <w:highlight w:val="none"/>
          <w14:textFill>
            <w14:solidFill>
              <w14:schemeClr w14:val="tx1"/>
            </w14:solidFill>
          </w14:textFill>
        </w:rPr>
        <w:t>不得少于3家。</w:t>
      </w:r>
    </w:p>
    <w:p w14:paraId="4687E66A">
      <w:pPr>
        <w:overflowPunct/>
        <w:bidi w:val="0"/>
        <w:spacing w:line="360" w:lineRule="auto"/>
        <w:ind w:firstLine="420" w:firstLineChars="200"/>
        <w:outlineLvl w:val="9"/>
        <w:rPr>
          <w:rFonts w:ascii="宋体" w:hAnsi="宋体" w:cs="宋体"/>
          <w:color w:val="000000" w:themeColor="text1"/>
          <w:highlight w:val="none"/>
          <w14:textFill>
            <w14:solidFill>
              <w14:schemeClr w14:val="tx1"/>
            </w14:solidFill>
          </w14:textFill>
        </w:rPr>
      </w:pPr>
      <w:r>
        <w:rPr>
          <w:rFonts w:hint="eastAsia" w:ascii="宋体" w:hAnsi="宋体" w:cs="宋体"/>
          <w:color w:val="000000" w:themeColor="text1"/>
          <w:highlight w:val="none"/>
          <w14:textFill>
            <w14:solidFill>
              <w14:schemeClr w14:val="tx1"/>
            </w14:solidFill>
          </w14:textFill>
        </w:rPr>
        <w:t>磋商文件不能详细列明采购标的的技术、服务要求，需经磋商由</w:t>
      </w:r>
      <w:r>
        <w:rPr>
          <w:rFonts w:hint="eastAsia" w:ascii="宋体" w:hAnsi="宋体" w:cs="宋体"/>
          <w:color w:val="000000" w:themeColor="text1"/>
          <w:highlight w:val="none"/>
          <w:lang w:eastAsia="zh-CN"/>
          <w14:textFill>
            <w14:solidFill>
              <w14:schemeClr w14:val="tx1"/>
            </w14:solidFill>
          </w14:textFill>
        </w:rPr>
        <w:t>供应商</w:t>
      </w:r>
      <w:r>
        <w:rPr>
          <w:rFonts w:hint="eastAsia" w:ascii="宋体" w:hAnsi="宋体" w:cs="宋体"/>
          <w:color w:val="000000" w:themeColor="text1"/>
          <w:highlight w:val="none"/>
          <w14:textFill>
            <w14:solidFill>
              <w14:schemeClr w14:val="tx1"/>
            </w14:solidFill>
          </w14:textFill>
        </w:rPr>
        <w:t>提供最终设计方案或解决方案的，磋商结束后，磋商小组应当按照少数服从多数的原则投票推荐3家以上</w:t>
      </w:r>
      <w:r>
        <w:rPr>
          <w:rFonts w:hint="eastAsia" w:ascii="宋体" w:hAnsi="宋体" w:cs="宋体"/>
          <w:color w:val="000000" w:themeColor="text1"/>
          <w:highlight w:val="none"/>
          <w:lang w:eastAsia="zh-CN"/>
          <w14:textFill>
            <w14:solidFill>
              <w14:schemeClr w14:val="tx1"/>
            </w14:solidFill>
          </w14:textFill>
        </w:rPr>
        <w:t>供应商</w:t>
      </w:r>
      <w:r>
        <w:rPr>
          <w:rFonts w:hint="eastAsia" w:ascii="宋体" w:hAnsi="宋体" w:cs="宋体"/>
          <w:color w:val="000000" w:themeColor="text1"/>
          <w:highlight w:val="none"/>
          <w14:textFill>
            <w14:solidFill>
              <w14:schemeClr w14:val="tx1"/>
            </w14:solidFill>
          </w14:textFill>
        </w:rPr>
        <w:t>的设计方案或者解决方案，并要求其在规定时间内提交最后报价。最后报价是</w:t>
      </w:r>
      <w:r>
        <w:rPr>
          <w:rFonts w:hint="eastAsia" w:ascii="宋体" w:hAnsi="宋体" w:cs="宋体"/>
          <w:color w:val="000000" w:themeColor="text1"/>
          <w:highlight w:val="none"/>
          <w:lang w:eastAsia="zh-CN"/>
          <w14:textFill>
            <w14:solidFill>
              <w14:schemeClr w14:val="tx1"/>
            </w14:solidFill>
          </w14:textFill>
        </w:rPr>
        <w:t>供应商</w:t>
      </w:r>
      <w:r>
        <w:rPr>
          <w:rFonts w:hint="eastAsia" w:ascii="宋体" w:hAnsi="宋体" w:cs="宋体"/>
          <w:color w:val="000000" w:themeColor="text1"/>
          <w:highlight w:val="none"/>
          <w14:textFill>
            <w14:solidFill>
              <w14:schemeClr w14:val="tx1"/>
            </w14:solidFill>
          </w14:textFill>
        </w:rPr>
        <w:t>响应文件的有效组成部分。</w:t>
      </w:r>
    </w:p>
    <w:p w14:paraId="76C82044">
      <w:pPr>
        <w:overflowPunct/>
        <w:bidi w:val="0"/>
        <w:spacing w:line="360" w:lineRule="auto"/>
        <w:ind w:firstLine="420" w:firstLineChars="200"/>
        <w:outlineLvl w:val="9"/>
        <w:rPr>
          <w:rFonts w:ascii="宋体" w:hAnsi="宋体"/>
          <w:color w:val="000000" w:themeColor="text1"/>
          <w:szCs w:val="21"/>
          <w:highlight w:val="none"/>
          <w:lang w:val="zh-TW"/>
          <w14:textFill>
            <w14:solidFill>
              <w14:schemeClr w14:val="tx1"/>
            </w14:solidFill>
          </w14:textFill>
        </w:rPr>
      </w:pPr>
      <w:r>
        <w:rPr>
          <w:rFonts w:hint="eastAsia" w:ascii="宋体" w:hAnsi="宋体" w:cs="宋体"/>
          <w:color w:val="000000" w:themeColor="text1"/>
          <w:highlight w:val="none"/>
          <w14:textFill>
            <w14:solidFill>
              <w14:schemeClr w14:val="tx1"/>
            </w14:solidFill>
          </w14:textFill>
        </w:rPr>
        <w:t>已提交响应文件的</w:t>
      </w:r>
      <w:r>
        <w:rPr>
          <w:rFonts w:hint="eastAsia" w:ascii="宋体" w:hAnsi="宋体" w:cs="宋体"/>
          <w:color w:val="000000" w:themeColor="text1"/>
          <w:highlight w:val="none"/>
          <w:lang w:eastAsia="zh-CN"/>
          <w14:textFill>
            <w14:solidFill>
              <w14:schemeClr w14:val="tx1"/>
            </w14:solidFill>
          </w14:textFill>
        </w:rPr>
        <w:t>供应商</w:t>
      </w:r>
      <w:r>
        <w:rPr>
          <w:rFonts w:hint="eastAsia" w:ascii="宋体" w:hAnsi="宋体" w:cs="宋体"/>
          <w:color w:val="000000" w:themeColor="text1"/>
          <w:highlight w:val="none"/>
          <w14:textFill>
            <w14:solidFill>
              <w14:schemeClr w14:val="tx1"/>
            </w14:solidFill>
          </w14:textFill>
        </w:rPr>
        <w:t>，在提交最后报价之前，可以根据磋商情况退出磋商。采购人、采购代理机构应当退还退出磋商的</w:t>
      </w:r>
      <w:r>
        <w:rPr>
          <w:rFonts w:hint="eastAsia" w:ascii="宋体" w:hAnsi="宋体" w:cs="宋体"/>
          <w:color w:val="000000" w:themeColor="text1"/>
          <w:highlight w:val="none"/>
          <w:lang w:eastAsia="zh-CN"/>
          <w14:textFill>
            <w14:solidFill>
              <w14:schemeClr w14:val="tx1"/>
            </w14:solidFill>
          </w14:textFill>
        </w:rPr>
        <w:t>供应商</w:t>
      </w:r>
      <w:r>
        <w:rPr>
          <w:rFonts w:hint="eastAsia" w:ascii="宋体" w:hAnsi="宋体" w:cs="宋体"/>
          <w:color w:val="000000" w:themeColor="text1"/>
          <w:highlight w:val="none"/>
          <w14:textFill>
            <w14:solidFill>
              <w14:schemeClr w14:val="tx1"/>
            </w14:solidFill>
          </w14:textFill>
        </w:rPr>
        <w:t>的磋商保证金。</w:t>
      </w:r>
    </w:p>
    <w:p w14:paraId="2F82FB9A">
      <w:pPr>
        <w:overflowPunct/>
        <w:bidi w:val="0"/>
        <w:spacing w:line="360" w:lineRule="auto"/>
        <w:ind w:firstLine="420" w:firstLineChars="200"/>
        <w:outlineLvl w:val="9"/>
        <w:rPr>
          <w:rFonts w:ascii="宋体" w:hAnsi="宋体"/>
          <w:color w:val="000000" w:themeColor="text1"/>
          <w:szCs w:val="21"/>
          <w:highlight w:val="none"/>
          <w:lang w:val="zh-TW"/>
          <w14:textFill>
            <w14:solidFill>
              <w14:schemeClr w14:val="tx1"/>
            </w14:solidFill>
          </w14:textFill>
        </w:rPr>
      </w:pPr>
      <w:r>
        <w:rPr>
          <w:rFonts w:hint="eastAsia" w:ascii="宋体" w:hAnsi="宋体"/>
          <w:color w:val="000000" w:themeColor="text1"/>
          <w:szCs w:val="21"/>
          <w:highlight w:val="none"/>
          <w:lang w:val="zh-TW"/>
          <w14:textFill>
            <w14:solidFill>
              <w14:schemeClr w14:val="tx1"/>
            </w14:solidFill>
          </w14:textFill>
        </w:rPr>
        <w:t>6.3.4</w:t>
      </w:r>
      <w:r>
        <w:rPr>
          <w:rFonts w:hint="eastAsia" w:ascii="宋体" w:hAnsi="宋体"/>
          <w:color w:val="000000" w:themeColor="text1"/>
          <w:szCs w:val="21"/>
          <w:highlight w:val="none"/>
          <w14:textFill>
            <w14:solidFill>
              <w14:schemeClr w14:val="tx1"/>
            </w14:solidFill>
          </w14:textFill>
        </w:rPr>
        <w:t>经磋商确定最终采购需求和提交最后报价的</w:t>
      </w:r>
      <w:r>
        <w:rPr>
          <w:rFonts w:hint="eastAsia" w:ascii="宋体" w:hAnsi="宋体"/>
          <w:color w:val="000000" w:themeColor="text1"/>
          <w:szCs w:val="21"/>
          <w:highlight w:val="none"/>
          <w:lang w:eastAsia="zh-CN"/>
          <w14:textFill>
            <w14:solidFill>
              <w14:schemeClr w14:val="tx1"/>
            </w14:solidFill>
          </w14:textFill>
        </w:rPr>
        <w:t>供应商</w:t>
      </w:r>
      <w:r>
        <w:rPr>
          <w:rFonts w:hint="eastAsia" w:ascii="宋体" w:hAnsi="宋体"/>
          <w:color w:val="000000" w:themeColor="text1"/>
          <w:szCs w:val="21"/>
          <w:highlight w:val="none"/>
          <w14:textFill>
            <w14:solidFill>
              <w14:schemeClr w14:val="tx1"/>
            </w14:solidFill>
          </w14:textFill>
        </w:rPr>
        <w:t>后，由磋商小组采用综合评分法对提交最后报价的</w:t>
      </w:r>
      <w:r>
        <w:rPr>
          <w:rFonts w:hint="eastAsia" w:ascii="宋体" w:hAnsi="宋体"/>
          <w:color w:val="000000" w:themeColor="text1"/>
          <w:szCs w:val="21"/>
          <w:highlight w:val="none"/>
          <w:lang w:eastAsia="zh-CN"/>
          <w14:textFill>
            <w14:solidFill>
              <w14:schemeClr w14:val="tx1"/>
            </w14:solidFill>
          </w14:textFill>
        </w:rPr>
        <w:t>供应商</w:t>
      </w:r>
      <w:r>
        <w:rPr>
          <w:rFonts w:hint="eastAsia" w:ascii="宋体" w:hAnsi="宋体"/>
          <w:color w:val="000000" w:themeColor="text1"/>
          <w:szCs w:val="21"/>
          <w:highlight w:val="none"/>
          <w14:textFill>
            <w14:solidFill>
              <w14:schemeClr w14:val="tx1"/>
            </w14:solidFill>
          </w14:textFill>
        </w:rPr>
        <w:t>的响应文件和最后报价进行综合评分</w:t>
      </w:r>
      <w:r>
        <w:rPr>
          <w:rFonts w:ascii="宋体" w:hAnsi="宋体"/>
          <w:color w:val="000000" w:themeColor="text1"/>
          <w:szCs w:val="21"/>
          <w:highlight w:val="none"/>
          <w:lang w:val="zh-TW"/>
          <w14:textFill>
            <w14:solidFill>
              <w14:schemeClr w14:val="tx1"/>
            </w14:solidFill>
          </w14:textFill>
        </w:rPr>
        <w:t>；</w:t>
      </w:r>
    </w:p>
    <w:p w14:paraId="33886428">
      <w:pPr>
        <w:overflowPunct/>
        <w:bidi w:val="0"/>
        <w:spacing w:line="360" w:lineRule="auto"/>
        <w:ind w:firstLine="420" w:firstLineChars="200"/>
        <w:outlineLvl w:val="9"/>
        <w:rPr>
          <w:color w:val="000000" w:themeColor="text1"/>
          <w:szCs w:val="21"/>
          <w:highlight w:val="none"/>
          <w14:textFill>
            <w14:solidFill>
              <w14:schemeClr w14:val="tx1"/>
            </w14:solidFill>
          </w14:textFill>
        </w:rPr>
      </w:pPr>
      <w:r>
        <w:rPr>
          <w:rFonts w:hint="eastAsia" w:ascii="宋体" w:hAnsi="宋体"/>
          <w:color w:val="000000" w:themeColor="text1"/>
          <w:szCs w:val="21"/>
          <w:highlight w:val="none"/>
          <w:lang w:val="zh-TW"/>
          <w14:textFill>
            <w14:solidFill>
              <w14:schemeClr w14:val="tx1"/>
            </w14:solidFill>
          </w14:textFill>
        </w:rPr>
        <w:t>6.3.5</w:t>
      </w:r>
      <w:r>
        <w:rPr>
          <w:rFonts w:hint="eastAsia"/>
          <w:color w:val="000000" w:themeColor="text1"/>
          <w:szCs w:val="21"/>
          <w:highlight w:val="none"/>
          <w14:textFill>
            <w14:solidFill>
              <w14:schemeClr w14:val="tx1"/>
            </w14:solidFill>
          </w14:textFill>
        </w:rPr>
        <w:t>磋商小组应当根据综合评分情况，按照评审得分由高到低顺序推荐3名成交候选人，并编写评审报告。评审得分相同的，按照最后报价由低到高的顺序推荐。评审得分且最后报价相同的，按照技术指标优劣顺序推荐。</w:t>
      </w:r>
    </w:p>
    <w:p w14:paraId="4324E6E2">
      <w:pPr>
        <w:overflowPunct/>
        <w:bidi w:val="0"/>
        <w:outlineLvl w:val="9"/>
        <w:rPr>
          <w:rFonts w:ascii="宋体" w:hAnsi="宋体"/>
          <w:color w:val="000000" w:themeColor="text1"/>
          <w:highlight w:val="none"/>
          <w14:textFill>
            <w14:solidFill>
              <w14:schemeClr w14:val="tx1"/>
            </w14:solidFill>
          </w14:textFill>
        </w:rPr>
      </w:pPr>
      <w:bookmarkStart w:id="32" w:name="_Toc184635077"/>
      <w:r>
        <w:rPr>
          <w:rFonts w:hint="eastAsia" w:ascii="宋体" w:hAnsi="宋体"/>
          <w:color w:val="000000" w:themeColor="text1"/>
          <w:highlight w:val="none"/>
          <w14:textFill>
            <w14:solidFill>
              <w14:schemeClr w14:val="tx1"/>
            </w14:solidFill>
          </w14:textFill>
        </w:rPr>
        <w:t>7．合同授予</w:t>
      </w:r>
      <w:bookmarkEnd w:id="32"/>
    </w:p>
    <w:p w14:paraId="6FB84B40">
      <w:pPr>
        <w:overflowPunct/>
        <w:bidi w:val="0"/>
        <w:outlineLvl w:val="9"/>
        <w:rPr>
          <w:rFonts w:ascii="宋体" w:hAnsi="宋体" w:eastAsia="宋体"/>
          <w:color w:val="000000" w:themeColor="text1"/>
          <w:highlight w:val="none"/>
          <w14:textFill>
            <w14:solidFill>
              <w14:schemeClr w14:val="tx1"/>
            </w14:solidFill>
          </w14:textFill>
        </w:rPr>
      </w:pPr>
      <w:r>
        <w:rPr>
          <w:rFonts w:hint="eastAsia" w:ascii="宋体" w:hAnsi="宋体" w:eastAsia="宋体"/>
          <w:color w:val="000000" w:themeColor="text1"/>
          <w:highlight w:val="none"/>
          <w14:textFill>
            <w14:solidFill>
              <w14:schemeClr w14:val="tx1"/>
            </w14:solidFill>
          </w14:textFill>
        </w:rPr>
        <w:t>7.1 定标方式</w:t>
      </w:r>
    </w:p>
    <w:p w14:paraId="14EA68E5">
      <w:pPr>
        <w:overflowPunct/>
        <w:bidi w:val="0"/>
        <w:spacing w:line="400" w:lineRule="exact"/>
        <w:ind w:firstLine="420" w:firstLineChars="200"/>
        <w:outlineLvl w:val="9"/>
        <w:rPr>
          <w:rFonts w:ascii="宋体" w:hAnsi="宋体"/>
          <w:color w:val="000000" w:themeColor="text1"/>
          <w:szCs w:val="21"/>
          <w:highlight w:val="none"/>
          <w14:textFill>
            <w14:solidFill>
              <w14:schemeClr w14:val="tx1"/>
            </w14:solidFill>
          </w14:textFill>
        </w:rPr>
      </w:pPr>
      <w:r>
        <w:rPr>
          <w:rFonts w:hint="eastAsia" w:ascii="宋体" w:hAnsi="宋体"/>
          <w:color w:val="000000" w:themeColor="text1"/>
          <w:szCs w:val="21"/>
          <w:highlight w:val="none"/>
          <w14:textFill>
            <w14:solidFill>
              <w14:schemeClr w14:val="tx1"/>
            </w14:solidFill>
          </w14:textFill>
        </w:rPr>
        <w:t>除</w:t>
      </w:r>
      <w:r>
        <w:rPr>
          <w:rFonts w:hint="eastAsia" w:ascii="宋体" w:hAnsi="宋体"/>
          <w:color w:val="000000" w:themeColor="text1"/>
          <w:szCs w:val="21"/>
          <w:highlight w:val="none"/>
          <w:lang w:eastAsia="zh-CN"/>
          <w14:textFill>
            <w14:solidFill>
              <w14:schemeClr w14:val="tx1"/>
            </w14:solidFill>
          </w14:textFill>
        </w:rPr>
        <w:t>供应商</w:t>
      </w:r>
      <w:r>
        <w:rPr>
          <w:rFonts w:hint="eastAsia" w:ascii="宋体" w:hAnsi="宋体"/>
          <w:color w:val="000000" w:themeColor="text1"/>
          <w:szCs w:val="21"/>
          <w:highlight w:val="none"/>
          <w14:textFill>
            <w14:solidFill>
              <w14:schemeClr w14:val="tx1"/>
            </w14:solidFill>
          </w14:textFill>
        </w:rPr>
        <w:t>须知前附表规定磋商小组直接确定成交单位外，采购人依据磋商小组推荐的成交候选人确定中标成交单位，磋商小组推荐成交候选人的人数见</w:t>
      </w:r>
      <w:r>
        <w:rPr>
          <w:rFonts w:hint="eastAsia" w:ascii="宋体" w:hAnsi="宋体"/>
          <w:color w:val="000000" w:themeColor="text1"/>
          <w:szCs w:val="21"/>
          <w:highlight w:val="none"/>
          <w:lang w:eastAsia="zh-CN"/>
          <w14:textFill>
            <w14:solidFill>
              <w14:schemeClr w14:val="tx1"/>
            </w14:solidFill>
          </w14:textFill>
        </w:rPr>
        <w:t>供应商</w:t>
      </w:r>
      <w:r>
        <w:rPr>
          <w:rFonts w:hint="eastAsia" w:ascii="宋体" w:hAnsi="宋体"/>
          <w:color w:val="000000" w:themeColor="text1"/>
          <w:szCs w:val="21"/>
          <w:highlight w:val="none"/>
          <w14:textFill>
            <w14:solidFill>
              <w14:schemeClr w14:val="tx1"/>
            </w14:solidFill>
          </w14:textFill>
        </w:rPr>
        <w:t>须知前附表。</w:t>
      </w:r>
    </w:p>
    <w:p w14:paraId="5053E86D">
      <w:pPr>
        <w:overflowPunct/>
        <w:bidi w:val="0"/>
        <w:spacing w:line="400" w:lineRule="exact"/>
        <w:ind w:firstLine="420" w:firstLineChars="200"/>
        <w:outlineLvl w:val="9"/>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采购代理机构应当在评审结束后2个工作日内将评审报告送采购人确认。</w:t>
      </w:r>
    </w:p>
    <w:p w14:paraId="16BF1587">
      <w:pPr>
        <w:overflowPunct/>
        <w:bidi w:val="0"/>
        <w:spacing w:line="400" w:lineRule="exact"/>
        <w:outlineLvl w:val="9"/>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　　采购人应当在收到评审报告后5个工作日内，从评审报告</w:t>
      </w:r>
      <w:r>
        <w:rPr>
          <w:rFonts w:hint="eastAsia"/>
          <w:color w:val="000000" w:themeColor="text1"/>
          <w:highlight w:val="none"/>
          <w:lang w:val="en-US" w:eastAsia="zh-CN"/>
          <w14:textFill>
            <w14:solidFill>
              <w14:schemeClr w14:val="tx1"/>
            </w14:solidFill>
          </w14:textFill>
        </w:rPr>
        <w:t>推荐</w:t>
      </w:r>
      <w:r>
        <w:rPr>
          <w:rFonts w:hint="eastAsia"/>
          <w:color w:val="000000" w:themeColor="text1"/>
          <w:highlight w:val="none"/>
          <w14:textFill>
            <w14:solidFill>
              <w14:schemeClr w14:val="tx1"/>
            </w14:solidFill>
          </w14:textFill>
        </w:rPr>
        <w:t>的成交候选</w:t>
      </w:r>
      <w:r>
        <w:rPr>
          <w:rFonts w:hint="eastAsia"/>
          <w:color w:val="000000" w:themeColor="text1"/>
          <w:highlight w:val="none"/>
          <w:lang w:eastAsia="zh-CN"/>
          <w14:textFill>
            <w14:solidFill>
              <w14:schemeClr w14:val="tx1"/>
            </w14:solidFill>
          </w14:textFill>
        </w:rPr>
        <w:t>供应商</w:t>
      </w:r>
      <w:r>
        <w:rPr>
          <w:rFonts w:hint="eastAsia"/>
          <w:color w:val="000000" w:themeColor="text1"/>
          <w:highlight w:val="none"/>
          <w14:textFill>
            <w14:solidFill>
              <w14:schemeClr w14:val="tx1"/>
            </w14:solidFill>
          </w14:textFill>
        </w:rPr>
        <w:t>中，按照排序由高到低的原则确定</w:t>
      </w:r>
      <w:r>
        <w:rPr>
          <w:rFonts w:hint="eastAsia"/>
          <w:color w:val="000000" w:themeColor="text1"/>
          <w:highlight w:val="none"/>
          <w:lang w:eastAsia="zh-CN"/>
          <w14:textFill>
            <w14:solidFill>
              <w14:schemeClr w14:val="tx1"/>
            </w14:solidFill>
          </w14:textFill>
        </w:rPr>
        <w:t>成交人</w:t>
      </w:r>
      <w:r>
        <w:rPr>
          <w:rFonts w:hint="eastAsia"/>
          <w:color w:val="000000" w:themeColor="text1"/>
          <w:highlight w:val="none"/>
          <w14:textFill>
            <w14:solidFill>
              <w14:schemeClr w14:val="tx1"/>
            </w14:solidFill>
          </w14:textFill>
        </w:rPr>
        <w:t>，也可以书面授权磋商小组直接确定</w:t>
      </w:r>
      <w:r>
        <w:rPr>
          <w:rFonts w:hint="eastAsia"/>
          <w:color w:val="000000" w:themeColor="text1"/>
          <w:highlight w:val="none"/>
          <w:lang w:eastAsia="zh-CN"/>
          <w14:textFill>
            <w14:solidFill>
              <w14:schemeClr w14:val="tx1"/>
            </w14:solidFill>
          </w14:textFill>
        </w:rPr>
        <w:t>成交人</w:t>
      </w:r>
      <w:r>
        <w:rPr>
          <w:rFonts w:hint="eastAsia"/>
          <w:color w:val="000000" w:themeColor="text1"/>
          <w:highlight w:val="none"/>
          <w14:textFill>
            <w14:solidFill>
              <w14:schemeClr w14:val="tx1"/>
            </w14:solidFill>
          </w14:textFill>
        </w:rPr>
        <w:t>。采购人逾期未确定</w:t>
      </w:r>
      <w:r>
        <w:rPr>
          <w:rFonts w:hint="eastAsia"/>
          <w:color w:val="000000" w:themeColor="text1"/>
          <w:highlight w:val="none"/>
          <w:lang w:eastAsia="zh-CN"/>
          <w14:textFill>
            <w14:solidFill>
              <w14:schemeClr w14:val="tx1"/>
            </w14:solidFill>
          </w14:textFill>
        </w:rPr>
        <w:t>成交人</w:t>
      </w:r>
      <w:r>
        <w:rPr>
          <w:rFonts w:hint="eastAsia"/>
          <w:color w:val="000000" w:themeColor="text1"/>
          <w:highlight w:val="none"/>
          <w14:textFill>
            <w14:solidFill>
              <w14:schemeClr w14:val="tx1"/>
            </w14:solidFill>
          </w14:textFill>
        </w:rPr>
        <w:t>且不提出异议的，视为确定评审报告提出的排序第一的</w:t>
      </w:r>
      <w:r>
        <w:rPr>
          <w:rFonts w:hint="eastAsia"/>
          <w:color w:val="000000" w:themeColor="text1"/>
          <w:highlight w:val="none"/>
          <w:lang w:eastAsia="zh-CN"/>
          <w14:textFill>
            <w14:solidFill>
              <w14:schemeClr w14:val="tx1"/>
            </w14:solidFill>
          </w14:textFill>
        </w:rPr>
        <w:t>供应商</w:t>
      </w:r>
      <w:r>
        <w:rPr>
          <w:rFonts w:hint="eastAsia"/>
          <w:color w:val="000000" w:themeColor="text1"/>
          <w:highlight w:val="none"/>
          <w14:textFill>
            <w14:solidFill>
              <w14:schemeClr w14:val="tx1"/>
            </w14:solidFill>
          </w14:textFill>
        </w:rPr>
        <w:t>为</w:t>
      </w:r>
      <w:r>
        <w:rPr>
          <w:rFonts w:hint="eastAsia"/>
          <w:color w:val="000000" w:themeColor="text1"/>
          <w:highlight w:val="none"/>
          <w:lang w:eastAsia="zh-CN"/>
          <w14:textFill>
            <w14:solidFill>
              <w14:schemeClr w14:val="tx1"/>
            </w14:solidFill>
          </w14:textFill>
        </w:rPr>
        <w:t>成交人</w:t>
      </w:r>
      <w:r>
        <w:rPr>
          <w:rFonts w:hint="eastAsia"/>
          <w:color w:val="000000" w:themeColor="text1"/>
          <w:highlight w:val="none"/>
          <w14:textFill>
            <w14:solidFill>
              <w14:schemeClr w14:val="tx1"/>
            </w14:solidFill>
          </w14:textFill>
        </w:rPr>
        <w:t>。</w:t>
      </w:r>
    </w:p>
    <w:p w14:paraId="7F9F8FEE">
      <w:pPr>
        <w:overflowPunct/>
        <w:bidi w:val="0"/>
        <w:outlineLvl w:val="9"/>
        <w:rPr>
          <w:rFonts w:ascii="宋体" w:hAnsi="宋体" w:eastAsia="宋体"/>
          <w:color w:val="000000" w:themeColor="text1"/>
          <w:highlight w:val="none"/>
          <w14:textFill>
            <w14:solidFill>
              <w14:schemeClr w14:val="tx1"/>
            </w14:solidFill>
          </w14:textFill>
        </w:rPr>
      </w:pPr>
      <w:r>
        <w:rPr>
          <w:rFonts w:hint="eastAsia" w:ascii="宋体" w:hAnsi="宋体" w:eastAsia="宋体"/>
          <w:color w:val="000000" w:themeColor="text1"/>
          <w:highlight w:val="none"/>
          <w14:textFill>
            <w14:solidFill>
              <w14:schemeClr w14:val="tx1"/>
            </w14:solidFill>
          </w14:textFill>
        </w:rPr>
        <w:t>7.2 成交通知</w:t>
      </w:r>
    </w:p>
    <w:p w14:paraId="2E5F29B5">
      <w:pPr>
        <w:overflowPunct/>
        <w:bidi w:val="0"/>
        <w:spacing w:line="400" w:lineRule="exact"/>
        <w:outlineLvl w:val="9"/>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　　采购人或者采购代理机构应当在</w:t>
      </w:r>
      <w:r>
        <w:rPr>
          <w:rFonts w:hint="eastAsia"/>
          <w:color w:val="000000" w:themeColor="text1"/>
          <w:highlight w:val="none"/>
          <w:lang w:eastAsia="zh-CN"/>
          <w14:textFill>
            <w14:solidFill>
              <w14:schemeClr w14:val="tx1"/>
            </w14:solidFill>
          </w14:textFill>
        </w:rPr>
        <w:t>成交人</w:t>
      </w:r>
      <w:r>
        <w:rPr>
          <w:rFonts w:hint="eastAsia"/>
          <w:color w:val="000000" w:themeColor="text1"/>
          <w:highlight w:val="none"/>
          <w14:textFill>
            <w14:solidFill>
              <w14:schemeClr w14:val="tx1"/>
            </w14:solidFill>
          </w14:textFill>
        </w:rPr>
        <w:t>确定后2个工作日内，在省级以上财政部门指定的政府采购信息发布媒体上公告成交结果，同时向</w:t>
      </w:r>
      <w:r>
        <w:rPr>
          <w:rFonts w:hint="eastAsia"/>
          <w:color w:val="000000" w:themeColor="text1"/>
          <w:highlight w:val="none"/>
          <w:lang w:eastAsia="zh-CN"/>
          <w14:textFill>
            <w14:solidFill>
              <w14:schemeClr w14:val="tx1"/>
            </w14:solidFill>
          </w14:textFill>
        </w:rPr>
        <w:t>成交人</w:t>
      </w:r>
      <w:r>
        <w:rPr>
          <w:rFonts w:hint="eastAsia"/>
          <w:color w:val="000000" w:themeColor="text1"/>
          <w:highlight w:val="none"/>
          <w14:textFill>
            <w14:solidFill>
              <w14:schemeClr w14:val="tx1"/>
            </w14:solidFill>
          </w14:textFill>
        </w:rPr>
        <w:t>发出成交通知书，并将磋商文件随成交结果同时公告。</w:t>
      </w:r>
    </w:p>
    <w:p w14:paraId="05A29995">
      <w:pPr>
        <w:overflowPunct/>
        <w:bidi w:val="0"/>
        <w:outlineLvl w:val="9"/>
        <w:rPr>
          <w:rFonts w:ascii="宋体" w:hAnsi="宋体" w:eastAsia="宋体"/>
          <w:color w:val="000000" w:themeColor="text1"/>
          <w:highlight w:val="none"/>
          <w14:textFill>
            <w14:solidFill>
              <w14:schemeClr w14:val="tx1"/>
            </w14:solidFill>
          </w14:textFill>
        </w:rPr>
      </w:pPr>
      <w:r>
        <w:rPr>
          <w:rFonts w:hint="eastAsia" w:ascii="宋体" w:hAnsi="宋体" w:eastAsia="宋体"/>
          <w:color w:val="000000" w:themeColor="text1"/>
          <w:highlight w:val="none"/>
          <w14:textFill>
            <w14:solidFill>
              <w14:schemeClr w14:val="tx1"/>
            </w14:solidFill>
          </w14:textFill>
        </w:rPr>
        <w:t>7.3 履约担保</w:t>
      </w:r>
      <w:r>
        <w:rPr>
          <w:rFonts w:hint="eastAsia" w:ascii="宋体" w:hAnsi="宋体" w:eastAsia="宋体"/>
          <w:color w:val="000000" w:themeColor="text1"/>
          <w:highlight w:val="none"/>
          <w:lang w:val="zh-CN"/>
          <w14:textFill>
            <w14:solidFill>
              <w14:schemeClr w14:val="tx1"/>
            </w14:solidFill>
          </w14:textFill>
        </w:rPr>
        <w:t>（</w:t>
      </w:r>
      <w:r>
        <w:rPr>
          <w:rFonts w:hint="eastAsia" w:ascii="宋体" w:hAnsi="宋体" w:eastAsia="宋体"/>
          <w:color w:val="000000" w:themeColor="text1"/>
          <w:highlight w:val="none"/>
          <w:lang w:val="en-US" w:eastAsia="zh-CN"/>
          <w14:textFill>
            <w14:solidFill>
              <w14:schemeClr w14:val="tx1"/>
            </w14:solidFill>
          </w14:textFill>
        </w:rPr>
        <w:t>本项目不收取</w:t>
      </w:r>
      <w:r>
        <w:rPr>
          <w:rFonts w:hint="eastAsia" w:ascii="宋体" w:hAnsi="宋体" w:eastAsia="宋体"/>
          <w:color w:val="000000" w:themeColor="text1"/>
          <w:highlight w:val="none"/>
          <w:lang w:val="zh-CN"/>
          <w14:textFill>
            <w14:solidFill>
              <w14:schemeClr w14:val="tx1"/>
            </w14:solidFill>
          </w14:textFill>
        </w:rPr>
        <w:t>）</w:t>
      </w:r>
    </w:p>
    <w:p w14:paraId="17063F86">
      <w:pPr>
        <w:overflowPunct/>
        <w:bidi w:val="0"/>
        <w:spacing w:line="360" w:lineRule="auto"/>
        <w:ind w:firstLine="420" w:firstLineChars="200"/>
        <w:outlineLvl w:val="9"/>
        <w:rPr>
          <w:rFonts w:ascii="宋体" w:hAnsi="宋体"/>
          <w:color w:val="000000" w:themeColor="text1"/>
          <w:szCs w:val="21"/>
          <w:highlight w:val="none"/>
          <w14:textFill>
            <w14:solidFill>
              <w14:schemeClr w14:val="tx1"/>
            </w14:solidFill>
          </w14:textFill>
        </w:rPr>
      </w:pPr>
      <w:r>
        <w:rPr>
          <w:rFonts w:hint="eastAsia" w:ascii="宋体" w:hAnsi="宋体"/>
          <w:color w:val="000000" w:themeColor="text1"/>
          <w:szCs w:val="21"/>
          <w:highlight w:val="none"/>
          <w14:textFill>
            <w14:solidFill>
              <w14:schemeClr w14:val="tx1"/>
            </w14:solidFill>
          </w14:textFill>
        </w:rPr>
        <w:t>7.3.1 在签订合同前，中标人应按</w:t>
      </w:r>
      <w:r>
        <w:rPr>
          <w:rFonts w:hint="eastAsia" w:ascii="宋体" w:hAnsi="宋体"/>
          <w:color w:val="000000" w:themeColor="text1"/>
          <w:szCs w:val="21"/>
          <w:highlight w:val="none"/>
          <w:lang w:eastAsia="zh-CN"/>
          <w14:textFill>
            <w14:solidFill>
              <w14:schemeClr w14:val="tx1"/>
            </w14:solidFill>
          </w14:textFill>
        </w:rPr>
        <w:t>供应商</w:t>
      </w:r>
      <w:r>
        <w:rPr>
          <w:rFonts w:hint="eastAsia" w:ascii="宋体" w:hAnsi="宋体"/>
          <w:color w:val="000000" w:themeColor="text1"/>
          <w:szCs w:val="21"/>
          <w:highlight w:val="none"/>
          <w14:textFill>
            <w14:solidFill>
              <w14:schemeClr w14:val="tx1"/>
            </w14:solidFill>
          </w14:textFill>
        </w:rPr>
        <w:t>须知前附表规定的金额、担保形式和磋商文件第四章“合同条款及格式”规定的履约担保格式向采购人提交履约担保。联合体中标的，其履约担保由牵头人递交，并应符合</w:t>
      </w:r>
      <w:r>
        <w:rPr>
          <w:rFonts w:hint="eastAsia" w:ascii="宋体" w:hAnsi="宋体"/>
          <w:color w:val="000000" w:themeColor="text1"/>
          <w:szCs w:val="21"/>
          <w:highlight w:val="none"/>
          <w:lang w:eastAsia="zh-CN"/>
          <w14:textFill>
            <w14:solidFill>
              <w14:schemeClr w14:val="tx1"/>
            </w14:solidFill>
          </w14:textFill>
        </w:rPr>
        <w:t>供应商</w:t>
      </w:r>
      <w:r>
        <w:rPr>
          <w:rFonts w:hint="eastAsia" w:ascii="宋体" w:hAnsi="宋体"/>
          <w:color w:val="000000" w:themeColor="text1"/>
          <w:szCs w:val="21"/>
          <w:highlight w:val="none"/>
          <w14:textFill>
            <w14:solidFill>
              <w14:schemeClr w14:val="tx1"/>
            </w14:solidFill>
          </w14:textFill>
        </w:rPr>
        <w:t>须知前附表规定的金额、担保形式和磋商文件第四章“合同条款及格式”规定的履约担保格式要求。</w:t>
      </w:r>
    </w:p>
    <w:p w14:paraId="6C17BB0C">
      <w:pPr>
        <w:overflowPunct/>
        <w:bidi w:val="0"/>
        <w:spacing w:line="360" w:lineRule="auto"/>
        <w:ind w:firstLine="420" w:firstLineChars="200"/>
        <w:outlineLvl w:val="9"/>
        <w:rPr>
          <w:rFonts w:ascii="宋体" w:hAnsi="宋体"/>
          <w:color w:val="000000" w:themeColor="text1"/>
          <w:szCs w:val="21"/>
          <w:highlight w:val="none"/>
          <w14:textFill>
            <w14:solidFill>
              <w14:schemeClr w14:val="tx1"/>
            </w14:solidFill>
          </w14:textFill>
        </w:rPr>
      </w:pPr>
      <w:r>
        <w:rPr>
          <w:rFonts w:hint="eastAsia" w:ascii="宋体" w:hAnsi="宋体"/>
          <w:color w:val="000000" w:themeColor="text1"/>
          <w:szCs w:val="21"/>
          <w:highlight w:val="none"/>
          <w14:textFill>
            <w14:solidFill>
              <w14:schemeClr w14:val="tx1"/>
            </w14:solidFill>
          </w14:textFill>
        </w:rPr>
        <w:t>7.3.2 中标人不能按本章第7.3.1 项要求提交履约担保的，视为放弃中标，其磋商保证金不予退还，给采购人造成的损失超过磋商保证金数额的，中标人还应当对超过部分予以赔偿。</w:t>
      </w:r>
    </w:p>
    <w:p w14:paraId="3FF4BC40">
      <w:pPr>
        <w:overflowPunct/>
        <w:bidi w:val="0"/>
        <w:outlineLvl w:val="9"/>
        <w:rPr>
          <w:rFonts w:ascii="宋体" w:hAnsi="宋体" w:eastAsia="宋体"/>
          <w:color w:val="000000" w:themeColor="text1"/>
          <w:highlight w:val="none"/>
          <w14:textFill>
            <w14:solidFill>
              <w14:schemeClr w14:val="tx1"/>
            </w14:solidFill>
          </w14:textFill>
        </w:rPr>
      </w:pPr>
      <w:r>
        <w:rPr>
          <w:rFonts w:hint="eastAsia" w:ascii="宋体" w:hAnsi="宋体" w:eastAsia="宋体"/>
          <w:color w:val="000000" w:themeColor="text1"/>
          <w:highlight w:val="none"/>
          <w14:textFill>
            <w14:solidFill>
              <w14:schemeClr w14:val="tx1"/>
            </w14:solidFill>
          </w14:textFill>
        </w:rPr>
        <w:t>7.4 签订合同</w:t>
      </w:r>
    </w:p>
    <w:p w14:paraId="3F7DCE66">
      <w:pPr>
        <w:overflowPunct/>
        <w:bidi w:val="0"/>
        <w:spacing w:line="360" w:lineRule="auto"/>
        <w:ind w:firstLine="420" w:firstLineChars="200"/>
        <w:outlineLvl w:val="9"/>
        <w:rPr>
          <w:rFonts w:ascii="宋体" w:hAnsi="宋体"/>
          <w:color w:val="000000" w:themeColor="text1"/>
          <w:szCs w:val="21"/>
          <w:highlight w:val="none"/>
          <w14:textFill>
            <w14:solidFill>
              <w14:schemeClr w14:val="tx1"/>
            </w14:solidFill>
          </w14:textFill>
        </w:rPr>
      </w:pPr>
      <w:r>
        <w:rPr>
          <w:rFonts w:hint="eastAsia" w:ascii="宋体" w:hAnsi="宋体"/>
          <w:color w:val="000000" w:themeColor="text1"/>
          <w:szCs w:val="21"/>
          <w:highlight w:val="none"/>
          <w14:textFill>
            <w14:solidFill>
              <w14:schemeClr w14:val="tx1"/>
            </w14:solidFill>
          </w14:textFill>
        </w:rPr>
        <w:t>7.4.1 采购人和中标人应当自成交通知书发出之日起30 天内，根据磋商文件和中标人的响应文件订立书面合同。中标人无正当理由拒签合同的，采购人取消其中标资格，其磋商保证金不予退还；给采购人造成的损失超过磋商保证金数额的，中标人还应当对超过部分予以赔偿。</w:t>
      </w:r>
    </w:p>
    <w:p w14:paraId="3010D050">
      <w:pPr>
        <w:overflowPunct/>
        <w:bidi w:val="0"/>
        <w:spacing w:line="400" w:lineRule="exact"/>
        <w:ind w:firstLine="420" w:firstLineChars="200"/>
        <w:outlineLvl w:val="9"/>
        <w:rPr>
          <w:rFonts w:ascii="宋体" w:hAnsi="宋体"/>
          <w:color w:val="000000" w:themeColor="text1"/>
          <w:szCs w:val="21"/>
          <w:highlight w:val="none"/>
          <w14:textFill>
            <w14:solidFill>
              <w14:schemeClr w14:val="tx1"/>
            </w14:solidFill>
          </w14:textFill>
        </w:rPr>
      </w:pPr>
      <w:r>
        <w:rPr>
          <w:rFonts w:hint="eastAsia" w:ascii="宋体" w:hAnsi="宋体"/>
          <w:color w:val="000000" w:themeColor="text1"/>
          <w:szCs w:val="21"/>
          <w:highlight w:val="none"/>
          <w14:textFill>
            <w14:solidFill>
              <w14:schemeClr w14:val="tx1"/>
            </w14:solidFill>
          </w14:textFill>
        </w:rPr>
        <w:t>7.4.2 发出成交通知书后，采购人无正当理由拒签合同的，采购人向中标人退还磋商保证金；给中标人造成损失的，还应当赔偿损失。</w:t>
      </w:r>
    </w:p>
    <w:p w14:paraId="1EFA2366">
      <w:pPr>
        <w:overflowPunct/>
        <w:bidi w:val="0"/>
        <w:spacing w:line="400" w:lineRule="exact"/>
        <w:ind w:firstLine="420" w:firstLineChars="200"/>
        <w:outlineLvl w:val="9"/>
        <w:rPr>
          <w:color w:val="000000" w:themeColor="text1"/>
          <w:szCs w:val="21"/>
          <w:highlight w:val="none"/>
          <w14:textFill>
            <w14:solidFill>
              <w14:schemeClr w14:val="tx1"/>
            </w14:solidFill>
          </w14:textFill>
        </w:rPr>
      </w:pPr>
      <w:r>
        <w:rPr>
          <w:rFonts w:hint="eastAsia" w:ascii="宋体" w:hAnsi="宋体"/>
          <w:color w:val="000000" w:themeColor="text1"/>
          <w:szCs w:val="21"/>
          <w:highlight w:val="none"/>
          <w14:textFill>
            <w14:solidFill>
              <w14:schemeClr w14:val="tx1"/>
            </w14:solidFill>
          </w14:textFill>
        </w:rPr>
        <w:t>7.4.3</w:t>
      </w:r>
      <w:r>
        <w:rPr>
          <w:rFonts w:hint="eastAsia"/>
          <w:color w:val="000000" w:themeColor="text1"/>
          <w:szCs w:val="21"/>
          <w:highlight w:val="none"/>
          <w14:textFill>
            <w14:solidFill>
              <w14:schemeClr w14:val="tx1"/>
            </w14:solidFill>
          </w14:textFill>
        </w:rPr>
        <w:t>采购人应当确定排名第一的成交候选人为成标人。排名第一的成交候选人放弃中标、因不可抗力不能履行合同、不按照磋商文件要求提交履约保证金，或者被查实存在影响中标结果的违法行为等情形，不符合中标条件的，采购人可以按照磋商小组提出的成交候选人名单排序依次确定其他成交候选人为中标人，也可以重新招标。</w:t>
      </w:r>
    </w:p>
    <w:p w14:paraId="1A22694F">
      <w:pPr>
        <w:overflowPunct/>
        <w:bidi w:val="0"/>
        <w:outlineLvl w:val="9"/>
        <w:rPr>
          <w:rFonts w:ascii="宋体" w:hAnsi="宋体"/>
          <w:color w:val="000000" w:themeColor="text1"/>
          <w:highlight w:val="none"/>
          <w14:textFill>
            <w14:solidFill>
              <w14:schemeClr w14:val="tx1"/>
            </w14:solidFill>
          </w14:textFill>
        </w:rPr>
      </w:pPr>
      <w:bookmarkStart w:id="33" w:name="_Toc184635078"/>
      <w:r>
        <w:rPr>
          <w:rFonts w:hint="eastAsia" w:ascii="宋体" w:hAnsi="宋体"/>
          <w:color w:val="000000" w:themeColor="text1"/>
          <w:highlight w:val="none"/>
          <w14:textFill>
            <w14:solidFill>
              <w14:schemeClr w14:val="tx1"/>
            </w14:solidFill>
          </w14:textFill>
        </w:rPr>
        <w:t>8．重新招标和不再招标</w:t>
      </w:r>
      <w:bookmarkEnd w:id="33"/>
    </w:p>
    <w:p w14:paraId="4515169D">
      <w:pPr>
        <w:overflowPunct/>
        <w:bidi w:val="0"/>
        <w:outlineLvl w:val="9"/>
        <w:rPr>
          <w:rFonts w:ascii="宋体" w:hAnsi="宋体" w:eastAsia="宋体"/>
          <w:color w:val="000000" w:themeColor="text1"/>
          <w:highlight w:val="none"/>
          <w14:textFill>
            <w14:solidFill>
              <w14:schemeClr w14:val="tx1"/>
            </w14:solidFill>
          </w14:textFill>
        </w:rPr>
      </w:pPr>
      <w:r>
        <w:rPr>
          <w:rFonts w:hint="eastAsia" w:ascii="宋体" w:hAnsi="宋体" w:eastAsia="宋体"/>
          <w:color w:val="000000" w:themeColor="text1"/>
          <w:highlight w:val="none"/>
          <w14:textFill>
            <w14:solidFill>
              <w14:schemeClr w14:val="tx1"/>
            </w14:solidFill>
          </w14:textFill>
        </w:rPr>
        <w:t>8.1 重新招标</w:t>
      </w:r>
    </w:p>
    <w:p w14:paraId="3A683AF9">
      <w:pPr>
        <w:overflowPunct/>
        <w:bidi w:val="0"/>
        <w:spacing w:line="360" w:lineRule="auto"/>
        <w:ind w:firstLine="420" w:firstLineChars="200"/>
        <w:outlineLvl w:val="9"/>
        <w:rPr>
          <w:rFonts w:ascii="宋体" w:hAnsi="宋体"/>
          <w:color w:val="000000" w:themeColor="text1"/>
          <w:szCs w:val="21"/>
          <w:highlight w:val="none"/>
          <w14:textFill>
            <w14:solidFill>
              <w14:schemeClr w14:val="tx1"/>
            </w14:solidFill>
          </w14:textFill>
        </w:rPr>
      </w:pPr>
      <w:r>
        <w:rPr>
          <w:rFonts w:hint="eastAsia" w:ascii="宋体" w:hAnsi="宋体"/>
          <w:color w:val="000000" w:themeColor="text1"/>
          <w:szCs w:val="21"/>
          <w:highlight w:val="none"/>
          <w14:textFill>
            <w14:solidFill>
              <w14:schemeClr w14:val="tx1"/>
            </w14:solidFill>
          </w14:textFill>
        </w:rPr>
        <w:t>有下列情形之一的，采购人将重新招标：</w:t>
      </w:r>
    </w:p>
    <w:p w14:paraId="5C6086E8">
      <w:pPr>
        <w:overflowPunct/>
        <w:bidi w:val="0"/>
        <w:spacing w:line="360" w:lineRule="auto"/>
        <w:ind w:firstLine="420" w:firstLineChars="200"/>
        <w:outlineLvl w:val="9"/>
        <w:rPr>
          <w:rFonts w:ascii="宋体" w:hAnsi="宋体"/>
          <w:color w:val="000000" w:themeColor="text1"/>
          <w:szCs w:val="21"/>
          <w:highlight w:val="none"/>
          <w14:textFill>
            <w14:solidFill>
              <w14:schemeClr w14:val="tx1"/>
            </w14:solidFill>
          </w14:textFill>
        </w:rPr>
      </w:pPr>
      <w:r>
        <w:rPr>
          <w:rFonts w:hint="eastAsia" w:ascii="宋体" w:hAnsi="宋体"/>
          <w:color w:val="000000" w:themeColor="text1"/>
          <w:szCs w:val="21"/>
          <w:highlight w:val="none"/>
          <w14:textFill>
            <w14:solidFill>
              <w14:schemeClr w14:val="tx1"/>
            </w14:solidFill>
          </w14:textFill>
        </w:rPr>
        <w:t>(l）投标截止时间止，</w:t>
      </w:r>
      <w:r>
        <w:rPr>
          <w:rFonts w:hint="eastAsia" w:ascii="宋体" w:hAnsi="宋体"/>
          <w:color w:val="000000" w:themeColor="text1"/>
          <w:szCs w:val="21"/>
          <w:highlight w:val="none"/>
          <w:lang w:eastAsia="zh-CN"/>
          <w14:textFill>
            <w14:solidFill>
              <w14:schemeClr w14:val="tx1"/>
            </w14:solidFill>
          </w14:textFill>
        </w:rPr>
        <w:t>供应商</w:t>
      </w:r>
      <w:r>
        <w:rPr>
          <w:rFonts w:hint="eastAsia" w:ascii="宋体" w:hAnsi="宋体"/>
          <w:color w:val="000000" w:themeColor="text1"/>
          <w:szCs w:val="21"/>
          <w:highlight w:val="none"/>
          <w14:textFill>
            <w14:solidFill>
              <w14:schemeClr w14:val="tx1"/>
            </w14:solidFill>
          </w14:textFill>
        </w:rPr>
        <w:t>少于3 个的；</w:t>
      </w:r>
    </w:p>
    <w:p w14:paraId="2C1E69A2">
      <w:pPr>
        <w:overflowPunct/>
        <w:bidi w:val="0"/>
        <w:spacing w:line="360" w:lineRule="auto"/>
        <w:ind w:firstLine="420" w:firstLineChars="200"/>
        <w:outlineLvl w:val="9"/>
        <w:rPr>
          <w:rFonts w:ascii="宋体" w:hAnsi="宋体"/>
          <w:color w:val="000000" w:themeColor="text1"/>
          <w:szCs w:val="21"/>
          <w:highlight w:val="none"/>
          <w14:textFill>
            <w14:solidFill>
              <w14:schemeClr w14:val="tx1"/>
            </w14:solidFill>
          </w14:textFill>
        </w:rPr>
      </w:pPr>
      <w:r>
        <w:rPr>
          <w:rFonts w:hint="eastAsia" w:ascii="宋体" w:hAnsi="宋体"/>
          <w:color w:val="000000" w:themeColor="text1"/>
          <w:szCs w:val="21"/>
          <w:highlight w:val="none"/>
          <w14:textFill>
            <w14:solidFill>
              <w14:schemeClr w14:val="tx1"/>
            </w14:solidFill>
          </w14:textFill>
        </w:rPr>
        <w:t>(2）经磋商小组评审后否决所有投标的。</w:t>
      </w:r>
    </w:p>
    <w:p w14:paraId="58AB9A31">
      <w:pPr>
        <w:overflowPunct/>
        <w:bidi w:val="0"/>
        <w:outlineLvl w:val="9"/>
        <w:rPr>
          <w:rFonts w:ascii="宋体" w:hAnsi="宋体" w:eastAsia="宋体"/>
          <w:color w:val="000000" w:themeColor="text1"/>
          <w:highlight w:val="none"/>
          <w14:textFill>
            <w14:solidFill>
              <w14:schemeClr w14:val="tx1"/>
            </w14:solidFill>
          </w14:textFill>
        </w:rPr>
      </w:pPr>
      <w:r>
        <w:rPr>
          <w:rFonts w:hint="eastAsia" w:ascii="宋体" w:hAnsi="宋体" w:eastAsia="宋体"/>
          <w:color w:val="000000" w:themeColor="text1"/>
          <w:highlight w:val="none"/>
          <w14:textFill>
            <w14:solidFill>
              <w14:schemeClr w14:val="tx1"/>
            </w14:solidFill>
          </w14:textFill>
        </w:rPr>
        <w:t>8.2 不再招标</w:t>
      </w:r>
    </w:p>
    <w:p w14:paraId="47A1D94A">
      <w:pPr>
        <w:overflowPunct/>
        <w:bidi w:val="0"/>
        <w:spacing w:line="360" w:lineRule="auto"/>
        <w:ind w:firstLine="420" w:firstLineChars="200"/>
        <w:outlineLvl w:val="9"/>
        <w:rPr>
          <w:rFonts w:ascii="宋体" w:hAnsi="宋体"/>
          <w:color w:val="000000" w:themeColor="text1"/>
          <w:szCs w:val="21"/>
          <w:highlight w:val="none"/>
          <w14:textFill>
            <w14:solidFill>
              <w14:schemeClr w14:val="tx1"/>
            </w14:solidFill>
          </w14:textFill>
        </w:rPr>
      </w:pPr>
      <w:r>
        <w:rPr>
          <w:rFonts w:hint="eastAsia" w:ascii="宋体" w:hAnsi="宋体"/>
          <w:color w:val="000000" w:themeColor="text1"/>
          <w:szCs w:val="21"/>
          <w:highlight w:val="none"/>
          <w14:textFill>
            <w14:solidFill>
              <w14:schemeClr w14:val="tx1"/>
            </w14:solidFill>
          </w14:textFill>
        </w:rPr>
        <w:t>重新招标后</w:t>
      </w:r>
      <w:r>
        <w:rPr>
          <w:rFonts w:hint="eastAsia" w:ascii="宋体" w:hAnsi="宋体"/>
          <w:color w:val="000000" w:themeColor="text1"/>
          <w:szCs w:val="21"/>
          <w:highlight w:val="none"/>
          <w:lang w:eastAsia="zh-CN"/>
          <w14:textFill>
            <w14:solidFill>
              <w14:schemeClr w14:val="tx1"/>
            </w14:solidFill>
          </w14:textFill>
        </w:rPr>
        <w:t>供应商</w:t>
      </w:r>
      <w:r>
        <w:rPr>
          <w:rFonts w:hint="eastAsia" w:ascii="宋体" w:hAnsi="宋体"/>
          <w:color w:val="000000" w:themeColor="text1"/>
          <w:szCs w:val="21"/>
          <w:highlight w:val="none"/>
          <w14:textFill>
            <w14:solidFill>
              <w14:schemeClr w14:val="tx1"/>
            </w14:solidFill>
          </w14:textFill>
        </w:rPr>
        <w:t>仍少于3 个或者所有投标被否决的，属于必须审批或核准的工程建设项目，经原审批或核准部门批准后不再进行招标。</w:t>
      </w:r>
    </w:p>
    <w:p w14:paraId="6CA25E04">
      <w:pPr>
        <w:overflowPunct/>
        <w:bidi w:val="0"/>
        <w:outlineLvl w:val="9"/>
        <w:rPr>
          <w:rFonts w:ascii="宋体" w:hAnsi="宋体"/>
          <w:color w:val="000000" w:themeColor="text1"/>
          <w:highlight w:val="none"/>
          <w14:textFill>
            <w14:solidFill>
              <w14:schemeClr w14:val="tx1"/>
            </w14:solidFill>
          </w14:textFill>
        </w:rPr>
      </w:pPr>
      <w:bookmarkStart w:id="34" w:name="_Toc184635079"/>
      <w:r>
        <w:rPr>
          <w:rFonts w:hint="eastAsia" w:ascii="宋体" w:hAnsi="宋体"/>
          <w:color w:val="000000" w:themeColor="text1"/>
          <w:highlight w:val="none"/>
          <w14:textFill>
            <w14:solidFill>
              <w14:schemeClr w14:val="tx1"/>
            </w14:solidFill>
          </w14:textFill>
        </w:rPr>
        <w:t>9．纪律和监督</w:t>
      </w:r>
      <w:bookmarkEnd w:id="34"/>
    </w:p>
    <w:p w14:paraId="098E6442">
      <w:pPr>
        <w:overflowPunct/>
        <w:bidi w:val="0"/>
        <w:outlineLvl w:val="9"/>
        <w:rPr>
          <w:rFonts w:ascii="宋体" w:hAnsi="宋体" w:eastAsia="宋体"/>
          <w:color w:val="000000" w:themeColor="text1"/>
          <w:highlight w:val="none"/>
          <w14:textFill>
            <w14:solidFill>
              <w14:schemeClr w14:val="tx1"/>
            </w14:solidFill>
          </w14:textFill>
        </w:rPr>
      </w:pPr>
      <w:r>
        <w:rPr>
          <w:rFonts w:hint="eastAsia" w:ascii="宋体" w:hAnsi="宋体" w:eastAsia="宋体"/>
          <w:color w:val="000000" w:themeColor="text1"/>
          <w:highlight w:val="none"/>
          <w14:textFill>
            <w14:solidFill>
              <w14:schemeClr w14:val="tx1"/>
            </w14:solidFill>
          </w14:textFill>
        </w:rPr>
        <w:t>9.1 对采购人的纪律要求</w:t>
      </w:r>
    </w:p>
    <w:p w14:paraId="4F57FCF0">
      <w:pPr>
        <w:overflowPunct/>
        <w:bidi w:val="0"/>
        <w:spacing w:line="360" w:lineRule="auto"/>
        <w:ind w:firstLine="420" w:firstLineChars="200"/>
        <w:outlineLvl w:val="9"/>
        <w:rPr>
          <w:rFonts w:ascii="宋体" w:hAnsi="宋体"/>
          <w:color w:val="000000" w:themeColor="text1"/>
          <w:szCs w:val="21"/>
          <w:highlight w:val="none"/>
          <w14:textFill>
            <w14:solidFill>
              <w14:schemeClr w14:val="tx1"/>
            </w14:solidFill>
          </w14:textFill>
        </w:rPr>
      </w:pPr>
      <w:r>
        <w:rPr>
          <w:rFonts w:hint="eastAsia" w:ascii="宋体" w:hAnsi="宋体"/>
          <w:color w:val="000000" w:themeColor="text1"/>
          <w:szCs w:val="21"/>
          <w:highlight w:val="none"/>
          <w14:textFill>
            <w14:solidFill>
              <w14:schemeClr w14:val="tx1"/>
            </w14:solidFill>
          </w14:textFill>
        </w:rPr>
        <w:t>采购人不得泄漏磋商活动中应当保密的情况和资料，不得与</w:t>
      </w:r>
      <w:r>
        <w:rPr>
          <w:rFonts w:hint="eastAsia" w:ascii="宋体" w:hAnsi="宋体"/>
          <w:color w:val="000000" w:themeColor="text1"/>
          <w:szCs w:val="21"/>
          <w:highlight w:val="none"/>
          <w:lang w:eastAsia="zh-CN"/>
          <w14:textFill>
            <w14:solidFill>
              <w14:schemeClr w14:val="tx1"/>
            </w14:solidFill>
          </w14:textFill>
        </w:rPr>
        <w:t>供应商</w:t>
      </w:r>
      <w:r>
        <w:rPr>
          <w:rFonts w:hint="eastAsia" w:ascii="宋体" w:hAnsi="宋体"/>
          <w:color w:val="000000" w:themeColor="text1"/>
          <w:szCs w:val="21"/>
          <w:highlight w:val="none"/>
          <w14:textFill>
            <w14:solidFill>
              <w14:schemeClr w14:val="tx1"/>
            </w14:solidFill>
          </w14:textFill>
        </w:rPr>
        <w:t>串通损害国家利益、社会公共利益或者他人合法权益。</w:t>
      </w:r>
    </w:p>
    <w:p w14:paraId="58319E33">
      <w:pPr>
        <w:overflowPunct/>
        <w:bidi w:val="0"/>
        <w:outlineLvl w:val="9"/>
        <w:rPr>
          <w:rFonts w:ascii="宋体" w:hAnsi="宋体" w:eastAsia="宋体"/>
          <w:color w:val="000000" w:themeColor="text1"/>
          <w:highlight w:val="none"/>
          <w14:textFill>
            <w14:solidFill>
              <w14:schemeClr w14:val="tx1"/>
            </w14:solidFill>
          </w14:textFill>
        </w:rPr>
      </w:pPr>
      <w:r>
        <w:rPr>
          <w:rFonts w:hint="eastAsia" w:ascii="宋体" w:hAnsi="宋体" w:eastAsia="宋体"/>
          <w:color w:val="000000" w:themeColor="text1"/>
          <w:highlight w:val="none"/>
          <w14:textFill>
            <w14:solidFill>
              <w14:schemeClr w14:val="tx1"/>
            </w14:solidFill>
          </w14:textFill>
        </w:rPr>
        <w:t>9.2 对</w:t>
      </w:r>
      <w:r>
        <w:rPr>
          <w:rFonts w:hint="eastAsia" w:ascii="宋体" w:hAnsi="宋体" w:eastAsia="宋体"/>
          <w:color w:val="000000" w:themeColor="text1"/>
          <w:highlight w:val="none"/>
          <w:lang w:eastAsia="zh-CN"/>
          <w14:textFill>
            <w14:solidFill>
              <w14:schemeClr w14:val="tx1"/>
            </w14:solidFill>
          </w14:textFill>
        </w:rPr>
        <w:t>供应商</w:t>
      </w:r>
      <w:r>
        <w:rPr>
          <w:rFonts w:hint="eastAsia" w:ascii="宋体" w:hAnsi="宋体" w:eastAsia="宋体"/>
          <w:color w:val="000000" w:themeColor="text1"/>
          <w:highlight w:val="none"/>
          <w14:textFill>
            <w14:solidFill>
              <w14:schemeClr w14:val="tx1"/>
            </w14:solidFill>
          </w14:textFill>
        </w:rPr>
        <w:t>的纪律要求</w:t>
      </w:r>
    </w:p>
    <w:p w14:paraId="3E813704">
      <w:pPr>
        <w:overflowPunct/>
        <w:bidi w:val="0"/>
        <w:spacing w:line="360" w:lineRule="auto"/>
        <w:ind w:firstLine="420" w:firstLineChars="200"/>
        <w:outlineLvl w:val="9"/>
        <w:rPr>
          <w:rFonts w:ascii="宋体" w:hAnsi="宋体"/>
          <w:color w:val="000000" w:themeColor="text1"/>
          <w:szCs w:val="21"/>
          <w:highlight w:val="none"/>
          <w14:textFill>
            <w14:solidFill>
              <w14:schemeClr w14:val="tx1"/>
            </w14:solidFill>
          </w14:textFill>
        </w:rPr>
      </w:pPr>
      <w:r>
        <w:rPr>
          <w:rFonts w:hint="eastAsia" w:ascii="宋体" w:hAnsi="宋体"/>
          <w:color w:val="000000" w:themeColor="text1"/>
          <w:szCs w:val="21"/>
          <w:highlight w:val="none"/>
          <w:lang w:eastAsia="zh-CN"/>
          <w14:textFill>
            <w14:solidFill>
              <w14:schemeClr w14:val="tx1"/>
            </w14:solidFill>
          </w14:textFill>
        </w:rPr>
        <w:t>供应商</w:t>
      </w:r>
      <w:r>
        <w:rPr>
          <w:rFonts w:hint="eastAsia" w:ascii="宋体" w:hAnsi="宋体"/>
          <w:color w:val="000000" w:themeColor="text1"/>
          <w:szCs w:val="21"/>
          <w:highlight w:val="none"/>
          <w14:textFill>
            <w14:solidFill>
              <w14:schemeClr w14:val="tx1"/>
            </w14:solidFill>
          </w14:textFill>
        </w:rPr>
        <w:t>不得相互串通投标或者与采购人串通投标，不得向采购人或者磋商小组成员行贿谋取中标，不得以他人名义投标或者以其他方式弄虚作假骗取中标；</w:t>
      </w:r>
      <w:r>
        <w:rPr>
          <w:rFonts w:hint="eastAsia" w:ascii="宋体" w:hAnsi="宋体"/>
          <w:color w:val="000000" w:themeColor="text1"/>
          <w:szCs w:val="21"/>
          <w:highlight w:val="none"/>
          <w:lang w:eastAsia="zh-CN"/>
          <w14:textFill>
            <w14:solidFill>
              <w14:schemeClr w14:val="tx1"/>
            </w14:solidFill>
          </w14:textFill>
        </w:rPr>
        <w:t>供应商</w:t>
      </w:r>
      <w:r>
        <w:rPr>
          <w:rFonts w:hint="eastAsia" w:ascii="宋体" w:hAnsi="宋体"/>
          <w:color w:val="000000" w:themeColor="text1"/>
          <w:szCs w:val="21"/>
          <w:highlight w:val="none"/>
          <w14:textFill>
            <w14:solidFill>
              <w14:schemeClr w14:val="tx1"/>
            </w14:solidFill>
          </w14:textFill>
        </w:rPr>
        <w:t>不得以任何方式干扰、影响评审工作工作。</w:t>
      </w:r>
    </w:p>
    <w:p w14:paraId="69C7A0EA">
      <w:pPr>
        <w:overflowPunct/>
        <w:bidi w:val="0"/>
        <w:outlineLvl w:val="9"/>
        <w:rPr>
          <w:rFonts w:ascii="宋体" w:hAnsi="宋体" w:eastAsia="宋体"/>
          <w:color w:val="000000" w:themeColor="text1"/>
          <w:highlight w:val="none"/>
          <w14:textFill>
            <w14:solidFill>
              <w14:schemeClr w14:val="tx1"/>
            </w14:solidFill>
          </w14:textFill>
        </w:rPr>
      </w:pPr>
      <w:r>
        <w:rPr>
          <w:rFonts w:hint="eastAsia" w:ascii="宋体" w:hAnsi="宋体" w:eastAsia="宋体"/>
          <w:color w:val="000000" w:themeColor="text1"/>
          <w:highlight w:val="none"/>
          <w14:textFill>
            <w14:solidFill>
              <w14:schemeClr w14:val="tx1"/>
            </w14:solidFill>
          </w14:textFill>
        </w:rPr>
        <w:t>9.3 对磋商小组成员的纪律要求</w:t>
      </w:r>
    </w:p>
    <w:p w14:paraId="7B3B542C">
      <w:pPr>
        <w:overflowPunct/>
        <w:bidi w:val="0"/>
        <w:spacing w:line="360" w:lineRule="auto"/>
        <w:ind w:firstLine="420" w:firstLineChars="200"/>
        <w:outlineLvl w:val="9"/>
        <w:rPr>
          <w:rFonts w:ascii="宋体" w:hAnsi="宋体"/>
          <w:color w:val="000000" w:themeColor="text1"/>
          <w:szCs w:val="21"/>
          <w:highlight w:val="none"/>
          <w14:textFill>
            <w14:solidFill>
              <w14:schemeClr w14:val="tx1"/>
            </w14:solidFill>
          </w14:textFill>
        </w:rPr>
      </w:pPr>
      <w:r>
        <w:rPr>
          <w:rFonts w:hint="eastAsia" w:ascii="宋体" w:hAnsi="宋体"/>
          <w:color w:val="000000" w:themeColor="text1"/>
          <w:szCs w:val="21"/>
          <w:highlight w:val="none"/>
          <w14:textFill>
            <w14:solidFill>
              <w14:schemeClr w14:val="tx1"/>
            </w14:solidFill>
          </w14:textFill>
        </w:rPr>
        <w:t>磋商小组成员不得收受他人的财物或者其他好处，不得向他人透漏对响应文件的评审和比较、成交候选人的推荐情况以及评审工作有关的其他情况。在评审工作活动中，磋商小组成员不得擅离职守，影响评审工作程序正常进行，不得使用第三章“评审办法”没有规定的评审因素和标准进行评审工作。</w:t>
      </w:r>
    </w:p>
    <w:p w14:paraId="6388A51B">
      <w:pPr>
        <w:overflowPunct/>
        <w:bidi w:val="0"/>
        <w:outlineLvl w:val="9"/>
        <w:rPr>
          <w:rFonts w:ascii="宋体" w:hAnsi="宋体" w:eastAsia="宋体"/>
          <w:color w:val="000000" w:themeColor="text1"/>
          <w:highlight w:val="none"/>
          <w14:textFill>
            <w14:solidFill>
              <w14:schemeClr w14:val="tx1"/>
            </w14:solidFill>
          </w14:textFill>
        </w:rPr>
      </w:pPr>
      <w:r>
        <w:rPr>
          <w:rFonts w:hint="eastAsia" w:ascii="宋体" w:hAnsi="宋体" w:eastAsia="宋体"/>
          <w:color w:val="000000" w:themeColor="text1"/>
          <w:highlight w:val="none"/>
          <w14:textFill>
            <w14:solidFill>
              <w14:schemeClr w14:val="tx1"/>
            </w14:solidFill>
          </w14:textFill>
        </w:rPr>
        <w:t>9.4 对与评审活动有关的工作人员的纪律要求</w:t>
      </w:r>
    </w:p>
    <w:p w14:paraId="243BC3B5">
      <w:pPr>
        <w:overflowPunct/>
        <w:bidi w:val="0"/>
        <w:spacing w:line="360" w:lineRule="auto"/>
        <w:ind w:firstLine="420" w:firstLineChars="200"/>
        <w:outlineLvl w:val="9"/>
        <w:rPr>
          <w:rFonts w:ascii="宋体" w:hAnsi="宋体"/>
          <w:color w:val="000000" w:themeColor="text1"/>
          <w:szCs w:val="21"/>
          <w:highlight w:val="none"/>
          <w14:textFill>
            <w14:solidFill>
              <w14:schemeClr w14:val="tx1"/>
            </w14:solidFill>
          </w14:textFill>
        </w:rPr>
      </w:pPr>
      <w:r>
        <w:rPr>
          <w:rFonts w:hint="eastAsia" w:ascii="宋体" w:hAnsi="宋体"/>
          <w:color w:val="000000" w:themeColor="text1"/>
          <w:szCs w:val="21"/>
          <w:highlight w:val="none"/>
          <w14:textFill>
            <w14:solidFill>
              <w14:schemeClr w14:val="tx1"/>
            </w14:solidFill>
          </w14:textFill>
        </w:rPr>
        <w:t>与评审活动有关的工作人员不得收受他人的财物或者其他好处，不得向他人透漏对响应文件的评审和比较、成交候选人的推荐情况以及评审工作有关的其他情况。在评审活动中，与评审活动有关的工作人员不得擅离职守，影响评审工作程序正常进行。</w:t>
      </w:r>
    </w:p>
    <w:p w14:paraId="70F023E8">
      <w:pPr>
        <w:overflowPunct/>
        <w:bidi w:val="0"/>
        <w:outlineLvl w:val="9"/>
        <w:rPr>
          <w:rFonts w:ascii="宋体" w:hAnsi="宋体" w:eastAsia="宋体"/>
          <w:color w:val="000000" w:themeColor="text1"/>
          <w:highlight w:val="none"/>
          <w14:textFill>
            <w14:solidFill>
              <w14:schemeClr w14:val="tx1"/>
            </w14:solidFill>
          </w14:textFill>
        </w:rPr>
      </w:pPr>
      <w:r>
        <w:rPr>
          <w:rFonts w:hint="eastAsia" w:ascii="宋体" w:hAnsi="宋体" w:eastAsia="宋体"/>
          <w:color w:val="000000" w:themeColor="text1"/>
          <w:highlight w:val="none"/>
          <w14:textFill>
            <w14:solidFill>
              <w14:schemeClr w14:val="tx1"/>
            </w14:solidFill>
          </w14:textFill>
        </w:rPr>
        <w:t>9.5 投诉</w:t>
      </w:r>
    </w:p>
    <w:p w14:paraId="476AE290">
      <w:pPr>
        <w:overflowPunct/>
        <w:bidi w:val="0"/>
        <w:spacing w:line="360" w:lineRule="auto"/>
        <w:ind w:firstLine="420" w:firstLineChars="200"/>
        <w:outlineLvl w:val="9"/>
        <w:rPr>
          <w:rFonts w:ascii="宋体" w:hAnsi="宋体"/>
          <w:color w:val="000000" w:themeColor="text1"/>
          <w:szCs w:val="21"/>
          <w:highlight w:val="none"/>
          <w14:textFill>
            <w14:solidFill>
              <w14:schemeClr w14:val="tx1"/>
            </w14:solidFill>
          </w14:textFill>
        </w:rPr>
      </w:pPr>
      <w:r>
        <w:rPr>
          <w:rFonts w:hint="eastAsia" w:ascii="宋体" w:hAnsi="宋体"/>
          <w:color w:val="000000" w:themeColor="text1"/>
          <w:szCs w:val="21"/>
          <w:highlight w:val="none"/>
          <w:lang w:eastAsia="zh-CN"/>
          <w14:textFill>
            <w14:solidFill>
              <w14:schemeClr w14:val="tx1"/>
            </w14:solidFill>
          </w14:textFill>
        </w:rPr>
        <w:t>供应商</w:t>
      </w:r>
      <w:r>
        <w:rPr>
          <w:rFonts w:hint="eastAsia" w:ascii="宋体" w:hAnsi="宋体"/>
          <w:color w:val="000000" w:themeColor="text1"/>
          <w:szCs w:val="21"/>
          <w:highlight w:val="none"/>
          <w14:textFill>
            <w14:solidFill>
              <w14:schemeClr w14:val="tx1"/>
            </w14:solidFill>
          </w14:textFill>
        </w:rPr>
        <w:t>和其他利害关系人认为本次</w:t>
      </w:r>
      <w:r>
        <w:rPr>
          <w:rFonts w:hint="eastAsia" w:ascii="宋体" w:hAnsi="宋体"/>
          <w:color w:val="000000" w:themeColor="text1"/>
          <w:szCs w:val="21"/>
          <w:highlight w:val="none"/>
          <w:lang w:val="en-US" w:eastAsia="zh-CN"/>
          <w14:textFill>
            <w14:solidFill>
              <w14:schemeClr w14:val="tx1"/>
            </w14:solidFill>
          </w14:textFill>
        </w:rPr>
        <w:t>采购</w:t>
      </w:r>
      <w:r>
        <w:rPr>
          <w:rFonts w:hint="eastAsia" w:ascii="宋体" w:hAnsi="宋体"/>
          <w:color w:val="000000" w:themeColor="text1"/>
          <w:szCs w:val="21"/>
          <w:highlight w:val="none"/>
          <w14:textFill>
            <w14:solidFill>
              <w14:schemeClr w14:val="tx1"/>
            </w14:solidFill>
          </w14:textFill>
        </w:rPr>
        <w:t>活动违反法律、法规和规章规定的，有权向有关行政监督部门投诉。</w:t>
      </w:r>
    </w:p>
    <w:p w14:paraId="6CE030CF">
      <w:pPr>
        <w:overflowPunct/>
        <w:bidi w:val="0"/>
        <w:outlineLvl w:val="9"/>
        <w:rPr>
          <w:rFonts w:ascii="宋体" w:hAnsi="宋体"/>
          <w:color w:val="000000" w:themeColor="text1"/>
          <w:highlight w:val="none"/>
          <w14:textFill>
            <w14:solidFill>
              <w14:schemeClr w14:val="tx1"/>
            </w14:solidFill>
          </w14:textFill>
        </w:rPr>
      </w:pPr>
      <w:bookmarkStart w:id="35" w:name="_Toc184635080"/>
      <w:r>
        <w:rPr>
          <w:rFonts w:hint="eastAsia" w:ascii="宋体" w:hAnsi="宋体"/>
          <w:color w:val="000000" w:themeColor="text1"/>
          <w:highlight w:val="none"/>
          <w14:textFill>
            <w14:solidFill>
              <w14:schemeClr w14:val="tx1"/>
            </w14:solidFill>
          </w14:textFill>
        </w:rPr>
        <w:t>10</w:t>
      </w:r>
      <w:r>
        <w:rPr>
          <w:rFonts w:hint="eastAsia" w:ascii="宋体" w:hAnsi="宋体"/>
          <w:color w:val="000000" w:themeColor="text1"/>
          <w:highlight w:val="none"/>
          <w:lang w:eastAsia="zh-CN"/>
          <w14:textFill>
            <w14:solidFill>
              <w14:schemeClr w14:val="tx1"/>
            </w14:solidFill>
          </w14:textFill>
        </w:rPr>
        <w:t>.</w:t>
      </w:r>
      <w:r>
        <w:rPr>
          <w:rFonts w:hint="eastAsia" w:ascii="宋体" w:hAnsi="宋体"/>
          <w:color w:val="000000" w:themeColor="text1"/>
          <w:highlight w:val="none"/>
          <w14:textFill>
            <w14:solidFill>
              <w14:schemeClr w14:val="tx1"/>
            </w14:solidFill>
          </w14:textFill>
        </w:rPr>
        <w:t>需要补充的其他内容</w:t>
      </w:r>
      <w:bookmarkEnd w:id="35"/>
    </w:p>
    <w:p w14:paraId="3A6E6D67">
      <w:pPr>
        <w:overflowPunct/>
        <w:bidi w:val="0"/>
        <w:spacing w:line="360" w:lineRule="auto"/>
        <w:ind w:firstLine="420" w:firstLineChars="200"/>
        <w:outlineLvl w:val="9"/>
        <w:rPr>
          <w:rFonts w:ascii="宋体" w:hAnsi="宋体"/>
          <w:color w:val="000000" w:themeColor="text1"/>
          <w:highlight w:val="none"/>
          <w14:textFill>
            <w14:solidFill>
              <w14:schemeClr w14:val="tx1"/>
            </w14:solidFill>
          </w14:textFill>
        </w:rPr>
      </w:pPr>
      <w:r>
        <w:rPr>
          <w:rFonts w:hint="eastAsia" w:ascii="宋体" w:hAnsi="宋体"/>
          <w:color w:val="000000" w:themeColor="text1"/>
          <w:szCs w:val="21"/>
          <w:highlight w:val="none"/>
          <w14:textFill>
            <w14:solidFill>
              <w14:schemeClr w14:val="tx1"/>
            </w14:solidFill>
          </w14:textFill>
        </w:rPr>
        <w:t>需要补充的其他内容：见</w:t>
      </w:r>
      <w:r>
        <w:rPr>
          <w:rFonts w:hint="eastAsia" w:ascii="宋体" w:hAnsi="宋体"/>
          <w:color w:val="000000" w:themeColor="text1"/>
          <w:szCs w:val="21"/>
          <w:highlight w:val="none"/>
          <w:lang w:eastAsia="zh-CN"/>
          <w14:textFill>
            <w14:solidFill>
              <w14:schemeClr w14:val="tx1"/>
            </w14:solidFill>
          </w14:textFill>
        </w:rPr>
        <w:t>供应商</w:t>
      </w:r>
      <w:r>
        <w:rPr>
          <w:rFonts w:hint="eastAsia" w:ascii="宋体" w:hAnsi="宋体"/>
          <w:color w:val="000000" w:themeColor="text1"/>
          <w:szCs w:val="21"/>
          <w:highlight w:val="none"/>
          <w14:textFill>
            <w14:solidFill>
              <w14:schemeClr w14:val="tx1"/>
            </w14:solidFill>
          </w14:textFill>
        </w:rPr>
        <w:t>须知前附表。</w:t>
      </w:r>
    </w:p>
    <w:p w14:paraId="0EA2DE4C">
      <w:pPr>
        <w:keepNext w:val="0"/>
        <w:keepLines w:val="0"/>
        <w:pageBreakBefore w:val="0"/>
        <w:widowControl w:val="0"/>
        <w:kinsoku/>
        <w:wordWrap/>
        <w:overflowPunct/>
        <w:topLinePunct w:val="0"/>
        <w:autoSpaceDE/>
        <w:autoSpaceDN/>
        <w:bidi w:val="0"/>
        <w:adjustRightInd/>
        <w:snapToGrid/>
        <w:jc w:val="center"/>
        <w:textAlignment w:val="auto"/>
        <w:outlineLvl w:val="0"/>
        <w:rPr>
          <w:rFonts w:ascii="宋体" w:hAnsi="宋体"/>
          <w:b/>
          <w:color w:val="000000" w:themeColor="text1"/>
          <w:sz w:val="32"/>
          <w:szCs w:val="32"/>
          <w:highlight w:val="none"/>
          <w14:textFill>
            <w14:solidFill>
              <w14:schemeClr w14:val="tx1"/>
            </w14:solidFill>
          </w14:textFill>
        </w:rPr>
      </w:pPr>
      <w:r>
        <w:rPr>
          <w:rFonts w:ascii="宋体" w:hAnsi="宋体"/>
          <w:color w:val="000000" w:themeColor="text1"/>
          <w:sz w:val="24"/>
          <w:highlight w:val="none"/>
          <w14:textFill>
            <w14:solidFill>
              <w14:schemeClr w14:val="tx1"/>
            </w14:solidFill>
          </w14:textFill>
        </w:rPr>
        <w:br w:type="page"/>
      </w:r>
      <w:bookmarkStart w:id="36" w:name="_Toc7816"/>
      <w:bookmarkStart w:id="37" w:name="_Toc30908"/>
      <w:r>
        <w:rPr>
          <w:rFonts w:hint="eastAsia" w:ascii="宋体" w:hAnsi="宋体"/>
          <w:b/>
          <w:bCs/>
          <w:color w:val="000000" w:themeColor="text1"/>
          <w:sz w:val="36"/>
          <w:szCs w:val="36"/>
          <w:highlight w:val="none"/>
          <w:lang w:eastAsia="zh-CN"/>
          <w14:textFill>
            <w14:solidFill>
              <w14:schemeClr w14:val="tx1"/>
            </w14:solidFill>
          </w14:textFill>
        </w:rPr>
        <w:t>第二章</w:t>
      </w:r>
      <w:r>
        <w:rPr>
          <w:rFonts w:hint="eastAsia" w:ascii="宋体" w:hAnsi="宋体"/>
          <w:b/>
          <w:bCs/>
          <w:color w:val="000000" w:themeColor="text1"/>
          <w:sz w:val="36"/>
          <w:szCs w:val="36"/>
          <w:highlight w:val="none"/>
          <w:lang w:val="en-US" w:eastAsia="zh-CN"/>
          <w14:textFill>
            <w14:solidFill>
              <w14:schemeClr w14:val="tx1"/>
            </w14:solidFill>
          </w14:textFill>
        </w:rPr>
        <w:t xml:space="preserve"> </w:t>
      </w:r>
      <w:r>
        <w:rPr>
          <w:rFonts w:hint="eastAsia" w:eastAsia="宋体"/>
          <w:b/>
          <w:bCs/>
          <w:color w:val="000000" w:themeColor="text1"/>
          <w:sz w:val="36"/>
          <w:szCs w:val="36"/>
          <w:highlight w:val="none"/>
          <w:lang w:val="en-US" w:eastAsia="zh-CN"/>
          <w14:textFill>
            <w14:solidFill>
              <w14:schemeClr w14:val="tx1"/>
            </w14:solidFill>
          </w14:textFill>
        </w:rPr>
        <w:t>评审办法（综合评分法）</w:t>
      </w:r>
      <w:bookmarkEnd w:id="36"/>
      <w:bookmarkEnd w:id="37"/>
    </w:p>
    <w:p w14:paraId="3978C675">
      <w:pPr>
        <w:overflowPunct/>
        <w:bidi w:val="0"/>
        <w:spacing w:afterLines="50"/>
        <w:jc w:val="center"/>
        <w:outlineLvl w:val="9"/>
        <w:rPr>
          <w:rFonts w:ascii="宋体" w:hAnsi="宋体"/>
          <w:b/>
          <w:color w:val="000000" w:themeColor="text1"/>
          <w:sz w:val="32"/>
          <w:szCs w:val="32"/>
          <w:highlight w:val="none"/>
          <w14:textFill>
            <w14:solidFill>
              <w14:schemeClr w14:val="tx1"/>
            </w14:solidFill>
          </w14:textFill>
        </w:rPr>
      </w:pPr>
      <w:bookmarkStart w:id="38" w:name="_Toc184635093"/>
      <w:r>
        <w:rPr>
          <w:rFonts w:hint="eastAsia" w:ascii="宋体" w:hAnsi="宋体"/>
          <w:b/>
          <w:color w:val="000000" w:themeColor="text1"/>
          <w:sz w:val="32"/>
          <w:szCs w:val="32"/>
          <w:highlight w:val="none"/>
          <w14:textFill>
            <w14:solidFill>
              <w14:schemeClr w14:val="tx1"/>
            </w14:solidFill>
          </w14:textFill>
        </w:rPr>
        <w:t>评审办法前附表</w:t>
      </w:r>
    </w:p>
    <w:p w14:paraId="28F28640">
      <w:pPr>
        <w:overflowPunct/>
        <w:bidi w:val="0"/>
        <w:spacing w:afterLines="50"/>
        <w:jc w:val="center"/>
        <w:outlineLvl w:val="9"/>
        <w:rPr>
          <w:rFonts w:hint="eastAsia" w:ascii="宋体" w:hAnsi="宋体" w:eastAsia="宋体"/>
          <w:b/>
          <w:color w:val="000000" w:themeColor="text1"/>
          <w:szCs w:val="21"/>
          <w:highlight w:val="none"/>
          <w:lang w:val="en-US" w:eastAsia="zh-CN"/>
          <w14:textFill>
            <w14:solidFill>
              <w14:schemeClr w14:val="tx1"/>
            </w14:solidFill>
          </w14:textFill>
        </w:rPr>
      </w:pPr>
      <w:r>
        <w:rPr>
          <w:rFonts w:hint="eastAsia" w:ascii="宋体" w:hAnsi="宋体"/>
          <w:b/>
          <w:color w:val="000000" w:themeColor="text1"/>
          <w:szCs w:val="21"/>
          <w:highlight w:val="none"/>
          <w14:textFill>
            <w14:solidFill>
              <w14:schemeClr w14:val="tx1"/>
            </w14:solidFill>
          </w14:textFill>
        </w:rPr>
        <w:t>初步评审</w:t>
      </w:r>
      <w:r>
        <w:rPr>
          <w:rFonts w:hint="eastAsia" w:ascii="宋体" w:hAnsi="宋体"/>
          <w:b/>
          <w:color w:val="000000" w:themeColor="text1"/>
          <w:szCs w:val="21"/>
          <w:highlight w:val="none"/>
          <w:lang w:val="en-US" w:eastAsia="zh-CN"/>
          <w14:textFill>
            <w14:solidFill>
              <w14:schemeClr w14:val="tx1"/>
            </w14:solidFill>
          </w14:textFill>
        </w:rPr>
        <w:t>标准</w:t>
      </w:r>
    </w:p>
    <w:tbl>
      <w:tblPr>
        <w:tblStyle w:val="38"/>
        <w:tblW w:w="9639" w:type="dxa"/>
        <w:tblInd w:w="108"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41"/>
        <w:gridCol w:w="1149"/>
        <w:gridCol w:w="1710"/>
        <w:gridCol w:w="6039"/>
      </w:tblGrid>
      <w:tr w14:paraId="58E9ADE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94" w:hRule="atLeast"/>
        </w:trPr>
        <w:tc>
          <w:tcPr>
            <w:tcW w:w="1890" w:type="dxa"/>
            <w:gridSpan w:val="2"/>
            <w:vAlign w:val="center"/>
          </w:tcPr>
          <w:p w14:paraId="1B9B4719">
            <w:pPr>
              <w:overflowPunct/>
              <w:bidi w:val="0"/>
              <w:jc w:val="center"/>
              <w:outlineLvl w:val="9"/>
              <w:rPr>
                <w:rFonts w:ascii="宋体" w:hAnsi="宋体"/>
                <w:color w:val="000000" w:themeColor="text1"/>
                <w:szCs w:val="21"/>
                <w:highlight w:val="none"/>
                <w14:textFill>
                  <w14:solidFill>
                    <w14:schemeClr w14:val="tx1"/>
                  </w14:solidFill>
                </w14:textFill>
              </w:rPr>
            </w:pPr>
            <w:r>
              <w:rPr>
                <w:rFonts w:hint="eastAsia" w:ascii="宋体" w:hAnsi="宋体"/>
                <w:color w:val="000000" w:themeColor="text1"/>
                <w:szCs w:val="21"/>
                <w:highlight w:val="none"/>
                <w14:textFill>
                  <w14:solidFill>
                    <w14:schemeClr w14:val="tx1"/>
                  </w14:solidFill>
                </w14:textFill>
              </w:rPr>
              <w:t>条款号</w:t>
            </w:r>
          </w:p>
        </w:tc>
        <w:tc>
          <w:tcPr>
            <w:tcW w:w="1710" w:type="dxa"/>
            <w:vAlign w:val="center"/>
          </w:tcPr>
          <w:p w14:paraId="2D0DC9CF">
            <w:pPr>
              <w:overflowPunct/>
              <w:bidi w:val="0"/>
              <w:jc w:val="center"/>
              <w:outlineLvl w:val="9"/>
              <w:rPr>
                <w:rFonts w:ascii="宋体" w:hAnsi="宋体"/>
                <w:color w:val="000000" w:themeColor="text1"/>
                <w:szCs w:val="21"/>
                <w:highlight w:val="none"/>
                <w14:textFill>
                  <w14:solidFill>
                    <w14:schemeClr w14:val="tx1"/>
                  </w14:solidFill>
                </w14:textFill>
              </w:rPr>
            </w:pPr>
            <w:r>
              <w:rPr>
                <w:rFonts w:hint="eastAsia" w:ascii="宋体" w:hAnsi="宋体"/>
                <w:color w:val="000000" w:themeColor="text1"/>
                <w:szCs w:val="21"/>
                <w:highlight w:val="none"/>
                <w14:textFill>
                  <w14:solidFill>
                    <w14:schemeClr w14:val="tx1"/>
                  </w14:solidFill>
                </w14:textFill>
              </w:rPr>
              <w:t>评审因素</w:t>
            </w:r>
          </w:p>
        </w:tc>
        <w:tc>
          <w:tcPr>
            <w:tcW w:w="6039" w:type="dxa"/>
            <w:vAlign w:val="center"/>
          </w:tcPr>
          <w:p w14:paraId="487FED17">
            <w:pPr>
              <w:overflowPunct/>
              <w:bidi w:val="0"/>
              <w:jc w:val="center"/>
              <w:outlineLvl w:val="9"/>
              <w:rPr>
                <w:rFonts w:ascii="宋体" w:hAnsi="宋体"/>
                <w:color w:val="000000" w:themeColor="text1"/>
                <w:szCs w:val="21"/>
                <w:highlight w:val="none"/>
                <w14:textFill>
                  <w14:solidFill>
                    <w14:schemeClr w14:val="tx1"/>
                  </w14:solidFill>
                </w14:textFill>
              </w:rPr>
            </w:pPr>
            <w:r>
              <w:rPr>
                <w:rFonts w:hint="eastAsia" w:ascii="宋体" w:hAnsi="宋体"/>
                <w:color w:val="000000" w:themeColor="text1"/>
                <w:szCs w:val="21"/>
                <w:highlight w:val="none"/>
                <w14:textFill>
                  <w14:solidFill>
                    <w14:schemeClr w14:val="tx1"/>
                  </w14:solidFill>
                </w14:textFill>
              </w:rPr>
              <w:t>评审标准</w:t>
            </w:r>
          </w:p>
        </w:tc>
      </w:tr>
      <w:tr w14:paraId="1CA58EB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41" w:type="dxa"/>
            <w:vMerge w:val="restart"/>
            <w:vAlign w:val="center"/>
          </w:tcPr>
          <w:p w14:paraId="5E748101">
            <w:pPr>
              <w:overflowPunct/>
              <w:bidi w:val="0"/>
              <w:jc w:val="center"/>
              <w:outlineLvl w:val="9"/>
              <w:rPr>
                <w:rFonts w:hint="eastAsia" w:ascii="宋体" w:hAnsi="宋体" w:eastAsia="宋体"/>
                <w:color w:val="000000" w:themeColor="text1"/>
                <w:szCs w:val="21"/>
                <w:highlight w:val="none"/>
                <w:lang w:val="en-US" w:eastAsia="zh-CN"/>
                <w14:textFill>
                  <w14:solidFill>
                    <w14:schemeClr w14:val="tx1"/>
                  </w14:solidFill>
                </w14:textFill>
              </w:rPr>
            </w:pPr>
            <w:r>
              <w:rPr>
                <w:rFonts w:hint="eastAsia" w:ascii="宋体" w:hAnsi="宋体"/>
                <w:color w:val="000000" w:themeColor="text1"/>
                <w:szCs w:val="21"/>
                <w:highlight w:val="none"/>
                <w14:textFill>
                  <w14:solidFill>
                    <w14:schemeClr w14:val="tx1"/>
                  </w14:solidFill>
                </w14:textFill>
              </w:rPr>
              <w:t>2.1.</w:t>
            </w:r>
            <w:r>
              <w:rPr>
                <w:rFonts w:hint="eastAsia" w:ascii="宋体" w:hAnsi="宋体"/>
                <w:color w:val="000000" w:themeColor="text1"/>
                <w:szCs w:val="21"/>
                <w:highlight w:val="none"/>
                <w:lang w:val="en-US" w:eastAsia="zh-CN"/>
                <w14:textFill>
                  <w14:solidFill>
                    <w14:schemeClr w14:val="tx1"/>
                  </w14:solidFill>
                </w14:textFill>
              </w:rPr>
              <w:t>1</w:t>
            </w:r>
          </w:p>
        </w:tc>
        <w:tc>
          <w:tcPr>
            <w:tcW w:w="1149" w:type="dxa"/>
            <w:vMerge w:val="restart"/>
            <w:vAlign w:val="center"/>
          </w:tcPr>
          <w:p w14:paraId="574EEB7F">
            <w:pPr>
              <w:overflowPunct/>
              <w:bidi w:val="0"/>
              <w:jc w:val="center"/>
              <w:outlineLvl w:val="9"/>
              <w:rPr>
                <w:rFonts w:ascii="宋体" w:hAnsi="宋体"/>
                <w:color w:val="000000" w:themeColor="text1"/>
                <w:szCs w:val="21"/>
                <w:highlight w:val="none"/>
                <w14:textFill>
                  <w14:solidFill>
                    <w14:schemeClr w14:val="tx1"/>
                  </w14:solidFill>
                </w14:textFill>
              </w:rPr>
            </w:pPr>
            <w:r>
              <w:rPr>
                <w:rFonts w:hint="eastAsia" w:ascii="宋体" w:hAnsi="宋体"/>
                <w:color w:val="000000" w:themeColor="text1"/>
                <w:szCs w:val="21"/>
                <w:highlight w:val="none"/>
                <w14:textFill>
                  <w14:solidFill>
                    <w14:schemeClr w14:val="tx1"/>
                  </w14:solidFill>
                </w14:textFill>
              </w:rPr>
              <w:t>资格评审标  准</w:t>
            </w:r>
          </w:p>
        </w:tc>
        <w:tc>
          <w:tcPr>
            <w:tcW w:w="1710" w:type="dxa"/>
            <w:vAlign w:val="center"/>
          </w:tcPr>
          <w:p w14:paraId="7E5C4E6D">
            <w:pPr>
              <w:overflowPunct/>
              <w:bidi w:val="0"/>
              <w:jc w:val="center"/>
              <w:outlineLvl w:val="9"/>
              <w:rPr>
                <w:rFonts w:ascii="宋体" w:hAnsi="宋体"/>
                <w:color w:val="000000" w:themeColor="text1"/>
                <w:szCs w:val="21"/>
                <w:highlight w:val="none"/>
                <w14:textFill>
                  <w14:solidFill>
                    <w14:schemeClr w14:val="tx1"/>
                  </w14:solidFill>
                </w14:textFill>
              </w:rPr>
            </w:pPr>
            <w:r>
              <w:rPr>
                <w:rFonts w:hint="eastAsia" w:ascii="宋体" w:hAnsi="宋体"/>
                <w:color w:val="000000" w:themeColor="text1"/>
                <w:szCs w:val="21"/>
                <w:highlight w:val="none"/>
                <w14:textFill>
                  <w14:solidFill>
                    <w14:schemeClr w14:val="tx1"/>
                  </w14:solidFill>
                </w14:textFill>
              </w:rPr>
              <w:t>营业执照</w:t>
            </w:r>
          </w:p>
        </w:tc>
        <w:tc>
          <w:tcPr>
            <w:tcW w:w="6039" w:type="dxa"/>
            <w:vAlign w:val="center"/>
          </w:tcPr>
          <w:p w14:paraId="47048385">
            <w:pPr>
              <w:overflowPunct/>
              <w:bidi w:val="0"/>
              <w:outlineLvl w:val="9"/>
              <w:rPr>
                <w:rFonts w:hint="eastAsia" w:ascii="宋体" w:hAnsi="宋体" w:eastAsia="宋体" w:cs="宋体"/>
                <w:color w:val="000000" w:themeColor="text1"/>
                <w:szCs w:val="21"/>
                <w:highlight w:val="none"/>
                <w14:textFill>
                  <w14:solidFill>
                    <w14:schemeClr w14:val="tx1"/>
                  </w14:solidFill>
                </w14:textFill>
              </w:rPr>
            </w:pPr>
            <w:r>
              <w:rPr>
                <w:rFonts w:hint="eastAsia" w:ascii="宋体" w:hAnsi="宋体" w:eastAsia="宋体" w:cs="宋体"/>
                <w:color w:val="000000" w:themeColor="text1"/>
                <w:szCs w:val="21"/>
                <w:highlight w:val="none"/>
                <w14:textFill>
                  <w14:solidFill>
                    <w14:schemeClr w14:val="tx1"/>
                  </w14:solidFill>
                </w14:textFill>
              </w:rPr>
              <w:t>具备有效的营业执照</w:t>
            </w:r>
          </w:p>
          <w:p w14:paraId="5286A15E">
            <w:pPr>
              <w:overflowPunct/>
              <w:bidi w:val="0"/>
              <w:outlineLvl w:val="9"/>
              <w:rPr>
                <w:rFonts w:ascii="宋体" w:hAnsi="宋体"/>
                <w:b w:val="0"/>
                <w:bCs w:val="0"/>
                <w:color w:val="000000" w:themeColor="text1"/>
                <w:szCs w:val="21"/>
                <w:highlight w:val="none"/>
                <w14:textFill>
                  <w14:solidFill>
                    <w14:schemeClr w14:val="tx1"/>
                  </w14:solidFill>
                </w14:textFill>
              </w:rPr>
            </w:pPr>
            <w:r>
              <w:rPr>
                <w:rFonts w:hint="eastAsia" w:ascii="宋体" w:hAnsi="宋体" w:eastAsia="宋体" w:cs="宋体"/>
                <w:color w:val="000000" w:themeColor="text1"/>
                <w:szCs w:val="21"/>
                <w:highlight w:val="none"/>
                <w14:textFill>
                  <w14:solidFill>
                    <w14:schemeClr w14:val="tx1"/>
                  </w14:solidFill>
                </w14:textFill>
              </w:rPr>
              <w:t>（提供营业执照副本</w:t>
            </w:r>
            <w:r>
              <w:rPr>
                <w:rFonts w:hint="eastAsia" w:ascii="宋体" w:hAnsi="宋体" w:eastAsia="宋体" w:cs="宋体"/>
                <w:color w:val="000000" w:themeColor="text1"/>
                <w:szCs w:val="21"/>
                <w:highlight w:val="none"/>
                <w:lang w:val="en-US" w:eastAsia="zh-CN"/>
                <w14:textFill>
                  <w14:solidFill>
                    <w14:schemeClr w14:val="tx1"/>
                  </w14:solidFill>
                </w14:textFill>
              </w:rPr>
              <w:t>复印件</w:t>
            </w:r>
            <w:r>
              <w:rPr>
                <w:rFonts w:hint="eastAsia" w:ascii="宋体" w:hAnsi="宋体" w:eastAsia="宋体" w:cs="宋体"/>
                <w:color w:val="000000" w:themeColor="text1"/>
                <w:szCs w:val="21"/>
                <w:highlight w:val="none"/>
                <w14:textFill>
                  <w14:solidFill>
                    <w14:schemeClr w14:val="tx1"/>
                  </w14:solidFill>
                </w14:textFill>
              </w:rPr>
              <w:t>加盖公章）。</w:t>
            </w:r>
          </w:p>
        </w:tc>
      </w:tr>
      <w:tr w14:paraId="1D4D5E8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93" w:hRule="atLeast"/>
        </w:trPr>
        <w:tc>
          <w:tcPr>
            <w:tcW w:w="741" w:type="dxa"/>
            <w:vMerge w:val="continue"/>
            <w:vAlign w:val="center"/>
          </w:tcPr>
          <w:p w14:paraId="32B89323">
            <w:pPr>
              <w:overflowPunct/>
              <w:bidi w:val="0"/>
              <w:jc w:val="center"/>
              <w:outlineLvl w:val="9"/>
              <w:rPr>
                <w:rFonts w:ascii="宋体" w:hAnsi="宋体"/>
                <w:color w:val="000000" w:themeColor="text1"/>
                <w:szCs w:val="21"/>
                <w:highlight w:val="none"/>
                <w14:textFill>
                  <w14:solidFill>
                    <w14:schemeClr w14:val="tx1"/>
                  </w14:solidFill>
                </w14:textFill>
              </w:rPr>
            </w:pPr>
          </w:p>
        </w:tc>
        <w:tc>
          <w:tcPr>
            <w:tcW w:w="1149" w:type="dxa"/>
            <w:vMerge w:val="continue"/>
            <w:vAlign w:val="center"/>
          </w:tcPr>
          <w:p w14:paraId="1E35CA26">
            <w:pPr>
              <w:overflowPunct/>
              <w:bidi w:val="0"/>
              <w:jc w:val="center"/>
              <w:outlineLvl w:val="9"/>
              <w:rPr>
                <w:rFonts w:ascii="宋体" w:hAnsi="宋体"/>
                <w:color w:val="000000" w:themeColor="text1"/>
                <w:szCs w:val="21"/>
                <w:highlight w:val="none"/>
                <w14:textFill>
                  <w14:solidFill>
                    <w14:schemeClr w14:val="tx1"/>
                  </w14:solidFill>
                </w14:textFill>
              </w:rPr>
            </w:pPr>
          </w:p>
        </w:tc>
        <w:tc>
          <w:tcPr>
            <w:tcW w:w="1710" w:type="dxa"/>
            <w:vAlign w:val="center"/>
          </w:tcPr>
          <w:p w14:paraId="202F48FD">
            <w:pPr>
              <w:pStyle w:val="106"/>
              <w:overflowPunct/>
              <w:bidi w:val="0"/>
              <w:spacing w:line="240" w:lineRule="auto"/>
              <w:jc w:val="center"/>
              <w:outlineLvl w:val="9"/>
              <w:rPr>
                <w:rFonts w:hint="eastAsia" w:ascii="宋体" w:hAnsi="宋体"/>
                <w:color w:val="000000" w:themeColor="text1"/>
                <w:szCs w:val="21"/>
                <w:highlight w:val="none"/>
                <w14:textFill>
                  <w14:solidFill>
                    <w14:schemeClr w14:val="tx1"/>
                  </w14:solidFill>
                </w14:textFill>
              </w:rPr>
            </w:pPr>
            <w:r>
              <w:rPr>
                <w:rFonts w:hint="eastAsia" w:ascii="宋体" w:hAnsi="宋体"/>
                <w:color w:val="000000" w:themeColor="text1"/>
                <w:szCs w:val="21"/>
                <w:highlight w:val="none"/>
                <w14:textFill>
                  <w14:solidFill>
                    <w14:schemeClr w14:val="tx1"/>
                  </w14:solidFill>
                </w14:textFill>
              </w:rPr>
              <w:t>落实政府采购政策需满足的资格要求</w:t>
            </w:r>
          </w:p>
        </w:tc>
        <w:tc>
          <w:tcPr>
            <w:tcW w:w="6039" w:type="dxa"/>
            <w:vAlign w:val="center"/>
          </w:tcPr>
          <w:p w14:paraId="74DC78E3">
            <w:pPr>
              <w:overflowPunct/>
              <w:autoSpaceDE w:val="0"/>
              <w:autoSpaceDN w:val="0"/>
              <w:bidi w:val="0"/>
              <w:adjustRightInd w:val="0"/>
              <w:spacing w:line="240" w:lineRule="auto"/>
              <w:jc w:val="both"/>
              <w:outlineLvl w:val="9"/>
              <w:rPr>
                <w:rFonts w:hint="eastAsia" w:ascii="宋体" w:hAnsi="宋体"/>
                <w:b w:val="0"/>
                <w:bCs w:val="0"/>
                <w:color w:val="000000" w:themeColor="text1"/>
                <w:highlight w:val="none"/>
                <w14:textFill>
                  <w14:solidFill>
                    <w14:schemeClr w14:val="tx1"/>
                  </w14:solidFill>
                </w14:textFill>
              </w:rPr>
            </w:pPr>
            <w:r>
              <w:rPr>
                <w:rFonts w:hint="eastAsia" w:ascii="宋体" w:hAnsi="宋体"/>
                <w:b w:val="0"/>
                <w:bCs w:val="0"/>
                <w:color w:val="000000" w:themeColor="text1"/>
                <w:highlight w:val="none"/>
                <w14:textFill>
                  <w14:solidFill>
                    <w14:schemeClr w14:val="tx1"/>
                  </w14:solidFill>
                </w14:textFill>
              </w:rPr>
              <w:t>本项目</w:t>
            </w:r>
            <w:r>
              <w:rPr>
                <w:rFonts w:hint="eastAsia" w:ascii="宋体" w:hAnsi="宋体"/>
                <w:b w:val="0"/>
                <w:bCs w:val="0"/>
                <w:color w:val="000000" w:themeColor="text1"/>
                <w:highlight w:val="none"/>
                <w:lang w:eastAsia="zh-CN"/>
                <w14:textFill>
                  <w14:solidFill>
                    <w14:schemeClr w14:val="tx1"/>
                  </w14:solidFill>
                </w14:textFill>
              </w:rPr>
              <w:t>不</w:t>
            </w:r>
            <w:r>
              <w:rPr>
                <w:rFonts w:hint="eastAsia" w:ascii="宋体" w:hAnsi="宋体"/>
                <w:b w:val="0"/>
                <w:bCs w:val="0"/>
                <w:color w:val="000000" w:themeColor="text1"/>
                <w:highlight w:val="none"/>
                <w14:textFill>
                  <w14:solidFill>
                    <w14:schemeClr w14:val="tx1"/>
                  </w14:solidFill>
                </w14:textFill>
              </w:rPr>
              <w:t>专门面向中小企业采购</w:t>
            </w:r>
            <w:r>
              <w:rPr>
                <w:rFonts w:hint="eastAsia" w:ascii="宋体" w:hAnsi="宋体"/>
                <w:b w:val="0"/>
                <w:bCs w:val="0"/>
                <w:color w:val="000000" w:themeColor="text1"/>
                <w:highlight w:val="none"/>
                <w:lang w:eastAsia="zh-CN"/>
                <w14:textFill>
                  <w14:solidFill>
                    <w14:schemeClr w14:val="tx1"/>
                  </w14:solidFill>
                </w14:textFill>
              </w:rPr>
              <w:t>。</w:t>
            </w:r>
            <w:r>
              <w:rPr>
                <w:rFonts w:hint="eastAsia" w:ascii="宋体" w:hAnsi="宋体"/>
                <w:b w:val="0"/>
                <w:bCs w:val="0"/>
                <w:color w:val="000000" w:themeColor="text1"/>
                <w:highlight w:val="none"/>
                <w14:textFill>
                  <w14:solidFill>
                    <w14:schemeClr w14:val="tx1"/>
                  </w14:solidFill>
                </w14:textFill>
              </w:rPr>
              <w:t>本项目中小企业划分标准所属行业为：</w:t>
            </w:r>
            <w:r>
              <w:rPr>
                <w:rFonts w:hint="eastAsia" w:ascii="宋体" w:hAnsi="宋体"/>
                <w:b w:val="0"/>
                <w:bCs w:val="0"/>
                <w:color w:val="000000" w:themeColor="text1"/>
                <w:highlight w:val="none"/>
                <w:lang w:val="en-US" w:eastAsia="zh-CN"/>
                <w14:textFill>
                  <w14:solidFill>
                    <w14:schemeClr w14:val="tx1"/>
                  </w14:solidFill>
                </w14:textFill>
              </w:rPr>
              <w:t>工业</w:t>
            </w:r>
            <w:r>
              <w:rPr>
                <w:rFonts w:hint="eastAsia" w:ascii="宋体" w:hAnsi="宋体"/>
                <w:b w:val="0"/>
                <w:bCs w:val="0"/>
                <w:color w:val="000000" w:themeColor="text1"/>
                <w:highlight w:val="none"/>
                <w14:textFill>
                  <w14:solidFill>
                    <w14:schemeClr w14:val="tx1"/>
                  </w14:solidFill>
                </w14:textFill>
              </w:rPr>
              <w:t>。</w:t>
            </w:r>
          </w:p>
          <w:p w14:paraId="15262C29">
            <w:pPr>
              <w:overflowPunct/>
              <w:autoSpaceDE w:val="0"/>
              <w:autoSpaceDN w:val="0"/>
              <w:bidi w:val="0"/>
              <w:adjustRightInd w:val="0"/>
              <w:spacing w:line="240" w:lineRule="auto"/>
              <w:jc w:val="both"/>
              <w:outlineLvl w:val="9"/>
              <w:rPr>
                <w:rFonts w:hint="eastAsia" w:ascii="宋体" w:hAnsi="宋体"/>
                <w:b w:val="0"/>
                <w:bCs w:val="0"/>
                <w:color w:val="000000" w:themeColor="text1"/>
                <w:highlight w:val="none"/>
                <w14:textFill>
                  <w14:solidFill>
                    <w14:schemeClr w14:val="tx1"/>
                  </w14:solidFill>
                </w14:textFill>
              </w:rPr>
            </w:pPr>
            <w:r>
              <w:rPr>
                <w:rFonts w:hint="eastAsia" w:ascii="宋体" w:hAnsi="宋体"/>
                <w:b w:val="0"/>
                <w:bCs w:val="0"/>
                <w:color w:val="000000" w:themeColor="text1"/>
                <w:highlight w:val="none"/>
                <w14:textFill>
                  <w14:solidFill>
                    <w14:schemeClr w14:val="tx1"/>
                  </w14:solidFill>
                </w14:textFill>
              </w:rPr>
              <w:t>提供中小企业声明函或残疾人福利性单位、监狱企业证明原件于投标文件正本内。</w:t>
            </w:r>
          </w:p>
        </w:tc>
      </w:tr>
      <w:tr w14:paraId="4B3160F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93" w:hRule="atLeast"/>
        </w:trPr>
        <w:tc>
          <w:tcPr>
            <w:tcW w:w="741" w:type="dxa"/>
            <w:vMerge w:val="continue"/>
            <w:vAlign w:val="center"/>
          </w:tcPr>
          <w:p w14:paraId="7A5A4A24">
            <w:pPr>
              <w:overflowPunct/>
              <w:bidi w:val="0"/>
              <w:jc w:val="center"/>
              <w:outlineLvl w:val="9"/>
              <w:rPr>
                <w:rFonts w:ascii="宋体" w:hAnsi="宋体"/>
                <w:color w:val="000000" w:themeColor="text1"/>
                <w:szCs w:val="21"/>
                <w:highlight w:val="none"/>
                <w14:textFill>
                  <w14:solidFill>
                    <w14:schemeClr w14:val="tx1"/>
                  </w14:solidFill>
                </w14:textFill>
              </w:rPr>
            </w:pPr>
          </w:p>
        </w:tc>
        <w:tc>
          <w:tcPr>
            <w:tcW w:w="1149" w:type="dxa"/>
            <w:vMerge w:val="continue"/>
            <w:vAlign w:val="center"/>
          </w:tcPr>
          <w:p w14:paraId="271126B3">
            <w:pPr>
              <w:overflowPunct/>
              <w:bidi w:val="0"/>
              <w:jc w:val="center"/>
              <w:outlineLvl w:val="9"/>
              <w:rPr>
                <w:rFonts w:ascii="宋体" w:hAnsi="宋体"/>
                <w:color w:val="000000" w:themeColor="text1"/>
                <w:szCs w:val="21"/>
                <w:highlight w:val="none"/>
                <w14:textFill>
                  <w14:solidFill>
                    <w14:schemeClr w14:val="tx1"/>
                  </w14:solidFill>
                </w14:textFill>
              </w:rPr>
            </w:pPr>
          </w:p>
        </w:tc>
        <w:tc>
          <w:tcPr>
            <w:tcW w:w="1710" w:type="dxa"/>
            <w:shd w:val="clear" w:color="auto" w:fill="auto"/>
            <w:vAlign w:val="center"/>
          </w:tcPr>
          <w:p w14:paraId="2679E14A">
            <w:pPr>
              <w:pStyle w:val="106"/>
              <w:overflowPunct/>
              <w:bidi w:val="0"/>
              <w:spacing w:line="240" w:lineRule="auto"/>
              <w:jc w:val="center"/>
              <w:outlineLvl w:val="9"/>
              <w:rPr>
                <w:rFonts w:hint="eastAsia" w:ascii="宋体" w:hAnsi="宋体" w:eastAsia="宋体" w:cs="宋体"/>
                <w:color w:val="000000" w:themeColor="text1"/>
                <w:kern w:val="2"/>
                <w:sz w:val="21"/>
                <w:szCs w:val="21"/>
                <w:highlight w:val="none"/>
                <w:lang w:val="en-US" w:eastAsia="zh-CN" w:bidi="ar-SA"/>
                <w14:textFill>
                  <w14:solidFill>
                    <w14:schemeClr w14:val="tx1"/>
                  </w14:solidFill>
                </w14:textFill>
              </w:rPr>
            </w:pPr>
            <w:r>
              <w:rPr>
                <w:rFonts w:hint="eastAsia" w:ascii="宋体" w:hAnsi="宋体" w:cs="宋体"/>
                <w:color w:val="000000" w:themeColor="text1"/>
                <w:szCs w:val="21"/>
                <w:highlight w:val="none"/>
                <w:lang w:eastAsia="zh-CN"/>
                <w14:textFill>
                  <w14:solidFill>
                    <w14:schemeClr w14:val="tx1"/>
                  </w14:solidFill>
                </w14:textFill>
              </w:rPr>
              <w:t>资格条件承诺函及信用承诺书</w:t>
            </w:r>
          </w:p>
        </w:tc>
        <w:tc>
          <w:tcPr>
            <w:tcW w:w="6039" w:type="dxa"/>
            <w:shd w:val="clear" w:color="auto" w:fill="auto"/>
            <w:vAlign w:val="center"/>
          </w:tcPr>
          <w:p w14:paraId="171C055F">
            <w:pPr>
              <w:overflowPunct/>
              <w:autoSpaceDE w:val="0"/>
              <w:autoSpaceDN w:val="0"/>
              <w:bidi w:val="0"/>
              <w:adjustRightInd w:val="0"/>
              <w:spacing w:line="240" w:lineRule="auto"/>
              <w:jc w:val="both"/>
              <w:outlineLvl w:val="9"/>
              <w:rPr>
                <w:rFonts w:hint="eastAsia" w:ascii="宋体" w:hAnsi="宋体" w:eastAsia="宋体" w:cs="宋体"/>
                <w:color w:val="000000" w:themeColor="text1"/>
                <w:szCs w:val="21"/>
                <w:highlight w:val="none"/>
                <w:lang w:eastAsia="zh-CN"/>
                <w14:textFill>
                  <w14:solidFill>
                    <w14:schemeClr w14:val="tx1"/>
                  </w14:solidFill>
                </w14:textFill>
              </w:rPr>
            </w:pPr>
            <w:r>
              <w:rPr>
                <w:rFonts w:hint="eastAsia" w:hAnsi="宋体" w:cs="宋体"/>
                <w:color w:val="000000" w:themeColor="text1"/>
                <w:szCs w:val="21"/>
                <w:highlight w:val="none"/>
                <w:lang w:eastAsia="zh-CN"/>
                <w14:textFill>
                  <w14:solidFill>
                    <w14:schemeClr w14:val="tx1"/>
                  </w14:solidFill>
                </w14:textFill>
              </w:rPr>
              <w:t>供应商应按照磋商文件要求在响应文件中提交反映其财务状况、依法缴纳税收和社保保障资金情况的资格条件承诺函，并对资格条件承诺函有关内容的真实性、有效性、合法性负责</w:t>
            </w:r>
            <w:r>
              <w:rPr>
                <w:rFonts w:hint="eastAsia" w:ascii="宋体" w:hAnsi="宋体" w:cs="宋体"/>
                <w:color w:val="000000" w:themeColor="text1"/>
                <w:szCs w:val="21"/>
                <w:highlight w:val="none"/>
                <w:lang w:eastAsia="zh-CN"/>
                <w14:textFill>
                  <w14:solidFill>
                    <w14:schemeClr w14:val="tx1"/>
                  </w14:solidFill>
                </w14:textFill>
              </w:rPr>
              <w:t>；</w:t>
            </w:r>
          </w:p>
          <w:p w14:paraId="0B073058">
            <w:pPr>
              <w:overflowPunct/>
              <w:autoSpaceDE w:val="0"/>
              <w:autoSpaceDN w:val="0"/>
              <w:bidi w:val="0"/>
              <w:adjustRightInd w:val="0"/>
              <w:spacing w:line="240" w:lineRule="auto"/>
              <w:jc w:val="both"/>
              <w:outlineLvl w:val="9"/>
              <w:rPr>
                <w:rFonts w:hint="eastAsia" w:ascii="宋体" w:hAnsi="宋体" w:eastAsia="宋体" w:cs="Times New Roman"/>
                <w:b w:val="0"/>
                <w:bCs w:val="0"/>
                <w:color w:val="000000" w:themeColor="text1"/>
                <w:kern w:val="2"/>
                <w:sz w:val="21"/>
                <w:szCs w:val="24"/>
                <w:highlight w:val="none"/>
                <w:lang w:val="zh-CN" w:eastAsia="zh-CN" w:bidi="ar-SA"/>
                <w14:textFill>
                  <w14:solidFill>
                    <w14:schemeClr w14:val="tx1"/>
                  </w14:solidFill>
                </w14:textFill>
              </w:rPr>
            </w:pPr>
            <w:r>
              <w:rPr>
                <w:rFonts w:hint="eastAsia" w:ascii="Times New Roman" w:hAnsi="Times New Roman" w:eastAsia="宋体" w:cs="Times New Roman"/>
                <w:b/>
                <w:bCs/>
                <w:color w:val="000000" w:themeColor="text1"/>
                <w:highlight w:val="none"/>
                <w:lang w:val="zh-CN" w:eastAsia="zh-CN"/>
                <w14:textFill>
                  <w14:solidFill>
                    <w14:schemeClr w14:val="tx1"/>
                  </w14:solidFill>
                </w14:textFill>
              </w:rPr>
              <w:t>响应文件中提供由法定代表人或其授权委托人签字并加盖公章的</w:t>
            </w:r>
            <w:r>
              <w:rPr>
                <w:rFonts w:hint="eastAsia" w:hAnsi="宋体" w:cs="宋体"/>
                <w:b/>
                <w:bCs/>
                <w:color w:val="000000" w:themeColor="text1"/>
                <w:szCs w:val="21"/>
                <w:highlight w:val="none"/>
                <w:lang w:eastAsia="zh-CN"/>
                <w14:textFill>
                  <w14:solidFill>
                    <w14:schemeClr w14:val="tx1"/>
                  </w14:solidFill>
                </w14:textFill>
              </w:rPr>
              <w:t>资格条件承诺函及符合提供资格条件承诺函的信用承诺书</w:t>
            </w:r>
            <w:r>
              <w:rPr>
                <w:rFonts w:hint="eastAsia" w:ascii="Times New Roman" w:hAnsi="Times New Roman" w:eastAsia="宋体" w:cs="Times New Roman"/>
                <w:b/>
                <w:bCs/>
                <w:color w:val="000000" w:themeColor="text1"/>
                <w:highlight w:val="none"/>
                <w:lang w:val="zh-CN" w:eastAsia="zh-CN"/>
                <w14:textFill>
                  <w14:solidFill>
                    <w14:schemeClr w14:val="tx1"/>
                  </w14:solidFill>
                </w14:textFill>
              </w:rPr>
              <w:t>。</w:t>
            </w:r>
          </w:p>
        </w:tc>
      </w:tr>
      <w:tr w14:paraId="4605124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35" w:hRule="atLeast"/>
        </w:trPr>
        <w:tc>
          <w:tcPr>
            <w:tcW w:w="741" w:type="dxa"/>
            <w:vMerge w:val="continue"/>
            <w:vAlign w:val="center"/>
          </w:tcPr>
          <w:p w14:paraId="3D8F0875">
            <w:pPr>
              <w:overflowPunct/>
              <w:bidi w:val="0"/>
              <w:jc w:val="center"/>
              <w:outlineLvl w:val="9"/>
              <w:rPr>
                <w:rFonts w:ascii="宋体" w:hAnsi="宋体"/>
                <w:color w:val="000000" w:themeColor="text1"/>
                <w:szCs w:val="21"/>
                <w:highlight w:val="none"/>
                <w14:textFill>
                  <w14:solidFill>
                    <w14:schemeClr w14:val="tx1"/>
                  </w14:solidFill>
                </w14:textFill>
              </w:rPr>
            </w:pPr>
          </w:p>
        </w:tc>
        <w:tc>
          <w:tcPr>
            <w:tcW w:w="1149" w:type="dxa"/>
            <w:vMerge w:val="continue"/>
            <w:vAlign w:val="center"/>
          </w:tcPr>
          <w:p w14:paraId="372C1103">
            <w:pPr>
              <w:overflowPunct/>
              <w:bidi w:val="0"/>
              <w:jc w:val="center"/>
              <w:outlineLvl w:val="9"/>
              <w:rPr>
                <w:rFonts w:ascii="宋体" w:hAnsi="宋体"/>
                <w:color w:val="000000" w:themeColor="text1"/>
                <w:szCs w:val="21"/>
                <w:highlight w:val="none"/>
                <w14:textFill>
                  <w14:solidFill>
                    <w14:schemeClr w14:val="tx1"/>
                  </w14:solidFill>
                </w14:textFill>
              </w:rPr>
            </w:pPr>
          </w:p>
        </w:tc>
        <w:tc>
          <w:tcPr>
            <w:tcW w:w="1710" w:type="dxa"/>
            <w:vAlign w:val="center"/>
          </w:tcPr>
          <w:p w14:paraId="43276B5F">
            <w:pPr>
              <w:tabs>
                <w:tab w:val="left" w:pos="200"/>
              </w:tabs>
              <w:overflowPunct/>
              <w:bidi w:val="0"/>
              <w:jc w:val="center"/>
              <w:outlineLvl w:val="9"/>
              <w:rPr>
                <w:rFonts w:hint="default" w:ascii="宋体" w:hAnsi="宋体" w:eastAsia="宋体"/>
                <w:color w:val="000000" w:themeColor="text1"/>
                <w:highlight w:val="none"/>
                <w:lang w:val="en-US" w:eastAsia="zh-CN"/>
                <w14:textFill>
                  <w14:solidFill>
                    <w14:schemeClr w14:val="tx1"/>
                  </w14:solidFill>
                </w14:textFill>
              </w:rPr>
            </w:pPr>
            <w:r>
              <w:rPr>
                <w:rFonts w:hint="eastAsia" w:ascii="宋体" w:hAnsi="宋体"/>
                <w:color w:val="000000" w:themeColor="text1"/>
                <w:highlight w:val="none"/>
                <w:lang w:val="en-US" w:eastAsia="zh-CN"/>
                <w14:textFill>
                  <w14:solidFill>
                    <w14:schemeClr w14:val="tx1"/>
                  </w14:solidFill>
                </w14:textFill>
              </w:rPr>
              <w:t>联合体要求</w:t>
            </w:r>
          </w:p>
        </w:tc>
        <w:tc>
          <w:tcPr>
            <w:tcW w:w="6039" w:type="dxa"/>
            <w:vAlign w:val="center"/>
          </w:tcPr>
          <w:p w14:paraId="270711EC">
            <w:pPr>
              <w:overflowPunct/>
              <w:bidi w:val="0"/>
              <w:outlineLvl w:val="9"/>
              <w:rPr>
                <w:rFonts w:hint="default" w:ascii="宋体" w:hAnsi="宋体" w:eastAsia="宋体"/>
                <w:b w:val="0"/>
                <w:bCs w:val="0"/>
                <w:color w:val="000000" w:themeColor="text1"/>
                <w:highlight w:val="none"/>
                <w:lang w:val="en-US" w:eastAsia="zh-CN"/>
                <w14:textFill>
                  <w14:solidFill>
                    <w14:schemeClr w14:val="tx1"/>
                  </w14:solidFill>
                </w14:textFill>
              </w:rPr>
            </w:pPr>
            <w:r>
              <w:rPr>
                <w:rFonts w:hint="eastAsia" w:ascii="宋体" w:hAnsi="宋体"/>
                <w:b w:val="0"/>
                <w:bCs w:val="0"/>
                <w:color w:val="000000" w:themeColor="text1"/>
                <w:highlight w:val="none"/>
                <w:lang w:val="en-US" w:eastAsia="zh-CN"/>
                <w14:textFill>
                  <w14:solidFill>
                    <w14:schemeClr w14:val="tx1"/>
                  </w14:solidFill>
                </w14:textFill>
              </w:rPr>
              <w:t>供应商不得为联合体</w:t>
            </w:r>
          </w:p>
        </w:tc>
      </w:tr>
      <w:tr w14:paraId="6BA17DA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35" w:hRule="atLeast"/>
        </w:trPr>
        <w:tc>
          <w:tcPr>
            <w:tcW w:w="741" w:type="dxa"/>
            <w:vMerge w:val="continue"/>
            <w:vAlign w:val="center"/>
          </w:tcPr>
          <w:p w14:paraId="39EA0813">
            <w:pPr>
              <w:overflowPunct/>
              <w:bidi w:val="0"/>
              <w:jc w:val="center"/>
              <w:outlineLvl w:val="9"/>
              <w:rPr>
                <w:rFonts w:ascii="宋体" w:hAnsi="宋体"/>
                <w:color w:val="000000" w:themeColor="text1"/>
                <w:szCs w:val="21"/>
                <w:highlight w:val="none"/>
                <w14:textFill>
                  <w14:solidFill>
                    <w14:schemeClr w14:val="tx1"/>
                  </w14:solidFill>
                </w14:textFill>
              </w:rPr>
            </w:pPr>
          </w:p>
        </w:tc>
        <w:tc>
          <w:tcPr>
            <w:tcW w:w="1149" w:type="dxa"/>
            <w:vMerge w:val="continue"/>
            <w:vAlign w:val="center"/>
          </w:tcPr>
          <w:p w14:paraId="0DB6B15B">
            <w:pPr>
              <w:overflowPunct/>
              <w:bidi w:val="0"/>
              <w:jc w:val="center"/>
              <w:outlineLvl w:val="9"/>
              <w:rPr>
                <w:rFonts w:ascii="宋体" w:hAnsi="宋体"/>
                <w:color w:val="000000" w:themeColor="text1"/>
                <w:szCs w:val="21"/>
                <w:highlight w:val="none"/>
                <w14:textFill>
                  <w14:solidFill>
                    <w14:schemeClr w14:val="tx1"/>
                  </w14:solidFill>
                </w14:textFill>
              </w:rPr>
            </w:pPr>
          </w:p>
        </w:tc>
        <w:tc>
          <w:tcPr>
            <w:tcW w:w="1710" w:type="dxa"/>
            <w:vAlign w:val="center"/>
          </w:tcPr>
          <w:p w14:paraId="4173772B">
            <w:pPr>
              <w:overflowPunct/>
              <w:bidi w:val="0"/>
              <w:jc w:val="center"/>
              <w:outlineLvl w:val="9"/>
              <w:rPr>
                <w:rFonts w:hint="eastAsia" w:ascii="宋体" w:hAnsi="宋体" w:eastAsia="宋体" w:cs="Times New Roman"/>
                <w:color w:val="000000" w:themeColor="text1"/>
                <w:szCs w:val="21"/>
                <w:highlight w:val="none"/>
                <w:lang w:val="en-US" w:eastAsia="zh-CN"/>
                <w14:textFill>
                  <w14:solidFill>
                    <w14:schemeClr w14:val="tx1"/>
                  </w14:solidFill>
                </w14:textFill>
              </w:rPr>
            </w:pPr>
            <w:r>
              <w:rPr>
                <w:rFonts w:hint="eastAsia" w:ascii="宋体" w:hAnsi="宋体"/>
                <w:color w:val="000000" w:themeColor="text1"/>
                <w:szCs w:val="21"/>
                <w:highlight w:val="none"/>
                <w14:textFill>
                  <w14:solidFill>
                    <w14:schemeClr w14:val="tx1"/>
                  </w14:solidFill>
                </w14:textFill>
              </w:rPr>
              <w:t>信誉要求</w:t>
            </w:r>
          </w:p>
        </w:tc>
        <w:tc>
          <w:tcPr>
            <w:tcW w:w="6039" w:type="dxa"/>
            <w:vAlign w:val="center"/>
          </w:tcPr>
          <w:p w14:paraId="1C645084">
            <w:pPr>
              <w:keepNext w:val="0"/>
              <w:keepLines w:val="0"/>
              <w:pageBreakBefore w:val="0"/>
              <w:widowControl w:val="0"/>
              <w:kinsoku/>
              <w:wordWrap/>
              <w:overflowPunct/>
              <w:topLinePunct w:val="0"/>
              <w:autoSpaceDE/>
              <w:autoSpaceDN/>
              <w:bidi w:val="0"/>
              <w:adjustRightInd/>
              <w:snapToGrid/>
              <w:spacing w:line="240" w:lineRule="auto"/>
              <w:textAlignment w:val="auto"/>
              <w:outlineLvl w:val="9"/>
              <w:rPr>
                <w:rFonts w:hint="eastAsia" w:ascii="宋体" w:hAnsi="宋体" w:cs="宋体"/>
                <w:color w:val="000000" w:themeColor="text1"/>
                <w:szCs w:val="21"/>
                <w:highlight w:val="none"/>
                <w:lang w:val="en-US" w:eastAsia="zh-CN"/>
                <w14:textFill>
                  <w14:solidFill>
                    <w14:schemeClr w14:val="tx1"/>
                  </w14:solidFill>
                </w14:textFill>
              </w:rPr>
            </w:pPr>
            <w:r>
              <w:rPr>
                <w:rFonts w:hint="eastAsia" w:ascii="宋体" w:hAnsi="宋体" w:cs="宋体"/>
                <w:color w:val="000000" w:themeColor="text1"/>
                <w:szCs w:val="21"/>
                <w:highlight w:val="none"/>
                <w:lang w:val="en-US" w:eastAsia="zh-CN"/>
                <w14:textFill>
                  <w14:solidFill>
                    <w14:schemeClr w14:val="tx1"/>
                  </w14:solidFill>
                </w14:textFill>
              </w:rPr>
              <w:t>1.拒绝列入政府取消投标资格记录期间的企业或个人投标；</w:t>
            </w:r>
          </w:p>
          <w:p w14:paraId="24217E7E">
            <w:pPr>
              <w:keepNext w:val="0"/>
              <w:keepLines w:val="0"/>
              <w:pageBreakBefore w:val="0"/>
              <w:widowControl w:val="0"/>
              <w:kinsoku/>
              <w:wordWrap/>
              <w:overflowPunct/>
              <w:topLinePunct w:val="0"/>
              <w:autoSpaceDE/>
              <w:autoSpaceDN/>
              <w:bidi w:val="0"/>
              <w:adjustRightInd/>
              <w:snapToGrid/>
              <w:spacing w:line="240" w:lineRule="auto"/>
              <w:textAlignment w:val="auto"/>
              <w:outlineLvl w:val="9"/>
              <w:rPr>
                <w:rFonts w:hint="default" w:ascii="宋体" w:hAnsi="宋体" w:cs="宋体"/>
                <w:color w:val="000000" w:themeColor="text1"/>
                <w:szCs w:val="21"/>
                <w:highlight w:val="none"/>
                <w:lang w:val="en-US" w:eastAsia="zh-CN"/>
                <w14:textFill>
                  <w14:solidFill>
                    <w14:schemeClr w14:val="tx1"/>
                  </w14:solidFill>
                </w14:textFill>
              </w:rPr>
            </w:pPr>
            <w:r>
              <w:rPr>
                <w:rFonts w:hint="eastAsia" w:ascii="宋体" w:hAnsi="宋体" w:cs="宋体"/>
                <w:color w:val="000000" w:themeColor="text1"/>
                <w:szCs w:val="21"/>
                <w:highlight w:val="none"/>
                <w:lang w:val="zh-CN" w:eastAsia="zh-CN"/>
                <w14:textFill>
                  <w14:solidFill>
                    <w14:schemeClr w14:val="tx1"/>
                  </w14:solidFill>
                </w14:textFill>
              </w:rPr>
              <w:t>响应文件中</w:t>
            </w:r>
            <w:r>
              <w:rPr>
                <w:rFonts w:hint="eastAsia" w:ascii="宋体" w:hAnsi="宋体" w:cs="宋体"/>
                <w:color w:val="000000" w:themeColor="text1"/>
                <w:szCs w:val="21"/>
                <w:highlight w:val="none"/>
                <w:lang w:val="en-US" w:eastAsia="zh-CN"/>
                <w14:textFill>
                  <w14:solidFill>
                    <w14:schemeClr w14:val="tx1"/>
                  </w14:solidFill>
                </w14:textFill>
              </w:rPr>
              <w:t>提供由法定代表人或其授权委托人签字并加盖公章的承诺书。</w:t>
            </w:r>
          </w:p>
          <w:p w14:paraId="024889C7">
            <w:pPr>
              <w:keepNext w:val="0"/>
              <w:keepLines w:val="0"/>
              <w:pageBreakBefore w:val="0"/>
              <w:widowControl w:val="0"/>
              <w:kinsoku/>
              <w:wordWrap/>
              <w:overflowPunct/>
              <w:topLinePunct w:val="0"/>
              <w:autoSpaceDE/>
              <w:autoSpaceDN/>
              <w:bidi w:val="0"/>
              <w:adjustRightInd/>
              <w:snapToGrid/>
              <w:spacing w:line="240" w:lineRule="auto"/>
              <w:textAlignment w:val="auto"/>
              <w:outlineLvl w:val="9"/>
              <w:rPr>
                <w:rFonts w:hint="eastAsia" w:ascii="宋体" w:hAnsi="宋体" w:cs="宋体"/>
                <w:color w:val="000000" w:themeColor="text1"/>
                <w:szCs w:val="21"/>
                <w:highlight w:val="none"/>
                <w:lang w:val="en-US" w:eastAsia="zh-CN"/>
                <w14:textFill>
                  <w14:solidFill>
                    <w14:schemeClr w14:val="tx1"/>
                  </w14:solidFill>
                </w14:textFill>
              </w:rPr>
            </w:pPr>
            <w:r>
              <w:rPr>
                <w:rFonts w:hint="eastAsia" w:ascii="宋体" w:hAnsi="宋体" w:cs="宋体"/>
                <w:color w:val="000000" w:themeColor="text1"/>
                <w:szCs w:val="21"/>
                <w:highlight w:val="none"/>
                <w:lang w:val="en-US" w:eastAsia="zh-CN"/>
                <w14:textFill>
                  <w14:solidFill>
                    <w14:schemeClr w14:val="tx1"/>
                  </w14:solidFill>
                </w14:textFill>
              </w:rPr>
              <w:t>2.供应商不得为“信用中国”网站（www.creditchina.gov.cn）中列入失信被执行人、重大税收违法失信主体和企业经营异常名录的供应商，不得为中国政府采购网（www.ccgp.gov.cn）政府采购严重违法失信行为记录名单中被财政部门禁止参加政府采购活动的供应商（在处罚决定规定的时间和地域范围内）（详见财库【2016】125 号），响应文件中提供相关证明材料截图并加盖单位公章。</w:t>
            </w:r>
          </w:p>
          <w:p w14:paraId="6336798C">
            <w:pPr>
              <w:keepNext w:val="0"/>
              <w:keepLines w:val="0"/>
              <w:pageBreakBefore w:val="0"/>
              <w:widowControl w:val="0"/>
              <w:kinsoku/>
              <w:wordWrap/>
              <w:overflowPunct/>
              <w:topLinePunct w:val="0"/>
              <w:autoSpaceDE/>
              <w:autoSpaceDN/>
              <w:bidi w:val="0"/>
              <w:adjustRightInd/>
              <w:snapToGrid/>
              <w:spacing w:line="240" w:lineRule="auto"/>
              <w:textAlignment w:val="auto"/>
              <w:outlineLvl w:val="9"/>
              <w:rPr>
                <w:rFonts w:hint="eastAsia" w:ascii="宋体" w:hAnsi="宋体" w:cs="宋体"/>
                <w:color w:val="000000" w:themeColor="text1"/>
                <w:szCs w:val="21"/>
                <w:highlight w:val="none"/>
                <w:lang w:val="en-US" w:eastAsia="zh-CN"/>
                <w14:textFill>
                  <w14:solidFill>
                    <w14:schemeClr w14:val="tx1"/>
                  </w14:solidFill>
                </w14:textFill>
              </w:rPr>
            </w:pPr>
            <w:r>
              <w:rPr>
                <w:rFonts w:hint="eastAsia" w:ascii="宋体" w:hAnsi="宋体" w:cs="宋体"/>
                <w:color w:val="000000" w:themeColor="text1"/>
                <w:szCs w:val="21"/>
                <w:highlight w:val="none"/>
                <w:lang w:val="en-US" w:eastAsia="zh-CN"/>
                <w14:textFill>
                  <w14:solidFill>
                    <w14:schemeClr w14:val="tx1"/>
                  </w14:solidFill>
                </w14:textFill>
              </w:rPr>
              <w:t>3.供应商需提供中国裁判文书网（http://wenshu.court.gov.cn/）的无行贿犯罪查询证明网站截图并加盖单位公章（提供的查询结果网页截图需体现企业及法定代表人）。</w:t>
            </w:r>
          </w:p>
          <w:p w14:paraId="428CA527">
            <w:pPr>
              <w:keepNext w:val="0"/>
              <w:keepLines w:val="0"/>
              <w:pageBreakBefore w:val="0"/>
              <w:widowControl w:val="0"/>
              <w:kinsoku/>
              <w:wordWrap/>
              <w:overflowPunct/>
              <w:topLinePunct w:val="0"/>
              <w:autoSpaceDE/>
              <w:autoSpaceDN/>
              <w:bidi w:val="0"/>
              <w:adjustRightInd/>
              <w:snapToGrid/>
              <w:spacing w:line="240" w:lineRule="auto"/>
              <w:textAlignment w:val="auto"/>
              <w:outlineLvl w:val="9"/>
              <w:rPr>
                <w:rFonts w:hint="default" w:ascii="宋体" w:hAnsi="宋体" w:cs="宋体"/>
                <w:color w:val="000000" w:themeColor="text1"/>
                <w:szCs w:val="21"/>
                <w:highlight w:val="none"/>
                <w:lang w:val="en-US" w:eastAsia="zh-CN"/>
                <w14:textFill>
                  <w14:solidFill>
                    <w14:schemeClr w14:val="tx1"/>
                  </w14:solidFill>
                </w14:textFill>
              </w:rPr>
            </w:pPr>
            <w:r>
              <w:rPr>
                <w:rFonts w:hint="eastAsia" w:ascii="宋体" w:hAnsi="宋体" w:cs="宋体"/>
                <w:color w:val="000000" w:themeColor="text1"/>
                <w:szCs w:val="21"/>
                <w:highlight w:val="none"/>
                <w:lang w:val="en-US" w:eastAsia="zh-CN"/>
                <w14:textFill>
                  <w14:solidFill>
                    <w14:schemeClr w14:val="tx1"/>
                  </w14:solidFill>
                </w14:textFill>
              </w:rPr>
              <w:t>4.供应商参加政府采购活动近3年内（2022年至今）在经营活动中没有重大违法记录。</w:t>
            </w:r>
            <w:r>
              <w:rPr>
                <w:rFonts w:hint="eastAsia" w:ascii="宋体" w:hAnsi="宋体" w:cs="宋体"/>
                <w:color w:val="000000" w:themeColor="text1"/>
                <w:szCs w:val="21"/>
                <w:highlight w:val="none"/>
                <w:lang w:val="zh-CN" w:eastAsia="zh-CN"/>
                <w14:textFill>
                  <w14:solidFill>
                    <w14:schemeClr w14:val="tx1"/>
                  </w14:solidFill>
                </w14:textFill>
              </w:rPr>
              <w:t>响应文件中</w:t>
            </w:r>
            <w:r>
              <w:rPr>
                <w:rFonts w:hint="eastAsia" w:ascii="宋体" w:hAnsi="宋体" w:cs="宋体"/>
                <w:color w:val="000000" w:themeColor="text1"/>
                <w:szCs w:val="21"/>
                <w:highlight w:val="none"/>
                <w:lang w:val="en-US" w:eastAsia="zh-CN"/>
                <w14:textFill>
                  <w14:solidFill>
                    <w14:schemeClr w14:val="tx1"/>
                  </w14:solidFill>
                </w14:textFill>
              </w:rPr>
              <w:t>提供由法定代表人或其授权委托人签字并加盖公章的承诺书。</w:t>
            </w:r>
          </w:p>
          <w:p w14:paraId="664F5D25">
            <w:pPr>
              <w:overflowPunct/>
              <w:autoSpaceDE w:val="0"/>
              <w:autoSpaceDN w:val="0"/>
              <w:bidi w:val="0"/>
              <w:adjustRightInd w:val="0"/>
              <w:spacing w:line="240" w:lineRule="auto"/>
              <w:jc w:val="both"/>
              <w:outlineLvl w:val="9"/>
              <w:rPr>
                <w:rFonts w:hint="eastAsia" w:ascii="宋体" w:hAnsi="宋体" w:eastAsia="宋体" w:cs="宋体"/>
                <w:color w:val="000000" w:themeColor="text1"/>
                <w:szCs w:val="21"/>
                <w:highlight w:val="none"/>
                <w:lang w:val="en-US" w:eastAsia="zh-CN"/>
                <w14:textFill>
                  <w14:solidFill>
                    <w14:schemeClr w14:val="tx1"/>
                  </w14:solidFill>
                </w14:textFill>
              </w:rPr>
            </w:pPr>
            <w:r>
              <w:rPr>
                <w:rFonts w:hint="eastAsia" w:ascii="宋体" w:hAnsi="宋体" w:cs="宋体"/>
                <w:color w:val="000000" w:themeColor="text1"/>
                <w:szCs w:val="21"/>
                <w:highlight w:val="none"/>
                <w:lang w:val="en-US" w:eastAsia="zh-CN"/>
                <w14:textFill>
                  <w14:solidFill>
                    <w14:schemeClr w14:val="tx1"/>
                  </w14:solidFill>
                </w14:textFill>
              </w:rPr>
              <w:t>5</w:t>
            </w:r>
            <w:r>
              <w:rPr>
                <w:rFonts w:hint="eastAsia" w:ascii="宋体" w:hAnsi="宋体" w:eastAsia="宋体" w:cs="宋体"/>
                <w:color w:val="000000" w:themeColor="text1"/>
                <w:szCs w:val="21"/>
                <w:highlight w:val="none"/>
                <w:lang w:val="en-US" w:eastAsia="zh-CN"/>
                <w14:textFill>
                  <w14:solidFill>
                    <w14:schemeClr w14:val="tx1"/>
                  </w14:solidFill>
                </w14:textFill>
              </w:rPr>
              <w:t>.</w:t>
            </w:r>
            <w:r>
              <w:rPr>
                <w:rFonts w:hint="eastAsia" w:ascii="宋体" w:hAnsi="宋体" w:eastAsia="宋体" w:cs="宋体"/>
                <w:color w:val="000000" w:themeColor="text1"/>
                <w:szCs w:val="21"/>
                <w:highlight w:val="none"/>
                <w:lang w:eastAsia="zh-CN"/>
                <w14:textFill>
                  <w14:solidFill>
                    <w14:schemeClr w14:val="tx1"/>
                  </w14:solidFill>
                </w14:textFill>
              </w:rPr>
              <w:t>不存在第二章“供应商须知”第1.4.2及1.4.3项规定的任何一种情形，</w:t>
            </w:r>
            <w:r>
              <w:rPr>
                <w:rFonts w:hint="eastAsia" w:ascii="宋体" w:hAnsi="宋体" w:eastAsia="宋体" w:cs="宋体"/>
                <w:b/>
                <w:bCs/>
                <w:color w:val="000000" w:themeColor="text1"/>
                <w:szCs w:val="21"/>
                <w:highlight w:val="none"/>
                <w:lang w:eastAsia="zh-CN"/>
                <w14:textFill>
                  <w14:solidFill>
                    <w14:schemeClr w14:val="tx1"/>
                  </w14:solidFill>
                </w14:textFill>
              </w:rPr>
              <w:t>响应文件中提供由法定代表人或其授权委托人签字并加盖公章的承诺书。</w:t>
            </w:r>
          </w:p>
          <w:p w14:paraId="3BA650FE">
            <w:pPr>
              <w:overflowPunct/>
              <w:bidi w:val="0"/>
              <w:jc w:val="left"/>
              <w:outlineLvl w:val="9"/>
              <w:rPr>
                <w:rFonts w:hint="eastAsia" w:ascii="宋体" w:hAnsi="宋体" w:eastAsia="宋体" w:cs="Times New Roman"/>
                <w:color w:val="000000" w:themeColor="text1"/>
                <w:szCs w:val="21"/>
                <w:highlight w:val="none"/>
                <w:lang w:val="en-US" w:eastAsia="zh-CN"/>
                <w14:textFill>
                  <w14:solidFill>
                    <w14:schemeClr w14:val="tx1"/>
                  </w14:solidFill>
                </w14:textFill>
              </w:rPr>
            </w:pPr>
            <w:r>
              <w:rPr>
                <w:rFonts w:hint="eastAsia" w:ascii="宋体" w:hAnsi="宋体" w:cs="宋体"/>
                <w:color w:val="000000" w:themeColor="text1"/>
                <w:szCs w:val="21"/>
                <w:highlight w:val="none"/>
                <w:lang w:val="en-US" w:eastAsia="zh-CN"/>
                <w14:textFill>
                  <w14:solidFill>
                    <w14:schemeClr w14:val="tx1"/>
                  </w14:solidFill>
                </w14:textFill>
              </w:rPr>
              <w:t>6</w:t>
            </w:r>
            <w:r>
              <w:rPr>
                <w:rFonts w:hint="eastAsia" w:ascii="宋体" w:hAnsi="宋体" w:eastAsia="宋体" w:cs="宋体"/>
                <w:color w:val="000000" w:themeColor="text1"/>
                <w:szCs w:val="21"/>
                <w:highlight w:val="none"/>
                <w:lang w:val="en-US" w:eastAsia="zh-CN"/>
                <w14:textFill>
                  <w14:solidFill>
                    <w14:schemeClr w14:val="tx1"/>
                  </w14:solidFill>
                </w14:textFill>
              </w:rPr>
              <w:t>.</w:t>
            </w:r>
            <w:r>
              <w:rPr>
                <w:rFonts w:hint="eastAsia" w:ascii="宋体" w:hAnsi="宋体" w:eastAsia="宋体" w:cs="宋体"/>
                <w:color w:val="000000" w:themeColor="text1"/>
                <w:szCs w:val="21"/>
                <w:highlight w:val="none"/>
                <w:lang w:val="zh-CN" w:eastAsia="zh-CN"/>
                <w14:textFill>
                  <w14:solidFill>
                    <w14:schemeClr w14:val="tx1"/>
                  </w14:solidFill>
                </w14:textFill>
              </w:rPr>
              <w:t>供应商</w:t>
            </w:r>
            <w:r>
              <w:rPr>
                <w:rFonts w:hint="eastAsia" w:ascii="宋体" w:hAnsi="宋体" w:eastAsia="宋体" w:cs="宋体"/>
                <w:color w:val="000000" w:themeColor="text1"/>
                <w:szCs w:val="21"/>
                <w:highlight w:val="none"/>
                <w:lang w:eastAsia="zh-CN"/>
                <w14:textFill>
                  <w14:solidFill>
                    <w14:schemeClr w14:val="tx1"/>
                  </w14:solidFill>
                </w14:textFill>
              </w:rPr>
              <w:t>需对公司材料和响应文件的真实性进行承诺，不得提供伪造、变造的材料，否则后果自负。</w:t>
            </w:r>
            <w:r>
              <w:rPr>
                <w:rFonts w:hint="eastAsia" w:ascii="宋体" w:hAnsi="宋体" w:eastAsia="宋体" w:cs="宋体"/>
                <w:b/>
                <w:bCs/>
                <w:color w:val="000000" w:themeColor="text1"/>
                <w:szCs w:val="21"/>
                <w:highlight w:val="none"/>
                <w:lang w:eastAsia="zh-CN"/>
                <w14:textFill>
                  <w14:solidFill>
                    <w14:schemeClr w14:val="tx1"/>
                  </w14:solidFill>
                </w14:textFill>
              </w:rPr>
              <w:t>响应文件中提供由法定代表人或其授权委托人签字并加盖公章的承诺书。</w:t>
            </w:r>
          </w:p>
        </w:tc>
      </w:tr>
      <w:tr w14:paraId="67A2A1E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4" w:hRule="atLeast"/>
        </w:trPr>
        <w:tc>
          <w:tcPr>
            <w:tcW w:w="741" w:type="dxa"/>
            <w:vMerge w:val="restart"/>
            <w:vAlign w:val="center"/>
          </w:tcPr>
          <w:p w14:paraId="1DA6C15B">
            <w:pPr>
              <w:overflowPunct/>
              <w:bidi w:val="0"/>
              <w:jc w:val="center"/>
              <w:outlineLvl w:val="9"/>
              <w:rPr>
                <w:rFonts w:hint="eastAsia" w:ascii="宋体" w:hAnsi="宋体" w:eastAsia="宋体"/>
                <w:color w:val="000000" w:themeColor="text1"/>
                <w:szCs w:val="21"/>
                <w:highlight w:val="none"/>
                <w:lang w:val="en-US" w:eastAsia="zh-CN"/>
                <w14:textFill>
                  <w14:solidFill>
                    <w14:schemeClr w14:val="tx1"/>
                  </w14:solidFill>
                </w14:textFill>
              </w:rPr>
            </w:pPr>
            <w:r>
              <w:rPr>
                <w:rFonts w:hint="eastAsia" w:ascii="宋体" w:hAnsi="宋体"/>
                <w:color w:val="000000" w:themeColor="text1"/>
                <w:szCs w:val="21"/>
                <w:highlight w:val="none"/>
                <w14:textFill>
                  <w14:solidFill>
                    <w14:schemeClr w14:val="tx1"/>
                  </w14:solidFill>
                </w14:textFill>
              </w:rPr>
              <w:t>2.1.</w:t>
            </w:r>
            <w:r>
              <w:rPr>
                <w:rFonts w:hint="eastAsia" w:ascii="宋体" w:hAnsi="宋体"/>
                <w:color w:val="000000" w:themeColor="text1"/>
                <w:szCs w:val="21"/>
                <w:highlight w:val="none"/>
                <w:lang w:val="en-US" w:eastAsia="zh-CN"/>
                <w14:textFill>
                  <w14:solidFill>
                    <w14:schemeClr w14:val="tx1"/>
                  </w14:solidFill>
                </w14:textFill>
              </w:rPr>
              <w:t>2</w:t>
            </w:r>
          </w:p>
        </w:tc>
        <w:tc>
          <w:tcPr>
            <w:tcW w:w="1149" w:type="dxa"/>
            <w:vMerge w:val="restart"/>
            <w:vAlign w:val="center"/>
          </w:tcPr>
          <w:p w14:paraId="5749E3B8">
            <w:pPr>
              <w:overflowPunct/>
              <w:bidi w:val="0"/>
              <w:jc w:val="center"/>
              <w:outlineLvl w:val="9"/>
              <w:rPr>
                <w:rFonts w:ascii="宋体" w:hAnsi="宋体"/>
                <w:color w:val="000000" w:themeColor="text1"/>
                <w:szCs w:val="21"/>
                <w:highlight w:val="none"/>
                <w14:textFill>
                  <w14:solidFill>
                    <w14:schemeClr w14:val="tx1"/>
                  </w14:solidFill>
                </w14:textFill>
              </w:rPr>
            </w:pPr>
            <w:r>
              <w:rPr>
                <w:rFonts w:hint="eastAsia" w:ascii="宋体" w:hAnsi="宋体"/>
                <w:color w:val="000000" w:themeColor="text1"/>
                <w:szCs w:val="21"/>
                <w:highlight w:val="none"/>
                <w:lang w:val="en-US" w:eastAsia="zh-CN"/>
                <w14:textFill>
                  <w14:solidFill>
                    <w14:schemeClr w14:val="tx1"/>
                  </w14:solidFill>
                </w14:textFill>
              </w:rPr>
              <w:t>符合</w:t>
            </w:r>
            <w:r>
              <w:rPr>
                <w:rFonts w:hint="eastAsia" w:ascii="宋体" w:hAnsi="宋体"/>
                <w:color w:val="000000" w:themeColor="text1"/>
                <w:szCs w:val="21"/>
                <w:highlight w:val="none"/>
                <w14:textFill>
                  <w14:solidFill>
                    <w14:schemeClr w14:val="tx1"/>
                  </w14:solidFill>
                </w14:textFill>
              </w:rPr>
              <w:t>性</w:t>
            </w:r>
          </w:p>
          <w:p w14:paraId="36183D85">
            <w:pPr>
              <w:overflowPunct/>
              <w:bidi w:val="0"/>
              <w:jc w:val="center"/>
              <w:outlineLvl w:val="9"/>
              <w:rPr>
                <w:rFonts w:ascii="宋体" w:hAnsi="宋体"/>
                <w:color w:val="000000" w:themeColor="text1"/>
                <w:szCs w:val="21"/>
                <w:highlight w:val="none"/>
                <w14:textFill>
                  <w14:solidFill>
                    <w14:schemeClr w14:val="tx1"/>
                  </w14:solidFill>
                </w14:textFill>
              </w:rPr>
            </w:pPr>
            <w:r>
              <w:rPr>
                <w:rFonts w:hint="eastAsia" w:ascii="宋体" w:hAnsi="宋体"/>
                <w:color w:val="000000" w:themeColor="text1"/>
                <w:szCs w:val="21"/>
                <w:highlight w:val="none"/>
                <w14:textFill>
                  <w14:solidFill>
                    <w14:schemeClr w14:val="tx1"/>
                  </w14:solidFill>
                </w14:textFill>
              </w:rPr>
              <w:t>评审标准</w:t>
            </w:r>
          </w:p>
        </w:tc>
        <w:tc>
          <w:tcPr>
            <w:tcW w:w="1710" w:type="dxa"/>
            <w:shd w:val="clear" w:color="auto" w:fill="auto"/>
            <w:vAlign w:val="center"/>
          </w:tcPr>
          <w:p w14:paraId="658FCBA7">
            <w:pPr>
              <w:overflowPunct/>
              <w:bidi w:val="0"/>
              <w:jc w:val="center"/>
              <w:outlineLvl w:val="9"/>
              <w:rPr>
                <w:rFonts w:hint="eastAsia" w:ascii="宋体" w:hAnsi="宋体" w:eastAsia="宋体" w:cs="Times New Roman"/>
                <w:color w:val="000000" w:themeColor="text1"/>
                <w:kern w:val="2"/>
                <w:sz w:val="21"/>
                <w:szCs w:val="21"/>
                <w:highlight w:val="none"/>
                <w:lang w:val="en-US" w:eastAsia="zh-CN" w:bidi="ar-SA"/>
                <w14:textFill>
                  <w14:solidFill>
                    <w14:schemeClr w14:val="tx1"/>
                  </w14:solidFill>
                </w14:textFill>
              </w:rPr>
            </w:pPr>
            <w:r>
              <w:rPr>
                <w:rFonts w:hint="eastAsia" w:ascii="宋体" w:hAnsi="宋体"/>
                <w:color w:val="000000" w:themeColor="text1"/>
                <w:szCs w:val="21"/>
                <w:highlight w:val="none"/>
                <w:lang w:eastAsia="zh-CN"/>
                <w14:textFill>
                  <w14:solidFill>
                    <w14:schemeClr w14:val="tx1"/>
                  </w14:solidFill>
                </w14:textFill>
              </w:rPr>
              <w:t>供应商</w:t>
            </w:r>
            <w:r>
              <w:rPr>
                <w:rFonts w:hint="eastAsia" w:ascii="宋体" w:hAnsi="宋体"/>
                <w:color w:val="000000" w:themeColor="text1"/>
                <w:szCs w:val="21"/>
                <w:highlight w:val="none"/>
                <w14:textFill>
                  <w14:solidFill>
                    <w14:schemeClr w14:val="tx1"/>
                  </w14:solidFill>
                </w14:textFill>
              </w:rPr>
              <w:t>名称</w:t>
            </w:r>
          </w:p>
        </w:tc>
        <w:tc>
          <w:tcPr>
            <w:tcW w:w="6039" w:type="dxa"/>
            <w:shd w:val="clear" w:color="auto" w:fill="auto"/>
            <w:vAlign w:val="center"/>
          </w:tcPr>
          <w:p w14:paraId="1D5B0252">
            <w:pPr>
              <w:overflowPunct/>
              <w:bidi w:val="0"/>
              <w:outlineLvl w:val="9"/>
              <w:rPr>
                <w:rFonts w:hint="eastAsia" w:ascii="宋体" w:hAnsi="宋体" w:eastAsia="宋体" w:cs="Times New Roman"/>
                <w:b w:val="0"/>
                <w:bCs w:val="0"/>
                <w:color w:val="000000" w:themeColor="text1"/>
                <w:kern w:val="2"/>
                <w:sz w:val="21"/>
                <w:szCs w:val="21"/>
                <w:highlight w:val="none"/>
                <w:lang w:val="en-US" w:eastAsia="zh-CN" w:bidi="ar-SA"/>
                <w14:textFill>
                  <w14:solidFill>
                    <w14:schemeClr w14:val="tx1"/>
                  </w14:solidFill>
                </w14:textFill>
              </w:rPr>
            </w:pPr>
            <w:r>
              <w:rPr>
                <w:rFonts w:hint="eastAsia" w:ascii="宋体" w:hAnsi="宋体"/>
                <w:b w:val="0"/>
                <w:bCs w:val="0"/>
                <w:color w:val="000000" w:themeColor="text1"/>
                <w:szCs w:val="21"/>
                <w:highlight w:val="none"/>
                <w:lang w:val="zh-CN"/>
                <w14:textFill>
                  <w14:solidFill>
                    <w14:schemeClr w14:val="tx1"/>
                  </w14:solidFill>
                </w14:textFill>
              </w:rPr>
              <w:t>与营业执照一致</w:t>
            </w:r>
          </w:p>
        </w:tc>
      </w:tr>
      <w:tr w14:paraId="62AE84F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4" w:hRule="atLeast"/>
        </w:trPr>
        <w:tc>
          <w:tcPr>
            <w:tcW w:w="741" w:type="dxa"/>
            <w:vMerge w:val="continue"/>
            <w:vAlign w:val="center"/>
          </w:tcPr>
          <w:p w14:paraId="02D49C5D">
            <w:pPr>
              <w:overflowPunct/>
              <w:bidi w:val="0"/>
              <w:jc w:val="center"/>
              <w:outlineLvl w:val="9"/>
              <w:rPr>
                <w:rFonts w:hint="eastAsia" w:ascii="宋体" w:hAnsi="宋体"/>
                <w:color w:val="000000" w:themeColor="text1"/>
                <w:szCs w:val="21"/>
                <w:highlight w:val="none"/>
                <w14:textFill>
                  <w14:solidFill>
                    <w14:schemeClr w14:val="tx1"/>
                  </w14:solidFill>
                </w14:textFill>
              </w:rPr>
            </w:pPr>
          </w:p>
        </w:tc>
        <w:tc>
          <w:tcPr>
            <w:tcW w:w="1149" w:type="dxa"/>
            <w:vMerge w:val="continue"/>
            <w:vAlign w:val="center"/>
          </w:tcPr>
          <w:p w14:paraId="6248FF59">
            <w:pPr>
              <w:overflowPunct/>
              <w:bidi w:val="0"/>
              <w:jc w:val="center"/>
              <w:outlineLvl w:val="9"/>
              <w:rPr>
                <w:rFonts w:hint="eastAsia" w:ascii="宋体" w:hAnsi="宋体"/>
                <w:color w:val="000000" w:themeColor="text1"/>
                <w:szCs w:val="21"/>
                <w:highlight w:val="none"/>
                <w14:textFill>
                  <w14:solidFill>
                    <w14:schemeClr w14:val="tx1"/>
                  </w14:solidFill>
                </w14:textFill>
              </w:rPr>
            </w:pPr>
          </w:p>
        </w:tc>
        <w:tc>
          <w:tcPr>
            <w:tcW w:w="1710" w:type="dxa"/>
            <w:vAlign w:val="center"/>
          </w:tcPr>
          <w:p w14:paraId="626A56EF">
            <w:pPr>
              <w:overflowPunct/>
              <w:bidi w:val="0"/>
              <w:jc w:val="center"/>
              <w:outlineLvl w:val="9"/>
              <w:rPr>
                <w:rFonts w:hint="eastAsia" w:ascii="宋体" w:hAnsi="宋体"/>
                <w:color w:val="000000" w:themeColor="text1"/>
                <w:szCs w:val="21"/>
                <w:highlight w:val="none"/>
                <w:lang w:val="en-US" w:eastAsia="zh-CN"/>
                <w14:textFill>
                  <w14:solidFill>
                    <w14:schemeClr w14:val="tx1"/>
                  </w14:solidFill>
                </w14:textFill>
              </w:rPr>
            </w:pPr>
            <w:r>
              <w:rPr>
                <w:rFonts w:hint="eastAsia" w:ascii="宋体" w:hAnsi="宋体"/>
                <w:color w:val="000000" w:themeColor="text1"/>
                <w:szCs w:val="21"/>
                <w:highlight w:val="none"/>
                <w14:textFill>
                  <w14:solidFill>
                    <w14:schemeClr w14:val="tx1"/>
                  </w14:solidFill>
                </w14:textFill>
              </w:rPr>
              <w:t>磋商函签字盖章</w:t>
            </w:r>
          </w:p>
        </w:tc>
        <w:tc>
          <w:tcPr>
            <w:tcW w:w="6039" w:type="dxa"/>
            <w:vAlign w:val="center"/>
          </w:tcPr>
          <w:p w14:paraId="1C1389F2">
            <w:pPr>
              <w:overflowPunct/>
              <w:bidi w:val="0"/>
              <w:outlineLvl w:val="9"/>
              <w:rPr>
                <w:rFonts w:hint="eastAsia" w:ascii="宋体" w:hAnsi="宋体"/>
                <w:b w:val="0"/>
                <w:bCs w:val="0"/>
                <w:color w:val="000000" w:themeColor="text1"/>
                <w:szCs w:val="21"/>
                <w:highlight w:val="none"/>
                <w14:textFill>
                  <w14:solidFill>
                    <w14:schemeClr w14:val="tx1"/>
                  </w14:solidFill>
                </w14:textFill>
              </w:rPr>
            </w:pPr>
            <w:r>
              <w:rPr>
                <w:rFonts w:hint="eastAsia" w:ascii="宋体" w:hAnsi="宋体"/>
                <w:b w:val="0"/>
                <w:bCs w:val="0"/>
                <w:color w:val="000000" w:themeColor="text1"/>
                <w:szCs w:val="21"/>
                <w:highlight w:val="none"/>
                <w14:textFill>
                  <w14:solidFill>
                    <w14:schemeClr w14:val="tx1"/>
                  </w14:solidFill>
                </w14:textFill>
              </w:rPr>
              <w:t>报价函均应加盖投标供应商印章并经法定代表人或其委托代理人签字或盖章。</w:t>
            </w:r>
          </w:p>
        </w:tc>
      </w:tr>
      <w:tr w14:paraId="13C1D92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4" w:hRule="atLeast"/>
        </w:trPr>
        <w:tc>
          <w:tcPr>
            <w:tcW w:w="741" w:type="dxa"/>
            <w:vMerge w:val="continue"/>
            <w:vAlign w:val="center"/>
          </w:tcPr>
          <w:p w14:paraId="753946E0">
            <w:pPr>
              <w:overflowPunct/>
              <w:bidi w:val="0"/>
              <w:jc w:val="center"/>
              <w:outlineLvl w:val="9"/>
              <w:rPr>
                <w:rFonts w:hint="eastAsia" w:ascii="宋体" w:hAnsi="宋体"/>
                <w:color w:val="000000" w:themeColor="text1"/>
                <w:szCs w:val="21"/>
                <w:highlight w:val="none"/>
                <w14:textFill>
                  <w14:solidFill>
                    <w14:schemeClr w14:val="tx1"/>
                  </w14:solidFill>
                </w14:textFill>
              </w:rPr>
            </w:pPr>
          </w:p>
        </w:tc>
        <w:tc>
          <w:tcPr>
            <w:tcW w:w="1149" w:type="dxa"/>
            <w:vMerge w:val="continue"/>
            <w:vAlign w:val="center"/>
          </w:tcPr>
          <w:p w14:paraId="74733F33">
            <w:pPr>
              <w:overflowPunct/>
              <w:bidi w:val="0"/>
              <w:jc w:val="center"/>
              <w:outlineLvl w:val="9"/>
              <w:rPr>
                <w:rFonts w:hint="eastAsia" w:ascii="宋体" w:hAnsi="宋体"/>
                <w:color w:val="000000" w:themeColor="text1"/>
                <w:szCs w:val="21"/>
                <w:highlight w:val="none"/>
                <w14:textFill>
                  <w14:solidFill>
                    <w14:schemeClr w14:val="tx1"/>
                  </w14:solidFill>
                </w14:textFill>
              </w:rPr>
            </w:pPr>
          </w:p>
        </w:tc>
        <w:tc>
          <w:tcPr>
            <w:tcW w:w="1710" w:type="dxa"/>
            <w:vAlign w:val="center"/>
          </w:tcPr>
          <w:p w14:paraId="2CF85C42">
            <w:pPr>
              <w:overflowPunct/>
              <w:bidi w:val="0"/>
              <w:jc w:val="center"/>
              <w:outlineLvl w:val="9"/>
              <w:rPr>
                <w:rFonts w:hint="eastAsia" w:ascii="宋体" w:hAnsi="宋体"/>
                <w:color w:val="000000" w:themeColor="text1"/>
                <w:szCs w:val="21"/>
                <w:highlight w:val="none"/>
                <w:lang w:val="en-US" w:eastAsia="zh-CN"/>
                <w14:textFill>
                  <w14:solidFill>
                    <w14:schemeClr w14:val="tx1"/>
                  </w14:solidFill>
                </w14:textFill>
              </w:rPr>
            </w:pPr>
            <w:r>
              <w:rPr>
                <w:rFonts w:hint="eastAsia" w:ascii="宋体" w:hAnsi="宋体"/>
                <w:color w:val="000000" w:themeColor="text1"/>
                <w:szCs w:val="21"/>
                <w:highlight w:val="none"/>
                <w14:textFill>
                  <w14:solidFill>
                    <w14:schemeClr w14:val="tx1"/>
                  </w14:solidFill>
                </w14:textFill>
              </w:rPr>
              <w:t>响应文件格式</w:t>
            </w:r>
          </w:p>
        </w:tc>
        <w:tc>
          <w:tcPr>
            <w:tcW w:w="6039" w:type="dxa"/>
            <w:vAlign w:val="center"/>
          </w:tcPr>
          <w:p w14:paraId="2CAE299F">
            <w:pPr>
              <w:overflowPunct/>
              <w:bidi w:val="0"/>
              <w:outlineLvl w:val="9"/>
              <w:rPr>
                <w:rFonts w:hint="eastAsia" w:ascii="宋体" w:hAnsi="宋体"/>
                <w:b w:val="0"/>
                <w:bCs w:val="0"/>
                <w:color w:val="000000" w:themeColor="text1"/>
                <w:szCs w:val="21"/>
                <w:highlight w:val="none"/>
                <w14:textFill>
                  <w14:solidFill>
                    <w14:schemeClr w14:val="tx1"/>
                  </w14:solidFill>
                </w14:textFill>
              </w:rPr>
            </w:pPr>
            <w:r>
              <w:rPr>
                <w:rFonts w:hint="eastAsia" w:ascii="宋体" w:hAnsi="宋体"/>
                <w:b w:val="0"/>
                <w:bCs w:val="0"/>
                <w:color w:val="000000" w:themeColor="text1"/>
                <w:szCs w:val="21"/>
                <w:highlight w:val="none"/>
                <w:lang w:val="zh-CN"/>
                <w14:textFill>
                  <w14:solidFill>
                    <w14:schemeClr w14:val="tx1"/>
                  </w14:solidFill>
                </w14:textFill>
              </w:rPr>
              <w:t>符合磋商文件中 “响应文件格式”的要求，按磋商文件的要求盖章、签署</w:t>
            </w:r>
          </w:p>
        </w:tc>
      </w:tr>
      <w:tr w14:paraId="3D24B96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4" w:hRule="atLeast"/>
        </w:trPr>
        <w:tc>
          <w:tcPr>
            <w:tcW w:w="741" w:type="dxa"/>
            <w:vMerge w:val="continue"/>
            <w:vAlign w:val="center"/>
          </w:tcPr>
          <w:p w14:paraId="6FD4B293">
            <w:pPr>
              <w:overflowPunct/>
              <w:bidi w:val="0"/>
              <w:jc w:val="center"/>
              <w:outlineLvl w:val="9"/>
              <w:rPr>
                <w:rFonts w:hint="eastAsia" w:ascii="宋体" w:hAnsi="宋体"/>
                <w:color w:val="000000" w:themeColor="text1"/>
                <w:szCs w:val="21"/>
                <w:highlight w:val="none"/>
                <w14:textFill>
                  <w14:solidFill>
                    <w14:schemeClr w14:val="tx1"/>
                  </w14:solidFill>
                </w14:textFill>
              </w:rPr>
            </w:pPr>
          </w:p>
        </w:tc>
        <w:tc>
          <w:tcPr>
            <w:tcW w:w="1149" w:type="dxa"/>
            <w:vMerge w:val="continue"/>
            <w:vAlign w:val="center"/>
          </w:tcPr>
          <w:p w14:paraId="50204D57">
            <w:pPr>
              <w:overflowPunct/>
              <w:bidi w:val="0"/>
              <w:jc w:val="center"/>
              <w:outlineLvl w:val="9"/>
              <w:rPr>
                <w:rFonts w:hint="eastAsia" w:ascii="宋体" w:hAnsi="宋体"/>
                <w:color w:val="000000" w:themeColor="text1"/>
                <w:szCs w:val="21"/>
                <w:highlight w:val="none"/>
                <w14:textFill>
                  <w14:solidFill>
                    <w14:schemeClr w14:val="tx1"/>
                  </w14:solidFill>
                </w14:textFill>
              </w:rPr>
            </w:pPr>
          </w:p>
        </w:tc>
        <w:tc>
          <w:tcPr>
            <w:tcW w:w="1710" w:type="dxa"/>
            <w:vAlign w:val="center"/>
          </w:tcPr>
          <w:p w14:paraId="48DE216E">
            <w:pPr>
              <w:overflowPunct/>
              <w:bidi w:val="0"/>
              <w:jc w:val="center"/>
              <w:outlineLvl w:val="9"/>
              <w:rPr>
                <w:rFonts w:hint="eastAsia" w:ascii="宋体" w:hAnsi="宋体"/>
                <w:color w:val="000000" w:themeColor="text1"/>
                <w:szCs w:val="21"/>
                <w:highlight w:val="none"/>
                <w:lang w:val="en-US" w:eastAsia="zh-CN"/>
                <w14:textFill>
                  <w14:solidFill>
                    <w14:schemeClr w14:val="tx1"/>
                  </w14:solidFill>
                </w14:textFill>
              </w:rPr>
            </w:pPr>
            <w:r>
              <w:rPr>
                <w:rFonts w:hint="eastAsia" w:ascii="宋体" w:hAnsi="宋体"/>
                <w:color w:val="000000" w:themeColor="text1"/>
                <w:szCs w:val="21"/>
                <w:highlight w:val="none"/>
                <w14:textFill>
                  <w14:solidFill>
                    <w14:schemeClr w14:val="tx1"/>
                  </w14:solidFill>
                </w14:textFill>
              </w:rPr>
              <w:t>报价唯一</w:t>
            </w:r>
          </w:p>
        </w:tc>
        <w:tc>
          <w:tcPr>
            <w:tcW w:w="6039" w:type="dxa"/>
            <w:vAlign w:val="center"/>
          </w:tcPr>
          <w:p w14:paraId="33AF8FC5">
            <w:pPr>
              <w:overflowPunct/>
              <w:bidi w:val="0"/>
              <w:outlineLvl w:val="9"/>
              <w:rPr>
                <w:rFonts w:hint="eastAsia" w:ascii="宋体" w:hAnsi="宋体"/>
                <w:b w:val="0"/>
                <w:bCs w:val="0"/>
                <w:color w:val="000000" w:themeColor="text1"/>
                <w:szCs w:val="21"/>
                <w:highlight w:val="none"/>
                <w14:textFill>
                  <w14:solidFill>
                    <w14:schemeClr w14:val="tx1"/>
                  </w14:solidFill>
                </w14:textFill>
              </w:rPr>
            </w:pPr>
            <w:r>
              <w:rPr>
                <w:rFonts w:hint="eastAsia" w:ascii="宋体" w:hAnsi="宋体"/>
                <w:b w:val="0"/>
                <w:bCs w:val="0"/>
                <w:color w:val="000000" w:themeColor="text1"/>
                <w:szCs w:val="21"/>
                <w:highlight w:val="none"/>
                <w14:textFill>
                  <w14:solidFill>
                    <w14:schemeClr w14:val="tx1"/>
                  </w14:solidFill>
                </w14:textFill>
              </w:rPr>
              <w:t>只能有一个有效报价</w:t>
            </w:r>
          </w:p>
        </w:tc>
      </w:tr>
      <w:tr w14:paraId="01D4C0E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4" w:hRule="atLeast"/>
        </w:trPr>
        <w:tc>
          <w:tcPr>
            <w:tcW w:w="741" w:type="dxa"/>
            <w:vMerge w:val="continue"/>
            <w:vAlign w:val="center"/>
          </w:tcPr>
          <w:p w14:paraId="68326195">
            <w:pPr>
              <w:overflowPunct/>
              <w:bidi w:val="0"/>
              <w:jc w:val="center"/>
              <w:outlineLvl w:val="9"/>
              <w:rPr>
                <w:rFonts w:ascii="宋体" w:hAnsi="宋体"/>
                <w:color w:val="000000" w:themeColor="text1"/>
                <w:szCs w:val="21"/>
                <w:highlight w:val="none"/>
                <w14:textFill>
                  <w14:solidFill>
                    <w14:schemeClr w14:val="tx1"/>
                  </w14:solidFill>
                </w14:textFill>
              </w:rPr>
            </w:pPr>
          </w:p>
        </w:tc>
        <w:tc>
          <w:tcPr>
            <w:tcW w:w="1149" w:type="dxa"/>
            <w:vMerge w:val="continue"/>
            <w:vAlign w:val="center"/>
          </w:tcPr>
          <w:p w14:paraId="6CD1B3FF">
            <w:pPr>
              <w:overflowPunct/>
              <w:bidi w:val="0"/>
              <w:jc w:val="center"/>
              <w:outlineLvl w:val="9"/>
              <w:rPr>
                <w:rFonts w:ascii="宋体" w:hAnsi="宋体"/>
                <w:color w:val="000000" w:themeColor="text1"/>
                <w:szCs w:val="21"/>
                <w:highlight w:val="none"/>
                <w14:textFill>
                  <w14:solidFill>
                    <w14:schemeClr w14:val="tx1"/>
                  </w14:solidFill>
                </w14:textFill>
              </w:rPr>
            </w:pPr>
          </w:p>
        </w:tc>
        <w:tc>
          <w:tcPr>
            <w:tcW w:w="1710" w:type="dxa"/>
            <w:vAlign w:val="center"/>
          </w:tcPr>
          <w:p w14:paraId="400E564A">
            <w:pPr>
              <w:overflowPunct/>
              <w:bidi w:val="0"/>
              <w:jc w:val="center"/>
              <w:outlineLvl w:val="9"/>
              <w:rPr>
                <w:rFonts w:ascii="宋体" w:hAnsi="宋体"/>
                <w:color w:val="000000" w:themeColor="text1"/>
                <w:szCs w:val="21"/>
                <w:highlight w:val="none"/>
                <w14:textFill>
                  <w14:solidFill>
                    <w14:schemeClr w14:val="tx1"/>
                  </w14:solidFill>
                </w14:textFill>
              </w:rPr>
            </w:pPr>
            <w:r>
              <w:rPr>
                <w:rFonts w:hint="eastAsia" w:ascii="宋体" w:hAnsi="宋体"/>
                <w:color w:val="000000" w:themeColor="text1"/>
                <w:szCs w:val="21"/>
                <w:highlight w:val="none"/>
                <w:lang w:val="en-US" w:eastAsia="zh-CN"/>
                <w14:textFill>
                  <w14:solidFill>
                    <w14:schemeClr w14:val="tx1"/>
                  </w14:solidFill>
                </w14:textFill>
              </w:rPr>
              <w:t>响应</w:t>
            </w:r>
            <w:r>
              <w:rPr>
                <w:rFonts w:hint="eastAsia" w:ascii="宋体" w:hAnsi="宋体"/>
                <w:color w:val="000000" w:themeColor="text1"/>
                <w:szCs w:val="21"/>
                <w:highlight w:val="none"/>
                <w14:textFill>
                  <w14:solidFill>
                    <w14:schemeClr w14:val="tx1"/>
                  </w14:solidFill>
                </w14:textFill>
              </w:rPr>
              <w:t>内容</w:t>
            </w:r>
          </w:p>
        </w:tc>
        <w:tc>
          <w:tcPr>
            <w:tcW w:w="6039" w:type="dxa"/>
            <w:vAlign w:val="center"/>
          </w:tcPr>
          <w:p w14:paraId="2F8C4E56">
            <w:pPr>
              <w:overflowPunct/>
              <w:bidi w:val="0"/>
              <w:spacing w:line="240" w:lineRule="exact"/>
              <w:outlineLvl w:val="9"/>
              <w:rPr>
                <w:rFonts w:ascii="宋体" w:hAnsi="宋体"/>
                <w:b w:val="0"/>
                <w:bCs w:val="0"/>
                <w:color w:val="000000" w:themeColor="text1"/>
                <w:szCs w:val="21"/>
                <w:highlight w:val="none"/>
                <w14:textFill>
                  <w14:solidFill>
                    <w14:schemeClr w14:val="tx1"/>
                  </w14:solidFill>
                </w14:textFill>
              </w:rPr>
            </w:pPr>
            <w:r>
              <w:rPr>
                <w:rFonts w:hint="eastAsia" w:ascii="宋体" w:hAnsi="宋体"/>
                <w:b w:val="0"/>
                <w:bCs w:val="0"/>
                <w:color w:val="000000" w:themeColor="text1"/>
                <w:szCs w:val="21"/>
                <w:highlight w:val="none"/>
                <w14:textFill>
                  <w14:solidFill>
                    <w14:schemeClr w14:val="tx1"/>
                  </w14:solidFill>
                </w14:textFill>
              </w:rPr>
              <w:t>符合磋商文件规定</w:t>
            </w:r>
          </w:p>
        </w:tc>
      </w:tr>
      <w:tr w14:paraId="0B789CC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5" w:hRule="atLeast"/>
        </w:trPr>
        <w:tc>
          <w:tcPr>
            <w:tcW w:w="741" w:type="dxa"/>
            <w:vMerge w:val="continue"/>
            <w:vAlign w:val="center"/>
          </w:tcPr>
          <w:p w14:paraId="180FE6BF">
            <w:pPr>
              <w:overflowPunct/>
              <w:bidi w:val="0"/>
              <w:jc w:val="center"/>
              <w:outlineLvl w:val="9"/>
              <w:rPr>
                <w:rFonts w:ascii="宋体" w:hAnsi="宋体"/>
                <w:color w:val="000000" w:themeColor="text1"/>
                <w:szCs w:val="21"/>
                <w:highlight w:val="none"/>
                <w14:textFill>
                  <w14:solidFill>
                    <w14:schemeClr w14:val="tx1"/>
                  </w14:solidFill>
                </w14:textFill>
              </w:rPr>
            </w:pPr>
          </w:p>
        </w:tc>
        <w:tc>
          <w:tcPr>
            <w:tcW w:w="1149" w:type="dxa"/>
            <w:vMerge w:val="continue"/>
            <w:vAlign w:val="center"/>
          </w:tcPr>
          <w:p w14:paraId="1A4F4CF8">
            <w:pPr>
              <w:overflowPunct/>
              <w:bidi w:val="0"/>
              <w:jc w:val="center"/>
              <w:outlineLvl w:val="9"/>
              <w:rPr>
                <w:rFonts w:ascii="宋体" w:hAnsi="宋体"/>
                <w:color w:val="000000" w:themeColor="text1"/>
                <w:szCs w:val="21"/>
                <w:highlight w:val="none"/>
                <w14:textFill>
                  <w14:solidFill>
                    <w14:schemeClr w14:val="tx1"/>
                  </w14:solidFill>
                </w14:textFill>
              </w:rPr>
            </w:pPr>
          </w:p>
        </w:tc>
        <w:tc>
          <w:tcPr>
            <w:tcW w:w="1710" w:type="dxa"/>
            <w:vAlign w:val="center"/>
          </w:tcPr>
          <w:p w14:paraId="0F555482">
            <w:pPr>
              <w:overflowPunct/>
              <w:bidi w:val="0"/>
              <w:jc w:val="center"/>
              <w:outlineLvl w:val="9"/>
              <w:rPr>
                <w:rFonts w:hint="eastAsia" w:ascii="宋体" w:hAnsi="宋体" w:eastAsia="宋体"/>
                <w:color w:val="000000" w:themeColor="text1"/>
                <w:szCs w:val="21"/>
                <w:highlight w:val="none"/>
                <w:lang w:eastAsia="zh-CN"/>
                <w14:textFill>
                  <w14:solidFill>
                    <w14:schemeClr w14:val="tx1"/>
                  </w14:solidFill>
                </w14:textFill>
              </w:rPr>
            </w:pPr>
            <w:r>
              <w:rPr>
                <w:rFonts w:hint="eastAsia" w:ascii="宋体" w:hAnsi="宋体"/>
                <w:color w:val="000000" w:themeColor="text1"/>
                <w:szCs w:val="21"/>
                <w:highlight w:val="none"/>
                <w:lang w:val="en-US" w:eastAsia="zh-CN"/>
                <w14:textFill>
                  <w14:solidFill>
                    <w14:schemeClr w14:val="tx1"/>
                  </w14:solidFill>
                </w14:textFill>
              </w:rPr>
              <w:t>供货期限</w:t>
            </w:r>
          </w:p>
        </w:tc>
        <w:tc>
          <w:tcPr>
            <w:tcW w:w="6039" w:type="dxa"/>
            <w:vAlign w:val="center"/>
          </w:tcPr>
          <w:p w14:paraId="4C32F259">
            <w:pPr>
              <w:overflowPunct/>
              <w:bidi w:val="0"/>
              <w:outlineLvl w:val="9"/>
              <w:rPr>
                <w:rFonts w:ascii="宋体" w:hAnsi="宋体"/>
                <w:b w:val="0"/>
                <w:bCs w:val="0"/>
                <w:color w:val="000000" w:themeColor="text1"/>
                <w:szCs w:val="21"/>
                <w:highlight w:val="none"/>
                <w14:textFill>
                  <w14:solidFill>
                    <w14:schemeClr w14:val="tx1"/>
                  </w14:solidFill>
                </w14:textFill>
              </w:rPr>
            </w:pPr>
            <w:r>
              <w:rPr>
                <w:rFonts w:hint="eastAsia" w:ascii="宋体" w:hAnsi="宋体"/>
                <w:b w:val="0"/>
                <w:bCs w:val="0"/>
                <w:color w:val="000000" w:themeColor="text1"/>
                <w:szCs w:val="21"/>
                <w:highlight w:val="none"/>
                <w14:textFill>
                  <w14:solidFill>
                    <w14:schemeClr w14:val="tx1"/>
                  </w14:solidFill>
                </w14:textFill>
              </w:rPr>
              <w:t>符合磋商文件规定</w:t>
            </w:r>
          </w:p>
        </w:tc>
      </w:tr>
      <w:tr w14:paraId="754DDF5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741" w:type="dxa"/>
            <w:vMerge w:val="continue"/>
            <w:vAlign w:val="center"/>
          </w:tcPr>
          <w:p w14:paraId="570B6A24">
            <w:pPr>
              <w:overflowPunct/>
              <w:bidi w:val="0"/>
              <w:jc w:val="center"/>
              <w:outlineLvl w:val="9"/>
              <w:rPr>
                <w:rFonts w:ascii="宋体" w:hAnsi="宋体"/>
                <w:color w:val="000000" w:themeColor="text1"/>
                <w:szCs w:val="21"/>
                <w:highlight w:val="none"/>
                <w14:textFill>
                  <w14:solidFill>
                    <w14:schemeClr w14:val="tx1"/>
                  </w14:solidFill>
                </w14:textFill>
              </w:rPr>
            </w:pPr>
          </w:p>
        </w:tc>
        <w:tc>
          <w:tcPr>
            <w:tcW w:w="1149" w:type="dxa"/>
            <w:vMerge w:val="continue"/>
            <w:vAlign w:val="center"/>
          </w:tcPr>
          <w:p w14:paraId="55EFB5EE">
            <w:pPr>
              <w:overflowPunct/>
              <w:bidi w:val="0"/>
              <w:jc w:val="center"/>
              <w:outlineLvl w:val="9"/>
              <w:rPr>
                <w:rFonts w:ascii="宋体" w:hAnsi="宋体"/>
                <w:color w:val="000000" w:themeColor="text1"/>
                <w:szCs w:val="21"/>
                <w:highlight w:val="none"/>
                <w14:textFill>
                  <w14:solidFill>
                    <w14:schemeClr w14:val="tx1"/>
                  </w14:solidFill>
                </w14:textFill>
              </w:rPr>
            </w:pPr>
          </w:p>
        </w:tc>
        <w:tc>
          <w:tcPr>
            <w:tcW w:w="1710" w:type="dxa"/>
            <w:vAlign w:val="center"/>
          </w:tcPr>
          <w:p w14:paraId="755DBC60">
            <w:pPr>
              <w:overflowPunct/>
              <w:bidi w:val="0"/>
              <w:jc w:val="center"/>
              <w:outlineLvl w:val="9"/>
              <w:rPr>
                <w:rFonts w:ascii="宋体" w:hAnsi="宋体"/>
                <w:color w:val="000000" w:themeColor="text1"/>
                <w:szCs w:val="21"/>
                <w:highlight w:val="none"/>
                <w14:textFill>
                  <w14:solidFill>
                    <w14:schemeClr w14:val="tx1"/>
                  </w14:solidFill>
                </w14:textFill>
              </w:rPr>
            </w:pPr>
            <w:r>
              <w:rPr>
                <w:rFonts w:hint="eastAsia" w:ascii="宋体" w:hAnsi="宋体"/>
                <w:color w:val="000000" w:themeColor="text1"/>
                <w:szCs w:val="21"/>
                <w:highlight w:val="none"/>
                <w14:textFill>
                  <w14:solidFill>
                    <w14:schemeClr w14:val="tx1"/>
                  </w14:solidFill>
                </w14:textFill>
              </w:rPr>
              <w:t>质量标准</w:t>
            </w:r>
          </w:p>
        </w:tc>
        <w:tc>
          <w:tcPr>
            <w:tcW w:w="6039" w:type="dxa"/>
            <w:vAlign w:val="center"/>
          </w:tcPr>
          <w:p w14:paraId="7F949EF6">
            <w:pPr>
              <w:overflowPunct/>
              <w:bidi w:val="0"/>
              <w:outlineLvl w:val="9"/>
              <w:rPr>
                <w:rFonts w:ascii="宋体" w:hAnsi="宋体"/>
                <w:b w:val="0"/>
                <w:bCs w:val="0"/>
                <w:color w:val="000000" w:themeColor="text1"/>
                <w:szCs w:val="21"/>
                <w:highlight w:val="none"/>
                <w14:textFill>
                  <w14:solidFill>
                    <w14:schemeClr w14:val="tx1"/>
                  </w14:solidFill>
                </w14:textFill>
              </w:rPr>
            </w:pPr>
            <w:r>
              <w:rPr>
                <w:rFonts w:hint="eastAsia" w:ascii="宋体" w:hAnsi="宋体"/>
                <w:b w:val="0"/>
                <w:bCs w:val="0"/>
                <w:color w:val="000000" w:themeColor="text1"/>
                <w:szCs w:val="21"/>
                <w:highlight w:val="none"/>
                <w:lang w:val="en-US" w:eastAsia="zh-CN"/>
                <w14:textFill>
                  <w14:solidFill>
                    <w14:schemeClr w14:val="tx1"/>
                  </w14:solidFill>
                </w14:textFill>
              </w:rPr>
              <w:t>符合现行国家、行业、地方或者其他相关标准的合格要求</w:t>
            </w:r>
          </w:p>
        </w:tc>
      </w:tr>
      <w:tr w14:paraId="7D348F4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41" w:type="dxa"/>
            <w:vMerge w:val="continue"/>
            <w:vAlign w:val="center"/>
          </w:tcPr>
          <w:p w14:paraId="67AD0870">
            <w:pPr>
              <w:overflowPunct/>
              <w:bidi w:val="0"/>
              <w:jc w:val="center"/>
              <w:outlineLvl w:val="9"/>
              <w:rPr>
                <w:rFonts w:ascii="宋体" w:hAnsi="宋体"/>
                <w:color w:val="000000" w:themeColor="text1"/>
                <w:szCs w:val="21"/>
                <w:highlight w:val="none"/>
                <w14:textFill>
                  <w14:solidFill>
                    <w14:schemeClr w14:val="tx1"/>
                  </w14:solidFill>
                </w14:textFill>
              </w:rPr>
            </w:pPr>
          </w:p>
        </w:tc>
        <w:tc>
          <w:tcPr>
            <w:tcW w:w="1149" w:type="dxa"/>
            <w:vMerge w:val="continue"/>
            <w:vAlign w:val="center"/>
          </w:tcPr>
          <w:p w14:paraId="7E685D3B">
            <w:pPr>
              <w:overflowPunct/>
              <w:bidi w:val="0"/>
              <w:jc w:val="center"/>
              <w:outlineLvl w:val="9"/>
              <w:rPr>
                <w:rFonts w:ascii="宋体" w:hAnsi="宋体"/>
                <w:color w:val="000000" w:themeColor="text1"/>
                <w:szCs w:val="21"/>
                <w:highlight w:val="none"/>
                <w14:textFill>
                  <w14:solidFill>
                    <w14:schemeClr w14:val="tx1"/>
                  </w14:solidFill>
                </w14:textFill>
              </w:rPr>
            </w:pPr>
          </w:p>
        </w:tc>
        <w:tc>
          <w:tcPr>
            <w:tcW w:w="1710" w:type="dxa"/>
            <w:vAlign w:val="center"/>
          </w:tcPr>
          <w:p w14:paraId="3159942D">
            <w:pPr>
              <w:overflowPunct/>
              <w:bidi w:val="0"/>
              <w:jc w:val="center"/>
              <w:outlineLvl w:val="9"/>
              <w:rPr>
                <w:rFonts w:ascii="宋体" w:hAnsi="宋体"/>
                <w:color w:val="000000" w:themeColor="text1"/>
                <w:szCs w:val="21"/>
                <w:highlight w:val="none"/>
                <w14:textFill>
                  <w14:solidFill>
                    <w14:schemeClr w14:val="tx1"/>
                  </w14:solidFill>
                </w14:textFill>
              </w:rPr>
            </w:pPr>
            <w:r>
              <w:rPr>
                <w:rFonts w:hint="eastAsia" w:ascii="宋体" w:hAnsi="宋体"/>
                <w:color w:val="000000" w:themeColor="text1"/>
                <w:szCs w:val="21"/>
                <w:highlight w:val="none"/>
                <w14:textFill>
                  <w14:solidFill>
                    <w14:schemeClr w14:val="tx1"/>
                  </w14:solidFill>
                </w14:textFill>
              </w:rPr>
              <w:t>响应有效期</w:t>
            </w:r>
          </w:p>
        </w:tc>
        <w:tc>
          <w:tcPr>
            <w:tcW w:w="6039" w:type="dxa"/>
            <w:vAlign w:val="center"/>
          </w:tcPr>
          <w:p w14:paraId="1BFFDC0D">
            <w:pPr>
              <w:overflowPunct/>
              <w:bidi w:val="0"/>
              <w:outlineLvl w:val="9"/>
              <w:rPr>
                <w:rFonts w:ascii="宋体" w:hAnsi="宋体"/>
                <w:b w:val="0"/>
                <w:bCs w:val="0"/>
                <w:color w:val="000000" w:themeColor="text1"/>
                <w:szCs w:val="21"/>
                <w:highlight w:val="none"/>
                <w14:textFill>
                  <w14:solidFill>
                    <w14:schemeClr w14:val="tx1"/>
                  </w14:solidFill>
                </w14:textFill>
              </w:rPr>
            </w:pPr>
            <w:r>
              <w:rPr>
                <w:rFonts w:hint="eastAsia" w:ascii="宋体" w:hAnsi="宋体"/>
                <w:b w:val="0"/>
                <w:bCs w:val="0"/>
                <w:color w:val="000000" w:themeColor="text1"/>
                <w:szCs w:val="21"/>
                <w:highlight w:val="none"/>
                <w14:textFill>
                  <w14:solidFill>
                    <w14:schemeClr w14:val="tx1"/>
                  </w14:solidFill>
                </w14:textFill>
              </w:rPr>
              <w:t>投标截止之日后90天（日历天）</w:t>
            </w:r>
          </w:p>
        </w:tc>
      </w:tr>
      <w:tr w14:paraId="00FBB55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0" w:hRule="atLeast"/>
        </w:trPr>
        <w:tc>
          <w:tcPr>
            <w:tcW w:w="741" w:type="dxa"/>
            <w:vMerge w:val="continue"/>
            <w:vAlign w:val="center"/>
          </w:tcPr>
          <w:p w14:paraId="5F8BA905">
            <w:pPr>
              <w:overflowPunct/>
              <w:bidi w:val="0"/>
              <w:jc w:val="center"/>
              <w:outlineLvl w:val="9"/>
              <w:rPr>
                <w:rFonts w:ascii="宋体" w:hAnsi="宋体"/>
                <w:color w:val="000000" w:themeColor="text1"/>
                <w:szCs w:val="21"/>
                <w:highlight w:val="none"/>
                <w14:textFill>
                  <w14:solidFill>
                    <w14:schemeClr w14:val="tx1"/>
                  </w14:solidFill>
                </w14:textFill>
              </w:rPr>
            </w:pPr>
          </w:p>
        </w:tc>
        <w:tc>
          <w:tcPr>
            <w:tcW w:w="1149" w:type="dxa"/>
            <w:vMerge w:val="continue"/>
            <w:vAlign w:val="center"/>
          </w:tcPr>
          <w:p w14:paraId="5C4C247B">
            <w:pPr>
              <w:overflowPunct/>
              <w:bidi w:val="0"/>
              <w:jc w:val="center"/>
              <w:outlineLvl w:val="9"/>
              <w:rPr>
                <w:rFonts w:ascii="宋体" w:hAnsi="宋体"/>
                <w:color w:val="000000" w:themeColor="text1"/>
                <w:szCs w:val="21"/>
                <w:highlight w:val="none"/>
                <w14:textFill>
                  <w14:solidFill>
                    <w14:schemeClr w14:val="tx1"/>
                  </w14:solidFill>
                </w14:textFill>
              </w:rPr>
            </w:pPr>
          </w:p>
        </w:tc>
        <w:tc>
          <w:tcPr>
            <w:tcW w:w="1710" w:type="dxa"/>
            <w:vAlign w:val="center"/>
          </w:tcPr>
          <w:p w14:paraId="21BA3983">
            <w:pPr>
              <w:overflowPunct/>
              <w:bidi w:val="0"/>
              <w:jc w:val="center"/>
              <w:outlineLvl w:val="9"/>
              <w:rPr>
                <w:rFonts w:ascii="宋体" w:hAnsi="宋体"/>
                <w:color w:val="000000" w:themeColor="text1"/>
                <w:szCs w:val="21"/>
                <w:highlight w:val="none"/>
                <w14:textFill>
                  <w14:solidFill>
                    <w14:schemeClr w14:val="tx1"/>
                  </w14:solidFill>
                </w14:textFill>
              </w:rPr>
            </w:pPr>
            <w:r>
              <w:rPr>
                <w:rFonts w:hint="eastAsia" w:ascii="宋体" w:hAnsi="宋体"/>
                <w:color w:val="000000" w:themeColor="text1"/>
                <w:szCs w:val="21"/>
                <w:highlight w:val="none"/>
                <w:lang w:val="en-US" w:eastAsia="zh-CN"/>
                <w14:textFill>
                  <w14:solidFill>
                    <w14:schemeClr w14:val="tx1"/>
                  </w14:solidFill>
                </w14:textFill>
              </w:rPr>
              <w:t>采购需</w:t>
            </w:r>
            <w:r>
              <w:rPr>
                <w:rFonts w:hint="eastAsia" w:ascii="宋体" w:hAnsi="宋体"/>
                <w:color w:val="000000" w:themeColor="text1"/>
                <w:szCs w:val="21"/>
                <w:highlight w:val="none"/>
                <w14:textFill>
                  <w14:solidFill>
                    <w14:schemeClr w14:val="tx1"/>
                  </w14:solidFill>
                </w14:textFill>
              </w:rPr>
              <w:t>求</w:t>
            </w:r>
          </w:p>
        </w:tc>
        <w:tc>
          <w:tcPr>
            <w:tcW w:w="6039" w:type="dxa"/>
            <w:vAlign w:val="center"/>
          </w:tcPr>
          <w:p w14:paraId="6B44B1BF">
            <w:pPr>
              <w:overflowPunct/>
              <w:bidi w:val="0"/>
              <w:outlineLvl w:val="9"/>
              <w:rPr>
                <w:rFonts w:hint="eastAsia" w:ascii="宋体" w:hAnsi="宋体" w:eastAsia="宋体"/>
                <w:color w:val="000000" w:themeColor="text1"/>
                <w:szCs w:val="21"/>
                <w:highlight w:val="none"/>
                <w:lang w:eastAsia="zh-CN"/>
                <w14:textFill>
                  <w14:solidFill>
                    <w14:schemeClr w14:val="tx1"/>
                  </w14:solidFill>
                </w14:textFill>
              </w:rPr>
            </w:pPr>
            <w:r>
              <w:rPr>
                <w:rFonts w:hint="eastAsia" w:ascii="宋体" w:hAnsi="宋体"/>
                <w:color w:val="000000" w:themeColor="text1"/>
                <w:szCs w:val="21"/>
                <w:highlight w:val="none"/>
                <w14:textFill>
                  <w14:solidFill>
                    <w14:schemeClr w14:val="tx1"/>
                  </w14:solidFill>
                </w14:textFill>
              </w:rPr>
              <w:t>符合第</w:t>
            </w:r>
            <w:r>
              <w:rPr>
                <w:rFonts w:hint="eastAsia" w:ascii="宋体" w:hAnsi="宋体"/>
                <w:color w:val="000000" w:themeColor="text1"/>
                <w:szCs w:val="21"/>
                <w:highlight w:val="none"/>
                <w:lang w:val="en-US" w:eastAsia="zh-CN"/>
                <w14:textFill>
                  <w14:solidFill>
                    <w14:schemeClr w14:val="tx1"/>
                  </w14:solidFill>
                </w14:textFill>
              </w:rPr>
              <w:t>四</w:t>
            </w:r>
            <w:r>
              <w:rPr>
                <w:rFonts w:hint="eastAsia" w:ascii="宋体" w:hAnsi="宋体"/>
                <w:color w:val="000000" w:themeColor="text1"/>
                <w:szCs w:val="21"/>
                <w:highlight w:val="none"/>
                <w14:textFill>
                  <w14:solidFill>
                    <w14:schemeClr w14:val="tx1"/>
                  </w14:solidFill>
                </w14:textFill>
              </w:rPr>
              <w:t>章“技术标准和要求”规定</w:t>
            </w:r>
            <w:r>
              <w:rPr>
                <w:rFonts w:hint="eastAsia" w:ascii="宋体" w:hAnsi="宋体"/>
                <w:color w:val="000000" w:themeColor="text1"/>
                <w:szCs w:val="21"/>
                <w:highlight w:val="none"/>
                <w:lang w:eastAsia="zh-CN"/>
                <w14:textFill>
                  <w14:solidFill>
                    <w14:schemeClr w14:val="tx1"/>
                  </w14:solidFill>
                </w14:textFill>
              </w:rPr>
              <w:t>，</w:t>
            </w:r>
            <w:r>
              <w:rPr>
                <w:rFonts w:hint="eastAsia" w:asciiTheme="minorEastAsia" w:hAnsiTheme="minorEastAsia" w:eastAsiaTheme="minorEastAsia"/>
                <w:szCs w:val="21"/>
              </w:rPr>
              <w:t>技术指标</w:t>
            </w:r>
            <w:r>
              <w:rPr>
                <w:rFonts w:hint="eastAsia" w:asciiTheme="minorEastAsia" w:hAnsiTheme="minorEastAsia" w:eastAsiaTheme="minorEastAsia"/>
                <w:szCs w:val="21"/>
                <w:lang w:val="zh-CN"/>
              </w:rPr>
              <w:t>带“</w:t>
            </w:r>
            <w:r>
              <w:rPr>
                <w:rFonts w:hint="eastAsia" w:ascii="宋体" w:hAnsi="宋体"/>
                <w:szCs w:val="21"/>
              </w:rPr>
              <w:t>★</w:t>
            </w:r>
            <w:r>
              <w:rPr>
                <w:rFonts w:hint="eastAsia" w:asciiTheme="minorEastAsia" w:hAnsiTheme="minorEastAsia" w:eastAsiaTheme="minorEastAsia"/>
                <w:szCs w:val="21"/>
                <w:lang w:val="zh-CN"/>
              </w:rPr>
              <w:t>”指标为强制性指标，不满足的一项按无效投标处理。</w:t>
            </w:r>
          </w:p>
        </w:tc>
      </w:tr>
      <w:tr w14:paraId="1440714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1" w:hRule="atLeast"/>
        </w:trPr>
        <w:tc>
          <w:tcPr>
            <w:tcW w:w="741" w:type="dxa"/>
            <w:vMerge w:val="continue"/>
            <w:vAlign w:val="center"/>
          </w:tcPr>
          <w:p w14:paraId="59740DA1">
            <w:pPr>
              <w:overflowPunct/>
              <w:bidi w:val="0"/>
              <w:jc w:val="center"/>
              <w:outlineLvl w:val="9"/>
              <w:rPr>
                <w:rFonts w:ascii="宋体" w:hAnsi="宋体"/>
                <w:color w:val="000000" w:themeColor="text1"/>
                <w:szCs w:val="21"/>
                <w:highlight w:val="none"/>
                <w14:textFill>
                  <w14:solidFill>
                    <w14:schemeClr w14:val="tx1"/>
                  </w14:solidFill>
                </w14:textFill>
              </w:rPr>
            </w:pPr>
          </w:p>
        </w:tc>
        <w:tc>
          <w:tcPr>
            <w:tcW w:w="1149" w:type="dxa"/>
            <w:vMerge w:val="continue"/>
            <w:vAlign w:val="center"/>
          </w:tcPr>
          <w:p w14:paraId="481D0CCC">
            <w:pPr>
              <w:overflowPunct/>
              <w:bidi w:val="0"/>
              <w:jc w:val="center"/>
              <w:outlineLvl w:val="9"/>
              <w:rPr>
                <w:rFonts w:ascii="宋体" w:hAnsi="宋体"/>
                <w:color w:val="000000" w:themeColor="text1"/>
                <w:szCs w:val="21"/>
                <w:highlight w:val="none"/>
                <w14:textFill>
                  <w14:solidFill>
                    <w14:schemeClr w14:val="tx1"/>
                  </w14:solidFill>
                </w14:textFill>
              </w:rPr>
            </w:pPr>
          </w:p>
        </w:tc>
        <w:tc>
          <w:tcPr>
            <w:tcW w:w="1710" w:type="dxa"/>
            <w:vAlign w:val="center"/>
          </w:tcPr>
          <w:p w14:paraId="5EA1C6B8">
            <w:pPr>
              <w:overflowPunct/>
              <w:bidi w:val="0"/>
              <w:jc w:val="center"/>
              <w:outlineLvl w:val="9"/>
              <w:rPr>
                <w:rFonts w:hint="eastAsia" w:ascii="宋体" w:hAnsi="宋体" w:eastAsia="宋体"/>
                <w:color w:val="000000" w:themeColor="text1"/>
                <w:szCs w:val="21"/>
                <w:highlight w:val="none"/>
                <w:lang w:eastAsia="zh-CN"/>
                <w14:textFill>
                  <w14:solidFill>
                    <w14:schemeClr w14:val="tx1"/>
                  </w14:solidFill>
                </w14:textFill>
              </w:rPr>
            </w:pPr>
            <w:r>
              <w:rPr>
                <w:rFonts w:hint="eastAsia" w:ascii="宋体" w:hAnsi="宋体"/>
                <w:color w:val="000000" w:themeColor="text1"/>
                <w:szCs w:val="21"/>
                <w:highlight w:val="none"/>
                <w14:textFill>
                  <w14:solidFill>
                    <w14:schemeClr w14:val="tx1"/>
                  </w14:solidFill>
                </w14:textFill>
              </w:rPr>
              <w:t>磋商</w:t>
            </w:r>
            <w:r>
              <w:rPr>
                <w:rFonts w:hint="eastAsia" w:ascii="宋体" w:hAnsi="宋体"/>
                <w:color w:val="000000" w:themeColor="text1"/>
                <w:szCs w:val="21"/>
                <w:highlight w:val="none"/>
                <w:lang w:val="en-US" w:eastAsia="zh-CN"/>
                <w14:textFill>
                  <w14:solidFill>
                    <w14:schemeClr w14:val="tx1"/>
                  </w14:solidFill>
                </w14:textFill>
              </w:rPr>
              <w:t>报价</w:t>
            </w:r>
          </w:p>
        </w:tc>
        <w:tc>
          <w:tcPr>
            <w:tcW w:w="6039" w:type="dxa"/>
            <w:vAlign w:val="center"/>
          </w:tcPr>
          <w:p w14:paraId="2787E378">
            <w:pPr>
              <w:overflowPunct/>
              <w:bidi w:val="0"/>
              <w:outlineLvl w:val="9"/>
              <w:rPr>
                <w:rFonts w:ascii="宋体" w:hAnsi="宋体"/>
                <w:color w:val="000000" w:themeColor="text1"/>
                <w:szCs w:val="21"/>
                <w:highlight w:val="none"/>
                <w14:textFill>
                  <w14:solidFill>
                    <w14:schemeClr w14:val="tx1"/>
                  </w14:solidFill>
                </w14:textFill>
              </w:rPr>
            </w:pPr>
            <w:r>
              <w:rPr>
                <w:rFonts w:hint="eastAsia" w:ascii="宋体" w:hAnsi="宋体"/>
                <w:color w:val="000000" w:themeColor="text1"/>
                <w:szCs w:val="21"/>
                <w:highlight w:val="none"/>
                <w14:textFill>
                  <w14:solidFill>
                    <w14:schemeClr w14:val="tx1"/>
                  </w14:solidFill>
                </w14:textFill>
              </w:rPr>
              <w:t>低于（含等于）第二章“</w:t>
            </w:r>
            <w:r>
              <w:rPr>
                <w:rFonts w:hint="eastAsia" w:ascii="宋体" w:hAnsi="宋体"/>
                <w:color w:val="000000" w:themeColor="text1"/>
                <w:szCs w:val="21"/>
                <w:highlight w:val="none"/>
                <w:lang w:eastAsia="zh-CN"/>
                <w14:textFill>
                  <w14:solidFill>
                    <w14:schemeClr w14:val="tx1"/>
                  </w14:solidFill>
                </w14:textFill>
              </w:rPr>
              <w:t>供应商</w:t>
            </w:r>
            <w:r>
              <w:rPr>
                <w:rFonts w:hint="eastAsia" w:ascii="宋体" w:hAnsi="宋体"/>
                <w:color w:val="000000" w:themeColor="text1"/>
                <w:szCs w:val="21"/>
                <w:highlight w:val="none"/>
                <w14:textFill>
                  <w14:solidFill>
                    <w14:schemeClr w14:val="tx1"/>
                  </w14:solidFill>
                </w14:textFill>
              </w:rPr>
              <w:t>须知”前附表载明的</w:t>
            </w:r>
            <w:r>
              <w:rPr>
                <w:rFonts w:hint="eastAsia" w:ascii="宋体" w:hAnsi="宋体"/>
                <w:color w:val="000000" w:themeColor="text1"/>
                <w:szCs w:val="21"/>
                <w:highlight w:val="none"/>
                <w:lang w:eastAsia="zh-CN"/>
                <w14:textFill>
                  <w14:solidFill>
                    <w14:schemeClr w14:val="tx1"/>
                  </w14:solidFill>
                </w14:textFill>
              </w:rPr>
              <w:t>预算金额（最高限制价）</w:t>
            </w:r>
            <w:r>
              <w:rPr>
                <w:rFonts w:hint="eastAsia" w:ascii="宋体" w:hAnsi="宋体"/>
                <w:color w:val="000000" w:themeColor="text1"/>
                <w:szCs w:val="21"/>
                <w:highlight w:val="none"/>
                <w14:textFill>
                  <w14:solidFill>
                    <w14:schemeClr w14:val="tx1"/>
                  </w14:solidFill>
                </w14:textFill>
              </w:rPr>
              <w:t>。</w:t>
            </w:r>
          </w:p>
        </w:tc>
      </w:tr>
    </w:tbl>
    <w:p w14:paraId="64706281">
      <w:pPr>
        <w:overflowPunct/>
        <w:bidi w:val="0"/>
        <w:spacing w:beforeLines="100"/>
        <w:ind w:right="-496" w:rightChars="-236"/>
        <w:outlineLvl w:val="9"/>
        <w:rPr>
          <w:rFonts w:ascii="宋体" w:hAnsi="宋体" w:cs="宋体"/>
          <w:b/>
          <w:bCs/>
          <w:color w:val="000000" w:themeColor="text1"/>
          <w:sz w:val="18"/>
          <w:szCs w:val="18"/>
          <w:highlight w:val="none"/>
          <w:lang w:val="zh-CN"/>
          <w14:textFill>
            <w14:solidFill>
              <w14:schemeClr w14:val="tx1"/>
            </w14:solidFill>
          </w14:textFill>
        </w:rPr>
      </w:pPr>
      <w:r>
        <w:rPr>
          <w:rFonts w:hint="eastAsia" w:ascii="宋体" w:hAnsi="宋体" w:cs="宋体"/>
          <w:b/>
          <w:bCs/>
          <w:color w:val="000000" w:themeColor="text1"/>
          <w:sz w:val="18"/>
          <w:szCs w:val="18"/>
          <w:highlight w:val="none"/>
          <w:lang w:val="zh-CN"/>
          <w14:textFill>
            <w14:solidFill>
              <w14:schemeClr w14:val="tx1"/>
            </w14:solidFill>
          </w14:textFill>
        </w:rPr>
        <w:t>注：1</w:t>
      </w:r>
      <w:r>
        <w:rPr>
          <w:rFonts w:hint="eastAsia" w:ascii="宋体" w:hAnsi="宋体" w:cs="宋体"/>
          <w:b/>
          <w:bCs/>
          <w:color w:val="000000" w:themeColor="text1"/>
          <w:sz w:val="18"/>
          <w:szCs w:val="18"/>
          <w:highlight w:val="none"/>
          <w:lang w:val="en-US" w:eastAsia="zh-CN"/>
          <w14:textFill>
            <w14:solidFill>
              <w14:schemeClr w14:val="tx1"/>
            </w14:solidFill>
          </w14:textFill>
        </w:rPr>
        <w:t>.</w:t>
      </w:r>
      <w:r>
        <w:rPr>
          <w:rFonts w:hint="eastAsia" w:ascii="宋体" w:hAnsi="宋体" w:cs="宋体"/>
          <w:b/>
          <w:bCs/>
          <w:color w:val="000000" w:themeColor="text1"/>
          <w:sz w:val="18"/>
          <w:szCs w:val="18"/>
          <w:highlight w:val="none"/>
          <w:lang w:val="zh-CN"/>
          <w14:textFill>
            <w14:solidFill>
              <w14:schemeClr w14:val="tx1"/>
            </w14:solidFill>
          </w14:textFill>
        </w:rPr>
        <w:t>上述表中要求提供的证书、合同文件和相关证明文件等证件的复印件加盖公章装订在响应文件中。</w:t>
      </w:r>
    </w:p>
    <w:p w14:paraId="035CF559">
      <w:pPr>
        <w:overflowPunct/>
        <w:bidi w:val="0"/>
        <w:ind w:right="-496" w:rightChars="-236" w:firstLine="361" w:firstLineChars="200"/>
        <w:outlineLvl w:val="9"/>
        <w:rPr>
          <w:rFonts w:hint="eastAsia" w:ascii="宋体" w:hAnsi="宋体" w:cs="宋体"/>
          <w:b/>
          <w:bCs/>
          <w:color w:val="000000" w:themeColor="text1"/>
          <w:sz w:val="18"/>
          <w:szCs w:val="18"/>
          <w:highlight w:val="none"/>
          <w:lang w:val="zh-CN"/>
          <w14:textFill>
            <w14:solidFill>
              <w14:schemeClr w14:val="tx1"/>
            </w14:solidFill>
          </w14:textFill>
        </w:rPr>
      </w:pPr>
      <w:r>
        <w:rPr>
          <w:rFonts w:hint="eastAsia" w:ascii="宋体" w:hAnsi="宋体" w:cs="宋体"/>
          <w:b/>
          <w:bCs/>
          <w:color w:val="000000" w:themeColor="text1"/>
          <w:sz w:val="18"/>
          <w:szCs w:val="18"/>
          <w:highlight w:val="none"/>
          <w:lang w:val="zh-CN"/>
          <w14:textFill>
            <w14:solidFill>
              <w14:schemeClr w14:val="tx1"/>
            </w14:solidFill>
          </w14:textFill>
        </w:rPr>
        <w:t>2</w:t>
      </w:r>
      <w:r>
        <w:rPr>
          <w:rFonts w:hint="eastAsia" w:ascii="宋体" w:hAnsi="宋体" w:cs="宋体"/>
          <w:b/>
          <w:bCs/>
          <w:color w:val="000000" w:themeColor="text1"/>
          <w:sz w:val="18"/>
          <w:szCs w:val="18"/>
          <w:highlight w:val="none"/>
          <w:lang w:val="en-US" w:eastAsia="zh-CN"/>
          <w14:textFill>
            <w14:solidFill>
              <w14:schemeClr w14:val="tx1"/>
            </w14:solidFill>
          </w14:textFill>
        </w:rPr>
        <w:t>.</w:t>
      </w:r>
      <w:r>
        <w:rPr>
          <w:rFonts w:hint="eastAsia" w:ascii="宋体" w:hAnsi="宋体" w:cs="宋体"/>
          <w:b/>
          <w:bCs/>
          <w:color w:val="000000" w:themeColor="text1"/>
          <w:sz w:val="18"/>
          <w:szCs w:val="18"/>
          <w:highlight w:val="none"/>
          <w:lang w:val="zh-CN"/>
          <w14:textFill>
            <w14:solidFill>
              <w14:schemeClr w14:val="tx1"/>
            </w14:solidFill>
          </w14:textFill>
        </w:rPr>
        <w:t>上述内容中如某一证件正在年检或换证，需年检或换证部门出具有效证明方可确认。</w:t>
      </w:r>
    </w:p>
    <w:p w14:paraId="6D74671E">
      <w:pPr>
        <w:overflowPunct/>
        <w:bidi w:val="0"/>
        <w:ind w:firstLine="361"/>
        <w:outlineLvl w:val="9"/>
        <w:rPr>
          <w:rFonts w:hint="eastAsia" w:ascii="宋体" w:hAnsi="宋体" w:cs="宋体"/>
          <w:b/>
          <w:bCs/>
          <w:color w:val="000000" w:themeColor="text1"/>
          <w:sz w:val="18"/>
          <w:szCs w:val="18"/>
          <w:highlight w:val="none"/>
          <w:lang w:val="en-US" w:eastAsia="zh-CN"/>
          <w14:textFill>
            <w14:solidFill>
              <w14:schemeClr w14:val="tx1"/>
            </w14:solidFill>
          </w14:textFill>
        </w:rPr>
      </w:pPr>
      <w:r>
        <w:rPr>
          <w:rFonts w:hint="eastAsia" w:ascii="宋体" w:hAnsi="宋体" w:cs="宋体"/>
          <w:b/>
          <w:bCs/>
          <w:color w:val="000000" w:themeColor="text1"/>
          <w:sz w:val="18"/>
          <w:szCs w:val="18"/>
          <w:highlight w:val="none"/>
          <w:lang w:val="en-US" w:eastAsia="zh-CN"/>
          <w14:textFill>
            <w14:solidFill>
              <w14:schemeClr w14:val="tx1"/>
            </w14:solidFill>
          </w14:textFill>
        </w:rPr>
        <w:t>3.初步评审因素中有一项评审结果为不合格的，其响应作无效响应处理，不再进行下一步评审。</w:t>
      </w:r>
    </w:p>
    <w:p w14:paraId="1564B499">
      <w:pPr>
        <w:overflowPunct/>
        <w:bidi w:val="0"/>
        <w:ind w:firstLine="361"/>
        <w:outlineLvl w:val="9"/>
        <w:rPr>
          <w:rFonts w:hint="eastAsia" w:ascii="宋体" w:hAnsi="宋体" w:cs="宋体"/>
          <w:b/>
          <w:bCs/>
          <w:color w:val="000000" w:themeColor="text1"/>
          <w:sz w:val="18"/>
          <w:szCs w:val="18"/>
          <w:highlight w:val="none"/>
          <w:lang w:val="en-US" w:eastAsia="zh-CN"/>
          <w14:textFill>
            <w14:solidFill>
              <w14:schemeClr w14:val="tx1"/>
            </w14:solidFill>
          </w14:textFill>
        </w:rPr>
      </w:pPr>
      <w:r>
        <w:rPr>
          <w:rFonts w:hint="eastAsia" w:ascii="宋体" w:hAnsi="宋体" w:cs="宋体"/>
          <w:b/>
          <w:bCs/>
          <w:color w:val="000000" w:themeColor="text1"/>
          <w:sz w:val="18"/>
          <w:szCs w:val="18"/>
          <w:highlight w:val="none"/>
          <w:lang w:val="en-US" w:eastAsia="zh-CN"/>
          <w14:textFill>
            <w14:solidFill>
              <w14:schemeClr w14:val="tx1"/>
            </w14:solidFill>
          </w14:textFill>
        </w:rPr>
        <w:t>4.提供相同品牌产品且通过资格审查、符合性审查的不同供应商参加同一合同项下投标的，按一家供应商计算,评审后得分最高的同品牌供应商获得中标人推荐资格。</w:t>
      </w:r>
    </w:p>
    <w:p w14:paraId="07B50ECE">
      <w:pPr>
        <w:overflowPunct/>
        <w:bidi w:val="0"/>
        <w:ind w:firstLine="361"/>
        <w:outlineLvl w:val="9"/>
        <w:rPr>
          <w:rFonts w:hint="default" w:ascii="宋体" w:hAnsi="宋体" w:cs="宋体"/>
          <w:b/>
          <w:bCs/>
          <w:color w:val="000000" w:themeColor="text1"/>
          <w:sz w:val="18"/>
          <w:szCs w:val="18"/>
          <w:highlight w:val="none"/>
          <w:lang w:val="en-US" w:eastAsia="zh-CN"/>
          <w14:textFill>
            <w14:solidFill>
              <w14:schemeClr w14:val="tx1"/>
            </w14:solidFill>
          </w14:textFill>
        </w:rPr>
      </w:pPr>
    </w:p>
    <w:p w14:paraId="67AD9BA8">
      <w:pPr>
        <w:overflowPunct/>
        <w:bidi w:val="0"/>
        <w:outlineLvl w:val="9"/>
        <w:rPr>
          <w:rFonts w:ascii="宋体" w:hAnsi="宋体"/>
          <w:color w:val="000000" w:themeColor="text1"/>
          <w:highlight w:val="none"/>
          <w14:textFill>
            <w14:solidFill>
              <w14:schemeClr w14:val="tx1"/>
            </w14:solidFill>
          </w14:textFill>
        </w:rPr>
      </w:pPr>
      <w:r>
        <w:rPr>
          <w:rFonts w:ascii="宋体" w:hAnsi="宋体"/>
          <w:color w:val="000000" w:themeColor="text1"/>
          <w:highlight w:val="none"/>
          <w14:textFill>
            <w14:solidFill>
              <w14:schemeClr w14:val="tx1"/>
            </w14:solidFill>
          </w14:textFill>
        </w:rPr>
        <w:br w:type="page"/>
      </w:r>
    </w:p>
    <w:p w14:paraId="7665CC53">
      <w:pPr>
        <w:overflowPunct/>
        <w:bidi w:val="0"/>
        <w:spacing w:afterLines="50"/>
        <w:jc w:val="center"/>
        <w:outlineLvl w:val="9"/>
        <w:rPr>
          <w:rFonts w:hint="eastAsia" w:ascii="宋体" w:hAnsi="宋体" w:eastAsia="宋体"/>
          <w:b/>
          <w:color w:val="000000" w:themeColor="text1"/>
          <w:szCs w:val="21"/>
          <w:highlight w:val="none"/>
          <w:lang w:val="en-US" w:eastAsia="zh-CN"/>
          <w14:textFill>
            <w14:solidFill>
              <w14:schemeClr w14:val="tx1"/>
            </w14:solidFill>
          </w14:textFill>
        </w:rPr>
      </w:pPr>
      <w:r>
        <w:rPr>
          <w:rFonts w:hint="eastAsia" w:ascii="宋体" w:hAnsi="宋体"/>
          <w:b/>
          <w:color w:val="000000" w:themeColor="text1"/>
          <w:szCs w:val="21"/>
          <w:highlight w:val="none"/>
          <w14:textFill>
            <w14:solidFill>
              <w14:schemeClr w14:val="tx1"/>
            </w14:solidFill>
          </w14:textFill>
        </w:rPr>
        <w:t>详细评审</w:t>
      </w:r>
      <w:r>
        <w:rPr>
          <w:rFonts w:hint="eastAsia" w:ascii="宋体" w:hAnsi="宋体"/>
          <w:b/>
          <w:color w:val="000000" w:themeColor="text1"/>
          <w:szCs w:val="21"/>
          <w:highlight w:val="none"/>
          <w:lang w:val="en-US" w:eastAsia="zh-CN"/>
          <w14:textFill>
            <w14:solidFill>
              <w14:schemeClr w14:val="tx1"/>
            </w14:solidFill>
          </w14:textFill>
        </w:rPr>
        <w:t>标准</w:t>
      </w:r>
    </w:p>
    <w:tbl>
      <w:tblPr>
        <w:tblStyle w:val="38"/>
        <w:tblW w:w="9639" w:type="dxa"/>
        <w:tblInd w:w="8"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
      <w:tblGrid>
        <w:gridCol w:w="700"/>
        <w:gridCol w:w="939"/>
        <w:gridCol w:w="1737"/>
        <w:gridCol w:w="5606"/>
        <w:gridCol w:w="657"/>
      </w:tblGrid>
      <w:tr w14:paraId="4560970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00" w:hRule="atLeast"/>
        </w:trPr>
        <w:tc>
          <w:tcPr>
            <w:tcW w:w="1639" w:type="dxa"/>
            <w:gridSpan w:val="2"/>
            <w:vAlign w:val="center"/>
          </w:tcPr>
          <w:p w14:paraId="6C4C1734">
            <w:pPr>
              <w:keepNext w:val="0"/>
              <w:keepLines w:val="0"/>
              <w:pageBreakBefore w:val="0"/>
              <w:widowControl w:val="0"/>
              <w:kinsoku/>
              <w:wordWrap/>
              <w:overflowPunct/>
              <w:topLinePunct w:val="0"/>
              <w:bidi w:val="0"/>
              <w:snapToGrid/>
              <w:spacing w:line="0" w:lineRule="atLeast"/>
              <w:jc w:val="center"/>
              <w:outlineLvl w:val="9"/>
              <w:rPr>
                <w:rFonts w:ascii="宋体" w:hAnsi="宋体" w:cs="微软雅黑"/>
                <w:color w:val="000000" w:themeColor="text1"/>
                <w:szCs w:val="21"/>
                <w:highlight w:val="none"/>
                <w14:textFill>
                  <w14:solidFill>
                    <w14:schemeClr w14:val="tx1"/>
                  </w14:solidFill>
                </w14:textFill>
              </w:rPr>
            </w:pPr>
            <w:r>
              <w:rPr>
                <w:rFonts w:hint="eastAsia" w:ascii="宋体" w:hAnsi="宋体" w:cs="微软雅黑"/>
                <w:color w:val="000000" w:themeColor="text1"/>
                <w:szCs w:val="21"/>
                <w:highlight w:val="none"/>
                <w14:textFill>
                  <w14:solidFill>
                    <w14:schemeClr w14:val="tx1"/>
                  </w14:solidFill>
                </w14:textFill>
              </w:rPr>
              <w:t>条款号</w:t>
            </w:r>
          </w:p>
        </w:tc>
        <w:tc>
          <w:tcPr>
            <w:tcW w:w="1737" w:type="dxa"/>
            <w:vAlign w:val="center"/>
          </w:tcPr>
          <w:p w14:paraId="03ED789C">
            <w:pPr>
              <w:keepNext w:val="0"/>
              <w:keepLines w:val="0"/>
              <w:pageBreakBefore w:val="0"/>
              <w:widowControl w:val="0"/>
              <w:kinsoku/>
              <w:wordWrap/>
              <w:overflowPunct/>
              <w:topLinePunct w:val="0"/>
              <w:bidi w:val="0"/>
              <w:snapToGrid/>
              <w:spacing w:line="0" w:lineRule="atLeast"/>
              <w:jc w:val="center"/>
              <w:outlineLvl w:val="9"/>
              <w:rPr>
                <w:rFonts w:ascii="宋体" w:hAnsi="宋体" w:cs="微软雅黑"/>
                <w:color w:val="000000" w:themeColor="text1"/>
                <w:szCs w:val="21"/>
                <w:highlight w:val="none"/>
                <w14:textFill>
                  <w14:solidFill>
                    <w14:schemeClr w14:val="tx1"/>
                  </w14:solidFill>
                </w14:textFill>
              </w:rPr>
            </w:pPr>
            <w:r>
              <w:rPr>
                <w:rFonts w:hint="eastAsia" w:ascii="宋体" w:hAnsi="宋体" w:cs="微软雅黑"/>
                <w:color w:val="000000" w:themeColor="text1"/>
                <w:szCs w:val="21"/>
                <w:highlight w:val="none"/>
                <w14:textFill>
                  <w14:solidFill>
                    <w14:schemeClr w14:val="tx1"/>
                  </w14:solidFill>
                </w14:textFill>
              </w:rPr>
              <w:t>条款内容</w:t>
            </w:r>
          </w:p>
        </w:tc>
        <w:tc>
          <w:tcPr>
            <w:tcW w:w="6263" w:type="dxa"/>
            <w:gridSpan w:val="2"/>
            <w:vAlign w:val="center"/>
          </w:tcPr>
          <w:p w14:paraId="1ABEEB3F">
            <w:pPr>
              <w:keepNext w:val="0"/>
              <w:keepLines w:val="0"/>
              <w:pageBreakBefore w:val="0"/>
              <w:widowControl w:val="0"/>
              <w:kinsoku/>
              <w:wordWrap/>
              <w:overflowPunct/>
              <w:topLinePunct w:val="0"/>
              <w:bidi w:val="0"/>
              <w:snapToGrid/>
              <w:spacing w:line="0" w:lineRule="atLeast"/>
              <w:jc w:val="center"/>
              <w:outlineLvl w:val="9"/>
              <w:rPr>
                <w:rFonts w:ascii="宋体" w:hAnsi="宋体" w:cs="微软雅黑"/>
                <w:color w:val="000000" w:themeColor="text1"/>
                <w:szCs w:val="21"/>
                <w:highlight w:val="none"/>
                <w14:textFill>
                  <w14:solidFill>
                    <w14:schemeClr w14:val="tx1"/>
                  </w14:solidFill>
                </w14:textFill>
              </w:rPr>
            </w:pPr>
            <w:r>
              <w:rPr>
                <w:rFonts w:hint="eastAsia" w:ascii="宋体" w:hAnsi="宋体" w:cs="微软雅黑"/>
                <w:color w:val="000000" w:themeColor="text1"/>
                <w:szCs w:val="21"/>
                <w:highlight w:val="none"/>
                <w14:textFill>
                  <w14:solidFill>
                    <w14:schemeClr w14:val="tx1"/>
                  </w14:solidFill>
                </w14:textFill>
              </w:rPr>
              <w:t>编列内容</w:t>
            </w:r>
          </w:p>
        </w:tc>
      </w:tr>
      <w:tr w14:paraId="4A4AF62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85" w:hRule="atLeast"/>
        </w:trPr>
        <w:tc>
          <w:tcPr>
            <w:tcW w:w="1639" w:type="dxa"/>
            <w:gridSpan w:val="2"/>
            <w:vAlign w:val="center"/>
          </w:tcPr>
          <w:p w14:paraId="3BB31DD7">
            <w:pPr>
              <w:keepNext w:val="0"/>
              <w:keepLines w:val="0"/>
              <w:pageBreakBefore w:val="0"/>
              <w:widowControl w:val="0"/>
              <w:kinsoku/>
              <w:wordWrap/>
              <w:overflowPunct/>
              <w:topLinePunct w:val="0"/>
              <w:bidi w:val="0"/>
              <w:snapToGrid/>
              <w:spacing w:line="0" w:lineRule="atLeast"/>
              <w:jc w:val="center"/>
              <w:outlineLvl w:val="9"/>
              <w:rPr>
                <w:rFonts w:ascii="宋体" w:hAnsi="宋体" w:cs="微软雅黑"/>
                <w:color w:val="000000" w:themeColor="text1"/>
                <w:szCs w:val="21"/>
                <w:highlight w:val="none"/>
                <w14:textFill>
                  <w14:solidFill>
                    <w14:schemeClr w14:val="tx1"/>
                  </w14:solidFill>
                </w14:textFill>
              </w:rPr>
            </w:pPr>
            <w:r>
              <w:rPr>
                <w:rFonts w:hint="eastAsia" w:ascii="宋体" w:hAnsi="宋体" w:cs="微软雅黑"/>
                <w:color w:val="000000" w:themeColor="text1"/>
                <w:szCs w:val="21"/>
                <w:highlight w:val="none"/>
                <w14:textFill>
                  <w14:solidFill>
                    <w14:schemeClr w14:val="tx1"/>
                  </w14:solidFill>
                </w14:textFill>
              </w:rPr>
              <w:t>2.2.1</w:t>
            </w:r>
          </w:p>
        </w:tc>
        <w:tc>
          <w:tcPr>
            <w:tcW w:w="1737" w:type="dxa"/>
            <w:vAlign w:val="center"/>
          </w:tcPr>
          <w:p w14:paraId="2776CE65">
            <w:pPr>
              <w:keepNext w:val="0"/>
              <w:keepLines w:val="0"/>
              <w:pageBreakBefore w:val="0"/>
              <w:widowControl w:val="0"/>
              <w:kinsoku/>
              <w:wordWrap/>
              <w:overflowPunct/>
              <w:topLinePunct w:val="0"/>
              <w:bidi w:val="0"/>
              <w:snapToGrid/>
              <w:spacing w:line="0" w:lineRule="atLeast"/>
              <w:jc w:val="center"/>
              <w:outlineLvl w:val="9"/>
              <w:rPr>
                <w:rFonts w:hint="eastAsia" w:ascii="宋体" w:hAnsi="宋体" w:eastAsia="宋体" w:cs="微软雅黑"/>
                <w:color w:val="000000" w:themeColor="text1"/>
                <w:szCs w:val="21"/>
                <w:highlight w:val="none"/>
                <w:lang w:eastAsia="zh-CN"/>
                <w14:textFill>
                  <w14:solidFill>
                    <w14:schemeClr w14:val="tx1"/>
                  </w14:solidFill>
                </w14:textFill>
              </w:rPr>
            </w:pPr>
            <w:r>
              <w:rPr>
                <w:rFonts w:hint="eastAsia" w:ascii="宋体" w:hAnsi="宋体" w:cs="微软雅黑"/>
                <w:color w:val="000000" w:themeColor="text1"/>
                <w:szCs w:val="21"/>
                <w:highlight w:val="none"/>
                <w14:textFill>
                  <w14:solidFill>
                    <w14:schemeClr w14:val="tx1"/>
                  </w14:solidFill>
                </w14:textFill>
              </w:rPr>
              <w:t>分值构成</w:t>
            </w:r>
          </w:p>
          <w:p w14:paraId="70316368">
            <w:pPr>
              <w:keepNext w:val="0"/>
              <w:keepLines w:val="0"/>
              <w:pageBreakBefore w:val="0"/>
              <w:widowControl w:val="0"/>
              <w:kinsoku/>
              <w:wordWrap/>
              <w:overflowPunct/>
              <w:topLinePunct w:val="0"/>
              <w:bidi w:val="0"/>
              <w:snapToGrid/>
              <w:spacing w:line="0" w:lineRule="atLeast"/>
              <w:jc w:val="center"/>
              <w:outlineLvl w:val="9"/>
              <w:rPr>
                <w:rFonts w:ascii="宋体" w:hAnsi="宋体" w:cs="微软雅黑"/>
                <w:color w:val="000000" w:themeColor="text1"/>
                <w:szCs w:val="21"/>
                <w:highlight w:val="none"/>
                <w14:textFill>
                  <w14:solidFill>
                    <w14:schemeClr w14:val="tx1"/>
                  </w14:solidFill>
                </w14:textFill>
              </w:rPr>
            </w:pPr>
            <w:r>
              <w:rPr>
                <w:rFonts w:hint="eastAsia" w:ascii="宋体" w:hAnsi="宋体" w:cs="微软雅黑"/>
                <w:color w:val="000000" w:themeColor="text1"/>
                <w:szCs w:val="21"/>
                <w:highlight w:val="none"/>
                <w14:textFill>
                  <w14:solidFill>
                    <w14:schemeClr w14:val="tx1"/>
                  </w14:solidFill>
                </w14:textFill>
              </w:rPr>
              <w:t>（总分100分）</w:t>
            </w:r>
          </w:p>
        </w:tc>
        <w:tc>
          <w:tcPr>
            <w:tcW w:w="6263" w:type="dxa"/>
            <w:gridSpan w:val="2"/>
            <w:vAlign w:val="center"/>
          </w:tcPr>
          <w:p w14:paraId="332228C9">
            <w:pPr>
              <w:keepNext w:val="0"/>
              <w:keepLines w:val="0"/>
              <w:pageBreakBefore w:val="0"/>
              <w:widowControl w:val="0"/>
              <w:numPr>
                <w:ilvl w:val="0"/>
                <w:numId w:val="6"/>
              </w:numPr>
              <w:kinsoku/>
              <w:wordWrap/>
              <w:overflowPunct/>
              <w:topLinePunct w:val="0"/>
              <w:bidi w:val="0"/>
              <w:snapToGrid/>
              <w:spacing w:line="0" w:lineRule="atLeast"/>
              <w:jc w:val="left"/>
              <w:outlineLvl w:val="9"/>
              <w:rPr>
                <w:rFonts w:ascii="宋体" w:hAnsi="宋体" w:cs="微软雅黑"/>
                <w:color w:val="000000" w:themeColor="text1"/>
                <w:szCs w:val="21"/>
                <w:highlight w:val="none"/>
                <w14:textFill>
                  <w14:solidFill>
                    <w14:schemeClr w14:val="tx1"/>
                  </w14:solidFill>
                </w14:textFill>
              </w:rPr>
            </w:pPr>
            <w:r>
              <w:rPr>
                <w:rFonts w:ascii="宋体" w:hAnsi="宋体" w:cs="微软雅黑"/>
                <w:color w:val="000000" w:themeColor="text1"/>
                <w:szCs w:val="21"/>
                <w:highlight w:val="none"/>
                <w:lang w:val="zh-CN"/>
                <w14:textFill>
                  <w14:solidFill>
                    <w14:schemeClr w14:val="tx1"/>
                  </w14:solidFill>
                </w14:textFill>
              </w:rPr>
              <w:t>投标报价：</w:t>
            </w:r>
            <w:r>
              <w:rPr>
                <w:rFonts w:hint="eastAsia" w:ascii="宋体" w:hAnsi="宋体" w:cs="微软雅黑"/>
                <w:color w:val="000000" w:themeColor="text1"/>
                <w:szCs w:val="21"/>
                <w:highlight w:val="none"/>
                <w14:textFill>
                  <w14:solidFill>
                    <w14:schemeClr w14:val="tx1"/>
                  </w14:solidFill>
                </w14:textFill>
              </w:rPr>
              <w:t>30</w:t>
            </w:r>
            <w:r>
              <w:rPr>
                <w:rFonts w:ascii="宋体" w:hAnsi="宋体" w:cs="微软雅黑"/>
                <w:color w:val="000000" w:themeColor="text1"/>
                <w:szCs w:val="21"/>
                <w:highlight w:val="none"/>
                <w14:textFill>
                  <w14:solidFill>
                    <w14:schemeClr w14:val="tx1"/>
                  </w14:solidFill>
                </w14:textFill>
              </w:rPr>
              <w:t>分；</w:t>
            </w:r>
          </w:p>
          <w:p w14:paraId="14ED0F2C">
            <w:pPr>
              <w:keepNext w:val="0"/>
              <w:keepLines w:val="0"/>
              <w:pageBreakBefore w:val="0"/>
              <w:widowControl w:val="0"/>
              <w:numPr>
                <w:ilvl w:val="0"/>
                <w:numId w:val="6"/>
              </w:numPr>
              <w:kinsoku/>
              <w:wordWrap/>
              <w:overflowPunct/>
              <w:topLinePunct w:val="0"/>
              <w:bidi w:val="0"/>
              <w:snapToGrid/>
              <w:spacing w:line="0" w:lineRule="atLeast"/>
              <w:ind w:left="0" w:leftChars="0" w:firstLine="0" w:firstLineChars="0"/>
              <w:jc w:val="left"/>
              <w:outlineLvl w:val="9"/>
              <w:rPr>
                <w:rFonts w:ascii="宋体" w:hAnsi="宋体" w:cs="微软雅黑"/>
                <w:color w:val="000000" w:themeColor="text1"/>
                <w:szCs w:val="21"/>
                <w:highlight w:val="none"/>
                <w:lang w:val="zh-CN"/>
                <w14:textFill>
                  <w14:solidFill>
                    <w14:schemeClr w14:val="tx1"/>
                  </w14:solidFill>
                </w14:textFill>
              </w:rPr>
            </w:pPr>
            <w:r>
              <w:rPr>
                <w:rFonts w:hint="eastAsia" w:ascii="宋体" w:hAnsi="宋体" w:cs="微软雅黑"/>
                <w:color w:val="000000" w:themeColor="text1"/>
                <w:szCs w:val="21"/>
                <w:highlight w:val="none"/>
                <w14:textFill>
                  <w14:solidFill>
                    <w14:schemeClr w14:val="tx1"/>
                  </w14:solidFill>
                </w14:textFill>
              </w:rPr>
              <w:t>商务因素</w:t>
            </w:r>
            <w:r>
              <w:rPr>
                <w:rFonts w:ascii="宋体" w:hAnsi="宋体" w:cs="微软雅黑"/>
                <w:color w:val="000000" w:themeColor="text1"/>
                <w:szCs w:val="21"/>
                <w:highlight w:val="none"/>
                <w:lang w:val="zh-CN"/>
                <w14:textFill>
                  <w14:solidFill>
                    <w14:schemeClr w14:val="tx1"/>
                  </w14:solidFill>
                </w14:textFill>
              </w:rPr>
              <w:t>：</w:t>
            </w:r>
            <w:r>
              <w:rPr>
                <w:rFonts w:hint="eastAsia" w:ascii="宋体" w:hAnsi="宋体" w:cs="微软雅黑"/>
                <w:color w:val="000000" w:themeColor="text1"/>
                <w:szCs w:val="21"/>
                <w:highlight w:val="none"/>
                <w:lang w:val="en-US" w:eastAsia="zh-CN"/>
                <w14:textFill>
                  <w14:solidFill>
                    <w14:schemeClr w14:val="tx1"/>
                  </w14:solidFill>
                </w14:textFill>
              </w:rPr>
              <w:t>6</w:t>
            </w:r>
            <w:r>
              <w:rPr>
                <w:rFonts w:ascii="宋体" w:hAnsi="宋体" w:cs="微软雅黑"/>
                <w:color w:val="000000" w:themeColor="text1"/>
                <w:szCs w:val="21"/>
                <w:highlight w:val="none"/>
                <w:lang w:val="zh-CN"/>
                <w14:textFill>
                  <w14:solidFill>
                    <w14:schemeClr w14:val="tx1"/>
                  </w14:solidFill>
                </w14:textFill>
              </w:rPr>
              <w:t>分；</w:t>
            </w:r>
          </w:p>
          <w:p w14:paraId="1E6947DA">
            <w:pPr>
              <w:keepNext w:val="0"/>
              <w:keepLines w:val="0"/>
              <w:pageBreakBefore w:val="0"/>
              <w:widowControl w:val="0"/>
              <w:numPr>
                <w:ilvl w:val="0"/>
                <w:numId w:val="6"/>
              </w:numPr>
              <w:kinsoku/>
              <w:wordWrap/>
              <w:overflowPunct/>
              <w:topLinePunct w:val="0"/>
              <w:bidi w:val="0"/>
              <w:snapToGrid/>
              <w:spacing w:line="0" w:lineRule="atLeast"/>
              <w:ind w:left="0" w:leftChars="0" w:firstLine="0" w:firstLineChars="0"/>
              <w:jc w:val="left"/>
              <w:outlineLvl w:val="9"/>
              <w:rPr>
                <w:rFonts w:ascii="宋体" w:hAnsi="宋体" w:cs="微软雅黑"/>
                <w:color w:val="000000" w:themeColor="text1"/>
                <w:szCs w:val="21"/>
                <w:highlight w:val="none"/>
                <w14:textFill>
                  <w14:solidFill>
                    <w14:schemeClr w14:val="tx1"/>
                  </w14:solidFill>
                </w14:textFill>
              </w:rPr>
            </w:pPr>
            <w:r>
              <w:rPr>
                <w:rFonts w:hint="eastAsia" w:ascii="宋体" w:hAnsi="宋体" w:cs="微软雅黑"/>
                <w:color w:val="000000" w:themeColor="text1"/>
                <w:szCs w:val="21"/>
                <w:highlight w:val="none"/>
                <w14:textFill>
                  <w14:solidFill>
                    <w14:schemeClr w14:val="tx1"/>
                  </w14:solidFill>
                </w14:textFill>
              </w:rPr>
              <w:t>技术因素</w:t>
            </w:r>
            <w:r>
              <w:rPr>
                <w:rFonts w:ascii="宋体" w:hAnsi="宋体" w:cs="微软雅黑"/>
                <w:color w:val="000000" w:themeColor="text1"/>
                <w:szCs w:val="21"/>
                <w:highlight w:val="none"/>
                <w:lang w:val="zh-CN"/>
                <w14:textFill>
                  <w14:solidFill>
                    <w14:schemeClr w14:val="tx1"/>
                  </w14:solidFill>
                </w14:textFill>
              </w:rPr>
              <w:t>：</w:t>
            </w:r>
            <w:r>
              <w:rPr>
                <w:rFonts w:hint="eastAsia" w:ascii="宋体" w:hAnsi="宋体" w:cs="微软雅黑"/>
                <w:color w:val="000000" w:themeColor="text1"/>
                <w:szCs w:val="21"/>
                <w:highlight w:val="none"/>
                <w:lang w:val="en-US" w:eastAsia="zh-CN"/>
                <w14:textFill>
                  <w14:solidFill>
                    <w14:schemeClr w14:val="tx1"/>
                  </w14:solidFill>
                </w14:textFill>
              </w:rPr>
              <w:t>64</w:t>
            </w:r>
            <w:r>
              <w:rPr>
                <w:rFonts w:ascii="宋体" w:hAnsi="宋体" w:cs="微软雅黑"/>
                <w:color w:val="000000" w:themeColor="text1"/>
                <w:szCs w:val="21"/>
                <w:highlight w:val="none"/>
                <w:lang w:val="zh-CN"/>
                <w14:textFill>
                  <w14:solidFill>
                    <w14:schemeClr w14:val="tx1"/>
                  </w14:solidFill>
                </w14:textFill>
              </w:rPr>
              <w:t>分；</w:t>
            </w:r>
          </w:p>
        </w:tc>
      </w:tr>
      <w:tr w14:paraId="7EBF257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1728" w:hRule="atLeast"/>
        </w:trPr>
        <w:tc>
          <w:tcPr>
            <w:tcW w:w="1639" w:type="dxa"/>
            <w:gridSpan w:val="2"/>
            <w:vAlign w:val="center"/>
          </w:tcPr>
          <w:p w14:paraId="73D8FBE8">
            <w:pPr>
              <w:keepNext w:val="0"/>
              <w:keepLines w:val="0"/>
              <w:pageBreakBefore w:val="0"/>
              <w:widowControl w:val="0"/>
              <w:kinsoku/>
              <w:wordWrap/>
              <w:overflowPunct/>
              <w:topLinePunct w:val="0"/>
              <w:bidi w:val="0"/>
              <w:snapToGrid/>
              <w:spacing w:line="0" w:lineRule="atLeast"/>
              <w:jc w:val="center"/>
              <w:outlineLvl w:val="9"/>
              <w:rPr>
                <w:rFonts w:ascii="宋体" w:hAnsi="宋体" w:cs="微软雅黑"/>
                <w:color w:val="000000" w:themeColor="text1"/>
                <w:szCs w:val="21"/>
                <w:highlight w:val="none"/>
                <w14:textFill>
                  <w14:solidFill>
                    <w14:schemeClr w14:val="tx1"/>
                  </w14:solidFill>
                </w14:textFill>
              </w:rPr>
            </w:pPr>
            <w:r>
              <w:rPr>
                <w:rFonts w:hint="eastAsia" w:ascii="宋体" w:hAnsi="宋体" w:cs="微软雅黑"/>
                <w:color w:val="000000" w:themeColor="text1"/>
                <w:szCs w:val="21"/>
                <w:highlight w:val="none"/>
                <w14:textFill>
                  <w14:solidFill>
                    <w14:schemeClr w14:val="tx1"/>
                  </w14:solidFill>
                </w14:textFill>
              </w:rPr>
              <w:t>2.2.2</w:t>
            </w:r>
          </w:p>
        </w:tc>
        <w:tc>
          <w:tcPr>
            <w:tcW w:w="1737" w:type="dxa"/>
            <w:vAlign w:val="center"/>
          </w:tcPr>
          <w:p w14:paraId="298430E1">
            <w:pPr>
              <w:keepNext w:val="0"/>
              <w:keepLines w:val="0"/>
              <w:pageBreakBefore w:val="0"/>
              <w:widowControl w:val="0"/>
              <w:kinsoku/>
              <w:wordWrap/>
              <w:overflowPunct/>
              <w:topLinePunct w:val="0"/>
              <w:bidi w:val="0"/>
              <w:snapToGrid/>
              <w:spacing w:line="0" w:lineRule="atLeast"/>
              <w:jc w:val="center"/>
              <w:outlineLvl w:val="9"/>
              <w:rPr>
                <w:rFonts w:ascii="宋体" w:hAnsi="宋体" w:cs="微软雅黑"/>
                <w:color w:val="000000" w:themeColor="text1"/>
                <w:szCs w:val="21"/>
                <w:highlight w:val="none"/>
                <w14:textFill>
                  <w14:solidFill>
                    <w14:schemeClr w14:val="tx1"/>
                  </w14:solidFill>
                </w14:textFill>
              </w:rPr>
            </w:pPr>
            <w:r>
              <w:rPr>
                <w:rFonts w:hint="eastAsia" w:ascii="宋体" w:hAnsi="宋体" w:cs="微软雅黑"/>
                <w:color w:val="000000" w:themeColor="text1"/>
                <w:szCs w:val="21"/>
                <w:highlight w:val="none"/>
                <w14:textFill>
                  <w14:solidFill>
                    <w14:schemeClr w14:val="tx1"/>
                  </w14:solidFill>
                </w14:textFill>
              </w:rPr>
              <w:t>基准价计算方法</w:t>
            </w:r>
          </w:p>
        </w:tc>
        <w:tc>
          <w:tcPr>
            <w:tcW w:w="6263" w:type="dxa"/>
            <w:gridSpan w:val="2"/>
            <w:vAlign w:val="center"/>
          </w:tcPr>
          <w:p w14:paraId="48267229">
            <w:pPr>
              <w:keepNext w:val="0"/>
              <w:keepLines w:val="0"/>
              <w:pageBreakBefore w:val="0"/>
              <w:widowControl w:val="0"/>
              <w:kinsoku/>
              <w:wordWrap/>
              <w:overflowPunct/>
              <w:topLinePunct w:val="0"/>
              <w:bidi w:val="0"/>
              <w:snapToGrid/>
              <w:spacing w:line="0" w:lineRule="atLeast"/>
              <w:jc w:val="left"/>
              <w:outlineLvl w:val="9"/>
              <w:rPr>
                <w:rFonts w:ascii="宋体" w:hAnsi="宋体" w:cs="微软雅黑"/>
                <w:color w:val="000000" w:themeColor="text1"/>
                <w:szCs w:val="21"/>
                <w:highlight w:val="none"/>
                <w14:textFill>
                  <w14:solidFill>
                    <w14:schemeClr w14:val="tx1"/>
                  </w14:solidFill>
                </w14:textFill>
              </w:rPr>
            </w:pPr>
            <w:r>
              <w:rPr>
                <w:rFonts w:hint="eastAsia" w:ascii="宋体" w:hAnsi="宋体" w:cs="微软雅黑"/>
                <w:color w:val="000000" w:themeColor="text1"/>
                <w:szCs w:val="21"/>
                <w:highlight w:val="none"/>
                <w14:textFill>
                  <w14:solidFill>
                    <w14:schemeClr w14:val="tx1"/>
                  </w14:solidFill>
                </w14:textFill>
              </w:rPr>
              <w:t>价格分统一采用低价优先法计算，即满足磋商文件要求且最后报价最低的供应商的价格为磋商基准价，其价格分为满分。其他供应商的价格分统一按照下列公式计算：</w:t>
            </w:r>
          </w:p>
          <w:p w14:paraId="6B499C30">
            <w:pPr>
              <w:keepNext w:val="0"/>
              <w:keepLines w:val="0"/>
              <w:pageBreakBefore w:val="0"/>
              <w:widowControl w:val="0"/>
              <w:kinsoku/>
              <w:wordWrap/>
              <w:overflowPunct/>
              <w:topLinePunct w:val="0"/>
              <w:bidi w:val="0"/>
              <w:snapToGrid/>
              <w:spacing w:line="0" w:lineRule="atLeast"/>
              <w:jc w:val="left"/>
              <w:outlineLvl w:val="9"/>
              <w:rPr>
                <w:rFonts w:ascii="宋体" w:hAnsi="宋体" w:cs="微软雅黑"/>
                <w:color w:val="000000" w:themeColor="text1"/>
                <w:szCs w:val="21"/>
                <w:highlight w:val="none"/>
                <w14:textFill>
                  <w14:solidFill>
                    <w14:schemeClr w14:val="tx1"/>
                  </w14:solidFill>
                </w14:textFill>
              </w:rPr>
            </w:pPr>
            <w:r>
              <w:rPr>
                <w:rFonts w:hint="eastAsia" w:ascii="宋体" w:hAnsi="宋体" w:cs="微软雅黑"/>
                <w:color w:val="000000" w:themeColor="text1"/>
                <w:szCs w:val="21"/>
                <w:highlight w:val="none"/>
                <w14:textFill>
                  <w14:solidFill>
                    <w14:schemeClr w14:val="tx1"/>
                  </w14:solidFill>
                </w14:textFill>
              </w:rPr>
              <w:t>磋商报价得分=（磋商基准价/最后磋商报价）×价格权值30%×100</w:t>
            </w:r>
          </w:p>
          <w:p w14:paraId="40710B28">
            <w:pPr>
              <w:keepNext w:val="0"/>
              <w:keepLines w:val="0"/>
              <w:pageBreakBefore w:val="0"/>
              <w:widowControl w:val="0"/>
              <w:kinsoku/>
              <w:wordWrap/>
              <w:overflowPunct/>
              <w:topLinePunct w:val="0"/>
              <w:bidi w:val="0"/>
              <w:snapToGrid/>
              <w:spacing w:line="0" w:lineRule="atLeast"/>
              <w:jc w:val="left"/>
              <w:outlineLvl w:val="9"/>
              <w:rPr>
                <w:rFonts w:ascii="宋体" w:hAnsi="宋体" w:cs="微软雅黑"/>
                <w:color w:val="000000" w:themeColor="text1"/>
                <w:szCs w:val="21"/>
                <w:highlight w:val="none"/>
                <w14:textFill>
                  <w14:solidFill>
                    <w14:schemeClr w14:val="tx1"/>
                  </w14:solidFill>
                </w14:textFill>
              </w:rPr>
            </w:pPr>
            <w:r>
              <w:rPr>
                <w:rFonts w:hint="eastAsia" w:ascii="宋体" w:hAnsi="宋体" w:cs="微软雅黑"/>
                <w:color w:val="000000" w:themeColor="text1"/>
                <w:szCs w:val="21"/>
                <w:highlight w:val="none"/>
                <w14:textFill>
                  <w14:solidFill>
                    <w14:schemeClr w14:val="tx1"/>
                  </w14:solidFill>
                </w14:textFill>
              </w:rPr>
              <w:t>超出</w:t>
            </w:r>
            <w:r>
              <w:rPr>
                <w:rFonts w:hint="eastAsia" w:ascii="宋体" w:hAnsi="宋体" w:cs="微软雅黑"/>
                <w:color w:val="000000" w:themeColor="text1"/>
                <w:szCs w:val="21"/>
                <w:highlight w:val="none"/>
                <w:lang w:val="en-US" w:eastAsia="zh-CN"/>
                <w14:textFill>
                  <w14:solidFill>
                    <w14:schemeClr w14:val="tx1"/>
                  </w14:solidFill>
                </w14:textFill>
              </w:rPr>
              <w:t>最高限价</w:t>
            </w:r>
            <w:r>
              <w:rPr>
                <w:rFonts w:hint="eastAsia" w:ascii="宋体" w:hAnsi="宋体" w:cs="微软雅黑"/>
                <w:color w:val="000000" w:themeColor="text1"/>
                <w:szCs w:val="21"/>
                <w:highlight w:val="none"/>
                <w14:textFill>
                  <w14:solidFill>
                    <w14:schemeClr w14:val="tx1"/>
                  </w14:solidFill>
                </w14:textFill>
              </w:rPr>
              <w:t>的磋商响应报价按</w:t>
            </w:r>
            <w:r>
              <w:rPr>
                <w:rFonts w:hint="eastAsia" w:ascii="宋体" w:hAnsi="宋体" w:cs="微软雅黑"/>
                <w:color w:val="000000" w:themeColor="text1"/>
                <w:szCs w:val="21"/>
                <w:highlight w:val="none"/>
                <w:lang w:val="en-US" w:eastAsia="zh-CN"/>
                <w14:textFill>
                  <w14:solidFill>
                    <w14:schemeClr w14:val="tx1"/>
                  </w14:solidFill>
                </w14:textFill>
              </w:rPr>
              <w:t>无效报价</w:t>
            </w:r>
            <w:r>
              <w:rPr>
                <w:rFonts w:hint="eastAsia" w:ascii="宋体" w:hAnsi="宋体" w:cs="微软雅黑"/>
                <w:color w:val="000000" w:themeColor="text1"/>
                <w:szCs w:val="21"/>
                <w:highlight w:val="none"/>
                <w14:textFill>
                  <w14:solidFill>
                    <w14:schemeClr w14:val="tx1"/>
                  </w14:solidFill>
                </w14:textFill>
              </w:rPr>
              <w:t>处理。</w:t>
            </w:r>
          </w:p>
          <w:p w14:paraId="606FAC7A">
            <w:pPr>
              <w:keepNext w:val="0"/>
              <w:keepLines w:val="0"/>
              <w:pageBreakBefore w:val="0"/>
              <w:widowControl w:val="0"/>
              <w:kinsoku/>
              <w:wordWrap/>
              <w:overflowPunct/>
              <w:topLinePunct w:val="0"/>
              <w:bidi w:val="0"/>
              <w:snapToGrid/>
              <w:spacing w:line="0" w:lineRule="atLeast"/>
              <w:jc w:val="left"/>
              <w:outlineLvl w:val="9"/>
              <w:rPr>
                <w:rFonts w:hint="eastAsia" w:ascii="宋体" w:hAnsi="宋体" w:eastAsia="宋体"/>
                <w:bCs/>
                <w:color w:val="000000" w:themeColor="text1"/>
                <w:szCs w:val="21"/>
                <w:highlight w:val="none"/>
                <w:lang w:eastAsia="zh-CN"/>
                <w14:textFill>
                  <w14:solidFill>
                    <w14:schemeClr w14:val="tx1"/>
                  </w14:solidFill>
                </w14:textFill>
              </w:rPr>
            </w:pPr>
            <w:r>
              <w:rPr>
                <w:rFonts w:hint="eastAsia" w:ascii="宋体" w:hAnsi="宋体" w:cs="微软雅黑"/>
                <w:color w:val="000000" w:themeColor="text1"/>
                <w:szCs w:val="21"/>
                <w:highlight w:val="none"/>
                <w14:textFill>
                  <w14:solidFill>
                    <w14:schemeClr w14:val="tx1"/>
                  </w14:solidFill>
                </w14:textFill>
              </w:rPr>
              <w:t>注：报价得分保留小数点后两位。</w:t>
            </w:r>
            <w:r>
              <w:rPr>
                <w:rFonts w:hint="eastAsia" w:ascii="宋体" w:hAnsi="宋体" w:cs="微软雅黑"/>
                <w:color w:val="000000" w:themeColor="text1"/>
                <w:szCs w:val="21"/>
                <w:highlight w:val="none"/>
                <w:lang w:eastAsia="zh-CN"/>
                <w14:textFill>
                  <w14:solidFill>
                    <w14:schemeClr w14:val="tx1"/>
                  </w14:solidFill>
                </w14:textFill>
              </w:rPr>
              <w:t>如有中小企业则按扣除后报价计算。</w:t>
            </w:r>
          </w:p>
        </w:tc>
      </w:tr>
      <w:tr w14:paraId="32E4CE0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13" w:hRule="atLeast"/>
        </w:trPr>
        <w:tc>
          <w:tcPr>
            <w:tcW w:w="1639" w:type="dxa"/>
            <w:gridSpan w:val="2"/>
            <w:vAlign w:val="center"/>
          </w:tcPr>
          <w:p w14:paraId="2B6CF709">
            <w:pPr>
              <w:keepNext w:val="0"/>
              <w:keepLines w:val="0"/>
              <w:pageBreakBefore w:val="0"/>
              <w:widowControl w:val="0"/>
              <w:kinsoku/>
              <w:wordWrap/>
              <w:overflowPunct/>
              <w:topLinePunct w:val="0"/>
              <w:bidi w:val="0"/>
              <w:snapToGrid/>
              <w:spacing w:line="0" w:lineRule="atLeast"/>
              <w:jc w:val="center"/>
              <w:outlineLvl w:val="9"/>
              <w:rPr>
                <w:rFonts w:ascii="宋体" w:hAnsi="宋体" w:cs="微软雅黑"/>
                <w:color w:val="000000" w:themeColor="text1"/>
                <w:szCs w:val="21"/>
                <w:highlight w:val="none"/>
                <w14:textFill>
                  <w14:solidFill>
                    <w14:schemeClr w14:val="tx1"/>
                  </w14:solidFill>
                </w14:textFill>
              </w:rPr>
            </w:pPr>
            <w:r>
              <w:rPr>
                <w:rFonts w:hint="eastAsia" w:ascii="宋体" w:hAnsi="宋体" w:cs="微软雅黑"/>
                <w:color w:val="000000" w:themeColor="text1"/>
                <w:szCs w:val="21"/>
                <w:highlight w:val="none"/>
                <w14:textFill>
                  <w14:solidFill>
                    <w14:schemeClr w14:val="tx1"/>
                  </w14:solidFill>
                </w14:textFill>
              </w:rPr>
              <w:t>条款号</w:t>
            </w:r>
          </w:p>
        </w:tc>
        <w:tc>
          <w:tcPr>
            <w:tcW w:w="1737" w:type="dxa"/>
            <w:vAlign w:val="center"/>
          </w:tcPr>
          <w:p w14:paraId="233BF754">
            <w:pPr>
              <w:keepNext w:val="0"/>
              <w:keepLines w:val="0"/>
              <w:pageBreakBefore w:val="0"/>
              <w:widowControl w:val="0"/>
              <w:kinsoku/>
              <w:wordWrap/>
              <w:overflowPunct/>
              <w:topLinePunct w:val="0"/>
              <w:bidi w:val="0"/>
              <w:snapToGrid/>
              <w:spacing w:line="0" w:lineRule="atLeast"/>
              <w:jc w:val="center"/>
              <w:outlineLvl w:val="9"/>
              <w:rPr>
                <w:rFonts w:ascii="宋体" w:hAnsi="宋体" w:cs="微软雅黑"/>
                <w:color w:val="000000" w:themeColor="text1"/>
                <w:szCs w:val="21"/>
                <w:highlight w:val="none"/>
                <w14:textFill>
                  <w14:solidFill>
                    <w14:schemeClr w14:val="tx1"/>
                  </w14:solidFill>
                </w14:textFill>
              </w:rPr>
            </w:pPr>
            <w:r>
              <w:rPr>
                <w:rFonts w:hint="eastAsia" w:ascii="宋体" w:hAnsi="宋体" w:cs="微软雅黑"/>
                <w:color w:val="000000" w:themeColor="text1"/>
                <w:szCs w:val="21"/>
                <w:highlight w:val="none"/>
                <w14:textFill>
                  <w14:solidFill>
                    <w14:schemeClr w14:val="tx1"/>
                  </w14:solidFill>
                </w14:textFill>
              </w:rPr>
              <w:t>评分因素</w:t>
            </w:r>
          </w:p>
        </w:tc>
        <w:tc>
          <w:tcPr>
            <w:tcW w:w="5606" w:type="dxa"/>
            <w:vAlign w:val="center"/>
          </w:tcPr>
          <w:p w14:paraId="05A4234A">
            <w:pPr>
              <w:keepNext w:val="0"/>
              <w:keepLines w:val="0"/>
              <w:pageBreakBefore w:val="0"/>
              <w:widowControl w:val="0"/>
              <w:kinsoku/>
              <w:wordWrap/>
              <w:overflowPunct/>
              <w:topLinePunct w:val="0"/>
              <w:bidi w:val="0"/>
              <w:snapToGrid/>
              <w:spacing w:line="0" w:lineRule="atLeast"/>
              <w:jc w:val="center"/>
              <w:outlineLvl w:val="9"/>
              <w:rPr>
                <w:rFonts w:ascii="宋体" w:hAnsi="宋体" w:cs="微软雅黑"/>
                <w:color w:val="000000" w:themeColor="text1"/>
                <w:szCs w:val="21"/>
                <w:highlight w:val="none"/>
                <w14:textFill>
                  <w14:solidFill>
                    <w14:schemeClr w14:val="tx1"/>
                  </w14:solidFill>
                </w14:textFill>
              </w:rPr>
            </w:pPr>
            <w:r>
              <w:rPr>
                <w:rFonts w:hint="eastAsia" w:ascii="宋体" w:hAnsi="宋体" w:cs="微软雅黑"/>
                <w:color w:val="000000" w:themeColor="text1"/>
                <w:szCs w:val="21"/>
                <w:highlight w:val="none"/>
                <w14:textFill>
                  <w14:solidFill>
                    <w14:schemeClr w14:val="tx1"/>
                  </w14:solidFill>
                </w14:textFill>
              </w:rPr>
              <w:t>评分标准</w:t>
            </w:r>
          </w:p>
        </w:tc>
        <w:tc>
          <w:tcPr>
            <w:tcW w:w="657" w:type="dxa"/>
            <w:vAlign w:val="center"/>
          </w:tcPr>
          <w:p w14:paraId="0B3519BB">
            <w:pPr>
              <w:keepNext w:val="0"/>
              <w:keepLines w:val="0"/>
              <w:pageBreakBefore w:val="0"/>
              <w:widowControl w:val="0"/>
              <w:kinsoku/>
              <w:wordWrap/>
              <w:overflowPunct/>
              <w:topLinePunct w:val="0"/>
              <w:bidi w:val="0"/>
              <w:snapToGrid/>
              <w:spacing w:line="0" w:lineRule="atLeast"/>
              <w:jc w:val="center"/>
              <w:outlineLvl w:val="9"/>
              <w:rPr>
                <w:rFonts w:ascii="宋体" w:hAnsi="宋体" w:cs="微软雅黑"/>
                <w:color w:val="000000" w:themeColor="text1"/>
                <w:szCs w:val="21"/>
                <w:highlight w:val="none"/>
                <w14:textFill>
                  <w14:solidFill>
                    <w14:schemeClr w14:val="tx1"/>
                  </w14:solidFill>
                </w14:textFill>
              </w:rPr>
            </w:pPr>
            <w:r>
              <w:rPr>
                <w:rFonts w:hint="eastAsia" w:ascii="宋体" w:hAnsi="宋体" w:cs="微软雅黑"/>
                <w:color w:val="000000" w:themeColor="text1"/>
                <w:szCs w:val="21"/>
                <w:highlight w:val="none"/>
                <w14:textFill>
                  <w14:solidFill>
                    <w14:schemeClr w14:val="tx1"/>
                  </w14:solidFill>
                </w14:textFill>
              </w:rPr>
              <w:t>得分</w:t>
            </w:r>
          </w:p>
        </w:tc>
      </w:tr>
      <w:tr w14:paraId="20DE728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802" w:hRule="atLeast"/>
        </w:trPr>
        <w:tc>
          <w:tcPr>
            <w:tcW w:w="700" w:type="dxa"/>
            <w:vAlign w:val="center"/>
          </w:tcPr>
          <w:p w14:paraId="2DD1F7D2">
            <w:pPr>
              <w:keepNext w:val="0"/>
              <w:keepLines w:val="0"/>
              <w:pageBreakBefore w:val="0"/>
              <w:widowControl w:val="0"/>
              <w:kinsoku/>
              <w:wordWrap/>
              <w:overflowPunct/>
              <w:topLinePunct w:val="0"/>
              <w:bidi w:val="0"/>
              <w:snapToGrid/>
              <w:spacing w:line="0" w:lineRule="atLeast"/>
              <w:jc w:val="center"/>
              <w:outlineLvl w:val="9"/>
              <w:rPr>
                <w:rFonts w:hint="eastAsia" w:ascii="宋体" w:hAnsi="宋体" w:cs="微软雅黑"/>
                <w:color w:val="000000" w:themeColor="text1"/>
                <w:szCs w:val="21"/>
                <w:highlight w:val="none"/>
                <w14:textFill>
                  <w14:solidFill>
                    <w14:schemeClr w14:val="tx1"/>
                  </w14:solidFill>
                </w14:textFill>
              </w:rPr>
            </w:pPr>
            <w:r>
              <w:rPr>
                <w:rFonts w:hint="eastAsia" w:ascii="宋体" w:hAnsi="宋体" w:cs="微软雅黑"/>
                <w:color w:val="000000" w:themeColor="text1"/>
                <w:szCs w:val="21"/>
                <w:highlight w:val="none"/>
                <w14:textFill>
                  <w14:solidFill>
                    <w14:schemeClr w14:val="tx1"/>
                  </w14:solidFill>
                </w14:textFill>
              </w:rPr>
              <w:t>2.2.3</w:t>
            </w:r>
          </w:p>
          <w:p w14:paraId="1DC3126B">
            <w:pPr>
              <w:keepNext w:val="0"/>
              <w:keepLines w:val="0"/>
              <w:pageBreakBefore w:val="0"/>
              <w:widowControl w:val="0"/>
              <w:kinsoku/>
              <w:wordWrap/>
              <w:overflowPunct/>
              <w:topLinePunct w:val="0"/>
              <w:bidi w:val="0"/>
              <w:snapToGrid/>
              <w:spacing w:line="0" w:lineRule="atLeast"/>
              <w:jc w:val="center"/>
              <w:outlineLvl w:val="9"/>
              <w:rPr>
                <w:rFonts w:hint="eastAsia" w:ascii="宋体" w:hAnsi="宋体" w:cs="微软雅黑"/>
                <w:color w:val="000000" w:themeColor="text1"/>
                <w:szCs w:val="21"/>
                <w:highlight w:val="none"/>
                <w14:textFill>
                  <w14:solidFill>
                    <w14:schemeClr w14:val="tx1"/>
                  </w14:solidFill>
                </w14:textFill>
              </w:rPr>
            </w:pPr>
            <w:r>
              <w:rPr>
                <w:rFonts w:hint="eastAsia" w:ascii="宋体" w:hAnsi="宋体" w:cs="微软雅黑"/>
                <w:color w:val="000000" w:themeColor="text1"/>
                <w:szCs w:val="21"/>
                <w:highlight w:val="none"/>
                <w14:textFill>
                  <w14:solidFill>
                    <w14:schemeClr w14:val="tx1"/>
                  </w14:solidFill>
                </w14:textFill>
              </w:rPr>
              <w:t>(1)</w:t>
            </w:r>
          </w:p>
        </w:tc>
        <w:tc>
          <w:tcPr>
            <w:tcW w:w="939" w:type="dxa"/>
            <w:vAlign w:val="center"/>
          </w:tcPr>
          <w:p w14:paraId="56D63098">
            <w:pPr>
              <w:keepNext w:val="0"/>
              <w:keepLines w:val="0"/>
              <w:pageBreakBefore w:val="0"/>
              <w:widowControl w:val="0"/>
              <w:kinsoku/>
              <w:wordWrap/>
              <w:overflowPunct/>
              <w:topLinePunct w:val="0"/>
              <w:bidi w:val="0"/>
              <w:snapToGrid/>
              <w:spacing w:line="0" w:lineRule="atLeast"/>
              <w:jc w:val="left"/>
              <w:outlineLvl w:val="9"/>
              <w:rPr>
                <w:rFonts w:ascii="宋体" w:hAnsi="宋体" w:cs="微软雅黑"/>
                <w:color w:val="000000" w:themeColor="text1"/>
                <w:szCs w:val="21"/>
                <w:highlight w:val="none"/>
                <w14:textFill>
                  <w14:solidFill>
                    <w14:schemeClr w14:val="tx1"/>
                  </w14:solidFill>
                </w14:textFill>
              </w:rPr>
            </w:pPr>
            <w:r>
              <w:rPr>
                <w:rFonts w:hint="eastAsia" w:ascii="宋体" w:hAnsi="宋体" w:cs="微软雅黑"/>
                <w:color w:val="000000" w:themeColor="text1"/>
                <w:szCs w:val="21"/>
                <w:highlight w:val="none"/>
                <w14:textFill>
                  <w14:solidFill>
                    <w14:schemeClr w14:val="tx1"/>
                  </w14:solidFill>
                </w14:textFill>
              </w:rPr>
              <w:t>磋商报价</w:t>
            </w:r>
          </w:p>
          <w:p w14:paraId="363439FD">
            <w:pPr>
              <w:keepNext w:val="0"/>
              <w:keepLines w:val="0"/>
              <w:pageBreakBefore w:val="0"/>
              <w:widowControl w:val="0"/>
              <w:kinsoku/>
              <w:wordWrap/>
              <w:overflowPunct/>
              <w:topLinePunct w:val="0"/>
              <w:bidi w:val="0"/>
              <w:snapToGrid/>
              <w:spacing w:line="0" w:lineRule="atLeast"/>
              <w:jc w:val="left"/>
              <w:outlineLvl w:val="9"/>
              <w:rPr>
                <w:rFonts w:ascii="宋体" w:hAnsi="宋体" w:cs="微软雅黑"/>
                <w:color w:val="000000" w:themeColor="text1"/>
                <w:szCs w:val="21"/>
                <w:highlight w:val="none"/>
                <w14:textFill>
                  <w14:solidFill>
                    <w14:schemeClr w14:val="tx1"/>
                  </w14:solidFill>
                </w14:textFill>
              </w:rPr>
            </w:pPr>
            <w:r>
              <w:rPr>
                <w:rFonts w:hint="eastAsia" w:ascii="宋体" w:hAnsi="宋体" w:cs="微软雅黑"/>
                <w:color w:val="000000" w:themeColor="text1"/>
                <w:szCs w:val="21"/>
                <w:highlight w:val="none"/>
                <w14:textFill>
                  <w14:solidFill>
                    <w14:schemeClr w14:val="tx1"/>
                  </w14:solidFill>
                </w14:textFill>
              </w:rPr>
              <w:t>评分标准</w:t>
            </w:r>
          </w:p>
          <w:p w14:paraId="08071715">
            <w:pPr>
              <w:keepNext w:val="0"/>
              <w:keepLines w:val="0"/>
              <w:pageBreakBefore w:val="0"/>
              <w:widowControl w:val="0"/>
              <w:kinsoku/>
              <w:wordWrap/>
              <w:overflowPunct/>
              <w:topLinePunct w:val="0"/>
              <w:bidi w:val="0"/>
              <w:snapToGrid/>
              <w:spacing w:line="0" w:lineRule="atLeast"/>
              <w:jc w:val="center"/>
              <w:outlineLvl w:val="9"/>
              <w:rPr>
                <w:rFonts w:hint="eastAsia" w:ascii="宋体" w:hAnsi="宋体" w:cs="微软雅黑"/>
                <w:color w:val="000000" w:themeColor="text1"/>
                <w:szCs w:val="21"/>
                <w:highlight w:val="none"/>
                <w:lang w:val="en-US" w:eastAsia="zh-CN"/>
                <w14:textFill>
                  <w14:solidFill>
                    <w14:schemeClr w14:val="tx1"/>
                  </w14:solidFill>
                </w14:textFill>
              </w:rPr>
            </w:pPr>
            <w:r>
              <w:rPr>
                <w:rFonts w:hint="eastAsia" w:ascii="宋体" w:hAnsi="宋体" w:cs="微软雅黑"/>
                <w:color w:val="000000" w:themeColor="text1"/>
                <w:szCs w:val="21"/>
                <w:highlight w:val="none"/>
                <w14:textFill>
                  <w14:solidFill>
                    <w14:schemeClr w14:val="tx1"/>
                  </w14:solidFill>
                </w14:textFill>
              </w:rPr>
              <w:t>30分</w:t>
            </w:r>
          </w:p>
        </w:tc>
        <w:tc>
          <w:tcPr>
            <w:tcW w:w="1737" w:type="dxa"/>
            <w:vAlign w:val="center"/>
          </w:tcPr>
          <w:p w14:paraId="2357E204">
            <w:pPr>
              <w:overflowPunct/>
              <w:bidi w:val="0"/>
              <w:spacing w:line="0" w:lineRule="atLeast"/>
              <w:ind w:right="69" w:rightChars="33" w:firstLine="100" w:firstLineChars="48"/>
              <w:jc w:val="center"/>
              <w:outlineLvl w:val="9"/>
              <w:rPr>
                <w:rFonts w:hint="eastAsia"/>
                <w:color w:val="000000" w:themeColor="text1"/>
                <w:sz w:val="21"/>
                <w:highlight w:val="none"/>
                <w:lang w:val="en-US"/>
                <w14:textFill>
                  <w14:solidFill>
                    <w14:schemeClr w14:val="tx1"/>
                  </w14:solidFill>
                </w14:textFill>
              </w:rPr>
            </w:pPr>
            <w:r>
              <w:rPr>
                <w:rFonts w:hint="eastAsia" w:ascii="宋体" w:hAnsi="宋体" w:cs="微软雅黑"/>
                <w:color w:val="000000" w:themeColor="text1"/>
                <w:szCs w:val="21"/>
                <w:highlight w:val="none"/>
                <w14:textFill>
                  <w14:solidFill>
                    <w14:schemeClr w14:val="tx1"/>
                  </w14:solidFill>
                </w14:textFill>
              </w:rPr>
              <w:t>磋商报价得分</w:t>
            </w:r>
          </w:p>
        </w:tc>
        <w:tc>
          <w:tcPr>
            <w:tcW w:w="5606" w:type="dxa"/>
            <w:vAlign w:val="center"/>
          </w:tcPr>
          <w:p w14:paraId="13F173DD">
            <w:pPr>
              <w:overflowPunct/>
              <w:bidi w:val="0"/>
              <w:spacing w:line="0" w:lineRule="atLeast"/>
              <w:outlineLvl w:val="9"/>
              <w:rPr>
                <w:rFonts w:hint="eastAsia" w:ascii="宋体" w:hAnsi="宋体" w:cs="微软雅黑"/>
                <w:color w:val="000000" w:themeColor="text1"/>
                <w:szCs w:val="21"/>
                <w:highlight w:val="none"/>
                <w14:textFill>
                  <w14:solidFill>
                    <w14:schemeClr w14:val="tx1"/>
                  </w14:solidFill>
                </w14:textFill>
              </w:rPr>
            </w:pPr>
            <w:r>
              <w:rPr>
                <w:rFonts w:hint="eastAsia" w:ascii="宋体" w:hAnsi="宋体" w:cs="微软雅黑"/>
                <w:color w:val="000000" w:themeColor="text1"/>
                <w:szCs w:val="21"/>
                <w:highlight w:val="none"/>
                <w14:textFill>
                  <w14:solidFill>
                    <w14:schemeClr w14:val="tx1"/>
                  </w14:solidFill>
                </w14:textFill>
              </w:rPr>
              <w:t>以第二次磋商报价（最终报价）为依据进行计算，通过初步评审的有效磋商报价的最低报价为磋商基准价。</w:t>
            </w:r>
          </w:p>
          <w:p w14:paraId="158B0526">
            <w:pPr>
              <w:overflowPunct/>
              <w:bidi w:val="0"/>
              <w:spacing w:line="0" w:lineRule="atLeast"/>
              <w:outlineLvl w:val="9"/>
              <w:rPr>
                <w:rFonts w:ascii="Times New Roman" w:hAnsi="Times New Roman" w:cs="Times New Roman"/>
                <w:color w:val="000000" w:themeColor="text1"/>
                <w:sz w:val="21"/>
                <w:szCs w:val="21"/>
                <w:highlight w:val="none"/>
                <w14:textFill>
                  <w14:solidFill>
                    <w14:schemeClr w14:val="tx1"/>
                  </w14:solidFill>
                </w14:textFill>
              </w:rPr>
            </w:pPr>
            <w:r>
              <w:rPr>
                <w:rFonts w:hint="eastAsia" w:ascii="宋体" w:hAnsi="宋体" w:cs="微软雅黑"/>
                <w:color w:val="000000" w:themeColor="text1"/>
                <w:szCs w:val="21"/>
                <w:highlight w:val="none"/>
                <w14:textFill>
                  <w14:solidFill>
                    <w14:schemeClr w14:val="tx1"/>
                  </w14:solidFill>
                </w14:textFill>
              </w:rPr>
              <w:t>最终报价得分=（磋商基准价/最终磋商报价）×30%×100，四舍五入保留小数点后两位有效数字。</w:t>
            </w:r>
          </w:p>
        </w:tc>
        <w:tc>
          <w:tcPr>
            <w:tcW w:w="657" w:type="dxa"/>
            <w:vAlign w:val="center"/>
          </w:tcPr>
          <w:p w14:paraId="788E5725">
            <w:pPr>
              <w:overflowPunct/>
              <w:bidi w:val="0"/>
              <w:spacing w:line="0" w:lineRule="atLeast"/>
              <w:ind w:right="84" w:rightChars="40" w:firstLine="54" w:firstLineChars="26"/>
              <w:jc w:val="center"/>
              <w:outlineLvl w:val="9"/>
              <w:rPr>
                <w:rFonts w:hint="eastAsia" w:ascii="宋体" w:hAnsi="宋体" w:cs="微软雅黑"/>
                <w:color w:val="000000" w:themeColor="text1"/>
                <w:szCs w:val="21"/>
                <w:highlight w:val="none"/>
                <w14:textFill>
                  <w14:solidFill>
                    <w14:schemeClr w14:val="tx1"/>
                  </w14:solidFill>
                </w14:textFill>
              </w:rPr>
            </w:pPr>
            <w:r>
              <w:rPr>
                <w:rFonts w:hint="eastAsia" w:ascii="宋体" w:hAnsi="宋体" w:cs="微软雅黑"/>
                <w:color w:val="000000" w:themeColor="text1"/>
                <w:szCs w:val="21"/>
                <w:highlight w:val="none"/>
                <w14:textFill>
                  <w14:solidFill>
                    <w14:schemeClr w14:val="tx1"/>
                  </w14:solidFill>
                </w14:textFill>
              </w:rPr>
              <w:t>0-30</w:t>
            </w:r>
          </w:p>
        </w:tc>
      </w:tr>
      <w:tr w14:paraId="16A5621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802" w:hRule="atLeast"/>
        </w:trPr>
        <w:tc>
          <w:tcPr>
            <w:tcW w:w="700" w:type="dxa"/>
            <w:vAlign w:val="center"/>
          </w:tcPr>
          <w:p w14:paraId="186BED4A">
            <w:pPr>
              <w:keepNext w:val="0"/>
              <w:keepLines w:val="0"/>
              <w:pageBreakBefore w:val="0"/>
              <w:widowControl w:val="0"/>
              <w:kinsoku/>
              <w:wordWrap/>
              <w:overflowPunct/>
              <w:topLinePunct w:val="0"/>
              <w:bidi w:val="0"/>
              <w:snapToGrid/>
              <w:spacing w:line="0" w:lineRule="atLeast"/>
              <w:jc w:val="center"/>
              <w:outlineLvl w:val="9"/>
              <w:rPr>
                <w:rFonts w:ascii="宋体" w:hAnsi="宋体" w:cs="微软雅黑"/>
                <w:color w:val="000000" w:themeColor="text1"/>
                <w:szCs w:val="21"/>
                <w:highlight w:val="none"/>
                <w14:textFill>
                  <w14:solidFill>
                    <w14:schemeClr w14:val="tx1"/>
                  </w14:solidFill>
                </w14:textFill>
              </w:rPr>
            </w:pPr>
            <w:r>
              <w:rPr>
                <w:rFonts w:hint="eastAsia" w:ascii="宋体" w:hAnsi="宋体" w:cs="微软雅黑"/>
                <w:color w:val="000000" w:themeColor="text1"/>
                <w:szCs w:val="21"/>
                <w:highlight w:val="none"/>
                <w14:textFill>
                  <w14:solidFill>
                    <w14:schemeClr w14:val="tx1"/>
                  </w14:solidFill>
                </w14:textFill>
              </w:rPr>
              <w:t>2.2.3</w:t>
            </w:r>
          </w:p>
          <w:p w14:paraId="3161BE67">
            <w:pPr>
              <w:keepNext w:val="0"/>
              <w:keepLines w:val="0"/>
              <w:pageBreakBefore w:val="0"/>
              <w:widowControl w:val="0"/>
              <w:kinsoku/>
              <w:wordWrap/>
              <w:overflowPunct/>
              <w:topLinePunct w:val="0"/>
              <w:bidi w:val="0"/>
              <w:snapToGrid/>
              <w:spacing w:line="0" w:lineRule="atLeast"/>
              <w:jc w:val="center"/>
              <w:outlineLvl w:val="9"/>
              <w:rPr>
                <w:rFonts w:ascii="宋体" w:hAnsi="宋体" w:cs="微软雅黑"/>
                <w:color w:val="000000" w:themeColor="text1"/>
                <w:szCs w:val="21"/>
                <w:highlight w:val="none"/>
                <w14:textFill>
                  <w14:solidFill>
                    <w14:schemeClr w14:val="tx1"/>
                  </w14:solidFill>
                </w14:textFill>
              </w:rPr>
            </w:pPr>
            <w:r>
              <w:rPr>
                <w:rFonts w:hint="eastAsia" w:ascii="宋体" w:hAnsi="宋体" w:cs="微软雅黑"/>
                <w:color w:val="000000" w:themeColor="text1"/>
                <w:szCs w:val="21"/>
                <w:highlight w:val="none"/>
                <w14:textFill>
                  <w14:solidFill>
                    <w14:schemeClr w14:val="tx1"/>
                  </w14:solidFill>
                </w14:textFill>
              </w:rPr>
              <w:t>(</w:t>
            </w:r>
            <w:r>
              <w:rPr>
                <w:rFonts w:hint="eastAsia" w:ascii="宋体" w:hAnsi="宋体" w:cs="微软雅黑"/>
                <w:color w:val="000000" w:themeColor="text1"/>
                <w:szCs w:val="21"/>
                <w:highlight w:val="none"/>
                <w:lang w:val="en-US" w:eastAsia="zh-CN"/>
                <w14:textFill>
                  <w14:solidFill>
                    <w14:schemeClr w14:val="tx1"/>
                  </w14:solidFill>
                </w14:textFill>
              </w:rPr>
              <w:t>2</w:t>
            </w:r>
            <w:r>
              <w:rPr>
                <w:rFonts w:hint="eastAsia" w:ascii="宋体" w:hAnsi="宋体" w:cs="微软雅黑"/>
                <w:color w:val="000000" w:themeColor="text1"/>
                <w:szCs w:val="21"/>
                <w:highlight w:val="none"/>
                <w14:textFill>
                  <w14:solidFill>
                    <w14:schemeClr w14:val="tx1"/>
                  </w14:solidFill>
                </w14:textFill>
              </w:rPr>
              <w:t>)</w:t>
            </w:r>
          </w:p>
        </w:tc>
        <w:tc>
          <w:tcPr>
            <w:tcW w:w="939" w:type="dxa"/>
            <w:vAlign w:val="center"/>
          </w:tcPr>
          <w:p w14:paraId="5DA1942D">
            <w:pPr>
              <w:keepNext w:val="0"/>
              <w:keepLines w:val="0"/>
              <w:pageBreakBefore w:val="0"/>
              <w:widowControl w:val="0"/>
              <w:kinsoku/>
              <w:wordWrap/>
              <w:overflowPunct/>
              <w:topLinePunct w:val="0"/>
              <w:bidi w:val="0"/>
              <w:snapToGrid/>
              <w:spacing w:line="0" w:lineRule="atLeast"/>
              <w:jc w:val="center"/>
              <w:outlineLvl w:val="9"/>
              <w:rPr>
                <w:rFonts w:hint="default" w:ascii="宋体" w:hAnsi="宋体" w:eastAsia="宋体" w:cs="微软雅黑"/>
                <w:color w:val="000000" w:themeColor="text1"/>
                <w:szCs w:val="21"/>
                <w:highlight w:val="none"/>
                <w:lang w:val="en-US" w:eastAsia="zh-CN"/>
                <w14:textFill>
                  <w14:solidFill>
                    <w14:schemeClr w14:val="tx1"/>
                  </w14:solidFill>
                </w14:textFill>
              </w:rPr>
            </w:pPr>
            <w:r>
              <w:rPr>
                <w:rFonts w:hint="eastAsia" w:ascii="宋体" w:hAnsi="宋体" w:cs="微软雅黑"/>
                <w:color w:val="000000" w:themeColor="text1"/>
                <w:szCs w:val="21"/>
                <w:highlight w:val="none"/>
                <w:lang w:val="en-US" w:eastAsia="zh-CN"/>
                <w14:textFill>
                  <w14:solidFill>
                    <w14:schemeClr w14:val="tx1"/>
                  </w14:solidFill>
                </w14:textFill>
              </w:rPr>
              <w:t>商务因素6分</w:t>
            </w:r>
          </w:p>
        </w:tc>
        <w:tc>
          <w:tcPr>
            <w:tcW w:w="1737" w:type="dxa"/>
            <w:vAlign w:val="center"/>
          </w:tcPr>
          <w:p w14:paraId="5B9F5622">
            <w:pPr>
              <w:pStyle w:val="106"/>
              <w:overflowPunct/>
              <w:bidi w:val="0"/>
              <w:spacing w:line="0" w:lineRule="atLeast"/>
              <w:jc w:val="center"/>
              <w:outlineLvl w:val="9"/>
              <w:rPr>
                <w:rFonts w:hint="eastAsia" w:ascii="宋体" w:hAnsi="宋体" w:eastAsia="宋体" w:cs="微软雅黑"/>
                <w:color w:val="000000" w:themeColor="text1"/>
                <w:kern w:val="2"/>
                <w:sz w:val="21"/>
                <w:szCs w:val="21"/>
                <w:highlight w:val="none"/>
                <w:lang w:val="en-US" w:eastAsia="zh-CN" w:bidi="ar-SA"/>
                <w14:textFill>
                  <w14:solidFill>
                    <w14:schemeClr w14:val="tx1"/>
                  </w14:solidFill>
                </w14:textFill>
              </w:rPr>
            </w:pPr>
            <w:r>
              <w:rPr>
                <w:rFonts w:hint="eastAsia"/>
                <w:color w:val="000000" w:themeColor="text1"/>
                <w:sz w:val="21"/>
                <w:highlight w:val="none"/>
                <w:lang w:val="en-US"/>
                <w14:textFill>
                  <w14:solidFill>
                    <w14:schemeClr w14:val="tx1"/>
                  </w14:solidFill>
                </w14:textFill>
              </w:rPr>
              <w:t>企业业绩</w:t>
            </w:r>
            <w:r>
              <w:rPr>
                <w:rFonts w:hint="eastAsia"/>
                <w:color w:val="000000" w:themeColor="text1"/>
                <w:sz w:val="21"/>
                <w:highlight w:val="none"/>
                <w:lang w:val="en-US" w:eastAsia="zh-CN"/>
                <w14:textFill>
                  <w14:solidFill>
                    <w14:schemeClr w14:val="tx1"/>
                  </w14:solidFill>
                </w14:textFill>
              </w:rPr>
              <w:t>（6分）</w:t>
            </w:r>
          </w:p>
        </w:tc>
        <w:tc>
          <w:tcPr>
            <w:tcW w:w="5606" w:type="dxa"/>
            <w:vAlign w:val="center"/>
          </w:tcPr>
          <w:p w14:paraId="36819841">
            <w:pPr>
              <w:pStyle w:val="106"/>
              <w:overflowPunct/>
              <w:bidi w:val="0"/>
              <w:spacing w:line="0" w:lineRule="atLeast"/>
              <w:jc w:val="both"/>
              <w:outlineLvl w:val="9"/>
              <w:rPr>
                <w:rFonts w:hint="eastAsia" w:ascii="Times New Roman" w:hAnsi="Times New Roman" w:cs="Times New Roman"/>
                <w:color w:val="000000" w:themeColor="text1"/>
                <w:sz w:val="21"/>
                <w:szCs w:val="21"/>
                <w:highlight w:val="none"/>
                <w14:textFill>
                  <w14:solidFill>
                    <w14:schemeClr w14:val="tx1"/>
                  </w14:solidFill>
                </w14:textFill>
              </w:rPr>
            </w:pPr>
            <w:r>
              <w:rPr>
                <w:rFonts w:hint="eastAsia" w:ascii="Times New Roman" w:hAnsi="Times New Roman" w:cs="Times New Roman"/>
                <w:color w:val="000000" w:themeColor="text1"/>
                <w:sz w:val="21"/>
                <w:szCs w:val="21"/>
                <w:highlight w:val="none"/>
                <w:lang w:eastAsia="zh-CN"/>
                <w14:textFill>
                  <w14:solidFill>
                    <w14:schemeClr w14:val="tx1"/>
                  </w14:solidFill>
                </w14:textFill>
              </w:rPr>
              <w:t>供应商或所投产品生产商</w:t>
            </w:r>
            <w:r>
              <w:rPr>
                <w:rFonts w:hint="eastAsia" w:ascii="Times New Roman" w:hAnsi="Times New Roman" w:cs="Times New Roman"/>
                <w:color w:val="000000" w:themeColor="text1"/>
                <w:sz w:val="21"/>
                <w:szCs w:val="21"/>
                <w:highlight w:val="none"/>
                <w14:textFill>
                  <w14:solidFill>
                    <w14:schemeClr w14:val="tx1"/>
                  </w14:solidFill>
                </w14:textFill>
              </w:rPr>
              <w:t>每提供</w:t>
            </w:r>
            <w:r>
              <w:rPr>
                <w:rFonts w:hint="eastAsia" w:ascii="Times New Roman" w:hAnsi="Times New Roman" w:cs="Times New Roman"/>
                <w:color w:val="000000" w:themeColor="text1"/>
                <w:sz w:val="21"/>
                <w:szCs w:val="21"/>
                <w:highlight w:val="none"/>
                <w:lang w:val="en-US"/>
                <w14:textFill>
                  <w14:solidFill>
                    <w14:schemeClr w14:val="tx1"/>
                  </w14:solidFill>
                </w14:textFill>
              </w:rPr>
              <w:t>一</w:t>
            </w:r>
            <w:r>
              <w:rPr>
                <w:rFonts w:hint="eastAsia" w:ascii="Times New Roman" w:hAnsi="Times New Roman" w:cs="Times New Roman"/>
                <w:color w:val="000000" w:themeColor="text1"/>
                <w:sz w:val="21"/>
                <w:szCs w:val="21"/>
                <w:highlight w:val="none"/>
                <w14:textFill>
                  <w14:solidFill>
                    <w14:schemeClr w14:val="tx1"/>
                  </w14:solidFill>
                </w14:textFill>
              </w:rPr>
              <w:t>项20</w:t>
            </w:r>
            <w:r>
              <w:rPr>
                <w:rFonts w:hint="eastAsia" w:ascii="Times New Roman" w:hAnsi="Times New Roman" w:cs="Times New Roman"/>
                <w:color w:val="000000" w:themeColor="text1"/>
                <w:sz w:val="21"/>
                <w:szCs w:val="21"/>
                <w:highlight w:val="none"/>
                <w:lang w:val="en-US" w:eastAsia="zh-CN"/>
                <w14:textFill>
                  <w14:solidFill>
                    <w14:schemeClr w14:val="tx1"/>
                  </w14:solidFill>
                </w14:textFill>
              </w:rPr>
              <w:t>20</w:t>
            </w:r>
            <w:r>
              <w:rPr>
                <w:rFonts w:hint="eastAsia" w:ascii="Times New Roman" w:hAnsi="Times New Roman" w:cs="Times New Roman"/>
                <w:color w:val="000000" w:themeColor="text1"/>
                <w:sz w:val="21"/>
                <w:szCs w:val="21"/>
                <w:highlight w:val="none"/>
                <w14:textFill>
                  <w14:solidFill>
                    <w14:schemeClr w14:val="tx1"/>
                  </w14:solidFill>
                </w14:textFill>
              </w:rPr>
              <w:t>年以来</w:t>
            </w:r>
            <w:r>
              <w:rPr>
                <w:rFonts w:hint="eastAsia" w:ascii="Times New Roman" w:hAnsi="Times New Roman" w:cs="Times New Roman"/>
                <w:color w:val="000000" w:themeColor="text1"/>
                <w:sz w:val="21"/>
                <w:szCs w:val="21"/>
                <w:highlight w:val="none"/>
                <w:lang w:val="en-US" w:eastAsia="zh-CN"/>
                <w14:textFill>
                  <w14:solidFill>
                    <w14:schemeClr w14:val="tx1"/>
                  </w14:solidFill>
                </w14:textFill>
              </w:rPr>
              <w:t>类似</w:t>
            </w:r>
            <w:r>
              <w:rPr>
                <w:rFonts w:hint="eastAsia" w:ascii="Times New Roman" w:hAnsi="Times New Roman" w:cs="Times New Roman"/>
                <w:color w:val="000000" w:themeColor="text1"/>
                <w:sz w:val="21"/>
                <w:szCs w:val="21"/>
                <w:highlight w:val="none"/>
                <w14:textFill>
                  <w14:solidFill>
                    <w14:schemeClr w14:val="tx1"/>
                  </w14:solidFill>
                </w14:textFill>
              </w:rPr>
              <w:t>业绩得</w:t>
            </w:r>
            <w:r>
              <w:rPr>
                <w:rFonts w:hint="eastAsia" w:ascii="Times New Roman" w:hAnsi="Times New Roman" w:cs="Times New Roman"/>
                <w:color w:val="000000" w:themeColor="text1"/>
                <w:sz w:val="21"/>
                <w:szCs w:val="21"/>
                <w:highlight w:val="none"/>
                <w:lang w:val="en-US"/>
                <w14:textFill>
                  <w14:solidFill>
                    <w14:schemeClr w14:val="tx1"/>
                  </w14:solidFill>
                </w14:textFill>
              </w:rPr>
              <w:t>2</w:t>
            </w:r>
            <w:r>
              <w:rPr>
                <w:rFonts w:hint="eastAsia" w:ascii="Times New Roman" w:hAnsi="Times New Roman" w:cs="Times New Roman"/>
                <w:color w:val="000000" w:themeColor="text1"/>
                <w:sz w:val="21"/>
                <w:szCs w:val="21"/>
                <w:highlight w:val="none"/>
                <w14:textFill>
                  <w14:solidFill>
                    <w14:schemeClr w14:val="tx1"/>
                  </w14:solidFill>
                </w14:textFill>
              </w:rPr>
              <w:t>分，最高得</w:t>
            </w:r>
            <w:r>
              <w:rPr>
                <w:rFonts w:hint="eastAsia" w:ascii="Times New Roman" w:hAnsi="Times New Roman" w:cs="Times New Roman"/>
                <w:color w:val="000000" w:themeColor="text1"/>
                <w:sz w:val="21"/>
                <w:szCs w:val="21"/>
                <w:highlight w:val="none"/>
                <w:lang w:val="en-US" w:eastAsia="zh-CN"/>
                <w14:textFill>
                  <w14:solidFill>
                    <w14:schemeClr w14:val="tx1"/>
                  </w14:solidFill>
                </w14:textFill>
              </w:rPr>
              <w:t>6</w:t>
            </w:r>
            <w:r>
              <w:rPr>
                <w:rFonts w:hint="eastAsia" w:ascii="Times New Roman" w:hAnsi="Times New Roman" w:cs="Times New Roman"/>
                <w:color w:val="000000" w:themeColor="text1"/>
                <w:sz w:val="21"/>
                <w:szCs w:val="21"/>
                <w:highlight w:val="none"/>
                <w14:textFill>
                  <w14:solidFill>
                    <w14:schemeClr w14:val="tx1"/>
                  </w14:solidFill>
                </w14:textFill>
              </w:rPr>
              <w:t>分。</w:t>
            </w:r>
          </w:p>
          <w:p w14:paraId="43DEAC91">
            <w:pPr>
              <w:pStyle w:val="106"/>
              <w:overflowPunct/>
              <w:bidi w:val="0"/>
              <w:spacing w:line="0" w:lineRule="atLeast"/>
              <w:jc w:val="both"/>
              <w:outlineLvl w:val="9"/>
              <w:rPr>
                <w:rFonts w:ascii="宋体" w:hAnsi="宋体" w:eastAsia="宋体" w:cs="微软雅黑"/>
                <w:color w:val="000000" w:themeColor="text1"/>
                <w:kern w:val="2"/>
                <w:sz w:val="21"/>
                <w:szCs w:val="21"/>
                <w:highlight w:val="none"/>
                <w:lang w:val="en-US" w:eastAsia="zh-CN" w:bidi="ar-SA"/>
                <w14:textFill>
                  <w14:solidFill>
                    <w14:schemeClr w14:val="tx1"/>
                  </w14:solidFill>
                </w14:textFill>
              </w:rPr>
            </w:pPr>
            <w:r>
              <w:rPr>
                <w:rFonts w:hint="eastAsia" w:ascii="Times New Roman" w:hAnsi="Times New Roman" w:cs="Times New Roman"/>
                <w:b/>
                <w:bCs/>
                <w:color w:val="000000" w:themeColor="text1"/>
                <w:sz w:val="21"/>
                <w:szCs w:val="21"/>
                <w:highlight w:val="none"/>
                <w14:textFill>
                  <w14:solidFill>
                    <w14:schemeClr w14:val="tx1"/>
                  </w14:solidFill>
                </w14:textFill>
              </w:rPr>
              <w:t>评分依据：</w:t>
            </w:r>
            <w:r>
              <w:rPr>
                <w:rFonts w:ascii="Times New Roman" w:hAnsi="Times New Roman" w:cs="Times New Roman"/>
                <w:b/>
                <w:bCs/>
                <w:color w:val="000000" w:themeColor="text1"/>
                <w:sz w:val="21"/>
                <w:szCs w:val="21"/>
                <w:highlight w:val="none"/>
                <w14:textFill>
                  <w14:solidFill>
                    <w14:schemeClr w14:val="tx1"/>
                  </w14:solidFill>
                </w14:textFill>
              </w:rPr>
              <w:t>提供中标</w:t>
            </w:r>
            <w:r>
              <w:rPr>
                <w:rFonts w:hint="eastAsia" w:ascii="Times New Roman" w:hAnsi="Times New Roman" w:cs="Times New Roman"/>
                <w:b/>
                <w:bCs/>
                <w:color w:val="000000" w:themeColor="text1"/>
                <w:sz w:val="21"/>
                <w:szCs w:val="21"/>
                <w:highlight w:val="none"/>
                <w:lang w:val="en-US"/>
                <w14:textFill>
                  <w14:solidFill>
                    <w14:schemeClr w14:val="tx1"/>
                  </w14:solidFill>
                </w14:textFill>
              </w:rPr>
              <w:t>/成交</w:t>
            </w:r>
            <w:r>
              <w:rPr>
                <w:rFonts w:ascii="Times New Roman" w:hAnsi="Times New Roman" w:cs="Times New Roman"/>
                <w:b/>
                <w:bCs/>
                <w:color w:val="000000" w:themeColor="text1"/>
                <w:sz w:val="21"/>
                <w:szCs w:val="21"/>
                <w:highlight w:val="none"/>
                <w14:textFill>
                  <w14:solidFill>
                    <w14:schemeClr w14:val="tx1"/>
                  </w14:solidFill>
                </w14:textFill>
              </w:rPr>
              <w:t>通知书或合同协议书</w:t>
            </w:r>
            <w:r>
              <w:rPr>
                <w:rFonts w:hint="eastAsia" w:ascii="Times New Roman" w:hAnsi="Times New Roman" w:cs="Times New Roman"/>
                <w:b/>
                <w:bCs/>
                <w:color w:val="000000" w:themeColor="text1"/>
                <w:sz w:val="21"/>
                <w:szCs w:val="21"/>
                <w:highlight w:val="none"/>
                <w14:textFill>
                  <w14:solidFill>
                    <w14:schemeClr w14:val="tx1"/>
                  </w14:solidFill>
                </w14:textFill>
              </w:rPr>
              <w:t>复印件加盖投标单位公章</w:t>
            </w:r>
          </w:p>
        </w:tc>
        <w:tc>
          <w:tcPr>
            <w:tcW w:w="657" w:type="dxa"/>
            <w:vAlign w:val="center"/>
          </w:tcPr>
          <w:p w14:paraId="3C119E20">
            <w:pPr>
              <w:overflowPunct/>
              <w:bidi w:val="0"/>
              <w:spacing w:line="0" w:lineRule="atLeast"/>
              <w:jc w:val="center"/>
              <w:outlineLvl w:val="9"/>
              <w:rPr>
                <w:rFonts w:hint="default" w:ascii="宋体" w:hAnsi="宋体" w:eastAsia="宋体" w:cs="微软雅黑"/>
                <w:color w:val="000000" w:themeColor="text1"/>
                <w:kern w:val="2"/>
                <w:sz w:val="21"/>
                <w:szCs w:val="21"/>
                <w:highlight w:val="none"/>
                <w:lang w:val="en-US" w:eastAsia="zh-CN" w:bidi="ar-SA"/>
                <w14:textFill>
                  <w14:solidFill>
                    <w14:schemeClr w14:val="tx1"/>
                  </w14:solidFill>
                </w14:textFill>
              </w:rPr>
            </w:pPr>
            <w:r>
              <w:rPr>
                <w:rFonts w:hint="eastAsia" w:ascii="宋体" w:hAnsi="宋体" w:cs="微软雅黑"/>
                <w:color w:val="000000" w:themeColor="text1"/>
                <w:szCs w:val="21"/>
                <w:highlight w:val="none"/>
                <w14:textFill>
                  <w14:solidFill>
                    <w14:schemeClr w14:val="tx1"/>
                  </w14:solidFill>
                </w14:textFill>
              </w:rPr>
              <w:t>0-</w:t>
            </w:r>
            <w:r>
              <w:rPr>
                <w:rFonts w:hint="eastAsia" w:ascii="宋体" w:hAnsi="宋体" w:cs="微软雅黑"/>
                <w:color w:val="000000" w:themeColor="text1"/>
                <w:szCs w:val="21"/>
                <w:highlight w:val="none"/>
                <w:lang w:val="en-US" w:eastAsia="zh-CN"/>
                <w14:textFill>
                  <w14:solidFill>
                    <w14:schemeClr w14:val="tx1"/>
                  </w14:solidFill>
                </w14:textFill>
              </w:rPr>
              <w:t>6</w:t>
            </w:r>
          </w:p>
        </w:tc>
      </w:tr>
      <w:tr w14:paraId="2249FE7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802" w:hRule="atLeast"/>
        </w:trPr>
        <w:tc>
          <w:tcPr>
            <w:tcW w:w="700" w:type="dxa"/>
            <w:vMerge w:val="restart"/>
            <w:vAlign w:val="center"/>
          </w:tcPr>
          <w:p w14:paraId="38AF9F0D">
            <w:pPr>
              <w:keepNext w:val="0"/>
              <w:keepLines w:val="0"/>
              <w:pageBreakBefore w:val="0"/>
              <w:widowControl w:val="0"/>
              <w:kinsoku/>
              <w:wordWrap/>
              <w:overflowPunct/>
              <w:topLinePunct w:val="0"/>
              <w:bidi w:val="0"/>
              <w:snapToGrid/>
              <w:spacing w:line="0" w:lineRule="atLeast"/>
              <w:jc w:val="center"/>
              <w:outlineLvl w:val="9"/>
              <w:rPr>
                <w:rFonts w:hint="eastAsia" w:ascii="宋体" w:hAnsi="宋体" w:cs="微软雅黑"/>
                <w:color w:val="000000" w:themeColor="text1"/>
                <w:szCs w:val="21"/>
                <w:highlight w:val="none"/>
                <w14:textFill>
                  <w14:solidFill>
                    <w14:schemeClr w14:val="tx1"/>
                  </w14:solidFill>
                </w14:textFill>
              </w:rPr>
            </w:pPr>
          </w:p>
        </w:tc>
        <w:tc>
          <w:tcPr>
            <w:tcW w:w="939" w:type="dxa"/>
            <w:vMerge w:val="restart"/>
            <w:vAlign w:val="center"/>
          </w:tcPr>
          <w:p w14:paraId="3BE8EE86">
            <w:pPr>
              <w:keepNext w:val="0"/>
              <w:keepLines w:val="0"/>
              <w:pageBreakBefore w:val="0"/>
              <w:widowControl w:val="0"/>
              <w:kinsoku/>
              <w:wordWrap/>
              <w:overflowPunct/>
              <w:topLinePunct w:val="0"/>
              <w:bidi w:val="0"/>
              <w:snapToGrid/>
              <w:spacing w:line="0" w:lineRule="atLeast"/>
              <w:jc w:val="center"/>
              <w:outlineLvl w:val="9"/>
              <w:rPr>
                <w:rFonts w:hint="eastAsia" w:ascii="宋体" w:hAnsi="宋体" w:cs="微软雅黑"/>
                <w:color w:val="000000" w:themeColor="text1"/>
                <w:szCs w:val="21"/>
                <w:highlight w:val="none"/>
                <w:lang w:val="en-US" w:eastAsia="zh-CN"/>
                <w14:textFill>
                  <w14:solidFill>
                    <w14:schemeClr w14:val="tx1"/>
                  </w14:solidFill>
                </w14:textFill>
              </w:rPr>
            </w:pPr>
          </w:p>
        </w:tc>
        <w:tc>
          <w:tcPr>
            <w:tcW w:w="1737" w:type="dxa"/>
            <w:vAlign w:val="center"/>
          </w:tcPr>
          <w:p w14:paraId="0B4FDBA9">
            <w:pPr>
              <w:pStyle w:val="106"/>
              <w:overflowPunct/>
              <w:bidi w:val="0"/>
              <w:spacing w:line="0" w:lineRule="atLeast"/>
              <w:jc w:val="center"/>
              <w:outlineLvl w:val="9"/>
              <w:rPr>
                <w:rFonts w:hint="eastAsia"/>
                <w:color w:val="000000" w:themeColor="text1"/>
                <w:sz w:val="21"/>
                <w:highlight w:val="none"/>
                <w:lang w:val="en-US"/>
                <w14:textFill>
                  <w14:solidFill>
                    <w14:schemeClr w14:val="tx1"/>
                  </w14:solidFill>
                </w14:textFill>
              </w:rPr>
            </w:pPr>
            <w:r>
              <w:rPr>
                <w:rFonts w:hint="eastAsia" w:asciiTheme="minorEastAsia" w:hAnsiTheme="minorEastAsia" w:eastAsiaTheme="minorEastAsia"/>
                <w:szCs w:val="21"/>
              </w:rPr>
              <w:t>技术指标符合性</w:t>
            </w:r>
          </w:p>
        </w:tc>
        <w:tc>
          <w:tcPr>
            <w:tcW w:w="5606" w:type="dxa"/>
            <w:vAlign w:val="center"/>
          </w:tcPr>
          <w:p w14:paraId="56CDE7BD">
            <w:pPr>
              <w:pStyle w:val="106"/>
              <w:overflowPunct/>
              <w:bidi w:val="0"/>
              <w:spacing w:line="0" w:lineRule="atLeast"/>
              <w:jc w:val="both"/>
              <w:outlineLvl w:val="9"/>
              <w:rPr>
                <w:rFonts w:hint="eastAsia" w:asciiTheme="minorEastAsia" w:hAnsiTheme="minorEastAsia" w:eastAsiaTheme="minorEastAsia"/>
                <w:szCs w:val="21"/>
                <w:lang w:val="zh-CN"/>
              </w:rPr>
            </w:pPr>
            <w:r>
              <w:rPr>
                <w:rFonts w:hint="eastAsia" w:asciiTheme="minorEastAsia" w:hAnsiTheme="minorEastAsia" w:eastAsiaTheme="minorEastAsia"/>
                <w:szCs w:val="21"/>
                <w:lang w:val="zh-CN"/>
              </w:rPr>
              <w:t>投标产品技术参数和配置完全满足或优于招标文件要求的，得</w:t>
            </w:r>
            <w:r>
              <w:rPr>
                <w:rFonts w:asciiTheme="minorEastAsia" w:hAnsiTheme="minorEastAsia" w:eastAsiaTheme="minorEastAsia"/>
                <w:szCs w:val="21"/>
                <w:lang w:val="zh-CN"/>
              </w:rPr>
              <w:t>2</w:t>
            </w:r>
            <w:r>
              <w:rPr>
                <w:rFonts w:hint="eastAsia" w:asciiTheme="minorEastAsia" w:hAnsiTheme="minorEastAsia" w:eastAsiaTheme="minorEastAsia"/>
                <w:szCs w:val="21"/>
                <w:lang w:val="en-US" w:eastAsia="zh-CN"/>
              </w:rPr>
              <w:t>0</w:t>
            </w:r>
            <w:r>
              <w:rPr>
                <w:rFonts w:hint="eastAsia" w:asciiTheme="minorEastAsia" w:hAnsiTheme="minorEastAsia" w:eastAsiaTheme="minorEastAsia"/>
                <w:szCs w:val="21"/>
                <w:lang w:val="zh-CN"/>
              </w:rPr>
              <w:t>分；其中带“▲”指标为重要指标，不满足的一项扣</w:t>
            </w:r>
            <w:r>
              <w:rPr>
                <w:rFonts w:hint="eastAsia" w:asciiTheme="minorEastAsia" w:hAnsiTheme="minorEastAsia" w:eastAsiaTheme="minorEastAsia"/>
                <w:szCs w:val="21"/>
                <w:lang w:val="en-US" w:eastAsia="zh-CN"/>
              </w:rPr>
              <w:t>2</w:t>
            </w:r>
            <w:r>
              <w:rPr>
                <w:rFonts w:hint="eastAsia" w:asciiTheme="minorEastAsia" w:hAnsiTheme="minorEastAsia" w:eastAsiaTheme="minorEastAsia"/>
                <w:szCs w:val="21"/>
                <w:lang w:val="zh-CN"/>
              </w:rPr>
              <w:t>分；其他指标不满足的一项扣</w:t>
            </w:r>
            <w:r>
              <w:rPr>
                <w:rFonts w:asciiTheme="minorEastAsia" w:hAnsiTheme="minorEastAsia" w:eastAsiaTheme="minorEastAsia"/>
                <w:szCs w:val="21"/>
                <w:lang w:val="zh-CN"/>
              </w:rPr>
              <w:t>1</w:t>
            </w:r>
            <w:r>
              <w:rPr>
                <w:rFonts w:hint="eastAsia" w:asciiTheme="minorEastAsia" w:hAnsiTheme="minorEastAsia" w:eastAsiaTheme="minorEastAsia"/>
                <w:szCs w:val="21"/>
                <w:lang w:val="zh-CN"/>
              </w:rPr>
              <w:t>分，最多扣</w:t>
            </w:r>
            <w:r>
              <w:rPr>
                <w:rFonts w:hint="eastAsia" w:asciiTheme="minorEastAsia" w:hAnsiTheme="minorEastAsia" w:eastAsiaTheme="minorEastAsia"/>
                <w:szCs w:val="21"/>
                <w:lang w:val="en-US" w:eastAsia="zh-CN"/>
              </w:rPr>
              <w:t>20</w:t>
            </w:r>
            <w:r>
              <w:rPr>
                <w:rFonts w:hint="eastAsia" w:asciiTheme="minorEastAsia" w:hAnsiTheme="minorEastAsia" w:eastAsiaTheme="minorEastAsia"/>
                <w:szCs w:val="21"/>
                <w:lang w:val="zh-CN"/>
              </w:rPr>
              <w:t>分。</w:t>
            </w:r>
          </w:p>
          <w:p w14:paraId="13D4DD0F">
            <w:pPr>
              <w:pStyle w:val="106"/>
              <w:overflowPunct/>
              <w:bidi w:val="0"/>
              <w:spacing w:line="0" w:lineRule="atLeast"/>
              <w:jc w:val="both"/>
              <w:outlineLvl w:val="9"/>
              <w:rPr>
                <w:rFonts w:hint="eastAsia" w:asciiTheme="minorEastAsia" w:hAnsiTheme="minorEastAsia" w:eastAsiaTheme="minorEastAsia"/>
                <w:szCs w:val="21"/>
                <w:lang w:val="zh-CN"/>
              </w:rPr>
            </w:pPr>
            <w:r>
              <w:rPr>
                <w:rFonts w:hint="eastAsia" w:asciiTheme="minorEastAsia" w:hAnsiTheme="minorEastAsia" w:eastAsiaTheme="minorEastAsia"/>
                <w:b/>
                <w:bCs/>
                <w:szCs w:val="21"/>
                <w:lang w:val="zh-CN"/>
              </w:rPr>
              <w:t>评分依据：提供相关佐证材料，包含但不限于产品彩页或技术参数确认函。</w:t>
            </w:r>
          </w:p>
        </w:tc>
        <w:tc>
          <w:tcPr>
            <w:tcW w:w="657" w:type="dxa"/>
            <w:vAlign w:val="center"/>
          </w:tcPr>
          <w:p w14:paraId="17E4CF5B">
            <w:pPr>
              <w:overflowPunct/>
              <w:bidi w:val="0"/>
              <w:spacing w:line="0" w:lineRule="atLeast"/>
              <w:jc w:val="center"/>
              <w:outlineLvl w:val="9"/>
              <w:rPr>
                <w:rFonts w:hint="default" w:ascii="宋体" w:hAnsi="宋体" w:eastAsia="宋体" w:cs="微软雅黑"/>
                <w:color w:val="000000" w:themeColor="text1"/>
                <w:szCs w:val="21"/>
                <w:highlight w:val="none"/>
                <w:lang w:val="en-US" w:eastAsia="zh-CN"/>
                <w14:textFill>
                  <w14:solidFill>
                    <w14:schemeClr w14:val="tx1"/>
                  </w14:solidFill>
                </w14:textFill>
              </w:rPr>
            </w:pPr>
            <w:r>
              <w:rPr>
                <w:rFonts w:hint="eastAsia" w:ascii="宋体" w:hAnsi="宋体" w:cs="微软雅黑"/>
                <w:color w:val="000000" w:themeColor="text1"/>
                <w:szCs w:val="21"/>
                <w:highlight w:val="none"/>
                <w:lang w:val="en-US" w:eastAsia="zh-CN"/>
                <w14:textFill>
                  <w14:solidFill>
                    <w14:schemeClr w14:val="tx1"/>
                  </w14:solidFill>
                </w14:textFill>
              </w:rPr>
              <w:t>0-20</w:t>
            </w:r>
          </w:p>
        </w:tc>
      </w:tr>
      <w:tr w14:paraId="68BE1F9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802" w:hRule="atLeast"/>
        </w:trPr>
        <w:tc>
          <w:tcPr>
            <w:tcW w:w="700" w:type="dxa"/>
            <w:vMerge w:val="continue"/>
            <w:tcBorders>
              <w:bottom w:val="nil"/>
            </w:tcBorders>
            <w:vAlign w:val="center"/>
          </w:tcPr>
          <w:p w14:paraId="4B0FDA6B">
            <w:pPr>
              <w:keepNext w:val="0"/>
              <w:keepLines w:val="0"/>
              <w:pageBreakBefore w:val="0"/>
              <w:widowControl w:val="0"/>
              <w:kinsoku/>
              <w:wordWrap/>
              <w:overflowPunct/>
              <w:topLinePunct w:val="0"/>
              <w:bidi w:val="0"/>
              <w:snapToGrid/>
              <w:spacing w:line="0" w:lineRule="atLeast"/>
              <w:jc w:val="center"/>
              <w:outlineLvl w:val="9"/>
              <w:rPr>
                <w:rFonts w:hint="eastAsia" w:ascii="宋体" w:hAnsi="宋体" w:cs="微软雅黑"/>
                <w:color w:val="000000" w:themeColor="text1"/>
                <w:szCs w:val="21"/>
                <w:highlight w:val="none"/>
                <w14:textFill>
                  <w14:solidFill>
                    <w14:schemeClr w14:val="tx1"/>
                  </w14:solidFill>
                </w14:textFill>
              </w:rPr>
            </w:pPr>
          </w:p>
        </w:tc>
        <w:tc>
          <w:tcPr>
            <w:tcW w:w="939" w:type="dxa"/>
            <w:vMerge w:val="continue"/>
            <w:tcBorders/>
            <w:vAlign w:val="center"/>
          </w:tcPr>
          <w:p w14:paraId="0B7768CA">
            <w:pPr>
              <w:keepNext w:val="0"/>
              <w:keepLines w:val="0"/>
              <w:pageBreakBefore w:val="0"/>
              <w:widowControl w:val="0"/>
              <w:kinsoku/>
              <w:wordWrap/>
              <w:overflowPunct/>
              <w:topLinePunct w:val="0"/>
              <w:bidi w:val="0"/>
              <w:snapToGrid/>
              <w:spacing w:line="0" w:lineRule="atLeast"/>
              <w:jc w:val="center"/>
              <w:outlineLvl w:val="9"/>
              <w:rPr>
                <w:rFonts w:hint="eastAsia" w:ascii="宋体" w:hAnsi="宋体" w:cs="微软雅黑"/>
                <w:color w:val="000000" w:themeColor="text1"/>
                <w:szCs w:val="21"/>
                <w:highlight w:val="none"/>
                <w:lang w:val="en-US" w:eastAsia="zh-CN"/>
                <w14:textFill>
                  <w14:solidFill>
                    <w14:schemeClr w14:val="tx1"/>
                  </w14:solidFill>
                </w14:textFill>
              </w:rPr>
            </w:pPr>
          </w:p>
        </w:tc>
        <w:tc>
          <w:tcPr>
            <w:tcW w:w="1737" w:type="dxa"/>
            <w:vAlign w:val="center"/>
          </w:tcPr>
          <w:p w14:paraId="19866ECE">
            <w:pPr>
              <w:pStyle w:val="106"/>
              <w:overflowPunct/>
              <w:bidi w:val="0"/>
              <w:spacing w:line="0" w:lineRule="atLeast"/>
              <w:jc w:val="center"/>
              <w:outlineLvl w:val="9"/>
              <w:rPr>
                <w:rFonts w:hint="eastAsia" w:asciiTheme="minorEastAsia" w:hAnsiTheme="minorEastAsia" w:eastAsiaTheme="minorEastAsia"/>
                <w:szCs w:val="21"/>
                <w:lang w:eastAsia="zh-CN"/>
              </w:rPr>
            </w:pPr>
            <w:r>
              <w:rPr>
                <w:rFonts w:hint="eastAsia" w:asciiTheme="minorEastAsia" w:hAnsiTheme="minorEastAsia" w:eastAsiaTheme="minorEastAsia"/>
                <w:szCs w:val="21"/>
                <w:lang w:eastAsia="zh-CN"/>
              </w:rPr>
              <w:t>产品质量评价（</w:t>
            </w:r>
            <w:r>
              <w:rPr>
                <w:rFonts w:hint="eastAsia" w:asciiTheme="minorEastAsia" w:hAnsiTheme="minorEastAsia" w:eastAsiaTheme="minorEastAsia"/>
                <w:szCs w:val="21"/>
                <w:lang w:val="en-US" w:eastAsia="zh-CN"/>
              </w:rPr>
              <w:t>10分</w:t>
            </w:r>
            <w:r>
              <w:rPr>
                <w:rFonts w:hint="eastAsia" w:asciiTheme="minorEastAsia" w:hAnsiTheme="minorEastAsia" w:eastAsiaTheme="minorEastAsia"/>
                <w:szCs w:val="21"/>
                <w:lang w:eastAsia="zh-CN"/>
              </w:rPr>
              <w:t>）</w:t>
            </w:r>
          </w:p>
        </w:tc>
        <w:tc>
          <w:tcPr>
            <w:tcW w:w="5606" w:type="dxa"/>
            <w:vAlign w:val="center"/>
          </w:tcPr>
          <w:p w14:paraId="3EBB35A0">
            <w:pPr>
              <w:wordWrap w:val="0"/>
              <w:overflowPunct/>
              <w:bidi w:val="0"/>
              <w:jc w:val="left"/>
              <w:outlineLvl w:val="9"/>
              <w:rPr>
                <w:rFonts w:cs="Arial" w:asciiTheme="minorEastAsia" w:hAnsiTheme="minorEastAsia" w:eastAsiaTheme="minorEastAsia"/>
                <w:szCs w:val="21"/>
              </w:rPr>
            </w:pPr>
            <w:r>
              <w:rPr>
                <w:rFonts w:hint="eastAsia" w:cs="Arial" w:asciiTheme="minorEastAsia" w:hAnsiTheme="minorEastAsia" w:eastAsiaTheme="minorEastAsia"/>
                <w:bCs/>
                <w:szCs w:val="21"/>
              </w:rPr>
              <w:t>1、</w:t>
            </w:r>
            <w:r>
              <w:rPr>
                <w:rFonts w:hint="eastAsia" w:asciiTheme="minorEastAsia" w:hAnsiTheme="minorEastAsia" w:eastAsiaTheme="minorEastAsia"/>
                <w:szCs w:val="21"/>
              </w:rPr>
              <w:t>所投智能LED教室灯</w:t>
            </w:r>
            <w:r>
              <w:rPr>
                <w:rFonts w:hint="eastAsia" w:cs="Arial" w:asciiTheme="minorEastAsia" w:hAnsiTheme="minorEastAsia" w:eastAsiaTheme="minorEastAsia"/>
                <w:szCs w:val="21"/>
              </w:rPr>
              <w:t>能达到：</w:t>
            </w:r>
          </w:p>
          <w:p w14:paraId="43231D25">
            <w:pPr>
              <w:wordWrap w:val="0"/>
              <w:overflowPunct/>
              <w:bidi w:val="0"/>
              <w:ind w:firstLine="210" w:firstLineChars="100"/>
              <w:jc w:val="left"/>
              <w:outlineLvl w:val="9"/>
              <w:rPr>
                <w:rFonts w:cs="Arial" w:asciiTheme="minorEastAsia" w:hAnsiTheme="minorEastAsia" w:eastAsiaTheme="minorEastAsia"/>
                <w:szCs w:val="21"/>
              </w:rPr>
            </w:pPr>
            <w:r>
              <w:rPr>
                <w:rFonts w:hint="eastAsia" w:cs="Arial" w:asciiTheme="minorEastAsia" w:hAnsiTheme="minorEastAsia" w:eastAsiaTheme="minorEastAsia"/>
                <w:szCs w:val="21"/>
              </w:rPr>
              <w:t>①一年后平均照度维持率≥9</w:t>
            </w:r>
            <w:r>
              <w:rPr>
                <w:rFonts w:cs="Arial" w:asciiTheme="minorEastAsia" w:hAnsiTheme="minorEastAsia" w:eastAsiaTheme="minorEastAsia"/>
                <w:szCs w:val="21"/>
              </w:rPr>
              <w:t>8</w:t>
            </w:r>
            <w:r>
              <w:rPr>
                <w:rFonts w:hint="eastAsia" w:cs="Arial" w:asciiTheme="minorEastAsia" w:hAnsiTheme="minorEastAsia" w:eastAsiaTheme="minorEastAsia"/>
                <w:szCs w:val="21"/>
              </w:rPr>
              <w:t>%的，得</w:t>
            </w:r>
            <w:r>
              <w:rPr>
                <w:rFonts w:hint="eastAsia" w:cs="Arial" w:asciiTheme="minorEastAsia" w:hAnsiTheme="minorEastAsia" w:eastAsiaTheme="minorEastAsia"/>
                <w:szCs w:val="21"/>
                <w:lang w:val="en-US" w:eastAsia="zh-CN"/>
              </w:rPr>
              <w:t>0.5</w:t>
            </w:r>
            <w:r>
              <w:rPr>
                <w:rFonts w:hint="eastAsia" w:cs="Arial" w:asciiTheme="minorEastAsia" w:hAnsiTheme="minorEastAsia" w:eastAsiaTheme="minorEastAsia"/>
                <w:szCs w:val="21"/>
              </w:rPr>
              <w:t>分；</w:t>
            </w:r>
          </w:p>
          <w:p w14:paraId="7B08E765">
            <w:pPr>
              <w:wordWrap w:val="0"/>
              <w:overflowPunct/>
              <w:bidi w:val="0"/>
              <w:ind w:firstLine="210" w:firstLineChars="100"/>
              <w:jc w:val="left"/>
              <w:outlineLvl w:val="9"/>
              <w:rPr>
                <w:rFonts w:cs="Arial" w:asciiTheme="minorEastAsia" w:hAnsiTheme="minorEastAsia" w:eastAsiaTheme="minorEastAsia"/>
                <w:szCs w:val="21"/>
              </w:rPr>
            </w:pPr>
            <w:r>
              <w:rPr>
                <w:rFonts w:hint="eastAsia" w:cs="Arial" w:asciiTheme="minorEastAsia" w:hAnsiTheme="minorEastAsia" w:eastAsiaTheme="minorEastAsia"/>
                <w:szCs w:val="21"/>
              </w:rPr>
              <w:t>②二年后平均照度维持率≥9</w:t>
            </w:r>
            <w:r>
              <w:rPr>
                <w:rFonts w:cs="Arial" w:asciiTheme="minorEastAsia" w:hAnsiTheme="minorEastAsia" w:eastAsiaTheme="minorEastAsia"/>
                <w:szCs w:val="21"/>
              </w:rPr>
              <w:t>8</w:t>
            </w:r>
            <w:r>
              <w:rPr>
                <w:rFonts w:hint="eastAsia" w:cs="Arial" w:asciiTheme="minorEastAsia" w:hAnsiTheme="minorEastAsia" w:eastAsiaTheme="minorEastAsia"/>
                <w:szCs w:val="21"/>
              </w:rPr>
              <w:t>%的，得</w:t>
            </w:r>
            <w:r>
              <w:rPr>
                <w:rFonts w:hint="eastAsia" w:cs="Arial" w:asciiTheme="minorEastAsia" w:hAnsiTheme="minorEastAsia" w:eastAsiaTheme="minorEastAsia"/>
                <w:szCs w:val="21"/>
                <w:lang w:val="en-US" w:eastAsia="zh-CN"/>
              </w:rPr>
              <w:t>1</w:t>
            </w:r>
            <w:r>
              <w:rPr>
                <w:rFonts w:hint="eastAsia" w:cs="Arial" w:asciiTheme="minorEastAsia" w:hAnsiTheme="minorEastAsia" w:eastAsiaTheme="minorEastAsia"/>
                <w:szCs w:val="21"/>
              </w:rPr>
              <w:t>分；</w:t>
            </w:r>
          </w:p>
          <w:p w14:paraId="7AD4FDDF">
            <w:pPr>
              <w:wordWrap w:val="0"/>
              <w:overflowPunct/>
              <w:bidi w:val="0"/>
              <w:ind w:firstLine="210" w:firstLineChars="100"/>
              <w:jc w:val="left"/>
              <w:outlineLvl w:val="9"/>
              <w:rPr>
                <w:rFonts w:cs="Arial" w:asciiTheme="minorEastAsia" w:hAnsiTheme="minorEastAsia" w:eastAsiaTheme="minorEastAsia"/>
                <w:szCs w:val="21"/>
              </w:rPr>
            </w:pPr>
            <w:r>
              <w:rPr>
                <w:rFonts w:hint="eastAsia" w:cs="Arial" w:asciiTheme="minorEastAsia" w:hAnsiTheme="minorEastAsia" w:eastAsiaTheme="minorEastAsia"/>
                <w:szCs w:val="21"/>
              </w:rPr>
              <w:t>③三年后平均照度维持率≥9</w:t>
            </w:r>
            <w:r>
              <w:rPr>
                <w:rFonts w:cs="Arial" w:asciiTheme="minorEastAsia" w:hAnsiTheme="minorEastAsia" w:eastAsiaTheme="minorEastAsia"/>
                <w:szCs w:val="21"/>
              </w:rPr>
              <w:t>8</w:t>
            </w:r>
            <w:r>
              <w:rPr>
                <w:rFonts w:hint="eastAsia" w:cs="Arial" w:asciiTheme="minorEastAsia" w:hAnsiTheme="minorEastAsia" w:eastAsiaTheme="minorEastAsia"/>
                <w:szCs w:val="21"/>
              </w:rPr>
              <w:t>%的，得</w:t>
            </w:r>
            <w:r>
              <w:rPr>
                <w:rFonts w:hint="eastAsia" w:cs="Arial" w:asciiTheme="minorEastAsia" w:hAnsiTheme="minorEastAsia" w:eastAsiaTheme="minorEastAsia"/>
                <w:szCs w:val="21"/>
                <w:lang w:val="en-US" w:eastAsia="zh-CN"/>
              </w:rPr>
              <w:t>2</w:t>
            </w:r>
            <w:r>
              <w:rPr>
                <w:rFonts w:hint="eastAsia" w:cs="Arial" w:asciiTheme="minorEastAsia" w:hAnsiTheme="minorEastAsia" w:eastAsiaTheme="minorEastAsia"/>
                <w:szCs w:val="21"/>
              </w:rPr>
              <w:t>分；满分</w:t>
            </w:r>
            <w:r>
              <w:rPr>
                <w:rFonts w:hint="eastAsia" w:cs="Arial" w:asciiTheme="minorEastAsia" w:hAnsiTheme="minorEastAsia" w:eastAsiaTheme="minorEastAsia"/>
                <w:szCs w:val="21"/>
                <w:lang w:val="en-US" w:eastAsia="zh-CN"/>
              </w:rPr>
              <w:t>2</w:t>
            </w:r>
            <w:r>
              <w:rPr>
                <w:rFonts w:hint="eastAsia" w:cs="Arial" w:asciiTheme="minorEastAsia" w:hAnsiTheme="minorEastAsia" w:eastAsiaTheme="minorEastAsia"/>
                <w:szCs w:val="21"/>
              </w:rPr>
              <w:t>分；</w:t>
            </w:r>
            <w:r>
              <w:rPr>
                <w:rFonts w:hint="eastAsia" w:cs="Arial" w:asciiTheme="minorEastAsia" w:hAnsiTheme="minorEastAsia" w:eastAsiaTheme="minorEastAsia"/>
                <w:szCs w:val="21"/>
              </w:rPr>
              <w:cr/>
            </w:r>
            <w:r>
              <w:rPr>
                <w:rFonts w:cs="Arial" w:asciiTheme="minorEastAsia" w:hAnsiTheme="minorEastAsia" w:eastAsiaTheme="minorEastAsia"/>
                <w:szCs w:val="21"/>
              </w:rPr>
              <w:t>2</w:t>
            </w:r>
            <w:r>
              <w:rPr>
                <w:rFonts w:hint="eastAsia" w:cs="Arial" w:asciiTheme="minorEastAsia" w:hAnsiTheme="minorEastAsia" w:eastAsiaTheme="minorEastAsia"/>
                <w:szCs w:val="21"/>
              </w:rPr>
              <w:t>、所投</w:t>
            </w:r>
            <w:r>
              <w:rPr>
                <w:rFonts w:hint="eastAsia" w:asciiTheme="minorEastAsia" w:hAnsiTheme="minorEastAsia" w:eastAsiaTheme="minorEastAsia"/>
                <w:szCs w:val="21"/>
              </w:rPr>
              <w:t>智能</w:t>
            </w:r>
            <w:r>
              <w:rPr>
                <w:rFonts w:hint="eastAsia" w:cs="Arial" w:asciiTheme="minorEastAsia" w:hAnsiTheme="minorEastAsia" w:eastAsiaTheme="minorEastAsia"/>
                <w:szCs w:val="21"/>
              </w:rPr>
              <w:t>LED黑板灯能达到：</w:t>
            </w:r>
          </w:p>
          <w:p w14:paraId="4B5BBE3C">
            <w:pPr>
              <w:wordWrap w:val="0"/>
              <w:overflowPunct/>
              <w:bidi w:val="0"/>
              <w:ind w:firstLine="210" w:firstLineChars="100"/>
              <w:jc w:val="left"/>
              <w:outlineLvl w:val="9"/>
              <w:rPr>
                <w:rFonts w:cs="Arial" w:asciiTheme="minorEastAsia" w:hAnsiTheme="minorEastAsia" w:eastAsiaTheme="minorEastAsia"/>
                <w:szCs w:val="21"/>
              </w:rPr>
            </w:pPr>
            <w:r>
              <w:rPr>
                <w:rFonts w:hint="eastAsia" w:cs="Arial" w:asciiTheme="minorEastAsia" w:hAnsiTheme="minorEastAsia" w:eastAsiaTheme="minorEastAsia"/>
                <w:szCs w:val="21"/>
              </w:rPr>
              <w:t>①一年后平均照度维持率≥9</w:t>
            </w:r>
            <w:r>
              <w:rPr>
                <w:rFonts w:cs="Arial" w:asciiTheme="minorEastAsia" w:hAnsiTheme="minorEastAsia" w:eastAsiaTheme="minorEastAsia"/>
                <w:szCs w:val="21"/>
              </w:rPr>
              <w:t>8</w:t>
            </w:r>
            <w:r>
              <w:rPr>
                <w:rFonts w:hint="eastAsia" w:cs="Arial" w:asciiTheme="minorEastAsia" w:hAnsiTheme="minorEastAsia" w:eastAsiaTheme="minorEastAsia"/>
                <w:szCs w:val="21"/>
              </w:rPr>
              <w:t>%的，得</w:t>
            </w:r>
            <w:r>
              <w:rPr>
                <w:rFonts w:hint="eastAsia" w:cs="Arial" w:asciiTheme="minorEastAsia" w:hAnsiTheme="minorEastAsia" w:eastAsiaTheme="minorEastAsia"/>
                <w:szCs w:val="21"/>
                <w:lang w:val="en-US" w:eastAsia="zh-CN"/>
              </w:rPr>
              <w:t>0.5</w:t>
            </w:r>
            <w:r>
              <w:rPr>
                <w:rFonts w:hint="eastAsia" w:cs="Arial" w:asciiTheme="minorEastAsia" w:hAnsiTheme="minorEastAsia" w:eastAsiaTheme="minorEastAsia"/>
                <w:szCs w:val="21"/>
              </w:rPr>
              <w:t>分；</w:t>
            </w:r>
          </w:p>
          <w:p w14:paraId="5C52C784">
            <w:pPr>
              <w:wordWrap w:val="0"/>
              <w:overflowPunct/>
              <w:bidi w:val="0"/>
              <w:ind w:firstLine="210" w:firstLineChars="100"/>
              <w:jc w:val="left"/>
              <w:outlineLvl w:val="9"/>
              <w:rPr>
                <w:rFonts w:cs="Arial" w:asciiTheme="minorEastAsia" w:hAnsiTheme="minorEastAsia" w:eastAsiaTheme="minorEastAsia"/>
                <w:szCs w:val="21"/>
              </w:rPr>
            </w:pPr>
            <w:r>
              <w:rPr>
                <w:rFonts w:hint="eastAsia" w:cs="Arial" w:asciiTheme="minorEastAsia" w:hAnsiTheme="minorEastAsia" w:eastAsiaTheme="minorEastAsia"/>
                <w:szCs w:val="21"/>
              </w:rPr>
              <w:t>②二年后平均照度维持率≥9</w:t>
            </w:r>
            <w:r>
              <w:rPr>
                <w:rFonts w:cs="Arial" w:asciiTheme="minorEastAsia" w:hAnsiTheme="minorEastAsia" w:eastAsiaTheme="minorEastAsia"/>
                <w:szCs w:val="21"/>
              </w:rPr>
              <w:t>8</w:t>
            </w:r>
            <w:r>
              <w:rPr>
                <w:rFonts w:hint="eastAsia" w:cs="Arial" w:asciiTheme="minorEastAsia" w:hAnsiTheme="minorEastAsia" w:eastAsiaTheme="minorEastAsia"/>
                <w:szCs w:val="21"/>
              </w:rPr>
              <w:t>%的，得</w:t>
            </w:r>
            <w:r>
              <w:rPr>
                <w:rFonts w:hint="eastAsia" w:cs="Arial" w:asciiTheme="minorEastAsia" w:hAnsiTheme="minorEastAsia" w:eastAsiaTheme="minorEastAsia"/>
                <w:szCs w:val="21"/>
                <w:lang w:val="en-US" w:eastAsia="zh-CN"/>
              </w:rPr>
              <w:t>1</w:t>
            </w:r>
            <w:r>
              <w:rPr>
                <w:rFonts w:hint="eastAsia" w:cs="Arial" w:asciiTheme="minorEastAsia" w:hAnsiTheme="minorEastAsia" w:eastAsiaTheme="minorEastAsia"/>
                <w:szCs w:val="21"/>
              </w:rPr>
              <w:t>分；</w:t>
            </w:r>
          </w:p>
          <w:p w14:paraId="7F268ED7">
            <w:pPr>
              <w:wordWrap w:val="0"/>
              <w:overflowPunct/>
              <w:bidi w:val="0"/>
              <w:ind w:firstLine="210" w:firstLineChars="100"/>
              <w:jc w:val="left"/>
              <w:outlineLvl w:val="9"/>
              <w:rPr>
                <w:rFonts w:cs="Arial" w:asciiTheme="minorEastAsia" w:hAnsiTheme="minorEastAsia" w:eastAsiaTheme="minorEastAsia"/>
                <w:szCs w:val="21"/>
              </w:rPr>
            </w:pPr>
            <w:r>
              <w:rPr>
                <w:rFonts w:hint="eastAsia" w:cs="Arial" w:asciiTheme="minorEastAsia" w:hAnsiTheme="minorEastAsia" w:eastAsiaTheme="minorEastAsia"/>
                <w:szCs w:val="21"/>
              </w:rPr>
              <w:t>③三年后平均照度维持率≥9</w:t>
            </w:r>
            <w:r>
              <w:rPr>
                <w:rFonts w:cs="Arial" w:asciiTheme="minorEastAsia" w:hAnsiTheme="minorEastAsia" w:eastAsiaTheme="minorEastAsia"/>
                <w:szCs w:val="21"/>
              </w:rPr>
              <w:t>8</w:t>
            </w:r>
            <w:r>
              <w:rPr>
                <w:rFonts w:hint="eastAsia" w:cs="Arial" w:asciiTheme="minorEastAsia" w:hAnsiTheme="minorEastAsia" w:eastAsiaTheme="minorEastAsia"/>
                <w:szCs w:val="21"/>
              </w:rPr>
              <w:t>%的，得</w:t>
            </w:r>
            <w:r>
              <w:rPr>
                <w:rFonts w:hint="eastAsia" w:cs="Arial" w:asciiTheme="minorEastAsia" w:hAnsiTheme="minorEastAsia" w:eastAsiaTheme="minorEastAsia"/>
                <w:szCs w:val="21"/>
                <w:lang w:val="en-US" w:eastAsia="zh-CN"/>
              </w:rPr>
              <w:t>2</w:t>
            </w:r>
            <w:r>
              <w:rPr>
                <w:rFonts w:hint="eastAsia" w:cs="Arial" w:asciiTheme="minorEastAsia" w:hAnsiTheme="minorEastAsia" w:eastAsiaTheme="minorEastAsia"/>
                <w:szCs w:val="21"/>
              </w:rPr>
              <w:t>分；满分</w:t>
            </w:r>
            <w:r>
              <w:rPr>
                <w:rFonts w:hint="eastAsia" w:cs="Arial" w:asciiTheme="minorEastAsia" w:hAnsiTheme="minorEastAsia" w:eastAsiaTheme="minorEastAsia"/>
                <w:szCs w:val="21"/>
                <w:lang w:val="en-US" w:eastAsia="zh-CN"/>
              </w:rPr>
              <w:t>2</w:t>
            </w:r>
            <w:r>
              <w:rPr>
                <w:rFonts w:hint="eastAsia" w:cs="Arial" w:asciiTheme="minorEastAsia" w:hAnsiTheme="minorEastAsia" w:eastAsiaTheme="minorEastAsia"/>
                <w:szCs w:val="21"/>
              </w:rPr>
              <w:t>分；</w:t>
            </w:r>
          </w:p>
          <w:p w14:paraId="69DAA5B8">
            <w:pPr>
              <w:wordWrap w:val="0"/>
              <w:overflowPunct/>
              <w:bidi w:val="0"/>
              <w:jc w:val="left"/>
              <w:outlineLvl w:val="9"/>
              <w:rPr>
                <w:rFonts w:asciiTheme="minorEastAsia" w:hAnsiTheme="minorEastAsia" w:eastAsiaTheme="minorEastAsia"/>
                <w:szCs w:val="21"/>
              </w:rPr>
            </w:pPr>
            <w:r>
              <w:rPr>
                <w:rFonts w:asciiTheme="minorEastAsia" w:hAnsiTheme="minorEastAsia" w:eastAsiaTheme="minorEastAsia"/>
                <w:szCs w:val="21"/>
              </w:rPr>
              <w:t>3</w:t>
            </w:r>
            <w:r>
              <w:rPr>
                <w:rFonts w:hint="eastAsia" w:asciiTheme="minorEastAsia" w:hAnsiTheme="minorEastAsia" w:eastAsiaTheme="minorEastAsia"/>
                <w:szCs w:val="21"/>
              </w:rPr>
              <w:t>、所投智能LED教室灯能达到：</w:t>
            </w:r>
          </w:p>
          <w:p w14:paraId="38B6A42D">
            <w:pPr>
              <w:wordWrap w:val="0"/>
              <w:overflowPunct/>
              <w:bidi w:val="0"/>
              <w:ind w:firstLine="210" w:firstLineChars="100"/>
              <w:jc w:val="left"/>
              <w:outlineLvl w:val="9"/>
              <w:rPr>
                <w:rFonts w:asciiTheme="minorEastAsia" w:hAnsiTheme="minorEastAsia" w:eastAsiaTheme="minorEastAsia"/>
                <w:szCs w:val="21"/>
              </w:rPr>
            </w:pPr>
            <w:r>
              <w:rPr>
                <w:rFonts w:hint="eastAsia" w:asciiTheme="minorEastAsia" w:hAnsiTheme="minorEastAsia" w:eastAsiaTheme="minorEastAsia"/>
                <w:szCs w:val="21"/>
              </w:rPr>
              <w:t>①一年后照明功率密度增加值≤0.1W/㎡的，得</w:t>
            </w:r>
            <w:r>
              <w:rPr>
                <w:rFonts w:hint="eastAsia" w:asciiTheme="minorEastAsia" w:hAnsiTheme="minorEastAsia" w:eastAsiaTheme="minorEastAsia"/>
                <w:szCs w:val="21"/>
                <w:lang w:val="en-US" w:eastAsia="zh-CN"/>
              </w:rPr>
              <w:t>0.5</w:t>
            </w:r>
            <w:r>
              <w:rPr>
                <w:rFonts w:hint="eastAsia" w:asciiTheme="minorEastAsia" w:hAnsiTheme="minorEastAsia" w:eastAsiaTheme="minorEastAsia"/>
                <w:szCs w:val="21"/>
              </w:rPr>
              <w:t>分；</w:t>
            </w:r>
          </w:p>
          <w:p w14:paraId="08FEE099">
            <w:pPr>
              <w:wordWrap w:val="0"/>
              <w:overflowPunct/>
              <w:bidi w:val="0"/>
              <w:ind w:firstLine="210" w:firstLineChars="100"/>
              <w:jc w:val="left"/>
              <w:outlineLvl w:val="9"/>
              <w:rPr>
                <w:rFonts w:asciiTheme="minorEastAsia" w:hAnsiTheme="minorEastAsia" w:eastAsiaTheme="minorEastAsia"/>
                <w:szCs w:val="21"/>
              </w:rPr>
            </w:pPr>
            <w:r>
              <w:rPr>
                <w:rFonts w:hint="eastAsia" w:asciiTheme="minorEastAsia" w:hAnsiTheme="minorEastAsia" w:eastAsiaTheme="minorEastAsia"/>
                <w:szCs w:val="21"/>
              </w:rPr>
              <w:t>②二年后照明功率密度增加值≤0.1W/㎡的，得</w:t>
            </w:r>
            <w:r>
              <w:rPr>
                <w:rFonts w:hint="eastAsia" w:asciiTheme="minorEastAsia" w:hAnsiTheme="minorEastAsia" w:eastAsiaTheme="minorEastAsia"/>
                <w:szCs w:val="21"/>
                <w:lang w:val="en-US" w:eastAsia="zh-CN"/>
              </w:rPr>
              <w:t>1</w:t>
            </w:r>
            <w:r>
              <w:rPr>
                <w:rFonts w:hint="eastAsia" w:asciiTheme="minorEastAsia" w:hAnsiTheme="minorEastAsia" w:eastAsiaTheme="minorEastAsia"/>
                <w:szCs w:val="21"/>
              </w:rPr>
              <w:t>分；</w:t>
            </w:r>
          </w:p>
          <w:p w14:paraId="31502782">
            <w:pPr>
              <w:wordWrap w:val="0"/>
              <w:overflowPunct/>
              <w:bidi w:val="0"/>
              <w:ind w:firstLine="210" w:firstLineChars="100"/>
              <w:jc w:val="left"/>
              <w:outlineLvl w:val="9"/>
              <w:rPr>
                <w:rFonts w:asciiTheme="minorEastAsia" w:hAnsiTheme="minorEastAsia" w:eastAsiaTheme="minorEastAsia"/>
                <w:szCs w:val="21"/>
              </w:rPr>
            </w:pPr>
            <w:r>
              <w:rPr>
                <w:rFonts w:hint="eastAsia" w:asciiTheme="minorEastAsia" w:hAnsiTheme="minorEastAsia" w:eastAsiaTheme="minorEastAsia"/>
                <w:szCs w:val="21"/>
              </w:rPr>
              <w:t>③三年后照明功率密度增加值≤0.1W/㎡的，得</w:t>
            </w:r>
            <w:r>
              <w:rPr>
                <w:rFonts w:hint="eastAsia" w:asciiTheme="minorEastAsia" w:hAnsiTheme="minorEastAsia" w:eastAsiaTheme="minorEastAsia"/>
                <w:szCs w:val="21"/>
                <w:lang w:val="en-US" w:eastAsia="zh-CN"/>
              </w:rPr>
              <w:t>2</w:t>
            </w:r>
            <w:r>
              <w:rPr>
                <w:rFonts w:hint="eastAsia" w:asciiTheme="minorEastAsia" w:hAnsiTheme="minorEastAsia" w:eastAsiaTheme="minorEastAsia"/>
                <w:szCs w:val="21"/>
              </w:rPr>
              <w:t>分；满分</w:t>
            </w:r>
            <w:r>
              <w:rPr>
                <w:rFonts w:hint="eastAsia" w:asciiTheme="minorEastAsia" w:hAnsiTheme="minorEastAsia" w:eastAsiaTheme="minorEastAsia"/>
                <w:szCs w:val="21"/>
                <w:lang w:val="en-US" w:eastAsia="zh-CN"/>
              </w:rPr>
              <w:t>2</w:t>
            </w:r>
            <w:r>
              <w:rPr>
                <w:rFonts w:hint="eastAsia" w:asciiTheme="minorEastAsia" w:hAnsiTheme="minorEastAsia" w:eastAsiaTheme="minorEastAsia"/>
                <w:szCs w:val="21"/>
              </w:rPr>
              <w:t>分；</w:t>
            </w:r>
          </w:p>
          <w:p w14:paraId="5BD27E53">
            <w:pPr>
              <w:overflowPunct/>
              <w:bidi w:val="0"/>
              <w:outlineLvl w:val="9"/>
              <w:rPr>
                <w:rFonts w:cs="Arial" w:asciiTheme="minorEastAsia" w:hAnsiTheme="minorEastAsia" w:eastAsiaTheme="minorEastAsia"/>
                <w:b/>
                <w:szCs w:val="21"/>
              </w:rPr>
            </w:pPr>
            <w:r>
              <w:rPr>
                <w:rFonts w:hint="eastAsia" w:asciiTheme="minorEastAsia" w:hAnsiTheme="minorEastAsia" w:eastAsiaTheme="minorEastAsia"/>
                <w:b/>
                <w:bCs/>
                <w:szCs w:val="21"/>
                <w:lang w:val="zh-CN"/>
              </w:rPr>
              <w:t>评分依据</w:t>
            </w:r>
            <w:r>
              <w:rPr>
                <w:rFonts w:hint="eastAsia" w:cs="Arial" w:asciiTheme="minorEastAsia" w:hAnsiTheme="minorEastAsia" w:eastAsiaTheme="minorEastAsia"/>
                <w:b/>
                <w:szCs w:val="21"/>
              </w:rPr>
              <w:t>：序号</w:t>
            </w:r>
            <w:r>
              <w:rPr>
                <w:rFonts w:cs="Arial" w:asciiTheme="minorEastAsia" w:hAnsiTheme="minorEastAsia" w:eastAsiaTheme="minorEastAsia"/>
                <w:b/>
                <w:szCs w:val="21"/>
              </w:rPr>
              <w:t>1</w:t>
            </w:r>
            <w:r>
              <w:rPr>
                <w:rFonts w:hint="eastAsia" w:cs="Arial" w:asciiTheme="minorEastAsia" w:hAnsiTheme="minorEastAsia" w:eastAsiaTheme="minorEastAsia"/>
                <w:b/>
                <w:szCs w:val="21"/>
              </w:rPr>
              <w:t>至</w:t>
            </w:r>
            <w:r>
              <w:rPr>
                <w:rFonts w:cs="Arial" w:asciiTheme="minorEastAsia" w:hAnsiTheme="minorEastAsia" w:eastAsiaTheme="minorEastAsia"/>
                <w:b/>
                <w:szCs w:val="21"/>
              </w:rPr>
              <w:t>序号3须</w:t>
            </w:r>
            <w:r>
              <w:rPr>
                <w:rFonts w:hint="eastAsia" w:cs="Arial" w:asciiTheme="minorEastAsia" w:hAnsiTheme="minorEastAsia" w:eastAsiaTheme="minorEastAsia"/>
                <w:b/>
                <w:szCs w:val="21"/>
              </w:rPr>
              <w:t xml:space="preserve">提供第三方认证机构至少依据《GB </w:t>
            </w:r>
            <w:r>
              <w:rPr>
                <w:rFonts w:cs="Arial" w:asciiTheme="minorEastAsia" w:hAnsiTheme="minorEastAsia" w:eastAsiaTheme="minorEastAsia"/>
                <w:b/>
                <w:szCs w:val="21"/>
              </w:rPr>
              <w:t>50099</w:t>
            </w:r>
            <w:r>
              <w:rPr>
                <w:rFonts w:hint="eastAsia" w:cs="Arial" w:asciiTheme="minorEastAsia" w:hAnsiTheme="minorEastAsia" w:eastAsiaTheme="minorEastAsia"/>
                <w:b/>
                <w:szCs w:val="21"/>
              </w:rPr>
              <w:t>》、《GB 40070》、《GB/T33721》、《GB/T36876》、《GB/T</w:t>
            </w:r>
            <w:r>
              <w:rPr>
                <w:rFonts w:cs="Arial" w:asciiTheme="minorEastAsia" w:hAnsiTheme="minorEastAsia" w:eastAsiaTheme="minorEastAsia"/>
                <w:b/>
                <w:szCs w:val="21"/>
              </w:rPr>
              <w:t>17743</w:t>
            </w:r>
            <w:r>
              <w:rPr>
                <w:rFonts w:hint="eastAsia" w:cs="Arial" w:asciiTheme="minorEastAsia" w:hAnsiTheme="minorEastAsia" w:eastAsiaTheme="minorEastAsia"/>
                <w:b/>
                <w:szCs w:val="21"/>
              </w:rPr>
              <w:t>》、《GB/T 26572》、《</w:t>
            </w:r>
            <w:r>
              <w:rPr>
                <w:rFonts w:cs="Arial" w:asciiTheme="minorEastAsia" w:hAnsiTheme="minorEastAsia" w:eastAsiaTheme="minorEastAsia"/>
                <w:b/>
                <w:szCs w:val="21"/>
              </w:rPr>
              <w:t>QB</w:t>
            </w:r>
            <w:r>
              <w:rPr>
                <w:rFonts w:hint="eastAsia" w:cs="Arial" w:asciiTheme="minorEastAsia" w:hAnsiTheme="minorEastAsia" w:eastAsiaTheme="minorEastAsia"/>
                <w:b/>
                <w:szCs w:val="21"/>
              </w:rPr>
              <w:t>/T 5</w:t>
            </w:r>
            <w:r>
              <w:rPr>
                <w:rFonts w:cs="Arial" w:asciiTheme="minorEastAsia" w:hAnsiTheme="minorEastAsia" w:eastAsiaTheme="minorEastAsia"/>
                <w:b/>
                <w:szCs w:val="21"/>
              </w:rPr>
              <w:t>533</w:t>
            </w:r>
            <w:r>
              <w:rPr>
                <w:rFonts w:hint="eastAsia" w:cs="Arial" w:asciiTheme="minorEastAsia" w:hAnsiTheme="minorEastAsia" w:eastAsiaTheme="minorEastAsia"/>
                <w:b/>
                <w:szCs w:val="21"/>
              </w:rPr>
              <w:t xml:space="preserve">》、《T/JYBZ 005》及《GB </w:t>
            </w:r>
            <w:r>
              <w:rPr>
                <w:rFonts w:cs="Arial" w:asciiTheme="minorEastAsia" w:hAnsiTheme="minorEastAsia" w:eastAsiaTheme="minorEastAsia"/>
                <w:b/>
                <w:szCs w:val="21"/>
              </w:rPr>
              <w:t>17625.1</w:t>
            </w:r>
            <w:r>
              <w:rPr>
                <w:rFonts w:hint="eastAsia" w:cs="Arial" w:asciiTheme="minorEastAsia" w:hAnsiTheme="minorEastAsia" w:eastAsiaTheme="minorEastAsia"/>
                <w:b/>
                <w:szCs w:val="21"/>
              </w:rPr>
              <w:t>》标准出具的认证证书及全国认证认可信息公共服务平台证书状态为“有效”的查询截图（认证证书与查询截图均须同时体现产品型号及认证标准，使用年份从证书首次发证之日起计算）；认证结果不符合或提供材料不齐全不得分。</w:t>
            </w:r>
          </w:p>
          <w:p w14:paraId="243127D0">
            <w:pPr>
              <w:overflowPunct/>
              <w:bidi w:val="0"/>
              <w:outlineLvl w:val="9"/>
              <w:rPr>
                <w:rFonts w:asciiTheme="minorEastAsia" w:hAnsiTheme="minorEastAsia"/>
                <w:kern w:val="0"/>
                <w:szCs w:val="24"/>
              </w:rPr>
            </w:pPr>
            <w:r>
              <w:rPr>
                <w:rFonts w:asciiTheme="minorEastAsia" w:hAnsiTheme="minorEastAsia"/>
                <w:kern w:val="0"/>
                <w:szCs w:val="24"/>
              </w:rPr>
              <w:t>4</w:t>
            </w:r>
            <w:r>
              <w:rPr>
                <w:rFonts w:hint="eastAsia" w:asciiTheme="minorEastAsia" w:hAnsiTheme="minorEastAsia"/>
                <w:kern w:val="0"/>
                <w:szCs w:val="24"/>
              </w:rPr>
              <w:t>、</w:t>
            </w:r>
            <w:r>
              <w:rPr>
                <w:rFonts w:asciiTheme="minorEastAsia" w:hAnsiTheme="minorEastAsia"/>
                <w:kern w:val="0"/>
                <w:szCs w:val="24"/>
              </w:rPr>
              <w:t>所投</w:t>
            </w:r>
            <w:r>
              <w:rPr>
                <w:rFonts w:hint="eastAsia" w:asciiTheme="minorEastAsia" w:hAnsiTheme="minorEastAsia" w:eastAsiaTheme="minorEastAsia"/>
                <w:szCs w:val="21"/>
              </w:rPr>
              <w:t>智能</w:t>
            </w:r>
            <w:r>
              <w:rPr>
                <w:rFonts w:asciiTheme="minorEastAsia" w:hAnsiTheme="minorEastAsia"/>
                <w:kern w:val="0"/>
                <w:szCs w:val="24"/>
              </w:rPr>
              <w:t>LED</w:t>
            </w:r>
            <w:r>
              <w:rPr>
                <w:rFonts w:hint="eastAsia" w:asciiTheme="minorEastAsia" w:hAnsiTheme="minorEastAsia"/>
                <w:kern w:val="0"/>
                <w:szCs w:val="24"/>
              </w:rPr>
              <w:t>教室</w:t>
            </w:r>
            <w:r>
              <w:rPr>
                <w:rFonts w:asciiTheme="minorEastAsia" w:hAnsiTheme="minorEastAsia"/>
                <w:kern w:val="0"/>
                <w:szCs w:val="24"/>
              </w:rPr>
              <w:t>灯满足课桌面上的维持平均照度≥400lx，照度均匀度≥0.82，以保证良好、舒适的照明，并保障人员健康的得</w:t>
            </w:r>
            <w:r>
              <w:rPr>
                <w:rFonts w:hint="eastAsia" w:asciiTheme="minorEastAsia" w:hAnsiTheme="minorEastAsia"/>
                <w:kern w:val="0"/>
                <w:szCs w:val="24"/>
                <w:lang w:val="en-US" w:eastAsia="zh-CN"/>
              </w:rPr>
              <w:t>1</w:t>
            </w:r>
            <w:r>
              <w:rPr>
                <w:rFonts w:hint="eastAsia" w:asciiTheme="minorEastAsia" w:hAnsiTheme="minorEastAsia"/>
                <w:kern w:val="0"/>
                <w:szCs w:val="24"/>
              </w:rPr>
              <w:t>分；</w:t>
            </w:r>
            <w:r>
              <w:rPr>
                <w:rFonts w:asciiTheme="minorEastAsia" w:hAnsiTheme="minorEastAsia"/>
                <w:kern w:val="0"/>
                <w:szCs w:val="24"/>
              </w:rPr>
              <w:t xml:space="preserve"> </w:t>
            </w:r>
          </w:p>
          <w:p w14:paraId="0CD11189">
            <w:pPr>
              <w:overflowPunct/>
              <w:bidi w:val="0"/>
              <w:outlineLvl w:val="9"/>
              <w:rPr>
                <w:rFonts w:asciiTheme="minorEastAsia" w:hAnsiTheme="minorEastAsia"/>
                <w:kern w:val="0"/>
                <w:szCs w:val="24"/>
              </w:rPr>
            </w:pPr>
            <w:r>
              <w:rPr>
                <w:rFonts w:asciiTheme="minorEastAsia" w:hAnsiTheme="minorEastAsia"/>
                <w:kern w:val="0"/>
                <w:szCs w:val="24"/>
              </w:rPr>
              <w:t>5</w:t>
            </w:r>
            <w:r>
              <w:rPr>
                <w:rFonts w:hint="eastAsia" w:asciiTheme="minorEastAsia" w:hAnsiTheme="minorEastAsia"/>
                <w:kern w:val="0"/>
                <w:szCs w:val="24"/>
              </w:rPr>
              <w:t>、</w:t>
            </w:r>
            <w:r>
              <w:rPr>
                <w:rFonts w:asciiTheme="minorEastAsia" w:hAnsiTheme="minorEastAsia"/>
                <w:kern w:val="0"/>
                <w:szCs w:val="24"/>
              </w:rPr>
              <w:t>所投</w:t>
            </w:r>
            <w:r>
              <w:rPr>
                <w:rFonts w:hint="eastAsia" w:asciiTheme="minorEastAsia" w:hAnsiTheme="minorEastAsia" w:eastAsiaTheme="minorEastAsia"/>
                <w:szCs w:val="21"/>
              </w:rPr>
              <w:t>智能</w:t>
            </w:r>
            <w:r>
              <w:rPr>
                <w:rFonts w:asciiTheme="minorEastAsia" w:hAnsiTheme="minorEastAsia"/>
                <w:kern w:val="0"/>
                <w:szCs w:val="24"/>
              </w:rPr>
              <w:t>LED</w:t>
            </w:r>
            <w:r>
              <w:rPr>
                <w:rFonts w:hint="eastAsia" w:asciiTheme="minorEastAsia" w:hAnsiTheme="minorEastAsia"/>
                <w:kern w:val="0"/>
                <w:szCs w:val="24"/>
              </w:rPr>
              <w:t>黑板</w:t>
            </w:r>
            <w:r>
              <w:rPr>
                <w:rFonts w:asciiTheme="minorEastAsia" w:hAnsiTheme="minorEastAsia"/>
                <w:kern w:val="0"/>
                <w:szCs w:val="24"/>
              </w:rPr>
              <w:t>灯满足</w:t>
            </w:r>
            <w:r>
              <w:rPr>
                <w:rFonts w:hint="eastAsia" w:asciiTheme="minorEastAsia" w:hAnsiTheme="minorEastAsia"/>
                <w:kern w:val="0"/>
                <w:szCs w:val="24"/>
              </w:rPr>
              <w:t>黑板</w:t>
            </w:r>
            <w:r>
              <w:rPr>
                <w:rFonts w:asciiTheme="minorEastAsia" w:hAnsiTheme="minorEastAsia"/>
                <w:kern w:val="0"/>
                <w:szCs w:val="24"/>
              </w:rPr>
              <w:t>维持平均照度≥800lx</w:t>
            </w:r>
            <w:r>
              <w:rPr>
                <w:rFonts w:hint="eastAsia" w:asciiTheme="minorEastAsia" w:hAnsiTheme="minorEastAsia"/>
                <w:kern w:val="0"/>
                <w:szCs w:val="24"/>
              </w:rPr>
              <w:t>及</w:t>
            </w:r>
            <w:r>
              <w:rPr>
                <w:rFonts w:asciiTheme="minorEastAsia" w:hAnsiTheme="minorEastAsia"/>
                <w:kern w:val="0"/>
                <w:szCs w:val="24"/>
              </w:rPr>
              <w:t>照度均匀度≥0.82，以保证良好、舒适的照明，并保障人员健康的得</w:t>
            </w:r>
            <w:r>
              <w:rPr>
                <w:rFonts w:hint="eastAsia" w:asciiTheme="minorEastAsia" w:hAnsiTheme="minorEastAsia"/>
                <w:kern w:val="0"/>
                <w:szCs w:val="24"/>
                <w:lang w:val="en-US" w:eastAsia="zh-CN"/>
              </w:rPr>
              <w:t>1</w:t>
            </w:r>
            <w:r>
              <w:rPr>
                <w:rFonts w:hint="eastAsia" w:asciiTheme="minorEastAsia" w:hAnsiTheme="minorEastAsia"/>
                <w:kern w:val="0"/>
                <w:szCs w:val="24"/>
              </w:rPr>
              <w:t>分；</w:t>
            </w:r>
            <w:r>
              <w:rPr>
                <w:rFonts w:asciiTheme="minorEastAsia" w:hAnsiTheme="minorEastAsia"/>
                <w:kern w:val="0"/>
                <w:szCs w:val="24"/>
              </w:rPr>
              <w:t xml:space="preserve"> </w:t>
            </w:r>
          </w:p>
          <w:p w14:paraId="4B9A665F">
            <w:pPr>
              <w:overflowPunct/>
              <w:bidi w:val="0"/>
              <w:outlineLvl w:val="9"/>
              <w:rPr>
                <w:rFonts w:cs="Arial" w:asciiTheme="minorEastAsia" w:hAnsiTheme="minorEastAsia"/>
                <w:b/>
                <w:szCs w:val="21"/>
              </w:rPr>
            </w:pPr>
            <w:r>
              <w:rPr>
                <w:rFonts w:hint="eastAsia" w:asciiTheme="minorEastAsia" w:hAnsiTheme="minorEastAsia" w:eastAsiaTheme="minorEastAsia"/>
                <w:b/>
                <w:bCs/>
                <w:szCs w:val="21"/>
                <w:lang w:val="zh-CN"/>
              </w:rPr>
              <w:t>评分依据</w:t>
            </w:r>
            <w:r>
              <w:rPr>
                <w:rFonts w:hint="eastAsia" w:cs="Arial" w:asciiTheme="minorEastAsia" w:hAnsiTheme="minorEastAsia" w:eastAsiaTheme="minorEastAsia"/>
                <w:b/>
                <w:szCs w:val="21"/>
              </w:rPr>
              <w:t>：</w:t>
            </w:r>
            <w:r>
              <w:rPr>
                <w:rFonts w:hint="eastAsia" w:asciiTheme="minorEastAsia" w:hAnsiTheme="minorEastAsia"/>
                <w:b/>
                <w:kern w:val="0"/>
                <w:szCs w:val="21"/>
              </w:rPr>
              <w:t>序号</w:t>
            </w:r>
            <w:r>
              <w:rPr>
                <w:rFonts w:asciiTheme="minorEastAsia" w:hAnsiTheme="minorEastAsia"/>
                <w:b/>
                <w:kern w:val="0"/>
                <w:szCs w:val="21"/>
              </w:rPr>
              <w:t>4</w:t>
            </w:r>
            <w:r>
              <w:rPr>
                <w:rFonts w:hint="eastAsia" w:asciiTheme="minorEastAsia" w:hAnsiTheme="minorEastAsia"/>
                <w:b/>
                <w:kern w:val="0"/>
                <w:szCs w:val="21"/>
              </w:rPr>
              <w:t>至序号</w:t>
            </w:r>
            <w:r>
              <w:rPr>
                <w:rFonts w:asciiTheme="minorEastAsia" w:hAnsiTheme="minorEastAsia"/>
                <w:b/>
                <w:kern w:val="0"/>
                <w:szCs w:val="21"/>
              </w:rPr>
              <w:t>5</w:t>
            </w:r>
            <w:r>
              <w:rPr>
                <w:rFonts w:cs="Arial" w:asciiTheme="minorEastAsia" w:hAnsiTheme="minorEastAsia"/>
                <w:b/>
                <w:szCs w:val="21"/>
              </w:rPr>
              <w:t>须</w:t>
            </w:r>
            <w:r>
              <w:rPr>
                <w:rFonts w:hint="eastAsia" w:cs="Arial" w:asciiTheme="minorEastAsia" w:hAnsiTheme="minorEastAsia"/>
                <w:b/>
                <w:szCs w:val="21"/>
              </w:rPr>
              <w:t xml:space="preserve">提供第三方认证机构至少依据《GB </w:t>
            </w:r>
            <w:r>
              <w:rPr>
                <w:rFonts w:cs="Arial" w:asciiTheme="minorEastAsia" w:hAnsiTheme="minorEastAsia"/>
                <w:b/>
                <w:szCs w:val="21"/>
              </w:rPr>
              <w:t>7793</w:t>
            </w:r>
            <w:r>
              <w:rPr>
                <w:rFonts w:hint="eastAsia" w:cs="Arial" w:asciiTheme="minorEastAsia" w:hAnsiTheme="minorEastAsia"/>
                <w:b/>
                <w:szCs w:val="21"/>
              </w:rPr>
              <w:t>》、《GB/T</w:t>
            </w:r>
            <w:r>
              <w:rPr>
                <w:rFonts w:cs="Arial" w:asciiTheme="minorEastAsia" w:hAnsiTheme="minorEastAsia"/>
                <w:b/>
                <w:szCs w:val="21"/>
              </w:rPr>
              <w:t>50378</w:t>
            </w:r>
            <w:r>
              <w:rPr>
                <w:rFonts w:hint="eastAsia" w:cs="Arial" w:asciiTheme="minorEastAsia" w:hAnsiTheme="minorEastAsia"/>
                <w:b/>
                <w:szCs w:val="21"/>
              </w:rPr>
              <w:t>》、《GB/</w:t>
            </w:r>
            <w:r>
              <w:rPr>
                <w:rFonts w:cs="Arial" w:asciiTheme="minorEastAsia" w:hAnsiTheme="minorEastAsia"/>
                <w:b/>
                <w:szCs w:val="21"/>
              </w:rPr>
              <w:t>Z26212</w:t>
            </w:r>
            <w:r>
              <w:rPr>
                <w:rFonts w:hint="eastAsia" w:cs="Arial" w:asciiTheme="minorEastAsia" w:hAnsiTheme="minorEastAsia"/>
                <w:b/>
                <w:szCs w:val="21"/>
              </w:rPr>
              <w:t>》及《</w:t>
            </w:r>
            <w:r>
              <w:rPr>
                <w:rFonts w:cs="Arial" w:asciiTheme="minorEastAsia" w:hAnsiTheme="minorEastAsia"/>
                <w:b/>
                <w:szCs w:val="21"/>
              </w:rPr>
              <w:t>QB</w:t>
            </w:r>
            <w:r>
              <w:rPr>
                <w:rFonts w:hint="eastAsia" w:cs="Arial" w:asciiTheme="minorEastAsia" w:hAnsiTheme="minorEastAsia"/>
                <w:b/>
                <w:szCs w:val="21"/>
              </w:rPr>
              <w:t>/T 5</w:t>
            </w:r>
            <w:r>
              <w:rPr>
                <w:rFonts w:cs="Arial" w:asciiTheme="minorEastAsia" w:hAnsiTheme="minorEastAsia"/>
                <w:b/>
                <w:szCs w:val="21"/>
              </w:rPr>
              <w:t>533</w:t>
            </w:r>
            <w:r>
              <w:rPr>
                <w:rFonts w:hint="eastAsia" w:cs="Arial" w:asciiTheme="minorEastAsia" w:hAnsiTheme="minorEastAsia"/>
                <w:b/>
                <w:szCs w:val="21"/>
              </w:rPr>
              <w:t>》标准出具的认证证书及全国认证认可信息公共服务平台证书状态为“有效”的</w:t>
            </w:r>
            <w:r>
              <w:rPr>
                <w:rFonts w:hint="eastAsia" w:cs="Arial" w:asciiTheme="minorEastAsia" w:hAnsiTheme="minorEastAsia" w:eastAsiaTheme="minorEastAsia"/>
                <w:b/>
                <w:szCs w:val="21"/>
              </w:rPr>
              <w:t>查询截图（认证证书与查询截图均须同时体现产品型号及认证标准</w:t>
            </w:r>
            <w:r>
              <w:rPr>
                <w:rFonts w:hint="eastAsia" w:cs="Arial" w:asciiTheme="minorEastAsia" w:hAnsiTheme="minorEastAsia"/>
                <w:b/>
                <w:szCs w:val="21"/>
              </w:rPr>
              <w:t xml:space="preserve">）；认证结果不符合或提供材料不齐全不得分。 </w:t>
            </w:r>
          </w:p>
          <w:p w14:paraId="45156197">
            <w:pPr>
              <w:numPr>
                <w:ilvl w:val="0"/>
                <w:numId w:val="7"/>
              </w:numPr>
              <w:overflowPunct/>
              <w:bidi w:val="0"/>
              <w:outlineLvl w:val="9"/>
              <w:rPr>
                <w:rFonts w:hint="eastAsia" w:asciiTheme="minorEastAsia" w:hAnsiTheme="minorEastAsia"/>
                <w:bCs/>
                <w:szCs w:val="21"/>
              </w:rPr>
            </w:pPr>
            <w:r>
              <w:rPr>
                <w:rFonts w:hint="eastAsia" w:asciiTheme="minorEastAsia" w:hAnsiTheme="minorEastAsia"/>
                <w:color w:val="000000"/>
                <w:kern w:val="0"/>
                <w:szCs w:val="21"/>
              </w:rPr>
              <w:t>为了积极响应教育部等八部门印发的《综合防控儿童青少年近视实施方案》，降低近视率，</w:t>
            </w:r>
            <w:r>
              <w:rPr>
                <w:rFonts w:hint="eastAsia" w:cs="Arial" w:asciiTheme="minorEastAsia" w:hAnsiTheme="minorEastAsia"/>
                <w:szCs w:val="21"/>
              </w:rPr>
              <w:t>所投</w:t>
            </w:r>
            <w:r>
              <w:rPr>
                <w:rFonts w:hint="eastAsia" w:asciiTheme="minorEastAsia" w:hAnsiTheme="minorEastAsia" w:eastAsiaTheme="minorEastAsia"/>
                <w:szCs w:val="21"/>
              </w:rPr>
              <w:t>智能</w:t>
            </w:r>
            <w:r>
              <w:rPr>
                <w:rFonts w:hint="eastAsia" w:cs="Arial" w:asciiTheme="minorEastAsia" w:hAnsiTheme="minorEastAsia"/>
                <w:szCs w:val="21"/>
              </w:rPr>
              <w:t>LED教室灯、</w:t>
            </w:r>
            <w:r>
              <w:rPr>
                <w:rFonts w:hint="eastAsia" w:asciiTheme="minorEastAsia" w:hAnsiTheme="minorEastAsia" w:eastAsiaTheme="minorEastAsia"/>
                <w:szCs w:val="21"/>
              </w:rPr>
              <w:t>智能</w:t>
            </w:r>
            <w:r>
              <w:rPr>
                <w:rFonts w:hint="eastAsia" w:cs="Arial" w:asciiTheme="minorEastAsia" w:hAnsiTheme="minorEastAsia"/>
                <w:szCs w:val="21"/>
              </w:rPr>
              <w:t>LED黑板灯</w:t>
            </w:r>
            <w:r>
              <w:rPr>
                <w:rFonts w:asciiTheme="minorEastAsia" w:hAnsiTheme="minorEastAsia"/>
                <w:color w:val="000000"/>
                <w:kern w:val="0"/>
                <w:szCs w:val="21"/>
              </w:rPr>
              <w:t>环境适应性满足防护等级≥IP40，ta≥50℃</w:t>
            </w:r>
            <w:r>
              <w:rPr>
                <w:rFonts w:hint="eastAsia" w:asciiTheme="minorEastAsia" w:hAnsiTheme="minorEastAsia"/>
                <w:color w:val="000000"/>
                <w:kern w:val="0"/>
                <w:szCs w:val="21"/>
              </w:rPr>
              <w:t>，且</w:t>
            </w:r>
            <w:r>
              <w:rPr>
                <w:rFonts w:hint="eastAsia" w:cs="Arial" w:asciiTheme="minorEastAsia" w:hAnsiTheme="minorEastAsia"/>
                <w:szCs w:val="21"/>
              </w:rPr>
              <w:t>通过近视防控认证</w:t>
            </w:r>
            <w:r>
              <w:rPr>
                <w:rFonts w:hint="eastAsia" w:asciiTheme="minorEastAsia" w:hAnsiTheme="minorEastAsia"/>
                <w:bCs/>
                <w:szCs w:val="21"/>
              </w:rPr>
              <w:t>；每有一款产品全部满足以上要求的得</w:t>
            </w:r>
            <w:r>
              <w:rPr>
                <w:rFonts w:asciiTheme="minorEastAsia" w:hAnsiTheme="minorEastAsia"/>
                <w:bCs/>
                <w:szCs w:val="21"/>
              </w:rPr>
              <w:t>1</w:t>
            </w:r>
            <w:r>
              <w:rPr>
                <w:rFonts w:hint="eastAsia" w:asciiTheme="minorEastAsia" w:hAnsiTheme="minorEastAsia"/>
                <w:bCs/>
                <w:szCs w:val="21"/>
              </w:rPr>
              <w:t>分，满分</w:t>
            </w:r>
            <w:r>
              <w:rPr>
                <w:rFonts w:asciiTheme="minorEastAsia" w:hAnsiTheme="minorEastAsia"/>
                <w:bCs/>
                <w:szCs w:val="21"/>
              </w:rPr>
              <w:t>2</w:t>
            </w:r>
            <w:r>
              <w:rPr>
                <w:rFonts w:hint="eastAsia" w:asciiTheme="minorEastAsia" w:hAnsiTheme="minorEastAsia"/>
                <w:bCs/>
                <w:szCs w:val="21"/>
              </w:rPr>
              <w:t>分。</w:t>
            </w:r>
          </w:p>
          <w:p w14:paraId="42C9C400">
            <w:pPr>
              <w:numPr>
                <w:ilvl w:val="0"/>
                <w:numId w:val="0"/>
              </w:numPr>
              <w:overflowPunct/>
              <w:bidi w:val="0"/>
              <w:outlineLvl w:val="9"/>
              <w:rPr>
                <w:rFonts w:hint="eastAsia" w:asciiTheme="minorEastAsia" w:hAnsiTheme="minorEastAsia" w:eastAsiaTheme="minorEastAsia"/>
                <w:b/>
                <w:bCs/>
                <w:szCs w:val="21"/>
                <w:lang w:val="zh-CN"/>
              </w:rPr>
            </w:pPr>
            <w:r>
              <w:rPr>
                <w:rFonts w:hint="eastAsia" w:asciiTheme="minorEastAsia" w:hAnsiTheme="minorEastAsia" w:eastAsiaTheme="minorEastAsia"/>
                <w:b/>
                <w:bCs/>
                <w:szCs w:val="21"/>
                <w:lang w:val="zh-CN"/>
              </w:rPr>
              <w:t>评分依据</w:t>
            </w:r>
            <w:r>
              <w:rPr>
                <w:rFonts w:hint="eastAsia" w:cs="Arial" w:asciiTheme="minorEastAsia" w:hAnsiTheme="minorEastAsia" w:eastAsiaTheme="minorEastAsia"/>
                <w:b/>
                <w:szCs w:val="21"/>
              </w:rPr>
              <w:t>：</w:t>
            </w:r>
            <w:r>
              <w:rPr>
                <w:rFonts w:hint="eastAsia" w:cs="Arial" w:asciiTheme="minorEastAsia" w:hAnsiTheme="minorEastAsia" w:eastAsiaTheme="minorEastAsia"/>
                <w:b/>
                <w:szCs w:val="21"/>
                <w:lang w:eastAsia="zh-CN"/>
              </w:rPr>
              <w:t>序号</w:t>
            </w:r>
            <w:r>
              <w:rPr>
                <w:rFonts w:hint="eastAsia" w:cs="Arial" w:asciiTheme="minorEastAsia" w:hAnsiTheme="minorEastAsia" w:eastAsiaTheme="minorEastAsia"/>
                <w:b/>
                <w:szCs w:val="21"/>
                <w:lang w:val="en-US" w:eastAsia="zh-CN"/>
              </w:rPr>
              <w:t>6须</w:t>
            </w:r>
            <w:r>
              <w:rPr>
                <w:rFonts w:hint="eastAsia" w:cs="Arial" w:asciiTheme="minorEastAsia" w:hAnsiTheme="minorEastAsia"/>
                <w:b/>
                <w:szCs w:val="21"/>
              </w:rPr>
              <w:t>提供第三方认证机构出具的认证证书及全国认证认可信息公共服务平台证书状态为“有效”的</w:t>
            </w:r>
            <w:r>
              <w:rPr>
                <w:rFonts w:hint="eastAsia" w:cs="Arial" w:asciiTheme="minorEastAsia" w:hAnsiTheme="minorEastAsia" w:eastAsiaTheme="minorEastAsia"/>
                <w:b/>
                <w:szCs w:val="21"/>
              </w:rPr>
              <w:t>查询截图（认证证书与查询截图均须同时体现产品型号及认证标准</w:t>
            </w:r>
            <w:r>
              <w:rPr>
                <w:rFonts w:hint="eastAsia" w:cs="Arial" w:asciiTheme="minorEastAsia" w:hAnsiTheme="minorEastAsia"/>
                <w:b/>
                <w:szCs w:val="21"/>
              </w:rPr>
              <w:t xml:space="preserve">）；认证结果不符合或提供材料不齐全不得分。 </w:t>
            </w:r>
            <w:r>
              <w:rPr>
                <w:rFonts w:hint="eastAsia" w:asciiTheme="minorEastAsia" w:hAnsiTheme="minorEastAsia"/>
                <w:b/>
                <w:szCs w:val="21"/>
              </w:rPr>
              <w:t xml:space="preserve"> </w:t>
            </w:r>
          </w:p>
        </w:tc>
        <w:tc>
          <w:tcPr>
            <w:tcW w:w="657" w:type="dxa"/>
            <w:vAlign w:val="center"/>
          </w:tcPr>
          <w:p w14:paraId="3FF165D6">
            <w:pPr>
              <w:overflowPunct/>
              <w:bidi w:val="0"/>
              <w:spacing w:line="0" w:lineRule="atLeast"/>
              <w:jc w:val="center"/>
              <w:outlineLvl w:val="9"/>
              <w:rPr>
                <w:rFonts w:hint="default" w:ascii="宋体" w:hAnsi="宋体" w:eastAsia="宋体" w:cs="微软雅黑"/>
                <w:color w:val="000000" w:themeColor="text1"/>
                <w:szCs w:val="21"/>
                <w:highlight w:val="none"/>
                <w:lang w:val="en-US" w:eastAsia="zh-CN"/>
                <w14:textFill>
                  <w14:solidFill>
                    <w14:schemeClr w14:val="tx1"/>
                  </w14:solidFill>
                </w14:textFill>
              </w:rPr>
            </w:pPr>
            <w:r>
              <w:rPr>
                <w:rFonts w:hint="eastAsia" w:ascii="宋体" w:hAnsi="宋体" w:cs="微软雅黑"/>
                <w:color w:val="000000" w:themeColor="text1"/>
                <w:szCs w:val="21"/>
                <w:highlight w:val="none"/>
                <w:lang w:val="en-US" w:eastAsia="zh-CN"/>
                <w14:textFill>
                  <w14:solidFill>
                    <w14:schemeClr w14:val="tx1"/>
                  </w14:solidFill>
                </w14:textFill>
              </w:rPr>
              <w:t>0-10</w:t>
            </w:r>
          </w:p>
        </w:tc>
      </w:tr>
      <w:tr w14:paraId="505462C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802" w:hRule="atLeast"/>
        </w:trPr>
        <w:tc>
          <w:tcPr>
            <w:tcW w:w="700" w:type="dxa"/>
            <w:vMerge w:val="restart"/>
            <w:tcBorders>
              <w:top w:val="nil"/>
              <w:left w:val="single" w:color="auto" w:sz="4" w:space="0"/>
              <w:bottom w:val="nil"/>
              <w:right w:val="single" w:color="auto" w:sz="4" w:space="0"/>
            </w:tcBorders>
            <w:vAlign w:val="center"/>
          </w:tcPr>
          <w:p w14:paraId="498CE31C">
            <w:pPr>
              <w:keepNext w:val="0"/>
              <w:keepLines w:val="0"/>
              <w:pageBreakBefore w:val="0"/>
              <w:widowControl w:val="0"/>
              <w:kinsoku/>
              <w:wordWrap/>
              <w:overflowPunct/>
              <w:topLinePunct w:val="0"/>
              <w:bidi w:val="0"/>
              <w:snapToGrid/>
              <w:spacing w:line="0" w:lineRule="atLeast"/>
              <w:jc w:val="center"/>
              <w:outlineLvl w:val="9"/>
              <w:rPr>
                <w:rFonts w:hint="eastAsia" w:ascii="宋体" w:hAnsi="宋体" w:cs="微软雅黑"/>
                <w:color w:val="000000" w:themeColor="text1"/>
                <w:szCs w:val="21"/>
                <w:highlight w:val="none"/>
                <w14:textFill>
                  <w14:solidFill>
                    <w14:schemeClr w14:val="tx1"/>
                  </w14:solidFill>
                </w14:textFill>
              </w:rPr>
            </w:pPr>
          </w:p>
        </w:tc>
        <w:tc>
          <w:tcPr>
            <w:tcW w:w="939" w:type="dxa"/>
            <w:vMerge w:val="continue"/>
            <w:tcBorders>
              <w:left w:val="single" w:color="auto" w:sz="4" w:space="0"/>
              <w:bottom w:val="nil"/>
            </w:tcBorders>
            <w:vAlign w:val="center"/>
          </w:tcPr>
          <w:p w14:paraId="4BC72CD6">
            <w:pPr>
              <w:keepNext w:val="0"/>
              <w:keepLines w:val="0"/>
              <w:pageBreakBefore w:val="0"/>
              <w:widowControl w:val="0"/>
              <w:kinsoku/>
              <w:wordWrap/>
              <w:overflowPunct/>
              <w:topLinePunct w:val="0"/>
              <w:bidi w:val="0"/>
              <w:snapToGrid/>
              <w:spacing w:line="0" w:lineRule="atLeast"/>
              <w:jc w:val="center"/>
              <w:outlineLvl w:val="9"/>
              <w:rPr>
                <w:rFonts w:hint="eastAsia" w:ascii="宋体" w:hAnsi="宋体" w:cs="微软雅黑"/>
                <w:color w:val="000000" w:themeColor="text1"/>
                <w:szCs w:val="21"/>
                <w:highlight w:val="none"/>
                <w:lang w:val="en-US" w:eastAsia="zh-CN"/>
                <w14:textFill>
                  <w14:solidFill>
                    <w14:schemeClr w14:val="tx1"/>
                  </w14:solidFill>
                </w14:textFill>
              </w:rPr>
            </w:pPr>
          </w:p>
        </w:tc>
        <w:tc>
          <w:tcPr>
            <w:tcW w:w="1737" w:type="dxa"/>
            <w:vAlign w:val="center"/>
          </w:tcPr>
          <w:p w14:paraId="20DF5963">
            <w:pPr>
              <w:pStyle w:val="106"/>
              <w:overflowPunct/>
              <w:bidi w:val="0"/>
              <w:spacing w:line="0" w:lineRule="atLeast"/>
              <w:jc w:val="center"/>
              <w:outlineLvl w:val="9"/>
              <w:rPr>
                <w:rFonts w:hint="eastAsia" w:asciiTheme="minorEastAsia" w:hAnsiTheme="minorEastAsia" w:eastAsiaTheme="minorEastAsia"/>
                <w:szCs w:val="21"/>
                <w:lang w:eastAsia="zh-CN"/>
              </w:rPr>
            </w:pPr>
            <w:r>
              <w:rPr>
                <w:rFonts w:hint="eastAsia" w:asciiTheme="minorEastAsia" w:hAnsiTheme="minorEastAsia" w:eastAsiaTheme="minorEastAsia"/>
                <w:szCs w:val="21"/>
                <w:lang w:eastAsia="zh-CN"/>
              </w:rPr>
              <w:t>项目实施方案</w:t>
            </w:r>
          </w:p>
          <w:p w14:paraId="065AAF6D">
            <w:pPr>
              <w:pStyle w:val="106"/>
              <w:overflowPunct/>
              <w:bidi w:val="0"/>
              <w:spacing w:line="0" w:lineRule="atLeast"/>
              <w:jc w:val="center"/>
              <w:outlineLvl w:val="9"/>
              <w:rPr>
                <w:rFonts w:hint="eastAsia" w:asciiTheme="minorEastAsia" w:hAnsiTheme="minorEastAsia" w:eastAsiaTheme="minorEastAsia"/>
                <w:szCs w:val="21"/>
                <w:lang w:eastAsia="zh-CN"/>
              </w:rPr>
            </w:pPr>
            <w:r>
              <w:rPr>
                <w:rFonts w:hint="eastAsia" w:asciiTheme="minorEastAsia" w:hAnsiTheme="minorEastAsia" w:eastAsiaTheme="minorEastAsia"/>
                <w:szCs w:val="21"/>
                <w:lang w:eastAsia="zh-CN"/>
              </w:rPr>
              <w:t>（</w:t>
            </w:r>
            <w:r>
              <w:rPr>
                <w:rFonts w:hint="eastAsia" w:asciiTheme="minorEastAsia" w:hAnsiTheme="minorEastAsia" w:eastAsiaTheme="minorEastAsia"/>
                <w:szCs w:val="21"/>
                <w:lang w:val="en-US" w:eastAsia="zh-CN"/>
              </w:rPr>
              <w:t>10分</w:t>
            </w:r>
            <w:r>
              <w:rPr>
                <w:rFonts w:hint="eastAsia" w:asciiTheme="minorEastAsia" w:hAnsiTheme="minorEastAsia" w:eastAsiaTheme="minorEastAsia"/>
                <w:szCs w:val="21"/>
                <w:lang w:eastAsia="zh-CN"/>
              </w:rPr>
              <w:t>）</w:t>
            </w:r>
          </w:p>
        </w:tc>
        <w:tc>
          <w:tcPr>
            <w:tcW w:w="5606" w:type="dxa"/>
            <w:vAlign w:val="center"/>
          </w:tcPr>
          <w:p w14:paraId="04CEF88D">
            <w:pPr>
              <w:numPr>
                <w:ilvl w:val="0"/>
                <w:numId w:val="0"/>
              </w:numPr>
              <w:overflowPunct/>
              <w:bidi w:val="0"/>
              <w:outlineLvl w:val="9"/>
              <w:rPr>
                <w:rFonts w:hint="eastAsia" w:ascii="宋体" w:hAnsi="宋体" w:eastAsia="宋体" w:cs="微软雅黑"/>
                <w:color w:val="000000" w:themeColor="text1"/>
                <w:szCs w:val="21"/>
                <w:highlight w:val="none"/>
                <w:lang w:eastAsia="zh-CN"/>
                <w14:textFill>
                  <w14:solidFill>
                    <w14:schemeClr w14:val="tx1"/>
                  </w14:solidFill>
                </w14:textFill>
              </w:rPr>
            </w:pPr>
            <w:r>
              <w:rPr>
                <w:rFonts w:hint="eastAsia" w:ascii="宋体" w:hAnsi="宋体" w:eastAsia="宋体" w:cs="微软雅黑"/>
                <w:color w:val="000000" w:themeColor="text1"/>
                <w:szCs w:val="21"/>
                <w:highlight w:val="none"/>
                <w:lang w:eastAsia="zh-CN"/>
                <w14:textFill>
                  <w14:solidFill>
                    <w14:schemeClr w14:val="tx1"/>
                  </w14:solidFill>
                </w14:textFill>
              </w:rPr>
              <w:t>供应商</w:t>
            </w:r>
            <w:r>
              <w:rPr>
                <w:rFonts w:hint="eastAsia" w:ascii="宋体" w:hAnsi="宋体" w:eastAsia="宋体" w:cs="微软雅黑"/>
                <w:color w:val="000000" w:themeColor="text1"/>
                <w:szCs w:val="21"/>
                <w:highlight w:val="none"/>
                <w14:textFill>
                  <w14:solidFill>
                    <w14:schemeClr w14:val="tx1"/>
                  </w14:solidFill>
                </w14:textFill>
              </w:rPr>
              <w:t>针对于本项目制定相应的</w:t>
            </w:r>
            <w:r>
              <w:rPr>
                <w:rFonts w:hint="eastAsia" w:ascii="宋体" w:hAnsi="宋体" w:eastAsia="宋体" w:cs="微软雅黑"/>
                <w:color w:val="000000" w:themeColor="text1"/>
                <w:szCs w:val="21"/>
                <w:highlight w:val="none"/>
                <w:lang w:eastAsia="zh-CN"/>
                <w14:textFill>
                  <w14:solidFill>
                    <w14:schemeClr w14:val="tx1"/>
                  </w14:solidFill>
                </w14:textFill>
              </w:rPr>
              <w:t>实施</w:t>
            </w:r>
            <w:r>
              <w:rPr>
                <w:rFonts w:hint="eastAsia" w:ascii="宋体" w:hAnsi="宋体" w:eastAsia="宋体" w:cs="微软雅黑"/>
                <w:color w:val="000000" w:themeColor="text1"/>
                <w:szCs w:val="21"/>
                <w:highlight w:val="none"/>
                <w14:textFill>
                  <w14:solidFill>
                    <w14:schemeClr w14:val="tx1"/>
                  </w14:solidFill>
                </w14:textFill>
              </w:rPr>
              <w:t>方案</w:t>
            </w:r>
            <w:r>
              <w:rPr>
                <w:rFonts w:hint="eastAsia" w:asciiTheme="minorEastAsia" w:hAnsiTheme="minorEastAsia" w:eastAsiaTheme="minorEastAsia"/>
                <w:bCs/>
                <w:szCs w:val="21"/>
              </w:rPr>
              <w:t>进行综合打分</w:t>
            </w:r>
            <w:r>
              <w:rPr>
                <w:rFonts w:hint="eastAsia" w:ascii="宋体" w:hAnsi="宋体" w:eastAsia="宋体" w:cs="微软雅黑"/>
                <w:color w:val="000000" w:themeColor="text1"/>
                <w:szCs w:val="21"/>
                <w:highlight w:val="none"/>
                <w14:textFill>
                  <w14:solidFill>
                    <w14:schemeClr w14:val="tx1"/>
                  </w14:solidFill>
                </w14:textFill>
              </w:rPr>
              <w:t>，包含但不限于以下几个方面</w:t>
            </w:r>
            <w:r>
              <w:rPr>
                <w:rFonts w:hint="eastAsia" w:ascii="宋体" w:hAnsi="宋体" w:eastAsia="宋体" w:cs="微软雅黑"/>
                <w:color w:val="000000" w:themeColor="text1"/>
                <w:szCs w:val="21"/>
                <w:highlight w:val="none"/>
                <w:lang w:eastAsia="zh-CN"/>
                <w14:textFill>
                  <w14:solidFill>
                    <w14:schemeClr w14:val="tx1"/>
                  </w14:solidFill>
                </w14:textFill>
              </w:rPr>
              <w:t>：</w:t>
            </w:r>
          </w:p>
          <w:p w14:paraId="5986D21E">
            <w:pPr>
              <w:overflowPunct/>
              <w:bidi w:val="0"/>
              <w:jc w:val="left"/>
              <w:outlineLvl w:val="9"/>
              <w:rPr>
                <w:rFonts w:hint="eastAsia" w:asciiTheme="minorEastAsia" w:hAnsiTheme="minorEastAsia" w:eastAsiaTheme="minorEastAsia"/>
                <w:bCs/>
                <w:szCs w:val="21"/>
              </w:rPr>
            </w:pPr>
            <w:r>
              <w:rPr>
                <w:rFonts w:hint="eastAsia" w:asciiTheme="minorEastAsia" w:hAnsiTheme="minorEastAsia" w:eastAsiaTheme="minorEastAsia"/>
                <w:szCs w:val="21"/>
                <w:lang w:val="zh-CN"/>
              </w:rPr>
              <w:t>①</w:t>
            </w:r>
            <w:r>
              <w:rPr>
                <w:rFonts w:hint="eastAsia" w:asciiTheme="minorEastAsia" w:hAnsiTheme="minorEastAsia" w:eastAsiaTheme="minorEastAsia"/>
                <w:bCs/>
                <w:szCs w:val="21"/>
              </w:rPr>
              <w:t>项目实施安排；</w:t>
            </w:r>
          </w:p>
          <w:p w14:paraId="64D6D178">
            <w:pPr>
              <w:overflowPunct/>
              <w:bidi w:val="0"/>
              <w:jc w:val="left"/>
              <w:outlineLvl w:val="9"/>
              <w:rPr>
                <w:rFonts w:hint="eastAsia" w:asciiTheme="minorEastAsia" w:hAnsiTheme="minorEastAsia" w:eastAsiaTheme="minorEastAsia"/>
                <w:szCs w:val="21"/>
                <w:lang w:val="zh-CN"/>
              </w:rPr>
            </w:pPr>
            <w:r>
              <w:rPr>
                <w:rFonts w:hint="eastAsia" w:asciiTheme="minorEastAsia" w:hAnsiTheme="minorEastAsia" w:eastAsiaTheme="minorEastAsia"/>
                <w:szCs w:val="21"/>
                <w:lang w:val="zh-CN"/>
              </w:rPr>
              <w:t>②工作进度计划；</w:t>
            </w:r>
          </w:p>
          <w:p w14:paraId="7D00EECD">
            <w:pPr>
              <w:overflowPunct/>
              <w:bidi w:val="0"/>
              <w:jc w:val="left"/>
              <w:outlineLvl w:val="9"/>
              <w:rPr>
                <w:rFonts w:hint="eastAsia" w:asciiTheme="minorEastAsia" w:hAnsiTheme="minorEastAsia" w:eastAsiaTheme="minorEastAsia"/>
                <w:bCs/>
                <w:szCs w:val="21"/>
              </w:rPr>
            </w:pPr>
            <w:r>
              <w:rPr>
                <w:rFonts w:hint="eastAsia" w:asciiTheme="minorEastAsia" w:hAnsiTheme="minorEastAsia" w:eastAsiaTheme="minorEastAsia"/>
                <w:szCs w:val="21"/>
                <w:lang w:val="zh-CN"/>
              </w:rPr>
              <w:t>③</w:t>
            </w:r>
            <w:r>
              <w:rPr>
                <w:rFonts w:hint="eastAsia" w:asciiTheme="minorEastAsia" w:hAnsiTheme="minorEastAsia" w:eastAsiaTheme="minorEastAsia"/>
                <w:bCs/>
                <w:szCs w:val="21"/>
              </w:rPr>
              <w:t>服务人员架构；</w:t>
            </w:r>
          </w:p>
          <w:p w14:paraId="6CAE1E51">
            <w:pPr>
              <w:overflowPunct/>
              <w:bidi w:val="0"/>
              <w:jc w:val="left"/>
              <w:outlineLvl w:val="9"/>
              <w:rPr>
                <w:rFonts w:hint="eastAsia" w:asciiTheme="minorEastAsia" w:hAnsiTheme="minorEastAsia" w:eastAsiaTheme="minorEastAsia"/>
                <w:bCs/>
                <w:szCs w:val="21"/>
              </w:rPr>
            </w:pPr>
            <w:r>
              <w:rPr>
                <w:rFonts w:hint="eastAsia" w:asciiTheme="minorEastAsia" w:hAnsiTheme="minorEastAsia" w:eastAsiaTheme="minorEastAsia"/>
                <w:bCs/>
                <w:szCs w:val="21"/>
              </w:rPr>
              <w:t>④服务保障措施；</w:t>
            </w:r>
          </w:p>
          <w:p w14:paraId="45017840">
            <w:pPr>
              <w:overflowPunct/>
              <w:bidi w:val="0"/>
              <w:jc w:val="left"/>
              <w:outlineLvl w:val="9"/>
              <w:rPr>
                <w:rFonts w:asciiTheme="minorEastAsia" w:hAnsiTheme="minorEastAsia" w:eastAsiaTheme="minorEastAsia"/>
                <w:bCs/>
                <w:szCs w:val="21"/>
              </w:rPr>
            </w:pPr>
            <w:r>
              <w:rPr>
                <w:rFonts w:hint="eastAsia" w:ascii="宋体" w:hAnsi="宋体"/>
                <w:bCs/>
                <w:szCs w:val="21"/>
              </w:rPr>
              <w:t>⑤应急保障措施</w:t>
            </w:r>
            <w:r>
              <w:rPr>
                <w:rFonts w:hint="eastAsia" w:asciiTheme="minorEastAsia" w:hAnsiTheme="minorEastAsia" w:eastAsiaTheme="minorEastAsia"/>
                <w:bCs/>
                <w:szCs w:val="21"/>
              </w:rPr>
              <w:t>等；</w:t>
            </w:r>
          </w:p>
          <w:p w14:paraId="6B968BDA">
            <w:pPr>
              <w:overflowPunct/>
              <w:bidi w:val="0"/>
              <w:spacing w:line="0" w:lineRule="atLeast"/>
              <w:outlineLvl w:val="9"/>
              <w:rPr>
                <w:rFonts w:hint="eastAsia" w:ascii="宋体" w:hAnsi="宋体" w:eastAsia="宋体" w:cs="微软雅黑"/>
                <w:b w:val="0"/>
                <w:bCs w:val="0"/>
                <w:color w:val="000000" w:themeColor="text1"/>
                <w:szCs w:val="21"/>
                <w:highlight w:val="none"/>
                <w14:textFill>
                  <w14:solidFill>
                    <w14:schemeClr w14:val="tx1"/>
                  </w14:solidFill>
                </w14:textFill>
              </w:rPr>
            </w:pPr>
            <w:r>
              <w:rPr>
                <w:rFonts w:hint="eastAsia" w:ascii="宋体" w:hAnsi="宋体" w:eastAsia="宋体" w:cs="微软雅黑"/>
                <w:b/>
                <w:bCs/>
                <w:color w:val="000000" w:themeColor="text1"/>
                <w:szCs w:val="21"/>
                <w:highlight w:val="none"/>
                <w:lang w:eastAsia="zh-CN"/>
                <w14:textFill>
                  <w14:solidFill>
                    <w14:schemeClr w14:val="tx1"/>
                  </w14:solidFill>
                </w14:textFill>
              </w:rPr>
              <w:t>评分依据：</w:t>
            </w:r>
            <w:r>
              <w:rPr>
                <w:rFonts w:hint="eastAsia" w:ascii="宋体" w:hAnsi="宋体" w:eastAsia="宋体" w:cs="微软雅黑"/>
                <w:b w:val="0"/>
                <w:bCs w:val="0"/>
                <w:color w:val="000000" w:themeColor="text1"/>
                <w:szCs w:val="21"/>
                <w:highlight w:val="none"/>
                <w14:textFill>
                  <w14:solidFill>
                    <w14:schemeClr w14:val="tx1"/>
                  </w14:solidFill>
                </w14:textFill>
              </w:rPr>
              <w:t>以上</w:t>
            </w:r>
            <w:r>
              <w:rPr>
                <w:rFonts w:hint="eastAsia" w:ascii="宋体" w:hAnsi="宋体" w:eastAsia="宋体" w:cs="微软雅黑"/>
                <w:b w:val="0"/>
                <w:bCs w:val="0"/>
                <w:color w:val="000000" w:themeColor="text1"/>
                <w:szCs w:val="21"/>
                <w:highlight w:val="none"/>
                <w:lang w:eastAsia="zh-CN"/>
                <w14:textFill>
                  <w14:solidFill>
                    <w14:schemeClr w14:val="tx1"/>
                  </w14:solidFill>
                </w14:textFill>
              </w:rPr>
              <w:t>五</w:t>
            </w:r>
            <w:r>
              <w:rPr>
                <w:rFonts w:hint="eastAsia" w:ascii="宋体" w:hAnsi="宋体" w:eastAsia="宋体" w:cs="微软雅黑"/>
                <w:b w:val="0"/>
                <w:bCs w:val="0"/>
                <w:color w:val="000000" w:themeColor="text1"/>
                <w:szCs w:val="21"/>
                <w:highlight w:val="none"/>
                <w14:textFill>
                  <w14:solidFill>
                    <w14:schemeClr w14:val="tx1"/>
                  </w14:solidFill>
                </w14:textFill>
              </w:rPr>
              <w:t>项方案每</w:t>
            </w:r>
            <w:bookmarkStart w:id="88" w:name="_GoBack"/>
            <w:bookmarkEnd w:id="88"/>
            <w:r>
              <w:rPr>
                <w:rFonts w:hint="eastAsia" w:ascii="宋体" w:hAnsi="宋体" w:eastAsia="宋体" w:cs="微软雅黑"/>
                <w:b w:val="0"/>
                <w:bCs w:val="0"/>
                <w:color w:val="000000" w:themeColor="text1"/>
                <w:szCs w:val="21"/>
                <w:highlight w:val="none"/>
                <w14:textFill>
                  <w14:solidFill>
                    <w14:schemeClr w14:val="tx1"/>
                  </w14:solidFill>
                </w14:textFill>
              </w:rPr>
              <w:t>提供一小项内容适用于项目且无缺失的方案得</w:t>
            </w:r>
            <w:r>
              <w:rPr>
                <w:rFonts w:hint="eastAsia" w:ascii="宋体" w:hAnsi="宋体" w:eastAsia="宋体" w:cs="微软雅黑"/>
                <w:b w:val="0"/>
                <w:bCs w:val="0"/>
                <w:color w:val="000000" w:themeColor="text1"/>
                <w:szCs w:val="21"/>
                <w:highlight w:val="none"/>
                <w:lang w:val="en-US" w:eastAsia="zh-CN"/>
                <w14:textFill>
                  <w14:solidFill>
                    <w14:schemeClr w14:val="tx1"/>
                  </w14:solidFill>
                </w14:textFill>
              </w:rPr>
              <w:t>2</w:t>
            </w:r>
            <w:r>
              <w:rPr>
                <w:rFonts w:hint="eastAsia" w:ascii="宋体" w:hAnsi="宋体" w:eastAsia="宋体" w:cs="微软雅黑"/>
                <w:b w:val="0"/>
                <w:bCs w:val="0"/>
                <w:color w:val="000000" w:themeColor="text1"/>
                <w:szCs w:val="21"/>
                <w:highlight w:val="none"/>
                <w14:textFill>
                  <w14:solidFill>
                    <w14:schemeClr w14:val="tx1"/>
                  </w14:solidFill>
                </w14:textFill>
              </w:rPr>
              <w:t>分，</w:t>
            </w:r>
            <w:r>
              <w:rPr>
                <w:rFonts w:hint="eastAsia" w:ascii="宋体" w:hAnsi="宋体" w:eastAsia="宋体" w:cs="微软雅黑"/>
                <w:b w:val="0"/>
                <w:bCs w:val="0"/>
                <w:color w:val="000000" w:themeColor="text1"/>
                <w:szCs w:val="21"/>
                <w:highlight w:val="none"/>
                <w:lang w:eastAsia="zh-CN"/>
                <w14:textFill>
                  <w14:solidFill>
                    <w14:schemeClr w14:val="tx1"/>
                  </w14:solidFill>
                </w14:textFill>
              </w:rPr>
              <w:t>满分为</w:t>
            </w:r>
            <w:r>
              <w:rPr>
                <w:rFonts w:hint="eastAsia" w:ascii="宋体" w:hAnsi="宋体" w:eastAsia="宋体" w:cs="微软雅黑"/>
                <w:b w:val="0"/>
                <w:bCs w:val="0"/>
                <w:color w:val="000000" w:themeColor="text1"/>
                <w:szCs w:val="21"/>
                <w:highlight w:val="none"/>
                <w:lang w:val="en-US" w:eastAsia="zh-CN"/>
                <w14:textFill>
                  <w14:solidFill>
                    <w14:schemeClr w14:val="tx1"/>
                  </w14:solidFill>
                </w14:textFill>
              </w:rPr>
              <w:t>10分，</w:t>
            </w:r>
            <w:r>
              <w:rPr>
                <w:rFonts w:hint="eastAsia" w:asciiTheme="minorEastAsia" w:hAnsiTheme="minorEastAsia" w:eastAsiaTheme="minorEastAsia"/>
                <w:b w:val="0"/>
                <w:bCs w:val="0"/>
                <w:szCs w:val="21"/>
              </w:rPr>
              <w:t>每缺少一项内容扣</w:t>
            </w:r>
            <w:r>
              <w:rPr>
                <w:rFonts w:hint="eastAsia" w:asciiTheme="minorEastAsia" w:hAnsiTheme="minorEastAsia" w:eastAsiaTheme="minorEastAsia"/>
                <w:b w:val="0"/>
                <w:bCs w:val="0"/>
                <w:szCs w:val="21"/>
                <w:lang w:val="en-US" w:eastAsia="zh-CN"/>
              </w:rPr>
              <w:t>2</w:t>
            </w:r>
            <w:r>
              <w:rPr>
                <w:rFonts w:hint="eastAsia" w:asciiTheme="minorEastAsia" w:hAnsiTheme="minorEastAsia" w:eastAsiaTheme="minorEastAsia"/>
                <w:b w:val="0"/>
                <w:bCs w:val="0"/>
                <w:szCs w:val="21"/>
              </w:rPr>
              <w:t>分</w:t>
            </w:r>
            <w:r>
              <w:rPr>
                <w:rFonts w:hint="eastAsia" w:ascii="宋体" w:hAnsi="宋体" w:eastAsia="宋体" w:cs="微软雅黑"/>
                <w:b w:val="0"/>
                <w:bCs w:val="0"/>
                <w:color w:val="000000" w:themeColor="text1"/>
                <w:szCs w:val="21"/>
                <w:highlight w:val="none"/>
                <w:lang w:val="en-US" w:eastAsia="zh-CN"/>
                <w14:textFill>
                  <w14:solidFill>
                    <w14:schemeClr w14:val="tx1"/>
                  </w14:solidFill>
                </w14:textFill>
              </w:rPr>
              <w:t>，每有一处缺陷扣1分，</w:t>
            </w:r>
            <w:r>
              <w:rPr>
                <w:rFonts w:hint="eastAsia" w:asciiTheme="minorEastAsia" w:hAnsiTheme="minorEastAsia" w:eastAsiaTheme="minorEastAsia"/>
                <w:bCs/>
                <w:szCs w:val="21"/>
              </w:rPr>
              <w:t>扣完为止</w:t>
            </w:r>
            <w:r>
              <w:rPr>
                <w:rFonts w:hint="eastAsia" w:ascii="宋体" w:hAnsi="宋体" w:eastAsia="宋体" w:cs="微软雅黑"/>
                <w:b w:val="0"/>
                <w:bCs w:val="0"/>
                <w:color w:val="000000" w:themeColor="text1"/>
                <w:szCs w:val="21"/>
                <w:highlight w:val="none"/>
                <w14:textFill>
                  <w14:solidFill>
                    <w14:schemeClr w14:val="tx1"/>
                  </w14:solidFill>
                </w14:textFill>
              </w:rPr>
              <w:t>。</w:t>
            </w:r>
          </w:p>
          <w:p w14:paraId="23F65181">
            <w:pPr>
              <w:numPr>
                <w:ilvl w:val="0"/>
                <w:numId w:val="0"/>
              </w:numPr>
              <w:overflowPunct/>
              <w:bidi w:val="0"/>
              <w:outlineLvl w:val="9"/>
              <w:rPr>
                <w:rFonts w:hint="eastAsia" w:ascii="宋体" w:hAnsi="宋体" w:eastAsia="宋体" w:cs="微软雅黑"/>
                <w:color w:val="000000" w:themeColor="text1"/>
                <w:szCs w:val="21"/>
                <w:highlight w:val="none"/>
                <w:lang w:val="zh-CN" w:eastAsia="zh-CN"/>
                <w14:textFill>
                  <w14:solidFill>
                    <w14:schemeClr w14:val="tx1"/>
                  </w14:solidFill>
                </w14:textFill>
              </w:rPr>
            </w:pPr>
            <w:r>
              <w:rPr>
                <w:rFonts w:hint="eastAsia" w:ascii="宋体" w:hAnsi="宋体" w:eastAsia="宋体" w:cs="微软雅黑"/>
                <w:b w:val="0"/>
                <w:bCs w:val="0"/>
                <w:color w:val="000000" w:themeColor="text1"/>
                <w:szCs w:val="21"/>
                <w:highlight w:val="none"/>
                <w14:textFill>
                  <w14:solidFill>
                    <w14:schemeClr w14:val="tx1"/>
                  </w14:solidFill>
                </w14:textFill>
              </w:rPr>
              <w:t>（</w:t>
            </w:r>
            <w:r>
              <w:rPr>
                <w:rFonts w:hint="eastAsia" w:ascii="宋体" w:hAnsi="宋体" w:eastAsia="宋体" w:cs="微软雅黑"/>
                <w:b w:val="0"/>
                <w:bCs w:val="0"/>
                <w:color w:val="000000" w:themeColor="text1"/>
                <w:szCs w:val="21"/>
                <w:highlight w:val="none"/>
                <w:lang w:val="en-US" w:eastAsia="zh-CN"/>
                <w14:textFill>
                  <w14:solidFill>
                    <w14:schemeClr w14:val="tx1"/>
                  </w14:solidFill>
                </w14:textFill>
              </w:rPr>
              <w:t>缺陷</w:t>
            </w:r>
            <w:r>
              <w:rPr>
                <w:rFonts w:hint="eastAsia" w:ascii="宋体" w:hAnsi="宋体" w:eastAsia="宋体" w:cs="微软雅黑"/>
                <w:b w:val="0"/>
                <w:bCs w:val="0"/>
                <w:color w:val="000000" w:themeColor="text1"/>
                <w:szCs w:val="21"/>
                <w:highlight w:val="none"/>
                <w14:textFill>
                  <w14:solidFill>
                    <w14:schemeClr w14:val="tx1"/>
                  </w14:solidFill>
                </w14:textFill>
              </w:rPr>
              <w:t>是指：</w:t>
            </w:r>
            <w:r>
              <w:rPr>
                <w:rFonts w:hint="eastAsia" w:asciiTheme="minorEastAsia" w:hAnsiTheme="minorEastAsia" w:eastAsiaTheme="minorEastAsia"/>
                <w:b w:val="0"/>
                <w:bCs w:val="0"/>
                <w:szCs w:val="21"/>
              </w:rPr>
              <w:t>在不适用项目实际情况的情形、凭空编造、笼统描述、内容前后不一致、内容无法连贯、前后逻辑错误、涉及的规范及标准错误、地点区域错误、直接套用其他项目方案、与项目实施特点不匹配、不符合或不满足采购需求实际等等任意一种不利于项目实施情况</w:t>
            </w:r>
            <w:r>
              <w:rPr>
                <w:rFonts w:hint="eastAsia" w:asciiTheme="minorEastAsia" w:hAnsiTheme="minorEastAsia" w:eastAsiaTheme="minorEastAsia"/>
                <w:b w:val="0"/>
                <w:bCs w:val="0"/>
                <w:szCs w:val="21"/>
                <w:lang w:eastAsia="zh-CN"/>
              </w:rPr>
              <w:t>。</w:t>
            </w:r>
            <w:r>
              <w:rPr>
                <w:rFonts w:hint="eastAsia" w:ascii="宋体" w:hAnsi="宋体" w:eastAsia="宋体" w:cs="微软雅黑"/>
                <w:b w:val="0"/>
                <w:bCs w:val="0"/>
                <w:color w:val="000000" w:themeColor="text1"/>
                <w:szCs w:val="21"/>
                <w:highlight w:val="none"/>
                <w14:textFill>
                  <w14:solidFill>
                    <w14:schemeClr w14:val="tx1"/>
                  </w14:solidFill>
                </w14:textFill>
              </w:rPr>
              <w:t>）</w:t>
            </w:r>
          </w:p>
        </w:tc>
        <w:tc>
          <w:tcPr>
            <w:tcW w:w="657" w:type="dxa"/>
            <w:vAlign w:val="center"/>
          </w:tcPr>
          <w:p w14:paraId="248447E1">
            <w:pPr>
              <w:overflowPunct/>
              <w:bidi w:val="0"/>
              <w:spacing w:line="0" w:lineRule="atLeast"/>
              <w:jc w:val="center"/>
              <w:outlineLvl w:val="9"/>
              <w:rPr>
                <w:rFonts w:hint="default" w:ascii="宋体" w:hAnsi="宋体" w:eastAsia="宋体" w:cs="微软雅黑"/>
                <w:color w:val="000000" w:themeColor="text1"/>
                <w:szCs w:val="21"/>
                <w:highlight w:val="none"/>
                <w:lang w:val="en-US" w:eastAsia="zh-CN"/>
                <w14:textFill>
                  <w14:solidFill>
                    <w14:schemeClr w14:val="tx1"/>
                  </w14:solidFill>
                </w14:textFill>
              </w:rPr>
            </w:pPr>
            <w:r>
              <w:rPr>
                <w:rFonts w:hint="eastAsia" w:ascii="宋体" w:hAnsi="宋体" w:cs="微软雅黑"/>
                <w:color w:val="000000" w:themeColor="text1"/>
                <w:szCs w:val="21"/>
                <w:highlight w:val="none"/>
                <w:lang w:val="en-US" w:eastAsia="zh-CN"/>
                <w14:textFill>
                  <w14:solidFill>
                    <w14:schemeClr w14:val="tx1"/>
                  </w14:solidFill>
                </w14:textFill>
              </w:rPr>
              <w:t>0-10</w:t>
            </w:r>
          </w:p>
        </w:tc>
      </w:tr>
      <w:tr w14:paraId="336F858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40" w:hRule="atLeast"/>
        </w:trPr>
        <w:tc>
          <w:tcPr>
            <w:tcW w:w="700" w:type="dxa"/>
            <w:vMerge w:val="continue"/>
            <w:tcBorders>
              <w:top w:val="nil"/>
              <w:left w:val="single" w:color="auto" w:sz="4" w:space="0"/>
              <w:bottom w:val="nil"/>
              <w:right w:val="single" w:color="auto" w:sz="4" w:space="0"/>
            </w:tcBorders>
            <w:vAlign w:val="center"/>
          </w:tcPr>
          <w:p w14:paraId="50C75B91">
            <w:pPr>
              <w:keepNext w:val="0"/>
              <w:keepLines w:val="0"/>
              <w:pageBreakBefore w:val="0"/>
              <w:widowControl w:val="0"/>
              <w:kinsoku/>
              <w:wordWrap/>
              <w:overflowPunct/>
              <w:topLinePunct w:val="0"/>
              <w:bidi w:val="0"/>
              <w:snapToGrid/>
              <w:spacing w:line="0" w:lineRule="atLeast"/>
              <w:jc w:val="both"/>
              <w:outlineLvl w:val="9"/>
              <w:rPr>
                <w:rFonts w:ascii="宋体" w:hAnsi="宋体" w:cs="微软雅黑"/>
                <w:color w:val="000000" w:themeColor="text1"/>
                <w:szCs w:val="21"/>
                <w:highlight w:val="none"/>
                <w14:textFill>
                  <w14:solidFill>
                    <w14:schemeClr w14:val="tx1"/>
                  </w14:solidFill>
                </w14:textFill>
              </w:rPr>
            </w:pPr>
          </w:p>
        </w:tc>
        <w:tc>
          <w:tcPr>
            <w:tcW w:w="939" w:type="dxa"/>
            <w:vMerge w:val="restart"/>
            <w:tcBorders>
              <w:top w:val="nil"/>
              <w:left w:val="single" w:color="auto" w:sz="4" w:space="0"/>
              <w:bottom w:val="nil"/>
              <w:right w:val="single" w:color="auto" w:sz="4" w:space="0"/>
            </w:tcBorders>
            <w:vAlign w:val="center"/>
          </w:tcPr>
          <w:p w14:paraId="79AF1926">
            <w:pPr>
              <w:keepNext w:val="0"/>
              <w:keepLines w:val="0"/>
              <w:pageBreakBefore w:val="0"/>
              <w:widowControl w:val="0"/>
              <w:kinsoku/>
              <w:wordWrap/>
              <w:overflowPunct/>
              <w:topLinePunct w:val="0"/>
              <w:bidi w:val="0"/>
              <w:snapToGrid/>
              <w:spacing w:line="0" w:lineRule="atLeast"/>
              <w:jc w:val="center"/>
              <w:outlineLvl w:val="9"/>
              <w:rPr>
                <w:rFonts w:hint="default" w:ascii="宋体" w:hAnsi="宋体" w:cs="微软雅黑"/>
                <w:color w:val="000000" w:themeColor="text1"/>
                <w:szCs w:val="21"/>
                <w:highlight w:val="none"/>
                <w:lang w:val="en-US" w:eastAsia="zh-CN"/>
                <w14:textFill>
                  <w14:solidFill>
                    <w14:schemeClr w14:val="tx1"/>
                  </w14:solidFill>
                </w14:textFill>
              </w:rPr>
            </w:pPr>
            <w:r>
              <w:rPr>
                <w:rFonts w:hint="eastAsia" w:ascii="宋体" w:hAnsi="宋体" w:cs="微软雅黑"/>
                <w:color w:val="000000" w:themeColor="text1"/>
                <w:szCs w:val="21"/>
                <w:highlight w:val="none"/>
                <w:lang w:val="en-US" w:eastAsia="zh-CN"/>
                <w14:textFill>
                  <w14:solidFill>
                    <w14:schemeClr w14:val="tx1"/>
                  </w14:solidFill>
                </w14:textFill>
              </w:rPr>
              <w:t>技术因素64分</w:t>
            </w:r>
          </w:p>
        </w:tc>
        <w:tc>
          <w:tcPr>
            <w:tcW w:w="1737" w:type="dxa"/>
            <w:tcBorders>
              <w:left w:val="single" w:color="auto" w:sz="4" w:space="0"/>
            </w:tcBorders>
            <w:vAlign w:val="center"/>
          </w:tcPr>
          <w:p w14:paraId="180630B7">
            <w:pPr>
              <w:overflowPunct/>
              <w:bidi w:val="0"/>
              <w:spacing w:line="0" w:lineRule="atLeast"/>
              <w:jc w:val="center"/>
              <w:outlineLvl w:val="9"/>
              <w:rPr>
                <w:rFonts w:hint="eastAsia" w:ascii="宋体" w:hAnsi="宋体" w:eastAsia="宋体" w:cs="微软雅黑"/>
                <w:color w:val="000000" w:themeColor="text1"/>
                <w:szCs w:val="21"/>
                <w:highlight w:val="none"/>
                <w14:textFill>
                  <w14:solidFill>
                    <w14:schemeClr w14:val="tx1"/>
                  </w14:solidFill>
                </w14:textFill>
              </w:rPr>
            </w:pPr>
            <w:r>
              <w:rPr>
                <w:rFonts w:hint="eastAsia" w:ascii="宋体" w:hAnsi="宋体" w:eastAsia="宋体" w:cs="微软雅黑"/>
                <w:color w:val="000000" w:themeColor="text1"/>
                <w:szCs w:val="21"/>
                <w:highlight w:val="none"/>
                <w14:textFill>
                  <w14:solidFill>
                    <w14:schemeClr w14:val="tx1"/>
                  </w14:solidFill>
                </w14:textFill>
              </w:rPr>
              <w:t>质量保证措施</w:t>
            </w:r>
          </w:p>
          <w:p w14:paraId="3D6150D5">
            <w:pPr>
              <w:overflowPunct/>
              <w:bidi w:val="0"/>
              <w:spacing w:line="0" w:lineRule="atLeast"/>
              <w:jc w:val="center"/>
              <w:outlineLvl w:val="9"/>
              <w:rPr>
                <w:rFonts w:hint="eastAsia" w:ascii="宋体" w:hAnsi="宋体" w:eastAsia="宋体" w:cs="微软雅黑"/>
                <w:color w:val="000000" w:themeColor="text1"/>
                <w:szCs w:val="21"/>
                <w:highlight w:val="none"/>
                <w:lang w:eastAsia="zh-CN"/>
                <w14:textFill>
                  <w14:solidFill>
                    <w14:schemeClr w14:val="tx1"/>
                  </w14:solidFill>
                </w14:textFill>
              </w:rPr>
            </w:pPr>
            <w:r>
              <w:rPr>
                <w:rFonts w:hint="eastAsia" w:ascii="宋体" w:hAnsi="宋体" w:eastAsia="宋体" w:cs="微软雅黑"/>
                <w:color w:val="000000" w:themeColor="text1"/>
                <w:szCs w:val="21"/>
                <w:highlight w:val="none"/>
                <w:lang w:eastAsia="zh-CN"/>
                <w14:textFill>
                  <w14:solidFill>
                    <w14:schemeClr w14:val="tx1"/>
                  </w14:solidFill>
                </w14:textFill>
              </w:rPr>
              <w:t>（</w:t>
            </w:r>
            <w:r>
              <w:rPr>
                <w:rFonts w:hint="eastAsia" w:ascii="宋体" w:hAnsi="宋体" w:cs="微软雅黑"/>
                <w:color w:val="000000" w:themeColor="text1"/>
                <w:szCs w:val="21"/>
                <w:highlight w:val="none"/>
                <w:lang w:val="en-US" w:eastAsia="zh-CN"/>
                <w14:textFill>
                  <w14:solidFill>
                    <w14:schemeClr w14:val="tx1"/>
                  </w14:solidFill>
                </w14:textFill>
              </w:rPr>
              <w:t>6</w:t>
            </w:r>
            <w:r>
              <w:rPr>
                <w:rFonts w:hint="eastAsia" w:ascii="宋体" w:hAnsi="宋体" w:eastAsia="宋体" w:cs="微软雅黑"/>
                <w:color w:val="000000" w:themeColor="text1"/>
                <w:szCs w:val="21"/>
                <w:highlight w:val="none"/>
                <w:lang w:val="en-US" w:eastAsia="zh-CN"/>
                <w14:textFill>
                  <w14:solidFill>
                    <w14:schemeClr w14:val="tx1"/>
                  </w14:solidFill>
                </w14:textFill>
              </w:rPr>
              <w:t>分</w:t>
            </w:r>
            <w:r>
              <w:rPr>
                <w:rFonts w:hint="eastAsia" w:ascii="宋体" w:hAnsi="宋体" w:eastAsia="宋体" w:cs="微软雅黑"/>
                <w:color w:val="000000" w:themeColor="text1"/>
                <w:szCs w:val="21"/>
                <w:highlight w:val="none"/>
                <w:lang w:eastAsia="zh-CN"/>
                <w14:textFill>
                  <w14:solidFill>
                    <w14:schemeClr w14:val="tx1"/>
                  </w14:solidFill>
                </w14:textFill>
              </w:rPr>
              <w:t>）</w:t>
            </w:r>
          </w:p>
        </w:tc>
        <w:tc>
          <w:tcPr>
            <w:tcW w:w="5606" w:type="dxa"/>
            <w:vAlign w:val="center"/>
          </w:tcPr>
          <w:p w14:paraId="35C30019">
            <w:pPr>
              <w:overflowPunct/>
              <w:bidi w:val="0"/>
              <w:spacing w:line="0" w:lineRule="atLeast"/>
              <w:outlineLvl w:val="9"/>
              <w:rPr>
                <w:rFonts w:hint="eastAsia" w:ascii="宋体" w:hAnsi="宋体" w:eastAsia="宋体" w:cs="微软雅黑"/>
                <w:color w:val="000000" w:themeColor="text1"/>
                <w:szCs w:val="21"/>
                <w:highlight w:val="none"/>
                <w14:textFill>
                  <w14:solidFill>
                    <w14:schemeClr w14:val="tx1"/>
                  </w14:solidFill>
                </w14:textFill>
              </w:rPr>
            </w:pPr>
            <w:r>
              <w:rPr>
                <w:rFonts w:hint="eastAsia" w:ascii="宋体" w:hAnsi="宋体" w:eastAsia="宋体" w:cs="微软雅黑"/>
                <w:color w:val="000000" w:themeColor="text1"/>
                <w:szCs w:val="21"/>
                <w:highlight w:val="none"/>
                <w:lang w:eastAsia="zh-CN"/>
                <w14:textFill>
                  <w14:solidFill>
                    <w14:schemeClr w14:val="tx1"/>
                  </w14:solidFill>
                </w14:textFill>
              </w:rPr>
              <w:t>供应商</w:t>
            </w:r>
            <w:r>
              <w:rPr>
                <w:rFonts w:hint="eastAsia" w:ascii="宋体" w:hAnsi="宋体" w:eastAsia="宋体" w:cs="微软雅黑"/>
                <w:color w:val="000000" w:themeColor="text1"/>
                <w:szCs w:val="21"/>
                <w:highlight w:val="none"/>
                <w14:textFill>
                  <w14:solidFill>
                    <w14:schemeClr w14:val="tx1"/>
                  </w14:solidFill>
                </w14:textFill>
              </w:rPr>
              <w:t>针对于本项目制定相应的产品质量保证措施方案</w:t>
            </w:r>
            <w:r>
              <w:rPr>
                <w:rFonts w:hint="eastAsia" w:asciiTheme="minorEastAsia" w:hAnsiTheme="minorEastAsia" w:eastAsiaTheme="minorEastAsia"/>
                <w:bCs/>
                <w:szCs w:val="21"/>
              </w:rPr>
              <w:t>进行综合打分</w:t>
            </w:r>
            <w:r>
              <w:rPr>
                <w:rFonts w:hint="eastAsia" w:ascii="宋体" w:hAnsi="宋体" w:eastAsia="宋体" w:cs="微软雅黑"/>
                <w:color w:val="000000" w:themeColor="text1"/>
                <w:szCs w:val="21"/>
                <w:highlight w:val="none"/>
                <w14:textFill>
                  <w14:solidFill>
                    <w14:schemeClr w14:val="tx1"/>
                  </w14:solidFill>
                </w14:textFill>
              </w:rPr>
              <w:t>，从产品的生产、运输、交付、使用、验收等方面为制做方案依据，包含但不限于以下几个方面：</w:t>
            </w:r>
          </w:p>
          <w:p w14:paraId="1890AD74">
            <w:pPr>
              <w:overflowPunct/>
              <w:bidi w:val="0"/>
              <w:spacing w:line="0" w:lineRule="atLeast"/>
              <w:outlineLvl w:val="9"/>
              <w:rPr>
                <w:rFonts w:hint="eastAsia" w:ascii="宋体" w:hAnsi="宋体" w:eastAsia="宋体" w:cs="微软雅黑"/>
                <w:color w:val="000000" w:themeColor="text1"/>
                <w:szCs w:val="21"/>
                <w:highlight w:val="none"/>
                <w:lang w:eastAsia="zh-CN"/>
                <w14:textFill>
                  <w14:solidFill>
                    <w14:schemeClr w14:val="tx1"/>
                  </w14:solidFill>
                </w14:textFill>
              </w:rPr>
            </w:pPr>
            <w:r>
              <w:rPr>
                <w:rFonts w:hint="eastAsia" w:ascii="宋体" w:hAnsi="宋体" w:eastAsia="宋体" w:cs="微软雅黑"/>
                <w:color w:val="000000" w:themeColor="text1"/>
                <w:szCs w:val="21"/>
                <w:highlight w:val="none"/>
                <w:lang w:eastAsia="zh-CN"/>
                <w14:textFill>
                  <w14:solidFill>
                    <w14:schemeClr w14:val="tx1"/>
                  </w14:solidFill>
                </w14:textFill>
              </w:rPr>
              <w:t>产品质量保证方案</w:t>
            </w:r>
          </w:p>
          <w:p w14:paraId="6B298DDC">
            <w:pPr>
              <w:overflowPunct/>
              <w:bidi w:val="0"/>
              <w:spacing w:line="0" w:lineRule="atLeast"/>
              <w:outlineLvl w:val="9"/>
              <w:rPr>
                <w:rFonts w:hint="eastAsia" w:ascii="宋体" w:hAnsi="宋体" w:eastAsia="宋体" w:cs="微软雅黑"/>
                <w:color w:val="000000" w:themeColor="text1"/>
                <w:szCs w:val="21"/>
                <w:highlight w:val="none"/>
                <w:lang w:eastAsia="zh-CN"/>
                <w14:textFill>
                  <w14:solidFill>
                    <w14:schemeClr w14:val="tx1"/>
                  </w14:solidFill>
                </w14:textFill>
              </w:rPr>
            </w:pPr>
            <w:r>
              <w:rPr>
                <w:rFonts w:hint="eastAsia" w:ascii="宋体" w:hAnsi="宋体" w:cs="微软雅黑"/>
                <w:color w:val="000000" w:themeColor="text1"/>
                <w:szCs w:val="21"/>
                <w:highlight w:val="none"/>
                <w:lang w:eastAsia="zh-CN"/>
                <w14:textFill>
                  <w14:solidFill>
                    <w14:schemeClr w14:val="tx1"/>
                  </w14:solidFill>
                </w14:textFill>
              </w:rPr>
              <w:t>①</w:t>
            </w:r>
            <w:r>
              <w:rPr>
                <w:rFonts w:hint="eastAsia" w:ascii="宋体" w:hAnsi="宋体" w:eastAsia="宋体" w:cs="微软雅黑"/>
                <w:color w:val="000000" w:themeColor="text1"/>
                <w:szCs w:val="21"/>
                <w:highlight w:val="none"/>
                <w:lang w:eastAsia="zh-CN"/>
                <w14:textFill>
                  <w14:solidFill>
                    <w14:schemeClr w14:val="tx1"/>
                  </w14:solidFill>
                </w14:textFill>
              </w:rPr>
              <w:t>质量保障措施</w:t>
            </w:r>
          </w:p>
          <w:p w14:paraId="6B392DC6">
            <w:pPr>
              <w:overflowPunct/>
              <w:bidi w:val="0"/>
              <w:spacing w:line="0" w:lineRule="atLeast"/>
              <w:outlineLvl w:val="9"/>
              <w:rPr>
                <w:rFonts w:hint="eastAsia" w:ascii="宋体" w:hAnsi="宋体" w:eastAsia="宋体" w:cs="微软雅黑"/>
                <w:color w:val="000000" w:themeColor="text1"/>
                <w:szCs w:val="21"/>
                <w:highlight w:val="none"/>
                <w:lang w:eastAsia="zh-CN"/>
                <w14:textFill>
                  <w14:solidFill>
                    <w14:schemeClr w14:val="tx1"/>
                  </w14:solidFill>
                </w14:textFill>
              </w:rPr>
            </w:pPr>
            <w:r>
              <w:rPr>
                <w:rFonts w:hint="eastAsia" w:ascii="宋体" w:hAnsi="宋体" w:cs="微软雅黑"/>
                <w:color w:val="000000" w:themeColor="text1"/>
                <w:szCs w:val="21"/>
                <w:highlight w:val="none"/>
                <w:lang w:eastAsia="zh-CN"/>
                <w14:textFill>
                  <w14:solidFill>
                    <w14:schemeClr w14:val="tx1"/>
                  </w14:solidFill>
                </w14:textFill>
              </w:rPr>
              <w:t>②</w:t>
            </w:r>
            <w:r>
              <w:rPr>
                <w:rFonts w:hint="eastAsia" w:ascii="宋体" w:hAnsi="宋体" w:eastAsia="宋体" w:cs="微软雅黑"/>
                <w:color w:val="000000" w:themeColor="text1"/>
                <w:szCs w:val="21"/>
                <w:highlight w:val="none"/>
                <w:lang w:eastAsia="zh-CN"/>
                <w14:textFill>
                  <w14:solidFill>
                    <w14:schemeClr w14:val="tx1"/>
                  </w14:solidFill>
                </w14:textFill>
              </w:rPr>
              <w:t>质量方针</w:t>
            </w:r>
          </w:p>
          <w:p w14:paraId="29ACEA06">
            <w:pPr>
              <w:overflowPunct/>
              <w:bidi w:val="0"/>
              <w:spacing w:line="0" w:lineRule="atLeast"/>
              <w:outlineLvl w:val="9"/>
              <w:rPr>
                <w:rFonts w:hint="eastAsia" w:ascii="宋体" w:hAnsi="宋体" w:eastAsia="宋体" w:cs="微软雅黑"/>
                <w:color w:val="000000" w:themeColor="text1"/>
                <w:szCs w:val="21"/>
                <w:highlight w:val="none"/>
                <w:lang w:eastAsia="zh-CN"/>
                <w14:textFill>
                  <w14:solidFill>
                    <w14:schemeClr w14:val="tx1"/>
                  </w14:solidFill>
                </w14:textFill>
              </w:rPr>
            </w:pPr>
            <w:r>
              <w:rPr>
                <w:rFonts w:hint="eastAsia" w:ascii="宋体" w:hAnsi="宋体" w:cs="微软雅黑"/>
                <w:color w:val="000000" w:themeColor="text1"/>
                <w:szCs w:val="21"/>
                <w:highlight w:val="none"/>
                <w:lang w:eastAsia="zh-CN"/>
                <w14:textFill>
                  <w14:solidFill>
                    <w14:schemeClr w14:val="tx1"/>
                  </w14:solidFill>
                </w14:textFill>
              </w:rPr>
              <w:t>③</w:t>
            </w:r>
            <w:r>
              <w:rPr>
                <w:rFonts w:hint="eastAsia" w:ascii="宋体" w:hAnsi="宋体" w:eastAsia="宋体" w:cs="微软雅黑"/>
                <w:color w:val="000000" w:themeColor="text1"/>
                <w:szCs w:val="21"/>
                <w:highlight w:val="none"/>
                <w:lang w:eastAsia="zh-CN"/>
                <w14:textFill>
                  <w14:solidFill>
                    <w14:schemeClr w14:val="tx1"/>
                  </w14:solidFill>
                </w14:textFill>
              </w:rPr>
              <w:t>质量目标</w:t>
            </w:r>
          </w:p>
          <w:p w14:paraId="54C5E931">
            <w:pPr>
              <w:overflowPunct/>
              <w:bidi w:val="0"/>
              <w:spacing w:line="0" w:lineRule="atLeast"/>
              <w:outlineLvl w:val="9"/>
              <w:rPr>
                <w:rFonts w:hint="eastAsia" w:ascii="宋体" w:hAnsi="宋体" w:eastAsia="宋体" w:cs="微软雅黑"/>
                <w:color w:val="000000" w:themeColor="text1"/>
                <w:szCs w:val="21"/>
                <w:highlight w:val="none"/>
                <w:lang w:eastAsia="zh-CN"/>
                <w14:textFill>
                  <w14:solidFill>
                    <w14:schemeClr w14:val="tx1"/>
                  </w14:solidFill>
                </w14:textFill>
              </w:rPr>
            </w:pPr>
            <w:r>
              <w:rPr>
                <w:rFonts w:hint="eastAsia" w:ascii="宋体" w:hAnsi="宋体" w:cs="微软雅黑"/>
                <w:color w:val="000000" w:themeColor="text1"/>
                <w:szCs w:val="21"/>
                <w:highlight w:val="none"/>
                <w:lang w:eastAsia="zh-CN"/>
                <w14:textFill>
                  <w14:solidFill>
                    <w14:schemeClr w14:val="tx1"/>
                  </w14:solidFill>
                </w14:textFill>
              </w:rPr>
              <w:t>④</w:t>
            </w:r>
            <w:r>
              <w:rPr>
                <w:rFonts w:hint="eastAsia" w:ascii="宋体" w:hAnsi="宋体" w:eastAsia="宋体" w:cs="微软雅黑"/>
                <w:color w:val="000000" w:themeColor="text1"/>
                <w:szCs w:val="21"/>
                <w:highlight w:val="none"/>
                <w:lang w:eastAsia="zh-CN"/>
                <w14:textFill>
                  <w14:solidFill>
                    <w14:schemeClr w14:val="tx1"/>
                  </w14:solidFill>
                </w14:textFill>
              </w:rPr>
              <w:t>质量标准及技术响应</w:t>
            </w:r>
          </w:p>
          <w:p w14:paraId="3A5124E3">
            <w:pPr>
              <w:overflowPunct/>
              <w:bidi w:val="0"/>
              <w:spacing w:line="0" w:lineRule="atLeast"/>
              <w:outlineLvl w:val="9"/>
              <w:rPr>
                <w:rFonts w:hint="eastAsia" w:ascii="宋体" w:hAnsi="宋体" w:eastAsia="宋体" w:cs="微软雅黑"/>
                <w:color w:val="000000" w:themeColor="text1"/>
                <w:szCs w:val="21"/>
                <w:highlight w:val="none"/>
                <w:lang w:eastAsia="zh-CN"/>
                <w14:textFill>
                  <w14:solidFill>
                    <w14:schemeClr w14:val="tx1"/>
                  </w14:solidFill>
                </w14:textFill>
              </w:rPr>
            </w:pPr>
            <w:r>
              <w:rPr>
                <w:rFonts w:hint="eastAsia" w:ascii="宋体" w:hAnsi="宋体" w:cs="微软雅黑"/>
                <w:color w:val="000000" w:themeColor="text1"/>
                <w:szCs w:val="21"/>
                <w:highlight w:val="none"/>
                <w:lang w:eastAsia="zh-CN"/>
                <w14:textFill>
                  <w14:solidFill>
                    <w14:schemeClr w14:val="tx1"/>
                  </w14:solidFill>
                </w14:textFill>
              </w:rPr>
              <w:t>⑤</w:t>
            </w:r>
            <w:r>
              <w:rPr>
                <w:rFonts w:hint="eastAsia" w:ascii="宋体" w:hAnsi="宋体" w:eastAsia="宋体" w:cs="微软雅黑"/>
                <w:color w:val="000000" w:themeColor="text1"/>
                <w:szCs w:val="21"/>
                <w:highlight w:val="none"/>
                <w:lang w:eastAsia="zh-CN"/>
                <w14:textFill>
                  <w14:solidFill>
                    <w14:schemeClr w14:val="tx1"/>
                  </w14:solidFill>
                </w14:textFill>
              </w:rPr>
              <w:t>质量保证依据</w:t>
            </w:r>
          </w:p>
          <w:p w14:paraId="1F150577">
            <w:pPr>
              <w:overflowPunct/>
              <w:bidi w:val="0"/>
              <w:spacing w:line="0" w:lineRule="atLeast"/>
              <w:outlineLvl w:val="9"/>
              <w:rPr>
                <w:rFonts w:hint="eastAsia" w:ascii="宋体" w:hAnsi="宋体" w:eastAsia="宋体" w:cs="微软雅黑"/>
                <w:color w:val="000000" w:themeColor="text1"/>
                <w:szCs w:val="21"/>
                <w:highlight w:val="none"/>
                <w:lang w:eastAsia="zh-CN"/>
                <w14:textFill>
                  <w14:solidFill>
                    <w14:schemeClr w14:val="tx1"/>
                  </w14:solidFill>
                </w14:textFill>
              </w:rPr>
            </w:pPr>
            <w:r>
              <w:rPr>
                <w:rFonts w:hint="eastAsia" w:ascii="宋体" w:hAnsi="宋体" w:cs="微软雅黑"/>
                <w:color w:val="000000" w:themeColor="text1"/>
                <w:szCs w:val="21"/>
                <w:highlight w:val="none"/>
                <w:lang w:eastAsia="zh-CN"/>
                <w14:textFill>
                  <w14:solidFill>
                    <w14:schemeClr w14:val="tx1"/>
                  </w14:solidFill>
                </w14:textFill>
              </w:rPr>
              <w:t>⑥</w:t>
            </w:r>
            <w:r>
              <w:rPr>
                <w:rFonts w:hint="eastAsia" w:ascii="宋体" w:hAnsi="宋体" w:eastAsia="宋体" w:cs="微软雅黑"/>
                <w:color w:val="000000" w:themeColor="text1"/>
                <w:szCs w:val="21"/>
                <w:highlight w:val="none"/>
                <w:lang w:eastAsia="zh-CN"/>
                <w14:textFill>
                  <w14:solidFill>
                    <w14:schemeClr w14:val="tx1"/>
                  </w14:solidFill>
                </w14:textFill>
              </w:rPr>
              <w:t>质量保证原则</w:t>
            </w:r>
          </w:p>
          <w:p w14:paraId="74F940E4">
            <w:pPr>
              <w:overflowPunct/>
              <w:bidi w:val="0"/>
              <w:spacing w:line="0" w:lineRule="atLeast"/>
              <w:outlineLvl w:val="9"/>
              <w:rPr>
                <w:rFonts w:hint="eastAsia" w:ascii="宋体" w:hAnsi="宋体" w:eastAsia="宋体" w:cs="微软雅黑"/>
                <w:color w:val="000000" w:themeColor="text1"/>
                <w:szCs w:val="21"/>
                <w:highlight w:val="none"/>
                <w14:textFill>
                  <w14:solidFill>
                    <w14:schemeClr w14:val="tx1"/>
                  </w14:solidFill>
                </w14:textFill>
              </w:rPr>
            </w:pPr>
            <w:r>
              <w:rPr>
                <w:rFonts w:hint="eastAsia" w:ascii="宋体" w:hAnsi="宋体" w:eastAsia="宋体" w:cs="微软雅黑"/>
                <w:color w:val="000000" w:themeColor="text1"/>
                <w:szCs w:val="21"/>
                <w:highlight w:val="none"/>
                <w14:textFill>
                  <w14:solidFill>
                    <w14:schemeClr w14:val="tx1"/>
                  </w14:solidFill>
                </w14:textFill>
              </w:rPr>
              <w:t>以上六项方案每提供一小项内容适用于项目且无缺失的方案得</w:t>
            </w:r>
            <w:r>
              <w:rPr>
                <w:rFonts w:hint="eastAsia" w:ascii="宋体" w:hAnsi="宋体" w:cs="微软雅黑"/>
                <w:color w:val="000000" w:themeColor="text1"/>
                <w:szCs w:val="21"/>
                <w:highlight w:val="none"/>
                <w:lang w:val="en-US" w:eastAsia="zh-CN"/>
                <w14:textFill>
                  <w14:solidFill>
                    <w14:schemeClr w14:val="tx1"/>
                  </w14:solidFill>
                </w14:textFill>
              </w:rPr>
              <w:t>1</w:t>
            </w:r>
            <w:r>
              <w:rPr>
                <w:rFonts w:hint="eastAsia" w:ascii="宋体" w:hAnsi="宋体" w:eastAsia="宋体" w:cs="微软雅黑"/>
                <w:color w:val="000000" w:themeColor="text1"/>
                <w:szCs w:val="21"/>
                <w:highlight w:val="none"/>
                <w14:textFill>
                  <w14:solidFill>
                    <w14:schemeClr w14:val="tx1"/>
                  </w14:solidFill>
                </w14:textFill>
              </w:rPr>
              <w:t>分，</w:t>
            </w:r>
            <w:r>
              <w:rPr>
                <w:rFonts w:hint="eastAsia" w:ascii="宋体" w:hAnsi="宋体" w:cs="微软雅黑"/>
                <w:color w:val="000000" w:themeColor="text1"/>
                <w:szCs w:val="21"/>
                <w:highlight w:val="none"/>
                <w:lang w:eastAsia="zh-CN"/>
                <w14:textFill>
                  <w14:solidFill>
                    <w14:schemeClr w14:val="tx1"/>
                  </w14:solidFill>
                </w14:textFill>
              </w:rPr>
              <w:t>满分为</w:t>
            </w:r>
            <w:r>
              <w:rPr>
                <w:rFonts w:hint="eastAsia" w:ascii="宋体" w:hAnsi="宋体" w:cs="微软雅黑"/>
                <w:color w:val="000000" w:themeColor="text1"/>
                <w:szCs w:val="21"/>
                <w:highlight w:val="none"/>
                <w:lang w:val="en-US" w:eastAsia="zh-CN"/>
                <w14:textFill>
                  <w14:solidFill>
                    <w14:schemeClr w14:val="tx1"/>
                  </w14:solidFill>
                </w14:textFill>
              </w:rPr>
              <w:t>6分，</w:t>
            </w:r>
            <w:r>
              <w:rPr>
                <w:rFonts w:hint="eastAsia" w:asciiTheme="minorEastAsia" w:hAnsiTheme="minorEastAsia" w:eastAsiaTheme="minorEastAsia"/>
                <w:b w:val="0"/>
                <w:bCs w:val="0"/>
                <w:szCs w:val="21"/>
              </w:rPr>
              <w:t>每缺少一项内容扣</w:t>
            </w:r>
            <w:r>
              <w:rPr>
                <w:rFonts w:hint="eastAsia" w:asciiTheme="minorEastAsia" w:hAnsiTheme="minorEastAsia" w:eastAsiaTheme="minorEastAsia"/>
                <w:b w:val="0"/>
                <w:bCs w:val="0"/>
                <w:szCs w:val="21"/>
                <w:lang w:val="en-US" w:eastAsia="zh-CN"/>
              </w:rPr>
              <w:t>1</w:t>
            </w:r>
            <w:r>
              <w:rPr>
                <w:rFonts w:hint="eastAsia" w:asciiTheme="minorEastAsia" w:hAnsiTheme="minorEastAsia" w:eastAsiaTheme="minorEastAsia"/>
                <w:b w:val="0"/>
                <w:bCs w:val="0"/>
                <w:szCs w:val="21"/>
              </w:rPr>
              <w:t>分</w:t>
            </w:r>
            <w:r>
              <w:rPr>
                <w:rFonts w:hint="eastAsia" w:ascii="宋体" w:hAnsi="宋体" w:eastAsia="宋体" w:cs="微软雅黑"/>
                <w:b w:val="0"/>
                <w:bCs w:val="0"/>
                <w:color w:val="000000" w:themeColor="text1"/>
                <w:szCs w:val="21"/>
                <w:highlight w:val="none"/>
                <w:lang w:val="en-US" w:eastAsia="zh-CN"/>
                <w14:textFill>
                  <w14:solidFill>
                    <w14:schemeClr w14:val="tx1"/>
                  </w14:solidFill>
                </w14:textFill>
              </w:rPr>
              <w:t>，每有一处缺陷扣0.5分，</w:t>
            </w:r>
            <w:r>
              <w:rPr>
                <w:rFonts w:hint="eastAsia" w:asciiTheme="minorEastAsia" w:hAnsiTheme="minorEastAsia" w:eastAsiaTheme="minorEastAsia"/>
                <w:bCs/>
                <w:szCs w:val="21"/>
              </w:rPr>
              <w:t>扣完为止</w:t>
            </w:r>
            <w:r>
              <w:rPr>
                <w:rFonts w:hint="eastAsia" w:ascii="宋体" w:hAnsi="宋体" w:eastAsia="宋体" w:cs="微软雅黑"/>
                <w:b w:val="0"/>
                <w:bCs w:val="0"/>
                <w:color w:val="000000" w:themeColor="text1"/>
                <w:szCs w:val="21"/>
                <w:highlight w:val="none"/>
                <w14:textFill>
                  <w14:solidFill>
                    <w14:schemeClr w14:val="tx1"/>
                  </w14:solidFill>
                </w14:textFill>
              </w:rPr>
              <w:t>。</w:t>
            </w:r>
          </w:p>
          <w:p w14:paraId="5C94E405">
            <w:pPr>
              <w:overflowPunct/>
              <w:bidi w:val="0"/>
              <w:spacing w:line="0" w:lineRule="atLeast"/>
              <w:outlineLvl w:val="9"/>
              <w:rPr>
                <w:rFonts w:hint="eastAsia" w:ascii="宋体" w:hAnsi="宋体" w:eastAsia="宋体" w:cs="微软雅黑"/>
                <w:color w:val="000000" w:themeColor="text1"/>
                <w:szCs w:val="21"/>
                <w:highlight w:val="none"/>
                <w:lang w:val="en-US" w:eastAsia="zh-CN"/>
                <w14:textFill>
                  <w14:solidFill>
                    <w14:schemeClr w14:val="tx1"/>
                  </w14:solidFill>
                </w14:textFill>
              </w:rPr>
            </w:pPr>
            <w:r>
              <w:rPr>
                <w:rFonts w:hint="eastAsia" w:ascii="宋体" w:hAnsi="宋体" w:eastAsia="宋体" w:cs="微软雅黑"/>
                <w:b w:val="0"/>
                <w:bCs w:val="0"/>
                <w:color w:val="000000" w:themeColor="text1"/>
                <w:szCs w:val="21"/>
                <w:highlight w:val="none"/>
                <w14:textFill>
                  <w14:solidFill>
                    <w14:schemeClr w14:val="tx1"/>
                  </w14:solidFill>
                </w14:textFill>
              </w:rPr>
              <w:t>（</w:t>
            </w:r>
            <w:r>
              <w:rPr>
                <w:rFonts w:hint="eastAsia" w:ascii="宋体" w:hAnsi="宋体" w:eastAsia="宋体" w:cs="微软雅黑"/>
                <w:b w:val="0"/>
                <w:bCs w:val="0"/>
                <w:color w:val="000000" w:themeColor="text1"/>
                <w:szCs w:val="21"/>
                <w:highlight w:val="none"/>
                <w:lang w:val="en-US" w:eastAsia="zh-CN"/>
                <w14:textFill>
                  <w14:solidFill>
                    <w14:schemeClr w14:val="tx1"/>
                  </w14:solidFill>
                </w14:textFill>
              </w:rPr>
              <w:t>缺陷</w:t>
            </w:r>
            <w:r>
              <w:rPr>
                <w:rFonts w:hint="eastAsia" w:ascii="宋体" w:hAnsi="宋体" w:eastAsia="宋体" w:cs="微软雅黑"/>
                <w:b w:val="0"/>
                <w:bCs w:val="0"/>
                <w:color w:val="000000" w:themeColor="text1"/>
                <w:szCs w:val="21"/>
                <w:highlight w:val="none"/>
                <w14:textFill>
                  <w14:solidFill>
                    <w14:schemeClr w14:val="tx1"/>
                  </w14:solidFill>
                </w14:textFill>
              </w:rPr>
              <w:t>是指：</w:t>
            </w:r>
            <w:r>
              <w:rPr>
                <w:rFonts w:hint="eastAsia" w:asciiTheme="minorEastAsia" w:hAnsiTheme="minorEastAsia" w:eastAsiaTheme="minorEastAsia"/>
                <w:b w:val="0"/>
                <w:bCs w:val="0"/>
                <w:szCs w:val="21"/>
              </w:rPr>
              <w:t>在不适用项目实际情况的情形、凭空编造、笼统描述、内容前后不一致、内容无法连贯、前后逻辑错误、涉及的规范及标准错误、地点区域错误、直接套用其他项目方案、与项目实施特点不匹配、不符合或不满足采购需求实际等等任意一种不利于项目实施情况</w:t>
            </w:r>
            <w:r>
              <w:rPr>
                <w:rFonts w:hint="eastAsia" w:asciiTheme="minorEastAsia" w:hAnsiTheme="minorEastAsia" w:eastAsiaTheme="minorEastAsia"/>
                <w:b w:val="0"/>
                <w:bCs w:val="0"/>
                <w:szCs w:val="21"/>
                <w:lang w:eastAsia="zh-CN"/>
              </w:rPr>
              <w:t>。</w:t>
            </w:r>
            <w:r>
              <w:rPr>
                <w:rFonts w:hint="eastAsia" w:ascii="宋体" w:hAnsi="宋体" w:eastAsia="宋体" w:cs="微软雅黑"/>
                <w:b w:val="0"/>
                <w:bCs w:val="0"/>
                <w:color w:val="000000" w:themeColor="text1"/>
                <w:szCs w:val="21"/>
                <w:highlight w:val="none"/>
                <w14:textFill>
                  <w14:solidFill>
                    <w14:schemeClr w14:val="tx1"/>
                  </w14:solidFill>
                </w14:textFill>
              </w:rPr>
              <w:t>）</w:t>
            </w:r>
          </w:p>
        </w:tc>
        <w:tc>
          <w:tcPr>
            <w:tcW w:w="657" w:type="dxa"/>
            <w:vAlign w:val="center"/>
          </w:tcPr>
          <w:p w14:paraId="3105B459">
            <w:pPr>
              <w:overflowPunct/>
              <w:bidi w:val="0"/>
              <w:spacing w:line="0" w:lineRule="atLeast"/>
              <w:jc w:val="center"/>
              <w:outlineLvl w:val="9"/>
              <w:rPr>
                <w:rFonts w:hint="default" w:ascii="宋体" w:hAnsi="宋体" w:eastAsia="宋体" w:cs="微软雅黑"/>
                <w:color w:val="000000" w:themeColor="text1"/>
                <w:szCs w:val="21"/>
                <w:highlight w:val="none"/>
                <w:lang w:val="en-US" w:eastAsia="zh-CN"/>
                <w14:textFill>
                  <w14:solidFill>
                    <w14:schemeClr w14:val="tx1"/>
                  </w14:solidFill>
                </w14:textFill>
              </w:rPr>
            </w:pPr>
            <w:r>
              <w:rPr>
                <w:rFonts w:hint="eastAsia" w:ascii="宋体" w:hAnsi="宋体" w:eastAsia="宋体" w:cs="微软雅黑"/>
                <w:color w:val="000000" w:themeColor="text1"/>
                <w:szCs w:val="21"/>
                <w:highlight w:val="none"/>
                <w:lang w:val="en-US" w:eastAsia="zh-CN"/>
                <w14:textFill>
                  <w14:solidFill>
                    <w14:schemeClr w14:val="tx1"/>
                  </w14:solidFill>
                </w14:textFill>
              </w:rPr>
              <w:t>0-</w:t>
            </w:r>
            <w:r>
              <w:rPr>
                <w:rFonts w:hint="eastAsia" w:ascii="宋体" w:hAnsi="宋体" w:cs="微软雅黑"/>
                <w:color w:val="000000" w:themeColor="text1"/>
                <w:szCs w:val="21"/>
                <w:highlight w:val="none"/>
                <w:lang w:val="en-US" w:eastAsia="zh-CN"/>
                <w14:textFill>
                  <w14:solidFill>
                    <w14:schemeClr w14:val="tx1"/>
                  </w14:solidFill>
                </w14:textFill>
              </w:rPr>
              <w:t>6</w:t>
            </w:r>
          </w:p>
        </w:tc>
      </w:tr>
      <w:tr w14:paraId="0B41A16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40" w:hRule="atLeast"/>
        </w:trPr>
        <w:tc>
          <w:tcPr>
            <w:tcW w:w="700" w:type="dxa"/>
            <w:vMerge w:val="continue"/>
            <w:tcBorders>
              <w:top w:val="nil"/>
              <w:left w:val="single" w:color="auto" w:sz="4" w:space="0"/>
              <w:bottom w:val="nil"/>
              <w:right w:val="single" w:color="auto" w:sz="4" w:space="0"/>
            </w:tcBorders>
            <w:vAlign w:val="center"/>
          </w:tcPr>
          <w:p w14:paraId="1A8A9992">
            <w:pPr>
              <w:keepNext w:val="0"/>
              <w:keepLines w:val="0"/>
              <w:pageBreakBefore w:val="0"/>
              <w:widowControl w:val="0"/>
              <w:kinsoku/>
              <w:wordWrap/>
              <w:overflowPunct/>
              <w:topLinePunct w:val="0"/>
              <w:bidi w:val="0"/>
              <w:snapToGrid/>
              <w:spacing w:line="0" w:lineRule="atLeast"/>
              <w:jc w:val="both"/>
              <w:outlineLvl w:val="9"/>
              <w:rPr>
                <w:rFonts w:ascii="宋体" w:hAnsi="宋体" w:cs="微软雅黑"/>
                <w:color w:val="000000" w:themeColor="text1"/>
                <w:szCs w:val="21"/>
                <w:highlight w:val="none"/>
                <w14:textFill>
                  <w14:solidFill>
                    <w14:schemeClr w14:val="tx1"/>
                  </w14:solidFill>
                </w14:textFill>
              </w:rPr>
            </w:pPr>
          </w:p>
        </w:tc>
        <w:tc>
          <w:tcPr>
            <w:tcW w:w="939" w:type="dxa"/>
            <w:vMerge w:val="continue"/>
            <w:tcBorders>
              <w:top w:val="nil"/>
              <w:left w:val="single" w:color="auto" w:sz="4" w:space="0"/>
              <w:bottom w:val="nil"/>
              <w:right w:val="single" w:color="auto" w:sz="4" w:space="0"/>
            </w:tcBorders>
            <w:vAlign w:val="center"/>
          </w:tcPr>
          <w:p w14:paraId="5838A231">
            <w:pPr>
              <w:keepNext w:val="0"/>
              <w:keepLines w:val="0"/>
              <w:pageBreakBefore w:val="0"/>
              <w:widowControl w:val="0"/>
              <w:kinsoku/>
              <w:wordWrap/>
              <w:overflowPunct/>
              <w:topLinePunct w:val="0"/>
              <w:bidi w:val="0"/>
              <w:snapToGrid/>
              <w:spacing w:line="0" w:lineRule="atLeast"/>
              <w:jc w:val="center"/>
              <w:outlineLvl w:val="9"/>
              <w:rPr>
                <w:rFonts w:hint="eastAsia" w:ascii="宋体" w:hAnsi="宋体" w:cs="微软雅黑"/>
                <w:color w:val="000000" w:themeColor="text1"/>
                <w:szCs w:val="21"/>
                <w:highlight w:val="none"/>
                <w:lang w:val="en-US" w:eastAsia="zh-CN"/>
                <w14:textFill>
                  <w14:solidFill>
                    <w14:schemeClr w14:val="tx1"/>
                  </w14:solidFill>
                </w14:textFill>
              </w:rPr>
            </w:pPr>
          </w:p>
        </w:tc>
        <w:tc>
          <w:tcPr>
            <w:tcW w:w="1737" w:type="dxa"/>
            <w:tcBorders>
              <w:left w:val="single" w:color="auto" w:sz="4" w:space="0"/>
            </w:tcBorders>
            <w:vAlign w:val="center"/>
          </w:tcPr>
          <w:p w14:paraId="24D7AF03">
            <w:pPr>
              <w:overflowPunct/>
              <w:bidi w:val="0"/>
              <w:spacing w:line="0" w:lineRule="atLeast"/>
              <w:jc w:val="center"/>
              <w:outlineLvl w:val="9"/>
              <w:rPr>
                <w:rFonts w:hint="eastAsia" w:asciiTheme="minorEastAsia" w:hAnsiTheme="minorEastAsia"/>
                <w:szCs w:val="21"/>
              </w:rPr>
            </w:pPr>
            <w:r>
              <w:rPr>
                <w:rFonts w:hint="eastAsia" w:asciiTheme="minorEastAsia" w:hAnsiTheme="minorEastAsia"/>
                <w:bCs/>
                <w:szCs w:val="21"/>
              </w:rPr>
              <w:t>项目设计</w:t>
            </w:r>
            <w:r>
              <w:rPr>
                <w:rFonts w:hint="eastAsia" w:asciiTheme="minorEastAsia" w:hAnsiTheme="minorEastAsia"/>
                <w:szCs w:val="21"/>
              </w:rPr>
              <w:t>方案</w:t>
            </w:r>
          </w:p>
          <w:p w14:paraId="102655F1">
            <w:pPr>
              <w:overflowPunct/>
              <w:bidi w:val="0"/>
              <w:spacing w:line="0" w:lineRule="atLeast"/>
              <w:jc w:val="center"/>
              <w:outlineLvl w:val="9"/>
              <w:rPr>
                <w:rFonts w:hint="eastAsia" w:ascii="宋体" w:hAnsi="宋体" w:eastAsia="宋体" w:cs="微软雅黑"/>
                <w:color w:val="000000" w:themeColor="text1"/>
                <w:szCs w:val="21"/>
                <w:highlight w:val="none"/>
                <w:lang w:eastAsia="zh-CN"/>
                <w14:textFill>
                  <w14:solidFill>
                    <w14:schemeClr w14:val="tx1"/>
                  </w14:solidFill>
                </w14:textFill>
              </w:rPr>
            </w:pPr>
            <w:r>
              <w:rPr>
                <w:rFonts w:hint="eastAsia" w:asciiTheme="minorEastAsia" w:hAnsiTheme="minorEastAsia"/>
                <w:szCs w:val="21"/>
                <w:lang w:eastAsia="zh-CN"/>
              </w:rPr>
              <w:t>（</w:t>
            </w:r>
            <w:r>
              <w:rPr>
                <w:rFonts w:hint="eastAsia" w:asciiTheme="minorEastAsia" w:hAnsiTheme="minorEastAsia"/>
                <w:szCs w:val="21"/>
                <w:lang w:val="en-US" w:eastAsia="zh-CN"/>
              </w:rPr>
              <w:t>6分</w:t>
            </w:r>
            <w:r>
              <w:rPr>
                <w:rFonts w:hint="eastAsia" w:asciiTheme="minorEastAsia" w:hAnsiTheme="minorEastAsia"/>
                <w:szCs w:val="21"/>
                <w:lang w:eastAsia="zh-CN"/>
              </w:rPr>
              <w:t>）</w:t>
            </w:r>
          </w:p>
        </w:tc>
        <w:tc>
          <w:tcPr>
            <w:tcW w:w="5606" w:type="dxa"/>
            <w:vAlign w:val="center"/>
          </w:tcPr>
          <w:p w14:paraId="40D27E1C">
            <w:pPr>
              <w:numPr>
                <w:ilvl w:val="0"/>
                <w:numId w:val="0"/>
              </w:numPr>
              <w:overflowPunct/>
              <w:bidi w:val="0"/>
              <w:outlineLvl w:val="9"/>
              <w:rPr>
                <w:rFonts w:hint="eastAsia" w:ascii="宋体" w:hAnsi="宋体" w:eastAsia="宋体" w:cs="微软雅黑"/>
                <w:color w:val="000000" w:themeColor="text1"/>
                <w:szCs w:val="21"/>
                <w:highlight w:val="none"/>
                <w:lang w:eastAsia="zh-CN"/>
                <w14:textFill>
                  <w14:solidFill>
                    <w14:schemeClr w14:val="tx1"/>
                  </w14:solidFill>
                </w14:textFill>
              </w:rPr>
            </w:pPr>
            <w:r>
              <w:rPr>
                <w:rFonts w:hint="eastAsia" w:ascii="宋体" w:hAnsi="宋体" w:eastAsia="宋体" w:cs="微软雅黑"/>
                <w:color w:val="000000" w:themeColor="text1"/>
                <w:szCs w:val="21"/>
                <w:highlight w:val="none"/>
                <w:lang w:eastAsia="zh-CN"/>
                <w14:textFill>
                  <w14:solidFill>
                    <w14:schemeClr w14:val="tx1"/>
                  </w14:solidFill>
                </w14:textFill>
              </w:rPr>
              <w:t>供应商</w:t>
            </w:r>
            <w:r>
              <w:rPr>
                <w:rFonts w:hint="eastAsia" w:ascii="宋体" w:hAnsi="宋体" w:eastAsia="宋体" w:cs="微软雅黑"/>
                <w:color w:val="000000" w:themeColor="text1"/>
                <w:szCs w:val="21"/>
                <w:highlight w:val="none"/>
                <w14:textFill>
                  <w14:solidFill>
                    <w14:schemeClr w14:val="tx1"/>
                  </w14:solidFill>
                </w14:textFill>
              </w:rPr>
              <w:t>针对于本项目制定相应的</w:t>
            </w:r>
            <w:r>
              <w:rPr>
                <w:rFonts w:hint="eastAsia" w:asciiTheme="minorEastAsia" w:hAnsiTheme="minorEastAsia"/>
                <w:bCs/>
                <w:szCs w:val="21"/>
              </w:rPr>
              <w:t>项目设计方案</w:t>
            </w:r>
            <w:r>
              <w:rPr>
                <w:rFonts w:hint="eastAsia" w:asciiTheme="minorEastAsia" w:hAnsiTheme="minorEastAsia" w:eastAsiaTheme="minorEastAsia"/>
                <w:bCs/>
                <w:szCs w:val="21"/>
              </w:rPr>
              <w:t>进行综合打分</w:t>
            </w:r>
            <w:r>
              <w:rPr>
                <w:rFonts w:hint="eastAsia" w:asciiTheme="minorEastAsia" w:hAnsiTheme="minorEastAsia"/>
                <w:bCs/>
                <w:szCs w:val="21"/>
                <w:lang w:eastAsia="zh-CN"/>
              </w:rPr>
              <w:t>，</w:t>
            </w:r>
            <w:r>
              <w:rPr>
                <w:rFonts w:hint="eastAsia" w:ascii="宋体" w:hAnsi="宋体" w:eastAsia="宋体" w:cs="微软雅黑"/>
                <w:color w:val="000000" w:themeColor="text1"/>
                <w:szCs w:val="21"/>
                <w:highlight w:val="none"/>
                <w14:textFill>
                  <w14:solidFill>
                    <w14:schemeClr w14:val="tx1"/>
                  </w14:solidFill>
                </w14:textFill>
              </w:rPr>
              <w:t>包含但不限于以下几个方面</w:t>
            </w:r>
            <w:r>
              <w:rPr>
                <w:rFonts w:hint="eastAsia" w:ascii="宋体" w:hAnsi="宋体" w:eastAsia="宋体" w:cs="微软雅黑"/>
                <w:color w:val="000000" w:themeColor="text1"/>
                <w:szCs w:val="21"/>
                <w:highlight w:val="none"/>
                <w:lang w:eastAsia="zh-CN"/>
                <w14:textFill>
                  <w14:solidFill>
                    <w14:schemeClr w14:val="tx1"/>
                  </w14:solidFill>
                </w14:textFill>
              </w:rPr>
              <w:t>：</w:t>
            </w:r>
          </w:p>
          <w:p w14:paraId="249666E8">
            <w:pPr>
              <w:overflowPunct/>
              <w:bidi w:val="0"/>
              <w:jc w:val="left"/>
              <w:outlineLvl w:val="9"/>
              <w:rPr>
                <w:rFonts w:asciiTheme="minorEastAsia" w:hAnsiTheme="minorEastAsia"/>
                <w:bCs/>
                <w:szCs w:val="21"/>
              </w:rPr>
            </w:pPr>
            <w:r>
              <w:rPr>
                <w:rFonts w:asciiTheme="minorEastAsia" w:hAnsiTheme="minorEastAsia"/>
                <w:bCs/>
                <w:szCs w:val="21"/>
              </w:rPr>
              <w:t>①选型依据；</w:t>
            </w:r>
          </w:p>
          <w:p w14:paraId="6357DD8E">
            <w:pPr>
              <w:overflowPunct/>
              <w:bidi w:val="0"/>
              <w:jc w:val="left"/>
              <w:outlineLvl w:val="9"/>
              <w:rPr>
                <w:rFonts w:asciiTheme="minorEastAsia" w:hAnsiTheme="minorEastAsia"/>
                <w:bCs/>
                <w:szCs w:val="21"/>
              </w:rPr>
            </w:pPr>
            <w:r>
              <w:rPr>
                <w:rFonts w:asciiTheme="minorEastAsia" w:hAnsiTheme="minorEastAsia"/>
                <w:bCs/>
                <w:szCs w:val="21"/>
              </w:rPr>
              <w:t>②维护便利性；</w:t>
            </w:r>
          </w:p>
          <w:p w14:paraId="4A39BBF0">
            <w:pPr>
              <w:overflowPunct/>
              <w:bidi w:val="0"/>
              <w:jc w:val="left"/>
              <w:outlineLvl w:val="9"/>
              <w:rPr>
                <w:rFonts w:asciiTheme="minorEastAsia" w:hAnsiTheme="minorEastAsia"/>
                <w:bCs/>
                <w:szCs w:val="21"/>
              </w:rPr>
            </w:pPr>
            <w:r>
              <w:rPr>
                <w:rFonts w:asciiTheme="minorEastAsia" w:hAnsiTheme="minorEastAsia"/>
                <w:bCs/>
                <w:szCs w:val="21"/>
              </w:rPr>
              <w:t>③模拟效果图；</w:t>
            </w:r>
          </w:p>
          <w:p w14:paraId="69C5B484">
            <w:pPr>
              <w:overflowPunct/>
              <w:bidi w:val="0"/>
              <w:jc w:val="left"/>
              <w:outlineLvl w:val="9"/>
              <w:rPr>
                <w:rFonts w:asciiTheme="minorEastAsia" w:hAnsiTheme="minorEastAsia"/>
                <w:bCs/>
                <w:szCs w:val="21"/>
              </w:rPr>
            </w:pPr>
            <w:r>
              <w:rPr>
                <w:rFonts w:asciiTheme="minorEastAsia" w:hAnsiTheme="minorEastAsia"/>
                <w:bCs/>
                <w:szCs w:val="21"/>
              </w:rPr>
              <w:t>④等照度图；</w:t>
            </w:r>
          </w:p>
          <w:p w14:paraId="4E153081">
            <w:pPr>
              <w:overflowPunct/>
              <w:bidi w:val="0"/>
              <w:jc w:val="left"/>
              <w:outlineLvl w:val="9"/>
              <w:rPr>
                <w:rFonts w:asciiTheme="minorEastAsia" w:hAnsiTheme="minorEastAsia"/>
                <w:bCs/>
                <w:szCs w:val="21"/>
              </w:rPr>
            </w:pPr>
            <w:r>
              <w:rPr>
                <w:rFonts w:asciiTheme="minorEastAsia" w:hAnsiTheme="minorEastAsia"/>
                <w:bCs/>
                <w:szCs w:val="21"/>
              </w:rPr>
              <w:t>⑤点照度图；</w:t>
            </w:r>
          </w:p>
          <w:p w14:paraId="5F037A3E">
            <w:pPr>
              <w:overflowPunct/>
              <w:bidi w:val="0"/>
              <w:jc w:val="left"/>
              <w:outlineLvl w:val="9"/>
              <w:rPr>
                <w:rFonts w:asciiTheme="minorEastAsia" w:hAnsiTheme="minorEastAsia"/>
                <w:bCs/>
                <w:szCs w:val="21"/>
              </w:rPr>
            </w:pPr>
            <w:r>
              <w:rPr>
                <w:rFonts w:asciiTheme="minorEastAsia" w:hAnsiTheme="minorEastAsia"/>
                <w:bCs/>
                <w:szCs w:val="21"/>
              </w:rPr>
              <w:t>⑥伪色图</w:t>
            </w:r>
            <w:r>
              <w:rPr>
                <w:rFonts w:hint="eastAsia" w:asciiTheme="minorEastAsia" w:hAnsiTheme="minorEastAsia"/>
                <w:bCs/>
                <w:szCs w:val="21"/>
              </w:rPr>
              <w:t xml:space="preserve">等进行综合打分； </w:t>
            </w:r>
          </w:p>
          <w:p w14:paraId="4672ADDB">
            <w:pPr>
              <w:overflowPunct/>
              <w:bidi w:val="0"/>
              <w:spacing w:line="0" w:lineRule="atLeast"/>
              <w:outlineLvl w:val="9"/>
              <w:rPr>
                <w:rFonts w:hint="eastAsia" w:ascii="宋体" w:hAnsi="宋体" w:eastAsia="宋体" w:cs="微软雅黑"/>
                <w:color w:val="000000" w:themeColor="text1"/>
                <w:szCs w:val="21"/>
                <w:highlight w:val="none"/>
                <w14:textFill>
                  <w14:solidFill>
                    <w14:schemeClr w14:val="tx1"/>
                  </w14:solidFill>
                </w14:textFill>
              </w:rPr>
            </w:pPr>
            <w:r>
              <w:rPr>
                <w:rFonts w:hint="eastAsia" w:ascii="宋体" w:hAnsi="宋体" w:eastAsia="宋体" w:cs="微软雅黑"/>
                <w:color w:val="000000" w:themeColor="text1"/>
                <w:szCs w:val="21"/>
                <w:highlight w:val="none"/>
                <w14:textFill>
                  <w14:solidFill>
                    <w14:schemeClr w14:val="tx1"/>
                  </w14:solidFill>
                </w14:textFill>
              </w:rPr>
              <w:t>以上六项方案每提供一小项内容适用于项目且无缺失的方案得</w:t>
            </w:r>
            <w:r>
              <w:rPr>
                <w:rFonts w:hint="eastAsia" w:ascii="宋体" w:hAnsi="宋体" w:cs="微软雅黑"/>
                <w:color w:val="000000" w:themeColor="text1"/>
                <w:szCs w:val="21"/>
                <w:highlight w:val="none"/>
                <w:lang w:val="en-US" w:eastAsia="zh-CN"/>
                <w14:textFill>
                  <w14:solidFill>
                    <w14:schemeClr w14:val="tx1"/>
                  </w14:solidFill>
                </w14:textFill>
              </w:rPr>
              <w:t>1</w:t>
            </w:r>
            <w:r>
              <w:rPr>
                <w:rFonts w:hint="eastAsia" w:ascii="宋体" w:hAnsi="宋体" w:eastAsia="宋体" w:cs="微软雅黑"/>
                <w:color w:val="000000" w:themeColor="text1"/>
                <w:szCs w:val="21"/>
                <w:highlight w:val="none"/>
                <w14:textFill>
                  <w14:solidFill>
                    <w14:schemeClr w14:val="tx1"/>
                  </w14:solidFill>
                </w14:textFill>
              </w:rPr>
              <w:t>分，</w:t>
            </w:r>
            <w:r>
              <w:rPr>
                <w:rFonts w:hint="eastAsia" w:ascii="宋体" w:hAnsi="宋体" w:cs="微软雅黑"/>
                <w:color w:val="000000" w:themeColor="text1"/>
                <w:szCs w:val="21"/>
                <w:highlight w:val="none"/>
                <w:lang w:eastAsia="zh-CN"/>
                <w14:textFill>
                  <w14:solidFill>
                    <w14:schemeClr w14:val="tx1"/>
                  </w14:solidFill>
                </w14:textFill>
              </w:rPr>
              <w:t>满分为</w:t>
            </w:r>
            <w:r>
              <w:rPr>
                <w:rFonts w:hint="eastAsia" w:ascii="宋体" w:hAnsi="宋体" w:cs="微软雅黑"/>
                <w:color w:val="000000" w:themeColor="text1"/>
                <w:szCs w:val="21"/>
                <w:highlight w:val="none"/>
                <w:lang w:val="en-US" w:eastAsia="zh-CN"/>
                <w14:textFill>
                  <w14:solidFill>
                    <w14:schemeClr w14:val="tx1"/>
                  </w14:solidFill>
                </w14:textFill>
              </w:rPr>
              <w:t>6分，</w:t>
            </w:r>
            <w:r>
              <w:rPr>
                <w:rFonts w:hint="eastAsia" w:asciiTheme="minorEastAsia" w:hAnsiTheme="minorEastAsia" w:eastAsiaTheme="minorEastAsia"/>
                <w:b w:val="0"/>
                <w:bCs w:val="0"/>
                <w:szCs w:val="21"/>
              </w:rPr>
              <w:t>每缺少一项内容扣</w:t>
            </w:r>
            <w:r>
              <w:rPr>
                <w:rFonts w:hint="eastAsia" w:asciiTheme="minorEastAsia" w:hAnsiTheme="minorEastAsia" w:eastAsiaTheme="minorEastAsia"/>
                <w:b w:val="0"/>
                <w:bCs w:val="0"/>
                <w:szCs w:val="21"/>
                <w:lang w:val="en-US" w:eastAsia="zh-CN"/>
              </w:rPr>
              <w:t>1</w:t>
            </w:r>
            <w:r>
              <w:rPr>
                <w:rFonts w:hint="eastAsia" w:asciiTheme="minorEastAsia" w:hAnsiTheme="minorEastAsia" w:eastAsiaTheme="minorEastAsia"/>
                <w:b w:val="0"/>
                <w:bCs w:val="0"/>
                <w:szCs w:val="21"/>
              </w:rPr>
              <w:t>分</w:t>
            </w:r>
            <w:r>
              <w:rPr>
                <w:rFonts w:hint="eastAsia" w:ascii="宋体" w:hAnsi="宋体" w:eastAsia="宋体" w:cs="微软雅黑"/>
                <w:b w:val="0"/>
                <w:bCs w:val="0"/>
                <w:color w:val="000000" w:themeColor="text1"/>
                <w:szCs w:val="21"/>
                <w:highlight w:val="none"/>
                <w:lang w:val="en-US" w:eastAsia="zh-CN"/>
                <w14:textFill>
                  <w14:solidFill>
                    <w14:schemeClr w14:val="tx1"/>
                  </w14:solidFill>
                </w14:textFill>
              </w:rPr>
              <w:t>，每有一处缺陷扣0.5分，</w:t>
            </w:r>
            <w:r>
              <w:rPr>
                <w:rFonts w:hint="eastAsia" w:asciiTheme="minorEastAsia" w:hAnsiTheme="minorEastAsia" w:eastAsiaTheme="minorEastAsia"/>
                <w:bCs/>
                <w:szCs w:val="21"/>
              </w:rPr>
              <w:t>扣完为止</w:t>
            </w:r>
            <w:r>
              <w:rPr>
                <w:rFonts w:hint="eastAsia" w:ascii="宋体" w:hAnsi="宋体" w:eastAsia="宋体" w:cs="微软雅黑"/>
                <w:b w:val="0"/>
                <w:bCs w:val="0"/>
                <w:color w:val="000000" w:themeColor="text1"/>
                <w:szCs w:val="21"/>
                <w:highlight w:val="none"/>
                <w14:textFill>
                  <w14:solidFill>
                    <w14:schemeClr w14:val="tx1"/>
                  </w14:solidFill>
                </w14:textFill>
              </w:rPr>
              <w:t>。</w:t>
            </w:r>
          </w:p>
          <w:p w14:paraId="34F64B5A">
            <w:pPr>
              <w:overflowPunct/>
              <w:bidi w:val="0"/>
              <w:spacing w:line="0" w:lineRule="atLeast"/>
              <w:outlineLvl w:val="9"/>
              <w:rPr>
                <w:rFonts w:hint="eastAsia" w:ascii="宋体" w:hAnsi="宋体" w:eastAsia="宋体" w:cs="微软雅黑"/>
                <w:color w:val="000000" w:themeColor="text1"/>
                <w:szCs w:val="21"/>
                <w:highlight w:val="none"/>
                <w14:textFill>
                  <w14:solidFill>
                    <w14:schemeClr w14:val="tx1"/>
                  </w14:solidFill>
                </w14:textFill>
              </w:rPr>
            </w:pPr>
            <w:r>
              <w:rPr>
                <w:rFonts w:hint="eastAsia" w:ascii="宋体" w:hAnsi="宋体" w:eastAsia="宋体" w:cs="微软雅黑"/>
                <w:b w:val="0"/>
                <w:bCs w:val="0"/>
                <w:color w:val="000000" w:themeColor="text1"/>
                <w:szCs w:val="21"/>
                <w:highlight w:val="none"/>
                <w14:textFill>
                  <w14:solidFill>
                    <w14:schemeClr w14:val="tx1"/>
                  </w14:solidFill>
                </w14:textFill>
              </w:rPr>
              <w:t>（</w:t>
            </w:r>
            <w:r>
              <w:rPr>
                <w:rFonts w:hint="eastAsia" w:ascii="宋体" w:hAnsi="宋体" w:eastAsia="宋体" w:cs="微软雅黑"/>
                <w:b w:val="0"/>
                <w:bCs w:val="0"/>
                <w:color w:val="000000" w:themeColor="text1"/>
                <w:szCs w:val="21"/>
                <w:highlight w:val="none"/>
                <w:lang w:val="en-US" w:eastAsia="zh-CN"/>
                <w14:textFill>
                  <w14:solidFill>
                    <w14:schemeClr w14:val="tx1"/>
                  </w14:solidFill>
                </w14:textFill>
              </w:rPr>
              <w:t>缺陷</w:t>
            </w:r>
            <w:r>
              <w:rPr>
                <w:rFonts w:hint="eastAsia" w:ascii="宋体" w:hAnsi="宋体" w:eastAsia="宋体" w:cs="微软雅黑"/>
                <w:b w:val="0"/>
                <w:bCs w:val="0"/>
                <w:color w:val="000000" w:themeColor="text1"/>
                <w:szCs w:val="21"/>
                <w:highlight w:val="none"/>
                <w14:textFill>
                  <w14:solidFill>
                    <w14:schemeClr w14:val="tx1"/>
                  </w14:solidFill>
                </w14:textFill>
              </w:rPr>
              <w:t>是指：</w:t>
            </w:r>
            <w:r>
              <w:rPr>
                <w:rFonts w:hint="eastAsia" w:asciiTheme="minorEastAsia" w:hAnsiTheme="minorEastAsia" w:eastAsiaTheme="minorEastAsia"/>
                <w:b w:val="0"/>
                <w:bCs w:val="0"/>
                <w:szCs w:val="21"/>
              </w:rPr>
              <w:t>在不适用项目实际情况的情形、凭空编造、笼统描述、内容前后不一致、内容无法连贯、前后逻辑错误、涉及的规范及标准错误、地点区域错误、直接套用其他项目方案、与项目实施特点不匹配、不符合或不满足采购需求实际等等任意一种不利于项目实施情况</w:t>
            </w:r>
            <w:r>
              <w:rPr>
                <w:rFonts w:hint="eastAsia" w:asciiTheme="minorEastAsia" w:hAnsiTheme="minorEastAsia" w:eastAsiaTheme="minorEastAsia"/>
                <w:b w:val="0"/>
                <w:bCs w:val="0"/>
                <w:szCs w:val="21"/>
                <w:lang w:eastAsia="zh-CN"/>
              </w:rPr>
              <w:t>。</w:t>
            </w:r>
            <w:r>
              <w:rPr>
                <w:rFonts w:hint="eastAsia" w:ascii="宋体" w:hAnsi="宋体" w:eastAsia="宋体" w:cs="微软雅黑"/>
                <w:b w:val="0"/>
                <w:bCs w:val="0"/>
                <w:color w:val="000000" w:themeColor="text1"/>
                <w:szCs w:val="21"/>
                <w:highlight w:val="none"/>
                <w14:textFill>
                  <w14:solidFill>
                    <w14:schemeClr w14:val="tx1"/>
                  </w14:solidFill>
                </w14:textFill>
              </w:rPr>
              <w:t>）</w:t>
            </w:r>
          </w:p>
        </w:tc>
        <w:tc>
          <w:tcPr>
            <w:tcW w:w="657" w:type="dxa"/>
            <w:vAlign w:val="center"/>
          </w:tcPr>
          <w:p w14:paraId="46866230">
            <w:pPr>
              <w:overflowPunct/>
              <w:bidi w:val="0"/>
              <w:spacing w:line="0" w:lineRule="atLeast"/>
              <w:jc w:val="center"/>
              <w:outlineLvl w:val="9"/>
              <w:rPr>
                <w:rFonts w:hint="default" w:ascii="宋体" w:hAnsi="宋体" w:eastAsia="宋体" w:cs="微软雅黑"/>
                <w:color w:val="000000" w:themeColor="text1"/>
                <w:szCs w:val="21"/>
                <w:highlight w:val="none"/>
                <w:lang w:val="en-US" w:eastAsia="zh-CN"/>
                <w14:textFill>
                  <w14:solidFill>
                    <w14:schemeClr w14:val="tx1"/>
                  </w14:solidFill>
                </w14:textFill>
              </w:rPr>
            </w:pPr>
            <w:r>
              <w:rPr>
                <w:rFonts w:hint="eastAsia" w:ascii="宋体" w:hAnsi="宋体" w:eastAsia="宋体" w:cs="微软雅黑"/>
                <w:color w:val="000000" w:themeColor="text1"/>
                <w:szCs w:val="21"/>
                <w:highlight w:val="none"/>
                <w:lang w:val="en-US" w:eastAsia="zh-CN"/>
                <w14:textFill>
                  <w14:solidFill>
                    <w14:schemeClr w14:val="tx1"/>
                  </w14:solidFill>
                </w14:textFill>
              </w:rPr>
              <w:t>0-</w:t>
            </w:r>
            <w:r>
              <w:rPr>
                <w:rFonts w:hint="eastAsia" w:ascii="宋体" w:hAnsi="宋体" w:cs="微软雅黑"/>
                <w:color w:val="000000" w:themeColor="text1"/>
                <w:szCs w:val="21"/>
                <w:highlight w:val="none"/>
                <w:lang w:val="en-US" w:eastAsia="zh-CN"/>
                <w14:textFill>
                  <w14:solidFill>
                    <w14:schemeClr w14:val="tx1"/>
                  </w14:solidFill>
                </w14:textFill>
              </w:rPr>
              <w:t>6</w:t>
            </w:r>
          </w:p>
        </w:tc>
      </w:tr>
      <w:tr w14:paraId="4F22F58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1443" w:hRule="atLeast"/>
        </w:trPr>
        <w:tc>
          <w:tcPr>
            <w:tcW w:w="700" w:type="dxa"/>
            <w:vMerge w:val="continue"/>
            <w:tcBorders>
              <w:top w:val="nil"/>
              <w:left w:val="single" w:color="auto" w:sz="4" w:space="0"/>
              <w:bottom w:val="nil"/>
              <w:right w:val="single" w:color="auto" w:sz="4" w:space="0"/>
            </w:tcBorders>
            <w:vAlign w:val="center"/>
          </w:tcPr>
          <w:p w14:paraId="58DFA42A">
            <w:pPr>
              <w:keepNext w:val="0"/>
              <w:keepLines w:val="0"/>
              <w:pageBreakBefore w:val="0"/>
              <w:widowControl w:val="0"/>
              <w:kinsoku/>
              <w:wordWrap/>
              <w:overflowPunct/>
              <w:topLinePunct w:val="0"/>
              <w:bidi w:val="0"/>
              <w:snapToGrid/>
              <w:spacing w:line="0" w:lineRule="atLeast"/>
              <w:jc w:val="center"/>
              <w:outlineLvl w:val="9"/>
              <w:rPr>
                <w:rFonts w:ascii="宋体" w:hAnsi="宋体" w:cs="微软雅黑"/>
                <w:color w:val="000000" w:themeColor="text1"/>
                <w:szCs w:val="21"/>
                <w:highlight w:val="none"/>
                <w14:textFill>
                  <w14:solidFill>
                    <w14:schemeClr w14:val="tx1"/>
                  </w14:solidFill>
                </w14:textFill>
              </w:rPr>
            </w:pPr>
          </w:p>
        </w:tc>
        <w:tc>
          <w:tcPr>
            <w:tcW w:w="939" w:type="dxa"/>
            <w:vMerge w:val="continue"/>
            <w:tcBorders>
              <w:top w:val="nil"/>
              <w:left w:val="single" w:color="auto" w:sz="4" w:space="0"/>
              <w:bottom w:val="nil"/>
              <w:right w:val="single" w:color="auto" w:sz="4" w:space="0"/>
            </w:tcBorders>
            <w:vAlign w:val="center"/>
          </w:tcPr>
          <w:p w14:paraId="13267105">
            <w:pPr>
              <w:keepNext w:val="0"/>
              <w:keepLines w:val="0"/>
              <w:pageBreakBefore w:val="0"/>
              <w:widowControl w:val="0"/>
              <w:kinsoku/>
              <w:wordWrap/>
              <w:overflowPunct/>
              <w:topLinePunct w:val="0"/>
              <w:bidi w:val="0"/>
              <w:snapToGrid/>
              <w:spacing w:line="0" w:lineRule="atLeast"/>
              <w:jc w:val="center"/>
              <w:outlineLvl w:val="9"/>
              <w:rPr>
                <w:rFonts w:ascii="宋体" w:hAnsi="宋体" w:cs="微软雅黑"/>
                <w:color w:val="000000" w:themeColor="text1"/>
                <w:szCs w:val="21"/>
                <w:highlight w:val="none"/>
                <w14:textFill>
                  <w14:solidFill>
                    <w14:schemeClr w14:val="tx1"/>
                  </w14:solidFill>
                </w14:textFill>
              </w:rPr>
            </w:pPr>
          </w:p>
        </w:tc>
        <w:tc>
          <w:tcPr>
            <w:tcW w:w="1737" w:type="dxa"/>
            <w:tcBorders>
              <w:left w:val="single" w:color="auto" w:sz="4" w:space="0"/>
            </w:tcBorders>
            <w:vAlign w:val="center"/>
          </w:tcPr>
          <w:p w14:paraId="4F43FD60">
            <w:pPr>
              <w:overflowPunct/>
              <w:bidi w:val="0"/>
              <w:spacing w:line="0" w:lineRule="atLeast"/>
              <w:jc w:val="center"/>
              <w:outlineLvl w:val="9"/>
              <w:rPr>
                <w:rFonts w:hint="eastAsia" w:ascii="宋体" w:hAnsi="宋体" w:eastAsia="宋体" w:cs="微软雅黑"/>
                <w:color w:val="000000" w:themeColor="text1"/>
                <w:szCs w:val="21"/>
                <w:highlight w:val="none"/>
                <w14:textFill>
                  <w14:solidFill>
                    <w14:schemeClr w14:val="tx1"/>
                  </w14:solidFill>
                </w14:textFill>
              </w:rPr>
            </w:pPr>
            <w:r>
              <w:rPr>
                <w:rFonts w:hint="eastAsia" w:ascii="宋体" w:hAnsi="宋体" w:eastAsia="宋体" w:cs="微软雅黑"/>
                <w:color w:val="000000" w:themeColor="text1"/>
                <w:szCs w:val="21"/>
                <w:highlight w:val="none"/>
                <w14:textFill>
                  <w14:solidFill>
                    <w14:schemeClr w14:val="tx1"/>
                  </w14:solidFill>
                </w14:textFill>
              </w:rPr>
              <w:t>售后服务方案</w:t>
            </w:r>
          </w:p>
          <w:p w14:paraId="014C0DDC">
            <w:pPr>
              <w:overflowPunct/>
              <w:bidi w:val="0"/>
              <w:spacing w:line="0" w:lineRule="atLeast"/>
              <w:jc w:val="center"/>
              <w:outlineLvl w:val="9"/>
              <w:rPr>
                <w:rFonts w:hint="eastAsia" w:ascii="宋体" w:hAnsi="宋体" w:eastAsia="宋体" w:cs="微软雅黑"/>
                <w:color w:val="000000" w:themeColor="text1"/>
                <w:szCs w:val="21"/>
                <w:highlight w:val="none"/>
                <w14:textFill>
                  <w14:solidFill>
                    <w14:schemeClr w14:val="tx1"/>
                  </w14:solidFill>
                </w14:textFill>
              </w:rPr>
            </w:pPr>
            <w:r>
              <w:rPr>
                <w:rFonts w:hint="eastAsia" w:ascii="宋体" w:hAnsi="宋体" w:eastAsia="宋体" w:cs="微软雅黑"/>
                <w:color w:val="000000" w:themeColor="text1"/>
                <w:szCs w:val="21"/>
                <w:highlight w:val="none"/>
                <w14:textFill>
                  <w14:solidFill>
                    <w14:schemeClr w14:val="tx1"/>
                  </w14:solidFill>
                </w14:textFill>
              </w:rPr>
              <w:t>（</w:t>
            </w:r>
            <w:r>
              <w:rPr>
                <w:rFonts w:hint="eastAsia" w:ascii="宋体" w:hAnsi="宋体" w:cs="微软雅黑"/>
                <w:color w:val="000000" w:themeColor="text1"/>
                <w:szCs w:val="21"/>
                <w:highlight w:val="none"/>
                <w:lang w:val="en-US" w:eastAsia="zh-CN"/>
                <w14:textFill>
                  <w14:solidFill>
                    <w14:schemeClr w14:val="tx1"/>
                  </w14:solidFill>
                </w14:textFill>
              </w:rPr>
              <w:t>6</w:t>
            </w:r>
            <w:r>
              <w:rPr>
                <w:rFonts w:hint="eastAsia" w:ascii="宋体" w:hAnsi="宋体" w:eastAsia="宋体" w:cs="微软雅黑"/>
                <w:color w:val="000000" w:themeColor="text1"/>
                <w:szCs w:val="21"/>
                <w:highlight w:val="none"/>
                <w14:textFill>
                  <w14:solidFill>
                    <w14:schemeClr w14:val="tx1"/>
                  </w14:solidFill>
                </w14:textFill>
              </w:rPr>
              <w:t>分）</w:t>
            </w:r>
          </w:p>
        </w:tc>
        <w:tc>
          <w:tcPr>
            <w:tcW w:w="5606" w:type="dxa"/>
            <w:vAlign w:val="center"/>
          </w:tcPr>
          <w:p w14:paraId="3497BD13">
            <w:pPr>
              <w:overflowPunct/>
              <w:bidi w:val="0"/>
              <w:spacing w:line="0" w:lineRule="atLeast"/>
              <w:outlineLvl w:val="9"/>
              <w:rPr>
                <w:rFonts w:hint="eastAsia" w:ascii="宋体" w:hAnsi="宋体" w:eastAsia="宋体" w:cs="微软雅黑"/>
                <w:color w:val="000000" w:themeColor="text1"/>
                <w:szCs w:val="21"/>
                <w:highlight w:val="none"/>
                <w:lang w:val="zh-CN" w:eastAsia="zh-CN"/>
                <w14:textFill>
                  <w14:solidFill>
                    <w14:schemeClr w14:val="tx1"/>
                  </w14:solidFill>
                </w14:textFill>
              </w:rPr>
            </w:pPr>
            <w:r>
              <w:rPr>
                <w:rFonts w:hint="eastAsia" w:ascii="宋体" w:hAnsi="宋体" w:eastAsia="宋体" w:cs="微软雅黑"/>
                <w:color w:val="000000" w:themeColor="text1"/>
                <w:szCs w:val="21"/>
                <w:highlight w:val="none"/>
                <w:lang w:val="zh-CN" w:eastAsia="zh-CN"/>
                <w14:textFill>
                  <w14:solidFill>
                    <w14:schemeClr w14:val="tx1"/>
                  </w14:solidFill>
                </w14:textFill>
              </w:rPr>
              <w:t>供应商提供</w:t>
            </w:r>
            <w:r>
              <w:rPr>
                <w:rFonts w:hint="eastAsia" w:ascii="宋体" w:hAnsi="宋体" w:cs="微软雅黑"/>
                <w:color w:val="000000" w:themeColor="text1"/>
                <w:szCs w:val="21"/>
                <w:highlight w:val="none"/>
                <w:lang w:val="zh-CN" w:eastAsia="zh-CN"/>
                <w14:textFill>
                  <w14:solidFill>
                    <w14:schemeClr w14:val="tx1"/>
                  </w14:solidFill>
                </w14:textFill>
              </w:rPr>
              <w:t>售后服务方案</w:t>
            </w:r>
            <w:r>
              <w:rPr>
                <w:rFonts w:hint="eastAsia" w:ascii="宋体" w:hAnsi="宋体" w:eastAsia="宋体" w:cs="微软雅黑"/>
                <w:color w:val="000000" w:themeColor="text1"/>
                <w:szCs w:val="21"/>
                <w:highlight w:val="none"/>
                <w:lang w:val="zh-CN" w:eastAsia="zh-CN"/>
                <w14:textFill>
                  <w14:solidFill>
                    <w14:schemeClr w14:val="tx1"/>
                  </w14:solidFill>
                </w14:textFill>
              </w:rPr>
              <w:t>并承诺专人负责项目售后服务事宜</w:t>
            </w:r>
            <w:r>
              <w:rPr>
                <w:rFonts w:hint="eastAsia" w:asciiTheme="minorEastAsia" w:hAnsiTheme="minorEastAsia" w:eastAsiaTheme="minorEastAsia"/>
                <w:bCs/>
                <w:szCs w:val="21"/>
              </w:rPr>
              <w:t>进行综合打分</w:t>
            </w:r>
            <w:r>
              <w:rPr>
                <w:rFonts w:hint="eastAsia" w:ascii="宋体" w:hAnsi="宋体" w:eastAsia="宋体" w:cs="微软雅黑"/>
                <w:color w:val="000000" w:themeColor="text1"/>
                <w:szCs w:val="21"/>
                <w:highlight w:val="none"/>
                <w:lang w:val="zh-CN" w:eastAsia="zh-CN"/>
                <w14:textFill>
                  <w14:solidFill>
                    <w14:schemeClr w14:val="tx1"/>
                  </w14:solidFill>
                </w14:textFill>
              </w:rPr>
              <w:t>，</w:t>
            </w:r>
            <w:r>
              <w:rPr>
                <w:rFonts w:hint="eastAsia" w:ascii="宋体" w:hAnsi="宋体" w:eastAsia="宋体" w:cs="微软雅黑"/>
                <w:color w:val="000000" w:themeColor="text1"/>
                <w:szCs w:val="21"/>
                <w:highlight w:val="none"/>
                <w14:textFill>
                  <w14:solidFill>
                    <w14:schemeClr w14:val="tx1"/>
                  </w14:solidFill>
                </w14:textFill>
              </w:rPr>
              <w:t>包含但不限于以下几个方面</w:t>
            </w:r>
            <w:r>
              <w:rPr>
                <w:rFonts w:hint="eastAsia" w:ascii="宋体" w:hAnsi="宋体" w:eastAsia="宋体" w:cs="微软雅黑"/>
                <w:color w:val="000000" w:themeColor="text1"/>
                <w:szCs w:val="21"/>
                <w:highlight w:val="none"/>
                <w:lang w:eastAsia="zh-CN"/>
                <w14:textFill>
                  <w14:solidFill>
                    <w14:schemeClr w14:val="tx1"/>
                  </w14:solidFill>
                </w14:textFill>
              </w:rPr>
              <w:t>：</w:t>
            </w:r>
          </w:p>
          <w:p w14:paraId="384FAFDD">
            <w:pPr>
              <w:overflowPunct/>
              <w:bidi w:val="0"/>
              <w:jc w:val="left"/>
              <w:outlineLvl w:val="9"/>
              <w:rPr>
                <w:rFonts w:hint="eastAsia" w:asciiTheme="minorEastAsia" w:hAnsiTheme="minorEastAsia" w:eastAsiaTheme="minorEastAsia"/>
                <w:szCs w:val="21"/>
                <w:lang w:val="zh-CN"/>
              </w:rPr>
            </w:pPr>
            <w:r>
              <w:rPr>
                <w:rFonts w:hint="eastAsia" w:asciiTheme="minorEastAsia" w:hAnsiTheme="minorEastAsia" w:eastAsiaTheme="minorEastAsia"/>
                <w:szCs w:val="21"/>
                <w:lang w:val="zh-CN"/>
              </w:rPr>
              <w:t>①售后服务承诺，其中</w:t>
            </w:r>
            <w:r>
              <w:rPr>
                <w:rFonts w:hint="eastAsia" w:ascii="宋体" w:hAnsi="宋体" w:eastAsia="宋体" w:cs="微软雅黑"/>
                <w:color w:val="000000" w:themeColor="text1"/>
                <w:szCs w:val="21"/>
                <w:highlight w:val="none"/>
                <w:lang w:val="zh-CN" w:eastAsia="zh-CN"/>
                <w14:textFill>
                  <w14:solidFill>
                    <w14:schemeClr w14:val="tx1"/>
                  </w14:solidFill>
                </w14:textFill>
              </w:rPr>
              <w:t>能够实行“三包”服务（包保质量、包数量、包调换）</w:t>
            </w:r>
            <w:r>
              <w:rPr>
                <w:rFonts w:hint="eastAsia" w:asciiTheme="minorEastAsia" w:hAnsiTheme="minorEastAsia" w:eastAsiaTheme="minorEastAsia"/>
                <w:szCs w:val="21"/>
                <w:lang w:val="zh-CN"/>
              </w:rPr>
              <w:t>；</w:t>
            </w:r>
          </w:p>
          <w:p w14:paraId="0AEEA359">
            <w:pPr>
              <w:overflowPunct/>
              <w:bidi w:val="0"/>
              <w:jc w:val="left"/>
              <w:outlineLvl w:val="9"/>
              <w:rPr>
                <w:rFonts w:hint="eastAsia" w:asciiTheme="minorEastAsia" w:hAnsiTheme="minorEastAsia" w:eastAsiaTheme="minorEastAsia"/>
                <w:szCs w:val="21"/>
                <w:lang w:val="zh-CN"/>
              </w:rPr>
            </w:pPr>
            <w:r>
              <w:rPr>
                <w:rFonts w:hint="eastAsia" w:asciiTheme="minorEastAsia" w:hAnsiTheme="minorEastAsia" w:eastAsiaTheme="minorEastAsia"/>
                <w:szCs w:val="21"/>
                <w:lang w:val="zh-CN"/>
              </w:rPr>
              <w:t>②质保期内对维修、服务时间的响应情况；</w:t>
            </w:r>
          </w:p>
          <w:p w14:paraId="4F884DAA">
            <w:pPr>
              <w:overflowPunct/>
              <w:bidi w:val="0"/>
              <w:jc w:val="left"/>
              <w:outlineLvl w:val="9"/>
              <w:rPr>
                <w:rFonts w:hint="eastAsia" w:asciiTheme="minorEastAsia" w:hAnsiTheme="minorEastAsia" w:eastAsiaTheme="minorEastAsia"/>
                <w:szCs w:val="21"/>
                <w:lang w:val="zh-CN"/>
              </w:rPr>
            </w:pPr>
            <w:r>
              <w:rPr>
                <w:rFonts w:hint="eastAsia" w:asciiTheme="minorEastAsia" w:hAnsiTheme="minorEastAsia" w:eastAsiaTheme="minorEastAsia"/>
                <w:szCs w:val="21"/>
                <w:lang w:val="zh-CN"/>
              </w:rPr>
              <w:t>③售后服务体系机构科学性；</w:t>
            </w:r>
          </w:p>
          <w:p w14:paraId="7B19B5A6">
            <w:pPr>
              <w:overflowPunct/>
              <w:bidi w:val="0"/>
              <w:jc w:val="left"/>
              <w:outlineLvl w:val="9"/>
              <w:rPr>
                <w:rFonts w:hint="eastAsia" w:asciiTheme="minorEastAsia" w:hAnsiTheme="minorEastAsia" w:eastAsiaTheme="minorEastAsia"/>
                <w:szCs w:val="21"/>
                <w:lang w:val="zh-CN"/>
              </w:rPr>
            </w:pPr>
            <w:r>
              <w:rPr>
                <w:rFonts w:hint="eastAsia" w:asciiTheme="minorEastAsia" w:hAnsiTheme="minorEastAsia" w:eastAsiaTheme="minorEastAsia"/>
                <w:szCs w:val="21"/>
                <w:lang w:val="zh-CN"/>
              </w:rPr>
              <w:t>④服务及保障措施完善可行；</w:t>
            </w:r>
          </w:p>
          <w:p w14:paraId="2F453969">
            <w:pPr>
              <w:overflowPunct/>
              <w:bidi w:val="0"/>
              <w:jc w:val="left"/>
              <w:outlineLvl w:val="9"/>
              <w:rPr>
                <w:rFonts w:asciiTheme="minorEastAsia" w:hAnsiTheme="minorEastAsia" w:eastAsiaTheme="minorEastAsia"/>
                <w:szCs w:val="21"/>
                <w:lang w:val="zh-CN"/>
              </w:rPr>
            </w:pPr>
            <w:r>
              <w:rPr>
                <w:rFonts w:hint="eastAsia" w:ascii="宋体" w:hAnsi="宋体"/>
                <w:szCs w:val="21"/>
                <w:lang w:val="zh-CN"/>
              </w:rPr>
              <w:t>⑤培训方案</w:t>
            </w:r>
            <w:r>
              <w:rPr>
                <w:rFonts w:hint="eastAsia" w:asciiTheme="minorEastAsia" w:hAnsiTheme="minorEastAsia" w:eastAsiaTheme="minorEastAsia"/>
                <w:szCs w:val="21"/>
                <w:lang w:val="zh-CN"/>
              </w:rPr>
              <w:t>等进行综合打分；</w:t>
            </w:r>
            <w:r>
              <w:rPr>
                <w:rFonts w:asciiTheme="minorEastAsia" w:hAnsiTheme="minorEastAsia" w:eastAsiaTheme="minorEastAsia"/>
                <w:szCs w:val="21"/>
                <w:lang w:val="zh-CN"/>
              </w:rPr>
              <w:t xml:space="preserve"> </w:t>
            </w:r>
            <w:r>
              <w:rPr>
                <w:rFonts w:hint="eastAsia" w:asciiTheme="minorEastAsia" w:hAnsiTheme="minorEastAsia" w:eastAsiaTheme="minorEastAsia"/>
                <w:szCs w:val="21"/>
                <w:lang w:val="zh-CN"/>
              </w:rPr>
              <w:t xml:space="preserve"> </w:t>
            </w:r>
            <w:r>
              <w:rPr>
                <w:rFonts w:asciiTheme="minorEastAsia" w:hAnsiTheme="minorEastAsia" w:eastAsiaTheme="minorEastAsia"/>
                <w:szCs w:val="21"/>
                <w:lang w:val="zh-CN"/>
              </w:rPr>
              <w:t xml:space="preserve"> </w:t>
            </w:r>
          </w:p>
          <w:p w14:paraId="5475C8B9">
            <w:pPr>
              <w:overflowPunct/>
              <w:bidi w:val="0"/>
              <w:spacing w:line="0" w:lineRule="atLeast"/>
              <w:outlineLvl w:val="9"/>
              <w:rPr>
                <w:rFonts w:hint="eastAsia" w:ascii="宋体" w:hAnsi="宋体" w:eastAsia="宋体" w:cs="微软雅黑"/>
                <w:color w:val="000000" w:themeColor="text1"/>
                <w:szCs w:val="21"/>
                <w:highlight w:val="none"/>
                <w:lang w:val="zh-CN" w:eastAsia="zh-CN"/>
                <w14:textFill>
                  <w14:solidFill>
                    <w14:schemeClr w14:val="tx1"/>
                  </w14:solidFill>
                </w14:textFill>
              </w:rPr>
            </w:pPr>
            <w:r>
              <w:rPr>
                <w:rFonts w:hint="eastAsia" w:ascii="宋体" w:hAnsi="宋体" w:cs="微软雅黑"/>
                <w:color w:val="000000" w:themeColor="text1"/>
                <w:szCs w:val="21"/>
                <w:highlight w:val="none"/>
                <w:lang w:val="zh-CN" w:eastAsia="zh-CN"/>
                <w14:textFill>
                  <w14:solidFill>
                    <w14:schemeClr w14:val="tx1"/>
                  </w14:solidFill>
                </w14:textFill>
              </w:rPr>
              <w:t>⑥</w:t>
            </w:r>
            <w:r>
              <w:rPr>
                <w:rFonts w:hint="default" w:ascii="宋体" w:hAnsi="宋体" w:eastAsia="宋体" w:cs="微软雅黑"/>
                <w:color w:val="000000" w:themeColor="text1"/>
                <w:szCs w:val="21"/>
                <w:highlight w:val="none"/>
                <w:lang w:val="en-US" w:eastAsia="zh-CN"/>
                <w14:textFill>
                  <w14:solidFill>
                    <w14:schemeClr w14:val="tx1"/>
                  </w14:solidFill>
                </w14:textFill>
              </w:rPr>
              <w:t>售后服务流程</w:t>
            </w:r>
            <w:r>
              <w:rPr>
                <w:rFonts w:hint="eastAsia" w:ascii="宋体" w:hAnsi="宋体" w:eastAsia="宋体" w:cs="微软雅黑"/>
                <w:color w:val="000000" w:themeColor="text1"/>
                <w:szCs w:val="21"/>
                <w:highlight w:val="none"/>
                <w:lang w:val="en-US" w:eastAsia="zh-CN"/>
                <w14:textFill>
                  <w14:solidFill>
                    <w14:schemeClr w14:val="tx1"/>
                  </w14:solidFill>
                </w14:textFill>
              </w:rPr>
              <w:t>；</w:t>
            </w:r>
          </w:p>
          <w:p w14:paraId="50617F18">
            <w:pPr>
              <w:overflowPunct/>
              <w:bidi w:val="0"/>
              <w:spacing w:line="0" w:lineRule="atLeast"/>
              <w:outlineLvl w:val="9"/>
              <w:rPr>
                <w:rFonts w:hint="eastAsia" w:ascii="宋体" w:hAnsi="宋体" w:eastAsia="宋体" w:cs="微软雅黑"/>
                <w:color w:val="000000" w:themeColor="text1"/>
                <w:szCs w:val="21"/>
                <w:highlight w:val="none"/>
                <w14:textFill>
                  <w14:solidFill>
                    <w14:schemeClr w14:val="tx1"/>
                  </w14:solidFill>
                </w14:textFill>
              </w:rPr>
            </w:pPr>
            <w:r>
              <w:rPr>
                <w:rFonts w:hint="eastAsia" w:ascii="宋体" w:hAnsi="宋体" w:eastAsia="宋体" w:cs="微软雅黑"/>
                <w:color w:val="000000" w:themeColor="text1"/>
                <w:szCs w:val="21"/>
                <w:highlight w:val="none"/>
                <w14:textFill>
                  <w14:solidFill>
                    <w14:schemeClr w14:val="tx1"/>
                  </w14:solidFill>
                </w14:textFill>
              </w:rPr>
              <w:t>以上六项方案每提供一小项内容适用于项目且无缺失的方案得</w:t>
            </w:r>
            <w:r>
              <w:rPr>
                <w:rFonts w:hint="eastAsia" w:ascii="宋体" w:hAnsi="宋体" w:cs="微软雅黑"/>
                <w:color w:val="000000" w:themeColor="text1"/>
                <w:szCs w:val="21"/>
                <w:highlight w:val="none"/>
                <w:lang w:val="en-US" w:eastAsia="zh-CN"/>
                <w14:textFill>
                  <w14:solidFill>
                    <w14:schemeClr w14:val="tx1"/>
                  </w14:solidFill>
                </w14:textFill>
              </w:rPr>
              <w:t>1</w:t>
            </w:r>
            <w:r>
              <w:rPr>
                <w:rFonts w:hint="eastAsia" w:ascii="宋体" w:hAnsi="宋体" w:eastAsia="宋体" w:cs="微软雅黑"/>
                <w:color w:val="000000" w:themeColor="text1"/>
                <w:szCs w:val="21"/>
                <w:highlight w:val="none"/>
                <w14:textFill>
                  <w14:solidFill>
                    <w14:schemeClr w14:val="tx1"/>
                  </w14:solidFill>
                </w14:textFill>
              </w:rPr>
              <w:t>分，</w:t>
            </w:r>
            <w:r>
              <w:rPr>
                <w:rFonts w:hint="eastAsia" w:ascii="宋体" w:hAnsi="宋体" w:cs="微软雅黑"/>
                <w:color w:val="000000" w:themeColor="text1"/>
                <w:szCs w:val="21"/>
                <w:highlight w:val="none"/>
                <w:lang w:eastAsia="zh-CN"/>
                <w14:textFill>
                  <w14:solidFill>
                    <w14:schemeClr w14:val="tx1"/>
                  </w14:solidFill>
                </w14:textFill>
              </w:rPr>
              <w:t>满分为</w:t>
            </w:r>
            <w:r>
              <w:rPr>
                <w:rFonts w:hint="eastAsia" w:ascii="宋体" w:hAnsi="宋体" w:cs="微软雅黑"/>
                <w:color w:val="000000" w:themeColor="text1"/>
                <w:szCs w:val="21"/>
                <w:highlight w:val="none"/>
                <w:lang w:val="en-US" w:eastAsia="zh-CN"/>
                <w14:textFill>
                  <w14:solidFill>
                    <w14:schemeClr w14:val="tx1"/>
                  </w14:solidFill>
                </w14:textFill>
              </w:rPr>
              <w:t>6分，</w:t>
            </w:r>
            <w:r>
              <w:rPr>
                <w:rFonts w:hint="eastAsia" w:asciiTheme="minorEastAsia" w:hAnsiTheme="minorEastAsia" w:eastAsiaTheme="minorEastAsia"/>
                <w:b w:val="0"/>
                <w:bCs w:val="0"/>
                <w:szCs w:val="21"/>
              </w:rPr>
              <w:t>每缺少一项内容扣</w:t>
            </w:r>
            <w:r>
              <w:rPr>
                <w:rFonts w:hint="eastAsia" w:asciiTheme="minorEastAsia" w:hAnsiTheme="minorEastAsia" w:eastAsiaTheme="minorEastAsia"/>
                <w:b w:val="0"/>
                <w:bCs w:val="0"/>
                <w:szCs w:val="21"/>
                <w:lang w:val="en-US" w:eastAsia="zh-CN"/>
              </w:rPr>
              <w:t>1</w:t>
            </w:r>
            <w:r>
              <w:rPr>
                <w:rFonts w:hint="eastAsia" w:asciiTheme="minorEastAsia" w:hAnsiTheme="minorEastAsia" w:eastAsiaTheme="minorEastAsia"/>
                <w:b w:val="0"/>
                <w:bCs w:val="0"/>
                <w:szCs w:val="21"/>
              </w:rPr>
              <w:t>分</w:t>
            </w:r>
            <w:r>
              <w:rPr>
                <w:rFonts w:hint="eastAsia" w:ascii="宋体" w:hAnsi="宋体" w:eastAsia="宋体" w:cs="微软雅黑"/>
                <w:b w:val="0"/>
                <w:bCs w:val="0"/>
                <w:color w:val="000000" w:themeColor="text1"/>
                <w:szCs w:val="21"/>
                <w:highlight w:val="none"/>
                <w:lang w:val="en-US" w:eastAsia="zh-CN"/>
                <w14:textFill>
                  <w14:solidFill>
                    <w14:schemeClr w14:val="tx1"/>
                  </w14:solidFill>
                </w14:textFill>
              </w:rPr>
              <w:t>，每有一处缺陷扣0.5分，</w:t>
            </w:r>
            <w:r>
              <w:rPr>
                <w:rFonts w:hint="eastAsia" w:asciiTheme="minorEastAsia" w:hAnsiTheme="minorEastAsia" w:eastAsiaTheme="minorEastAsia"/>
                <w:bCs/>
                <w:szCs w:val="21"/>
              </w:rPr>
              <w:t>扣完为止</w:t>
            </w:r>
            <w:r>
              <w:rPr>
                <w:rFonts w:hint="eastAsia" w:ascii="宋体" w:hAnsi="宋体" w:eastAsia="宋体" w:cs="微软雅黑"/>
                <w:b w:val="0"/>
                <w:bCs w:val="0"/>
                <w:color w:val="000000" w:themeColor="text1"/>
                <w:szCs w:val="21"/>
                <w:highlight w:val="none"/>
                <w14:textFill>
                  <w14:solidFill>
                    <w14:schemeClr w14:val="tx1"/>
                  </w14:solidFill>
                </w14:textFill>
              </w:rPr>
              <w:t>。</w:t>
            </w:r>
          </w:p>
          <w:p w14:paraId="6F4884CC">
            <w:pPr>
              <w:overflowPunct/>
              <w:bidi w:val="0"/>
              <w:spacing w:line="0" w:lineRule="atLeast"/>
              <w:outlineLvl w:val="9"/>
              <w:rPr>
                <w:rFonts w:hint="eastAsia" w:ascii="宋体" w:hAnsi="宋体" w:eastAsia="宋体" w:cs="微软雅黑"/>
                <w:color w:val="000000" w:themeColor="text1"/>
                <w:szCs w:val="21"/>
                <w:highlight w:val="none"/>
                <w14:textFill>
                  <w14:solidFill>
                    <w14:schemeClr w14:val="tx1"/>
                  </w14:solidFill>
                </w14:textFill>
              </w:rPr>
            </w:pPr>
            <w:r>
              <w:rPr>
                <w:rFonts w:hint="eastAsia" w:ascii="宋体" w:hAnsi="宋体" w:eastAsia="宋体" w:cs="微软雅黑"/>
                <w:b w:val="0"/>
                <w:bCs w:val="0"/>
                <w:color w:val="000000" w:themeColor="text1"/>
                <w:szCs w:val="21"/>
                <w:highlight w:val="none"/>
                <w14:textFill>
                  <w14:solidFill>
                    <w14:schemeClr w14:val="tx1"/>
                  </w14:solidFill>
                </w14:textFill>
              </w:rPr>
              <w:t>（</w:t>
            </w:r>
            <w:r>
              <w:rPr>
                <w:rFonts w:hint="eastAsia" w:ascii="宋体" w:hAnsi="宋体" w:eastAsia="宋体" w:cs="微软雅黑"/>
                <w:b w:val="0"/>
                <w:bCs w:val="0"/>
                <w:color w:val="000000" w:themeColor="text1"/>
                <w:szCs w:val="21"/>
                <w:highlight w:val="none"/>
                <w:lang w:val="en-US" w:eastAsia="zh-CN"/>
                <w14:textFill>
                  <w14:solidFill>
                    <w14:schemeClr w14:val="tx1"/>
                  </w14:solidFill>
                </w14:textFill>
              </w:rPr>
              <w:t>缺陷</w:t>
            </w:r>
            <w:r>
              <w:rPr>
                <w:rFonts w:hint="eastAsia" w:ascii="宋体" w:hAnsi="宋体" w:eastAsia="宋体" w:cs="微软雅黑"/>
                <w:b w:val="0"/>
                <w:bCs w:val="0"/>
                <w:color w:val="000000" w:themeColor="text1"/>
                <w:szCs w:val="21"/>
                <w:highlight w:val="none"/>
                <w14:textFill>
                  <w14:solidFill>
                    <w14:schemeClr w14:val="tx1"/>
                  </w14:solidFill>
                </w14:textFill>
              </w:rPr>
              <w:t>是指：</w:t>
            </w:r>
            <w:r>
              <w:rPr>
                <w:rFonts w:hint="eastAsia" w:asciiTheme="minorEastAsia" w:hAnsiTheme="minorEastAsia" w:eastAsiaTheme="minorEastAsia"/>
                <w:b w:val="0"/>
                <w:bCs w:val="0"/>
                <w:szCs w:val="21"/>
              </w:rPr>
              <w:t>在不适用项目实际情况的情形、凭空编造、笼统描述、内容前后不一致、内容无法连贯、前后逻辑错误、涉及的规范及标准错误、地点区域错误、直接套用其他项目方案、与项目实施特点不匹配、不符合或不满足采购需求实际等等任意一种不利于项目实施情况</w:t>
            </w:r>
            <w:r>
              <w:rPr>
                <w:rFonts w:hint="eastAsia" w:asciiTheme="minorEastAsia" w:hAnsiTheme="minorEastAsia" w:eastAsiaTheme="minorEastAsia"/>
                <w:b w:val="0"/>
                <w:bCs w:val="0"/>
                <w:szCs w:val="21"/>
                <w:lang w:eastAsia="zh-CN"/>
              </w:rPr>
              <w:t>。</w:t>
            </w:r>
            <w:r>
              <w:rPr>
                <w:rFonts w:hint="eastAsia" w:ascii="宋体" w:hAnsi="宋体" w:eastAsia="宋体" w:cs="微软雅黑"/>
                <w:b w:val="0"/>
                <w:bCs w:val="0"/>
                <w:color w:val="000000" w:themeColor="text1"/>
                <w:szCs w:val="21"/>
                <w:highlight w:val="none"/>
                <w14:textFill>
                  <w14:solidFill>
                    <w14:schemeClr w14:val="tx1"/>
                  </w14:solidFill>
                </w14:textFill>
              </w:rPr>
              <w:t>）</w:t>
            </w:r>
          </w:p>
        </w:tc>
        <w:tc>
          <w:tcPr>
            <w:tcW w:w="657" w:type="dxa"/>
            <w:vAlign w:val="center"/>
          </w:tcPr>
          <w:p w14:paraId="3CCC0508">
            <w:pPr>
              <w:overflowPunct/>
              <w:bidi w:val="0"/>
              <w:spacing w:line="0" w:lineRule="atLeast"/>
              <w:jc w:val="center"/>
              <w:outlineLvl w:val="9"/>
              <w:rPr>
                <w:rFonts w:hint="default" w:ascii="宋体" w:hAnsi="宋体" w:eastAsia="宋体" w:cs="微软雅黑"/>
                <w:color w:val="000000" w:themeColor="text1"/>
                <w:szCs w:val="21"/>
                <w:highlight w:val="none"/>
                <w:lang w:val="en-US" w:eastAsia="zh-CN"/>
                <w14:textFill>
                  <w14:solidFill>
                    <w14:schemeClr w14:val="tx1"/>
                  </w14:solidFill>
                </w14:textFill>
              </w:rPr>
            </w:pPr>
            <w:r>
              <w:rPr>
                <w:rFonts w:hint="eastAsia" w:ascii="宋体" w:hAnsi="宋体" w:eastAsia="宋体" w:cs="微软雅黑"/>
                <w:color w:val="000000" w:themeColor="text1"/>
                <w:szCs w:val="21"/>
                <w:highlight w:val="none"/>
                <w14:textFill>
                  <w14:solidFill>
                    <w14:schemeClr w14:val="tx1"/>
                  </w14:solidFill>
                </w14:textFill>
              </w:rPr>
              <w:t>0-</w:t>
            </w:r>
            <w:r>
              <w:rPr>
                <w:rFonts w:hint="eastAsia" w:ascii="宋体" w:hAnsi="宋体" w:cs="微软雅黑"/>
                <w:color w:val="000000" w:themeColor="text1"/>
                <w:szCs w:val="21"/>
                <w:highlight w:val="none"/>
                <w:lang w:val="en-US" w:eastAsia="zh-CN"/>
                <w14:textFill>
                  <w14:solidFill>
                    <w14:schemeClr w14:val="tx1"/>
                  </w14:solidFill>
                </w14:textFill>
              </w:rPr>
              <w:t>6</w:t>
            </w:r>
          </w:p>
        </w:tc>
      </w:tr>
      <w:tr w14:paraId="417630A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1443" w:hRule="atLeast"/>
        </w:trPr>
        <w:tc>
          <w:tcPr>
            <w:tcW w:w="700" w:type="dxa"/>
            <w:vMerge w:val="continue"/>
            <w:tcBorders>
              <w:top w:val="nil"/>
              <w:left w:val="single" w:color="auto" w:sz="4" w:space="0"/>
              <w:bottom w:val="nil"/>
              <w:right w:val="single" w:color="auto" w:sz="4" w:space="0"/>
            </w:tcBorders>
            <w:vAlign w:val="center"/>
          </w:tcPr>
          <w:p w14:paraId="1D551F49">
            <w:pPr>
              <w:keepNext w:val="0"/>
              <w:keepLines w:val="0"/>
              <w:pageBreakBefore w:val="0"/>
              <w:widowControl w:val="0"/>
              <w:kinsoku/>
              <w:wordWrap/>
              <w:overflowPunct/>
              <w:topLinePunct w:val="0"/>
              <w:bidi w:val="0"/>
              <w:snapToGrid/>
              <w:spacing w:line="0" w:lineRule="atLeast"/>
              <w:jc w:val="center"/>
              <w:outlineLvl w:val="9"/>
              <w:rPr>
                <w:rFonts w:ascii="宋体" w:hAnsi="宋体" w:cs="微软雅黑"/>
                <w:color w:val="000000" w:themeColor="text1"/>
                <w:szCs w:val="21"/>
                <w:highlight w:val="none"/>
                <w14:textFill>
                  <w14:solidFill>
                    <w14:schemeClr w14:val="tx1"/>
                  </w14:solidFill>
                </w14:textFill>
              </w:rPr>
            </w:pPr>
          </w:p>
        </w:tc>
        <w:tc>
          <w:tcPr>
            <w:tcW w:w="939" w:type="dxa"/>
            <w:vMerge w:val="continue"/>
            <w:tcBorders>
              <w:top w:val="nil"/>
              <w:left w:val="single" w:color="auto" w:sz="4" w:space="0"/>
              <w:bottom w:val="nil"/>
              <w:right w:val="single" w:color="auto" w:sz="4" w:space="0"/>
            </w:tcBorders>
            <w:vAlign w:val="center"/>
          </w:tcPr>
          <w:p w14:paraId="75A9049D">
            <w:pPr>
              <w:keepNext w:val="0"/>
              <w:keepLines w:val="0"/>
              <w:pageBreakBefore w:val="0"/>
              <w:widowControl w:val="0"/>
              <w:kinsoku/>
              <w:wordWrap/>
              <w:overflowPunct/>
              <w:topLinePunct w:val="0"/>
              <w:bidi w:val="0"/>
              <w:snapToGrid/>
              <w:spacing w:line="0" w:lineRule="atLeast"/>
              <w:jc w:val="center"/>
              <w:outlineLvl w:val="9"/>
              <w:rPr>
                <w:rFonts w:ascii="宋体" w:hAnsi="宋体" w:cs="微软雅黑"/>
                <w:color w:val="000000" w:themeColor="text1"/>
                <w:szCs w:val="21"/>
                <w:highlight w:val="none"/>
                <w14:textFill>
                  <w14:solidFill>
                    <w14:schemeClr w14:val="tx1"/>
                  </w14:solidFill>
                </w14:textFill>
              </w:rPr>
            </w:pPr>
          </w:p>
        </w:tc>
        <w:tc>
          <w:tcPr>
            <w:tcW w:w="1737" w:type="dxa"/>
            <w:tcBorders>
              <w:left w:val="single" w:color="auto" w:sz="4" w:space="0"/>
            </w:tcBorders>
            <w:vAlign w:val="center"/>
          </w:tcPr>
          <w:p w14:paraId="71F5989F">
            <w:pPr>
              <w:overflowPunct/>
              <w:bidi w:val="0"/>
              <w:spacing w:line="0" w:lineRule="atLeast"/>
              <w:jc w:val="center"/>
              <w:outlineLvl w:val="9"/>
              <w:rPr>
                <w:rFonts w:hint="eastAsia" w:ascii="宋体" w:hAnsi="宋体" w:eastAsia="宋体" w:cs="微软雅黑"/>
                <w:color w:val="000000" w:themeColor="text1"/>
                <w:szCs w:val="21"/>
                <w:highlight w:val="none"/>
                <w14:textFill>
                  <w14:solidFill>
                    <w14:schemeClr w14:val="tx1"/>
                  </w14:solidFill>
                </w14:textFill>
              </w:rPr>
            </w:pPr>
            <w:r>
              <w:rPr>
                <w:rFonts w:hint="eastAsia" w:ascii="宋体" w:hAnsi="宋体" w:eastAsia="宋体" w:cs="微软雅黑"/>
                <w:color w:val="000000" w:themeColor="text1"/>
                <w:szCs w:val="21"/>
                <w:highlight w:val="none"/>
                <w14:textFill>
                  <w14:solidFill>
                    <w14:schemeClr w14:val="tx1"/>
                  </w14:solidFill>
                </w14:textFill>
              </w:rPr>
              <w:t>调试使用方案</w:t>
            </w:r>
          </w:p>
          <w:p w14:paraId="333E3D60">
            <w:pPr>
              <w:overflowPunct/>
              <w:bidi w:val="0"/>
              <w:spacing w:line="0" w:lineRule="atLeast"/>
              <w:jc w:val="center"/>
              <w:outlineLvl w:val="9"/>
              <w:rPr>
                <w:rFonts w:hint="eastAsia" w:ascii="宋体" w:hAnsi="宋体" w:eastAsia="宋体" w:cs="微软雅黑"/>
                <w:color w:val="000000" w:themeColor="text1"/>
                <w:szCs w:val="21"/>
                <w:highlight w:val="none"/>
                <w:lang w:val="en-US" w:eastAsia="zh-CN"/>
                <w14:textFill>
                  <w14:solidFill>
                    <w14:schemeClr w14:val="tx1"/>
                  </w14:solidFill>
                </w14:textFill>
              </w:rPr>
            </w:pPr>
            <w:r>
              <w:rPr>
                <w:rFonts w:hint="eastAsia" w:ascii="宋体" w:hAnsi="宋体" w:eastAsia="宋体" w:cs="微软雅黑"/>
                <w:color w:val="000000" w:themeColor="text1"/>
                <w:szCs w:val="21"/>
                <w:highlight w:val="none"/>
                <w:lang w:eastAsia="zh-CN"/>
                <w14:textFill>
                  <w14:solidFill>
                    <w14:schemeClr w14:val="tx1"/>
                  </w14:solidFill>
                </w14:textFill>
              </w:rPr>
              <w:t>（</w:t>
            </w:r>
            <w:r>
              <w:rPr>
                <w:rFonts w:hint="eastAsia" w:ascii="宋体" w:hAnsi="宋体" w:cs="微软雅黑"/>
                <w:color w:val="000000" w:themeColor="text1"/>
                <w:szCs w:val="21"/>
                <w:highlight w:val="none"/>
                <w:lang w:val="en-US" w:eastAsia="zh-CN"/>
                <w14:textFill>
                  <w14:solidFill>
                    <w14:schemeClr w14:val="tx1"/>
                  </w14:solidFill>
                </w14:textFill>
              </w:rPr>
              <w:t>6</w:t>
            </w:r>
            <w:r>
              <w:rPr>
                <w:rFonts w:hint="eastAsia" w:ascii="宋体" w:hAnsi="宋体" w:eastAsia="宋体" w:cs="微软雅黑"/>
                <w:color w:val="000000" w:themeColor="text1"/>
                <w:szCs w:val="21"/>
                <w:highlight w:val="none"/>
                <w:lang w:val="en-US" w:eastAsia="zh-CN"/>
                <w14:textFill>
                  <w14:solidFill>
                    <w14:schemeClr w14:val="tx1"/>
                  </w14:solidFill>
                </w14:textFill>
              </w:rPr>
              <w:t>分</w:t>
            </w:r>
            <w:r>
              <w:rPr>
                <w:rFonts w:hint="eastAsia" w:ascii="宋体" w:hAnsi="宋体" w:eastAsia="宋体" w:cs="微软雅黑"/>
                <w:color w:val="000000" w:themeColor="text1"/>
                <w:szCs w:val="21"/>
                <w:highlight w:val="none"/>
                <w:lang w:eastAsia="zh-CN"/>
                <w14:textFill>
                  <w14:solidFill>
                    <w14:schemeClr w14:val="tx1"/>
                  </w14:solidFill>
                </w14:textFill>
              </w:rPr>
              <w:t>）</w:t>
            </w:r>
          </w:p>
        </w:tc>
        <w:tc>
          <w:tcPr>
            <w:tcW w:w="5606" w:type="dxa"/>
            <w:vAlign w:val="center"/>
          </w:tcPr>
          <w:p w14:paraId="24577884">
            <w:pPr>
              <w:overflowPunct/>
              <w:bidi w:val="0"/>
              <w:spacing w:line="0" w:lineRule="atLeast"/>
              <w:outlineLvl w:val="9"/>
              <w:rPr>
                <w:rFonts w:hint="eastAsia" w:ascii="宋体" w:hAnsi="宋体" w:eastAsia="宋体" w:cs="微软雅黑"/>
                <w:color w:val="000000" w:themeColor="text1"/>
                <w:szCs w:val="21"/>
                <w:highlight w:val="none"/>
                <w14:textFill>
                  <w14:solidFill>
                    <w14:schemeClr w14:val="tx1"/>
                  </w14:solidFill>
                </w14:textFill>
              </w:rPr>
            </w:pPr>
            <w:r>
              <w:rPr>
                <w:rFonts w:hint="eastAsia" w:ascii="宋体" w:hAnsi="宋体" w:eastAsia="宋体" w:cs="微软雅黑"/>
                <w:color w:val="000000" w:themeColor="text1"/>
                <w:szCs w:val="21"/>
                <w:highlight w:val="none"/>
                <w:lang w:val="zh-CN" w:eastAsia="zh-CN"/>
                <w14:textFill>
                  <w14:solidFill>
                    <w14:schemeClr w14:val="tx1"/>
                  </w14:solidFill>
                </w14:textFill>
              </w:rPr>
              <w:t>供应商</w:t>
            </w:r>
            <w:r>
              <w:rPr>
                <w:rFonts w:hint="eastAsia" w:ascii="宋体" w:hAnsi="宋体" w:eastAsia="宋体" w:cs="微软雅黑"/>
                <w:color w:val="000000" w:themeColor="text1"/>
                <w:szCs w:val="21"/>
                <w:highlight w:val="none"/>
                <w14:textFill>
                  <w14:solidFill>
                    <w14:schemeClr w14:val="tx1"/>
                  </w14:solidFill>
                </w14:textFill>
              </w:rPr>
              <w:t>针对本项目提供调试使用方案</w:t>
            </w:r>
            <w:r>
              <w:rPr>
                <w:rFonts w:hint="eastAsia" w:asciiTheme="minorEastAsia" w:hAnsiTheme="minorEastAsia" w:eastAsiaTheme="minorEastAsia"/>
                <w:bCs/>
                <w:szCs w:val="21"/>
              </w:rPr>
              <w:t>进行综合打分</w:t>
            </w:r>
            <w:r>
              <w:rPr>
                <w:rFonts w:hint="eastAsia" w:asciiTheme="minorEastAsia" w:hAnsiTheme="minorEastAsia" w:eastAsiaTheme="minorEastAsia"/>
                <w:bCs/>
                <w:szCs w:val="21"/>
                <w:lang w:eastAsia="zh-CN"/>
              </w:rPr>
              <w:t>，</w:t>
            </w:r>
            <w:r>
              <w:rPr>
                <w:rFonts w:hint="eastAsia" w:ascii="宋体" w:hAnsi="宋体" w:eastAsia="宋体" w:cs="微软雅黑"/>
                <w:color w:val="000000" w:themeColor="text1"/>
                <w:szCs w:val="21"/>
                <w:highlight w:val="none"/>
                <w14:textFill>
                  <w14:solidFill>
                    <w14:schemeClr w14:val="tx1"/>
                  </w14:solidFill>
                </w14:textFill>
              </w:rPr>
              <w:t>包含但不限于以下几个方面：</w:t>
            </w:r>
          </w:p>
          <w:p w14:paraId="4AB15F75">
            <w:pPr>
              <w:overflowPunct/>
              <w:bidi w:val="0"/>
              <w:spacing w:line="0" w:lineRule="atLeast"/>
              <w:outlineLvl w:val="9"/>
              <w:rPr>
                <w:rFonts w:hint="eastAsia" w:ascii="宋体" w:hAnsi="宋体" w:eastAsia="宋体" w:cs="微软雅黑"/>
                <w:color w:val="000000" w:themeColor="text1"/>
                <w:szCs w:val="21"/>
                <w:highlight w:val="none"/>
                <w:lang w:val="en-US" w:eastAsia="zh-CN"/>
                <w14:textFill>
                  <w14:solidFill>
                    <w14:schemeClr w14:val="tx1"/>
                  </w14:solidFill>
                </w14:textFill>
              </w:rPr>
            </w:pPr>
            <w:r>
              <w:rPr>
                <w:rFonts w:hint="eastAsia" w:ascii="宋体" w:hAnsi="宋体" w:eastAsia="宋体" w:cs="微软雅黑"/>
                <w:color w:val="000000" w:themeColor="text1"/>
                <w:szCs w:val="21"/>
                <w:highlight w:val="none"/>
                <w:lang w:val="en-US" w:eastAsia="zh-CN"/>
                <w14:textFill>
                  <w14:solidFill>
                    <w14:schemeClr w14:val="tx1"/>
                  </w14:solidFill>
                </w14:textFill>
              </w:rPr>
              <w:t>1.</w:t>
            </w:r>
            <w:r>
              <w:rPr>
                <w:rFonts w:hint="eastAsia" w:ascii="宋体" w:hAnsi="宋体" w:eastAsia="宋体" w:cs="微软雅黑"/>
                <w:color w:val="000000" w:themeColor="text1"/>
                <w:szCs w:val="21"/>
                <w:highlight w:val="none"/>
                <w14:textFill>
                  <w14:solidFill>
                    <w14:schemeClr w14:val="tx1"/>
                  </w14:solidFill>
                </w14:textFill>
              </w:rPr>
              <w:t>验收方案；</w:t>
            </w:r>
          </w:p>
          <w:p w14:paraId="19F2BFDA">
            <w:pPr>
              <w:overflowPunct/>
              <w:bidi w:val="0"/>
              <w:spacing w:line="0" w:lineRule="atLeast"/>
              <w:outlineLvl w:val="9"/>
              <w:rPr>
                <w:rFonts w:hint="eastAsia" w:ascii="宋体" w:hAnsi="宋体" w:eastAsia="宋体" w:cs="微软雅黑"/>
                <w:color w:val="000000" w:themeColor="text1"/>
                <w:szCs w:val="21"/>
                <w:highlight w:val="none"/>
                <w:lang w:val="en-US" w:eastAsia="zh-CN"/>
                <w14:textFill>
                  <w14:solidFill>
                    <w14:schemeClr w14:val="tx1"/>
                  </w14:solidFill>
                </w14:textFill>
              </w:rPr>
            </w:pPr>
            <w:r>
              <w:rPr>
                <w:rFonts w:hint="eastAsia" w:ascii="宋体" w:hAnsi="宋体" w:eastAsia="宋体" w:cs="微软雅黑"/>
                <w:color w:val="000000" w:themeColor="text1"/>
                <w:szCs w:val="21"/>
                <w:highlight w:val="none"/>
                <w:lang w:val="en-US" w:eastAsia="zh-CN"/>
                <w14:textFill>
                  <w14:solidFill>
                    <w14:schemeClr w14:val="tx1"/>
                  </w14:solidFill>
                </w14:textFill>
              </w:rPr>
              <w:t>2.产品使用方案</w:t>
            </w:r>
            <w:r>
              <w:rPr>
                <w:rFonts w:hint="eastAsia" w:ascii="宋体" w:hAnsi="宋体" w:cs="微软雅黑"/>
                <w:color w:val="000000" w:themeColor="text1"/>
                <w:szCs w:val="21"/>
                <w:highlight w:val="none"/>
                <w:lang w:val="en-US" w:eastAsia="zh-CN"/>
                <w14:textFill>
                  <w14:solidFill>
                    <w14:schemeClr w14:val="tx1"/>
                  </w14:solidFill>
                </w14:textFill>
              </w:rPr>
              <w:t>及</w:t>
            </w:r>
            <w:r>
              <w:rPr>
                <w:rFonts w:hint="eastAsia" w:ascii="宋体" w:hAnsi="宋体" w:eastAsia="宋体" w:cs="微软雅黑"/>
                <w:color w:val="000000" w:themeColor="text1"/>
                <w:szCs w:val="21"/>
                <w:highlight w:val="none"/>
                <w:lang w:val="en-US" w:eastAsia="zh-CN"/>
                <w14:textFill>
                  <w14:solidFill>
                    <w14:schemeClr w14:val="tx1"/>
                  </w14:solidFill>
                </w14:textFill>
              </w:rPr>
              <w:t>设备试运转方案；</w:t>
            </w:r>
          </w:p>
          <w:p w14:paraId="2EBDE2B6">
            <w:pPr>
              <w:overflowPunct/>
              <w:bidi w:val="0"/>
              <w:spacing w:line="0" w:lineRule="atLeast"/>
              <w:outlineLvl w:val="9"/>
              <w:rPr>
                <w:rFonts w:hint="default" w:ascii="宋体" w:hAnsi="宋体" w:eastAsia="宋体" w:cs="微软雅黑"/>
                <w:color w:val="000000" w:themeColor="text1"/>
                <w:szCs w:val="21"/>
                <w:highlight w:val="none"/>
                <w:lang w:val="en-US" w:eastAsia="zh-CN"/>
                <w14:textFill>
                  <w14:solidFill>
                    <w14:schemeClr w14:val="tx1"/>
                  </w14:solidFill>
                </w14:textFill>
              </w:rPr>
            </w:pPr>
            <w:r>
              <w:rPr>
                <w:rFonts w:hint="eastAsia" w:ascii="宋体" w:hAnsi="宋体" w:cs="微软雅黑"/>
                <w:color w:val="000000" w:themeColor="text1"/>
                <w:szCs w:val="21"/>
                <w:highlight w:val="none"/>
                <w:lang w:val="en-US" w:eastAsia="zh-CN"/>
                <w14:textFill>
                  <w14:solidFill>
                    <w14:schemeClr w14:val="tx1"/>
                  </w14:solidFill>
                </w14:textFill>
              </w:rPr>
              <w:t>3.</w:t>
            </w:r>
            <w:r>
              <w:rPr>
                <w:rFonts w:hint="eastAsia" w:ascii="宋体" w:hAnsi="宋体" w:eastAsia="宋体" w:cs="微软雅黑"/>
                <w:color w:val="000000" w:themeColor="text1"/>
                <w:szCs w:val="21"/>
                <w:highlight w:val="none"/>
                <w14:textFill>
                  <w14:solidFill>
                    <w14:schemeClr w14:val="tx1"/>
                  </w14:solidFill>
                </w14:textFill>
              </w:rPr>
              <w:t>调试</w:t>
            </w:r>
            <w:r>
              <w:rPr>
                <w:rFonts w:hint="eastAsia" w:ascii="宋体" w:hAnsi="宋体" w:cs="微软雅黑"/>
                <w:color w:val="000000" w:themeColor="text1"/>
                <w:szCs w:val="21"/>
                <w:highlight w:val="none"/>
                <w:lang w:val="en-US" w:eastAsia="zh-CN"/>
                <w14:textFill>
                  <w14:solidFill>
                    <w14:schemeClr w14:val="tx1"/>
                  </w14:solidFill>
                </w14:textFill>
              </w:rPr>
              <w:t>人员的安排；</w:t>
            </w:r>
          </w:p>
          <w:p w14:paraId="0FA578E5">
            <w:pPr>
              <w:overflowPunct/>
              <w:bidi w:val="0"/>
              <w:spacing w:line="0" w:lineRule="atLeast"/>
              <w:outlineLvl w:val="9"/>
              <w:rPr>
                <w:rFonts w:hint="eastAsia" w:ascii="宋体" w:hAnsi="宋体" w:eastAsia="宋体" w:cs="微软雅黑"/>
                <w:color w:val="000000" w:themeColor="text1"/>
                <w:szCs w:val="21"/>
                <w:highlight w:val="none"/>
                <w14:textFill>
                  <w14:solidFill>
                    <w14:schemeClr w14:val="tx1"/>
                  </w14:solidFill>
                </w14:textFill>
              </w:rPr>
            </w:pPr>
            <w:r>
              <w:rPr>
                <w:rFonts w:hint="eastAsia" w:ascii="宋体" w:hAnsi="宋体" w:eastAsia="宋体" w:cs="微软雅黑"/>
                <w:color w:val="000000" w:themeColor="text1"/>
                <w:szCs w:val="21"/>
                <w:highlight w:val="none"/>
                <w14:textFill>
                  <w14:solidFill>
                    <w14:schemeClr w14:val="tx1"/>
                  </w14:solidFill>
                </w14:textFill>
              </w:rPr>
              <w:t>以上</w:t>
            </w:r>
            <w:r>
              <w:rPr>
                <w:rFonts w:hint="eastAsia" w:ascii="宋体" w:hAnsi="宋体" w:eastAsia="宋体" w:cs="微软雅黑"/>
                <w:color w:val="000000" w:themeColor="text1"/>
                <w:szCs w:val="21"/>
                <w:highlight w:val="none"/>
                <w:lang w:eastAsia="zh-CN"/>
                <w14:textFill>
                  <w14:solidFill>
                    <w14:schemeClr w14:val="tx1"/>
                  </w14:solidFill>
                </w14:textFill>
              </w:rPr>
              <w:t>三</w:t>
            </w:r>
            <w:r>
              <w:rPr>
                <w:rFonts w:hint="eastAsia" w:ascii="宋体" w:hAnsi="宋体" w:eastAsia="宋体" w:cs="微软雅黑"/>
                <w:color w:val="000000" w:themeColor="text1"/>
                <w:szCs w:val="21"/>
                <w:highlight w:val="none"/>
                <w14:textFill>
                  <w14:solidFill>
                    <w14:schemeClr w14:val="tx1"/>
                  </w14:solidFill>
                </w14:textFill>
              </w:rPr>
              <w:t>项方案每提供一小项内容适用于项目且无缺失的方案得</w:t>
            </w:r>
            <w:r>
              <w:rPr>
                <w:rFonts w:hint="eastAsia" w:ascii="宋体" w:hAnsi="宋体" w:cs="微软雅黑"/>
                <w:color w:val="000000" w:themeColor="text1"/>
                <w:szCs w:val="21"/>
                <w:highlight w:val="none"/>
                <w:lang w:val="en-US" w:eastAsia="zh-CN"/>
                <w14:textFill>
                  <w14:solidFill>
                    <w14:schemeClr w14:val="tx1"/>
                  </w14:solidFill>
                </w14:textFill>
              </w:rPr>
              <w:t>2</w:t>
            </w:r>
            <w:r>
              <w:rPr>
                <w:rFonts w:hint="eastAsia" w:ascii="宋体" w:hAnsi="宋体" w:eastAsia="宋体" w:cs="微软雅黑"/>
                <w:color w:val="000000" w:themeColor="text1"/>
                <w:szCs w:val="21"/>
                <w:highlight w:val="none"/>
                <w14:textFill>
                  <w14:solidFill>
                    <w14:schemeClr w14:val="tx1"/>
                  </w14:solidFill>
                </w14:textFill>
              </w:rPr>
              <w:t>分，</w:t>
            </w:r>
            <w:r>
              <w:rPr>
                <w:rFonts w:hint="eastAsia" w:ascii="宋体" w:hAnsi="宋体" w:cs="微软雅黑"/>
                <w:color w:val="000000" w:themeColor="text1"/>
                <w:szCs w:val="21"/>
                <w:highlight w:val="none"/>
                <w:lang w:eastAsia="zh-CN"/>
                <w14:textFill>
                  <w14:solidFill>
                    <w14:schemeClr w14:val="tx1"/>
                  </w14:solidFill>
                </w14:textFill>
              </w:rPr>
              <w:t>满分为</w:t>
            </w:r>
            <w:r>
              <w:rPr>
                <w:rFonts w:hint="eastAsia" w:ascii="宋体" w:hAnsi="宋体" w:cs="微软雅黑"/>
                <w:color w:val="000000" w:themeColor="text1"/>
                <w:szCs w:val="21"/>
                <w:highlight w:val="none"/>
                <w:lang w:val="en-US" w:eastAsia="zh-CN"/>
                <w14:textFill>
                  <w14:solidFill>
                    <w14:schemeClr w14:val="tx1"/>
                  </w14:solidFill>
                </w14:textFill>
              </w:rPr>
              <w:t>6分，</w:t>
            </w:r>
            <w:r>
              <w:rPr>
                <w:rFonts w:hint="eastAsia" w:asciiTheme="minorEastAsia" w:hAnsiTheme="minorEastAsia" w:eastAsiaTheme="minorEastAsia"/>
                <w:b w:val="0"/>
                <w:bCs w:val="0"/>
                <w:szCs w:val="21"/>
              </w:rPr>
              <w:t>每缺少一项内容扣</w:t>
            </w:r>
            <w:r>
              <w:rPr>
                <w:rFonts w:hint="eastAsia" w:asciiTheme="minorEastAsia" w:hAnsiTheme="minorEastAsia" w:eastAsiaTheme="minorEastAsia"/>
                <w:b w:val="0"/>
                <w:bCs w:val="0"/>
                <w:szCs w:val="21"/>
                <w:lang w:val="en-US" w:eastAsia="zh-CN"/>
              </w:rPr>
              <w:t>2</w:t>
            </w:r>
            <w:r>
              <w:rPr>
                <w:rFonts w:hint="eastAsia" w:asciiTheme="minorEastAsia" w:hAnsiTheme="minorEastAsia" w:eastAsiaTheme="minorEastAsia"/>
                <w:b w:val="0"/>
                <w:bCs w:val="0"/>
                <w:szCs w:val="21"/>
              </w:rPr>
              <w:t>分</w:t>
            </w:r>
            <w:r>
              <w:rPr>
                <w:rFonts w:hint="eastAsia" w:ascii="宋体" w:hAnsi="宋体" w:eastAsia="宋体" w:cs="微软雅黑"/>
                <w:b w:val="0"/>
                <w:bCs w:val="0"/>
                <w:color w:val="000000" w:themeColor="text1"/>
                <w:szCs w:val="21"/>
                <w:highlight w:val="none"/>
                <w:lang w:val="en-US" w:eastAsia="zh-CN"/>
                <w14:textFill>
                  <w14:solidFill>
                    <w14:schemeClr w14:val="tx1"/>
                  </w14:solidFill>
                </w14:textFill>
              </w:rPr>
              <w:t>，每有一处缺陷扣0.5分，</w:t>
            </w:r>
            <w:r>
              <w:rPr>
                <w:rFonts w:hint="eastAsia" w:asciiTheme="minorEastAsia" w:hAnsiTheme="minorEastAsia" w:eastAsiaTheme="minorEastAsia"/>
                <w:bCs/>
                <w:szCs w:val="21"/>
              </w:rPr>
              <w:t>扣完为止</w:t>
            </w:r>
            <w:r>
              <w:rPr>
                <w:rFonts w:hint="eastAsia" w:ascii="宋体" w:hAnsi="宋体" w:eastAsia="宋体" w:cs="微软雅黑"/>
                <w:b w:val="0"/>
                <w:bCs w:val="0"/>
                <w:color w:val="000000" w:themeColor="text1"/>
                <w:szCs w:val="21"/>
                <w:highlight w:val="none"/>
                <w14:textFill>
                  <w14:solidFill>
                    <w14:schemeClr w14:val="tx1"/>
                  </w14:solidFill>
                </w14:textFill>
              </w:rPr>
              <w:t>。</w:t>
            </w:r>
          </w:p>
          <w:p w14:paraId="2B550B10">
            <w:pPr>
              <w:overflowPunct/>
              <w:bidi w:val="0"/>
              <w:spacing w:line="0" w:lineRule="atLeast"/>
              <w:outlineLvl w:val="9"/>
              <w:rPr>
                <w:rFonts w:hint="eastAsia" w:ascii="宋体" w:hAnsi="宋体" w:eastAsia="宋体" w:cs="微软雅黑"/>
                <w:color w:val="000000" w:themeColor="text1"/>
                <w:szCs w:val="21"/>
                <w:highlight w:val="none"/>
                <w:lang w:val="en-US" w:eastAsia="zh-CN"/>
                <w14:textFill>
                  <w14:solidFill>
                    <w14:schemeClr w14:val="tx1"/>
                  </w14:solidFill>
                </w14:textFill>
              </w:rPr>
            </w:pPr>
            <w:r>
              <w:rPr>
                <w:rFonts w:hint="eastAsia" w:ascii="宋体" w:hAnsi="宋体" w:eastAsia="宋体" w:cs="微软雅黑"/>
                <w:b w:val="0"/>
                <w:bCs w:val="0"/>
                <w:color w:val="000000" w:themeColor="text1"/>
                <w:szCs w:val="21"/>
                <w:highlight w:val="none"/>
                <w14:textFill>
                  <w14:solidFill>
                    <w14:schemeClr w14:val="tx1"/>
                  </w14:solidFill>
                </w14:textFill>
              </w:rPr>
              <w:t>（</w:t>
            </w:r>
            <w:r>
              <w:rPr>
                <w:rFonts w:hint="eastAsia" w:ascii="宋体" w:hAnsi="宋体" w:eastAsia="宋体" w:cs="微软雅黑"/>
                <w:b w:val="0"/>
                <w:bCs w:val="0"/>
                <w:color w:val="000000" w:themeColor="text1"/>
                <w:szCs w:val="21"/>
                <w:highlight w:val="none"/>
                <w:lang w:val="en-US" w:eastAsia="zh-CN"/>
                <w14:textFill>
                  <w14:solidFill>
                    <w14:schemeClr w14:val="tx1"/>
                  </w14:solidFill>
                </w14:textFill>
              </w:rPr>
              <w:t>缺陷</w:t>
            </w:r>
            <w:r>
              <w:rPr>
                <w:rFonts w:hint="eastAsia" w:ascii="宋体" w:hAnsi="宋体" w:eastAsia="宋体" w:cs="微软雅黑"/>
                <w:b w:val="0"/>
                <w:bCs w:val="0"/>
                <w:color w:val="000000" w:themeColor="text1"/>
                <w:szCs w:val="21"/>
                <w:highlight w:val="none"/>
                <w14:textFill>
                  <w14:solidFill>
                    <w14:schemeClr w14:val="tx1"/>
                  </w14:solidFill>
                </w14:textFill>
              </w:rPr>
              <w:t>是指：</w:t>
            </w:r>
            <w:r>
              <w:rPr>
                <w:rFonts w:hint="eastAsia" w:asciiTheme="minorEastAsia" w:hAnsiTheme="minorEastAsia" w:eastAsiaTheme="minorEastAsia"/>
                <w:b w:val="0"/>
                <w:bCs w:val="0"/>
                <w:szCs w:val="21"/>
              </w:rPr>
              <w:t>在不适用项目实际情况的情形、凭空编造、笼统描述、内容前后不一致、内容无法连贯、前后逻辑错误、涉及的规范及标准错误、地点区域错误、直接套用其他项目方案、与项目实施特点不匹配、不符合或不满足采购需求实际等等任意一种不利于项目实施情况</w:t>
            </w:r>
            <w:r>
              <w:rPr>
                <w:rFonts w:hint="eastAsia" w:asciiTheme="minorEastAsia" w:hAnsiTheme="minorEastAsia" w:eastAsiaTheme="minorEastAsia"/>
                <w:b w:val="0"/>
                <w:bCs w:val="0"/>
                <w:szCs w:val="21"/>
                <w:lang w:eastAsia="zh-CN"/>
              </w:rPr>
              <w:t>。</w:t>
            </w:r>
            <w:r>
              <w:rPr>
                <w:rFonts w:hint="eastAsia" w:ascii="宋体" w:hAnsi="宋体" w:eastAsia="宋体" w:cs="微软雅黑"/>
                <w:b w:val="0"/>
                <w:bCs w:val="0"/>
                <w:color w:val="000000" w:themeColor="text1"/>
                <w:szCs w:val="21"/>
                <w:highlight w:val="none"/>
                <w14:textFill>
                  <w14:solidFill>
                    <w14:schemeClr w14:val="tx1"/>
                  </w14:solidFill>
                </w14:textFill>
              </w:rPr>
              <w:t>）</w:t>
            </w:r>
          </w:p>
        </w:tc>
        <w:tc>
          <w:tcPr>
            <w:tcW w:w="657" w:type="dxa"/>
            <w:vAlign w:val="center"/>
          </w:tcPr>
          <w:p w14:paraId="73A3EF00">
            <w:pPr>
              <w:overflowPunct/>
              <w:bidi w:val="0"/>
              <w:spacing w:line="0" w:lineRule="atLeast"/>
              <w:jc w:val="center"/>
              <w:outlineLvl w:val="9"/>
              <w:rPr>
                <w:rFonts w:hint="default" w:ascii="宋体" w:hAnsi="宋体" w:eastAsia="宋体" w:cs="微软雅黑"/>
                <w:color w:val="000000" w:themeColor="text1"/>
                <w:szCs w:val="21"/>
                <w:highlight w:val="none"/>
                <w:lang w:val="en-US" w:eastAsia="zh-CN"/>
                <w14:textFill>
                  <w14:solidFill>
                    <w14:schemeClr w14:val="tx1"/>
                  </w14:solidFill>
                </w14:textFill>
              </w:rPr>
            </w:pPr>
            <w:r>
              <w:rPr>
                <w:rFonts w:hint="eastAsia" w:ascii="宋体" w:hAnsi="宋体" w:eastAsia="宋体" w:cs="微软雅黑"/>
                <w:color w:val="000000" w:themeColor="text1"/>
                <w:szCs w:val="21"/>
                <w:highlight w:val="none"/>
                <w:lang w:val="en-US" w:eastAsia="zh-CN"/>
                <w14:textFill>
                  <w14:solidFill>
                    <w14:schemeClr w14:val="tx1"/>
                  </w14:solidFill>
                </w14:textFill>
              </w:rPr>
              <w:t>0-</w:t>
            </w:r>
            <w:r>
              <w:rPr>
                <w:rFonts w:hint="eastAsia" w:ascii="宋体" w:hAnsi="宋体" w:cs="微软雅黑"/>
                <w:color w:val="000000" w:themeColor="text1"/>
                <w:szCs w:val="21"/>
                <w:highlight w:val="none"/>
                <w:lang w:val="en-US" w:eastAsia="zh-CN"/>
                <w14:textFill>
                  <w14:solidFill>
                    <w14:schemeClr w14:val="tx1"/>
                  </w14:solidFill>
                </w14:textFill>
              </w:rPr>
              <w:t>6</w:t>
            </w:r>
          </w:p>
        </w:tc>
      </w:tr>
    </w:tbl>
    <w:p w14:paraId="7A71BD82">
      <w:pPr>
        <w:overflowPunct/>
        <w:bidi w:val="0"/>
        <w:outlineLvl w:val="9"/>
        <w:rPr>
          <w:rFonts w:hint="eastAsia" w:ascii="宋体" w:hAnsi="宋体" w:eastAsia="宋体" w:cs="宋体"/>
          <w:b/>
          <w:bCs/>
          <w:caps w:val="0"/>
          <w:color w:val="000000" w:themeColor="text1"/>
          <w:kern w:val="2"/>
          <w:sz w:val="21"/>
          <w:szCs w:val="21"/>
          <w:highlight w:val="none"/>
          <w:vertAlign w:val="baseline"/>
          <w:lang w:val="en-US" w:eastAsia="zh-CN" w:bidi="ar"/>
          <w14:textFill>
            <w14:solidFill>
              <w14:schemeClr w14:val="tx1"/>
            </w14:solidFill>
          </w14:textFill>
        </w:rPr>
      </w:pPr>
      <w:r>
        <w:rPr>
          <w:rFonts w:hint="eastAsia" w:ascii="宋体" w:hAnsi="宋体" w:eastAsia="宋体" w:cs="宋体"/>
          <w:b/>
          <w:bCs/>
          <w:caps w:val="0"/>
          <w:color w:val="000000" w:themeColor="text1"/>
          <w:kern w:val="2"/>
          <w:sz w:val="21"/>
          <w:szCs w:val="21"/>
          <w:highlight w:val="none"/>
          <w:vertAlign w:val="baseline"/>
          <w:lang w:val="en-US" w:eastAsia="zh-CN" w:bidi="ar"/>
          <w14:textFill>
            <w14:solidFill>
              <w14:schemeClr w14:val="tx1"/>
            </w14:solidFill>
          </w14:textFill>
        </w:rPr>
        <w:br w:type="page"/>
      </w:r>
    </w:p>
    <w:p w14:paraId="0275EF0C">
      <w:pPr>
        <w:keepNext w:val="0"/>
        <w:keepLines w:val="0"/>
        <w:pageBreakBefore w:val="0"/>
        <w:widowControl w:val="0"/>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both"/>
        <w:outlineLvl w:val="9"/>
        <w:rPr>
          <w:rFonts w:hint="eastAsia" w:ascii="宋体" w:hAnsi="宋体" w:eastAsia="宋体" w:cs="宋体"/>
          <w:caps w:val="0"/>
          <w:color w:val="000000" w:themeColor="text1"/>
          <w:kern w:val="2"/>
          <w:sz w:val="21"/>
          <w:szCs w:val="21"/>
          <w:highlight w:val="none"/>
          <w:vertAlign w:val="baseline"/>
          <w:lang w:bidi="ar"/>
          <w14:textFill>
            <w14:solidFill>
              <w14:schemeClr w14:val="tx1"/>
            </w14:solidFill>
          </w14:textFill>
        </w:rPr>
      </w:pPr>
      <w:r>
        <w:rPr>
          <w:rFonts w:hint="eastAsia" w:ascii="宋体" w:hAnsi="宋体" w:eastAsia="宋体" w:cs="宋体"/>
          <w:b/>
          <w:bCs/>
          <w:caps w:val="0"/>
          <w:color w:val="000000" w:themeColor="text1"/>
          <w:kern w:val="2"/>
          <w:sz w:val="21"/>
          <w:szCs w:val="21"/>
          <w:highlight w:val="none"/>
          <w:vertAlign w:val="baseline"/>
          <w:lang w:val="en-US" w:eastAsia="zh-CN" w:bidi="ar"/>
          <w14:textFill>
            <w14:solidFill>
              <w14:schemeClr w14:val="tx1"/>
            </w14:solidFill>
          </w14:textFill>
        </w:rPr>
        <w:t>综合评估表：</w:t>
      </w:r>
    </w:p>
    <w:p w14:paraId="7FEA2CD0">
      <w:pPr>
        <w:keepNext w:val="0"/>
        <w:keepLines w:val="0"/>
        <w:pageBreakBefore w:val="0"/>
        <w:widowControl w:val="0"/>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both"/>
        <w:outlineLvl w:val="9"/>
        <w:rPr>
          <w:rFonts w:hint="eastAsia" w:ascii="宋体" w:hAnsi="宋体" w:eastAsia="宋体" w:cs="宋体"/>
          <w:caps w:val="0"/>
          <w:color w:val="000000" w:themeColor="text1"/>
          <w:kern w:val="2"/>
          <w:sz w:val="21"/>
          <w:szCs w:val="21"/>
          <w:highlight w:val="none"/>
          <w:vertAlign w:val="baseline"/>
          <w:lang w:bidi="ar"/>
          <w14:textFill>
            <w14:solidFill>
              <w14:schemeClr w14:val="tx1"/>
            </w14:solidFill>
          </w14:textFill>
        </w:rPr>
      </w:pPr>
      <w:r>
        <w:rPr>
          <w:rFonts w:hint="eastAsia" w:ascii="宋体" w:hAnsi="宋体" w:eastAsia="宋体" w:cs="宋体"/>
          <w:b w:val="0"/>
          <w:bCs w:val="0"/>
          <w:caps w:val="0"/>
          <w:color w:val="000000" w:themeColor="text1"/>
          <w:kern w:val="2"/>
          <w:sz w:val="21"/>
          <w:szCs w:val="21"/>
          <w:highlight w:val="none"/>
          <w:vertAlign w:val="baseline"/>
          <w:lang w:val="en-US" w:eastAsia="zh-CN" w:bidi="ar"/>
          <w14:textFill>
            <w14:solidFill>
              <w14:schemeClr w14:val="tx1"/>
            </w14:solidFill>
          </w14:textFill>
        </w:rPr>
        <w:t xml:space="preserve"> (一) 说明</w:t>
      </w:r>
    </w:p>
    <w:p w14:paraId="239FCFD2">
      <w:pPr>
        <w:keepNext w:val="0"/>
        <w:keepLines w:val="0"/>
        <w:pageBreakBefore w:val="0"/>
        <w:widowControl w:val="0"/>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both"/>
        <w:outlineLvl w:val="9"/>
        <w:rPr>
          <w:rFonts w:hint="eastAsia" w:ascii="宋体" w:hAnsi="宋体" w:eastAsia="宋体" w:cs="宋体"/>
          <w:b w:val="0"/>
          <w:bCs w:val="0"/>
          <w:caps w:val="0"/>
          <w:color w:val="000000" w:themeColor="text1"/>
          <w:kern w:val="2"/>
          <w:sz w:val="21"/>
          <w:szCs w:val="21"/>
          <w:highlight w:val="none"/>
          <w:vertAlign w:val="baseline"/>
          <w:lang w:val="en-US" w:eastAsia="zh-CN" w:bidi="ar"/>
          <w14:textFill>
            <w14:solidFill>
              <w14:schemeClr w14:val="tx1"/>
            </w14:solidFill>
          </w14:textFill>
        </w:rPr>
      </w:pPr>
      <w:r>
        <w:rPr>
          <w:rFonts w:hint="eastAsia" w:ascii="宋体" w:hAnsi="宋体" w:eastAsia="宋体" w:cs="宋体"/>
          <w:b w:val="0"/>
          <w:bCs w:val="0"/>
          <w:caps w:val="0"/>
          <w:color w:val="000000" w:themeColor="text1"/>
          <w:kern w:val="2"/>
          <w:sz w:val="21"/>
          <w:szCs w:val="21"/>
          <w:highlight w:val="none"/>
          <w:vertAlign w:val="baseline"/>
          <w:lang w:val="en-US" w:eastAsia="zh-CN" w:bidi="ar"/>
          <w14:textFill>
            <w14:solidFill>
              <w14:schemeClr w14:val="tx1"/>
            </w14:solidFill>
          </w14:textFill>
        </w:rPr>
        <w:t>1、 按最终得分由高到低的顺序推荐预中标候选人3名，最终推荐排名第1名的为中标候选人。得分相同的，按投标报价（指投标报价经算术修正和落实政府采购政策需进行的价格扣除后的投标价格）由低到高顺序排列；得分且投标报价（指投标报价经算术修正和落实政府采购政策需进行的价格扣除后的投标价格）相同的，按技术服务评分由高到低顺序排列；得分、投标报价（指投标报价经算术修正和落实政府采购政策需进行的价格扣除后的投标价格）且技术服务评分相同的，按所投产品列入政府优先采购产品类别认证证书多少顺序排列；以上均相同的，按解密投标文件时间先后顺序（以递交投标文件登记表为准）排列。分包采购的，每包评标结果按上述规则排列。提供相同品牌产品且通过资格审查、符合性审查的不同 投标人参加同一合同项下投标的，按一家投标人计算，评审后得分最高的同品牌投标人获得中标人推荐资格；评审得分相同的，由评标委员会采取随机抽取方式确定，其他同品牌投标人不作为中标候选人。</w:t>
      </w:r>
    </w:p>
    <w:p w14:paraId="6C233898">
      <w:pPr>
        <w:keepNext w:val="0"/>
        <w:keepLines w:val="0"/>
        <w:pageBreakBefore w:val="0"/>
        <w:widowControl w:val="0"/>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both"/>
        <w:outlineLvl w:val="9"/>
        <w:rPr>
          <w:rFonts w:hint="eastAsia" w:ascii="宋体" w:hAnsi="宋体" w:eastAsia="宋体" w:cs="宋体"/>
          <w:b/>
          <w:bCs/>
          <w:caps w:val="0"/>
          <w:color w:val="000000" w:themeColor="text1"/>
          <w:kern w:val="2"/>
          <w:sz w:val="21"/>
          <w:szCs w:val="21"/>
          <w:highlight w:val="none"/>
          <w:vertAlign w:val="baseline"/>
          <w:lang w:val="en-US" w:eastAsia="zh-CN" w:bidi="ar"/>
          <w14:textFill>
            <w14:solidFill>
              <w14:schemeClr w14:val="tx1"/>
            </w14:solidFill>
          </w14:textFill>
        </w:rPr>
      </w:pPr>
      <w:r>
        <w:rPr>
          <w:rFonts w:hint="eastAsia" w:ascii="宋体" w:hAnsi="宋体" w:cs="宋体"/>
          <w:b/>
          <w:bCs/>
          <w:caps w:val="0"/>
          <w:color w:val="000000" w:themeColor="text1"/>
          <w:kern w:val="2"/>
          <w:sz w:val="21"/>
          <w:szCs w:val="21"/>
          <w:highlight w:val="none"/>
          <w:vertAlign w:val="baseline"/>
          <w:lang w:val="en-US" w:eastAsia="zh-CN" w:bidi="ar"/>
          <w14:textFill>
            <w14:solidFill>
              <w14:schemeClr w14:val="tx1"/>
            </w14:solidFill>
          </w14:textFill>
        </w:rPr>
        <w:t>本项目</w:t>
      </w:r>
      <w:r>
        <w:rPr>
          <w:rFonts w:hint="eastAsia" w:ascii="宋体" w:hAnsi="宋体" w:eastAsia="宋体" w:cs="宋体"/>
          <w:b/>
          <w:bCs/>
          <w:caps w:val="0"/>
          <w:color w:val="000000" w:themeColor="text1"/>
          <w:kern w:val="2"/>
          <w:sz w:val="21"/>
          <w:szCs w:val="21"/>
          <w:highlight w:val="none"/>
          <w:vertAlign w:val="baseline"/>
          <w:lang w:val="en-US" w:eastAsia="zh-CN" w:bidi="ar"/>
          <w14:textFill>
            <w14:solidFill>
              <w14:schemeClr w14:val="tx1"/>
            </w14:solidFill>
          </w14:textFill>
        </w:rPr>
        <w:t>核心产品</w:t>
      </w:r>
      <w:r>
        <w:rPr>
          <w:rFonts w:hint="eastAsia" w:ascii="宋体" w:hAnsi="宋体" w:cs="宋体"/>
          <w:b/>
          <w:bCs/>
          <w:caps w:val="0"/>
          <w:color w:val="000000" w:themeColor="text1"/>
          <w:kern w:val="2"/>
          <w:sz w:val="21"/>
          <w:szCs w:val="21"/>
          <w:highlight w:val="none"/>
          <w:vertAlign w:val="baseline"/>
          <w:lang w:val="en-US" w:eastAsia="zh-CN" w:bidi="ar"/>
          <w14:textFill>
            <w14:solidFill>
              <w14:schemeClr w14:val="tx1"/>
            </w14:solidFill>
          </w14:textFill>
        </w:rPr>
        <w:t>：</w:t>
      </w:r>
      <w:r>
        <w:rPr>
          <w:rFonts w:hint="eastAsia" w:ascii="宋体" w:hAnsi="宋体" w:eastAsia="宋体" w:cs="宋体"/>
          <w:b/>
          <w:bCs/>
          <w:caps w:val="0"/>
          <w:color w:val="000000" w:themeColor="text1"/>
          <w:kern w:val="2"/>
          <w:sz w:val="21"/>
          <w:szCs w:val="21"/>
          <w:highlight w:val="none"/>
          <w:vertAlign w:val="baseline"/>
          <w:lang w:val="en-US" w:eastAsia="zh-CN" w:bidi="ar"/>
          <w14:textFill>
            <w14:solidFill>
              <w14:schemeClr w14:val="tx1"/>
            </w14:solidFill>
          </w14:textFill>
        </w:rPr>
        <w:t>智能LED教室灯。</w:t>
      </w:r>
    </w:p>
    <w:p w14:paraId="6A54EC09">
      <w:pPr>
        <w:keepNext w:val="0"/>
        <w:keepLines w:val="0"/>
        <w:pageBreakBefore w:val="0"/>
        <w:widowControl w:val="0"/>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both"/>
        <w:outlineLvl w:val="9"/>
        <w:rPr>
          <w:rFonts w:hint="eastAsia" w:ascii="宋体" w:hAnsi="宋体" w:eastAsia="宋体" w:cs="宋体"/>
          <w:caps w:val="0"/>
          <w:color w:val="000000" w:themeColor="text1"/>
          <w:kern w:val="2"/>
          <w:sz w:val="21"/>
          <w:szCs w:val="21"/>
          <w:highlight w:val="none"/>
          <w:vertAlign w:val="baseline"/>
          <w:lang w:bidi="ar"/>
          <w14:textFill>
            <w14:solidFill>
              <w14:schemeClr w14:val="tx1"/>
            </w14:solidFill>
          </w14:textFill>
        </w:rPr>
      </w:pPr>
      <w:r>
        <w:rPr>
          <w:rFonts w:hint="eastAsia" w:ascii="宋体" w:hAnsi="宋体" w:eastAsia="宋体" w:cs="宋体"/>
          <w:b w:val="0"/>
          <w:bCs w:val="0"/>
          <w:caps w:val="0"/>
          <w:color w:val="000000" w:themeColor="text1"/>
          <w:kern w:val="2"/>
          <w:sz w:val="21"/>
          <w:szCs w:val="21"/>
          <w:highlight w:val="none"/>
          <w:vertAlign w:val="baseline"/>
          <w:lang w:val="en-US" w:eastAsia="zh-CN" w:bidi="ar"/>
          <w14:textFill>
            <w14:solidFill>
              <w14:schemeClr w14:val="tx1"/>
            </w14:solidFill>
          </w14:textFill>
        </w:rPr>
        <w:t>2、本办法未列内容，不作为本次评审依据。</w:t>
      </w:r>
    </w:p>
    <w:p w14:paraId="36037127">
      <w:pPr>
        <w:keepNext w:val="0"/>
        <w:keepLines w:val="0"/>
        <w:pageBreakBefore w:val="0"/>
        <w:widowControl w:val="0"/>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both"/>
        <w:outlineLvl w:val="9"/>
        <w:rPr>
          <w:rFonts w:hint="eastAsia" w:ascii="宋体" w:hAnsi="宋体" w:eastAsia="宋体" w:cs="宋体"/>
          <w:caps w:val="0"/>
          <w:color w:val="000000" w:themeColor="text1"/>
          <w:kern w:val="2"/>
          <w:sz w:val="21"/>
          <w:szCs w:val="21"/>
          <w:highlight w:val="none"/>
          <w:vertAlign w:val="baseline"/>
          <w:lang w:bidi="ar"/>
          <w14:textFill>
            <w14:solidFill>
              <w14:schemeClr w14:val="tx1"/>
            </w14:solidFill>
          </w14:textFill>
        </w:rPr>
      </w:pPr>
      <w:r>
        <w:rPr>
          <w:rFonts w:hint="eastAsia" w:ascii="宋体" w:hAnsi="宋体" w:eastAsia="宋体" w:cs="宋体"/>
          <w:b w:val="0"/>
          <w:bCs w:val="0"/>
          <w:caps w:val="0"/>
          <w:color w:val="000000" w:themeColor="text1"/>
          <w:kern w:val="2"/>
          <w:sz w:val="21"/>
          <w:szCs w:val="21"/>
          <w:highlight w:val="none"/>
          <w:vertAlign w:val="baseline"/>
          <w:lang w:val="en-US" w:eastAsia="zh-CN" w:bidi="ar"/>
          <w14:textFill>
            <w14:solidFill>
              <w14:schemeClr w14:val="tx1"/>
            </w14:solidFill>
          </w14:textFill>
        </w:rPr>
        <w:t>纳入节能产品政府采购清单的的投标产品及纳入环境标志产品政府采购品目清单的投标产品的证明材料：</w:t>
      </w:r>
    </w:p>
    <w:tbl>
      <w:tblPr>
        <w:tblStyle w:val="38"/>
        <w:tblW w:w="4997" w:type="pct"/>
        <w:tblInd w:w="0" w:type="dxa"/>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shd w:val="clear" w:color="auto" w:fill="auto"/>
        <w:tblLayout w:type="autofit"/>
        <w:tblCellMar>
          <w:top w:w="0" w:type="dxa"/>
          <w:left w:w="108" w:type="dxa"/>
          <w:bottom w:w="0" w:type="dxa"/>
          <w:right w:w="108" w:type="dxa"/>
        </w:tblCellMar>
      </w:tblPr>
      <w:tblGrid>
        <w:gridCol w:w="806"/>
        <w:gridCol w:w="806"/>
        <w:gridCol w:w="3019"/>
        <w:gridCol w:w="954"/>
        <w:gridCol w:w="3314"/>
        <w:gridCol w:w="955"/>
      </w:tblGrid>
      <w:tr w14:paraId="105222F0">
        <w:tblPrEx>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shd w:val="clear" w:color="auto" w:fill="auto"/>
          <w:tblCellMar>
            <w:top w:w="0" w:type="dxa"/>
            <w:left w:w="108" w:type="dxa"/>
            <w:bottom w:w="0" w:type="dxa"/>
            <w:right w:w="108" w:type="dxa"/>
          </w:tblCellMar>
        </w:tblPrEx>
        <w:trPr>
          <w:trHeight w:val="1110" w:hRule="atLeast"/>
        </w:trPr>
        <w:tc>
          <w:tcPr>
            <w:tcW w:w="827" w:type="pct"/>
            <w:tcBorders>
              <w:top w:val="single" w:color="auto" w:sz="4" w:space="0"/>
              <w:left w:val="single" w:color="auto" w:sz="4" w:space="0"/>
              <w:bottom w:val="single" w:color="auto" w:sz="4" w:space="0"/>
              <w:right w:val="single" w:color="auto" w:sz="4" w:space="0"/>
            </w:tcBorders>
            <w:shd w:val="clear" w:color="auto" w:fill="auto"/>
            <w:noWrap/>
            <w:vAlign w:val="center"/>
          </w:tcPr>
          <w:p w14:paraId="3EA1958D">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center"/>
              <w:outlineLvl w:val="9"/>
              <w:rPr>
                <w:rFonts w:hint="eastAsia" w:ascii="宋体" w:hAnsi="宋体" w:eastAsia="宋体" w:cs="宋体"/>
                <w:b/>
                <w:bCs/>
                <w:caps w:val="0"/>
                <w:color w:val="000000" w:themeColor="text1"/>
                <w:kern w:val="2"/>
                <w:sz w:val="21"/>
                <w:szCs w:val="21"/>
                <w:highlight w:val="none"/>
                <w:vertAlign w:val="baseline"/>
                <w:lang w:bidi="ar"/>
                <w14:textFill>
                  <w14:solidFill>
                    <w14:schemeClr w14:val="tx1"/>
                  </w14:solidFill>
                </w14:textFill>
              </w:rPr>
            </w:pPr>
            <w:r>
              <w:rPr>
                <w:rFonts w:hint="eastAsia" w:ascii="宋体" w:hAnsi="宋体" w:eastAsia="宋体" w:cs="宋体"/>
                <w:b/>
                <w:bCs/>
                <w:caps w:val="0"/>
                <w:color w:val="000000" w:themeColor="text1"/>
                <w:kern w:val="2"/>
                <w:sz w:val="21"/>
                <w:szCs w:val="21"/>
                <w:highlight w:val="none"/>
                <w:vertAlign w:val="baseline"/>
                <w:lang w:val="en-US" w:eastAsia="zh-CN" w:bidi="ar"/>
                <w14:textFill>
                  <w14:solidFill>
                    <w14:schemeClr w14:val="tx1"/>
                  </w14:solidFill>
                </w14:textFill>
              </w:rPr>
              <w:t>项目名称</w:t>
            </w:r>
          </w:p>
        </w:tc>
        <w:tc>
          <w:tcPr>
            <w:tcW w:w="645" w:type="pct"/>
            <w:tcBorders>
              <w:top w:val="single" w:color="auto" w:sz="4" w:space="0"/>
              <w:left w:val="nil"/>
              <w:bottom w:val="single" w:color="auto" w:sz="4" w:space="0"/>
              <w:right w:val="single" w:color="auto" w:sz="4" w:space="0"/>
            </w:tcBorders>
            <w:shd w:val="clear" w:color="auto" w:fill="auto"/>
            <w:noWrap/>
            <w:vAlign w:val="center"/>
          </w:tcPr>
          <w:p w14:paraId="3763F994">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center"/>
              <w:outlineLvl w:val="9"/>
              <w:rPr>
                <w:rFonts w:hint="eastAsia" w:ascii="宋体" w:hAnsi="宋体" w:eastAsia="宋体" w:cs="宋体"/>
                <w:b/>
                <w:bCs/>
                <w:caps w:val="0"/>
                <w:color w:val="000000" w:themeColor="text1"/>
                <w:kern w:val="2"/>
                <w:sz w:val="21"/>
                <w:szCs w:val="21"/>
                <w:highlight w:val="none"/>
                <w:vertAlign w:val="baseline"/>
                <w:lang w:bidi="ar"/>
                <w14:textFill>
                  <w14:solidFill>
                    <w14:schemeClr w14:val="tx1"/>
                  </w14:solidFill>
                </w14:textFill>
              </w:rPr>
            </w:pPr>
            <w:r>
              <w:rPr>
                <w:rFonts w:hint="eastAsia" w:ascii="宋体" w:hAnsi="宋体" w:eastAsia="宋体" w:cs="宋体"/>
                <w:b/>
                <w:bCs/>
                <w:caps w:val="0"/>
                <w:color w:val="000000" w:themeColor="text1"/>
                <w:kern w:val="2"/>
                <w:sz w:val="21"/>
                <w:szCs w:val="21"/>
                <w:highlight w:val="none"/>
                <w:vertAlign w:val="baseline"/>
                <w:lang w:val="en-US" w:eastAsia="zh-CN" w:bidi="ar"/>
                <w14:textFill>
                  <w14:solidFill>
                    <w14:schemeClr w14:val="tx1"/>
                  </w14:solidFill>
                </w14:textFill>
              </w:rPr>
              <w:t>项目编码</w:t>
            </w:r>
          </w:p>
        </w:tc>
        <w:tc>
          <w:tcPr>
            <w:tcW w:w="1004" w:type="pct"/>
            <w:tcBorders>
              <w:top w:val="single" w:color="auto" w:sz="4" w:space="0"/>
              <w:left w:val="nil"/>
              <w:bottom w:val="single" w:color="auto" w:sz="4" w:space="0"/>
              <w:right w:val="single" w:color="auto" w:sz="4" w:space="0"/>
            </w:tcBorders>
            <w:shd w:val="clear" w:color="auto" w:fill="auto"/>
            <w:noWrap/>
            <w:vAlign w:val="center"/>
          </w:tcPr>
          <w:p w14:paraId="5600F1CE">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center"/>
              <w:outlineLvl w:val="9"/>
              <w:rPr>
                <w:rFonts w:hint="eastAsia" w:ascii="宋体" w:hAnsi="宋体" w:eastAsia="宋体" w:cs="宋体"/>
                <w:b/>
                <w:bCs/>
                <w:caps w:val="0"/>
                <w:color w:val="000000" w:themeColor="text1"/>
                <w:kern w:val="2"/>
                <w:sz w:val="21"/>
                <w:szCs w:val="21"/>
                <w:highlight w:val="none"/>
                <w:vertAlign w:val="baseline"/>
                <w:lang w:bidi="ar"/>
                <w14:textFill>
                  <w14:solidFill>
                    <w14:schemeClr w14:val="tx1"/>
                  </w14:solidFill>
                </w14:textFill>
              </w:rPr>
            </w:pPr>
            <w:r>
              <w:rPr>
                <w:rFonts w:hint="eastAsia" w:ascii="宋体" w:hAnsi="宋体" w:eastAsia="宋体" w:cs="宋体"/>
                <w:b/>
                <w:bCs/>
                <w:caps w:val="0"/>
                <w:color w:val="000000" w:themeColor="text1"/>
                <w:kern w:val="2"/>
                <w:sz w:val="21"/>
                <w:szCs w:val="21"/>
                <w:highlight w:val="none"/>
                <w:vertAlign w:val="baseline"/>
                <w:lang w:val="en-US" w:eastAsia="zh-CN" w:bidi="ar"/>
                <w14:textFill>
                  <w14:solidFill>
                    <w14:schemeClr w14:val="tx1"/>
                  </w14:solidFill>
                </w14:textFill>
              </w:rPr>
              <w:t>是否纳入节能产品政府采购清单的投标产品</w:t>
            </w:r>
          </w:p>
        </w:tc>
        <w:tc>
          <w:tcPr>
            <w:tcW w:w="589" w:type="pct"/>
            <w:tcBorders>
              <w:top w:val="single" w:color="auto" w:sz="4" w:space="0"/>
              <w:left w:val="nil"/>
              <w:bottom w:val="single" w:color="auto" w:sz="4" w:space="0"/>
              <w:right w:val="single" w:color="auto" w:sz="4" w:space="0"/>
            </w:tcBorders>
            <w:shd w:val="clear" w:color="auto" w:fill="auto"/>
            <w:noWrap/>
            <w:vAlign w:val="center"/>
          </w:tcPr>
          <w:p w14:paraId="7B2A53D7">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center"/>
              <w:outlineLvl w:val="9"/>
              <w:rPr>
                <w:rFonts w:hint="eastAsia" w:ascii="宋体" w:hAnsi="宋体" w:eastAsia="宋体" w:cs="宋体"/>
                <w:b/>
                <w:bCs/>
                <w:caps w:val="0"/>
                <w:color w:val="000000" w:themeColor="text1"/>
                <w:kern w:val="2"/>
                <w:sz w:val="21"/>
                <w:szCs w:val="21"/>
                <w:highlight w:val="none"/>
                <w:vertAlign w:val="baseline"/>
                <w:lang w:bidi="ar"/>
                <w14:textFill>
                  <w14:solidFill>
                    <w14:schemeClr w14:val="tx1"/>
                  </w14:solidFill>
                </w14:textFill>
              </w:rPr>
            </w:pPr>
            <w:r>
              <w:rPr>
                <w:rFonts w:hint="eastAsia" w:ascii="宋体" w:hAnsi="宋体" w:eastAsia="宋体" w:cs="宋体"/>
                <w:b/>
                <w:bCs/>
                <w:caps w:val="0"/>
                <w:color w:val="000000" w:themeColor="text1"/>
                <w:kern w:val="2"/>
                <w:sz w:val="21"/>
                <w:szCs w:val="21"/>
                <w:highlight w:val="none"/>
                <w:vertAlign w:val="baseline"/>
                <w:lang w:val="en-US" w:eastAsia="zh-CN" w:bidi="ar"/>
                <w14:textFill>
                  <w14:solidFill>
                    <w14:schemeClr w14:val="tx1"/>
                  </w14:solidFill>
                </w14:textFill>
              </w:rPr>
              <w:t>金额（元）</w:t>
            </w:r>
          </w:p>
        </w:tc>
        <w:tc>
          <w:tcPr>
            <w:tcW w:w="1265" w:type="pct"/>
            <w:tcBorders>
              <w:top w:val="single" w:color="auto" w:sz="4" w:space="0"/>
              <w:left w:val="nil"/>
              <w:bottom w:val="single" w:color="auto" w:sz="4" w:space="0"/>
              <w:right w:val="single" w:color="auto" w:sz="4" w:space="0"/>
            </w:tcBorders>
            <w:shd w:val="clear" w:color="auto" w:fill="auto"/>
            <w:noWrap/>
            <w:vAlign w:val="center"/>
          </w:tcPr>
          <w:p w14:paraId="41CFAAD4">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center"/>
              <w:outlineLvl w:val="9"/>
              <w:rPr>
                <w:rFonts w:hint="eastAsia" w:ascii="宋体" w:hAnsi="宋体" w:eastAsia="宋体" w:cs="宋体"/>
                <w:b/>
                <w:bCs/>
                <w:caps w:val="0"/>
                <w:color w:val="000000" w:themeColor="text1"/>
                <w:kern w:val="2"/>
                <w:sz w:val="21"/>
                <w:szCs w:val="21"/>
                <w:highlight w:val="none"/>
                <w:vertAlign w:val="baseline"/>
                <w:lang w:bidi="ar"/>
                <w14:textFill>
                  <w14:solidFill>
                    <w14:schemeClr w14:val="tx1"/>
                  </w14:solidFill>
                </w14:textFill>
              </w:rPr>
            </w:pPr>
            <w:r>
              <w:rPr>
                <w:rFonts w:hint="eastAsia" w:ascii="宋体" w:hAnsi="宋体" w:eastAsia="宋体" w:cs="宋体"/>
                <w:b/>
                <w:bCs/>
                <w:caps w:val="0"/>
                <w:color w:val="000000" w:themeColor="text1"/>
                <w:kern w:val="2"/>
                <w:sz w:val="21"/>
                <w:szCs w:val="21"/>
                <w:highlight w:val="none"/>
                <w:vertAlign w:val="baseline"/>
                <w:lang w:val="en-US" w:eastAsia="zh-CN" w:bidi="ar"/>
                <w14:textFill>
                  <w14:solidFill>
                    <w14:schemeClr w14:val="tx1"/>
                  </w14:solidFill>
                </w14:textFill>
              </w:rPr>
              <w:t>是否环境标志产品政府采购品目清单的投标产品</w:t>
            </w:r>
          </w:p>
        </w:tc>
        <w:tc>
          <w:tcPr>
            <w:tcW w:w="666" w:type="pct"/>
            <w:tcBorders>
              <w:top w:val="single" w:color="auto" w:sz="4" w:space="0"/>
              <w:left w:val="nil"/>
              <w:bottom w:val="single" w:color="auto" w:sz="4" w:space="0"/>
              <w:right w:val="single" w:color="auto" w:sz="4" w:space="0"/>
            </w:tcBorders>
            <w:shd w:val="clear" w:color="auto" w:fill="auto"/>
            <w:noWrap/>
            <w:vAlign w:val="center"/>
          </w:tcPr>
          <w:p w14:paraId="3DC335D2">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center"/>
              <w:outlineLvl w:val="9"/>
              <w:rPr>
                <w:rFonts w:hint="eastAsia" w:ascii="宋体" w:hAnsi="宋体" w:eastAsia="宋体" w:cs="宋体"/>
                <w:b/>
                <w:bCs/>
                <w:caps w:val="0"/>
                <w:color w:val="000000" w:themeColor="text1"/>
                <w:kern w:val="2"/>
                <w:sz w:val="21"/>
                <w:szCs w:val="21"/>
                <w:highlight w:val="none"/>
                <w:vertAlign w:val="baseline"/>
                <w:lang w:bidi="ar"/>
                <w14:textFill>
                  <w14:solidFill>
                    <w14:schemeClr w14:val="tx1"/>
                  </w14:solidFill>
                </w14:textFill>
              </w:rPr>
            </w:pPr>
            <w:r>
              <w:rPr>
                <w:rFonts w:hint="eastAsia" w:ascii="宋体" w:hAnsi="宋体" w:eastAsia="宋体" w:cs="宋体"/>
                <w:b/>
                <w:bCs/>
                <w:caps w:val="0"/>
                <w:color w:val="000000" w:themeColor="text1"/>
                <w:kern w:val="2"/>
                <w:sz w:val="21"/>
                <w:szCs w:val="21"/>
                <w:highlight w:val="none"/>
                <w:vertAlign w:val="baseline"/>
                <w:lang w:val="en-US" w:eastAsia="zh-CN" w:bidi="ar"/>
                <w14:textFill>
                  <w14:solidFill>
                    <w14:schemeClr w14:val="tx1"/>
                  </w14:solidFill>
                </w14:textFill>
              </w:rPr>
              <w:t>金额（元）</w:t>
            </w:r>
          </w:p>
        </w:tc>
      </w:tr>
      <w:tr w14:paraId="10B36D20">
        <w:tblPrEx>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tblCellMar>
            <w:top w:w="0" w:type="dxa"/>
            <w:left w:w="108" w:type="dxa"/>
            <w:bottom w:w="0" w:type="dxa"/>
            <w:right w:w="108" w:type="dxa"/>
          </w:tblCellMar>
        </w:tblPrEx>
        <w:trPr>
          <w:trHeight w:val="370" w:hRule="atLeast"/>
        </w:trPr>
        <w:tc>
          <w:tcPr>
            <w:tcW w:w="827" w:type="pct"/>
            <w:tcBorders>
              <w:top w:val="single" w:color="auto" w:sz="4" w:space="0"/>
              <w:left w:val="single" w:color="auto" w:sz="4" w:space="0"/>
              <w:bottom w:val="single" w:color="auto" w:sz="4" w:space="0"/>
              <w:right w:val="single" w:color="auto" w:sz="4" w:space="0"/>
            </w:tcBorders>
            <w:shd w:val="clear" w:color="auto" w:fill="auto"/>
            <w:noWrap/>
            <w:vAlign w:val="top"/>
          </w:tcPr>
          <w:p w14:paraId="2DF12623">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both"/>
              <w:outlineLvl w:val="9"/>
              <w:rPr>
                <w:rFonts w:hint="eastAsia" w:ascii="宋体" w:hAnsi="宋体" w:eastAsia="宋体" w:cs="宋体"/>
                <w:caps w:val="0"/>
                <w:color w:val="000000" w:themeColor="text1"/>
                <w:kern w:val="2"/>
                <w:sz w:val="21"/>
                <w:szCs w:val="21"/>
                <w:highlight w:val="none"/>
                <w:vertAlign w:val="baseline"/>
                <w:lang w:bidi="ar"/>
                <w14:textFill>
                  <w14:solidFill>
                    <w14:schemeClr w14:val="tx1"/>
                  </w14:solidFill>
                </w14:textFill>
              </w:rPr>
            </w:pPr>
          </w:p>
        </w:tc>
        <w:tc>
          <w:tcPr>
            <w:tcW w:w="645" w:type="pct"/>
            <w:tcBorders>
              <w:top w:val="single" w:color="auto" w:sz="4" w:space="0"/>
              <w:left w:val="nil"/>
              <w:bottom w:val="single" w:color="auto" w:sz="4" w:space="0"/>
              <w:right w:val="single" w:color="auto" w:sz="4" w:space="0"/>
            </w:tcBorders>
            <w:shd w:val="clear" w:color="auto" w:fill="auto"/>
            <w:noWrap/>
            <w:vAlign w:val="top"/>
          </w:tcPr>
          <w:p w14:paraId="3F271198">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both"/>
              <w:outlineLvl w:val="9"/>
              <w:rPr>
                <w:rFonts w:hint="eastAsia" w:ascii="宋体" w:hAnsi="宋体" w:eastAsia="宋体" w:cs="宋体"/>
                <w:caps w:val="0"/>
                <w:color w:val="000000" w:themeColor="text1"/>
                <w:kern w:val="2"/>
                <w:sz w:val="21"/>
                <w:szCs w:val="21"/>
                <w:highlight w:val="none"/>
                <w:vertAlign w:val="baseline"/>
                <w:lang w:bidi="ar"/>
                <w14:textFill>
                  <w14:solidFill>
                    <w14:schemeClr w14:val="tx1"/>
                  </w14:solidFill>
                </w14:textFill>
              </w:rPr>
            </w:pPr>
          </w:p>
        </w:tc>
        <w:tc>
          <w:tcPr>
            <w:tcW w:w="1004" w:type="pct"/>
            <w:tcBorders>
              <w:top w:val="single" w:color="auto" w:sz="4" w:space="0"/>
              <w:left w:val="nil"/>
              <w:bottom w:val="single" w:color="auto" w:sz="4" w:space="0"/>
              <w:right w:val="single" w:color="auto" w:sz="4" w:space="0"/>
            </w:tcBorders>
            <w:shd w:val="clear" w:color="auto" w:fill="auto"/>
            <w:noWrap/>
            <w:vAlign w:val="top"/>
          </w:tcPr>
          <w:p w14:paraId="6B75F8E7">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both"/>
              <w:outlineLvl w:val="9"/>
              <w:rPr>
                <w:rFonts w:hint="eastAsia" w:ascii="宋体" w:hAnsi="宋体" w:eastAsia="宋体" w:cs="宋体"/>
                <w:caps w:val="0"/>
                <w:color w:val="000000" w:themeColor="text1"/>
                <w:kern w:val="2"/>
                <w:sz w:val="21"/>
                <w:szCs w:val="21"/>
                <w:highlight w:val="none"/>
                <w:vertAlign w:val="baseline"/>
                <w:lang w:bidi="ar"/>
                <w14:textFill>
                  <w14:solidFill>
                    <w14:schemeClr w14:val="tx1"/>
                  </w14:solidFill>
                </w14:textFill>
              </w:rPr>
            </w:pPr>
          </w:p>
        </w:tc>
        <w:tc>
          <w:tcPr>
            <w:tcW w:w="589" w:type="pct"/>
            <w:tcBorders>
              <w:top w:val="single" w:color="auto" w:sz="4" w:space="0"/>
              <w:left w:val="nil"/>
              <w:bottom w:val="single" w:color="auto" w:sz="4" w:space="0"/>
              <w:right w:val="single" w:color="auto" w:sz="4" w:space="0"/>
            </w:tcBorders>
            <w:shd w:val="clear" w:color="auto" w:fill="auto"/>
            <w:noWrap/>
            <w:vAlign w:val="top"/>
          </w:tcPr>
          <w:p w14:paraId="6DFBAAA2">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both"/>
              <w:outlineLvl w:val="9"/>
              <w:rPr>
                <w:rFonts w:hint="eastAsia" w:ascii="宋体" w:hAnsi="宋体" w:eastAsia="宋体" w:cs="宋体"/>
                <w:caps w:val="0"/>
                <w:color w:val="000000" w:themeColor="text1"/>
                <w:kern w:val="2"/>
                <w:sz w:val="21"/>
                <w:szCs w:val="21"/>
                <w:highlight w:val="none"/>
                <w:vertAlign w:val="baseline"/>
                <w:lang w:bidi="ar"/>
                <w14:textFill>
                  <w14:solidFill>
                    <w14:schemeClr w14:val="tx1"/>
                  </w14:solidFill>
                </w14:textFill>
              </w:rPr>
            </w:pPr>
          </w:p>
        </w:tc>
        <w:tc>
          <w:tcPr>
            <w:tcW w:w="1265" w:type="pct"/>
            <w:tcBorders>
              <w:top w:val="single" w:color="auto" w:sz="4" w:space="0"/>
              <w:left w:val="nil"/>
              <w:bottom w:val="single" w:color="auto" w:sz="4" w:space="0"/>
              <w:right w:val="single" w:color="auto" w:sz="4" w:space="0"/>
            </w:tcBorders>
            <w:shd w:val="clear" w:color="auto" w:fill="auto"/>
            <w:noWrap/>
            <w:vAlign w:val="top"/>
          </w:tcPr>
          <w:p w14:paraId="1A16AA45">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both"/>
              <w:outlineLvl w:val="9"/>
              <w:rPr>
                <w:rFonts w:hint="eastAsia" w:ascii="宋体" w:hAnsi="宋体" w:eastAsia="宋体" w:cs="宋体"/>
                <w:caps w:val="0"/>
                <w:color w:val="000000" w:themeColor="text1"/>
                <w:kern w:val="2"/>
                <w:sz w:val="21"/>
                <w:szCs w:val="21"/>
                <w:highlight w:val="none"/>
                <w:vertAlign w:val="baseline"/>
                <w:lang w:bidi="ar"/>
                <w14:textFill>
                  <w14:solidFill>
                    <w14:schemeClr w14:val="tx1"/>
                  </w14:solidFill>
                </w14:textFill>
              </w:rPr>
            </w:pPr>
          </w:p>
        </w:tc>
        <w:tc>
          <w:tcPr>
            <w:tcW w:w="666" w:type="pct"/>
            <w:tcBorders>
              <w:top w:val="single" w:color="auto" w:sz="4" w:space="0"/>
              <w:left w:val="nil"/>
              <w:bottom w:val="single" w:color="auto" w:sz="4" w:space="0"/>
              <w:right w:val="single" w:color="auto" w:sz="4" w:space="0"/>
            </w:tcBorders>
            <w:shd w:val="clear" w:color="auto" w:fill="auto"/>
            <w:noWrap/>
            <w:vAlign w:val="top"/>
          </w:tcPr>
          <w:p w14:paraId="761F5343">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both"/>
              <w:outlineLvl w:val="9"/>
              <w:rPr>
                <w:rFonts w:hint="eastAsia" w:ascii="宋体" w:hAnsi="宋体" w:eastAsia="宋体" w:cs="宋体"/>
                <w:caps w:val="0"/>
                <w:color w:val="000000" w:themeColor="text1"/>
                <w:kern w:val="2"/>
                <w:sz w:val="21"/>
                <w:szCs w:val="21"/>
                <w:highlight w:val="none"/>
                <w:vertAlign w:val="baseline"/>
                <w:lang w:bidi="ar"/>
                <w14:textFill>
                  <w14:solidFill>
                    <w14:schemeClr w14:val="tx1"/>
                  </w14:solidFill>
                </w14:textFill>
              </w:rPr>
            </w:pPr>
          </w:p>
        </w:tc>
      </w:tr>
      <w:tr w14:paraId="0D7FC0EE">
        <w:tblPrEx>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tblCellMar>
            <w:top w:w="0" w:type="dxa"/>
            <w:left w:w="108" w:type="dxa"/>
            <w:bottom w:w="0" w:type="dxa"/>
            <w:right w:w="108" w:type="dxa"/>
          </w:tblCellMar>
        </w:tblPrEx>
        <w:trPr>
          <w:trHeight w:val="370" w:hRule="atLeast"/>
        </w:trPr>
        <w:tc>
          <w:tcPr>
            <w:tcW w:w="827" w:type="pct"/>
            <w:tcBorders>
              <w:top w:val="single" w:color="auto" w:sz="4" w:space="0"/>
              <w:left w:val="single" w:color="auto" w:sz="4" w:space="0"/>
              <w:bottom w:val="single" w:color="auto" w:sz="4" w:space="0"/>
              <w:right w:val="single" w:color="auto" w:sz="4" w:space="0"/>
            </w:tcBorders>
            <w:shd w:val="clear" w:color="auto" w:fill="auto"/>
            <w:noWrap/>
            <w:vAlign w:val="top"/>
          </w:tcPr>
          <w:p w14:paraId="2C78A164">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both"/>
              <w:outlineLvl w:val="9"/>
              <w:rPr>
                <w:rFonts w:hint="eastAsia" w:ascii="宋体" w:hAnsi="宋体" w:eastAsia="宋体" w:cs="宋体"/>
                <w:caps w:val="0"/>
                <w:color w:val="000000" w:themeColor="text1"/>
                <w:kern w:val="2"/>
                <w:sz w:val="21"/>
                <w:szCs w:val="21"/>
                <w:highlight w:val="none"/>
                <w:vertAlign w:val="baseline"/>
                <w:lang w:bidi="ar"/>
                <w14:textFill>
                  <w14:solidFill>
                    <w14:schemeClr w14:val="tx1"/>
                  </w14:solidFill>
                </w14:textFill>
              </w:rPr>
            </w:pPr>
          </w:p>
        </w:tc>
        <w:tc>
          <w:tcPr>
            <w:tcW w:w="645" w:type="pct"/>
            <w:tcBorders>
              <w:top w:val="single" w:color="auto" w:sz="4" w:space="0"/>
              <w:left w:val="nil"/>
              <w:bottom w:val="single" w:color="auto" w:sz="4" w:space="0"/>
              <w:right w:val="single" w:color="auto" w:sz="4" w:space="0"/>
            </w:tcBorders>
            <w:shd w:val="clear" w:color="auto" w:fill="auto"/>
            <w:noWrap/>
            <w:vAlign w:val="top"/>
          </w:tcPr>
          <w:p w14:paraId="3C904B6D">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both"/>
              <w:outlineLvl w:val="9"/>
              <w:rPr>
                <w:rFonts w:hint="eastAsia" w:ascii="宋体" w:hAnsi="宋体" w:eastAsia="宋体" w:cs="宋体"/>
                <w:caps w:val="0"/>
                <w:color w:val="000000" w:themeColor="text1"/>
                <w:kern w:val="2"/>
                <w:sz w:val="21"/>
                <w:szCs w:val="21"/>
                <w:highlight w:val="none"/>
                <w:vertAlign w:val="baseline"/>
                <w:lang w:bidi="ar"/>
                <w14:textFill>
                  <w14:solidFill>
                    <w14:schemeClr w14:val="tx1"/>
                  </w14:solidFill>
                </w14:textFill>
              </w:rPr>
            </w:pPr>
          </w:p>
        </w:tc>
        <w:tc>
          <w:tcPr>
            <w:tcW w:w="1004" w:type="pct"/>
            <w:tcBorders>
              <w:top w:val="single" w:color="auto" w:sz="4" w:space="0"/>
              <w:left w:val="nil"/>
              <w:bottom w:val="single" w:color="auto" w:sz="4" w:space="0"/>
              <w:right w:val="single" w:color="auto" w:sz="4" w:space="0"/>
            </w:tcBorders>
            <w:shd w:val="clear" w:color="auto" w:fill="auto"/>
            <w:noWrap/>
            <w:vAlign w:val="top"/>
          </w:tcPr>
          <w:p w14:paraId="2707BD55">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both"/>
              <w:outlineLvl w:val="9"/>
              <w:rPr>
                <w:rFonts w:hint="eastAsia" w:ascii="宋体" w:hAnsi="宋体" w:eastAsia="宋体" w:cs="宋体"/>
                <w:caps w:val="0"/>
                <w:color w:val="000000" w:themeColor="text1"/>
                <w:kern w:val="2"/>
                <w:sz w:val="21"/>
                <w:szCs w:val="21"/>
                <w:highlight w:val="none"/>
                <w:vertAlign w:val="baseline"/>
                <w:lang w:bidi="ar"/>
                <w14:textFill>
                  <w14:solidFill>
                    <w14:schemeClr w14:val="tx1"/>
                  </w14:solidFill>
                </w14:textFill>
              </w:rPr>
            </w:pPr>
          </w:p>
        </w:tc>
        <w:tc>
          <w:tcPr>
            <w:tcW w:w="589" w:type="pct"/>
            <w:tcBorders>
              <w:top w:val="single" w:color="auto" w:sz="4" w:space="0"/>
              <w:left w:val="nil"/>
              <w:bottom w:val="single" w:color="auto" w:sz="4" w:space="0"/>
              <w:right w:val="single" w:color="auto" w:sz="4" w:space="0"/>
            </w:tcBorders>
            <w:shd w:val="clear" w:color="auto" w:fill="auto"/>
            <w:noWrap/>
            <w:vAlign w:val="top"/>
          </w:tcPr>
          <w:p w14:paraId="36FBC56B">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both"/>
              <w:outlineLvl w:val="9"/>
              <w:rPr>
                <w:rFonts w:hint="eastAsia" w:ascii="宋体" w:hAnsi="宋体" w:eastAsia="宋体" w:cs="宋体"/>
                <w:caps w:val="0"/>
                <w:color w:val="000000" w:themeColor="text1"/>
                <w:kern w:val="2"/>
                <w:sz w:val="21"/>
                <w:szCs w:val="21"/>
                <w:highlight w:val="none"/>
                <w:vertAlign w:val="baseline"/>
                <w:lang w:bidi="ar"/>
                <w14:textFill>
                  <w14:solidFill>
                    <w14:schemeClr w14:val="tx1"/>
                  </w14:solidFill>
                </w14:textFill>
              </w:rPr>
            </w:pPr>
          </w:p>
        </w:tc>
        <w:tc>
          <w:tcPr>
            <w:tcW w:w="1265" w:type="pct"/>
            <w:tcBorders>
              <w:top w:val="single" w:color="auto" w:sz="4" w:space="0"/>
              <w:left w:val="nil"/>
              <w:bottom w:val="single" w:color="auto" w:sz="4" w:space="0"/>
              <w:right w:val="single" w:color="auto" w:sz="4" w:space="0"/>
            </w:tcBorders>
            <w:shd w:val="clear" w:color="auto" w:fill="auto"/>
            <w:noWrap/>
            <w:vAlign w:val="top"/>
          </w:tcPr>
          <w:p w14:paraId="557E8B2C">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both"/>
              <w:outlineLvl w:val="9"/>
              <w:rPr>
                <w:rFonts w:hint="eastAsia" w:ascii="宋体" w:hAnsi="宋体" w:eastAsia="宋体" w:cs="宋体"/>
                <w:caps w:val="0"/>
                <w:color w:val="000000" w:themeColor="text1"/>
                <w:kern w:val="2"/>
                <w:sz w:val="21"/>
                <w:szCs w:val="21"/>
                <w:highlight w:val="none"/>
                <w:vertAlign w:val="baseline"/>
                <w:lang w:bidi="ar"/>
                <w14:textFill>
                  <w14:solidFill>
                    <w14:schemeClr w14:val="tx1"/>
                  </w14:solidFill>
                </w14:textFill>
              </w:rPr>
            </w:pPr>
          </w:p>
        </w:tc>
        <w:tc>
          <w:tcPr>
            <w:tcW w:w="666" w:type="pct"/>
            <w:tcBorders>
              <w:top w:val="single" w:color="auto" w:sz="4" w:space="0"/>
              <w:left w:val="nil"/>
              <w:bottom w:val="single" w:color="auto" w:sz="4" w:space="0"/>
              <w:right w:val="single" w:color="auto" w:sz="4" w:space="0"/>
            </w:tcBorders>
            <w:shd w:val="clear" w:color="auto" w:fill="auto"/>
            <w:noWrap/>
            <w:vAlign w:val="top"/>
          </w:tcPr>
          <w:p w14:paraId="275CB043">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both"/>
              <w:outlineLvl w:val="9"/>
              <w:rPr>
                <w:rFonts w:hint="eastAsia" w:ascii="宋体" w:hAnsi="宋体" w:eastAsia="宋体" w:cs="宋体"/>
                <w:caps w:val="0"/>
                <w:color w:val="000000" w:themeColor="text1"/>
                <w:kern w:val="2"/>
                <w:sz w:val="21"/>
                <w:szCs w:val="21"/>
                <w:highlight w:val="none"/>
                <w:vertAlign w:val="baseline"/>
                <w:lang w:bidi="ar"/>
                <w14:textFill>
                  <w14:solidFill>
                    <w14:schemeClr w14:val="tx1"/>
                  </w14:solidFill>
                </w14:textFill>
              </w:rPr>
            </w:pPr>
          </w:p>
        </w:tc>
      </w:tr>
      <w:tr w14:paraId="6B67C411">
        <w:tblPrEx>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tblCellMar>
            <w:top w:w="0" w:type="dxa"/>
            <w:left w:w="108" w:type="dxa"/>
            <w:bottom w:w="0" w:type="dxa"/>
            <w:right w:w="108" w:type="dxa"/>
          </w:tblCellMar>
        </w:tblPrEx>
        <w:trPr>
          <w:trHeight w:val="370" w:hRule="atLeast"/>
        </w:trPr>
        <w:tc>
          <w:tcPr>
            <w:tcW w:w="827" w:type="pct"/>
            <w:tcBorders>
              <w:top w:val="single" w:color="auto" w:sz="4" w:space="0"/>
              <w:left w:val="single" w:color="auto" w:sz="4" w:space="0"/>
              <w:bottom w:val="single" w:color="auto" w:sz="4" w:space="0"/>
              <w:right w:val="single" w:color="auto" w:sz="4" w:space="0"/>
            </w:tcBorders>
            <w:shd w:val="clear" w:color="auto" w:fill="auto"/>
            <w:noWrap/>
            <w:vAlign w:val="top"/>
          </w:tcPr>
          <w:p w14:paraId="2935B293">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both"/>
              <w:outlineLvl w:val="9"/>
              <w:rPr>
                <w:rFonts w:hint="eastAsia" w:ascii="宋体" w:hAnsi="宋体" w:eastAsia="宋体" w:cs="宋体"/>
                <w:caps w:val="0"/>
                <w:color w:val="000000" w:themeColor="text1"/>
                <w:kern w:val="2"/>
                <w:sz w:val="21"/>
                <w:szCs w:val="21"/>
                <w:highlight w:val="none"/>
                <w:vertAlign w:val="baseline"/>
                <w:lang w:bidi="ar"/>
                <w14:textFill>
                  <w14:solidFill>
                    <w14:schemeClr w14:val="tx1"/>
                  </w14:solidFill>
                </w14:textFill>
              </w:rPr>
            </w:pPr>
          </w:p>
        </w:tc>
        <w:tc>
          <w:tcPr>
            <w:tcW w:w="645" w:type="pct"/>
            <w:tcBorders>
              <w:top w:val="single" w:color="auto" w:sz="4" w:space="0"/>
              <w:left w:val="nil"/>
              <w:bottom w:val="single" w:color="auto" w:sz="4" w:space="0"/>
              <w:right w:val="single" w:color="auto" w:sz="4" w:space="0"/>
            </w:tcBorders>
            <w:shd w:val="clear" w:color="auto" w:fill="auto"/>
            <w:noWrap/>
            <w:vAlign w:val="top"/>
          </w:tcPr>
          <w:p w14:paraId="353CE9D3">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both"/>
              <w:outlineLvl w:val="9"/>
              <w:rPr>
                <w:rFonts w:hint="eastAsia" w:ascii="宋体" w:hAnsi="宋体" w:eastAsia="宋体" w:cs="宋体"/>
                <w:caps w:val="0"/>
                <w:color w:val="000000" w:themeColor="text1"/>
                <w:kern w:val="2"/>
                <w:sz w:val="21"/>
                <w:szCs w:val="21"/>
                <w:highlight w:val="none"/>
                <w:vertAlign w:val="baseline"/>
                <w:lang w:bidi="ar"/>
                <w14:textFill>
                  <w14:solidFill>
                    <w14:schemeClr w14:val="tx1"/>
                  </w14:solidFill>
                </w14:textFill>
              </w:rPr>
            </w:pPr>
          </w:p>
        </w:tc>
        <w:tc>
          <w:tcPr>
            <w:tcW w:w="1004" w:type="pct"/>
            <w:tcBorders>
              <w:top w:val="single" w:color="auto" w:sz="4" w:space="0"/>
              <w:left w:val="nil"/>
              <w:bottom w:val="single" w:color="auto" w:sz="4" w:space="0"/>
              <w:right w:val="single" w:color="auto" w:sz="4" w:space="0"/>
            </w:tcBorders>
            <w:shd w:val="clear" w:color="auto" w:fill="auto"/>
            <w:noWrap/>
            <w:vAlign w:val="top"/>
          </w:tcPr>
          <w:p w14:paraId="6491A067">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both"/>
              <w:outlineLvl w:val="9"/>
              <w:rPr>
                <w:rFonts w:hint="eastAsia" w:ascii="宋体" w:hAnsi="宋体" w:eastAsia="宋体" w:cs="宋体"/>
                <w:caps w:val="0"/>
                <w:color w:val="000000" w:themeColor="text1"/>
                <w:kern w:val="2"/>
                <w:sz w:val="21"/>
                <w:szCs w:val="21"/>
                <w:highlight w:val="none"/>
                <w:vertAlign w:val="baseline"/>
                <w:lang w:bidi="ar"/>
                <w14:textFill>
                  <w14:solidFill>
                    <w14:schemeClr w14:val="tx1"/>
                  </w14:solidFill>
                </w14:textFill>
              </w:rPr>
            </w:pPr>
          </w:p>
        </w:tc>
        <w:tc>
          <w:tcPr>
            <w:tcW w:w="589" w:type="pct"/>
            <w:tcBorders>
              <w:top w:val="single" w:color="auto" w:sz="4" w:space="0"/>
              <w:left w:val="nil"/>
              <w:bottom w:val="single" w:color="auto" w:sz="4" w:space="0"/>
              <w:right w:val="single" w:color="auto" w:sz="4" w:space="0"/>
            </w:tcBorders>
            <w:shd w:val="clear" w:color="auto" w:fill="auto"/>
            <w:noWrap/>
            <w:vAlign w:val="top"/>
          </w:tcPr>
          <w:p w14:paraId="48368659">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both"/>
              <w:outlineLvl w:val="9"/>
              <w:rPr>
                <w:rFonts w:hint="eastAsia" w:ascii="宋体" w:hAnsi="宋体" w:eastAsia="宋体" w:cs="宋体"/>
                <w:caps w:val="0"/>
                <w:color w:val="000000" w:themeColor="text1"/>
                <w:kern w:val="2"/>
                <w:sz w:val="21"/>
                <w:szCs w:val="21"/>
                <w:highlight w:val="none"/>
                <w:vertAlign w:val="baseline"/>
                <w:lang w:bidi="ar"/>
                <w14:textFill>
                  <w14:solidFill>
                    <w14:schemeClr w14:val="tx1"/>
                  </w14:solidFill>
                </w14:textFill>
              </w:rPr>
            </w:pPr>
          </w:p>
        </w:tc>
        <w:tc>
          <w:tcPr>
            <w:tcW w:w="1265" w:type="pct"/>
            <w:tcBorders>
              <w:top w:val="single" w:color="auto" w:sz="4" w:space="0"/>
              <w:left w:val="nil"/>
              <w:bottom w:val="single" w:color="auto" w:sz="4" w:space="0"/>
              <w:right w:val="single" w:color="auto" w:sz="4" w:space="0"/>
            </w:tcBorders>
            <w:shd w:val="clear" w:color="auto" w:fill="auto"/>
            <w:noWrap/>
            <w:vAlign w:val="top"/>
          </w:tcPr>
          <w:p w14:paraId="779464F9">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both"/>
              <w:outlineLvl w:val="9"/>
              <w:rPr>
                <w:rFonts w:hint="eastAsia" w:ascii="宋体" w:hAnsi="宋体" w:eastAsia="宋体" w:cs="宋体"/>
                <w:caps w:val="0"/>
                <w:color w:val="000000" w:themeColor="text1"/>
                <w:kern w:val="2"/>
                <w:sz w:val="21"/>
                <w:szCs w:val="21"/>
                <w:highlight w:val="none"/>
                <w:vertAlign w:val="baseline"/>
                <w:lang w:bidi="ar"/>
                <w14:textFill>
                  <w14:solidFill>
                    <w14:schemeClr w14:val="tx1"/>
                  </w14:solidFill>
                </w14:textFill>
              </w:rPr>
            </w:pPr>
          </w:p>
        </w:tc>
        <w:tc>
          <w:tcPr>
            <w:tcW w:w="666" w:type="pct"/>
            <w:tcBorders>
              <w:top w:val="single" w:color="auto" w:sz="4" w:space="0"/>
              <w:left w:val="nil"/>
              <w:bottom w:val="single" w:color="auto" w:sz="4" w:space="0"/>
              <w:right w:val="single" w:color="auto" w:sz="4" w:space="0"/>
            </w:tcBorders>
            <w:shd w:val="clear" w:color="auto" w:fill="auto"/>
            <w:noWrap/>
            <w:vAlign w:val="top"/>
          </w:tcPr>
          <w:p w14:paraId="6171EC05">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both"/>
              <w:outlineLvl w:val="9"/>
              <w:rPr>
                <w:rFonts w:hint="eastAsia" w:ascii="宋体" w:hAnsi="宋体" w:eastAsia="宋体" w:cs="宋体"/>
                <w:caps w:val="0"/>
                <w:color w:val="000000" w:themeColor="text1"/>
                <w:kern w:val="2"/>
                <w:sz w:val="21"/>
                <w:szCs w:val="21"/>
                <w:highlight w:val="none"/>
                <w:vertAlign w:val="baseline"/>
                <w:lang w:bidi="ar"/>
                <w14:textFill>
                  <w14:solidFill>
                    <w14:schemeClr w14:val="tx1"/>
                  </w14:solidFill>
                </w14:textFill>
              </w:rPr>
            </w:pPr>
          </w:p>
        </w:tc>
      </w:tr>
      <w:tr w14:paraId="6610E9EE">
        <w:tblPrEx>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tblCellMar>
            <w:top w:w="0" w:type="dxa"/>
            <w:left w:w="108" w:type="dxa"/>
            <w:bottom w:w="0" w:type="dxa"/>
            <w:right w:w="108" w:type="dxa"/>
          </w:tblCellMar>
        </w:tblPrEx>
        <w:trPr>
          <w:trHeight w:val="384" w:hRule="atLeast"/>
        </w:trPr>
        <w:tc>
          <w:tcPr>
            <w:tcW w:w="827" w:type="pct"/>
            <w:tcBorders>
              <w:top w:val="single" w:color="auto" w:sz="4" w:space="0"/>
              <w:left w:val="single" w:color="auto" w:sz="4" w:space="0"/>
              <w:bottom w:val="single" w:color="auto" w:sz="4" w:space="0"/>
              <w:right w:val="single" w:color="auto" w:sz="4" w:space="0"/>
            </w:tcBorders>
            <w:shd w:val="clear" w:color="auto" w:fill="auto"/>
            <w:noWrap/>
            <w:vAlign w:val="top"/>
          </w:tcPr>
          <w:p w14:paraId="12ABA801">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center"/>
              <w:outlineLvl w:val="9"/>
              <w:rPr>
                <w:rFonts w:hint="eastAsia" w:ascii="宋体" w:hAnsi="宋体" w:eastAsia="宋体" w:cs="宋体"/>
                <w:b/>
                <w:bCs/>
                <w:caps w:val="0"/>
                <w:color w:val="000000" w:themeColor="text1"/>
                <w:kern w:val="2"/>
                <w:sz w:val="21"/>
                <w:szCs w:val="21"/>
                <w:highlight w:val="none"/>
                <w:vertAlign w:val="baseline"/>
                <w:lang w:bidi="ar"/>
                <w14:textFill>
                  <w14:solidFill>
                    <w14:schemeClr w14:val="tx1"/>
                  </w14:solidFill>
                </w14:textFill>
              </w:rPr>
            </w:pPr>
            <w:r>
              <w:rPr>
                <w:rFonts w:hint="eastAsia" w:ascii="宋体" w:hAnsi="宋体" w:eastAsia="宋体" w:cs="宋体"/>
                <w:b/>
                <w:bCs/>
                <w:caps w:val="0"/>
                <w:color w:val="000000" w:themeColor="text1"/>
                <w:kern w:val="2"/>
                <w:sz w:val="21"/>
                <w:szCs w:val="21"/>
                <w:highlight w:val="none"/>
                <w:vertAlign w:val="baseline"/>
                <w:lang w:val="en-US" w:eastAsia="zh-CN" w:bidi="ar"/>
                <w14:textFill>
                  <w14:solidFill>
                    <w14:schemeClr w14:val="tx1"/>
                  </w14:solidFill>
                </w14:textFill>
              </w:rPr>
              <w:t>合计</w:t>
            </w:r>
          </w:p>
        </w:tc>
        <w:tc>
          <w:tcPr>
            <w:tcW w:w="645" w:type="pct"/>
            <w:tcBorders>
              <w:top w:val="single" w:color="auto" w:sz="4" w:space="0"/>
              <w:left w:val="nil"/>
              <w:bottom w:val="single" w:color="auto" w:sz="4" w:space="0"/>
              <w:right w:val="single" w:color="auto" w:sz="4" w:space="0"/>
            </w:tcBorders>
            <w:shd w:val="clear" w:color="auto" w:fill="auto"/>
            <w:noWrap/>
            <w:vAlign w:val="top"/>
          </w:tcPr>
          <w:p w14:paraId="786BA6DA">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center"/>
              <w:outlineLvl w:val="9"/>
              <w:rPr>
                <w:rFonts w:hint="eastAsia" w:ascii="宋体" w:hAnsi="宋体" w:eastAsia="宋体" w:cs="宋体"/>
                <w:b/>
                <w:bCs/>
                <w:caps w:val="0"/>
                <w:color w:val="000000" w:themeColor="text1"/>
                <w:kern w:val="2"/>
                <w:sz w:val="21"/>
                <w:szCs w:val="21"/>
                <w:highlight w:val="none"/>
                <w:vertAlign w:val="baseline"/>
                <w:lang w:bidi="ar"/>
                <w14:textFill>
                  <w14:solidFill>
                    <w14:schemeClr w14:val="tx1"/>
                  </w14:solidFill>
                </w14:textFill>
              </w:rPr>
            </w:pPr>
          </w:p>
        </w:tc>
        <w:tc>
          <w:tcPr>
            <w:tcW w:w="1004" w:type="pct"/>
            <w:tcBorders>
              <w:top w:val="single" w:color="auto" w:sz="4" w:space="0"/>
              <w:left w:val="nil"/>
              <w:bottom w:val="single" w:color="auto" w:sz="4" w:space="0"/>
              <w:right w:val="single" w:color="auto" w:sz="4" w:space="0"/>
            </w:tcBorders>
            <w:shd w:val="clear" w:color="auto" w:fill="auto"/>
            <w:noWrap/>
            <w:vAlign w:val="top"/>
          </w:tcPr>
          <w:p w14:paraId="39FD904D">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center"/>
              <w:outlineLvl w:val="9"/>
              <w:rPr>
                <w:rFonts w:hint="eastAsia" w:ascii="宋体" w:hAnsi="宋体" w:eastAsia="宋体" w:cs="宋体"/>
                <w:b/>
                <w:bCs/>
                <w:caps w:val="0"/>
                <w:color w:val="000000" w:themeColor="text1"/>
                <w:kern w:val="2"/>
                <w:sz w:val="21"/>
                <w:szCs w:val="21"/>
                <w:highlight w:val="none"/>
                <w:vertAlign w:val="baseline"/>
                <w:lang w:bidi="ar"/>
                <w14:textFill>
                  <w14:solidFill>
                    <w14:schemeClr w14:val="tx1"/>
                  </w14:solidFill>
                </w14:textFill>
              </w:rPr>
            </w:pPr>
          </w:p>
        </w:tc>
        <w:tc>
          <w:tcPr>
            <w:tcW w:w="589" w:type="pct"/>
            <w:tcBorders>
              <w:top w:val="single" w:color="auto" w:sz="4" w:space="0"/>
              <w:left w:val="nil"/>
              <w:bottom w:val="single" w:color="auto" w:sz="4" w:space="0"/>
              <w:right w:val="single" w:color="auto" w:sz="4" w:space="0"/>
            </w:tcBorders>
            <w:shd w:val="clear" w:color="auto" w:fill="auto"/>
            <w:noWrap/>
            <w:vAlign w:val="top"/>
          </w:tcPr>
          <w:p w14:paraId="3DE991E1">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center"/>
              <w:outlineLvl w:val="9"/>
              <w:rPr>
                <w:rFonts w:hint="eastAsia" w:ascii="宋体" w:hAnsi="宋体" w:eastAsia="宋体" w:cs="宋体"/>
                <w:b/>
                <w:bCs/>
                <w:caps w:val="0"/>
                <w:color w:val="000000" w:themeColor="text1"/>
                <w:kern w:val="2"/>
                <w:sz w:val="21"/>
                <w:szCs w:val="21"/>
                <w:highlight w:val="none"/>
                <w:vertAlign w:val="baseline"/>
                <w:lang w:bidi="ar"/>
                <w14:textFill>
                  <w14:solidFill>
                    <w14:schemeClr w14:val="tx1"/>
                  </w14:solidFill>
                </w14:textFill>
              </w:rPr>
            </w:pPr>
            <w:r>
              <w:rPr>
                <w:rFonts w:hint="eastAsia" w:ascii="宋体" w:hAnsi="宋体" w:eastAsia="宋体" w:cs="宋体"/>
                <w:b/>
                <w:bCs/>
                <w:caps w:val="0"/>
                <w:color w:val="000000" w:themeColor="text1"/>
                <w:kern w:val="2"/>
                <w:sz w:val="21"/>
                <w:szCs w:val="21"/>
                <w:highlight w:val="none"/>
                <w:vertAlign w:val="baseline"/>
                <w:lang w:val="en-US" w:eastAsia="zh-CN" w:bidi="ar"/>
                <w14:textFill>
                  <w14:solidFill>
                    <w14:schemeClr w14:val="tx1"/>
                  </w14:solidFill>
                </w14:textFill>
              </w:rPr>
              <w:t>元</w:t>
            </w:r>
          </w:p>
        </w:tc>
        <w:tc>
          <w:tcPr>
            <w:tcW w:w="1265" w:type="pct"/>
            <w:tcBorders>
              <w:top w:val="single" w:color="auto" w:sz="4" w:space="0"/>
              <w:left w:val="nil"/>
              <w:bottom w:val="single" w:color="auto" w:sz="4" w:space="0"/>
              <w:right w:val="single" w:color="auto" w:sz="4" w:space="0"/>
            </w:tcBorders>
            <w:shd w:val="clear" w:color="auto" w:fill="auto"/>
            <w:noWrap/>
            <w:vAlign w:val="top"/>
          </w:tcPr>
          <w:p w14:paraId="20ABF9F0">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center"/>
              <w:outlineLvl w:val="9"/>
              <w:rPr>
                <w:rFonts w:hint="eastAsia" w:ascii="宋体" w:hAnsi="宋体" w:eastAsia="宋体" w:cs="宋体"/>
                <w:b/>
                <w:bCs/>
                <w:caps w:val="0"/>
                <w:color w:val="000000" w:themeColor="text1"/>
                <w:kern w:val="2"/>
                <w:sz w:val="21"/>
                <w:szCs w:val="21"/>
                <w:highlight w:val="none"/>
                <w:vertAlign w:val="baseline"/>
                <w:lang w:bidi="ar"/>
                <w14:textFill>
                  <w14:solidFill>
                    <w14:schemeClr w14:val="tx1"/>
                  </w14:solidFill>
                </w14:textFill>
              </w:rPr>
            </w:pPr>
          </w:p>
        </w:tc>
        <w:tc>
          <w:tcPr>
            <w:tcW w:w="666" w:type="pct"/>
            <w:tcBorders>
              <w:top w:val="single" w:color="auto" w:sz="4" w:space="0"/>
              <w:left w:val="nil"/>
              <w:bottom w:val="single" w:color="auto" w:sz="4" w:space="0"/>
              <w:right w:val="single" w:color="auto" w:sz="4" w:space="0"/>
            </w:tcBorders>
            <w:shd w:val="clear" w:color="auto" w:fill="auto"/>
            <w:noWrap/>
            <w:vAlign w:val="top"/>
          </w:tcPr>
          <w:p w14:paraId="670F1317">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center"/>
              <w:outlineLvl w:val="9"/>
              <w:rPr>
                <w:rFonts w:hint="eastAsia" w:ascii="宋体" w:hAnsi="宋体" w:eastAsia="宋体" w:cs="宋体"/>
                <w:b/>
                <w:bCs/>
                <w:caps w:val="0"/>
                <w:color w:val="000000" w:themeColor="text1"/>
                <w:kern w:val="2"/>
                <w:sz w:val="21"/>
                <w:szCs w:val="21"/>
                <w:highlight w:val="none"/>
                <w:vertAlign w:val="baseline"/>
                <w:lang w:bidi="ar"/>
                <w14:textFill>
                  <w14:solidFill>
                    <w14:schemeClr w14:val="tx1"/>
                  </w14:solidFill>
                </w14:textFill>
              </w:rPr>
            </w:pPr>
            <w:r>
              <w:rPr>
                <w:rFonts w:hint="eastAsia" w:ascii="宋体" w:hAnsi="宋体" w:eastAsia="宋体" w:cs="宋体"/>
                <w:b/>
                <w:bCs/>
                <w:caps w:val="0"/>
                <w:color w:val="000000" w:themeColor="text1"/>
                <w:kern w:val="2"/>
                <w:sz w:val="21"/>
                <w:szCs w:val="21"/>
                <w:highlight w:val="none"/>
                <w:vertAlign w:val="baseline"/>
                <w:lang w:val="en-US" w:eastAsia="zh-CN" w:bidi="ar"/>
                <w14:textFill>
                  <w14:solidFill>
                    <w14:schemeClr w14:val="tx1"/>
                  </w14:solidFill>
                </w14:textFill>
              </w:rPr>
              <w:t>元</w:t>
            </w:r>
          </w:p>
        </w:tc>
      </w:tr>
    </w:tbl>
    <w:p w14:paraId="3B37DFC1">
      <w:pPr>
        <w:keepNext w:val="0"/>
        <w:keepLines w:val="0"/>
        <w:pageBreakBefore w:val="0"/>
        <w:widowControl w:val="0"/>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both"/>
        <w:outlineLvl w:val="9"/>
        <w:rPr>
          <w:rFonts w:hint="eastAsia" w:ascii="宋体" w:hAnsi="宋体" w:eastAsia="宋体" w:cs="宋体"/>
          <w:caps w:val="0"/>
          <w:color w:val="000000" w:themeColor="text1"/>
          <w:kern w:val="2"/>
          <w:sz w:val="21"/>
          <w:szCs w:val="21"/>
          <w:highlight w:val="none"/>
          <w:vertAlign w:val="baseline"/>
          <w:lang w:bidi="ar"/>
          <w14:textFill>
            <w14:solidFill>
              <w14:schemeClr w14:val="tx1"/>
            </w14:solidFill>
          </w14:textFill>
        </w:rPr>
      </w:pPr>
    </w:p>
    <w:p w14:paraId="7D5D9629">
      <w:pPr>
        <w:pStyle w:val="35"/>
        <w:overflowPunct/>
        <w:bidi w:val="0"/>
        <w:jc w:val="left"/>
        <w:outlineLvl w:val="9"/>
        <w:rPr>
          <w:color w:val="000000" w:themeColor="text1"/>
          <w:sz w:val="21"/>
          <w:szCs w:val="21"/>
          <w:highlight w:val="none"/>
          <w14:textFill>
            <w14:solidFill>
              <w14:schemeClr w14:val="tx1"/>
            </w14:solidFill>
          </w14:textFill>
        </w:rPr>
        <w:sectPr>
          <w:pgSz w:w="11906" w:h="16838"/>
          <w:pgMar w:top="1134" w:right="1134" w:bottom="1134" w:left="1134" w:header="851" w:footer="851" w:gutter="0"/>
          <w:pgBorders>
            <w:top w:val="none" w:sz="0" w:space="0"/>
            <w:left w:val="none" w:sz="0" w:space="0"/>
            <w:bottom w:val="none" w:sz="0" w:space="0"/>
            <w:right w:val="none" w:sz="0" w:space="0"/>
          </w:pgBorders>
          <w:pgNumType w:fmt="decimal"/>
          <w:cols w:space="720" w:num="1"/>
          <w:docGrid w:linePitch="312" w:charSpace="0"/>
        </w:sectPr>
      </w:pPr>
      <w:bookmarkStart w:id="39" w:name="_Toc11273"/>
      <w:r>
        <w:rPr>
          <w:rFonts w:hint="eastAsia" w:ascii="宋体" w:hAnsi="宋体" w:eastAsia="宋体" w:cs="宋体"/>
          <w:caps w:val="0"/>
          <w:color w:val="000000" w:themeColor="text1"/>
          <w:kern w:val="2"/>
          <w:sz w:val="21"/>
          <w:szCs w:val="21"/>
          <w:highlight w:val="none"/>
          <w:vertAlign w:val="baseline"/>
          <w:lang w:bidi="ar"/>
          <w14:textFill>
            <w14:solidFill>
              <w14:schemeClr w14:val="tx1"/>
            </w14:solidFill>
          </w14:textFill>
        </w:rPr>
        <w:t>投标单位的投标报价明显低于其他通过符合性审查投标人的报价，有可能影响产品质量或者不能诚信履约的，须提供成本构成表及相应证明材料，内容包括但不限于生产成本（如原材成本、设备损耗成本等），管理成本（人员工资、福利、社保等），交通成本（汽油、过路费等），税费等，并列明计算过程。投标人不能证明其报价合理性的，未提供或内容不全面无法支持成本构成的，由评标委员会认定该投标人是否以低于成本价竞标，如果是，其报价分不得分。超过采购预算的投标报价将否决其投标。</w:t>
      </w:r>
      <w:bookmarkEnd w:id="39"/>
    </w:p>
    <w:p w14:paraId="64C7E8D5">
      <w:pPr>
        <w:overflowPunct/>
        <w:bidi w:val="0"/>
        <w:outlineLvl w:val="9"/>
        <w:rPr>
          <w:rFonts w:ascii="宋体" w:hAnsi="宋体"/>
          <w:color w:val="000000" w:themeColor="text1"/>
          <w:highlight w:val="none"/>
          <w14:textFill>
            <w14:solidFill>
              <w14:schemeClr w14:val="tx1"/>
            </w14:solidFill>
          </w14:textFill>
        </w:rPr>
      </w:pPr>
      <w:r>
        <w:rPr>
          <w:rFonts w:hint="eastAsia" w:ascii="宋体" w:hAnsi="宋体"/>
          <w:color w:val="000000" w:themeColor="text1"/>
          <w:highlight w:val="none"/>
          <w14:textFill>
            <w14:solidFill>
              <w14:schemeClr w14:val="tx1"/>
            </w14:solidFill>
          </w14:textFill>
        </w:rPr>
        <w:t>1</w:t>
      </w:r>
      <w:r>
        <w:rPr>
          <w:rFonts w:hint="eastAsia" w:ascii="宋体" w:hAnsi="宋体"/>
          <w:color w:val="000000" w:themeColor="text1"/>
          <w:highlight w:val="none"/>
          <w:lang w:eastAsia="zh-CN"/>
          <w14:textFill>
            <w14:solidFill>
              <w14:schemeClr w14:val="tx1"/>
            </w14:solidFill>
          </w14:textFill>
        </w:rPr>
        <w:t>.</w:t>
      </w:r>
      <w:r>
        <w:rPr>
          <w:rFonts w:hint="eastAsia" w:ascii="宋体" w:hAnsi="宋体"/>
          <w:color w:val="000000" w:themeColor="text1"/>
          <w:highlight w:val="none"/>
          <w14:textFill>
            <w14:solidFill>
              <w14:schemeClr w14:val="tx1"/>
            </w14:solidFill>
          </w14:textFill>
        </w:rPr>
        <w:t>评审方法</w:t>
      </w:r>
      <w:bookmarkEnd w:id="38"/>
    </w:p>
    <w:p w14:paraId="2810E26A">
      <w:pPr>
        <w:overflowPunct/>
        <w:bidi w:val="0"/>
        <w:spacing w:line="360" w:lineRule="auto"/>
        <w:ind w:firstLine="420" w:firstLineChars="200"/>
        <w:outlineLvl w:val="9"/>
        <w:rPr>
          <w:rFonts w:ascii="宋体" w:hAnsi="宋体"/>
          <w:color w:val="000000" w:themeColor="text1"/>
          <w:szCs w:val="21"/>
          <w:highlight w:val="none"/>
          <w14:textFill>
            <w14:solidFill>
              <w14:schemeClr w14:val="tx1"/>
            </w14:solidFill>
          </w14:textFill>
        </w:rPr>
      </w:pPr>
      <w:r>
        <w:rPr>
          <w:rFonts w:hint="eastAsia" w:ascii="宋体" w:hAnsi="宋体"/>
          <w:color w:val="000000" w:themeColor="text1"/>
          <w:szCs w:val="21"/>
          <w:highlight w:val="none"/>
          <w14:textFill>
            <w14:solidFill>
              <w14:schemeClr w14:val="tx1"/>
            </w14:solidFill>
          </w14:textFill>
        </w:rPr>
        <w:t>本次评审办法采用综合评分法。磋商小组对满足磋商文件实质性要求的响应文件，按照本章第2.2 款规定的评分标准进行打分，并按得分由高到低顺序推荐成交候选人，或根据采购人授权直接确定中标成交单位，但磋商报价低于其成本的除外。评审得分相同的，按照最后报价由低到高的顺序推荐。评审得分且最后报价相同的，按照技术指标优劣顺序推荐。</w:t>
      </w:r>
    </w:p>
    <w:p w14:paraId="2BDE6A51">
      <w:pPr>
        <w:overflowPunct/>
        <w:bidi w:val="0"/>
        <w:outlineLvl w:val="9"/>
        <w:rPr>
          <w:rFonts w:ascii="宋体" w:hAnsi="宋体"/>
          <w:color w:val="000000" w:themeColor="text1"/>
          <w:highlight w:val="none"/>
          <w14:textFill>
            <w14:solidFill>
              <w14:schemeClr w14:val="tx1"/>
            </w14:solidFill>
          </w14:textFill>
        </w:rPr>
      </w:pPr>
      <w:bookmarkStart w:id="40" w:name="_Toc184635094"/>
      <w:r>
        <w:rPr>
          <w:rFonts w:hint="eastAsia" w:ascii="宋体" w:hAnsi="宋体"/>
          <w:color w:val="000000" w:themeColor="text1"/>
          <w:highlight w:val="none"/>
          <w14:textFill>
            <w14:solidFill>
              <w14:schemeClr w14:val="tx1"/>
            </w14:solidFill>
          </w14:textFill>
        </w:rPr>
        <w:t>2</w:t>
      </w:r>
      <w:r>
        <w:rPr>
          <w:rFonts w:hint="eastAsia" w:ascii="宋体" w:hAnsi="宋体"/>
          <w:color w:val="000000" w:themeColor="text1"/>
          <w:highlight w:val="none"/>
          <w:lang w:eastAsia="zh-CN"/>
          <w14:textFill>
            <w14:solidFill>
              <w14:schemeClr w14:val="tx1"/>
            </w14:solidFill>
          </w14:textFill>
        </w:rPr>
        <w:t>.</w:t>
      </w:r>
      <w:r>
        <w:rPr>
          <w:rFonts w:hint="eastAsia" w:ascii="宋体" w:hAnsi="宋体"/>
          <w:color w:val="000000" w:themeColor="text1"/>
          <w:highlight w:val="none"/>
          <w14:textFill>
            <w14:solidFill>
              <w14:schemeClr w14:val="tx1"/>
            </w14:solidFill>
          </w14:textFill>
        </w:rPr>
        <w:t>评审标准</w:t>
      </w:r>
      <w:bookmarkEnd w:id="40"/>
    </w:p>
    <w:p w14:paraId="65F58989">
      <w:pPr>
        <w:overflowPunct/>
        <w:bidi w:val="0"/>
        <w:outlineLvl w:val="9"/>
        <w:rPr>
          <w:rFonts w:ascii="宋体" w:hAnsi="宋体" w:eastAsia="宋体"/>
          <w:color w:val="000000" w:themeColor="text1"/>
          <w:highlight w:val="none"/>
          <w14:textFill>
            <w14:solidFill>
              <w14:schemeClr w14:val="tx1"/>
            </w14:solidFill>
          </w14:textFill>
        </w:rPr>
      </w:pPr>
      <w:r>
        <w:rPr>
          <w:rFonts w:hint="eastAsia" w:ascii="宋体" w:hAnsi="宋体" w:eastAsia="宋体"/>
          <w:color w:val="000000" w:themeColor="text1"/>
          <w:highlight w:val="none"/>
          <w14:textFill>
            <w14:solidFill>
              <w14:schemeClr w14:val="tx1"/>
            </w14:solidFill>
          </w14:textFill>
        </w:rPr>
        <w:t>2.1 初步评审标准</w:t>
      </w:r>
    </w:p>
    <w:p w14:paraId="0E60C4F1">
      <w:pPr>
        <w:overflowPunct/>
        <w:bidi w:val="0"/>
        <w:spacing w:line="360" w:lineRule="auto"/>
        <w:ind w:firstLine="420" w:firstLineChars="200"/>
        <w:outlineLvl w:val="9"/>
        <w:rPr>
          <w:rFonts w:ascii="宋体" w:hAnsi="宋体"/>
          <w:color w:val="000000" w:themeColor="text1"/>
          <w:szCs w:val="21"/>
          <w:highlight w:val="none"/>
          <w14:textFill>
            <w14:solidFill>
              <w14:schemeClr w14:val="tx1"/>
            </w14:solidFill>
          </w14:textFill>
        </w:rPr>
      </w:pPr>
      <w:r>
        <w:rPr>
          <w:rFonts w:hint="eastAsia" w:ascii="宋体" w:hAnsi="宋体"/>
          <w:color w:val="000000" w:themeColor="text1"/>
          <w:szCs w:val="21"/>
          <w:highlight w:val="none"/>
          <w14:textFill>
            <w14:solidFill>
              <w14:schemeClr w14:val="tx1"/>
            </w14:solidFill>
          </w14:textFill>
        </w:rPr>
        <w:t>2.1.</w:t>
      </w:r>
      <w:r>
        <w:rPr>
          <w:rFonts w:hint="eastAsia" w:ascii="宋体" w:hAnsi="宋体"/>
          <w:color w:val="000000" w:themeColor="text1"/>
          <w:szCs w:val="21"/>
          <w:highlight w:val="none"/>
          <w:lang w:val="en-US" w:eastAsia="zh-CN"/>
          <w14:textFill>
            <w14:solidFill>
              <w14:schemeClr w14:val="tx1"/>
            </w14:solidFill>
          </w14:textFill>
        </w:rPr>
        <w:t>1</w:t>
      </w:r>
      <w:r>
        <w:rPr>
          <w:rFonts w:hint="eastAsia" w:ascii="宋体" w:hAnsi="宋体"/>
          <w:color w:val="000000" w:themeColor="text1"/>
          <w:szCs w:val="21"/>
          <w:highlight w:val="none"/>
          <w14:textFill>
            <w14:solidFill>
              <w14:schemeClr w14:val="tx1"/>
            </w14:solidFill>
          </w14:textFill>
        </w:rPr>
        <w:t xml:space="preserve"> 资格评审标准：见评审办法前附表。</w:t>
      </w:r>
    </w:p>
    <w:p w14:paraId="43EE7191">
      <w:pPr>
        <w:overflowPunct/>
        <w:bidi w:val="0"/>
        <w:spacing w:line="360" w:lineRule="auto"/>
        <w:ind w:firstLine="420" w:firstLineChars="200"/>
        <w:outlineLvl w:val="9"/>
        <w:rPr>
          <w:rFonts w:ascii="宋体" w:hAnsi="宋体"/>
          <w:color w:val="000000" w:themeColor="text1"/>
          <w:szCs w:val="21"/>
          <w:highlight w:val="none"/>
          <w14:textFill>
            <w14:solidFill>
              <w14:schemeClr w14:val="tx1"/>
            </w14:solidFill>
          </w14:textFill>
        </w:rPr>
      </w:pPr>
      <w:r>
        <w:rPr>
          <w:rFonts w:hint="eastAsia" w:ascii="宋体" w:hAnsi="宋体"/>
          <w:color w:val="000000" w:themeColor="text1"/>
          <w:szCs w:val="21"/>
          <w:highlight w:val="none"/>
          <w14:textFill>
            <w14:solidFill>
              <w14:schemeClr w14:val="tx1"/>
            </w14:solidFill>
          </w14:textFill>
        </w:rPr>
        <w:t>2.1.</w:t>
      </w:r>
      <w:r>
        <w:rPr>
          <w:rFonts w:hint="eastAsia" w:ascii="宋体" w:hAnsi="宋体"/>
          <w:color w:val="000000" w:themeColor="text1"/>
          <w:szCs w:val="21"/>
          <w:highlight w:val="none"/>
          <w:lang w:val="en-US" w:eastAsia="zh-CN"/>
          <w14:textFill>
            <w14:solidFill>
              <w14:schemeClr w14:val="tx1"/>
            </w14:solidFill>
          </w14:textFill>
        </w:rPr>
        <w:t>2符合</w:t>
      </w:r>
      <w:r>
        <w:rPr>
          <w:rFonts w:hint="eastAsia" w:ascii="宋体" w:hAnsi="宋体"/>
          <w:color w:val="000000" w:themeColor="text1"/>
          <w:szCs w:val="21"/>
          <w:highlight w:val="none"/>
          <w14:textFill>
            <w14:solidFill>
              <w14:schemeClr w14:val="tx1"/>
            </w14:solidFill>
          </w14:textFill>
        </w:rPr>
        <w:t>性评审标准：见评审办法前附表。</w:t>
      </w:r>
    </w:p>
    <w:p w14:paraId="645D6DA9">
      <w:pPr>
        <w:overflowPunct/>
        <w:bidi w:val="0"/>
        <w:outlineLvl w:val="9"/>
        <w:rPr>
          <w:rFonts w:ascii="宋体" w:hAnsi="宋体" w:eastAsia="宋体"/>
          <w:color w:val="000000" w:themeColor="text1"/>
          <w:highlight w:val="none"/>
          <w14:textFill>
            <w14:solidFill>
              <w14:schemeClr w14:val="tx1"/>
            </w14:solidFill>
          </w14:textFill>
        </w:rPr>
      </w:pPr>
      <w:r>
        <w:rPr>
          <w:rFonts w:hint="eastAsia" w:ascii="宋体" w:hAnsi="宋体" w:eastAsia="宋体"/>
          <w:color w:val="000000" w:themeColor="text1"/>
          <w:highlight w:val="none"/>
          <w14:textFill>
            <w14:solidFill>
              <w14:schemeClr w14:val="tx1"/>
            </w14:solidFill>
          </w14:textFill>
        </w:rPr>
        <w:t>2.2 分值构成与评分标准</w:t>
      </w:r>
    </w:p>
    <w:p w14:paraId="2B0A4888">
      <w:pPr>
        <w:overflowPunct/>
        <w:bidi w:val="0"/>
        <w:spacing w:line="360" w:lineRule="auto"/>
        <w:ind w:firstLine="420" w:firstLineChars="200"/>
        <w:outlineLvl w:val="9"/>
        <w:rPr>
          <w:rFonts w:ascii="宋体" w:hAnsi="宋体"/>
          <w:color w:val="000000" w:themeColor="text1"/>
          <w:szCs w:val="21"/>
          <w:highlight w:val="none"/>
          <w14:textFill>
            <w14:solidFill>
              <w14:schemeClr w14:val="tx1"/>
            </w14:solidFill>
          </w14:textFill>
        </w:rPr>
      </w:pPr>
      <w:r>
        <w:rPr>
          <w:rFonts w:hint="eastAsia" w:ascii="宋体" w:hAnsi="宋体"/>
          <w:color w:val="000000" w:themeColor="text1"/>
          <w:szCs w:val="21"/>
          <w:highlight w:val="none"/>
          <w14:textFill>
            <w14:solidFill>
              <w14:schemeClr w14:val="tx1"/>
            </w14:solidFill>
          </w14:textFill>
        </w:rPr>
        <w:t>2.2.1 分值构成</w:t>
      </w:r>
    </w:p>
    <w:p w14:paraId="48F880D7">
      <w:pPr>
        <w:overflowPunct/>
        <w:bidi w:val="0"/>
        <w:spacing w:line="360" w:lineRule="auto"/>
        <w:ind w:firstLine="420" w:firstLineChars="200"/>
        <w:outlineLvl w:val="9"/>
        <w:rPr>
          <w:rFonts w:ascii="宋体" w:hAnsi="宋体"/>
          <w:color w:val="000000" w:themeColor="text1"/>
          <w:szCs w:val="21"/>
          <w:highlight w:val="none"/>
          <w14:textFill>
            <w14:solidFill>
              <w14:schemeClr w14:val="tx1"/>
            </w14:solidFill>
          </w14:textFill>
        </w:rPr>
      </w:pPr>
      <w:r>
        <w:rPr>
          <w:rFonts w:hint="eastAsia" w:ascii="宋体" w:hAnsi="宋体"/>
          <w:color w:val="000000" w:themeColor="text1"/>
          <w:szCs w:val="21"/>
          <w:highlight w:val="none"/>
          <w14:textFill>
            <w14:solidFill>
              <w14:schemeClr w14:val="tx1"/>
            </w14:solidFill>
          </w14:textFill>
        </w:rPr>
        <w:t>(l）</w:t>
      </w:r>
      <w:r>
        <w:rPr>
          <w:rFonts w:hint="eastAsia" w:ascii="宋体" w:hAnsi="宋体"/>
          <w:color w:val="000000" w:themeColor="text1"/>
          <w:szCs w:val="21"/>
          <w:highlight w:val="none"/>
          <w:lang w:val="en-US" w:eastAsia="zh-CN"/>
          <w14:textFill>
            <w14:solidFill>
              <w14:schemeClr w14:val="tx1"/>
            </w14:solidFill>
          </w14:textFill>
        </w:rPr>
        <w:t>商务因素</w:t>
      </w:r>
      <w:r>
        <w:rPr>
          <w:rFonts w:hint="eastAsia" w:ascii="宋体" w:hAnsi="宋体"/>
          <w:color w:val="000000" w:themeColor="text1"/>
          <w:szCs w:val="21"/>
          <w:highlight w:val="none"/>
          <w14:textFill>
            <w14:solidFill>
              <w14:schemeClr w14:val="tx1"/>
            </w14:solidFill>
          </w14:textFill>
        </w:rPr>
        <w:t>：见评审办法前附表；</w:t>
      </w:r>
    </w:p>
    <w:p w14:paraId="19A1EDF6">
      <w:pPr>
        <w:overflowPunct/>
        <w:bidi w:val="0"/>
        <w:spacing w:line="360" w:lineRule="auto"/>
        <w:ind w:firstLine="420" w:firstLineChars="200"/>
        <w:outlineLvl w:val="9"/>
        <w:rPr>
          <w:rFonts w:ascii="宋体" w:hAnsi="宋体"/>
          <w:color w:val="000000" w:themeColor="text1"/>
          <w:szCs w:val="21"/>
          <w:highlight w:val="none"/>
          <w14:textFill>
            <w14:solidFill>
              <w14:schemeClr w14:val="tx1"/>
            </w14:solidFill>
          </w14:textFill>
        </w:rPr>
      </w:pPr>
      <w:r>
        <w:rPr>
          <w:rFonts w:hint="eastAsia" w:ascii="宋体" w:hAnsi="宋体"/>
          <w:color w:val="000000" w:themeColor="text1"/>
          <w:szCs w:val="21"/>
          <w:highlight w:val="none"/>
          <w14:textFill>
            <w14:solidFill>
              <w14:schemeClr w14:val="tx1"/>
            </w14:solidFill>
          </w14:textFill>
        </w:rPr>
        <w:t>(2）磋商报价：见评审办法前附表；</w:t>
      </w:r>
    </w:p>
    <w:p w14:paraId="67D4FCCE">
      <w:pPr>
        <w:overflowPunct/>
        <w:bidi w:val="0"/>
        <w:spacing w:line="360" w:lineRule="auto"/>
        <w:ind w:firstLine="420" w:firstLineChars="200"/>
        <w:outlineLvl w:val="9"/>
        <w:rPr>
          <w:rFonts w:ascii="宋体" w:hAnsi="宋体"/>
          <w:color w:val="000000" w:themeColor="text1"/>
          <w:szCs w:val="21"/>
          <w:highlight w:val="none"/>
          <w14:textFill>
            <w14:solidFill>
              <w14:schemeClr w14:val="tx1"/>
            </w14:solidFill>
          </w14:textFill>
        </w:rPr>
      </w:pPr>
      <w:r>
        <w:rPr>
          <w:rFonts w:hint="eastAsia" w:ascii="宋体" w:hAnsi="宋体"/>
          <w:color w:val="000000" w:themeColor="text1"/>
          <w:szCs w:val="21"/>
          <w:highlight w:val="none"/>
          <w14:textFill>
            <w14:solidFill>
              <w14:schemeClr w14:val="tx1"/>
            </w14:solidFill>
          </w14:textFill>
        </w:rPr>
        <w:t>(3）</w:t>
      </w:r>
      <w:r>
        <w:rPr>
          <w:rFonts w:hint="eastAsia" w:ascii="宋体" w:hAnsi="宋体"/>
          <w:color w:val="000000" w:themeColor="text1"/>
          <w:szCs w:val="21"/>
          <w:highlight w:val="none"/>
          <w:lang w:val="en-US" w:eastAsia="zh-CN"/>
          <w14:textFill>
            <w14:solidFill>
              <w14:schemeClr w14:val="tx1"/>
            </w14:solidFill>
          </w14:textFill>
        </w:rPr>
        <w:t>技术因素</w:t>
      </w:r>
      <w:r>
        <w:rPr>
          <w:rFonts w:hint="eastAsia" w:ascii="宋体" w:hAnsi="宋体"/>
          <w:color w:val="000000" w:themeColor="text1"/>
          <w:szCs w:val="21"/>
          <w:highlight w:val="none"/>
          <w14:textFill>
            <w14:solidFill>
              <w14:schemeClr w14:val="tx1"/>
            </w14:solidFill>
          </w14:textFill>
        </w:rPr>
        <w:t>：见评审办法前附表；</w:t>
      </w:r>
    </w:p>
    <w:p w14:paraId="73723C13">
      <w:pPr>
        <w:overflowPunct/>
        <w:bidi w:val="0"/>
        <w:spacing w:line="360" w:lineRule="auto"/>
        <w:ind w:firstLine="420" w:firstLineChars="200"/>
        <w:outlineLvl w:val="9"/>
        <w:rPr>
          <w:rFonts w:ascii="宋体" w:hAnsi="宋体"/>
          <w:color w:val="000000" w:themeColor="text1"/>
          <w:szCs w:val="21"/>
          <w:highlight w:val="none"/>
          <w14:textFill>
            <w14:solidFill>
              <w14:schemeClr w14:val="tx1"/>
            </w14:solidFill>
          </w14:textFill>
        </w:rPr>
      </w:pPr>
      <w:r>
        <w:rPr>
          <w:rFonts w:hint="eastAsia" w:ascii="宋体" w:hAnsi="宋体"/>
          <w:color w:val="000000" w:themeColor="text1"/>
          <w:szCs w:val="21"/>
          <w:highlight w:val="none"/>
          <w14:textFill>
            <w14:solidFill>
              <w14:schemeClr w14:val="tx1"/>
            </w14:solidFill>
          </w14:textFill>
        </w:rPr>
        <w:t>(4）其他因素：见评审办法前附表。</w:t>
      </w:r>
    </w:p>
    <w:p w14:paraId="20739F69">
      <w:pPr>
        <w:overflowPunct/>
        <w:bidi w:val="0"/>
        <w:spacing w:line="360" w:lineRule="auto"/>
        <w:ind w:firstLine="420" w:firstLineChars="200"/>
        <w:outlineLvl w:val="9"/>
        <w:rPr>
          <w:rFonts w:ascii="宋体" w:hAnsi="宋体"/>
          <w:color w:val="000000" w:themeColor="text1"/>
          <w:szCs w:val="21"/>
          <w:highlight w:val="none"/>
          <w14:textFill>
            <w14:solidFill>
              <w14:schemeClr w14:val="tx1"/>
            </w14:solidFill>
          </w14:textFill>
        </w:rPr>
      </w:pPr>
      <w:r>
        <w:rPr>
          <w:rFonts w:hint="eastAsia" w:ascii="宋体" w:hAnsi="宋体"/>
          <w:color w:val="000000" w:themeColor="text1"/>
          <w:szCs w:val="21"/>
          <w:highlight w:val="none"/>
          <w14:textFill>
            <w14:solidFill>
              <w14:schemeClr w14:val="tx1"/>
            </w14:solidFill>
          </w14:textFill>
        </w:rPr>
        <w:t>2.2.2 评审基准价计算</w:t>
      </w:r>
    </w:p>
    <w:p w14:paraId="56FC1235">
      <w:pPr>
        <w:overflowPunct/>
        <w:bidi w:val="0"/>
        <w:spacing w:line="360" w:lineRule="auto"/>
        <w:ind w:firstLine="420" w:firstLineChars="200"/>
        <w:outlineLvl w:val="9"/>
        <w:rPr>
          <w:rFonts w:ascii="宋体" w:hAnsi="宋体"/>
          <w:color w:val="000000" w:themeColor="text1"/>
          <w:szCs w:val="21"/>
          <w:highlight w:val="none"/>
          <w14:textFill>
            <w14:solidFill>
              <w14:schemeClr w14:val="tx1"/>
            </w14:solidFill>
          </w14:textFill>
        </w:rPr>
      </w:pPr>
      <w:r>
        <w:rPr>
          <w:rFonts w:hint="eastAsia" w:ascii="宋体" w:hAnsi="宋体"/>
          <w:color w:val="000000" w:themeColor="text1"/>
          <w:szCs w:val="21"/>
          <w:highlight w:val="none"/>
          <w14:textFill>
            <w14:solidFill>
              <w14:schemeClr w14:val="tx1"/>
            </w14:solidFill>
          </w14:textFill>
        </w:rPr>
        <w:t>评审基准价计算方法：见评审办法前附表。</w:t>
      </w:r>
    </w:p>
    <w:p w14:paraId="10446C4A">
      <w:pPr>
        <w:overflowPunct/>
        <w:bidi w:val="0"/>
        <w:spacing w:line="360" w:lineRule="auto"/>
        <w:ind w:firstLine="420" w:firstLineChars="200"/>
        <w:outlineLvl w:val="9"/>
        <w:rPr>
          <w:rFonts w:ascii="宋体" w:hAnsi="宋体"/>
          <w:color w:val="000000" w:themeColor="text1"/>
          <w:szCs w:val="21"/>
          <w:highlight w:val="none"/>
          <w14:textFill>
            <w14:solidFill>
              <w14:schemeClr w14:val="tx1"/>
            </w14:solidFill>
          </w14:textFill>
        </w:rPr>
      </w:pPr>
      <w:r>
        <w:rPr>
          <w:rFonts w:hint="eastAsia" w:ascii="宋体" w:hAnsi="宋体"/>
          <w:color w:val="000000" w:themeColor="text1"/>
          <w:szCs w:val="21"/>
          <w:highlight w:val="none"/>
          <w14:textFill>
            <w14:solidFill>
              <w14:schemeClr w14:val="tx1"/>
            </w14:solidFill>
          </w14:textFill>
        </w:rPr>
        <w:t>2.2.3 磋商报价计算公式</w:t>
      </w:r>
    </w:p>
    <w:p w14:paraId="55429BC6">
      <w:pPr>
        <w:overflowPunct/>
        <w:bidi w:val="0"/>
        <w:spacing w:line="360" w:lineRule="auto"/>
        <w:ind w:firstLine="420" w:firstLineChars="200"/>
        <w:outlineLvl w:val="9"/>
        <w:rPr>
          <w:rFonts w:ascii="宋体" w:hAnsi="宋体"/>
          <w:color w:val="000000" w:themeColor="text1"/>
          <w:szCs w:val="21"/>
          <w:highlight w:val="none"/>
          <w14:textFill>
            <w14:solidFill>
              <w14:schemeClr w14:val="tx1"/>
            </w14:solidFill>
          </w14:textFill>
        </w:rPr>
      </w:pPr>
      <w:r>
        <w:rPr>
          <w:rFonts w:hint="eastAsia" w:ascii="宋体" w:hAnsi="宋体"/>
          <w:color w:val="000000" w:themeColor="text1"/>
          <w:szCs w:val="21"/>
          <w:highlight w:val="none"/>
          <w14:textFill>
            <w14:solidFill>
              <w14:schemeClr w14:val="tx1"/>
            </w14:solidFill>
          </w14:textFill>
        </w:rPr>
        <w:t>磋商报价计算公式：见评审办法前附表。</w:t>
      </w:r>
    </w:p>
    <w:p w14:paraId="594EA99A">
      <w:pPr>
        <w:overflowPunct/>
        <w:bidi w:val="0"/>
        <w:spacing w:line="360" w:lineRule="auto"/>
        <w:ind w:firstLine="420" w:firstLineChars="200"/>
        <w:outlineLvl w:val="9"/>
        <w:rPr>
          <w:rFonts w:ascii="宋体" w:hAnsi="宋体"/>
          <w:color w:val="000000" w:themeColor="text1"/>
          <w:szCs w:val="21"/>
          <w:highlight w:val="none"/>
          <w14:textFill>
            <w14:solidFill>
              <w14:schemeClr w14:val="tx1"/>
            </w14:solidFill>
          </w14:textFill>
        </w:rPr>
      </w:pPr>
      <w:r>
        <w:rPr>
          <w:rFonts w:hint="eastAsia" w:ascii="宋体" w:hAnsi="宋体"/>
          <w:color w:val="000000" w:themeColor="text1"/>
          <w:szCs w:val="21"/>
          <w:highlight w:val="none"/>
          <w14:textFill>
            <w14:solidFill>
              <w14:schemeClr w14:val="tx1"/>
            </w14:solidFill>
          </w14:textFill>
        </w:rPr>
        <w:t>2.2.4 评分标准</w:t>
      </w:r>
    </w:p>
    <w:p w14:paraId="20DC460E">
      <w:pPr>
        <w:overflowPunct/>
        <w:bidi w:val="0"/>
        <w:spacing w:line="360" w:lineRule="auto"/>
        <w:ind w:firstLine="420" w:firstLineChars="200"/>
        <w:outlineLvl w:val="9"/>
        <w:rPr>
          <w:rFonts w:ascii="宋体" w:hAnsi="宋体"/>
          <w:color w:val="000000" w:themeColor="text1"/>
          <w:szCs w:val="21"/>
          <w:highlight w:val="none"/>
          <w14:textFill>
            <w14:solidFill>
              <w14:schemeClr w14:val="tx1"/>
            </w14:solidFill>
          </w14:textFill>
        </w:rPr>
      </w:pPr>
      <w:r>
        <w:rPr>
          <w:rFonts w:hint="eastAsia" w:ascii="宋体" w:hAnsi="宋体"/>
          <w:color w:val="000000" w:themeColor="text1"/>
          <w:szCs w:val="21"/>
          <w:highlight w:val="none"/>
          <w14:textFill>
            <w14:solidFill>
              <w14:schemeClr w14:val="tx1"/>
            </w14:solidFill>
          </w14:textFill>
        </w:rPr>
        <w:t>(1）</w:t>
      </w:r>
      <w:r>
        <w:rPr>
          <w:rFonts w:hint="eastAsia" w:ascii="宋体" w:hAnsi="宋体"/>
          <w:color w:val="000000" w:themeColor="text1"/>
          <w:szCs w:val="21"/>
          <w:highlight w:val="none"/>
          <w:lang w:val="en-US" w:eastAsia="zh-CN"/>
          <w14:textFill>
            <w14:solidFill>
              <w14:schemeClr w14:val="tx1"/>
            </w14:solidFill>
          </w14:textFill>
        </w:rPr>
        <w:t>商务因素</w:t>
      </w:r>
      <w:r>
        <w:rPr>
          <w:rFonts w:hint="eastAsia" w:ascii="宋体" w:hAnsi="宋体"/>
          <w:color w:val="000000" w:themeColor="text1"/>
          <w:szCs w:val="21"/>
          <w:highlight w:val="none"/>
          <w14:textFill>
            <w14:solidFill>
              <w14:schemeClr w14:val="tx1"/>
            </w14:solidFill>
          </w14:textFill>
        </w:rPr>
        <w:t>评分标准：见评审办法前附表；</w:t>
      </w:r>
    </w:p>
    <w:p w14:paraId="6A83A2AB">
      <w:pPr>
        <w:overflowPunct/>
        <w:bidi w:val="0"/>
        <w:spacing w:line="360" w:lineRule="auto"/>
        <w:ind w:firstLine="420" w:firstLineChars="200"/>
        <w:outlineLvl w:val="9"/>
        <w:rPr>
          <w:rFonts w:ascii="宋体" w:hAnsi="宋体"/>
          <w:color w:val="000000" w:themeColor="text1"/>
          <w:szCs w:val="21"/>
          <w:highlight w:val="none"/>
          <w14:textFill>
            <w14:solidFill>
              <w14:schemeClr w14:val="tx1"/>
            </w14:solidFill>
          </w14:textFill>
        </w:rPr>
      </w:pPr>
      <w:r>
        <w:rPr>
          <w:rFonts w:hint="eastAsia" w:ascii="宋体" w:hAnsi="宋体"/>
          <w:color w:val="000000" w:themeColor="text1"/>
          <w:szCs w:val="21"/>
          <w:highlight w:val="none"/>
          <w14:textFill>
            <w14:solidFill>
              <w14:schemeClr w14:val="tx1"/>
            </w14:solidFill>
          </w14:textFill>
        </w:rPr>
        <w:t>(2）磋商报价评分标准：见评审办法前附表；</w:t>
      </w:r>
    </w:p>
    <w:p w14:paraId="3B1FAC0B">
      <w:pPr>
        <w:overflowPunct/>
        <w:bidi w:val="0"/>
        <w:spacing w:line="360" w:lineRule="auto"/>
        <w:ind w:firstLine="420" w:firstLineChars="200"/>
        <w:outlineLvl w:val="9"/>
        <w:rPr>
          <w:rFonts w:ascii="宋体" w:hAnsi="宋体"/>
          <w:color w:val="000000" w:themeColor="text1"/>
          <w:szCs w:val="21"/>
          <w:highlight w:val="none"/>
          <w14:textFill>
            <w14:solidFill>
              <w14:schemeClr w14:val="tx1"/>
            </w14:solidFill>
          </w14:textFill>
        </w:rPr>
      </w:pPr>
      <w:r>
        <w:rPr>
          <w:rFonts w:hint="eastAsia" w:ascii="宋体" w:hAnsi="宋体"/>
          <w:color w:val="000000" w:themeColor="text1"/>
          <w:szCs w:val="21"/>
          <w:highlight w:val="none"/>
          <w14:textFill>
            <w14:solidFill>
              <w14:schemeClr w14:val="tx1"/>
            </w14:solidFill>
          </w14:textFill>
        </w:rPr>
        <w:t>(3）</w:t>
      </w:r>
      <w:r>
        <w:rPr>
          <w:rFonts w:hint="eastAsia" w:ascii="宋体" w:hAnsi="宋体"/>
          <w:color w:val="000000" w:themeColor="text1"/>
          <w:szCs w:val="21"/>
          <w:highlight w:val="none"/>
          <w:lang w:val="en-US" w:eastAsia="zh-CN"/>
          <w14:textFill>
            <w14:solidFill>
              <w14:schemeClr w14:val="tx1"/>
            </w14:solidFill>
          </w14:textFill>
        </w:rPr>
        <w:t>技术因素</w:t>
      </w:r>
      <w:r>
        <w:rPr>
          <w:rFonts w:hint="eastAsia" w:ascii="宋体" w:hAnsi="宋体"/>
          <w:color w:val="000000" w:themeColor="text1"/>
          <w:szCs w:val="21"/>
          <w:highlight w:val="none"/>
          <w14:textFill>
            <w14:solidFill>
              <w14:schemeClr w14:val="tx1"/>
            </w14:solidFill>
          </w14:textFill>
        </w:rPr>
        <w:t>评分标准：见评审办法前附表；</w:t>
      </w:r>
    </w:p>
    <w:p w14:paraId="725BDB66">
      <w:pPr>
        <w:overflowPunct/>
        <w:bidi w:val="0"/>
        <w:spacing w:line="360" w:lineRule="auto"/>
        <w:ind w:firstLine="420" w:firstLineChars="200"/>
        <w:outlineLvl w:val="9"/>
        <w:rPr>
          <w:rFonts w:ascii="宋体" w:hAnsi="宋体"/>
          <w:color w:val="000000" w:themeColor="text1"/>
          <w:szCs w:val="21"/>
          <w:highlight w:val="none"/>
          <w14:textFill>
            <w14:solidFill>
              <w14:schemeClr w14:val="tx1"/>
            </w14:solidFill>
          </w14:textFill>
        </w:rPr>
      </w:pPr>
      <w:r>
        <w:rPr>
          <w:rFonts w:hint="eastAsia" w:ascii="宋体" w:hAnsi="宋体"/>
          <w:color w:val="000000" w:themeColor="text1"/>
          <w:szCs w:val="21"/>
          <w:highlight w:val="none"/>
          <w14:textFill>
            <w14:solidFill>
              <w14:schemeClr w14:val="tx1"/>
            </w14:solidFill>
          </w14:textFill>
        </w:rPr>
        <w:t>(4）其他因素评分标准：见评审办法前附表。</w:t>
      </w:r>
    </w:p>
    <w:p w14:paraId="15CE5906">
      <w:pPr>
        <w:overflowPunct/>
        <w:bidi w:val="0"/>
        <w:outlineLvl w:val="9"/>
        <w:rPr>
          <w:rFonts w:ascii="宋体" w:hAnsi="宋体"/>
          <w:color w:val="000000" w:themeColor="text1"/>
          <w:highlight w:val="none"/>
          <w14:textFill>
            <w14:solidFill>
              <w14:schemeClr w14:val="tx1"/>
            </w14:solidFill>
          </w14:textFill>
        </w:rPr>
      </w:pPr>
      <w:bookmarkStart w:id="41" w:name="_Toc184635095"/>
      <w:r>
        <w:rPr>
          <w:rFonts w:hint="eastAsia" w:ascii="宋体" w:hAnsi="宋体"/>
          <w:color w:val="000000" w:themeColor="text1"/>
          <w:highlight w:val="none"/>
          <w14:textFill>
            <w14:solidFill>
              <w14:schemeClr w14:val="tx1"/>
            </w14:solidFill>
          </w14:textFill>
        </w:rPr>
        <w:t>3</w:t>
      </w:r>
      <w:r>
        <w:rPr>
          <w:rFonts w:hint="eastAsia" w:ascii="宋体" w:hAnsi="宋体"/>
          <w:color w:val="000000" w:themeColor="text1"/>
          <w:highlight w:val="none"/>
          <w:lang w:eastAsia="zh-CN"/>
          <w14:textFill>
            <w14:solidFill>
              <w14:schemeClr w14:val="tx1"/>
            </w14:solidFill>
          </w14:textFill>
        </w:rPr>
        <w:t>.</w:t>
      </w:r>
      <w:r>
        <w:rPr>
          <w:rFonts w:hint="eastAsia" w:ascii="宋体" w:hAnsi="宋体"/>
          <w:color w:val="000000" w:themeColor="text1"/>
          <w:highlight w:val="none"/>
          <w14:textFill>
            <w14:solidFill>
              <w14:schemeClr w14:val="tx1"/>
            </w14:solidFill>
          </w14:textFill>
        </w:rPr>
        <w:t>评审工作程序</w:t>
      </w:r>
      <w:bookmarkEnd w:id="41"/>
    </w:p>
    <w:p w14:paraId="4B131CD4">
      <w:pPr>
        <w:overflowPunct/>
        <w:bidi w:val="0"/>
        <w:outlineLvl w:val="9"/>
        <w:rPr>
          <w:rFonts w:ascii="宋体" w:hAnsi="宋体" w:eastAsia="宋体"/>
          <w:color w:val="000000" w:themeColor="text1"/>
          <w:highlight w:val="none"/>
          <w14:textFill>
            <w14:solidFill>
              <w14:schemeClr w14:val="tx1"/>
            </w14:solidFill>
          </w14:textFill>
        </w:rPr>
      </w:pPr>
      <w:r>
        <w:rPr>
          <w:rFonts w:hint="eastAsia" w:ascii="宋体" w:hAnsi="宋体" w:eastAsia="宋体"/>
          <w:color w:val="000000" w:themeColor="text1"/>
          <w:highlight w:val="none"/>
          <w14:textFill>
            <w14:solidFill>
              <w14:schemeClr w14:val="tx1"/>
            </w14:solidFill>
          </w14:textFill>
        </w:rPr>
        <w:t>3.1 初步评审</w:t>
      </w:r>
    </w:p>
    <w:p w14:paraId="2147C703">
      <w:pPr>
        <w:overflowPunct/>
        <w:bidi w:val="0"/>
        <w:spacing w:line="360" w:lineRule="auto"/>
        <w:ind w:firstLine="420" w:firstLineChars="200"/>
        <w:outlineLvl w:val="9"/>
        <w:rPr>
          <w:rFonts w:ascii="宋体" w:hAnsi="宋体"/>
          <w:bCs/>
          <w:color w:val="000000" w:themeColor="text1"/>
          <w:szCs w:val="21"/>
          <w:highlight w:val="none"/>
          <w:lang w:val="zh-CN"/>
          <w14:textFill>
            <w14:solidFill>
              <w14:schemeClr w14:val="tx1"/>
            </w14:solidFill>
          </w14:textFill>
        </w:rPr>
      </w:pPr>
      <w:r>
        <w:rPr>
          <w:rFonts w:ascii="宋体" w:hAnsi="宋体"/>
          <w:bCs/>
          <w:color w:val="000000" w:themeColor="text1"/>
          <w:szCs w:val="21"/>
          <w:highlight w:val="none"/>
          <w:lang w:val="zh-CN"/>
          <w14:textFill>
            <w14:solidFill>
              <w14:schemeClr w14:val="tx1"/>
            </w14:solidFill>
          </w14:textFill>
        </w:rPr>
        <w:t>3.1.1</w:t>
      </w:r>
      <w:r>
        <w:rPr>
          <w:rFonts w:hint="eastAsia" w:ascii="宋体" w:hAnsi="宋体"/>
          <w:bCs/>
          <w:color w:val="000000" w:themeColor="text1"/>
          <w:szCs w:val="21"/>
          <w:highlight w:val="none"/>
          <w:lang w:val="zh-CN"/>
          <w14:textFill>
            <w14:solidFill>
              <w14:schemeClr w14:val="tx1"/>
            </w14:solidFill>
          </w14:textFill>
        </w:rPr>
        <w:t xml:space="preserve"> 磋商小组依据本章第</w:t>
      </w:r>
      <w:r>
        <w:rPr>
          <w:rFonts w:ascii="宋体" w:hAnsi="宋体"/>
          <w:bCs/>
          <w:color w:val="000000" w:themeColor="text1"/>
          <w:szCs w:val="21"/>
          <w:highlight w:val="none"/>
          <w:lang w:val="zh-CN"/>
          <w14:textFill>
            <w14:solidFill>
              <w14:schemeClr w14:val="tx1"/>
            </w14:solidFill>
          </w14:textFill>
        </w:rPr>
        <w:t>2.1</w:t>
      </w:r>
      <w:r>
        <w:rPr>
          <w:rFonts w:hint="eastAsia" w:ascii="宋体" w:hAnsi="宋体"/>
          <w:bCs/>
          <w:color w:val="000000" w:themeColor="text1"/>
          <w:szCs w:val="21"/>
          <w:highlight w:val="none"/>
          <w:lang w:val="zh-CN"/>
          <w14:textFill>
            <w14:solidFill>
              <w14:schemeClr w14:val="tx1"/>
            </w14:solidFill>
          </w14:textFill>
        </w:rPr>
        <w:t>款规定的标准对响应文件进行初步评审。有一项不符合评审标准的，磋商小组应当否决其投标，作废标处理。只有当通过初步评审的投标单位超过3家（包含3家）时，此次投标才能进入详细评审，否则视为具有竞争性投标单位不足3家，应当重新招标。</w:t>
      </w:r>
    </w:p>
    <w:p w14:paraId="3B65E6A7">
      <w:pPr>
        <w:overflowPunct/>
        <w:bidi w:val="0"/>
        <w:spacing w:line="360" w:lineRule="auto"/>
        <w:ind w:firstLine="420" w:firstLineChars="200"/>
        <w:outlineLvl w:val="9"/>
        <w:rPr>
          <w:rFonts w:ascii="宋体" w:hAnsi="宋体"/>
          <w:color w:val="000000" w:themeColor="text1"/>
          <w:szCs w:val="21"/>
          <w:highlight w:val="none"/>
          <w14:textFill>
            <w14:solidFill>
              <w14:schemeClr w14:val="tx1"/>
            </w14:solidFill>
          </w14:textFill>
        </w:rPr>
      </w:pPr>
      <w:r>
        <w:rPr>
          <w:rFonts w:hint="eastAsia" w:ascii="宋体" w:hAnsi="宋体"/>
          <w:color w:val="000000" w:themeColor="text1"/>
          <w:szCs w:val="21"/>
          <w:highlight w:val="none"/>
          <w14:textFill>
            <w14:solidFill>
              <w14:schemeClr w14:val="tx1"/>
            </w14:solidFill>
          </w14:textFill>
        </w:rPr>
        <w:t xml:space="preserve">3.1.2 </w:t>
      </w:r>
      <w:r>
        <w:rPr>
          <w:rFonts w:hint="eastAsia" w:ascii="宋体" w:hAnsi="宋体"/>
          <w:color w:val="000000" w:themeColor="text1"/>
          <w:szCs w:val="21"/>
          <w:highlight w:val="none"/>
          <w:lang w:eastAsia="zh-CN"/>
          <w14:textFill>
            <w14:solidFill>
              <w14:schemeClr w14:val="tx1"/>
            </w14:solidFill>
          </w14:textFill>
        </w:rPr>
        <w:t>供应商</w:t>
      </w:r>
      <w:r>
        <w:rPr>
          <w:rFonts w:hint="eastAsia" w:ascii="宋体" w:hAnsi="宋体"/>
          <w:color w:val="000000" w:themeColor="text1"/>
          <w:szCs w:val="21"/>
          <w:highlight w:val="none"/>
          <w14:textFill>
            <w14:solidFill>
              <w14:schemeClr w14:val="tx1"/>
            </w14:solidFill>
          </w14:textFill>
        </w:rPr>
        <w:t>有以下情形之一的，其投标作废标处理：</w:t>
      </w:r>
    </w:p>
    <w:p w14:paraId="26923743">
      <w:pPr>
        <w:overflowPunct/>
        <w:bidi w:val="0"/>
        <w:spacing w:line="360" w:lineRule="auto"/>
        <w:ind w:firstLine="420" w:firstLineChars="200"/>
        <w:outlineLvl w:val="9"/>
        <w:rPr>
          <w:rFonts w:ascii="宋体" w:hAnsi="宋体"/>
          <w:color w:val="000000" w:themeColor="text1"/>
          <w:szCs w:val="21"/>
          <w:highlight w:val="none"/>
          <w14:textFill>
            <w14:solidFill>
              <w14:schemeClr w14:val="tx1"/>
            </w14:solidFill>
          </w14:textFill>
        </w:rPr>
      </w:pPr>
      <w:r>
        <w:rPr>
          <w:rFonts w:hint="eastAsia" w:ascii="宋体" w:hAnsi="宋体"/>
          <w:color w:val="000000" w:themeColor="text1"/>
          <w:szCs w:val="21"/>
          <w:highlight w:val="none"/>
          <w14:textFill>
            <w14:solidFill>
              <w14:schemeClr w14:val="tx1"/>
            </w14:solidFill>
          </w14:textFill>
        </w:rPr>
        <w:t>(l）第二章“</w:t>
      </w:r>
      <w:r>
        <w:rPr>
          <w:rFonts w:hint="eastAsia" w:ascii="宋体" w:hAnsi="宋体"/>
          <w:color w:val="000000" w:themeColor="text1"/>
          <w:szCs w:val="21"/>
          <w:highlight w:val="none"/>
          <w:lang w:eastAsia="zh-CN"/>
          <w14:textFill>
            <w14:solidFill>
              <w14:schemeClr w14:val="tx1"/>
            </w14:solidFill>
          </w14:textFill>
        </w:rPr>
        <w:t>供应商</w:t>
      </w:r>
      <w:r>
        <w:rPr>
          <w:rFonts w:hint="eastAsia" w:ascii="宋体" w:hAnsi="宋体"/>
          <w:color w:val="000000" w:themeColor="text1"/>
          <w:szCs w:val="21"/>
          <w:highlight w:val="none"/>
          <w14:textFill>
            <w14:solidFill>
              <w14:schemeClr w14:val="tx1"/>
            </w14:solidFill>
          </w14:textFill>
        </w:rPr>
        <w:t>须知”第1.4.3 项规定的任何一种情形的：</w:t>
      </w:r>
    </w:p>
    <w:p w14:paraId="3E8DC2D6">
      <w:pPr>
        <w:overflowPunct/>
        <w:bidi w:val="0"/>
        <w:spacing w:line="360" w:lineRule="auto"/>
        <w:ind w:firstLine="420" w:firstLineChars="200"/>
        <w:outlineLvl w:val="9"/>
        <w:rPr>
          <w:rFonts w:ascii="宋体" w:hAnsi="宋体"/>
          <w:color w:val="000000" w:themeColor="text1"/>
          <w:szCs w:val="21"/>
          <w:highlight w:val="none"/>
          <w14:textFill>
            <w14:solidFill>
              <w14:schemeClr w14:val="tx1"/>
            </w14:solidFill>
          </w14:textFill>
        </w:rPr>
      </w:pPr>
      <w:r>
        <w:rPr>
          <w:rFonts w:hint="eastAsia" w:ascii="宋体" w:hAnsi="宋体"/>
          <w:color w:val="000000" w:themeColor="text1"/>
          <w:szCs w:val="21"/>
          <w:highlight w:val="none"/>
          <w14:textFill>
            <w14:solidFill>
              <w14:schemeClr w14:val="tx1"/>
            </w14:solidFill>
          </w14:textFill>
        </w:rPr>
        <w:t>(2）串通投标或弄虚作假或有其他违法行为的；</w:t>
      </w:r>
    </w:p>
    <w:p w14:paraId="1BC376D7">
      <w:pPr>
        <w:overflowPunct/>
        <w:bidi w:val="0"/>
        <w:spacing w:line="360" w:lineRule="auto"/>
        <w:ind w:firstLine="420" w:firstLineChars="200"/>
        <w:outlineLvl w:val="9"/>
        <w:rPr>
          <w:rFonts w:ascii="宋体" w:hAnsi="宋体"/>
          <w:color w:val="000000" w:themeColor="text1"/>
          <w:szCs w:val="21"/>
          <w:highlight w:val="none"/>
          <w14:textFill>
            <w14:solidFill>
              <w14:schemeClr w14:val="tx1"/>
            </w14:solidFill>
          </w14:textFill>
        </w:rPr>
      </w:pPr>
      <w:r>
        <w:rPr>
          <w:rFonts w:hint="eastAsia" w:ascii="宋体" w:hAnsi="宋体"/>
          <w:color w:val="000000" w:themeColor="text1"/>
          <w:szCs w:val="21"/>
          <w:highlight w:val="none"/>
          <w14:textFill>
            <w14:solidFill>
              <w14:schemeClr w14:val="tx1"/>
            </w14:solidFill>
          </w14:textFill>
        </w:rPr>
        <w:t>(3）不按磋商小组要求澄清、说明或补正的。</w:t>
      </w:r>
    </w:p>
    <w:p w14:paraId="386FE55A">
      <w:pPr>
        <w:overflowPunct/>
        <w:bidi w:val="0"/>
        <w:spacing w:line="360" w:lineRule="auto"/>
        <w:ind w:firstLine="420" w:firstLineChars="200"/>
        <w:outlineLvl w:val="9"/>
        <w:rPr>
          <w:rFonts w:ascii="宋体" w:hAnsi="宋体"/>
          <w:color w:val="000000" w:themeColor="text1"/>
          <w:szCs w:val="21"/>
          <w:highlight w:val="none"/>
          <w14:textFill>
            <w14:solidFill>
              <w14:schemeClr w14:val="tx1"/>
            </w14:solidFill>
          </w14:textFill>
        </w:rPr>
      </w:pPr>
      <w:r>
        <w:rPr>
          <w:rFonts w:hint="eastAsia" w:ascii="宋体" w:hAnsi="宋体"/>
          <w:color w:val="000000" w:themeColor="text1"/>
          <w:szCs w:val="21"/>
          <w:highlight w:val="none"/>
          <w14:textFill>
            <w14:solidFill>
              <w14:schemeClr w14:val="tx1"/>
            </w14:solidFill>
          </w14:textFill>
        </w:rPr>
        <w:t>3.1.3 磋商报价有算术错误的，磋商小组按以下原则对磋商报价进行修正，修正的价格经</w:t>
      </w:r>
      <w:r>
        <w:rPr>
          <w:rFonts w:hint="eastAsia" w:ascii="宋体" w:hAnsi="宋体"/>
          <w:color w:val="000000" w:themeColor="text1"/>
          <w:szCs w:val="21"/>
          <w:highlight w:val="none"/>
          <w:lang w:eastAsia="zh-CN"/>
          <w14:textFill>
            <w14:solidFill>
              <w14:schemeClr w14:val="tx1"/>
            </w14:solidFill>
          </w14:textFill>
        </w:rPr>
        <w:t>供应商</w:t>
      </w:r>
      <w:r>
        <w:rPr>
          <w:rFonts w:hint="eastAsia" w:ascii="宋体" w:hAnsi="宋体"/>
          <w:color w:val="000000" w:themeColor="text1"/>
          <w:szCs w:val="21"/>
          <w:highlight w:val="none"/>
          <w14:textFill>
            <w14:solidFill>
              <w14:schemeClr w14:val="tx1"/>
            </w14:solidFill>
          </w14:textFill>
        </w:rPr>
        <w:t>书面确认后具有约束力。</w:t>
      </w:r>
      <w:r>
        <w:rPr>
          <w:rFonts w:hint="eastAsia" w:ascii="宋体" w:hAnsi="宋体"/>
          <w:color w:val="000000" w:themeColor="text1"/>
          <w:szCs w:val="21"/>
          <w:highlight w:val="none"/>
          <w:lang w:eastAsia="zh-CN"/>
          <w14:textFill>
            <w14:solidFill>
              <w14:schemeClr w14:val="tx1"/>
            </w14:solidFill>
          </w14:textFill>
        </w:rPr>
        <w:t>供应商</w:t>
      </w:r>
      <w:r>
        <w:rPr>
          <w:rFonts w:hint="eastAsia" w:ascii="宋体" w:hAnsi="宋体"/>
          <w:color w:val="000000" w:themeColor="text1"/>
          <w:szCs w:val="21"/>
          <w:highlight w:val="none"/>
          <w14:textFill>
            <w14:solidFill>
              <w14:schemeClr w14:val="tx1"/>
            </w14:solidFill>
          </w14:textFill>
        </w:rPr>
        <w:t>不接受修正价格的，其投标作废标处理。</w:t>
      </w:r>
    </w:p>
    <w:p w14:paraId="51981266">
      <w:pPr>
        <w:overflowPunct/>
        <w:bidi w:val="0"/>
        <w:spacing w:line="360" w:lineRule="auto"/>
        <w:ind w:firstLine="420" w:firstLineChars="200"/>
        <w:outlineLvl w:val="9"/>
        <w:rPr>
          <w:rFonts w:ascii="宋体" w:hAnsi="宋体"/>
          <w:color w:val="000000" w:themeColor="text1"/>
          <w:szCs w:val="21"/>
          <w:highlight w:val="none"/>
          <w14:textFill>
            <w14:solidFill>
              <w14:schemeClr w14:val="tx1"/>
            </w14:solidFill>
          </w14:textFill>
        </w:rPr>
      </w:pPr>
      <w:r>
        <w:rPr>
          <w:rFonts w:hint="eastAsia" w:ascii="宋体" w:hAnsi="宋体"/>
          <w:color w:val="000000" w:themeColor="text1"/>
          <w:szCs w:val="21"/>
          <w:highlight w:val="none"/>
          <w14:textFill>
            <w14:solidFill>
              <w14:schemeClr w14:val="tx1"/>
            </w14:solidFill>
          </w14:textFill>
        </w:rPr>
        <w:t>(1）响应文件中的大写金额与小写金额不一致的，以大写金额为准；</w:t>
      </w:r>
    </w:p>
    <w:p w14:paraId="23020929">
      <w:pPr>
        <w:overflowPunct/>
        <w:bidi w:val="0"/>
        <w:spacing w:line="360" w:lineRule="auto"/>
        <w:ind w:firstLine="420" w:firstLineChars="200"/>
        <w:outlineLvl w:val="9"/>
        <w:rPr>
          <w:rFonts w:hint="eastAsia" w:ascii="宋体" w:hAnsi="宋体"/>
          <w:color w:val="000000" w:themeColor="text1"/>
          <w:szCs w:val="21"/>
          <w:highlight w:val="none"/>
          <w14:textFill>
            <w14:solidFill>
              <w14:schemeClr w14:val="tx1"/>
            </w14:solidFill>
          </w14:textFill>
        </w:rPr>
      </w:pPr>
      <w:r>
        <w:rPr>
          <w:rFonts w:hint="eastAsia" w:ascii="宋体" w:hAnsi="宋体"/>
          <w:color w:val="000000" w:themeColor="text1"/>
          <w:szCs w:val="21"/>
          <w:highlight w:val="none"/>
          <w14:textFill>
            <w14:solidFill>
              <w14:schemeClr w14:val="tx1"/>
            </w14:solidFill>
          </w14:textFill>
        </w:rPr>
        <w:t>(2）总价金额与依据单价计算出的结果不一致的，以单价金额为准修正总价，但单价金额小数点有明显错误的除外。</w:t>
      </w:r>
    </w:p>
    <w:p w14:paraId="26E330FD">
      <w:pPr>
        <w:overflowPunct/>
        <w:bidi w:val="0"/>
        <w:spacing w:line="360" w:lineRule="auto"/>
        <w:ind w:firstLine="420" w:firstLineChars="200"/>
        <w:outlineLvl w:val="9"/>
        <w:rPr>
          <w:rFonts w:hint="eastAsia" w:ascii="宋体" w:hAnsi="宋体"/>
          <w:color w:val="000000" w:themeColor="text1"/>
          <w:szCs w:val="21"/>
          <w:highlight w:val="none"/>
          <w:lang w:val="en-US" w:eastAsia="zh-CN"/>
          <w14:textFill>
            <w14:solidFill>
              <w14:schemeClr w14:val="tx1"/>
            </w14:solidFill>
          </w14:textFill>
        </w:rPr>
      </w:pPr>
      <w:r>
        <w:rPr>
          <w:rFonts w:hint="eastAsia" w:ascii="宋体" w:hAnsi="宋体"/>
          <w:color w:val="000000" w:themeColor="text1"/>
          <w:szCs w:val="21"/>
          <w:highlight w:val="none"/>
          <w14:textFill>
            <w14:solidFill>
              <w14:schemeClr w14:val="tx1"/>
            </w14:solidFill>
          </w14:textFill>
        </w:rPr>
        <w:t>3.</w:t>
      </w:r>
      <w:r>
        <w:rPr>
          <w:rFonts w:hint="eastAsia" w:ascii="宋体" w:hAnsi="宋体"/>
          <w:color w:val="000000" w:themeColor="text1"/>
          <w:szCs w:val="21"/>
          <w:highlight w:val="none"/>
          <w:lang w:val="en-US" w:eastAsia="zh-CN"/>
          <w14:textFill>
            <w14:solidFill>
              <w14:schemeClr w14:val="tx1"/>
            </w14:solidFill>
          </w14:textFill>
        </w:rPr>
        <w:t>1</w:t>
      </w:r>
      <w:r>
        <w:rPr>
          <w:rFonts w:hint="eastAsia" w:ascii="宋体" w:hAnsi="宋体"/>
          <w:color w:val="000000" w:themeColor="text1"/>
          <w:szCs w:val="21"/>
          <w:highlight w:val="none"/>
          <w14:textFill>
            <w14:solidFill>
              <w14:schemeClr w14:val="tx1"/>
            </w14:solidFill>
          </w14:textFill>
        </w:rPr>
        <w:t>.</w:t>
      </w:r>
      <w:r>
        <w:rPr>
          <w:rFonts w:hint="eastAsia" w:ascii="宋体" w:hAnsi="宋体"/>
          <w:color w:val="000000" w:themeColor="text1"/>
          <w:szCs w:val="21"/>
          <w:highlight w:val="none"/>
          <w:lang w:val="en-US" w:eastAsia="zh-CN"/>
          <w14:textFill>
            <w14:solidFill>
              <w14:schemeClr w14:val="tx1"/>
            </w14:solidFill>
          </w14:textFill>
        </w:rPr>
        <w:t>4</w:t>
      </w:r>
      <w:r>
        <w:rPr>
          <w:rFonts w:hint="eastAsia" w:ascii="宋体" w:hAnsi="宋体"/>
          <w:color w:val="000000" w:themeColor="text1"/>
          <w:szCs w:val="21"/>
          <w:highlight w:val="none"/>
          <w14:textFill>
            <w14:solidFill>
              <w14:schemeClr w14:val="tx1"/>
            </w14:solidFill>
          </w14:textFill>
        </w:rPr>
        <w:t xml:space="preserve"> </w:t>
      </w:r>
      <w:r>
        <w:rPr>
          <w:rFonts w:hint="eastAsia" w:ascii="宋体" w:hAnsi="宋体"/>
          <w:color w:val="000000" w:themeColor="text1"/>
          <w:szCs w:val="21"/>
          <w:highlight w:val="none"/>
          <w:lang w:val="en-US" w:eastAsia="zh-CN"/>
          <w14:textFill>
            <w14:solidFill>
              <w14:schemeClr w14:val="tx1"/>
            </w14:solidFill>
          </w14:textFill>
        </w:rPr>
        <w:t>报价算术修正规则</w:t>
      </w:r>
    </w:p>
    <w:p w14:paraId="3E656C66">
      <w:pPr>
        <w:overflowPunct/>
        <w:bidi w:val="0"/>
        <w:spacing w:line="360" w:lineRule="auto"/>
        <w:ind w:firstLine="420" w:firstLineChars="200"/>
        <w:outlineLvl w:val="9"/>
        <w:rPr>
          <w:rFonts w:ascii="宋体" w:hAnsi="宋体"/>
          <w:color w:val="000000" w:themeColor="text1"/>
          <w:szCs w:val="21"/>
          <w:highlight w:val="none"/>
          <w14:textFill>
            <w14:solidFill>
              <w14:schemeClr w14:val="tx1"/>
            </w14:solidFill>
          </w14:textFill>
        </w:rPr>
      </w:pPr>
      <w:r>
        <w:rPr>
          <w:rFonts w:hint="eastAsia" w:ascii="宋体" w:hAnsi="宋体"/>
          <w:color w:val="000000" w:themeColor="text1"/>
          <w:szCs w:val="21"/>
          <w:highlight w:val="none"/>
          <w:lang w:val="en-US" w:eastAsia="zh-CN"/>
          <w14:textFill>
            <w14:solidFill>
              <w14:schemeClr w14:val="tx1"/>
            </w14:solidFill>
          </w14:textFill>
        </w:rPr>
        <w:t>非最终报价环节中，供应商的报价因明显的小数点位置错误或计价单位错误等原因超出了最高限价的，磋商小组可要求该供应商现场进行书面澄清，供应商拒绝澄清的，磋商小组应当将其作为无效报价处理。</w:t>
      </w:r>
    </w:p>
    <w:p w14:paraId="64CBED94">
      <w:pPr>
        <w:overflowPunct/>
        <w:bidi w:val="0"/>
        <w:outlineLvl w:val="9"/>
        <w:rPr>
          <w:rFonts w:ascii="宋体" w:hAnsi="宋体" w:eastAsia="宋体"/>
          <w:color w:val="000000" w:themeColor="text1"/>
          <w:highlight w:val="none"/>
          <w14:textFill>
            <w14:solidFill>
              <w14:schemeClr w14:val="tx1"/>
            </w14:solidFill>
          </w14:textFill>
        </w:rPr>
      </w:pPr>
      <w:bookmarkStart w:id="42" w:name="_Toc447010080"/>
      <w:r>
        <w:rPr>
          <w:rFonts w:hint="eastAsia" w:ascii="宋体" w:hAnsi="宋体" w:eastAsia="宋体"/>
          <w:color w:val="000000" w:themeColor="text1"/>
          <w:highlight w:val="none"/>
          <w14:textFill>
            <w14:solidFill>
              <w14:schemeClr w14:val="tx1"/>
            </w14:solidFill>
          </w14:textFill>
        </w:rPr>
        <w:t>3.</w:t>
      </w:r>
      <w:r>
        <w:rPr>
          <w:rFonts w:ascii="宋体" w:hAnsi="宋体" w:eastAsia="宋体"/>
          <w:color w:val="000000" w:themeColor="text1"/>
          <w:highlight w:val="none"/>
          <w14:textFill>
            <w14:solidFill>
              <w14:schemeClr w14:val="tx1"/>
            </w14:solidFill>
          </w14:textFill>
        </w:rPr>
        <w:t>2</w:t>
      </w:r>
      <w:r>
        <w:rPr>
          <w:rFonts w:hint="eastAsia" w:ascii="宋体" w:hAnsi="宋体" w:eastAsia="宋体"/>
          <w:color w:val="000000" w:themeColor="text1"/>
          <w:highlight w:val="none"/>
          <w14:textFill>
            <w14:solidFill>
              <w14:schemeClr w14:val="tx1"/>
            </w14:solidFill>
          </w14:textFill>
        </w:rPr>
        <w:t>响应文件的澄清</w:t>
      </w:r>
      <w:bookmarkEnd w:id="42"/>
    </w:p>
    <w:p w14:paraId="18998E50">
      <w:pPr>
        <w:overflowPunct/>
        <w:bidi w:val="0"/>
        <w:spacing w:line="360" w:lineRule="auto"/>
        <w:ind w:firstLine="420" w:firstLineChars="200"/>
        <w:outlineLvl w:val="9"/>
        <w:rPr>
          <w:rFonts w:ascii="宋体" w:hAnsi="宋体"/>
          <w:color w:val="000000" w:themeColor="text1"/>
          <w:szCs w:val="21"/>
          <w:highlight w:val="none"/>
          <w14:textFill>
            <w14:solidFill>
              <w14:schemeClr w14:val="tx1"/>
            </w14:solidFill>
          </w14:textFill>
        </w:rPr>
      </w:pPr>
      <w:r>
        <w:rPr>
          <w:rFonts w:hint="eastAsia" w:ascii="宋体" w:hAnsi="宋体"/>
          <w:color w:val="000000" w:themeColor="text1"/>
          <w:szCs w:val="21"/>
          <w:highlight w:val="none"/>
          <w14:textFill>
            <w14:solidFill>
              <w14:schemeClr w14:val="tx1"/>
            </w14:solidFill>
          </w14:textFill>
        </w:rPr>
        <w:t>在评审过程中，磋商小组可以书面形式，要求</w:t>
      </w:r>
      <w:r>
        <w:rPr>
          <w:rFonts w:hint="eastAsia" w:ascii="宋体" w:hAnsi="宋体"/>
          <w:color w:val="000000" w:themeColor="text1"/>
          <w:szCs w:val="21"/>
          <w:highlight w:val="none"/>
          <w:lang w:eastAsia="zh-CN"/>
          <w14:textFill>
            <w14:solidFill>
              <w14:schemeClr w14:val="tx1"/>
            </w14:solidFill>
          </w14:textFill>
        </w:rPr>
        <w:t>供应商</w:t>
      </w:r>
      <w:r>
        <w:rPr>
          <w:rFonts w:hint="eastAsia" w:ascii="宋体" w:hAnsi="宋体"/>
          <w:color w:val="000000" w:themeColor="text1"/>
          <w:szCs w:val="21"/>
          <w:highlight w:val="none"/>
          <w14:textFill>
            <w14:solidFill>
              <w14:schemeClr w14:val="tx1"/>
            </w14:solidFill>
          </w14:textFill>
        </w:rPr>
        <w:t>对所提交的响应文件中不明确的内容进行必要的澄清或说明。</w:t>
      </w:r>
      <w:r>
        <w:rPr>
          <w:rFonts w:hint="eastAsia" w:ascii="宋体" w:hAnsi="宋体"/>
          <w:color w:val="000000" w:themeColor="text1"/>
          <w:szCs w:val="21"/>
          <w:highlight w:val="none"/>
          <w:lang w:eastAsia="zh-CN"/>
          <w14:textFill>
            <w14:solidFill>
              <w14:schemeClr w14:val="tx1"/>
            </w14:solidFill>
          </w14:textFill>
        </w:rPr>
        <w:t>供应商</w:t>
      </w:r>
      <w:r>
        <w:rPr>
          <w:rFonts w:hint="eastAsia" w:ascii="宋体" w:hAnsi="宋体"/>
          <w:color w:val="000000" w:themeColor="text1"/>
          <w:szCs w:val="21"/>
          <w:highlight w:val="none"/>
          <w14:textFill>
            <w14:solidFill>
              <w14:schemeClr w14:val="tx1"/>
            </w14:solidFill>
          </w14:textFill>
        </w:rPr>
        <w:t>的澄清或说明采用书面形式，并不得改变响应文件的实质性内容。</w:t>
      </w:r>
      <w:r>
        <w:rPr>
          <w:rFonts w:hint="eastAsia" w:ascii="宋体" w:hAnsi="宋体"/>
          <w:color w:val="000000" w:themeColor="text1"/>
          <w:szCs w:val="21"/>
          <w:highlight w:val="none"/>
          <w:lang w:eastAsia="zh-CN"/>
          <w14:textFill>
            <w14:solidFill>
              <w14:schemeClr w14:val="tx1"/>
            </w14:solidFill>
          </w14:textFill>
        </w:rPr>
        <w:t>供应商</w:t>
      </w:r>
      <w:r>
        <w:rPr>
          <w:rFonts w:hint="eastAsia" w:ascii="宋体" w:hAnsi="宋体"/>
          <w:color w:val="000000" w:themeColor="text1"/>
          <w:szCs w:val="21"/>
          <w:highlight w:val="none"/>
          <w14:textFill>
            <w14:solidFill>
              <w14:schemeClr w14:val="tx1"/>
            </w14:solidFill>
          </w14:textFill>
        </w:rPr>
        <w:t>的澄清和说明内容属于响应文件的组成部分。采购人和磋商小组不接受</w:t>
      </w:r>
      <w:r>
        <w:rPr>
          <w:rFonts w:hint="eastAsia" w:ascii="宋体" w:hAnsi="宋体"/>
          <w:color w:val="000000" w:themeColor="text1"/>
          <w:szCs w:val="21"/>
          <w:highlight w:val="none"/>
          <w:lang w:eastAsia="zh-CN"/>
          <w14:textFill>
            <w14:solidFill>
              <w14:schemeClr w14:val="tx1"/>
            </w14:solidFill>
          </w14:textFill>
        </w:rPr>
        <w:t>供应商</w:t>
      </w:r>
      <w:r>
        <w:rPr>
          <w:rFonts w:hint="eastAsia" w:ascii="宋体" w:hAnsi="宋体"/>
          <w:color w:val="000000" w:themeColor="text1"/>
          <w:szCs w:val="21"/>
          <w:highlight w:val="none"/>
          <w14:textFill>
            <w14:solidFill>
              <w14:schemeClr w14:val="tx1"/>
            </w14:solidFill>
          </w14:textFill>
        </w:rPr>
        <w:t>主动提出的澄清或说明。</w:t>
      </w:r>
    </w:p>
    <w:p w14:paraId="66D0745E">
      <w:pPr>
        <w:overflowPunct/>
        <w:bidi w:val="0"/>
        <w:outlineLvl w:val="9"/>
        <w:rPr>
          <w:rFonts w:ascii="宋体" w:hAnsi="宋体" w:eastAsia="宋体"/>
          <w:color w:val="000000" w:themeColor="text1"/>
          <w:highlight w:val="none"/>
          <w14:textFill>
            <w14:solidFill>
              <w14:schemeClr w14:val="tx1"/>
            </w14:solidFill>
          </w14:textFill>
        </w:rPr>
      </w:pPr>
      <w:bookmarkStart w:id="43" w:name="_Toc447010081"/>
      <w:r>
        <w:rPr>
          <w:rFonts w:hint="eastAsia" w:ascii="宋体" w:hAnsi="宋体" w:eastAsia="宋体"/>
          <w:color w:val="000000" w:themeColor="text1"/>
          <w:highlight w:val="none"/>
          <w14:textFill>
            <w14:solidFill>
              <w14:schemeClr w14:val="tx1"/>
            </w14:solidFill>
          </w14:textFill>
        </w:rPr>
        <w:t>3.</w:t>
      </w:r>
      <w:r>
        <w:rPr>
          <w:rFonts w:ascii="宋体" w:hAnsi="宋体" w:eastAsia="宋体"/>
          <w:color w:val="000000" w:themeColor="text1"/>
          <w:highlight w:val="none"/>
          <w14:textFill>
            <w14:solidFill>
              <w14:schemeClr w14:val="tx1"/>
            </w14:solidFill>
          </w14:textFill>
        </w:rPr>
        <w:t>3</w:t>
      </w:r>
      <w:r>
        <w:rPr>
          <w:rFonts w:hint="eastAsia" w:ascii="宋体" w:hAnsi="宋体" w:eastAsia="宋体"/>
          <w:color w:val="000000" w:themeColor="text1"/>
          <w:highlight w:val="none"/>
          <w14:textFill>
            <w14:solidFill>
              <w14:schemeClr w14:val="tx1"/>
            </w14:solidFill>
          </w14:textFill>
        </w:rPr>
        <w:t>确定最终采购需求方案</w:t>
      </w:r>
      <w:bookmarkEnd w:id="43"/>
    </w:p>
    <w:p w14:paraId="0C6A266A">
      <w:pPr>
        <w:overflowPunct/>
        <w:bidi w:val="0"/>
        <w:spacing w:line="360" w:lineRule="auto"/>
        <w:ind w:firstLine="420" w:firstLineChars="200"/>
        <w:outlineLvl w:val="9"/>
        <w:rPr>
          <w:rFonts w:ascii="宋体" w:hAnsi="宋体"/>
          <w:color w:val="000000" w:themeColor="text1"/>
          <w:szCs w:val="21"/>
          <w:highlight w:val="none"/>
          <w14:textFill>
            <w14:solidFill>
              <w14:schemeClr w14:val="tx1"/>
            </w14:solidFill>
          </w14:textFill>
        </w:rPr>
      </w:pPr>
      <w:r>
        <w:rPr>
          <w:rFonts w:hint="eastAsia" w:ascii="宋体" w:hAnsi="宋体"/>
          <w:color w:val="000000" w:themeColor="text1"/>
          <w:szCs w:val="21"/>
          <w:highlight w:val="none"/>
          <w14:textFill>
            <w14:solidFill>
              <w14:schemeClr w14:val="tx1"/>
            </w14:solidFill>
          </w14:textFill>
        </w:rPr>
        <w:t>磋商小组可以与</w:t>
      </w:r>
      <w:r>
        <w:rPr>
          <w:rFonts w:hint="eastAsia" w:ascii="宋体" w:hAnsi="宋体"/>
          <w:color w:val="000000" w:themeColor="text1"/>
          <w:szCs w:val="21"/>
          <w:highlight w:val="none"/>
          <w:lang w:eastAsia="zh-CN"/>
          <w14:textFill>
            <w14:solidFill>
              <w14:schemeClr w14:val="tx1"/>
            </w14:solidFill>
          </w14:textFill>
        </w:rPr>
        <w:t>供应商</w:t>
      </w:r>
      <w:r>
        <w:rPr>
          <w:rFonts w:hint="eastAsia" w:ascii="宋体" w:hAnsi="宋体"/>
          <w:color w:val="000000" w:themeColor="text1"/>
          <w:szCs w:val="21"/>
          <w:highlight w:val="none"/>
          <w14:textFill>
            <w14:solidFill>
              <w14:schemeClr w14:val="tx1"/>
            </w14:solidFill>
          </w14:textFill>
        </w:rPr>
        <w:t>进行多轮磋商，磋商过程中可实质性修订磋商文件的技术、服务要求以及合同草案条款，</w:t>
      </w:r>
      <w:r>
        <w:rPr>
          <w:rFonts w:hint="eastAsia" w:ascii="宋体" w:hAnsi="宋体" w:cs="宋体"/>
          <w:color w:val="000000" w:themeColor="text1"/>
          <w:highlight w:val="none"/>
          <w14:textFill>
            <w14:solidFill>
              <w14:schemeClr w14:val="tx1"/>
            </w14:solidFill>
          </w14:textFill>
        </w:rPr>
        <w:t>但不得变动磋商文件中的其他内容。实质性变动的内容，须经采购人代表确认，</w:t>
      </w:r>
      <w:r>
        <w:rPr>
          <w:rFonts w:hint="eastAsia" w:ascii="宋体" w:hAnsi="宋体"/>
          <w:color w:val="000000" w:themeColor="text1"/>
          <w:szCs w:val="21"/>
          <w:highlight w:val="none"/>
          <w14:textFill>
            <w14:solidFill>
              <w14:schemeClr w14:val="tx1"/>
            </w14:solidFill>
          </w14:textFill>
        </w:rPr>
        <w:t>并及时以书面形式同时通知所有参与磋商的</w:t>
      </w:r>
      <w:r>
        <w:rPr>
          <w:rFonts w:hint="eastAsia" w:ascii="宋体" w:hAnsi="宋体"/>
          <w:color w:val="000000" w:themeColor="text1"/>
          <w:szCs w:val="21"/>
          <w:highlight w:val="none"/>
          <w:lang w:eastAsia="zh-CN"/>
          <w14:textFill>
            <w14:solidFill>
              <w14:schemeClr w14:val="tx1"/>
            </w14:solidFill>
          </w14:textFill>
        </w:rPr>
        <w:t>供应商</w:t>
      </w:r>
      <w:r>
        <w:rPr>
          <w:rFonts w:hint="eastAsia" w:ascii="宋体" w:hAnsi="宋体"/>
          <w:color w:val="000000" w:themeColor="text1"/>
          <w:szCs w:val="21"/>
          <w:highlight w:val="none"/>
          <w14:textFill>
            <w14:solidFill>
              <w14:schemeClr w14:val="tx1"/>
            </w14:solidFill>
          </w14:textFill>
        </w:rPr>
        <w:t>。</w:t>
      </w:r>
    </w:p>
    <w:p w14:paraId="1AC7D72C">
      <w:pPr>
        <w:overflowPunct/>
        <w:bidi w:val="0"/>
        <w:outlineLvl w:val="9"/>
        <w:rPr>
          <w:rFonts w:ascii="宋体" w:hAnsi="宋体" w:eastAsia="宋体"/>
          <w:color w:val="000000" w:themeColor="text1"/>
          <w:highlight w:val="none"/>
          <w14:textFill>
            <w14:solidFill>
              <w14:schemeClr w14:val="tx1"/>
            </w14:solidFill>
          </w14:textFill>
        </w:rPr>
      </w:pPr>
      <w:bookmarkStart w:id="44" w:name="_Toc447010082"/>
      <w:r>
        <w:rPr>
          <w:rFonts w:hint="eastAsia" w:ascii="宋体" w:hAnsi="宋体" w:eastAsia="宋体"/>
          <w:color w:val="000000" w:themeColor="text1"/>
          <w:highlight w:val="none"/>
          <w14:textFill>
            <w14:solidFill>
              <w14:schemeClr w14:val="tx1"/>
            </w14:solidFill>
          </w14:textFill>
        </w:rPr>
        <w:t>3.</w:t>
      </w:r>
      <w:r>
        <w:rPr>
          <w:rFonts w:ascii="宋体" w:hAnsi="宋体" w:eastAsia="宋体"/>
          <w:color w:val="000000" w:themeColor="text1"/>
          <w:highlight w:val="none"/>
          <w14:textFill>
            <w14:solidFill>
              <w14:schemeClr w14:val="tx1"/>
            </w14:solidFill>
          </w14:textFill>
        </w:rPr>
        <w:t>4</w:t>
      </w:r>
      <w:r>
        <w:rPr>
          <w:rFonts w:hint="eastAsia" w:ascii="宋体" w:hAnsi="宋体" w:eastAsia="宋体"/>
          <w:color w:val="000000" w:themeColor="text1"/>
          <w:highlight w:val="none"/>
          <w14:textFill>
            <w14:solidFill>
              <w14:schemeClr w14:val="tx1"/>
            </w14:solidFill>
          </w14:textFill>
        </w:rPr>
        <w:t>重新提交响应文件和最后报价</w:t>
      </w:r>
      <w:bookmarkEnd w:id="44"/>
    </w:p>
    <w:p w14:paraId="24D3129E">
      <w:pPr>
        <w:overflowPunct/>
        <w:topLinePunct/>
        <w:bidi w:val="0"/>
        <w:spacing w:line="400" w:lineRule="exact"/>
        <w:ind w:firstLine="420" w:firstLineChars="200"/>
        <w:outlineLvl w:val="9"/>
        <w:rPr>
          <w:rFonts w:ascii="宋体" w:hAnsi="宋体"/>
          <w:color w:val="000000" w:themeColor="text1"/>
          <w:szCs w:val="21"/>
          <w:highlight w:val="none"/>
          <w14:textFill>
            <w14:solidFill>
              <w14:schemeClr w14:val="tx1"/>
            </w14:solidFill>
          </w14:textFill>
        </w:rPr>
      </w:pPr>
      <w:r>
        <w:rPr>
          <w:rFonts w:hint="eastAsia" w:ascii="宋体" w:hAnsi="宋体"/>
          <w:color w:val="000000" w:themeColor="text1"/>
          <w:szCs w:val="21"/>
          <w:highlight w:val="none"/>
          <w14:textFill>
            <w14:solidFill>
              <w14:schemeClr w14:val="tx1"/>
            </w14:solidFill>
          </w14:textFill>
        </w:rPr>
        <w:t>3.</w:t>
      </w:r>
      <w:r>
        <w:rPr>
          <w:rFonts w:ascii="宋体" w:hAnsi="宋体"/>
          <w:color w:val="000000" w:themeColor="text1"/>
          <w:szCs w:val="21"/>
          <w:highlight w:val="none"/>
          <w14:textFill>
            <w14:solidFill>
              <w14:schemeClr w14:val="tx1"/>
            </w14:solidFill>
          </w14:textFill>
        </w:rPr>
        <w:t>4</w:t>
      </w:r>
      <w:r>
        <w:rPr>
          <w:rFonts w:hint="eastAsia" w:ascii="宋体" w:hAnsi="宋体"/>
          <w:color w:val="000000" w:themeColor="text1"/>
          <w:szCs w:val="21"/>
          <w:highlight w:val="none"/>
          <w14:textFill>
            <w14:solidFill>
              <w14:schemeClr w14:val="tx1"/>
            </w14:solidFill>
          </w14:textFill>
        </w:rPr>
        <w:t>.</w:t>
      </w:r>
      <w:r>
        <w:rPr>
          <w:rFonts w:ascii="宋体" w:hAnsi="宋体"/>
          <w:color w:val="000000" w:themeColor="text1"/>
          <w:szCs w:val="21"/>
          <w:highlight w:val="none"/>
          <w14:textFill>
            <w14:solidFill>
              <w14:schemeClr w14:val="tx1"/>
            </w14:solidFill>
          </w14:textFill>
        </w:rPr>
        <w:t>1</w:t>
      </w:r>
      <w:r>
        <w:rPr>
          <w:rFonts w:hint="eastAsia" w:ascii="宋体" w:hAnsi="宋体"/>
          <w:color w:val="000000" w:themeColor="text1"/>
          <w:szCs w:val="21"/>
          <w:highlight w:val="none"/>
          <w:lang w:eastAsia="zh-CN"/>
          <w14:textFill>
            <w14:solidFill>
              <w14:schemeClr w14:val="tx1"/>
            </w14:solidFill>
          </w14:textFill>
        </w:rPr>
        <w:t>供应商</w:t>
      </w:r>
      <w:r>
        <w:rPr>
          <w:rFonts w:hint="eastAsia" w:ascii="宋体" w:hAnsi="宋体"/>
          <w:color w:val="000000" w:themeColor="text1"/>
          <w:szCs w:val="21"/>
          <w:highlight w:val="none"/>
          <w14:textFill>
            <w14:solidFill>
              <w14:schemeClr w14:val="tx1"/>
            </w14:solidFill>
          </w14:textFill>
        </w:rPr>
        <w:t>应当按照磋商文件的变动情况和磋商小组的要求重新提交响应文件，并由其法定代表人或授权代表签字或者加盖公章。由授权代表签字的，应当附法定代表人授权书。</w:t>
      </w:r>
      <w:r>
        <w:rPr>
          <w:rFonts w:hint="eastAsia" w:ascii="宋体" w:hAnsi="宋体"/>
          <w:color w:val="000000" w:themeColor="text1"/>
          <w:szCs w:val="21"/>
          <w:highlight w:val="none"/>
          <w:lang w:eastAsia="zh-CN"/>
          <w14:textFill>
            <w14:solidFill>
              <w14:schemeClr w14:val="tx1"/>
            </w14:solidFill>
          </w14:textFill>
        </w:rPr>
        <w:t>供应商</w:t>
      </w:r>
      <w:r>
        <w:rPr>
          <w:rFonts w:hint="eastAsia" w:ascii="宋体" w:hAnsi="宋体"/>
          <w:color w:val="000000" w:themeColor="text1"/>
          <w:szCs w:val="21"/>
          <w:highlight w:val="none"/>
          <w14:textFill>
            <w14:solidFill>
              <w14:schemeClr w14:val="tx1"/>
            </w14:solidFill>
          </w14:textFill>
        </w:rPr>
        <w:t>为自然人的，应当由本人签字并附身份证明</w:t>
      </w:r>
      <w:r>
        <w:rPr>
          <w:rFonts w:hint="eastAsia" w:ascii="宋体" w:hAnsi="宋体"/>
          <w:color w:val="000000" w:themeColor="text1"/>
          <w:szCs w:val="21"/>
          <w:highlight w:val="none"/>
          <w:lang w:val="en-US" w:eastAsia="zh-CN"/>
          <w14:textFill>
            <w14:solidFill>
              <w14:schemeClr w14:val="tx1"/>
            </w14:solidFill>
          </w14:textFill>
        </w:rPr>
        <w:t>扫描件</w:t>
      </w:r>
      <w:r>
        <w:rPr>
          <w:rFonts w:hint="eastAsia" w:ascii="宋体" w:hAnsi="宋体"/>
          <w:color w:val="000000" w:themeColor="text1"/>
          <w:szCs w:val="21"/>
          <w:highlight w:val="none"/>
          <w14:textFill>
            <w14:solidFill>
              <w14:schemeClr w14:val="tx1"/>
            </w14:solidFill>
          </w14:textFill>
        </w:rPr>
        <w:t>。</w:t>
      </w:r>
    </w:p>
    <w:p w14:paraId="2AB2E1BC">
      <w:pPr>
        <w:overflowPunct/>
        <w:topLinePunct/>
        <w:bidi w:val="0"/>
        <w:spacing w:line="400" w:lineRule="exact"/>
        <w:ind w:firstLine="420" w:firstLineChars="200"/>
        <w:outlineLvl w:val="9"/>
        <w:rPr>
          <w:rFonts w:ascii="宋体" w:hAnsi="宋体"/>
          <w:color w:val="000000" w:themeColor="text1"/>
          <w:szCs w:val="21"/>
          <w:highlight w:val="none"/>
          <w14:textFill>
            <w14:solidFill>
              <w14:schemeClr w14:val="tx1"/>
            </w14:solidFill>
          </w14:textFill>
        </w:rPr>
      </w:pPr>
      <w:r>
        <w:rPr>
          <w:rFonts w:hint="eastAsia" w:ascii="宋体" w:hAnsi="宋体"/>
          <w:color w:val="000000" w:themeColor="text1"/>
          <w:szCs w:val="21"/>
          <w:highlight w:val="none"/>
          <w14:textFill>
            <w14:solidFill>
              <w14:schemeClr w14:val="tx1"/>
            </w14:solidFill>
          </w14:textFill>
        </w:rPr>
        <w:t>3.</w:t>
      </w:r>
      <w:r>
        <w:rPr>
          <w:rFonts w:ascii="宋体" w:hAnsi="宋体"/>
          <w:color w:val="000000" w:themeColor="text1"/>
          <w:szCs w:val="21"/>
          <w:highlight w:val="none"/>
          <w14:textFill>
            <w14:solidFill>
              <w14:schemeClr w14:val="tx1"/>
            </w14:solidFill>
          </w14:textFill>
        </w:rPr>
        <w:t>4</w:t>
      </w:r>
      <w:r>
        <w:rPr>
          <w:rFonts w:hint="eastAsia" w:ascii="宋体" w:hAnsi="宋体"/>
          <w:color w:val="000000" w:themeColor="text1"/>
          <w:szCs w:val="21"/>
          <w:highlight w:val="none"/>
          <w14:textFill>
            <w14:solidFill>
              <w14:schemeClr w14:val="tx1"/>
            </w14:solidFill>
          </w14:textFill>
        </w:rPr>
        <w:t>.</w:t>
      </w:r>
      <w:r>
        <w:rPr>
          <w:rFonts w:ascii="宋体" w:hAnsi="宋体"/>
          <w:color w:val="000000" w:themeColor="text1"/>
          <w:szCs w:val="21"/>
          <w:highlight w:val="none"/>
          <w14:textFill>
            <w14:solidFill>
              <w14:schemeClr w14:val="tx1"/>
            </w14:solidFill>
          </w14:textFill>
        </w:rPr>
        <w:t>2</w:t>
      </w:r>
      <w:r>
        <w:rPr>
          <w:rFonts w:hint="eastAsia" w:ascii="宋体" w:hAnsi="宋体"/>
          <w:color w:val="000000" w:themeColor="text1"/>
          <w:szCs w:val="21"/>
          <w:highlight w:val="none"/>
          <w14:textFill>
            <w14:solidFill>
              <w14:schemeClr w14:val="tx1"/>
            </w14:solidFill>
          </w14:textFill>
        </w:rPr>
        <w:t>磋商结束后，磋商小组应当要求所有实质性响应的</w:t>
      </w:r>
      <w:r>
        <w:rPr>
          <w:rFonts w:hint="eastAsia" w:ascii="宋体" w:hAnsi="宋体"/>
          <w:color w:val="000000" w:themeColor="text1"/>
          <w:szCs w:val="21"/>
          <w:highlight w:val="none"/>
          <w:lang w:eastAsia="zh-CN"/>
          <w14:textFill>
            <w14:solidFill>
              <w14:schemeClr w14:val="tx1"/>
            </w14:solidFill>
          </w14:textFill>
        </w:rPr>
        <w:t>供应商</w:t>
      </w:r>
      <w:r>
        <w:rPr>
          <w:rFonts w:hint="eastAsia" w:ascii="宋体" w:hAnsi="宋体"/>
          <w:color w:val="000000" w:themeColor="text1"/>
          <w:szCs w:val="21"/>
          <w:highlight w:val="none"/>
          <w14:textFill>
            <w14:solidFill>
              <w14:schemeClr w14:val="tx1"/>
            </w14:solidFill>
          </w14:textFill>
        </w:rPr>
        <w:t>在规定时间内提交最后报价。</w:t>
      </w:r>
    </w:p>
    <w:p w14:paraId="2271284A">
      <w:pPr>
        <w:overflowPunct/>
        <w:bidi w:val="0"/>
        <w:outlineLvl w:val="9"/>
        <w:rPr>
          <w:rFonts w:ascii="宋体" w:hAnsi="宋体" w:eastAsia="宋体"/>
          <w:color w:val="000000" w:themeColor="text1"/>
          <w:highlight w:val="none"/>
          <w14:textFill>
            <w14:solidFill>
              <w14:schemeClr w14:val="tx1"/>
            </w14:solidFill>
          </w14:textFill>
        </w:rPr>
      </w:pPr>
      <w:r>
        <w:rPr>
          <w:rFonts w:hint="eastAsia" w:ascii="宋体" w:hAnsi="宋体" w:eastAsia="宋体"/>
          <w:color w:val="000000" w:themeColor="text1"/>
          <w:highlight w:val="none"/>
          <w14:textFill>
            <w14:solidFill>
              <w14:schemeClr w14:val="tx1"/>
            </w14:solidFill>
          </w14:textFill>
        </w:rPr>
        <w:t>3.5详细评审</w:t>
      </w:r>
    </w:p>
    <w:p w14:paraId="69AA10B5">
      <w:pPr>
        <w:overflowPunct/>
        <w:bidi w:val="0"/>
        <w:spacing w:line="360" w:lineRule="auto"/>
        <w:ind w:firstLine="420" w:firstLineChars="200"/>
        <w:outlineLvl w:val="9"/>
        <w:rPr>
          <w:rFonts w:ascii="宋体" w:hAnsi="宋体"/>
          <w:color w:val="000000" w:themeColor="text1"/>
          <w:szCs w:val="21"/>
          <w:highlight w:val="none"/>
          <w14:textFill>
            <w14:solidFill>
              <w14:schemeClr w14:val="tx1"/>
            </w14:solidFill>
          </w14:textFill>
        </w:rPr>
      </w:pPr>
      <w:r>
        <w:rPr>
          <w:rFonts w:hint="eastAsia" w:ascii="宋体" w:hAnsi="宋体"/>
          <w:color w:val="000000" w:themeColor="text1"/>
          <w:szCs w:val="21"/>
          <w:highlight w:val="none"/>
          <w14:textFill>
            <w14:solidFill>
              <w14:schemeClr w14:val="tx1"/>
            </w14:solidFill>
          </w14:textFill>
        </w:rPr>
        <w:t>3.5.1最后报价结束后，磋商小组依据本章第2.2款规定的标准，对提交最后报价的</w:t>
      </w:r>
      <w:r>
        <w:rPr>
          <w:rFonts w:hint="eastAsia" w:ascii="宋体" w:hAnsi="宋体"/>
          <w:color w:val="000000" w:themeColor="text1"/>
          <w:szCs w:val="21"/>
          <w:highlight w:val="none"/>
          <w:lang w:eastAsia="zh-CN"/>
          <w14:textFill>
            <w14:solidFill>
              <w14:schemeClr w14:val="tx1"/>
            </w14:solidFill>
          </w14:textFill>
        </w:rPr>
        <w:t>供应商</w:t>
      </w:r>
      <w:r>
        <w:rPr>
          <w:rFonts w:hint="eastAsia" w:ascii="宋体" w:hAnsi="宋体"/>
          <w:color w:val="000000" w:themeColor="text1"/>
          <w:szCs w:val="21"/>
          <w:highlight w:val="none"/>
          <w14:textFill>
            <w14:solidFill>
              <w14:schemeClr w14:val="tx1"/>
            </w14:solidFill>
          </w14:textFill>
        </w:rPr>
        <w:t>的响应文件和最后报价进行综合评分。</w:t>
      </w:r>
    </w:p>
    <w:p w14:paraId="0AF2FC14">
      <w:pPr>
        <w:overflowPunct/>
        <w:bidi w:val="0"/>
        <w:spacing w:line="360" w:lineRule="auto"/>
        <w:ind w:firstLine="420" w:firstLineChars="200"/>
        <w:outlineLvl w:val="9"/>
        <w:rPr>
          <w:rFonts w:ascii="宋体" w:hAnsi="宋体"/>
          <w:color w:val="000000" w:themeColor="text1"/>
          <w:szCs w:val="21"/>
          <w:highlight w:val="none"/>
          <w14:textFill>
            <w14:solidFill>
              <w14:schemeClr w14:val="tx1"/>
            </w14:solidFill>
          </w14:textFill>
        </w:rPr>
      </w:pPr>
      <w:r>
        <w:rPr>
          <w:rFonts w:hint="eastAsia" w:ascii="宋体" w:hAnsi="宋体"/>
          <w:color w:val="000000" w:themeColor="text1"/>
          <w:szCs w:val="21"/>
          <w:highlight w:val="none"/>
          <w14:textFill>
            <w14:solidFill>
              <w14:schemeClr w14:val="tx1"/>
            </w14:solidFill>
          </w14:textFill>
        </w:rPr>
        <w:t>(1）按本章第2.2.4(1）目规定的评审因素和分值对</w:t>
      </w:r>
      <w:r>
        <w:rPr>
          <w:rFonts w:hint="eastAsia" w:ascii="宋体" w:hAnsi="宋体"/>
          <w:color w:val="000000" w:themeColor="text1"/>
          <w:szCs w:val="21"/>
          <w:highlight w:val="none"/>
          <w:lang w:val="en-US" w:eastAsia="zh-CN"/>
          <w14:textFill>
            <w14:solidFill>
              <w14:schemeClr w14:val="tx1"/>
            </w14:solidFill>
          </w14:textFill>
        </w:rPr>
        <w:t>商务因素</w:t>
      </w:r>
      <w:r>
        <w:rPr>
          <w:rFonts w:hint="eastAsia" w:ascii="宋体" w:hAnsi="宋体"/>
          <w:color w:val="000000" w:themeColor="text1"/>
          <w:szCs w:val="21"/>
          <w:highlight w:val="none"/>
          <w14:textFill>
            <w14:solidFill>
              <w14:schemeClr w14:val="tx1"/>
            </w14:solidFill>
          </w14:textFill>
        </w:rPr>
        <w:t>计算出得分A ；</w:t>
      </w:r>
    </w:p>
    <w:p w14:paraId="2EAA95FE">
      <w:pPr>
        <w:overflowPunct/>
        <w:bidi w:val="0"/>
        <w:spacing w:line="360" w:lineRule="auto"/>
        <w:ind w:firstLine="420" w:firstLineChars="200"/>
        <w:outlineLvl w:val="9"/>
        <w:rPr>
          <w:rFonts w:ascii="宋体" w:hAnsi="宋体"/>
          <w:color w:val="000000" w:themeColor="text1"/>
          <w:szCs w:val="21"/>
          <w:highlight w:val="none"/>
          <w14:textFill>
            <w14:solidFill>
              <w14:schemeClr w14:val="tx1"/>
            </w14:solidFill>
          </w14:textFill>
        </w:rPr>
      </w:pPr>
      <w:r>
        <w:rPr>
          <w:rFonts w:hint="eastAsia" w:ascii="宋体" w:hAnsi="宋体"/>
          <w:color w:val="000000" w:themeColor="text1"/>
          <w:szCs w:val="21"/>
          <w:highlight w:val="none"/>
          <w14:textFill>
            <w14:solidFill>
              <w14:schemeClr w14:val="tx1"/>
            </w14:solidFill>
          </w14:textFill>
        </w:rPr>
        <w:t>(2）按本章第2.2.4(2）目规定的评审因素和分值对</w:t>
      </w:r>
      <w:r>
        <w:rPr>
          <w:rFonts w:hint="eastAsia" w:ascii="宋体" w:hAnsi="宋体"/>
          <w:color w:val="000000" w:themeColor="text1"/>
          <w:szCs w:val="21"/>
          <w:highlight w:val="none"/>
          <w:lang w:val="en-US" w:eastAsia="zh-CN"/>
          <w14:textFill>
            <w14:solidFill>
              <w14:schemeClr w14:val="tx1"/>
            </w14:solidFill>
          </w14:textFill>
        </w:rPr>
        <w:t>磋商报价</w:t>
      </w:r>
      <w:r>
        <w:rPr>
          <w:rFonts w:hint="eastAsia" w:ascii="宋体" w:hAnsi="宋体"/>
          <w:color w:val="000000" w:themeColor="text1"/>
          <w:szCs w:val="21"/>
          <w:highlight w:val="none"/>
          <w14:textFill>
            <w14:solidFill>
              <w14:schemeClr w14:val="tx1"/>
            </w14:solidFill>
          </w14:textFill>
        </w:rPr>
        <w:t>计算出得分B；</w:t>
      </w:r>
    </w:p>
    <w:p w14:paraId="0F305C7A">
      <w:pPr>
        <w:overflowPunct/>
        <w:bidi w:val="0"/>
        <w:spacing w:line="360" w:lineRule="auto"/>
        <w:ind w:firstLine="420" w:firstLineChars="200"/>
        <w:outlineLvl w:val="9"/>
        <w:rPr>
          <w:rFonts w:ascii="宋体" w:hAnsi="宋体"/>
          <w:color w:val="000000" w:themeColor="text1"/>
          <w:szCs w:val="21"/>
          <w:highlight w:val="none"/>
          <w14:textFill>
            <w14:solidFill>
              <w14:schemeClr w14:val="tx1"/>
            </w14:solidFill>
          </w14:textFill>
        </w:rPr>
      </w:pPr>
      <w:r>
        <w:rPr>
          <w:rFonts w:hint="eastAsia" w:ascii="宋体" w:hAnsi="宋体"/>
          <w:color w:val="000000" w:themeColor="text1"/>
          <w:szCs w:val="21"/>
          <w:highlight w:val="none"/>
          <w14:textFill>
            <w14:solidFill>
              <w14:schemeClr w14:val="tx1"/>
            </w14:solidFill>
          </w14:textFill>
        </w:rPr>
        <w:t>(3）按本章第2.2.4(3）目规定的评审因素和分值对</w:t>
      </w:r>
      <w:r>
        <w:rPr>
          <w:rFonts w:hint="eastAsia" w:ascii="宋体" w:hAnsi="宋体"/>
          <w:color w:val="000000" w:themeColor="text1"/>
          <w:szCs w:val="21"/>
          <w:highlight w:val="none"/>
          <w:lang w:val="en-US" w:eastAsia="zh-CN"/>
          <w14:textFill>
            <w14:solidFill>
              <w14:schemeClr w14:val="tx1"/>
            </w14:solidFill>
          </w14:textFill>
        </w:rPr>
        <w:t>技术因素</w:t>
      </w:r>
      <w:r>
        <w:rPr>
          <w:rFonts w:hint="eastAsia" w:ascii="宋体" w:hAnsi="宋体"/>
          <w:color w:val="000000" w:themeColor="text1"/>
          <w:szCs w:val="21"/>
          <w:highlight w:val="none"/>
          <w14:textFill>
            <w14:solidFill>
              <w14:schemeClr w14:val="tx1"/>
            </w14:solidFill>
          </w14:textFill>
        </w:rPr>
        <w:t>计算出得分C；</w:t>
      </w:r>
    </w:p>
    <w:p w14:paraId="09C472A0">
      <w:pPr>
        <w:overflowPunct/>
        <w:bidi w:val="0"/>
        <w:spacing w:line="360" w:lineRule="auto"/>
        <w:ind w:firstLine="420" w:firstLineChars="200"/>
        <w:outlineLvl w:val="9"/>
        <w:rPr>
          <w:rFonts w:ascii="宋体" w:hAnsi="宋体"/>
          <w:color w:val="000000" w:themeColor="text1"/>
          <w:szCs w:val="21"/>
          <w:highlight w:val="none"/>
          <w14:textFill>
            <w14:solidFill>
              <w14:schemeClr w14:val="tx1"/>
            </w14:solidFill>
          </w14:textFill>
        </w:rPr>
      </w:pPr>
      <w:r>
        <w:rPr>
          <w:rFonts w:hint="eastAsia" w:ascii="宋体" w:hAnsi="宋体"/>
          <w:color w:val="000000" w:themeColor="text1"/>
          <w:szCs w:val="21"/>
          <w:highlight w:val="none"/>
          <w14:textFill>
            <w14:solidFill>
              <w14:schemeClr w14:val="tx1"/>
            </w14:solidFill>
          </w14:textFill>
        </w:rPr>
        <w:t>(4）按本章第2.2.4(4）目规定的评审因素和分值对其他</w:t>
      </w:r>
      <w:r>
        <w:rPr>
          <w:rFonts w:hint="eastAsia" w:ascii="宋体" w:hAnsi="宋体"/>
          <w:color w:val="000000" w:themeColor="text1"/>
          <w:szCs w:val="21"/>
          <w:highlight w:val="none"/>
          <w:lang w:val="en-US" w:eastAsia="zh-CN"/>
          <w14:textFill>
            <w14:solidFill>
              <w14:schemeClr w14:val="tx1"/>
            </w14:solidFill>
          </w14:textFill>
        </w:rPr>
        <w:t>因素</w:t>
      </w:r>
      <w:r>
        <w:rPr>
          <w:rFonts w:hint="eastAsia" w:ascii="宋体" w:hAnsi="宋体"/>
          <w:color w:val="000000" w:themeColor="text1"/>
          <w:szCs w:val="21"/>
          <w:highlight w:val="none"/>
          <w14:textFill>
            <w14:solidFill>
              <w14:schemeClr w14:val="tx1"/>
            </w14:solidFill>
          </w14:textFill>
        </w:rPr>
        <w:t>计算出得分D 。</w:t>
      </w:r>
    </w:p>
    <w:p w14:paraId="7DB8302E">
      <w:pPr>
        <w:overflowPunct/>
        <w:bidi w:val="0"/>
        <w:spacing w:line="360" w:lineRule="auto"/>
        <w:ind w:firstLine="420" w:firstLineChars="200"/>
        <w:outlineLvl w:val="9"/>
        <w:rPr>
          <w:rFonts w:ascii="宋体" w:hAnsi="宋体"/>
          <w:color w:val="000000" w:themeColor="text1"/>
          <w:szCs w:val="21"/>
          <w:highlight w:val="none"/>
          <w14:textFill>
            <w14:solidFill>
              <w14:schemeClr w14:val="tx1"/>
            </w14:solidFill>
          </w14:textFill>
        </w:rPr>
      </w:pPr>
      <w:r>
        <w:rPr>
          <w:rFonts w:hint="eastAsia" w:ascii="宋体" w:hAnsi="宋体"/>
          <w:color w:val="000000" w:themeColor="text1"/>
          <w:szCs w:val="21"/>
          <w:highlight w:val="none"/>
          <w14:textFill>
            <w14:solidFill>
              <w14:schemeClr w14:val="tx1"/>
            </w14:solidFill>
          </w14:textFill>
        </w:rPr>
        <w:t>3.5.2 评分分值计算保留小数点后两位，小数点后第三位“四舍五入”。</w:t>
      </w:r>
    </w:p>
    <w:p w14:paraId="721D6194">
      <w:pPr>
        <w:overflowPunct/>
        <w:bidi w:val="0"/>
        <w:spacing w:line="360" w:lineRule="auto"/>
        <w:ind w:firstLine="420" w:firstLineChars="200"/>
        <w:outlineLvl w:val="9"/>
        <w:rPr>
          <w:rFonts w:hint="eastAsia" w:ascii="宋体" w:hAnsi="宋体"/>
          <w:color w:val="000000" w:themeColor="text1"/>
          <w:szCs w:val="21"/>
          <w:highlight w:val="none"/>
          <w14:textFill>
            <w14:solidFill>
              <w14:schemeClr w14:val="tx1"/>
            </w14:solidFill>
          </w14:textFill>
        </w:rPr>
      </w:pPr>
      <w:r>
        <w:rPr>
          <w:rFonts w:hint="eastAsia" w:ascii="宋体" w:hAnsi="宋体"/>
          <w:color w:val="000000" w:themeColor="text1"/>
          <w:szCs w:val="21"/>
          <w:highlight w:val="none"/>
          <w14:textFill>
            <w14:solidFill>
              <w14:schemeClr w14:val="tx1"/>
            </w14:solidFill>
          </w14:textFill>
        </w:rPr>
        <w:t xml:space="preserve">3.5.3 </w:t>
      </w:r>
      <w:r>
        <w:rPr>
          <w:rFonts w:hint="eastAsia" w:ascii="宋体" w:hAnsi="宋体"/>
          <w:color w:val="000000" w:themeColor="text1"/>
          <w:szCs w:val="21"/>
          <w:highlight w:val="none"/>
          <w:lang w:eastAsia="zh-CN"/>
          <w14:textFill>
            <w14:solidFill>
              <w14:schemeClr w14:val="tx1"/>
            </w14:solidFill>
          </w14:textFill>
        </w:rPr>
        <w:t>供应商</w:t>
      </w:r>
      <w:r>
        <w:rPr>
          <w:rFonts w:hint="eastAsia" w:ascii="宋体" w:hAnsi="宋体"/>
          <w:color w:val="000000" w:themeColor="text1"/>
          <w:szCs w:val="21"/>
          <w:highlight w:val="none"/>
          <w14:textFill>
            <w14:solidFill>
              <w14:schemeClr w14:val="tx1"/>
            </w14:solidFill>
          </w14:textFill>
        </w:rPr>
        <w:t>得分=A十B十C十D 。</w:t>
      </w:r>
    </w:p>
    <w:p w14:paraId="4B674B6C">
      <w:pPr>
        <w:overflowPunct/>
        <w:bidi w:val="0"/>
        <w:spacing w:line="360" w:lineRule="auto"/>
        <w:ind w:firstLine="420" w:firstLineChars="200"/>
        <w:outlineLvl w:val="9"/>
        <w:rPr>
          <w:rFonts w:hint="eastAsia" w:ascii="宋体" w:hAnsi="宋体"/>
          <w:color w:val="000000" w:themeColor="text1"/>
          <w:szCs w:val="21"/>
          <w:highlight w:val="none"/>
          <w14:textFill>
            <w14:solidFill>
              <w14:schemeClr w14:val="tx1"/>
            </w14:solidFill>
          </w14:textFill>
        </w:rPr>
      </w:pPr>
      <w:r>
        <w:rPr>
          <w:rFonts w:hint="eastAsia" w:ascii="宋体" w:hAnsi="宋体"/>
          <w:color w:val="000000" w:themeColor="text1"/>
          <w:szCs w:val="21"/>
          <w:highlight w:val="none"/>
          <w14:textFill>
            <w14:solidFill>
              <w14:schemeClr w14:val="tx1"/>
            </w14:solidFill>
          </w14:textFill>
        </w:rPr>
        <w:t>3.5.4 依据财政部第87号令第60条：评标委员会发现供应商的报价明显低于其他通过符合性审查供应商的报价，有可能影响产品质量或者不能诚信履约的，应当要求该供应商在评标现场四十分钟内作出书面说明证明其报价的合理性并提供相应的证明材料。供应商不能合理说明其报价的合理性或者不能提供相应证明材料的，由评标委员会认定该供应商以恶意畸低报价竞标，其投标将被否决。</w:t>
      </w:r>
    </w:p>
    <w:p w14:paraId="4B12B2E9">
      <w:pPr>
        <w:overflowPunct/>
        <w:bidi w:val="0"/>
        <w:outlineLvl w:val="9"/>
        <w:rPr>
          <w:rFonts w:ascii="宋体" w:hAnsi="宋体" w:eastAsia="宋体"/>
          <w:color w:val="000000" w:themeColor="text1"/>
          <w:highlight w:val="none"/>
          <w14:textFill>
            <w14:solidFill>
              <w14:schemeClr w14:val="tx1"/>
            </w14:solidFill>
          </w14:textFill>
        </w:rPr>
      </w:pPr>
      <w:r>
        <w:rPr>
          <w:rFonts w:hint="eastAsia" w:ascii="宋体" w:hAnsi="宋体" w:eastAsia="宋体"/>
          <w:color w:val="000000" w:themeColor="text1"/>
          <w:highlight w:val="none"/>
          <w14:textFill>
            <w14:solidFill>
              <w14:schemeClr w14:val="tx1"/>
            </w14:solidFill>
          </w14:textFill>
        </w:rPr>
        <w:t>3.4 评审结果</w:t>
      </w:r>
    </w:p>
    <w:p w14:paraId="562B0951">
      <w:pPr>
        <w:overflowPunct/>
        <w:bidi w:val="0"/>
        <w:spacing w:line="360" w:lineRule="auto"/>
        <w:ind w:firstLine="420" w:firstLineChars="200"/>
        <w:outlineLvl w:val="9"/>
        <w:rPr>
          <w:rFonts w:ascii="宋体" w:hAnsi="宋体"/>
          <w:color w:val="000000" w:themeColor="text1"/>
          <w:szCs w:val="21"/>
          <w:highlight w:val="none"/>
          <w14:textFill>
            <w14:solidFill>
              <w14:schemeClr w14:val="tx1"/>
            </w14:solidFill>
          </w14:textFill>
        </w:rPr>
      </w:pPr>
      <w:r>
        <w:rPr>
          <w:rFonts w:hint="eastAsia" w:ascii="宋体" w:hAnsi="宋体"/>
          <w:color w:val="000000" w:themeColor="text1"/>
          <w:szCs w:val="21"/>
          <w:highlight w:val="none"/>
          <w14:textFill>
            <w14:solidFill>
              <w14:schemeClr w14:val="tx1"/>
            </w14:solidFill>
          </w14:textFill>
        </w:rPr>
        <w:t>3.4.1 除第二章“</w:t>
      </w:r>
      <w:r>
        <w:rPr>
          <w:rFonts w:hint="eastAsia" w:ascii="宋体" w:hAnsi="宋体"/>
          <w:color w:val="000000" w:themeColor="text1"/>
          <w:szCs w:val="21"/>
          <w:highlight w:val="none"/>
          <w:lang w:eastAsia="zh-CN"/>
          <w14:textFill>
            <w14:solidFill>
              <w14:schemeClr w14:val="tx1"/>
            </w14:solidFill>
          </w14:textFill>
        </w:rPr>
        <w:t>供应商</w:t>
      </w:r>
      <w:r>
        <w:rPr>
          <w:rFonts w:hint="eastAsia" w:ascii="宋体" w:hAnsi="宋体"/>
          <w:color w:val="000000" w:themeColor="text1"/>
          <w:szCs w:val="21"/>
          <w:highlight w:val="none"/>
          <w14:textFill>
            <w14:solidFill>
              <w14:schemeClr w14:val="tx1"/>
            </w14:solidFill>
          </w14:textFill>
        </w:rPr>
        <w:t>须知”前附表授权直接确定中标成交单位外，磋商小组按照得分高到低的顺序推荐成交候选人。</w:t>
      </w:r>
    </w:p>
    <w:p w14:paraId="476E2698">
      <w:pPr>
        <w:overflowPunct/>
        <w:bidi w:val="0"/>
        <w:spacing w:line="360" w:lineRule="auto"/>
        <w:ind w:firstLine="420" w:firstLineChars="200"/>
        <w:outlineLvl w:val="9"/>
        <w:rPr>
          <w:rFonts w:hint="eastAsia" w:ascii="宋体" w:hAnsi="宋体"/>
          <w:color w:val="000000" w:themeColor="text1"/>
          <w:szCs w:val="21"/>
          <w:highlight w:val="none"/>
          <w14:textFill>
            <w14:solidFill>
              <w14:schemeClr w14:val="tx1"/>
            </w14:solidFill>
          </w14:textFill>
        </w:rPr>
      </w:pPr>
      <w:r>
        <w:rPr>
          <w:rFonts w:hint="eastAsia" w:ascii="宋体" w:hAnsi="宋体"/>
          <w:color w:val="000000" w:themeColor="text1"/>
          <w:szCs w:val="21"/>
          <w:highlight w:val="none"/>
          <w14:textFill>
            <w14:solidFill>
              <w14:schemeClr w14:val="tx1"/>
            </w14:solidFill>
          </w14:textFill>
        </w:rPr>
        <w:t>3.4.2 磋商小组完成评审工作后，应当向采购人提交书面评审报告。</w:t>
      </w:r>
    </w:p>
    <w:p w14:paraId="375A6D88">
      <w:pPr>
        <w:keepNext w:val="0"/>
        <w:keepLines w:val="0"/>
        <w:pageBreakBefore w:val="0"/>
        <w:widowControl w:val="0"/>
        <w:kinsoku/>
        <w:wordWrap/>
        <w:overflowPunct/>
        <w:topLinePunct w:val="0"/>
        <w:autoSpaceDE/>
        <w:autoSpaceDN/>
        <w:bidi w:val="0"/>
        <w:adjustRightInd/>
        <w:snapToGrid/>
        <w:jc w:val="center"/>
        <w:textAlignment w:val="auto"/>
        <w:outlineLvl w:val="0"/>
        <w:rPr>
          <w:rFonts w:hint="eastAsia"/>
          <w:b/>
          <w:bCs/>
          <w:color w:val="000000" w:themeColor="text1"/>
          <w:sz w:val="36"/>
          <w:szCs w:val="36"/>
          <w:highlight w:val="none"/>
          <w:lang w:val="en-US" w:eastAsia="zh-CN"/>
          <w14:textFill>
            <w14:solidFill>
              <w14:schemeClr w14:val="tx1"/>
            </w14:solidFill>
          </w14:textFill>
        </w:rPr>
      </w:pPr>
      <w:bookmarkStart w:id="45" w:name="_Toc5702"/>
      <w:bookmarkStart w:id="46" w:name="_Toc25189"/>
      <w:r>
        <w:rPr>
          <w:rFonts w:hint="eastAsia"/>
          <w:b/>
          <w:bCs/>
          <w:color w:val="000000" w:themeColor="text1"/>
          <w:sz w:val="36"/>
          <w:szCs w:val="36"/>
          <w:highlight w:val="none"/>
          <w:lang w:val="en-US" w:eastAsia="zh-CN"/>
          <w14:textFill>
            <w14:solidFill>
              <w14:schemeClr w14:val="tx1"/>
            </w14:solidFill>
          </w14:textFill>
        </w:rPr>
        <w:t>第三章 合同条款及格式</w:t>
      </w:r>
      <w:bookmarkEnd w:id="45"/>
      <w:bookmarkEnd w:id="46"/>
    </w:p>
    <w:p w14:paraId="2B8BD7EC">
      <w:pPr>
        <w:pStyle w:val="16"/>
        <w:overflowPunct/>
        <w:bidi w:val="0"/>
        <w:spacing w:line="360" w:lineRule="auto"/>
        <w:ind w:left="0" w:leftChars="0" w:firstLine="0" w:firstLineChars="0"/>
        <w:jc w:val="both"/>
        <w:outlineLvl w:val="9"/>
        <w:rPr>
          <w:color w:val="000000" w:themeColor="text1"/>
          <w:highlight w:val="none"/>
          <w14:textFill>
            <w14:solidFill>
              <w14:schemeClr w14:val="tx1"/>
            </w14:solidFill>
          </w14:textFill>
        </w:rPr>
      </w:pPr>
    </w:p>
    <w:p w14:paraId="2E51D829">
      <w:pPr>
        <w:keepNext/>
        <w:keepLines/>
        <w:pageBreakBefore w:val="0"/>
        <w:widowControl/>
        <w:kinsoku/>
        <w:wordWrap/>
        <w:overflowPunct/>
        <w:topLinePunct w:val="0"/>
        <w:autoSpaceDE/>
        <w:autoSpaceDN/>
        <w:bidi w:val="0"/>
        <w:adjustRightInd/>
        <w:snapToGrid/>
        <w:spacing w:before="0" w:after="0" w:line="360" w:lineRule="auto"/>
        <w:jc w:val="center"/>
        <w:textAlignment w:val="auto"/>
        <w:outlineLvl w:val="9"/>
        <w:rPr>
          <w:rFonts w:hint="eastAsia" w:ascii="宋体" w:hAnsi="宋体" w:eastAsia="宋体" w:cs="宋体"/>
          <w:color w:val="000000" w:themeColor="text1"/>
          <w:sz w:val="36"/>
          <w:szCs w:val="36"/>
          <w:highlight w:val="none"/>
          <w:lang w:eastAsia="zh-CN"/>
          <w14:textFill>
            <w14:solidFill>
              <w14:schemeClr w14:val="tx1"/>
            </w14:solidFill>
          </w14:textFill>
        </w:rPr>
      </w:pPr>
      <w:r>
        <w:rPr>
          <w:rFonts w:hint="eastAsia" w:ascii="宋体" w:hAnsi="宋体" w:eastAsia="宋体" w:cs="宋体"/>
          <w:color w:val="000000" w:themeColor="text1"/>
          <w:sz w:val="36"/>
          <w:szCs w:val="36"/>
          <w:highlight w:val="none"/>
          <w14:textFill>
            <w14:solidFill>
              <w14:schemeClr w14:val="tx1"/>
            </w14:solidFill>
          </w14:textFill>
        </w:rPr>
        <w:t>政府采购合同条款及格式</w:t>
      </w:r>
      <w:r>
        <w:rPr>
          <w:rFonts w:hint="eastAsia" w:ascii="宋体" w:hAnsi="宋体" w:eastAsia="宋体" w:cs="宋体"/>
          <w:color w:val="000000" w:themeColor="text1"/>
          <w:sz w:val="36"/>
          <w:szCs w:val="36"/>
          <w:highlight w:val="none"/>
          <w:lang w:eastAsia="zh-CN"/>
          <w14:textFill>
            <w14:solidFill>
              <w14:schemeClr w14:val="tx1"/>
            </w14:solidFill>
          </w14:textFill>
        </w:rPr>
        <w:t>（参考）</w:t>
      </w:r>
    </w:p>
    <w:p w14:paraId="35312B6A">
      <w:pPr>
        <w:overflowPunct/>
        <w:bidi w:val="0"/>
        <w:spacing w:line="360" w:lineRule="auto"/>
        <w:ind w:firstLine="420" w:firstLineChars="200"/>
        <w:outlineLvl w:val="9"/>
        <w:rPr>
          <w:rFonts w:hint="eastAsia" w:ascii="宋体" w:hAnsi="宋体" w:eastAsia="宋体" w:cs="Times New Roman"/>
          <w:color w:val="000000" w:themeColor="text1"/>
          <w:szCs w:val="21"/>
          <w:highlight w:val="none"/>
          <w14:textFill>
            <w14:solidFill>
              <w14:schemeClr w14:val="tx1"/>
            </w14:solidFill>
          </w14:textFill>
        </w:rPr>
      </w:pPr>
      <w:r>
        <w:rPr>
          <w:rFonts w:hint="eastAsia" w:ascii="宋体" w:hAnsi="宋体" w:eastAsia="宋体" w:cs="Times New Roman"/>
          <w:color w:val="000000" w:themeColor="text1"/>
          <w:szCs w:val="21"/>
          <w:highlight w:val="none"/>
          <w14:textFill>
            <w14:solidFill>
              <w14:schemeClr w14:val="tx1"/>
            </w14:solidFill>
          </w14:textFill>
        </w:rPr>
        <w:t>合同编号：</w:t>
      </w:r>
    </w:p>
    <w:p w14:paraId="47B8F696">
      <w:pPr>
        <w:overflowPunct/>
        <w:bidi w:val="0"/>
        <w:spacing w:line="360" w:lineRule="auto"/>
        <w:ind w:firstLine="420" w:firstLineChars="200"/>
        <w:outlineLvl w:val="9"/>
        <w:rPr>
          <w:rFonts w:hint="eastAsia" w:ascii="宋体" w:hAnsi="宋体" w:eastAsia="宋体" w:cs="Times New Roman"/>
          <w:color w:val="000000" w:themeColor="text1"/>
          <w:szCs w:val="21"/>
          <w:highlight w:val="none"/>
          <w14:textFill>
            <w14:solidFill>
              <w14:schemeClr w14:val="tx1"/>
            </w14:solidFill>
          </w14:textFill>
        </w:rPr>
      </w:pPr>
      <w:r>
        <w:rPr>
          <w:rFonts w:hint="eastAsia" w:ascii="宋体" w:hAnsi="宋体" w:eastAsia="宋体" w:cs="Times New Roman"/>
          <w:color w:val="000000" w:themeColor="text1"/>
          <w:szCs w:val="21"/>
          <w:highlight w:val="none"/>
          <w14:textFill>
            <w14:solidFill>
              <w14:schemeClr w14:val="tx1"/>
            </w14:solidFill>
          </w14:textFill>
        </w:rPr>
        <w:t xml:space="preserve">签订地点： </w:t>
      </w:r>
    </w:p>
    <w:p w14:paraId="25C31726">
      <w:pPr>
        <w:overflowPunct/>
        <w:bidi w:val="0"/>
        <w:spacing w:line="360" w:lineRule="auto"/>
        <w:ind w:firstLine="420" w:firstLineChars="200"/>
        <w:outlineLvl w:val="9"/>
        <w:rPr>
          <w:rFonts w:hint="eastAsia" w:ascii="宋体" w:hAnsi="宋体" w:eastAsia="宋体" w:cs="Times New Roman"/>
          <w:color w:val="000000" w:themeColor="text1"/>
          <w:szCs w:val="21"/>
          <w:highlight w:val="none"/>
          <w14:textFill>
            <w14:solidFill>
              <w14:schemeClr w14:val="tx1"/>
            </w14:solidFill>
          </w14:textFill>
        </w:rPr>
      </w:pPr>
      <w:r>
        <w:rPr>
          <w:rFonts w:hint="eastAsia" w:ascii="宋体" w:hAnsi="宋体" w:eastAsia="宋体" w:cs="Times New Roman"/>
          <w:color w:val="000000" w:themeColor="text1"/>
          <w:szCs w:val="21"/>
          <w:highlight w:val="none"/>
          <w14:textFill>
            <w14:solidFill>
              <w14:schemeClr w14:val="tx1"/>
            </w14:solidFill>
          </w14:textFill>
        </w:rPr>
        <w:t>签订日期：</w:t>
      </w:r>
    </w:p>
    <w:p w14:paraId="13BA4065">
      <w:pPr>
        <w:overflowPunct/>
        <w:bidi w:val="0"/>
        <w:spacing w:line="360" w:lineRule="auto"/>
        <w:ind w:firstLine="420" w:firstLineChars="200"/>
        <w:outlineLvl w:val="9"/>
        <w:rPr>
          <w:rFonts w:hint="eastAsia" w:ascii="宋体" w:hAnsi="宋体" w:eastAsia="宋体" w:cs="Times New Roman"/>
          <w:color w:val="000000" w:themeColor="text1"/>
          <w:szCs w:val="21"/>
          <w:highlight w:val="none"/>
          <w14:textFill>
            <w14:solidFill>
              <w14:schemeClr w14:val="tx1"/>
            </w14:solidFill>
          </w14:textFill>
        </w:rPr>
      </w:pPr>
      <w:r>
        <w:rPr>
          <w:rFonts w:hint="eastAsia" w:ascii="宋体" w:hAnsi="宋体" w:eastAsia="宋体" w:cs="Times New Roman"/>
          <w:color w:val="000000" w:themeColor="text1"/>
          <w:szCs w:val="21"/>
          <w:highlight w:val="none"/>
          <w14:textFill>
            <w14:solidFill>
              <w14:schemeClr w14:val="tx1"/>
            </w14:solidFill>
          </w14:textFill>
        </w:rPr>
        <w:t>采购任务编号：</w:t>
      </w:r>
    </w:p>
    <w:p w14:paraId="7529E28B">
      <w:pPr>
        <w:overflowPunct/>
        <w:bidi w:val="0"/>
        <w:spacing w:line="360" w:lineRule="auto"/>
        <w:ind w:firstLine="420" w:firstLineChars="200"/>
        <w:outlineLvl w:val="9"/>
        <w:rPr>
          <w:rFonts w:hint="eastAsia" w:ascii="宋体" w:hAnsi="宋体" w:eastAsia="宋体" w:cs="Times New Roman"/>
          <w:color w:val="000000" w:themeColor="text1"/>
          <w:szCs w:val="21"/>
          <w:highlight w:val="none"/>
          <w14:textFill>
            <w14:solidFill>
              <w14:schemeClr w14:val="tx1"/>
            </w14:solidFill>
          </w14:textFill>
        </w:rPr>
      </w:pPr>
      <w:r>
        <w:rPr>
          <w:rFonts w:hint="eastAsia" w:ascii="宋体" w:hAnsi="宋体" w:eastAsia="宋体" w:cs="Times New Roman"/>
          <w:color w:val="000000" w:themeColor="text1"/>
          <w:szCs w:val="21"/>
          <w:highlight w:val="none"/>
          <w14:textFill>
            <w14:solidFill>
              <w14:schemeClr w14:val="tx1"/>
            </w14:solidFill>
          </w14:textFill>
        </w:rPr>
        <w:t xml:space="preserve">               （需方）需求的“             ”（货物名称）经        以编号为      的招标文件在国内公开招标，经评标委员会评定                        （供方）（包号）为中标单位。供需双方按照《中华人民共和国</w:t>
      </w:r>
      <w:r>
        <w:rPr>
          <w:rFonts w:hint="eastAsia" w:ascii="宋体" w:hAnsi="宋体" w:cs="Times New Roman"/>
          <w:color w:val="000000" w:themeColor="text1"/>
          <w:szCs w:val="21"/>
          <w:highlight w:val="none"/>
          <w:lang w:eastAsia="zh-CN"/>
          <w14:textFill>
            <w14:solidFill>
              <w14:schemeClr w14:val="tx1"/>
            </w14:solidFill>
          </w14:textFill>
        </w:rPr>
        <w:t>民法典</w:t>
      </w:r>
      <w:r>
        <w:rPr>
          <w:rFonts w:hint="eastAsia" w:ascii="宋体" w:hAnsi="宋体" w:eastAsia="宋体" w:cs="Times New Roman"/>
          <w:color w:val="000000" w:themeColor="text1"/>
          <w:szCs w:val="21"/>
          <w:highlight w:val="none"/>
          <w14:textFill>
            <w14:solidFill>
              <w14:schemeClr w14:val="tx1"/>
            </w14:solidFill>
          </w14:textFill>
        </w:rPr>
        <w:t>》和有关法律法规，遵循平等、自愿、公平和诚实信用原则，同意按照下面的条款和条件订立本合同，共同信守。</w:t>
      </w:r>
    </w:p>
    <w:p w14:paraId="7A486EFA">
      <w:pPr>
        <w:overflowPunct/>
        <w:bidi w:val="0"/>
        <w:spacing w:line="360" w:lineRule="auto"/>
        <w:ind w:firstLine="420" w:firstLineChars="200"/>
        <w:outlineLvl w:val="9"/>
        <w:rPr>
          <w:rFonts w:hint="eastAsia" w:ascii="宋体" w:hAnsi="宋体" w:eastAsia="宋体" w:cs="Times New Roman"/>
          <w:color w:val="000000" w:themeColor="text1"/>
          <w:szCs w:val="21"/>
          <w:highlight w:val="none"/>
          <w14:textFill>
            <w14:solidFill>
              <w14:schemeClr w14:val="tx1"/>
            </w14:solidFill>
          </w14:textFill>
        </w:rPr>
      </w:pPr>
      <w:r>
        <w:rPr>
          <w:rFonts w:hint="eastAsia" w:ascii="宋体" w:hAnsi="宋体" w:eastAsia="宋体" w:cs="Times New Roman"/>
          <w:color w:val="000000" w:themeColor="text1"/>
          <w:szCs w:val="21"/>
          <w:highlight w:val="none"/>
          <w14:textFill>
            <w14:solidFill>
              <w14:schemeClr w14:val="tx1"/>
            </w14:solidFill>
          </w14:textFill>
        </w:rPr>
        <w:t>一、货物名称、品牌、规格、数量</w:t>
      </w:r>
    </w:p>
    <w:tbl>
      <w:tblPr>
        <w:tblStyle w:val="38"/>
        <w:tblW w:w="0" w:type="auto"/>
        <w:tblInd w:w="108" w:type="dxa"/>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Layout w:type="fixed"/>
        <w:tblCellMar>
          <w:top w:w="0" w:type="dxa"/>
          <w:left w:w="108" w:type="dxa"/>
          <w:bottom w:w="0" w:type="dxa"/>
          <w:right w:w="108" w:type="dxa"/>
        </w:tblCellMar>
      </w:tblPr>
      <w:tblGrid>
        <w:gridCol w:w="1548"/>
        <w:gridCol w:w="1152"/>
        <w:gridCol w:w="2520"/>
        <w:gridCol w:w="900"/>
        <w:gridCol w:w="1260"/>
        <w:gridCol w:w="2004"/>
      </w:tblGrid>
      <w:tr w14:paraId="2E769263">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565" w:hRule="atLeast"/>
        </w:trPr>
        <w:tc>
          <w:tcPr>
            <w:tcW w:w="1548" w:type="dxa"/>
            <w:vAlign w:val="center"/>
          </w:tcPr>
          <w:p w14:paraId="1A146AB7">
            <w:pPr>
              <w:overflowPunct/>
              <w:bidi w:val="0"/>
              <w:spacing w:line="360" w:lineRule="auto"/>
              <w:ind w:firstLine="420" w:firstLineChars="200"/>
              <w:outlineLvl w:val="9"/>
              <w:rPr>
                <w:rFonts w:hint="eastAsia" w:ascii="宋体" w:hAnsi="宋体" w:eastAsia="宋体" w:cs="Times New Roman"/>
                <w:color w:val="000000" w:themeColor="text1"/>
                <w:szCs w:val="21"/>
                <w:highlight w:val="none"/>
                <w14:textFill>
                  <w14:solidFill>
                    <w14:schemeClr w14:val="tx1"/>
                  </w14:solidFill>
                </w14:textFill>
              </w:rPr>
            </w:pPr>
            <w:r>
              <w:rPr>
                <w:rFonts w:hint="eastAsia" w:ascii="宋体" w:hAnsi="宋体" w:eastAsia="宋体" w:cs="Times New Roman"/>
                <w:color w:val="000000" w:themeColor="text1"/>
                <w:szCs w:val="21"/>
                <w:highlight w:val="none"/>
                <w14:textFill>
                  <w14:solidFill>
                    <w14:schemeClr w14:val="tx1"/>
                  </w14:solidFill>
                </w14:textFill>
              </w:rPr>
              <w:t>货物名称</w:t>
            </w:r>
          </w:p>
        </w:tc>
        <w:tc>
          <w:tcPr>
            <w:tcW w:w="1152" w:type="dxa"/>
            <w:vAlign w:val="center"/>
          </w:tcPr>
          <w:p w14:paraId="0D217E0C">
            <w:pPr>
              <w:overflowPunct/>
              <w:bidi w:val="0"/>
              <w:spacing w:line="360" w:lineRule="auto"/>
              <w:ind w:firstLine="420" w:firstLineChars="200"/>
              <w:outlineLvl w:val="9"/>
              <w:rPr>
                <w:rFonts w:hint="eastAsia" w:ascii="宋体" w:hAnsi="宋体" w:eastAsia="宋体" w:cs="Times New Roman"/>
                <w:color w:val="000000" w:themeColor="text1"/>
                <w:szCs w:val="21"/>
                <w:highlight w:val="none"/>
                <w14:textFill>
                  <w14:solidFill>
                    <w14:schemeClr w14:val="tx1"/>
                  </w14:solidFill>
                </w14:textFill>
              </w:rPr>
            </w:pPr>
            <w:r>
              <w:rPr>
                <w:rFonts w:hint="eastAsia" w:ascii="宋体" w:hAnsi="宋体" w:eastAsia="宋体" w:cs="Times New Roman"/>
                <w:color w:val="000000" w:themeColor="text1"/>
                <w:szCs w:val="21"/>
                <w:highlight w:val="none"/>
                <w14:textFill>
                  <w14:solidFill>
                    <w14:schemeClr w14:val="tx1"/>
                  </w14:solidFill>
                </w14:textFill>
              </w:rPr>
              <w:t>品牌</w:t>
            </w:r>
          </w:p>
        </w:tc>
        <w:tc>
          <w:tcPr>
            <w:tcW w:w="2520" w:type="dxa"/>
            <w:vAlign w:val="center"/>
          </w:tcPr>
          <w:p w14:paraId="65F9A4F3">
            <w:pPr>
              <w:overflowPunct/>
              <w:bidi w:val="0"/>
              <w:spacing w:line="360" w:lineRule="auto"/>
              <w:ind w:firstLine="420" w:firstLineChars="200"/>
              <w:outlineLvl w:val="9"/>
              <w:rPr>
                <w:rFonts w:hint="eastAsia" w:ascii="宋体" w:hAnsi="宋体" w:eastAsia="宋体" w:cs="Times New Roman"/>
                <w:color w:val="000000" w:themeColor="text1"/>
                <w:szCs w:val="21"/>
                <w:highlight w:val="none"/>
                <w14:textFill>
                  <w14:solidFill>
                    <w14:schemeClr w14:val="tx1"/>
                  </w14:solidFill>
                </w14:textFill>
              </w:rPr>
            </w:pPr>
            <w:r>
              <w:rPr>
                <w:rFonts w:hint="eastAsia" w:ascii="宋体" w:hAnsi="宋体" w:eastAsia="宋体" w:cs="Times New Roman"/>
                <w:color w:val="000000" w:themeColor="text1"/>
                <w:szCs w:val="21"/>
                <w:highlight w:val="none"/>
                <w14:textFill>
                  <w14:solidFill>
                    <w14:schemeClr w14:val="tx1"/>
                  </w14:solidFill>
                </w14:textFill>
              </w:rPr>
              <w:t>规格型号及配置</w:t>
            </w:r>
          </w:p>
        </w:tc>
        <w:tc>
          <w:tcPr>
            <w:tcW w:w="900" w:type="dxa"/>
            <w:vAlign w:val="center"/>
          </w:tcPr>
          <w:p w14:paraId="33329C6F">
            <w:pPr>
              <w:overflowPunct/>
              <w:bidi w:val="0"/>
              <w:spacing w:line="360" w:lineRule="auto"/>
              <w:ind w:firstLine="420" w:firstLineChars="200"/>
              <w:outlineLvl w:val="9"/>
              <w:rPr>
                <w:rFonts w:hint="eastAsia" w:ascii="宋体" w:hAnsi="宋体" w:eastAsia="宋体" w:cs="Times New Roman"/>
                <w:color w:val="000000" w:themeColor="text1"/>
                <w:szCs w:val="21"/>
                <w:highlight w:val="none"/>
                <w14:textFill>
                  <w14:solidFill>
                    <w14:schemeClr w14:val="tx1"/>
                  </w14:solidFill>
                </w14:textFill>
              </w:rPr>
            </w:pPr>
            <w:r>
              <w:rPr>
                <w:rFonts w:hint="eastAsia" w:ascii="宋体" w:hAnsi="宋体" w:eastAsia="宋体" w:cs="Times New Roman"/>
                <w:color w:val="000000" w:themeColor="text1"/>
                <w:szCs w:val="21"/>
                <w:highlight w:val="none"/>
                <w14:textFill>
                  <w14:solidFill>
                    <w14:schemeClr w14:val="tx1"/>
                  </w14:solidFill>
                </w14:textFill>
              </w:rPr>
              <w:t>数量</w:t>
            </w:r>
          </w:p>
        </w:tc>
        <w:tc>
          <w:tcPr>
            <w:tcW w:w="1260" w:type="dxa"/>
            <w:vAlign w:val="center"/>
          </w:tcPr>
          <w:p w14:paraId="29C18F9F">
            <w:pPr>
              <w:overflowPunct/>
              <w:bidi w:val="0"/>
              <w:spacing w:line="360" w:lineRule="auto"/>
              <w:ind w:firstLine="420" w:firstLineChars="200"/>
              <w:outlineLvl w:val="9"/>
              <w:rPr>
                <w:rFonts w:hint="eastAsia" w:ascii="宋体" w:hAnsi="宋体" w:eastAsia="宋体" w:cs="Times New Roman"/>
                <w:color w:val="000000" w:themeColor="text1"/>
                <w:szCs w:val="21"/>
                <w:highlight w:val="none"/>
                <w14:textFill>
                  <w14:solidFill>
                    <w14:schemeClr w14:val="tx1"/>
                  </w14:solidFill>
                </w14:textFill>
              </w:rPr>
            </w:pPr>
            <w:r>
              <w:rPr>
                <w:rFonts w:hint="eastAsia" w:ascii="宋体" w:hAnsi="宋体" w:eastAsia="宋体" w:cs="Times New Roman"/>
                <w:color w:val="000000" w:themeColor="text1"/>
                <w:szCs w:val="21"/>
                <w:highlight w:val="none"/>
                <w14:textFill>
                  <w14:solidFill>
                    <w14:schemeClr w14:val="tx1"/>
                  </w14:solidFill>
                </w14:textFill>
              </w:rPr>
              <w:t>单价(元)</w:t>
            </w:r>
          </w:p>
        </w:tc>
        <w:tc>
          <w:tcPr>
            <w:tcW w:w="2004" w:type="dxa"/>
            <w:vAlign w:val="center"/>
          </w:tcPr>
          <w:p w14:paraId="5B4B96E1">
            <w:pPr>
              <w:overflowPunct/>
              <w:bidi w:val="0"/>
              <w:spacing w:line="360" w:lineRule="auto"/>
              <w:ind w:firstLine="420" w:firstLineChars="200"/>
              <w:outlineLvl w:val="9"/>
              <w:rPr>
                <w:rFonts w:hint="eastAsia" w:ascii="宋体" w:hAnsi="宋体" w:eastAsia="宋体" w:cs="Times New Roman"/>
                <w:color w:val="000000" w:themeColor="text1"/>
                <w:szCs w:val="21"/>
                <w:highlight w:val="none"/>
                <w14:textFill>
                  <w14:solidFill>
                    <w14:schemeClr w14:val="tx1"/>
                  </w14:solidFill>
                </w14:textFill>
              </w:rPr>
            </w:pPr>
            <w:r>
              <w:rPr>
                <w:rFonts w:hint="eastAsia" w:ascii="宋体" w:hAnsi="宋体" w:eastAsia="宋体" w:cs="Times New Roman"/>
                <w:color w:val="000000" w:themeColor="text1"/>
                <w:szCs w:val="21"/>
                <w:highlight w:val="none"/>
                <w14:textFill>
                  <w14:solidFill>
                    <w14:schemeClr w14:val="tx1"/>
                  </w14:solidFill>
                </w14:textFill>
              </w:rPr>
              <w:t>小计金额(元)</w:t>
            </w:r>
          </w:p>
        </w:tc>
      </w:tr>
      <w:tr w14:paraId="513AC67B">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c>
          <w:tcPr>
            <w:tcW w:w="1548" w:type="dxa"/>
            <w:vAlign w:val="center"/>
          </w:tcPr>
          <w:p w14:paraId="2160EFBD">
            <w:pPr>
              <w:overflowPunct/>
              <w:bidi w:val="0"/>
              <w:spacing w:line="360" w:lineRule="auto"/>
              <w:ind w:firstLine="420" w:firstLineChars="200"/>
              <w:outlineLvl w:val="9"/>
              <w:rPr>
                <w:rFonts w:hint="eastAsia" w:ascii="宋体" w:hAnsi="宋体" w:eastAsia="宋体" w:cs="Times New Roman"/>
                <w:color w:val="000000" w:themeColor="text1"/>
                <w:szCs w:val="21"/>
                <w:highlight w:val="none"/>
                <w14:textFill>
                  <w14:solidFill>
                    <w14:schemeClr w14:val="tx1"/>
                  </w14:solidFill>
                </w14:textFill>
              </w:rPr>
            </w:pPr>
          </w:p>
        </w:tc>
        <w:tc>
          <w:tcPr>
            <w:tcW w:w="1152" w:type="dxa"/>
            <w:vAlign w:val="center"/>
          </w:tcPr>
          <w:p w14:paraId="6ECD9C58">
            <w:pPr>
              <w:overflowPunct/>
              <w:bidi w:val="0"/>
              <w:spacing w:line="360" w:lineRule="auto"/>
              <w:ind w:firstLine="420" w:firstLineChars="200"/>
              <w:outlineLvl w:val="9"/>
              <w:rPr>
                <w:rFonts w:hint="eastAsia" w:ascii="宋体" w:hAnsi="宋体" w:eastAsia="宋体" w:cs="Times New Roman"/>
                <w:color w:val="000000" w:themeColor="text1"/>
                <w:szCs w:val="21"/>
                <w:highlight w:val="none"/>
                <w14:textFill>
                  <w14:solidFill>
                    <w14:schemeClr w14:val="tx1"/>
                  </w14:solidFill>
                </w14:textFill>
              </w:rPr>
            </w:pPr>
          </w:p>
        </w:tc>
        <w:tc>
          <w:tcPr>
            <w:tcW w:w="2520" w:type="dxa"/>
            <w:vAlign w:val="center"/>
          </w:tcPr>
          <w:p w14:paraId="13252104">
            <w:pPr>
              <w:overflowPunct/>
              <w:bidi w:val="0"/>
              <w:spacing w:line="360" w:lineRule="auto"/>
              <w:ind w:firstLine="420" w:firstLineChars="200"/>
              <w:outlineLvl w:val="9"/>
              <w:rPr>
                <w:rFonts w:hint="eastAsia" w:ascii="宋体" w:hAnsi="宋体" w:eastAsia="宋体" w:cs="Times New Roman"/>
                <w:color w:val="000000" w:themeColor="text1"/>
                <w:szCs w:val="21"/>
                <w:highlight w:val="none"/>
                <w14:textFill>
                  <w14:solidFill>
                    <w14:schemeClr w14:val="tx1"/>
                  </w14:solidFill>
                </w14:textFill>
              </w:rPr>
            </w:pPr>
          </w:p>
        </w:tc>
        <w:tc>
          <w:tcPr>
            <w:tcW w:w="900" w:type="dxa"/>
            <w:vAlign w:val="center"/>
          </w:tcPr>
          <w:p w14:paraId="02559675">
            <w:pPr>
              <w:overflowPunct/>
              <w:bidi w:val="0"/>
              <w:spacing w:line="360" w:lineRule="auto"/>
              <w:ind w:firstLine="420" w:firstLineChars="200"/>
              <w:outlineLvl w:val="9"/>
              <w:rPr>
                <w:rFonts w:hint="eastAsia" w:ascii="宋体" w:hAnsi="宋体" w:eastAsia="宋体" w:cs="Times New Roman"/>
                <w:color w:val="000000" w:themeColor="text1"/>
                <w:szCs w:val="21"/>
                <w:highlight w:val="none"/>
                <w14:textFill>
                  <w14:solidFill>
                    <w14:schemeClr w14:val="tx1"/>
                  </w14:solidFill>
                </w14:textFill>
              </w:rPr>
            </w:pPr>
          </w:p>
        </w:tc>
        <w:tc>
          <w:tcPr>
            <w:tcW w:w="1260" w:type="dxa"/>
            <w:vAlign w:val="center"/>
          </w:tcPr>
          <w:p w14:paraId="631A4D04">
            <w:pPr>
              <w:overflowPunct/>
              <w:bidi w:val="0"/>
              <w:spacing w:line="360" w:lineRule="auto"/>
              <w:ind w:firstLine="420" w:firstLineChars="200"/>
              <w:outlineLvl w:val="9"/>
              <w:rPr>
                <w:rFonts w:hint="eastAsia" w:ascii="宋体" w:hAnsi="宋体" w:eastAsia="宋体" w:cs="Times New Roman"/>
                <w:color w:val="000000" w:themeColor="text1"/>
                <w:szCs w:val="21"/>
                <w:highlight w:val="none"/>
                <w14:textFill>
                  <w14:solidFill>
                    <w14:schemeClr w14:val="tx1"/>
                  </w14:solidFill>
                </w14:textFill>
              </w:rPr>
            </w:pPr>
          </w:p>
        </w:tc>
        <w:tc>
          <w:tcPr>
            <w:tcW w:w="2004" w:type="dxa"/>
            <w:vAlign w:val="center"/>
          </w:tcPr>
          <w:p w14:paraId="4023358F">
            <w:pPr>
              <w:overflowPunct/>
              <w:bidi w:val="0"/>
              <w:spacing w:line="360" w:lineRule="auto"/>
              <w:ind w:firstLine="420" w:firstLineChars="200"/>
              <w:outlineLvl w:val="9"/>
              <w:rPr>
                <w:rFonts w:hint="eastAsia" w:ascii="宋体" w:hAnsi="宋体" w:eastAsia="宋体" w:cs="Times New Roman"/>
                <w:color w:val="000000" w:themeColor="text1"/>
                <w:szCs w:val="21"/>
                <w:highlight w:val="none"/>
                <w14:textFill>
                  <w14:solidFill>
                    <w14:schemeClr w14:val="tx1"/>
                  </w14:solidFill>
                </w14:textFill>
              </w:rPr>
            </w:pPr>
          </w:p>
        </w:tc>
      </w:tr>
      <w:tr w14:paraId="6B0A08CC">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c>
          <w:tcPr>
            <w:tcW w:w="1548" w:type="dxa"/>
            <w:vAlign w:val="center"/>
          </w:tcPr>
          <w:p w14:paraId="28779F0D">
            <w:pPr>
              <w:overflowPunct/>
              <w:bidi w:val="0"/>
              <w:spacing w:line="360" w:lineRule="auto"/>
              <w:ind w:firstLine="420" w:firstLineChars="200"/>
              <w:outlineLvl w:val="9"/>
              <w:rPr>
                <w:rFonts w:hint="eastAsia" w:ascii="宋体" w:hAnsi="宋体" w:eastAsia="宋体" w:cs="Times New Roman"/>
                <w:color w:val="000000" w:themeColor="text1"/>
                <w:szCs w:val="21"/>
                <w:highlight w:val="none"/>
                <w14:textFill>
                  <w14:solidFill>
                    <w14:schemeClr w14:val="tx1"/>
                  </w14:solidFill>
                </w14:textFill>
              </w:rPr>
            </w:pPr>
          </w:p>
        </w:tc>
        <w:tc>
          <w:tcPr>
            <w:tcW w:w="1152" w:type="dxa"/>
            <w:vAlign w:val="center"/>
          </w:tcPr>
          <w:p w14:paraId="0BFB306B">
            <w:pPr>
              <w:overflowPunct/>
              <w:bidi w:val="0"/>
              <w:spacing w:line="360" w:lineRule="auto"/>
              <w:ind w:firstLine="420" w:firstLineChars="200"/>
              <w:outlineLvl w:val="9"/>
              <w:rPr>
                <w:rFonts w:hint="eastAsia" w:ascii="宋体" w:hAnsi="宋体" w:eastAsia="宋体" w:cs="Times New Roman"/>
                <w:color w:val="000000" w:themeColor="text1"/>
                <w:szCs w:val="21"/>
                <w:highlight w:val="none"/>
                <w14:textFill>
                  <w14:solidFill>
                    <w14:schemeClr w14:val="tx1"/>
                  </w14:solidFill>
                </w14:textFill>
              </w:rPr>
            </w:pPr>
          </w:p>
        </w:tc>
        <w:tc>
          <w:tcPr>
            <w:tcW w:w="2520" w:type="dxa"/>
            <w:vAlign w:val="center"/>
          </w:tcPr>
          <w:p w14:paraId="6E0F7E5E">
            <w:pPr>
              <w:overflowPunct/>
              <w:bidi w:val="0"/>
              <w:spacing w:line="360" w:lineRule="auto"/>
              <w:ind w:firstLine="420" w:firstLineChars="200"/>
              <w:outlineLvl w:val="9"/>
              <w:rPr>
                <w:rFonts w:hint="eastAsia" w:ascii="宋体" w:hAnsi="宋体" w:eastAsia="宋体" w:cs="Times New Roman"/>
                <w:color w:val="000000" w:themeColor="text1"/>
                <w:szCs w:val="21"/>
                <w:highlight w:val="none"/>
                <w14:textFill>
                  <w14:solidFill>
                    <w14:schemeClr w14:val="tx1"/>
                  </w14:solidFill>
                </w14:textFill>
              </w:rPr>
            </w:pPr>
          </w:p>
        </w:tc>
        <w:tc>
          <w:tcPr>
            <w:tcW w:w="900" w:type="dxa"/>
            <w:vAlign w:val="center"/>
          </w:tcPr>
          <w:p w14:paraId="4A70E2F7">
            <w:pPr>
              <w:overflowPunct/>
              <w:bidi w:val="0"/>
              <w:spacing w:line="360" w:lineRule="auto"/>
              <w:ind w:firstLine="420" w:firstLineChars="200"/>
              <w:outlineLvl w:val="9"/>
              <w:rPr>
                <w:rFonts w:hint="eastAsia" w:ascii="宋体" w:hAnsi="宋体" w:eastAsia="宋体" w:cs="Times New Roman"/>
                <w:color w:val="000000" w:themeColor="text1"/>
                <w:szCs w:val="21"/>
                <w:highlight w:val="none"/>
                <w14:textFill>
                  <w14:solidFill>
                    <w14:schemeClr w14:val="tx1"/>
                  </w14:solidFill>
                </w14:textFill>
              </w:rPr>
            </w:pPr>
          </w:p>
        </w:tc>
        <w:tc>
          <w:tcPr>
            <w:tcW w:w="1260" w:type="dxa"/>
            <w:vAlign w:val="center"/>
          </w:tcPr>
          <w:p w14:paraId="371E269E">
            <w:pPr>
              <w:overflowPunct/>
              <w:bidi w:val="0"/>
              <w:spacing w:line="360" w:lineRule="auto"/>
              <w:ind w:firstLine="420" w:firstLineChars="200"/>
              <w:outlineLvl w:val="9"/>
              <w:rPr>
                <w:rFonts w:hint="eastAsia" w:ascii="宋体" w:hAnsi="宋体" w:eastAsia="宋体" w:cs="Times New Roman"/>
                <w:color w:val="000000" w:themeColor="text1"/>
                <w:szCs w:val="21"/>
                <w:highlight w:val="none"/>
                <w14:textFill>
                  <w14:solidFill>
                    <w14:schemeClr w14:val="tx1"/>
                  </w14:solidFill>
                </w14:textFill>
              </w:rPr>
            </w:pPr>
          </w:p>
        </w:tc>
        <w:tc>
          <w:tcPr>
            <w:tcW w:w="2004" w:type="dxa"/>
            <w:vAlign w:val="center"/>
          </w:tcPr>
          <w:p w14:paraId="5D7CACA3">
            <w:pPr>
              <w:overflowPunct/>
              <w:bidi w:val="0"/>
              <w:spacing w:line="360" w:lineRule="auto"/>
              <w:ind w:firstLine="420" w:firstLineChars="200"/>
              <w:outlineLvl w:val="9"/>
              <w:rPr>
                <w:rFonts w:hint="eastAsia" w:ascii="宋体" w:hAnsi="宋体" w:eastAsia="宋体" w:cs="Times New Roman"/>
                <w:color w:val="000000" w:themeColor="text1"/>
                <w:szCs w:val="21"/>
                <w:highlight w:val="none"/>
                <w14:textFill>
                  <w14:solidFill>
                    <w14:schemeClr w14:val="tx1"/>
                  </w14:solidFill>
                </w14:textFill>
              </w:rPr>
            </w:pPr>
          </w:p>
        </w:tc>
      </w:tr>
      <w:tr w14:paraId="689625DB">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c>
          <w:tcPr>
            <w:tcW w:w="1548" w:type="dxa"/>
            <w:vAlign w:val="center"/>
          </w:tcPr>
          <w:p w14:paraId="477BDE43">
            <w:pPr>
              <w:overflowPunct/>
              <w:bidi w:val="0"/>
              <w:spacing w:line="360" w:lineRule="auto"/>
              <w:ind w:firstLine="420" w:firstLineChars="200"/>
              <w:outlineLvl w:val="9"/>
              <w:rPr>
                <w:rFonts w:hint="eastAsia" w:ascii="宋体" w:hAnsi="宋体" w:eastAsia="宋体" w:cs="Times New Roman"/>
                <w:color w:val="000000" w:themeColor="text1"/>
                <w:szCs w:val="21"/>
                <w:highlight w:val="none"/>
                <w14:textFill>
                  <w14:solidFill>
                    <w14:schemeClr w14:val="tx1"/>
                  </w14:solidFill>
                </w14:textFill>
              </w:rPr>
            </w:pPr>
          </w:p>
        </w:tc>
        <w:tc>
          <w:tcPr>
            <w:tcW w:w="1152" w:type="dxa"/>
            <w:vAlign w:val="center"/>
          </w:tcPr>
          <w:p w14:paraId="551A9ED2">
            <w:pPr>
              <w:overflowPunct/>
              <w:bidi w:val="0"/>
              <w:spacing w:line="360" w:lineRule="auto"/>
              <w:ind w:firstLine="420" w:firstLineChars="200"/>
              <w:outlineLvl w:val="9"/>
              <w:rPr>
                <w:rFonts w:hint="eastAsia" w:ascii="宋体" w:hAnsi="宋体" w:eastAsia="宋体" w:cs="Times New Roman"/>
                <w:color w:val="000000" w:themeColor="text1"/>
                <w:szCs w:val="21"/>
                <w:highlight w:val="none"/>
                <w14:textFill>
                  <w14:solidFill>
                    <w14:schemeClr w14:val="tx1"/>
                  </w14:solidFill>
                </w14:textFill>
              </w:rPr>
            </w:pPr>
          </w:p>
        </w:tc>
        <w:tc>
          <w:tcPr>
            <w:tcW w:w="2520" w:type="dxa"/>
            <w:vAlign w:val="center"/>
          </w:tcPr>
          <w:p w14:paraId="784C7A09">
            <w:pPr>
              <w:overflowPunct/>
              <w:bidi w:val="0"/>
              <w:spacing w:line="360" w:lineRule="auto"/>
              <w:ind w:firstLine="420" w:firstLineChars="200"/>
              <w:outlineLvl w:val="9"/>
              <w:rPr>
                <w:rFonts w:hint="eastAsia" w:ascii="宋体" w:hAnsi="宋体" w:eastAsia="宋体" w:cs="Times New Roman"/>
                <w:color w:val="000000" w:themeColor="text1"/>
                <w:szCs w:val="21"/>
                <w:highlight w:val="none"/>
                <w14:textFill>
                  <w14:solidFill>
                    <w14:schemeClr w14:val="tx1"/>
                  </w14:solidFill>
                </w14:textFill>
              </w:rPr>
            </w:pPr>
          </w:p>
        </w:tc>
        <w:tc>
          <w:tcPr>
            <w:tcW w:w="900" w:type="dxa"/>
            <w:vAlign w:val="center"/>
          </w:tcPr>
          <w:p w14:paraId="15A25E7C">
            <w:pPr>
              <w:overflowPunct/>
              <w:bidi w:val="0"/>
              <w:spacing w:line="360" w:lineRule="auto"/>
              <w:ind w:firstLine="420" w:firstLineChars="200"/>
              <w:outlineLvl w:val="9"/>
              <w:rPr>
                <w:rFonts w:hint="eastAsia" w:ascii="宋体" w:hAnsi="宋体" w:eastAsia="宋体" w:cs="Times New Roman"/>
                <w:color w:val="000000" w:themeColor="text1"/>
                <w:szCs w:val="21"/>
                <w:highlight w:val="none"/>
                <w14:textFill>
                  <w14:solidFill>
                    <w14:schemeClr w14:val="tx1"/>
                  </w14:solidFill>
                </w14:textFill>
              </w:rPr>
            </w:pPr>
          </w:p>
        </w:tc>
        <w:tc>
          <w:tcPr>
            <w:tcW w:w="1260" w:type="dxa"/>
            <w:vAlign w:val="center"/>
          </w:tcPr>
          <w:p w14:paraId="3E6D7A00">
            <w:pPr>
              <w:overflowPunct/>
              <w:bidi w:val="0"/>
              <w:spacing w:line="360" w:lineRule="auto"/>
              <w:ind w:firstLine="420" w:firstLineChars="200"/>
              <w:outlineLvl w:val="9"/>
              <w:rPr>
                <w:rFonts w:hint="eastAsia" w:ascii="宋体" w:hAnsi="宋体" w:eastAsia="宋体" w:cs="Times New Roman"/>
                <w:color w:val="000000" w:themeColor="text1"/>
                <w:szCs w:val="21"/>
                <w:highlight w:val="none"/>
                <w14:textFill>
                  <w14:solidFill>
                    <w14:schemeClr w14:val="tx1"/>
                  </w14:solidFill>
                </w14:textFill>
              </w:rPr>
            </w:pPr>
          </w:p>
        </w:tc>
        <w:tc>
          <w:tcPr>
            <w:tcW w:w="2004" w:type="dxa"/>
            <w:vAlign w:val="center"/>
          </w:tcPr>
          <w:p w14:paraId="31AD3682">
            <w:pPr>
              <w:overflowPunct/>
              <w:bidi w:val="0"/>
              <w:spacing w:line="360" w:lineRule="auto"/>
              <w:ind w:firstLine="420" w:firstLineChars="200"/>
              <w:outlineLvl w:val="9"/>
              <w:rPr>
                <w:rFonts w:hint="eastAsia" w:ascii="宋体" w:hAnsi="宋体" w:eastAsia="宋体" w:cs="Times New Roman"/>
                <w:color w:val="000000" w:themeColor="text1"/>
                <w:szCs w:val="21"/>
                <w:highlight w:val="none"/>
                <w14:textFill>
                  <w14:solidFill>
                    <w14:schemeClr w14:val="tx1"/>
                  </w14:solidFill>
                </w14:textFill>
              </w:rPr>
            </w:pPr>
          </w:p>
        </w:tc>
      </w:tr>
    </w:tbl>
    <w:p w14:paraId="0D1FA9F3">
      <w:pPr>
        <w:overflowPunct/>
        <w:bidi w:val="0"/>
        <w:spacing w:line="360" w:lineRule="auto"/>
        <w:ind w:firstLine="420" w:firstLineChars="200"/>
        <w:outlineLvl w:val="9"/>
        <w:rPr>
          <w:rFonts w:hint="eastAsia" w:ascii="宋体" w:hAnsi="宋体" w:eastAsia="宋体" w:cs="Times New Roman"/>
          <w:color w:val="000000" w:themeColor="text1"/>
          <w:szCs w:val="21"/>
          <w:highlight w:val="none"/>
          <w14:textFill>
            <w14:solidFill>
              <w14:schemeClr w14:val="tx1"/>
            </w14:solidFill>
          </w14:textFill>
        </w:rPr>
      </w:pPr>
      <w:r>
        <w:rPr>
          <w:rFonts w:hint="eastAsia" w:ascii="宋体" w:hAnsi="宋体" w:eastAsia="宋体" w:cs="Times New Roman"/>
          <w:color w:val="000000" w:themeColor="text1"/>
          <w:szCs w:val="21"/>
          <w:highlight w:val="none"/>
          <w14:textFill>
            <w14:solidFill>
              <w14:schemeClr w14:val="tx1"/>
            </w14:solidFill>
          </w14:textFill>
        </w:rPr>
        <w:t>二、合同价款</w:t>
      </w:r>
    </w:p>
    <w:p w14:paraId="38521220">
      <w:pPr>
        <w:overflowPunct/>
        <w:bidi w:val="0"/>
        <w:spacing w:line="360" w:lineRule="auto"/>
        <w:ind w:firstLine="420" w:firstLineChars="200"/>
        <w:outlineLvl w:val="9"/>
        <w:rPr>
          <w:rFonts w:hint="eastAsia" w:ascii="宋体" w:hAnsi="宋体" w:eastAsia="宋体" w:cs="Times New Roman"/>
          <w:color w:val="000000" w:themeColor="text1"/>
          <w:szCs w:val="21"/>
          <w:highlight w:val="none"/>
          <w14:textFill>
            <w14:solidFill>
              <w14:schemeClr w14:val="tx1"/>
            </w14:solidFill>
          </w14:textFill>
        </w:rPr>
      </w:pPr>
      <w:r>
        <w:rPr>
          <w:rFonts w:hint="eastAsia" w:ascii="宋体" w:hAnsi="宋体" w:eastAsia="宋体" w:cs="Times New Roman"/>
          <w:color w:val="000000" w:themeColor="text1"/>
          <w:szCs w:val="21"/>
          <w:highlight w:val="none"/>
          <w14:textFill>
            <w14:solidFill>
              <w14:schemeClr w14:val="tx1"/>
            </w14:solidFill>
          </w14:textFill>
        </w:rPr>
        <w:t>2.1合同总价：人民币（大写）              元，（小写）            元。</w:t>
      </w:r>
    </w:p>
    <w:p w14:paraId="64719048">
      <w:pPr>
        <w:overflowPunct/>
        <w:bidi w:val="0"/>
        <w:spacing w:line="360" w:lineRule="auto"/>
        <w:ind w:firstLine="420" w:firstLineChars="200"/>
        <w:outlineLvl w:val="9"/>
        <w:rPr>
          <w:rFonts w:hint="eastAsia" w:ascii="宋体" w:hAnsi="宋体" w:eastAsia="宋体" w:cs="Times New Roman"/>
          <w:color w:val="000000" w:themeColor="text1"/>
          <w:szCs w:val="21"/>
          <w:highlight w:val="none"/>
          <w14:textFill>
            <w14:solidFill>
              <w14:schemeClr w14:val="tx1"/>
            </w14:solidFill>
          </w14:textFill>
        </w:rPr>
      </w:pPr>
      <w:r>
        <w:rPr>
          <w:rFonts w:hint="eastAsia" w:ascii="宋体" w:hAnsi="宋体" w:eastAsia="宋体" w:cs="Times New Roman"/>
          <w:color w:val="000000" w:themeColor="text1"/>
          <w:szCs w:val="21"/>
          <w:highlight w:val="none"/>
          <w14:textFill>
            <w14:solidFill>
              <w14:schemeClr w14:val="tx1"/>
            </w14:solidFill>
          </w14:textFill>
        </w:rPr>
        <w:t>三、交货地点及交货时间</w:t>
      </w:r>
    </w:p>
    <w:p w14:paraId="456CBC64">
      <w:pPr>
        <w:overflowPunct/>
        <w:bidi w:val="0"/>
        <w:spacing w:line="360" w:lineRule="auto"/>
        <w:ind w:firstLine="420" w:firstLineChars="200"/>
        <w:outlineLvl w:val="9"/>
        <w:rPr>
          <w:rFonts w:hint="eastAsia" w:ascii="宋体" w:hAnsi="宋体" w:eastAsia="宋体" w:cs="Times New Roman"/>
          <w:color w:val="000000" w:themeColor="text1"/>
          <w:szCs w:val="21"/>
          <w:highlight w:val="none"/>
          <w14:textFill>
            <w14:solidFill>
              <w14:schemeClr w14:val="tx1"/>
            </w14:solidFill>
          </w14:textFill>
        </w:rPr>
      </w:pPr>
      <w:r>
        <w:rPr>
          <w:rFonts w:hint="eastAsia" w:ascii="宋体" w:hAnsi="宋体" w:eastAsia="宋体" w:cs="Times New Roman"/>
          <w:color w:val="000000" w:themeColor="text1"/>
          <w:szCs w:val="21"/>
          <w:highlight w:val="none"/>
          <w14:textFill>
            <w14:solidFill>
              <w14:schemeClr w14:val="tx1"/>
            </w14:solidFill>
          </w14:textFill>
        </w:rPr>
        <w:t>合同订立后   个工作日内，将相关设备送至需方指定位置，并负责相关要求安装调试。</w:t>
      </w:r>
      <w:r>
        <w:rPr>
          <w:rFonts w:hint="eastAsia" w:ascii="宋体" w:hAnsi="宋体" w:eastAsia="宋体" w:cs="Times New Roman"/>
          <w:color w:val="000000" w:themeColor="text1"/>
          <w:szCs w:val="21"/>
          <w:highlight w:val="none"/>
          <w:lang w:val="zh-CN"/>
          <w14:textFill>
            <w14:solidFill>
              <w14:schemeClr w14:val="tx1"/>
            </w14:solidFill>
          </w14:textFill>
        </w:rPr>
        <w:t>如果供方没有按照合同规定的时间交货和提供服务，供方应向需方支付误期赔偿费。误期赔偿费每天按迟交货物的交货价或延期服务的服务费用的百分之一（1%）计收，直至交货或提供服务为止。一天按24小时计算，不足一天按一天计算。但误期赔偿费的最高限额不超过合同价的百分之五（5%）。</w:t>
      </w:r>
    </w:p>
    <w:p w14:paraId="04C608ED">
      <w:pPr>
        <w:overflowPunct/>
        <w:bidi w:val="0"/>
        <w:spacing w:line="360" w:lineRule="auto"/>
        <w:ind w:firstLine="420" w:firstLineChars="200"/>
        <w:outlineLvl w:val="9"/>
        <w:rPr>
          <w:rFonts w:hint="eastAsia" w:ascii="宋体" w:hAnsi="宋体" w:eastAsia="宋体" w:cs="Times New Roman"/>
          <w:color w:val="000000" w:themeColor="text1"/>
          <w:szCs w:val="21"/>
          <w:highlight w:val="none"/>
          <w14:textFill>
            <w14:solidFill>
              <w14:schemeClr w14:val="tx1"/>
            </w14:solidFill>
          </w14:textFill>
        </w:rPr>
      </w:pPr>
      <w:r>
        <w:rPr>
          <w:rFonts w:hint="eastAsia" w:ascii="宋体" w:hAnsi="宋体" w:eastAsia="宋体" w:cs="Times New Roman"/>
          <w:color w:val="000000" w:themeColor="text1"/>
          <w:szCs w:val="21"/>
          <w:highlight w:val="none"/>
          <w14:textFill>
            <w14:solidFill>
              <w14:schemeClr w14:val="tx1"/>
            </w14:solidFill>
          </w14:textFill>
        </w:rPr>
        <w:t xml:space="preserve">付款 </w:t>
      </w:r>
    </w:p>
    <w:p w14:paraId="77469BBB">
      <w:pPr>
        <w:overflowPunct/>
        <w:bidi w:val="0"/>
        <w:spacing w:line="360" w:lineRule="auto"/>
        <w:ind w:firstLine="420" w:firstLineChars="200"/>
        <w:outlineLvl w:val="9"/>
        <w:rPr>
          <w:rFonts w:hint="eastAsia" w:ascii="宋体" w:hAnsi="宋体" w:eastAsia="宋体" w:cs="Times New Roman"/>
          <w:color w:val="000000" w:themeColor="text1"/>
          <w:szCs w:val="21"/>
          <w:highlight w:val="none"/>
          <w14:textFill>
            <w14:solidFill>
              <w14:schemeClr w14:val="tx1"/>
            </w14:solidFill>
          </w14:textFill>
        </w:rPr>
      </w:pPr>
      <w:r>
        <w:rPr>
          <w:rFonts w:hint="eastAsia" w:ascii="宋体" w:hAnsi="宋体" w:eastAsia="宋体" w:cs="Times New Roman"/>
          <w:color w:val="000000" w:themeColor="text1"/>
          <w:szCs w:val="21"/>
          <w:highlight w:val="none"/>
          <w14:textFill>
            <w14:solidFill>
              <w14:schemeClr w14:val="tx1"/>
            </w14:solidFill>
          </w14:textFill>
        </w:rPr>
        <w:t xml:space="preserve">   </w:t>
      </w:r>
      <w:r>
        <w:rPr>
          <w:rFonts w:hint="eastAsia" w:ascii="宋体" w:hAnsi="宋体" w:eastAsia="宋体" w:cs="Times New Roman"/>
          <w:color w:val="000000" w:themeColor="text1"/>
          <w:szCs w:val="21"/>
          <w:highlight w:val="none"/>
          <w:lang w:val="zh-CN"/>
          <w14:textFill>
            <w14:solidFill>
              <w14:schemeClr w14:val="tx1"/>
            </w14:solidFill>
          </w14:textFill>
        </w:rPr>
        <w:t xml:space="preserve"> 4.1</w:t>
      </w:r>
      <w:r>
        <w:rPr>
          <w:rFonts w:hint="eastAsia" w:ascii="宋体" w:hAnsi="宋体" w:eastAsia="宋体" w:cs="Times New Roman"/>
          <w:color w:val="000000" w:themeColor="text1"/>
          <w:szCs w:val="21"/>
          <w:highlight w:val="none"/>
          <w14:textFill>
            <w14:solidFill>
              <w14:schemeClr w14:val="tx1"/>
            </w14:solidFill>
          </w14:textFill>
        </w:rPr>
        <w:t xml:space="preserve"> </w:t>
      </w:r>
      <w:r>
        <w:rPr>
          <w:rFonts w:hint="eastAsia" w:ascii="宋体" w:hAnsi="宋体" w:eastAsia="宋体" w:cs="Times New Roman"/>
          <w:color w:val="000000" w:themeColor="text1"/>
          <w:szCs w:val="21"/>
          <w:highlight w:val="none"/>
          <w:lang w:val="zh-CN"/>
          <w14:textFill>
            <w14:solidFill>
              <w14:schemeClr w14:val="tx1"/>
            </w14:solidFill>
          </w14:textFill>
        </w:rPr>
        <w:t>货到验收合格后付</w:t>
      </w:r>
      <w:r>
        <w:rPr>
          <w:rFonts w:hint="eastAsia" w:ascii="宋体" w:hAnsi="宋体" w:eastAsia="宋体" w:cs="Times New Roman"/>
          <w:color w:val="000000" w:themeColor="text1"/>
          <w:szCs w:val="21"/>
          <w:highlight w:val="none"/>
          <w14:textFill>
            <w14:solidFill>
              <w14:schemeClr w14:val="tx1"/>
            </w14:solidFill>
          </w14:textFill>
        </w:rPr>
        <w:t xml:space="preserve">          货款</w:t>
      </w:r>
      <w:r>
        <w:rPr>
          <w:rFonts w:hint="eastAsia" w:ascii="宋体" w:hAnsi="宋体" w:eastAsia="宋体" w:cs="Times New Roman"/>
          <w:color w:val="000000" w:themeColor="text1"/>
          <w:szCs w:val="21"/>
          <w:highlight w:val="none"/>
          <w:lang w:val="zh-CN"/>
          <w14:textFill>
            <w14:solidFill>
              <w14:schemeClr w14:val="tx1"/>
            </w14:solidFill>
          </w14:textFill>
        </w:rPr>
        <w:t>。</w:t>
      </w:r>
    </w:p>
    <w:p w14:paraId="562D6437">
      <w:pPr>
        <w:overflowPunct/>
        <w:bidi w:val="0"/>
        <w:spacing w:line="360" w:lineRule="auto"/>
        <w:ind w:firstLine="420" w:firstLineChars="200"/>
        <w:outlineLvl w:val="9"/>
        <w:rPr>
          <w:rFonts w:hint="eastAsia" w:ascii="宋体" w:hAnsi="宋体" w:eastAsia="宋体" w:cs="Times New Roman"/>
          <w:color w:val="000000" w:themeColor="text1"/>
          <w:szCs w:val="21"/>
          <w:highlight w:val="none"/>
          <w14:textFill>
            <w14:solidFill>
              <w14:schemeClr w14:val="tx1"/>
            </w14:solidFill>
          </w14:textFill>
        </w:rPr>
      </w:pPr>
      <w:r>
        <w:rPr>
          <w:rFonts w:hint="eastAsia" w:ascii="宋体" w:hAnsi="宋体" w:eastAsia="宋体" w:cs="Times New Roman"/>
          <w:color w:val="000000" w:themeColor="text1"/>
          <w:szCs w:val="21"/>
          <w:highlight w:val="none"/>
          <w14:textFill>
            <w14:solidFill>
              <w14:schemeClr w14:val="tx1"/>
            </w14:solidFill>
          </w14:textFill>
        </w:rPr>
        <w:t>五、施工</w:t>
      </w:r>
    </w:p>
    <w:p w14:paraId="38381BF4">
      <w:pPr>
        <w:overflowPunct/>
        <w:bidi w:val="0"/>
        <w:spacing w:line="360" w:lineRule="auto"/>
        <w:ind w:firstLine="420" w:firstLineChars="200"/>
        <w:outlineLvl w:val="9"/>
        <w:rPr>
          <w:rFonts w:hint="eastAsia" w:ascii="宋体" w:hAnsi="宋体" w:eastAsia="宋体" w:cs="Times New Roman"/>
          <w:color w:val="000000" w:themeColor="text1"/>
          <w:szCs w:val="21"/>
          <w:highlight w:val="none"/>
          <w14:textFill>
            <w14:solidFill>
              <w14:schemeClr w14:val="tx1"/>
            </w14:solidFill>
          </w14:textFill>
        </w:rPr>
      </w:pPr>
      <w:r>
        <w:rPr>
          <w:rFonts w:hint="eastAsia" w:ascii="宋体" w:hAnsi="宋体" w:eastAsia="宋体" w:cs="Times New Roman"/>
          <w:color w:val="000000" w:themeColor="text1"/>
          <w:szCs w:val="21"/>
          <w:highlight w:val="none"/>
          <w14:textFill>
            <w14:solidFill>
              <w14:schemeClr w14:val="tx1"/>
            </w14:solidFill>
          </w14:textFill>
        </w:rPr>
        <w:t>六、验收（严格执行国家相关标准和招标文件要求）。</w:t>
      </w:r>
    </w:p>
    <w:p w14:paraId="3FAFA457">
      <w:pPr>
        <w:overflowPunct/>
        <w:bidi w:val="0"/>
        <w:spacing w:line="360" w:lineRule="auto"/>
        <w:ind w:firstLine="420" w:firstLineChars="200"/>
        <w:outlineLvl w:val="9"/>
        <w:rPr>
          <w:rFonts w:hint="eastAsia" w:ascii="宋体" w:hAnsi="宋体" w:eastAsia="宋体" w:cs="Times New Roman"/>
          <w:color w:val="000000" w:themeColor="text1"/>
          <w:szCs w:val="21"/>
          <w:highlight w:val="none"/>
          <w14:textFill>
            <w14:solidFill>
              <w14:schemeClr w14:val="tx1"/>
            </w14:solidFill>
          </w14:textFill>
        </w:rPr>
      </w:pPr>
      <w:r>
        <w:rPr>
          <w:rFonts w:hint="eastAsia" w:ascii="宋体" w:hAnsi="宋体" w:eastAsia="宋体" w:cs="Times New Roman"/>
          <w:color w:val="000000" w:themeColor="text1"/>
          <w:szCs w:val="21"/>
          <w:highlight w:val="none"/>
          <w14:textFill>
            <w14:solidFill>
              <w14:schemeClr w14:val="tx1"/>
            </w14:solidFill>
          </w14:textFill>
        </w:rPr>
        <w:t>七、知识产权及有关规定</w:t>
      </w:r>
    </w:p>
    <w:p w14:paraId="280631EB">
      <w:pPr>
        <w:overflowPunct/>
        <w:bidi w:val="0"/>
        <w:spacing w:line="360" w:lineRule="auto"/>
        <w:ind w:firstLine="420" w:firstLineChars="200"/>
        <w:outlineLvl w:val="9"/>
        <w:rPr>
          <w:rFonts w:hint="eastAsia" w:ascii="宋体" w:hAnsi="宋体" w:eastAsia="宋体" w:cs="Times New Roman"/>
          <w:color w:val="000000" w:themeColor="text1"/>
          <w:szCs w:val="21"/>
          <w:highlight w:val="none"/>
          <w14:textFill>
            <w14:solidFill>
              <w14:schemeClr w14:val="tx1"/>
            </w14:solidFill>
          </w14:textFill>
        </w:rPr>
      </w:pPr>
      <w:r>
        <w:rPr>
          <w:rFonts w:hint="eastAsia" w:ascii="宋体" w:hAnsi="宋体" w:eastAsia="宋体" w:cs="Times New Roman"/>
          <w:color w:val="000000" w:themeColor="text1"/>
          <w:szCs w:val="21"/>
          <w:highlight w:val="none"/>
          <w14:textFill>
            <w14:solidFill>
              <w14:schemeClr w14:val="tx1"/>
            </w14:solidFill>
          </w14:textFill>
        </w:rPr>
        <w:t>7.1 供方应保证需方在使用本合同项下的货物或其任何一部分时免受第三方提出侵犯其知识产权、商标权或工业设计权的起诉。如果发生此类问题，供方应负责交涉并承担一切费用和责任。</w:t>
      </w:r>
    </w:p>
    <w:p w14:paraId="4C3F9752">
      <w:pPr>
        <w:overflowPunct/>
        <w:bidi w:val="0"/>
        <w:spacing w:line="360" w:lineRule="auto"/>
        <w:ind w:firstLine="420" w:firstLineChars="200"/>
        <w:outlineLvl w:val="9"/>
        <w:rPr>
          <w:rFonts w:hint="eastAsia" w:ascii="宋体" w:hAnsi="宋体" w:eastAsia="宋体" w:cs="Times New Roman"/>
          <w:color w:val="000000" w:themeColor="text1"/>
          <w:szCs w:val="21"/>
          <w:highlight w:val="none"/>
          <w14:textFill>
            <w14:solidFill>
              <w14:schemeClr w14:val="tx1"/>
            </w14:solidFill>
          </w14:textFill>
        </w:rPr>
      </w:pPr>
      <w:r>
        <w:rPr>
          <w:rFonts w:hint="eastAsia" w:ascii="宋体" w:hAnsi="宋体" w:eastAsia="宋体" w:cs="Times New Roman"/>
          <w:color w:val="000000" w:themeColor="text1"/>
          <w:szCs w:val="21"/>
          <w:highlight w:val="none"/>
          <w14:textFill>
            <w14:solidFill>
              <w14:schemeClr w14:val="tx1"/>
            </w14:solidFill>
          </w14:textFill>
        </w:rPr>
        <w:t>7.2 供方应保证所供货物符合国家的有关规定。</w:t>
      </w:r>
    </w:p>
    <w:p w14:paraId="2F8F8B34">
      <w:pPr>
        <w:overflowPunct/>
        <w:bidi w:val="0"/>
        <w:spacing w:line="360" w:lineRule="auto"/>
        <w:ind w:firstLine="420" w:firstLineChars="200"/>
        <w:outlineLvl w:val="9"/>
        <w:rPr>
          <w:rFonts w:hint="eastAsia" w:ascii="宋体" w:hAnsi="宋体" w:eastAsia="宋体" w:cs="Times New Roman"/>
          <w:color w:val="000000" w:themeColor="text1"/>
          <w:szCs w:val="21"/>
          <w:highlight w:val="none"/>
          <w14:textFill>
            <w14:solidFill>
              <w14:schemeClr w14:val="tx1"/>
            </w14:solidFill>
          </w14:textFill>
        </w:rPr>
      </w:pPr>
      <w:r>
        <w:rPr>
          <w:rFonts w:hint="eastAsia" w:ascii="宋体" w:hAnsi="宋体" w:eastAsia="宋体" w:cs="Times New Roman"/>
          <w:color w:val="000000" w:themeColor="text1"/>
          <w:szCs w:val="21"/>
          <w:highlight w:val="none"/>
          <w14:textFill>
            <w14:solidFill>
              <w14:schemeClr w14:val="tx1"/>
            </w14:solidFill>
          </w14:textFill>
        </w:rPr>
        <w:t>八、伴随服务</w:t>
      </w:r>
    </w:p>
    <w:p w14:paraId="24BC0E75">
      <w:pPr>
        <w:overflowPunct/>
        <w:bidi w:val="0"/>
        <w:spacing w:line="360" w:lineRule="auto"/>
        <w:ind w:firstLine="420" w:firstLineChars="200"/>
        <w:outlineLvl w:val="9"/>
        <w:rPr>
          <w:rFonts w:hint="eastAsia" w:ascii="宋体" w:hAnsi="宋体" w:eastAsia="宋体" w:cs="Times New Roman"/>
          <w:color w:val="000000" w:themeColor="text1"/>
          <w:szCs w:val="21"/>
          <w:highlight w:val="none"/>
          <w14:textFill>
            <w14:solidFill>
              <w14:schemeClr w14:val="tx1"/>
            </w14:solidFill>
          </w14:textFill>
        </w:rPr>
      </w:pPr>
      <w:r>
        <w:rPr>
          <w:rFonts w:hint="eastAsia" w:ascii="宋体" w:hAnsi="宋体" w:eastAsia="宋体" w:cs="Times New Roman"/>
          <w:color w:val="000000" w:themeColor="text1"/>
          <w:szCs w:val="21"/>
          <w:highlight w:val="none"/>
          <w14:textFill>
            <w14:solidFill>
              <w14:schemeClr w14:val="tx1"/>
            </w14:solidFill>
          </w14:textFill>
        </w:rPr>
        <w:t>8.1供方应提供所交付货物的全套技术文件资料，包括产品目录、图纸、操作手册、使用说明、维护手册和服务指南等。</w:t>
      </w:r>
    </w:p>
    <w:p w14:paraId="0C42A9ED">
      <w:pPr>
        <w:overflowPunct/>
        <w:bidi w:val="0"/>
        <w:spacing w:line="360" w:lineRule="auto"/>
        <w:ind w:firstLine="420" w:firstLineChars="200"/>
        <w:outlineLvl w:val="9"/>
        <w:rPr>
          <w:rFonts w:hint="eastAsia" w:ascii="宋体" w:hAnsi="宋体" w:eastAsia="宋体" w:cs="Times New Roman"/>
          <w:color w:val="000000" w:themeColor="text1"/>
          <w:szCs w:val="21"/>
          <w:highlight w:val="none"/>
          <w14:textFill>
            <w14:solidFill>
              <w14:schemeClr w14:val="tx1"/>
            </w14:solidFill>
          </w14:textFill>
        </w:rPr>
      </w:pPr>
      <w:r>
        <w:rPr>
          <w:rFonts w:hint="eastAsia" w:ascii="宋体" w:hAnsi="宋体" w:eastAsia="宋体" w:cs="Times New Roman"/>
          <w:color w:val="000000" w:themeColor="text1"/>
          <w:szCs w:val="21"/>
          <w:highlight w:val="none"/>
          <w14:textFill>
            <w14:solidFill>
              <w14:schemeClr w14:val="tx1"/>
            </w14:solidFill>
          </w14:textFill>
        </w:rPr>
        <w:t>8.2供方还应提供下列服务：货物的运输、集成和试运行；提供货物组装和维修所需的工具；在质量保证期内对所交付货物提供运行监督、维修、保养等；在制造厂家和/或在项目现场就货物的安装调试、运行、维护等对需方人员进行培训。</w:t>
      </w:r>
    </w:p>
    <w:p w14:paraId="00AD6417">
      <w:pPr>
        <w:overflowPunct/>
        <w:bidi w:val="0"/>
        <w:spacing w:line="360" w:lineRule="auto"/>
        <w:ind w:firstLine="420" w:firstLineChars="200"/>
        <w:outlineLvl w:val="9"/>
        <w:rPr>
          <w:rFonts w:hint="eastAsia" w:ascii="宋体" w:hAnsi="宋体" w:eastAsia="宋体" w:cs="Times New Roman"/>
          <w:color w:val="000000" w:themeColor="text1"/>
          <w:szCs w:val="21"/>
          <w:highlight w:val="none"/>
          <w14:textFill>
            <w14:solidFill>
              <w14:schemeClr w14:val="tx1"/>
            </w14:solidFill>
          </w14:textFill>
        </w:rPr>
      </w:pPr>
      <w:r>
        <w:rPr>
          <w:rFonts w:hint="eastAsia" w:ascii="宋体" w:hAnsi="宋体" w:eastAsia="宋体" w:cs="Times New Roman"/>
          <w:color w:val="000000" w:themeColor="text1"/>
          <w:szCs w:val="21"/>
          <w:highlight w:val="none"/>
          <w14:textFill>
            <w14:solidFill>
              <w14:schemeClr w14:val="tx1"/>
            </w14:solidFill>
          </w14:textFill>
        </w:rPr>
        <w:t>8.3上述伴随服务的费用应包含在合同价中，不单独进行支付。</w:t>
      </w:r>
    </w:p>
    <w:p w14:paraId="40AF6DAA">
      <w:pPr>
        <w:overflowPunct/>
        <w:bidi w:val="0"/>
        <w:spacing w:line="360" w:lineRule="auto"/>
        <w:ind w:firstLine="420" w:firstLineChars="200"/>
        <w:outlineLvl w:val="9"/>
        <w:rPr>
          <w:rFonts w:hint="eastAsia" w:ascii="宋体" w:hAnsi="宋体" w:eastAsia="宋体" w:cs="Times New Roman"/>
          <w:color w:val="000000" w:themeColor="text1"/>
          <w:szCs w:val="21"/>
          <w:highlight w:val="none"/>
          <w14:textFill>
            <w14:solidFill>
              <w14:schemeClr w14:val="tx1"/>
            </w14:solidFill>
          </w14:textFill>
        </w:rPr>
      </w:pPr>
      <w:r>
        <w:rPr>
          <w:rFonts w:hint="eastAsia" w:ascii="宋体" w:hAnsi="宋体" w:eastAsia="宋体" w:cs="Times New Roman"/>
          <w:color w:val="000000" w:themeColor="text1"/>
          <w:szCs w:val="21"/>
          <w:highlight w:val="none"/>
          <w14:textFill>
            <w14:solidFill>
              <w14:schemeClr w14:val="tx1"/>
            </w14:solidFill>
          </w14:textFill>
        </w:rPr>
        <w:t>九、质量保证期及售后服务</w:t>
      </w:r>
    </w:p>
    <w:p w14:paraId="5D54CFBB">
      <w:pPr>
        <w:overflowPunct/>
        <w:bidi w:val="0"/>
        <w:spacing w:line="360" w:lineRule="auto"/>
        <w:ind w:firstLine="420" w:firstLineChars="200"/>
        <w:outlineLvl w:val="9"/>
        <w:rPr>
          <w:rFonts w:hint="eastAsia" w:ascii="宋体" w:hAnsi="宋体" w:eastAsia="宋体" w:cs="Times New Roman"/>
          <w:color w:val="000000" w:themeColor="text1"/>
          <w:szCs w:val="21"/>
          <w:highlight w:val="none"/>
          <w14:textFill>
            <w14:solidFill>
              <w14:schemeClr w14:val="tx1"/>
            </w14:solidFill>
          </w14:textFill>
        </w:rPr>
      </w:pPr>
      <w:r>
        <w:rPr>
          <w:rFonts w:hint="eastAsia" w:ascii="宋体" w:hAnsi="宋体" w:eastAsia="宋体" w:cs="Times New Roman"/>
          <w:color w:val="000000" w:themeColor="text1"/>
          <w:szCs w:val="21"/>
          <w:highlight w:val="none"/>
          <w14:textFill>
            <w14:solidFill>
              <w14:schemeClr w14:val="tx1"/>
            </w14:solidFill>
          </w14:textFill>
        </w:rPr>
        <w:t xml:space="preserve">9.1 质量保证期：  </w:t>
      </w:r>
    </w:p>
    <w:p w14:paraId="09D3D053">
      <w:pPr>
        <w:overflowPunct/>
        <w:bidi w:val="0"/>
        <w:spacing w:line="360" w:lineRule="auto"/>
        <w:ind w:firstLine="420" w:firstLineChars="200"/>
        <w:outlineLvl w:val="9"/>
        <w:rPr>
          <w:rFonts w:hint="eastAsia" w:ascii="宋体" w:hAnsi="宋体" w:eastAsia="宋体" w:cs="Times New Roman"/>
          <w:color w:val="000000" w:themeColor="text1"/>
          <w:szCs w:val="21"/>
          <w:highlight w:val="none"/>
          <w14:textFill>
            <w14:solidFill>
              <w14:schemeClr w14:val="tx1"/>
            </w14:solidFill>
          </w14:textFill>
        </w:rPr>
      </w:pPr>
      <w:r>
        <w:rPr>
          <w:rFonts w:hint="eastAsia" w:ascii="宋体" w:hAnsi="宋体" w:eastAsia="宋体" w:cs="Times New Roman"/>
          <w:color w:val="000000" w:themeColor="text1"/>
          <w:szCs w:val="21"/>
          <w:highlight w:val="none"/>
          <w14:textFill>
            <w14:solidFill>
              <w14:schemeClr w14:val="tx1"/>
            </w14:solidFill>
          </w14:textFill>
        </w:rPr>
        <w:t>9.2 售后服务要求：</w:t>
      </w:r>
    </w:p>
    <w:p w14:paraId="58E647BA">
      <w:pPr>
        <w:overflowPunct/>
        <w:bidi w:val="0"/>
        <w:spacing w:line="360" w:lineRule="auto"/>
        <w:ind w:firstLine="420" w:firstLineChars="200"/>
        <w:outlineLvl w:val="9"/>
        <w:rPr>
          <w:rFonts w:hint="eastAsia" w:ascii="宋体" w:hAnsi="宋体" w:eastAsia="宋体" w:cs="Times New Roman"/>
          <w:color w:val="000000" w:themeColor="text1"/>
          <w:szCs w:val="21"/>
          <w:highlight w:val="none"/>
          <w14:textFill>
            <w14:solidFill>
              <w14:schemeClr w14:val="tx1"/>
            </w14:solidFill>
          </w14:textFill>
        </w:rPr>
      </w:pPr>
      <w:r>
        <w:rPr>
          <w:rFonts w:hint="eastAsia" w:ascii="宋体" w:hAnsi="宋体" w:eastAsia="宋体" w:cs="Times New Roman"/>
          <w:color w:val="000000" w:themeColor="text1"/>
          <w:szCs w:val="21"/>
          <w:highlight w:val="none"/>
          <w14:textFill>
            <w14:solidFill>
              <w14:schemeClr w14:val="tx1"/>
            </w14:solidFill>
          </w14:textFill>
        </w:rPr>
        <w:t>十、质量保证</w:t>
      </w:r>
    </w:p>
    <w:p w14:paraId="47D06F81">
      <w:pPr>
        <w:overflowPunct/>
        <w:bidi w:val="0"/>
        <w:spacing w:line="360" w:lineRule="auto"/>
        <w:ind w:firstLine="420" w:firstLineChars="200"/>
        <w:outlineLvl w:val="9"/>
        <w:rPr>
          <w:rFonts w:hint="eastAsia" w:ascii="宋体" w:hAnsi="宋体" w:eastAsia="宋体" w:cs="Times New Roman"/>
          <w:color w:val="000000" w:themeColor="text1"/>
          <w:szCs w:val="21"/>
          <w:highlight w:val="none"/>
          <w14:textFill>
            <w14:solidFill>
              <w14:schemeClr w14:val="tx1"/>
            </w14:solidFill>
          </w14:textFill>
        </w:rPr>
      </w:pPr>
      <w:r>
        <w:rPr>
          <w:rFonts w:hint="eastAsia" w:ascii="宋体" w:hAnsi="宋体" w:eastAsia="宋体" w:cs="Times New Roman"/>
          <w:color w:val="000000" w:themeColor="text1"/>
          <w:szCs w:val="21"/>
          <w:highlight w:val="none"/>
          <w14:textFill>
            <w14:solidFill>
              <w14:schemeClr w14:val="tx1"/>
            </w14:solidFill>
          </w14:textFill>
        </w:rPr>
        <w:t>10.1 供方应保证所提供的货物是原制造厂商制造的、经过合法销售渠道取得的、全新的、未使用过的，并完全符合合同规定的品牌、规格型号、技术性能、配置、质量、数量等要求。供方应保证其所提供的货物在正常使用和保养条件下，在其使用寿命期内具有满意的性能。在货物最终验收合格交付后不少于本合同第八条约定的质量保证期内，供方应对其交付的货物由于设计、工艺或材料的缺陷而产生的故障负责。</w:t>
      </w:r>
    </w:p>
    <w:p w14:paraId="238A34D1">
      <w:pPr>
        <w:overflowPunct/>
        <w:bidi w:val="0"/>
        <w:spacing w:line="360" w:lineRule="auto"/>
        <w:ind w:firstLine="420" w:firstLineChars="200"/>
        <w:outlineLvl w:val="9"/>
        <w:rPr>
          <w:rFonts w:hint="eastAsia" w:ascii="宋体" w:hAnsi="宋体" w:eastAsia="宋体" w:cs="Times New Roman"/>
          <w:color w:val="000000" w:themeColor="text1"/>
          <w:szCs w:val="21"/>
          <w:highlight w:val="none"/>
          <w14:textFill>
            <w14:solidFill>
              <w14:schemeClr w14:val="tx1"/>
            </w14:solidFill>
          </w14:textFill>
        </w:rPr>
      </w:pPr>
      <w:r>
        <w:rPr>
          <w:rFonts w:hint="eastAsia" w:ascii="宋体" w:hAnsi="宋体" w:eastAsia="宋体" w:cs="Times New Roman"/>
          <w:color w:val="000000" w:themeColor="text1"/>
          <w:szCs w:val="21"/>
          <w:highlight w:val="none"/>
          <w14:textFill>
            <w14:solidFill>
              <w14:schemeClr w14:val="tx1"/>
            </w14:solidFill>
          </w14:textFill>
        </w:rPr>
        <w:t>10.2 在质量保证期内，如果货物的规格型号、技术性能、原产地及制造厂商以及其他质量技术指标与合同约定不符，或证实货物是有缺陷的，包括潜在的缺陷或使用不符合要求的材料等，需方应尽快以书面形式向供方提出本保证下的索赔。</w:t>
      </w:r>
    </w:p>
    <w:p w14:paraId="3A23DEA0">
      <w:pPr>
        <w:overflowPunct/>
        <w:bidi w:val="0"/>
        <w:spacing w:line="360" w:lineRule="auto"/>
        <w:ind w:firstLine="420" w:firstLineChars="200"/>
        <w:outlineLvl w:val="9"/>
        <w:rPr>
          <w:rFonts w:hint="eastAsia" w:ascii="宋体" w:hAnsi="宋体" w:eastAsia="宋体" w:cs="Times New Roman"/>
          <w:color w:val="000000" w:themeColor="text1"/>
          <w:szCs w:val="21"/>
          <w:highlight w:val="none"/>
          <w14:textFill>
            <w14:solidFill>
              <w14:schemeClr w14:val="tx1"/>
            </w14:solidFill>
          </w14:textFill>
        </w:rPr>
      </w:pPr>
      <w:r>
        <w:rPr>
          <w:rFonts w:hint="eastAsia" w:ascii="宋体" w:hAnsi="宋体" w:eastAsia="宋体" w:cs="Times New Roman"/>
          <w:color w:val="000000" w:themeColor="text1"/>
          <w:szCs w:val="21"/>
          <w:highlight w:val="none"/>
          <w14:textFill>
            <w14:solidFill>
              <w14:schemeClr w14:val="tx1"/>
            </w14:solidFill>
          </w14:textFill>
        </w:rPr>
        <w:t>10.3在质量保证期内，供方在接到需方的通知后，应在本合同第八条约定的响应时间内,免费维修和/或更换有缺陷的货物或部件。</w:t>
      </w:r>
    </w:p>
    <w:p w14:paraId="22140907">
      <w:pPr>
        <w:overflowPunct/>
        <w:bidi w:val="0"/>
        <w:spacing w:line="360" w:lineRule="auto"/>
        <w:ind w:firstLine="420" w:firstLineChars="200"/>
        <w:outlineLvl w:val="9"/>
        <w:rPr>
          <w:rFonts w:hint="eastAsia" w:ascii="宋体" w:hAnsi="宋体" w:eastAsia="宋体" w:cs="Times New Roman"/>
          <w:color w:val="000000" w:themeColor="text1"/>
          <w:szCs w:val="21"/>
          <w:highlight w:val="none"/>
          <w14:textFill>
            <w14:solidFill>
              <w14:schemeClr w14:val="tx1"/>
            </w14:solidFill>
          </w14:textFill>
        </w:rPr>
      </w:pPr>
      <w:r>
        <w:rPr>
          <w:rFonts w:hint="eastAsia" w:ascii="宋体" w:hAnsi="宋体" w:eastAsia="宋体" w:cs="Times New Roman"/>
          <w:color w:val="000000" w:themeColor="text1"/>
          <w:szCs w:val="21"/>
          <w:highlight w:val="none"/>
          <w14:textFill>
            <w14:solidFill>
              <w14:schemeClr w14:val="tx1"/>
            </w14:solidFill>
          </w14:textFill>
        </w:rPr>
        <w:t>10.4 如果供方在接到需方通知后，在本合同第八条约定的响应时间内没有弥补缺陷，需方可采取必要的补救措施，但其风险和费用将由供方负担，并且需方根据合同规定对供方行使的其他权利不受影响。</w:t>
      </w:r>
    </w:p>
    <w:p w14:paraId="0EDAC264">
      <w:pPr>
        <w:overflowPunct/>
        <w:bidi w:val="0"/>
        <w:spacing w:line="360" w:lineRule="auto"/>
        <w:ind w:firstLine="420" w:firstLineChars="200"/>
        <w:outlineLvl w:val="9"/>
        <w:rPr>
          <w:rFonts w:hint="eastAsia" w:ascii="宋体" w:hAnsi="宋体" w:eastAsia="宋体" w:cs="Times New Roman"/>
          <w:color w:val="000000" w:themeColor="text1"/>
          <w:szCs w:val="21"/>
          <w:highlight w:val="none"/>
          <w14:textFill>
            <w14:solidFill>
              <w14:schemeClr w14:val="tx1"/>
            </w14:solidFill>
          </w14:textFill>
        </w:rPr>
      </w:pPr>
      <w:r>
        <w:rPr>
          <w:rFonts w:hint="eastAsia" w:ascii="宋体" w:hAnsi="宋体" w:eastAsia="宋体" w:cs="Times New Roman"/>
          <w:color w:val="000000" w:themeColor="text1"/>
          <w:szCs w:val="21"/>
          <w:highlight w:val="none"/>
          <w14:textFill>
            <w14:solidFill>
              <w14:schemeClr w14:val="tx1"/>
            </w14:solidFill>
          </w14:textFill>
        </w:rPr>
        <w:t>十一、索赔</w:t>
      </w:r>
    </w:p>
    <w:p w14:paraId="7056E1DD">
      <w:pPr>
        <w:overflowPunct/>
        <w:bidi w:val="0"/>
        <w:spacing w:line="360" w:lineRule="auto"/>
        <w:ind w:firstLine="420" w:firstLineChars="200"/>
        <w:outlineLvl w:val="9"/>
        <w:rPr>
          <w:rFonts w:hint="eastAsia" w:ascii="宋体" w:hAnsi="宋体" w:eastAsia="宋体" w:cs="Times New Roman"/>
          <w:color w:val="000000" w:themeColor="text1"/>
          <w:szCs w:val="21"/>
          <w:highlight w:val="none"/>
          <w14:textFill>
            <w14:solidFill>
              <w14:schemeClr w14:val="tx1"/>
            </w14:solidFill>
          </w14:textFill>
        </w:rPr>
      </w:pPr>
      <w:r>
        <w:rPr>
          <w:rFonts w:hint="eastAsia" w:ascii="宋体" w:hAnsi="宋体" w:eastAsia="宋体" w:cs="Times New Roman"/>
          <w:color w:val="000000" w:themeColor="text1"/>
          <w:szCs w:val="21"/>
          <w:highlight w:val="none"/>
          <w14:textFill>
            <w14:solidFill>
              <w14:schemeClr w14:val="tx1"/>
            </w14:solidFill>
          </w14:textFill>
        </w:rPr>
        <w:t>11.1需方有权根据当地国家技术监督局、进出口商品检验局或其他具有法定资格的质检机构出具的检验证书向供方提出索赔。</w:t>
      </w:r>
    </w:p>
    <w:p w14:paraId="01D1E4CB">
      <w:pPr>
        <w:overflowPunct/>
        <w:bidi w:val="0"/>
        <w:spacing w:line="360" w:lineRule="auto"/>
        <w:ind w:firstLine="420" w:firstLineChars="200"/>
        <w:outlineLvl w:val="9"/>
        <w:rPr>
          <w:rFonts w:hint="eastAsia" w:ascii="宋体" w:hAnsi="宋体" w:eastAsia="宋体" w:cs="Times New Roman"/>
          <w:color w:val="000000" w:themeColor="text1"/>
          <w:szCs w:val="21"/>
          <w:highlight w:val="none"/>
          <w14:textFill>
            <w14:solidFill>
              <w14:schemeClr w14:val="tx1"/>
            </w14:solidFill>
          </w14:textFill>
        </w:rPr>
      </w:pPr>
      <w:r>
        <w:rPr>
          <w:rFonts w:hint="eastAsia" w:ascii="宋体" w:hAnsi="宋体" w:eastAsia="宋体" w:cs="Times New Roman"/>
          <w:color w:val="000000" w:themeColor="text1"/>
          <w:szCs w:val="21"/>
          <w:highlight w:val="none"/>
          <w14:textFill>
            <w14:solidFill>
              <w14:schemeClr w14:val="tx1"/>
            </w14:solidFill>
          </w14:textFill>
        </w:rPr>
        <w:t>11.2如果供方对缺陷负有责任而需方提出索赔，供方应按照需方同意的下列一种或多种方式解决索赔事宜：</w:t>
      </w:r>
    </w:p>
    <w:p w14:paraId="144FF48A">
      <w:pPr>
        <w:overflowPunct/>
        <w:bidi w:val="0"/>
        <w:spacing w:line="360" w:lineRule="auto"/>
        <w:ind w:firstLine="420" w:firstLineChars="200"/>
        <w:outlineLvl w:val="9"/>
        <w:rPr>
          <w:rFonts w:hint="eastAsia" w:ascii="宋体" w:hAnsi="宋体" w:eastAsia="宋体" w:cs="Times New Roman"/>
          <w:color w:val="000000" w:themeColor="text1"/>
          <w:szCs w:val="21"/>
          <w:highlight w:val="none"/>
          <w14:textFill>
            <w14:solidFill>
              <w14:schemeClr w14:val="tx1"/>
            </w14:solidFill>
          </w14:textFill>
        </w:rPr>
      </w:pPr>
      <w:r>
        <w:rPr>
          <w:rFonts w:hint="eastAsia" w:ascii="宋体" w:hAnsi="宋体" w:eastAsia="宋体" w:cs="Times New Roman"/>
          <w:color w:val="000000" w:themeColor="text1"/>
          <w:szCs w:val="21"/>
          <w:highlight w:val="none"/>
          <w14:textFill>
            <w14:solidFill>
              <w14:schemeClr w14:val="tx1"/>
            </w14:solidFill>
          </w14:textFill>
        </w:rPr>
        <w:t>（1）供方同意退货并用合同规定的货币将货款退还给需方，并承担由此发生的一切损失和费用，包括利息、银行手续费、运费、保险费、检验费、仓储费、装卸费以及为保护退回货物所需的其他必要费用。</w:t>
      </w:r>
    </w:p>
    <w:p w14:paraId="1F927D95">
      <w:pPr>
        <w:overflowPunct/>
        <w:bidi w:val="0"/>
        <w:spacing w:line="360" w:lineRule="auto"/>
        <w:ind w:firstLine="420" w:firstLineChars="200"/>
        <w:outlineLvl w:val="9"/>
        <w:rPr>
          <w:rFonts w:hint="eastAsia" w:ascii="宋体" w:hAnsi="宋体" w:eastAsia="宋体" w:cs="Times New Roman"/>
          <w:color w:val="000000" w:themeColor="text1"/>
          <w:szCs w:val="21"/>
          <w:highlight w:val="none"/>
          <w14:textFill>
            <w14:solidFill>
              <w14:schemeClr w14:val="tx1"/>
            </w14:solidFill>
          </w14:textFill>
        </w:rPr>
      </w:pPr>
      <w:r>
        <w:rPr>
          <w:rFonts w:hint="eastAsia" w:ascii="宋体" w:hAnsi="宋体" w:eastAsia="宋体" w:cs="Times New Roman"/>
          <w:color w:val="000000" w:themeColor="text1"/>
          <w:szCs w:val="21"/>
          <w:highlight w:val="none"/>
          <w14:textFill>
            <w14:solidFill>
              <w14:schemeClr w14:val="tx1"/>
            </w14:solidFill>
          </w14:textFill>
        </w:rPr>
        <w:t>（2）根据货物低劣、损坏程度以及需方所遭受损失的金额，经过供需双方商定降低货物的价格。</w:t>
      </w:r>
    </w:p>
    <w:p w14:paraId="61D8741A">
      <w:pPr>
        <w:overflowPunct/>
        <w:bidi w:val="0"/>
        <w:spacing w:line="360" w:lineRule="auto"/>
        <w:ind w:firstLine="420" w:firstLineChars="200"/>
        <w:outlineLvl w:val="9"/>
        <w:rPr>
          <w:rFonts w:hint="eastAsia" w:ascii="宋体" w:hAnsi="宋体" w:eastAsia="宋体" w:cs="Times New Roman"/>
          <w:color w:val="000000" w:themeColor="text1"/>
          <w:szCs w:val="21"/>
          <w:highlight w:val="none"/>
          <w14:textFill>
            <w14:solidFill>
              <w14:schemeClr w14:val="tx1"/>
            </w14:solidFill>
          </w14:textFill>
        </w:rPr>
      </w:pPr>
      <w:r>
        <w:rPr>
          <w:rFonts w:hint="eastAsia" w:ascii="宋体" w:hAnsi="宋体" w:eastAsia="宋体" w:cs="Times New Roman"/>
          <w:color w:val="000000" w:themeColor="text1"/>
          <w:szCs w:val="21"/>
          <w:highlight w:val="none"/>
          <w14:textFill>
            <w14:solidFill>
              <w14:schemeClr w14:val="tx1"/>
            </w14:solidFill>
          </w14:textFill>
        </w:rPr>
        <w:t>（3）用符合合同规定的规格、质量和性能要求的新零件、部件和／或设备来更换有缺陷的部分和／或修补缺陷部分，供方应承担一切费用和风险，并负担需方蒙受的全部直接损失。供方应同时按合同第八条的规定，相应延长修补和／或更换件的质量保证期。</w:t>
      </w:r>
    </w:p>
    <w:p w14:paraId="32125865">
      <w:pPr>
        <w:overflowPunct/>
        <w:bidi w:val="0"/>
        <w:spacing w:line="360" w:lineRule="auto"/>
        <w:ind w:firstLine="420" w:firstLineChars="200"/>
        <w:outlineLvl w:val="9"/>
        <w:rPr>
          <w:rFonts w:hint="eastAsia" w:ascii="宋体" w:hAnsi="宋体" w:eastAsia="宋体" w:cs="Times New Roman"/>
          <w:color w:val="000000" w:themeColor="text1"/>
          <w:szCs w:val="21"/>
          <w:highlight w:val="none"/>
          <w14:textFill>
            <w14:solidFill>
              <w14:schemeClr w14:val="tx1"/>
            </w14:solidFill>
          </w14:textFill>
        </w:rPr>
      </w:pPr>
      <w:r>
        <w:rPr>
          <w:rFonts w:hint="eastAsia" w:ascii="宋体" w:hAnsi="宋体" w:eastAsia="宋体" w:cs="Times New Roman"/>
          <w:color w:val="000000" w:themeColor="text1"/>
          <w:szCs w:val="21"/>
          <w:highlight w:val="none"/>
          <w14:textFill>
            <w14:solidFill>
              <w14:schemeClr w14:val="tx1"/>
            </w14:solidFill>
          </w14:textFill>
        </w:rPr>
        <w:t>11.3如果在需方发出索赔通知后十天内，供方未作答复，上述索赔应视为已被供方接受。如供方未能在接到需方索赔通知后十天内或需方同意的延长期限内，按照本合同第10.2条规定的任何一种或多种方式解决索赔事宜并征得需方同意，需方有权通过采购方从应付货款或从供方提交的履约保证金中扣回索赔金额，并拥有对赔偿不足部分进一步索赔的权利。</w:t>
      </w:r>
    </w:p>
    <w:p w14:paraId="5A60FBFA">
      <w:pPr>
        <w:overflowPunct/>
        <w:bidi w:val="0"/>
        <w:spacing w:line="360" w:lineRule="auto"/>
        <w:ind w:firstLine="420" w:firstLineChars="200"/>
        <w:outlineLvl w:val="9"/>
        <w:rPr>
          <w:rFonts w:hint="eastAsia" w:ascii="宋体" w:hAnsi="宋体" w:eastAsia="宋体" w:cs="Times New Roman"/>
          <w:color w:val="000000" w:themeColor="text1"/>
          <w:szCs w:val="21"/>
          <w:highlight w:val="none"/>
          <w14:textFill>
            <w14:solidFill>
              <w14:schemeClr w14:val="tx1"/>
            </w14:solidFill>
          </w14:textFill>
        </w:rPr>
      </w:pPr>
      <w:r>
        <w:rPr>
          <w:rFonts w:hint="eastAsia" w:ascii="宋体" w:hAnsi="宋体" w:eastAsia="宋体" w:cs="Times New Roman"/>
          <w:color w:val="000000" w:themeColor="text1"/>
          <w:szCs w:val="21"/>
          <w:highlight w:val="none"/>
          <w14:textFill>
            <w14:solidFill>
              <w14:schemeClr w14:val="tx1"/>
            </w14:solidFill>
          </w14:textFill>
        </w:rPr>
        <w:t>十二、供方履约延误</w:t>
      </w:r>
    </w:p>
    <w:p w14:paraId="212F0F00">
      <w:pPr>
        <w:overflowPunct/>
        <w:bidi w:val="0"/>
        <w:spacing w:line="360" w:lineRule="auto"/>
        <w:ind w:firstLine="420" w:firstLineChars="200"/>
        <w:outlineLvl w:val="9"/>
        <w:rPr>
          <w:rFonts w:hint="eastAsia" w:ascii="宋体" w:hAnsi="宋体" w:eastAsia="宋体" w:cs="Times New Roman"/>
          <w:color w:val="000000" w:themeColor="text1"/>
          <w:szCs w:val="21"/>
          <w:highlight w:val="none"/>
          <w14:textFill>
            <w14:solidFill>
              <w14:schemeClr w14:val="tx1"/>
            </w14:solidFill>
          </w14:textFill>
        </w:rPr>
      </w:pPr>
      <w:r>
        <w:rPr>
          <w:rFonts w:hint="eastAsia" w:ascii="宋体" w:hAnsi="宋体" w:eastAsia="宋体" w:cs="Times New Roman"/>
          <w:color w:val="000000" w:themeColor="text1"/>
          <w:szCs w:val="21"/>
          <w:highlight w:val="none"/>
          <w14:textFill>
            <w14:solidFill>
              <w14:schemeClr w14:val="tx1"/>
            </w14:solidFill>
          </w14:textFill>
        </w:rPr>
        <w:t>12.1 供方应按照合同规定的时间、地点交货和提供服务。</w:t>
      </w:r>
    </w:p>
    <w:p w14:paraId="730979FD">
      <w:pPr>
        <w:overflowPunct/>
        <w:bidi w:val="0"/>
        <w:spacing w:line="360" w:lineRule="auto"/>
        <w:ind w:firstLine="420" w:firstLineChars="200"/>
        <w:outlineLvl w:val="9"/>
        <w:rPr>
          <w:rFonts w:hint="eastAsia" w:ascii="宋体" w:hAnsi="宋体" w:eastAsia="宋体" w:cs="Times New Roman"/>
          <w:color w:val="000000" w:themeColor="text1"/>
          <w:szCs w:val="21"/>
          <w:highlight w:val="none"/>
          <w14:textFill>
            <w14:solidFill>
              <w14:schemeClr w14:val="tx1"/>
            </w14:solidFill>
          </w14:textFill>
        </w:rPr>
      </w:pPr>
      <w:r>
        <w:rPr>
          <w:rFonts w:hint="eastAsia" w:ascii="宋体" w:hAnsi="宋体" w:eastAsia="宋体" w:cs="Times New Roman"/>
          <w:color w:val="000000" w:themeColor="text1"/>
          <w:szCs w:val="21"/>
          <w:highlight w:val="none"/>
          <w14:textFill>
            <w14:solidFill>
              <w14:schemeClr w14:val="tx1"/>
            </w14:solidFill>
          </w14:textFill>
        </w:rPr>
        <w:t>12.2 如供方无正当理由拖延交货或不按投标文件提供服务，将受到以下制裁：没收履约保证金、加收误期赔偿和／或违约终止合同。</w:t>
      </w:r>
    </w:p>
    <w:p w14:paraId="1DD50C98">
      <w:pPr>
        <w:overflowPunct/>
        <w:bidi w:val="0"/>
        <w:spacing w:line="360" w:lineRule="auto"/>
        <w:ind w:firstLine="420" w:firstLineChars="200"/>
        <w:outlineLvl w:val="9"/>
        <w:rPr>
          <w:rFonts w:hint="eastAsia" w:ascii="宋体" w:hAnsi="宋体" w:eastAsia="宋体" w:cs="Times New Roman"/>
          <w:color w:val="000000" w:themeColor="text1"/>
          <w:szCs w:val="21"/>
          <w:highlight w:val="none"/>
          <w14:textFill>
            <w14:solidFill>
              <w14:schemeClr w14:val="tx1"/>
            </w14:solidFill>
          </w14:textFill>
        </w:rPr>
      </w:pPr>
      <w:r>
        <w:rPr>
          <w:rFonts w:hint="eastAsia" w:ascii="宋体" w:hAnsi="宋体" w:eastAsia="宋体" w:cs="Times New Roman"/>
          <w:color w:val="000000" w:themeColor="text1"/>
          <w:szCs w:val="21"/>
          <w:highlight w:val="none"/>
          <w14:textFill>
            <w14:solidFill>
              <w14:schemeClr w14:val="tx1"/>
            </w14:solidFill>
          </w14:textFill>
        </w:rPr>
        <w:t>12.3 在履行合同过程中，如果供方遇到可能妨碍其按时交货和提供服务的情况，应及时以书面形式将拖延的事实，可能拖延的期限和理由通知需方。需方在收到供方通知后，应尽快对情况进行评价，并确定是否通过修改合同，酌情延长交货时间和/或延期提供服务，或者终止合同。</w:t>
      </w:r>
    </w:p>
    <w:p w14:paraId="0B7259F6">
      <w:pPr>
        <w:overflowPunct/>
        <w:bidi w:val="0"/>
        <w:spacing w:line="360" w:lineRule="auto"/>
        <w:ind w:firstLine="420" w:firstLineChars="200"/>
        <w:outlineLvl w:val="9"/>
        <w:rPr>
          <w:rFonts w:hint="eastAsia" w:ascii="宋体" w:hAnsi="宋体" w:eastAsia="宋体" w:cs="Times New Roman"/>
          <w:color w:val="000000" w:themeColor="text1"/>
          <w:szCs w:val="21"/>
          <w:highlight w:val="none"/>
          <w14:textFill>
            <w14:solidFill>
              <w14:schemeClr w14:val="tx1"/>
            </w14:solidFill>
          </w14:textFill>
        </w:rPr>
      </w:pPr>
      <w:r>
        <w:rPr>
          <w:rFonts w:hint="eastAsia" w:ascii="宋体" w:hAnsi="宋体" w:eastAsia="宋体" w:cs="Times New Roman"/>
          <w:color w:val="000000" w:themeColor="text1"/>
          <w:szCs w:val="21"/>
          <w:highlight w:val="none"/>
          <w14:textFill>
            <w14:solidFill>
              <w14:schemeClr w14:val="tx1"/>
            </w14:solidFill>
          </w14:textFill>
        </w:rPr>
        <w:t>十三、误期赔偿</w:t>
      </w:r>
    </w:p>
    <w:p w14:paraId="696187EA">
      <w:pPr>
        <w:overflowPunct/>
        <w:bidi w:val="0"/>
        <w:spacing w:line="360" w:lineRule="auto"/>
        <w:ind w:firstLine="420" w:firstLineChars="200"/>
        <w:outlineLvl w:val="9"/>
        <w:rPr>
          <w:rFonts w:hint="eastAsia" w:ascii="宋体" w:hAnsi="宋体" w:eastAsia="宋体" w:cs="Times New Roman"/>
          <w:color w:val="000000" w:themeColor="text1"/>
          <w:szCs w:val="21"/>
          <w:highlight w:val="none"/>
          <w14:textFill>
            <w14:solidFill>
              <w14:schemeClr w14:val="tx1"/>
            </w14:solidFill>
          </w14:textFill>
        </w:rPr>
      </w:pPr>
      <w:r>
        <w:rPr>
          <w:rFonts w:hint="eastAsia" w:ascii="宋体" w:hAnsi="宋体" w:eastAsia="宋体" w:cs="Times New Roman"/>
          <w:color w:val="000000" w:themeColor="text1"/>
          <w:szCs w:val="21"/>
          <w:highlight w:val="none"/>
          <w14:textFill>
            <w14:solidFill>
              <w14:schemeClr w14:val="tx1"/>
            </w14:solidFill>
          </w14:textFill>
        </w:rPr>
        <w:t>13.1除合同第14条规定外，如果供方没有按照合同规定的时间交货和提供服务，供方应向需方支付误期赔偿费。误期赔偿费每天按迟交货物的交货价或延期服务的服务费用的百分之一（1%）计收，直至交货或提供服务为止。一天按24小时计算，不足一天按一一天计算。但误期赔偿费的最高限额不超过合同价的百分之五（5%）。</w:t>
      </w:r>
    </w:p>
    <w:p w14:paraId="1D6CC942">
      <w:pPr>
        <w:overflowPunct/>
        <w:bidi w:val="0"/>
        <w:spacing w:line="360" w:lineRule="auto"/>
        <w:ind w:firstLine="420" w:firstLineChars="200"/>
        <w:outlineLvl w:val="9"/>
        <w:rPr>
          <w:rFonts w:hint="eastAsia" w:ascii="宋体" w:hAnsi="宋体" w:eastAsia="宋体" w:cs="Times New Roman"/>
          <w:color w:val="000000" w:themeColor="text1"/>
          <w:szCs w:val="21"/>
          <w:highlight w:val="none"/>
          <w14:textFill>
            <w14:solidFill>
              <w14:schemeClr w14:val="tx1"/>
            </w14:solidFill>
          </w14:textFill>
        </w:rPr>
      </w:pPr>
      <w:r>
        <w:rPr>
          <w:rFonts w:hint="eastAsia" w:ascii="宋体" w:hAnsi="宋体" w:eastAsia="宋体" w:cs="Times New Roman"/>
          <w:color w:val="000000" w:themeColor="text1"/>
          <w:szCs w:val="21"/>
          <w:highlight w:val="none"/>
          <w14:textFill>
            <w14:solidFill>
              <w14:schemeClr w14:val="tx1"/>
            </w14:solidFill>
          </w14:textFill>
        </w:rPr>
        <w:t>13.2误期赔偿费可从应付货款和/或履约保证金中扣除。</w:t>
      </w:r>
    </w:p>
    <w:p w14:paraId="3F72BE3C">
      <w:pPr>
        <w:overflowPunct/>
        <w:bidi w:val="0"/>
        <w:spacing w:line="360" w:lineRule="auto"/>
        <w:ind w:firstLine="420" w:firstLineChars="200"/>
        <w:outlineLvl w:val="9"/>
        <w:rPr>
          <w:rFonts w:hint="eastAsia" w:ascii="宋体" w:hAnsi="宋体" w:eastAsia="宋体" w:cs="Times New Roman"/>
          <w:color w:val="000000" w:themeColor="text1"/>
          <w:szCs w:val="21"/>
          <w:highlight w:val="none"/>
          <w14:textFill>
            <w14:solidFill>
              <w14:schemeClr w14:val="tx1"/>
            </w14:solidFill>
          </w14:textFill>
        </w:rPr>
      </w:pPr>
      <w:r>
        <w:rPr>
          <w:rFonts w:hint="eastAsia" w:ascii="宋体" w:hAnsi="宋体" w:eastAsia="宋体" w:cs="Times New Roman"/>
          <w:color w:val="000000" w:themeColor="text1"/>
          <w:szCs w:val="21"/>
          <w:highlight w:val="none"/>
          <w14:textFill>
            <w14:solidFill>
              <w14:schemeClr w14:val="tx1"/>
            </w14:solidFill>
          </w14:textFill>
        </w:rPr>
        <w:t>13.3收取误期赔偿费不影响需方采取合同规定的其他补救措施的权利。</w:t>
      </w:r>
    </w:p>
    <w:p w14:paraId="4480921E">
      <w:pPr>
        <w:overflowPunct/>
        <w:bidi w:val="0"/>
        <w:spacing w:line="360" w:lineRule="auto"/>
        <w:ind w:firstLine="420" w:firstLineChars="200"/>
        <w:outlineLvl w:val="9"/>
        <w:rPr>
          <w:rFonts w:hint="eastAsia" w:ascii="宋体" w:hAnsi="宋体" w:eastAsia="宋体" w:cs="Times New Roman"/>
          <w:color w:val="000000" w:themeColor="text1"/>
          <w:szCs w:val="21"/>
          <w:highlight w:val="none"/>
          <w14:textFill>
            <w14:solidFill>
              <w14:schemeClr w14:val="tx1"/>
            </w14:solidFill>
          </w14:textFill>
        </w:rPr>
      </w:pPr>
      <w:r>
        <w:rPr>
          <w:rFonts w:hint="eastAsia" w:ascii="宋体" w:hAnsi="宋体" w:eastAsia="宋体" w:cs="Times New Roman"/>
          <w:color w:val="000000" w:themeColor="text1"/>
          <w:szCs w:val="21"/>
          <w:highlight w:val="none"/>
          <w14:textFill>
            <w14:solidFill>
              <w14:schemeClr w14:val="tx1"/>
            </w14:solidFill>
          </w14:textFill>
        </w:rPr>
        <w:t>13.4供方如未能按本合同第九条规定进行售后服务，在收到需方县级远程办书面故障处理通知之日起一个月内仍未能解决故障，需方将按出现故障设备供货价格扣除质量保证金。</w:t>
      </w:r>
    </w:p>
    <w:p w14:paraId="10FD8173">
      <w:pPr>
        <w:overflowPunct/>
        <w:bidi w:val="0"/>
        <w:spacing w:line="360" w:lineRule="auto"/>
        <w:ind w:firstLine="420" w:firstLineChars="200"/>
        <w:outlineLvl w:val="9"/>
        <w:rPr>
          <w:rFonts w:hint="eastAsia" w:ascii="宋体" w:hAnsi="宋体" w:eastAsia="宋体" w:cs="Times New Roman"/>
          <w:color w:val="000000" w:themeColor="text1"/>
          <w:szCs w:val="21"/>
          <w:highlight w:val="none"/>
          <w14:textFill>
            <w14:solidFill>
              <w14:schemeClr w14:val="tx1"/>
            </w14:solidFill>
          </w14:textFill>
        </w:rPr>
      </w:pPr>
      <w:r>
        <w:rPr>
          <w:rFonts w:hint="eastAsia" w:ascii="宋体" w:hAnsi="宋体" w:eastAsia="宋体" w:cs="Times New Roman"/>
          <w:color w:val="000000" w:themeColor="text1"/>
          <w:szCs w:val="21"/>
          <w:highlight w:val="none"/>
          <w14:textFill>
            <w14:solidFill>
              <w14:schemeClr w14:val="tx1"/>
            </w14:solidFill>
          </w14:textFill>
        </w:rPr>
        <w:t>13.5在收取误期赔偿费期间，需方有权决定是否终止合同。</w:t>
      </w:r>
    </w:p>
    <w:p w14:paraId="1F21674C">
      <w:pPr>
        <w:overflowPunct/>
        <w:bidi w:val="0"/>
        <w:spacing w:line="360" w:lineRule="auto"/>
        <w:ind w:firstLine="420" w:firstLineChars="200"/>
        <w:outlineLvl w:val="9"/>
        <w:rPr>
          <w:rFonts w:hint="eastAsia" w:ascii="宋体" w:hAnsi="宋体" w:eastAsia="宋体" w:cs="Times New Roman"/>
          <w:color w:val="000000" w:themeColor="text1"/>
          <w:szCs w:val="21"/>
          <w:highlight w:val="none"/>
          <w14:textFill>
            <w14:solidFill>
              <w14:schemeClr w14:val="tx1"/>
            </w14:solidFill>
          </w14:textFill>
        </w:rPr>
      </w:pPr>
      <w:r>
        <w:rPr>
          <w:rFonts w:hint="eastAsia" w:ascii="宋体" w:hAnsi="宋体" w:eastAsia="宋体" w:cs="Times New Roman"/>
          <w:color w:val="000000" w:themeColor="text1"/>
          <w:szCs w:val="21"/>
          <w:highlight w:val="none"/>
          <w14:textFill>
            <w14:solidFill>
              <w14:schemeClr w14:val="tx1"/>
            </w14:solidFill>
          </w14:textFill>
        </w:rPr>
        <w:t>十四、履约保证金</w:t>
      </w:r>
    </w:p>
    <w:p w14:paraId="24343991">
      <w:pPr>
        <w:overflowPunct/>
        <w:bidi w:val="0"/>
        <w:spacing w:line="360" w:lineRule="auto"/>
        <w:ind w:firstLine="420" w:firstLineChars="200"/>
        <w:outlineLvl w:val="9"/>
        <w:rPr>
          <w:rFonts w:hint="eastAsia" w:ascii="宋体" w:hAnsi="宋体" w:eastAsia="宋体" w:cs="Times New Roman"/>
          <w:color w:val="000000" w:themeColor="text1"/>
          <w:szCs w:val="21"/>
          <w:highlight w:val="none"/>
          <w14:textFill>
            <w14:solidFill>
              <w14:schemeClr w14:val="tx1"/>
            </w14:solidFill>
          </w14:textFill>
        </w:rPr>
      </w:pPr>
      <w:r>
        <w:rPr>
          <w:rFonts w:hint="eastAsia" w:ascii="宋体" w:hAnsi="宋体" w:eastAsia="宋体" w:cs="Times New Roman"/>
          <w:color w:val="000000" w:themeColor="text1"/>
          <w:szCs w:val="21"/>
          <w:highlight w:val="none"/>
          <w14:textFill>
            <w14:solidFill>
              <w14:schemeClr w14:val="tx1"/>
            </w14:solidFill>
          </w14:textFill>
        </w:rPr>
        <w:t>14.1 中标供应商接到中标通知书后，合同签订前向采购人缴纳中标金额的5%做为履约保证金。</w:t>
      </w:r>
    </w:p>
    <w:p w14:paraId="65FE52AF">
      <w:pPr>
        <w:overflowPunct/>
        <w:bidi w:val="0"/>
        <w:spacing w:line="360" w:lineRule="auto"/>
        <w:ind w:firstLine="420" w:firstLineChars="200"/>
        <w:outlineLvl w:val="9"/>
        <w:rPr>
          <w:rFonts w:hint="eastAsia" w:ascii="宋体" w:hAnsi="宋体" w:eastAsia="宋体" w:cs="Times New Roman"/>
          <w:color w:val="000000" w:themeColor="text1"/>
          <w:szCs w:val="21"/>
          <w:highlight w:val="none"/>
          <w14:textFill>
            <w14:solidFill>
              <w14:schemeClr w14:val="tx1"/>
            </w14:solidFill>
          </w14:textFill>
        </w:rPr>
      </w:pPr>
      <w:r>
        <w:rPr>
          <w:rFonts w:hint="eastAsia" w:ascii="宋体" w:hAnsi="宋体" w:eastAsia="宋体" w:cs="Times New Roman"/>
          <w:color w:val="000000" w:themeColor="text1"/>
          <w:szCs w:val="21"/>
          <w:highlight w:val="none"/>
          <w14:textFill>
            <w14:solidFill>
              <w14:schemeClr w14:val="tx1"/>
            </w14:solidFill>
          </w14:textFill>
        </w:rPr>
        <w:t>14.2 履约金返还的时间和条件：</w:t>
      </w:r>
      <w:r>
        <w:rPr>
          <w:rFonts w:hint="eastAsia" w:ascii="宋体" w:hAnsi="宋体" w:eastAsia="宋体" w:cs="Times New Roman"/>
          <w:color w:val="000000" w:themeColor="text1"/>
          <w:szCs w:val="21"/>
          <w:highlight w:val="none"/>
          <w:lang w:val="en-US" w:eastAsia="zh-CN"/>
          <w14:textFill>
            <w14:solidFill>
              <w14:schemeClr w14:val="tx1"/>
            </w14:solidFill>
          </w14:textFill>
        </w:rPr>
        <w:t>按相关规定执行</w:t>
      </w:r>
      <w:r>
        <w:rPr>
          <w:rFonts w:hint="eastAsia" w:ascii="宋体" w:hAnsi="宋体" w:eastAsia="宋体" w:cs="Times New Roman"/>
          <w:color w:val="000000" w:themeColor="text1"/>
          <w:szCs w:val="21"/>
          <w:highlight w:val="none"/>
          <w14:textFill>
            <w14:solidFill>
              <w14:schemeClr w14:val="tx1"/>
            </w14:solidFill>
          </w14:textFill>
        </w:rPr>
        <w:t>。</w:t>
      </w:r>
    </w:p>
    <w:p w14:paraId="580C1F3C">
      <w:pPr>
        <w:overflowPunct/>
        <w:bidi w:val="0"/>
        <w:spacing w:line="360" w:lineRule="auto"/>
        <w:ind w:firstLine="420" w:firstLineChars="200"/>
        <w:outlineLvl w:val="9"/>
        <w:rPr>
          <w:rFonts w:hint="eastAsia" w:ascii="宋体" w:hAnsi="宋体" w:eastAsia="宋体" w:cs="Times New Roman"/>
          <w:color w:val="000000" w:themeColor="text1"/>
          <w:szCs w:val="21"/>
          <w:highlight w:val="none"/>
          <w14:textFill>
            <w14:solidFill>
              <w14:schemeClr w14:val="tx1"/>
            </w14:solidFill>
          </w14:textFill>
        </w:rPr>
      </w:pPr>
      <w:r>
        <w:rPr>
          <w:rFonts w:hint="eastAsia" w:ascii="宋体" w:hAnsi="宋体" w:eastAsia="宋体" w:cs="Times New Roman"/>
          <w:color w:val="000000" w:themeColor="text1"/>
          <w:szCs w:val="21"/>
          <w:highlight w:val="none"/>
          <w14:textFill>
            <w14:solidFill>
              <w14:schemeClr w14:val="tx1"/>
            </w14:solidFill>
          </w14:textFill>
        </w:rPr>
        <w:t>十五、不可抗力</w:t>
      </w:r>
    </w:p>
    <w:p w14:paraId="6F1DBD72">
      <w:pPr>
        <w:overflowPunct/>
        <w:bidi w:val="0"/>
        <w:spacing w:line="360" w:lineRule="auto"/>
        <w:ind w:firstLine="420" w:firstLineChars="200"/>
        <w:outlineLvl w:val="9"/>
        <w:rPr>
          <w:rFonts w:hint="eastAsia" w:ascii="宋体" w:hAnsi="宋体" w:eastAsia="宋体" w:cs="Times New Roman"/>
          <w:color w:val="000000" w:themeColor="text1"/>
          <w:szCs w:val="21"/>
          <w:highlight w:val="none"/>
          <w14:textFill>
            <w14:solidFill>
              <w14:schemeClr w14:val="tx1"/>
            </w14:solidFill>
          </w14:textFill>
        </w:rPr>
      </w:pPr>
      <w:r>
        <w:rPr>
          <w:rFonts w:hint="eastAsia" w:ascii="宋体" w:hAnsi="宋体" w:eastAsia="宋体" w:cs="Times New Roman"/>
          <w:color w:val="000000" w:themeColor="text1"/>
          <w:szCs w:val="21"/>
          <w:highlight w:val="none"/>
          <w14:textFill>
            <w14:solidFill>
              <w14:schemeClr w14:val="tx1"/>
            </w14:solidFill>
          </w14:textFill>
        </w:rPr>
        <w:t xml:space="preserve">    15.1 如果供需双方因不可抗力而导致合同实施延误或不能履行合同义务，不应该承担误期赔偿或不能履行合同义务的责任。</w:t>
      </w:r>
    </w:p>
    <w:p w14:paraId="082A1490">
      <w:pPr>
        <w:overflowPunct/>
        <w:bidi w:val="0"/>
        <w:spacing w:line="360" w:lineRule="auto"/>
        <w:ind w:firstLine="420" w:firstLineChars="200"/>
        <w:outlineLvl w:val="9"/>
        <w:rPr>
          <w:rFonts w:hint="eastAsia" w:ascii="宋体" w:hAnsi="宋体" w:eastAsia="宋体" w:cs="Times New Roman"/>
          <w:color w:val="000000" w:themeColor="text1"/>
          <w:szCs w:val="21"/>
          <w:highlight w:val="none"/>
          <w14:textFill>
            <w14:solidFill>
              <w14:schemeClr w14:val="tx1"/>
            </w14:solidFill>
          </w14:textFill>
        </w:rPr>
      </w:pPr>
      <w:r>
        <w:rPr>
          <w:rFonts w:hint="eastAsia" w:ascii="宋体" w:hAnsi="宋体" w:eastAsia="宋体" w:cs="Times New Roman"/>
          <w:color w:val="000000" w:themeColor="text1"/>
          <w:szCs w:val="21"/>
          <w:highlight w:val="none"/>
          <w14:textFill>
            <w14:solidFill>
              <w14:schemeClr w14:val="tx1"/>
            </w14:solidFill>
          </w14:textFill>
        </w:rPr>
        <w:t xml:space="preserve">    15.2 本条所述的“不可抗力”系指那些双方无法控制，不可预见的事件，但不包括供需双方的违约或疏忽。这些事件包括但不限于：战争、严重火灾、洪水、台风、地震以及其它供需双方商定的事件(供需双方认定国家政策重大变化属不可抗力)。</w:t>
      </w:r>
    </w:p>
    <w:p w14:paraId="55C6144E">
      <w:pPr>
        <w:overflowPunct/>
        <w:bidi w:val="0"/>
        <w:spacing w:line="360" w:lineRule="auto"/>
        <w:ind w:firstLine="420" w:firstLineChars="200"/>
        <w:outlineLvl w:val="9"/>
        <w:rPr>
          <w:rFonts w:hint="eastAsia" w:ascii="宋体" w:hAnsi="宋体" w:eastAsia="宋体" w:cs="Times New Roman"/>
          <w:color w:val="000000" w:themeColor="text1"/>
          <w:szCs w:val="21"/>
          <w:highlight w:val="none"/>
          <w14:textFill>
            <w14:solidFill>
              <w14:schemeClr w14:val="tx1"/>
            </w14:solidFill>
          </w14:textFill>
        </w:rPr>
      </w:pPr>
      <w:r>
        <w:rPr>
          <w:rFonts w:hint="eastAsia" w:ascii="宋体" w:hAnsi="宋体" w:eastAsia="宋体" w:cs="Times New Roman"/>
          <w:color w:val="000000" w:themeColor="text1"/>
          <w:szCs w:val="21"/>
          <w:highlight w:val="none"/>
          <w14:textFill>
            <w14:solidFill>
              <w14:schemeClr w14:val="tx1"/>
            </w14:solidFill>
          </w14:textFill>
        </w:rPr>
        <w:t>15.3 在不可抗力事件发生后，当事方应尽快以书面形式将不可抗力的情况和原因通知对方。供需双方应尽实际可能继续履行合同义务，并积极寻求采取合理的方案履行不受不可抗力影响的其他事项。供需双方应通过友好协商在合理的时间内达成进一步履行合同的协议。</w:t>
      </w:r>
    </w:p>
    <w:p w14:paraId="1BFE23AA">
      <w:pPr>
        <w:overflowPunct/>
        <w:bidi w:val="0"/>
        <w:spacing w:line="360" w:lineRule="auto"/>
        <w:ind w:firstLine="420" w:firstLineChars="200"/>
        <w:outlineLvl w:val="9"/>
        <w:rPr>
          <w:rFonts w:hint="eastAsia" w:ascii="宋体" w:hAnsi="宋体" w:eastAsia="宋体" w:cs="Times New Roman"/>
          <w:color w:val="000000" w:themeColor="text1"/>
          <w:szCs w:val="21"/>
          <w:highlight w:val="none"/>
          <w14:textFill>
            <w14:solidFill>
              <w14:schemeClr w14:val="tx1"/>
            </w14:solidFill>
          </w14:textFill>
        </w:rPr>
      </w:pPr>
      <w:r>
        <w:rPr>
          <w:rFonts w:hint="eastAsia" w:ascii="宋体" w:hAnsi="宋体" w:eastAsia="宋体" w:cs="Times New Roman"/>
          <w:color w:val="000000" w:themeColor="text1"/>
          <w:szCs w:val="21"/>
          <w:highlight w:val="none"/>
          <w14:textFill>
            <w14:solidFill>
              <w14:schemeClr w14:val="tx1"/>
            </w14:solidFill>
          </w14:textFill>
        </w:rPr>
        <w:t>十六、税费</w:t>
      </w:r>
    </w:p>
    <w:p w14:paraId="747F402E">
      <w:pPr>
        <w:overflowPunct/>
        <w:bidi w:val="0"/>
        <w:spacing w:line="360" w:lineRule="auto"/>
        <w:ind w:firstLine="420" w:firstLineChars="200"/>
        <w:outlineLvl w:val="9"/>
        <w:rPr>
          <w:rFonts w:hint="eastAsia" w:ascii="宋体" w:hAnsi="宋体" w:eastAsia="宋体" w:cs="Times New Roman"/>
          <w:color w:val="000000" w:themeColor="text1"/>
          <w:szCs w:val="21"/>
          <w:highlight w:val="none"/>
          <w14:textFill>
            <w14:solidFill>
              <w14:schemeClr w14:val="tx1"/>
            </w14:solidFill>
          </w14:textFill>
        </w:rPr>
      </w:pPr>
      <w:r>
        <w:rPr>
          <w:rFonts w:hint="eastAsia" w:ascii="宋体" w:hAnsi="宋体" w:eastAsia="宋体" w:cs="Times New Roman"/>
          <w:color w:val="000000" w:themeColor="text1"/>
          <w:szCs w:val="21"/>
          <w:highlight w:val="none"/>
          <w14:textFill>
            <w14:solidFill>
              <w14:schemeClr w14:val="tx1"/>
            </w14:solidFill>
          </w14:textFill>
        </w:rPr>
        <w:t xml:space="preserve">    16.1 根据现行法律规定对需方征收的与本合同有关的一切税费均由需方负担。</w:t>
      </w:r>
    </w:p>
    <w:p w14:paraId="2B37FCFB">
      <w:pPr>
        <w:overflowPunct/>
        <w:bidi w:val="0"/>
        <w:spacing w:line="360" w:lineRule="auto"/>
        <w:ind w:firstLine="420" w:firstLineChars="200"/>
        <w:outlineLvl w:val="9"/>
        <w:rPr>
          <w:rFonts w:hint="eastAsia" w:ascii="宋体" w:hAnsi="宋体" w:eastAsia="宋体" w:cs="Times New Roman"/>
          <w:color w:val="000000" w:themeColor="text1"/>
          <w:szCs w:val="21"/>
          <w:highlight w:val="none"/>
          <w14:textFill>
            <w14:solidFill>
              <w14:schemeClr w14:val="tx1"/>
            </w14:solidFill>
          </w14:textFill>
        </w:rPr>
      </w:pPr>
      <w:r>
        <w:rPr>
          <w:rFonts w:hint="eastAsia" w:ascii="宋体" w:hAnsi="宋体" w:eastAsia="宋体" w:cs="Times New Roman"/>
          <w:color w:val="000000" w:themeColor="text1"/>
          <w:szCs w:val="21"/>
          <w:highlight w:val="none"/>
          <w14:textFill>
            <w14:solidFill>
              <w14:schemeClr w14:val="tx1"/>
            </w14:solidFill>
          </w14:textFill>
        </w:rPr>
        <w:t xml:space="preserve">    16.2 根据现行法律规定对供方征收的与本合同有关的一切税费均由供方负担。</w:t>
      </w:r>
    </w:p>
    <w:p w14:paraId="124C5D93">
      <w:pPr>
        <w:overflowPunct/>
        <w:bidi w:val="0"/>
        <w:spacing w:line="360" w:lineRule="auto"/>
        <w:ind w:firstLine="420" w:firstLineChars="200"/>
        <w:outlineLvl w:val="9"/>
        <w:rPr>
          <w:rFonts w:hint="eastAsia" w:ascii="宋体" w:hAnsi="宋体" w:eastAsia="宋体" w:cs="Times New Roman"/>
          <w:color w:val="000000" w:themeColor="text1"/>
          <w:szCs w:val="21"/>
          <w:highlight w:val="none"/>
          <w14:textFill>
            <w14:solidFill>
              <w14:schemeClr w14:val="tx1"/>
            </w14:solidFill>
          </w14:textFill>
        </w:rPr>
      </w:pPr>
      <w:r>
        <w:rPr>
          <w:rFonts w:hint="eastAsia" w:ascii="宋体" w:hAnsi="宋体" w:eastAsia="宋体" w:cs="Times New Roman"/>
          <w:color w:val="000000" w:themeColor="text1"/>
          <w:szCs w:val="21"/>
          <w:highlight w:val="none"/>
          <w14:textFill>
            <w14:solidFill>
              <w14:schemeClr w14:val="tx1"/>
            </w14:solidFill>
          </w14:textFill>
        </w:rPr>
        <w:t>16.3 在中国境外发生的与执行本合同有关的一切税费均由供方负担。</w:t>
      </w:r>
    </w:p>
    <w:p w14:paraId="15FFD273">
      <w:pPr>
        <w:overflowPunct/>
        <w:bidi w:val="0"/>
        <w:spacing w:line="360" w:lineRule="auto"/>
        <w:ind w:firstLine="420" w:firstLineChars="200"/>
        <w:outlineLvl w:val="9"/>
        <w:rPr>
          <w:rFonts w:hint="eastAsia" w:ascii="宋体" w:hAnsi="宋体" w:eastAsia="宋体" w:cs="Times New Roman"/>
          <w:color w:val="000000" w:themeColor="text1"/>
          <w:szCs w:val="21"/>
          <w:highlight w:val="none"/>
          <w14:textFill>
            <w14:solidFill>
              <w14:schemeClr w14:val="tx1"/>
            </w14:solidFill>
          </w14:textFill>
        </w:rPr>
      </w:pPr>
      <w:r>
        <w:rPr>
          <w:rFonts w:hint="eastAsia" w:ascii="宋体" w:hAnsi="宋体" w:eastAsia="宋体" w:cs="Times New Roman"/>
          <w:color w:val="000000" w:themeColor="text1"/>
          <w:szCs w:val="21"/>
          <w:highlight w:val="none"/>
          <w14:textFill>
            <w14:solidFill>
              <w14:schemeClr w14:val="tx1"/>
            </w14:solidFill>
          </w14:textFill>
        </w:rPr>
        <w:t>十七、争端的解决</w:t>
      </w:r>
    </w:p>
    <w:p w14:paraId="09B3C547">
      <w:pPr>
        <w:overflowPunct/>
        <w:bidi w:val="0"/>
        <w:spacing w:line="360" w:lineRule="auto"/>
        <w:ind w:firstLine="420" w:firstLineChars="200"/>
        <w:outlineLvl w:val="9"/>
        <w:rPr>
          <w:rFonts w:hint="eastAsia" w:ascii="宋体" w:hAnsi="宋体" w:eastAsia="宋体" w:cs="Times New Roman"/>
          <w:color w:val="000000" w:themeColor="text1"/>
          <w:szCs w:val="21"/>
          <w:highlight w:val="none"/>
          <w14:textFill>
            <w14:solidFill>
              <w14:schemeClr w14:val="tx1"/>
            </w14:solidFill>
          </w14:textFill>
        </w:rPr>
      </w:pPr>
      <w:r>
        <w:rPr>
          <w:rFonts w:hint="eastAsia" w:ascii="宋体" w:hAnsi="宋体" w:eastAsia="宋体" w:cs="Times New Roman"/>
          <w:color w:val="000000" w:themeColor="text1"/>
          <w:szCs w:val="21"/>
          <w:highlight w:val="none"/>
          <w14:textFill>
            <w14:solidFill>
              <w14:schemeClr w14:val="tx1"/>
            </w14:solidFill>
          </w14:textFill>
        </w:rPr>
        <w:t xml:space="preserve">    17.1 供需双方应通过友好协商，解决在执行本合同过程中所发生的或与本合同有关的一切争端。如从协商开始十（10）天内仍不能解决，可以向有关合同管理部门提请调解。</w:t>
      </w:r>
    </w:p>
    <w:p w14:paraId="0225B570">
      <w:pPr>
        <w:overflowPunct/>
        <w:bidi w:val="0"/>
        <w:spacing w:line="360" w:lineRule="auto"/>
        <w:ind w:firstLine="420" w:firstLineChars="200"/>
        <w:outlineLvl w:val="9"/>
        <w:rPr>
          <w:rFonts w:hint="eastAsia" w:ascii="宋体" w:hAnsi="宋体" w:eastAsia="宋体" w:cs="Times New Roman"/>
          <w:color w:val="000000" w:themeColor="text1"/>
          <w:szCs w:val="21"/>
          <w:highlight w:val="none"/>
          <w14:textFill>
            <w14:solidFill>
              <w14:schemeClr w14:val="tx1"/>
            </w14:solidFill>
          </w14:textFill>
        </w:rPr>
      </w:pPr>
      <w:r>
        <w:rPr>
          <w:rFonts w:hint="eastAsia" w:ascii="宋体" w:hAnsi="宋体" w:eastAsia="宋体" w:cs="Times New Roman"/>
          <w:color w:val="000000" w:themeColor="text1"/>
          <w:szCs w:val="21"/>
          <w:highlight w:val="none"/>
          <w14:textFill>
            <w14:solidFill>
              <w14:schemeClr w14:val="tx1"/>
            </w14:solidFill>
          </w14:textFill>
        </w:rPr>
        <w:t>17.2 如果调解不成，供需双方的任何一方可以向人民法院提起诉讼。诉讼由合同签订地人民法院管辖。</w:t>
      </w:r>
    </w:p>
    <w:p w14:paraId="393E19AD">
      <w:pPr>
        <w:overflowPunct/>
        <w:bidi w:val="0"/>
        <w:spacing w:line="360" w:lineRule="auto"/>
        <w:ind w:firstLine="420" w:firstLineChars="200"/>
        <w:outlineLvl w:val="9"/>
        <w:rPr>
          <w:rFonts w:hint="eastAsia" w:ascii="宋体" w:hAnsi="宋体" w:eastAsia="宋体" w:cs="Times New Roman"/>
          <w:color w:val="000000" w:themeColor="text1"/>
          <w:szCs w:val="21"/>
          <w:highlight w:val="none"/>
          <w14:textFill>
            <w14:solidFill>
              <w14:schemeClr w14:val="tx1"/>
            </w14:solidFill>
          </w14:textFill>
        </w:rPr>
      </w:pPr>
      <w:r>
        <w:rPr>
          <w:rFonts w:hint="eastAsia" w:ascii="宋体" w:hAnsi="宋体" w:eastAsia="宋体" w:cs="Times New Roman"/>
          <w:color w:val="000000" w:themeColor="text1"/>
          <w:szCs w:val="21"/>
          <w:highlight w:val="none"/>
          <w14:textFill>
            <w14:solidFill>
              <w14:schemeClr w14:val="tx1"/>
            </w14:solidFill>
          </w14:textFill>
        </w:rPr>
        <w:t>17.3诉讼费除法院另有裁决外均由败诉方负担。</w:t>
      </w:r>
    </w:p>
    <w:p w14:paraId="0C1C0950">
      <w:pPr>
        <w:overflowPunct/>
        <w:bidi w:val="0"/>
        <w:spacing w:line="360" w:lineRule="auto"/>
        <w:ind w:firstLine="420" w:firstLineChars="200"/>
        <w:outlineLvl w:val="9"/>
        <w:rPr>
          <w:rFonts w:hint="eastAsia" w:ascii="宋体" w:hAnsi="宋体" w:eastAsia="宋体" w:cs="Times New Roman"/>
          <w:color w:val="000000" w:themeColor="text1"/>
          <w:szCs w:val="21"/>
          <w:highlight w:val="none"/>
          <w14:textFill>
            <w14:solidFill>
              <w14:schemeClr w14:val="tx1"/>
            </w14:solidFill>
          </w14:textFill>
        </w:rPr>
      </w:pPr>
      <w:r>
        <w:rPr>
          <w:rFonts w:hint="eastAsia" w:ascii="宋体" w:hAnsi="宋体" w:eastAsia="宋体" w:cs="Times New Roman"/>
          <w:color w:val="000000" w:themeColor="text1"/>
          <w:szCs w:val="21"/>
          <w:highlight w:val="none"/>
          <w14:textFill>
            <w14:solidFill>
              <w14:schemeClr w14:val="tx1"/>
            </w14:solidFill>
          </w14:textFill>
        </w:rPr>
        <w:t>17.4在诉讼期间，除正在进行诉讼的部分外，本合同的其它部分应继续执行。</w:t>
      </w:r>
    </w:p>
    <w:p w14:paraId="34AA23A0">
      <w:pPr>
        <w:overflowPunct/>
        <w:bidi w:val="0"/>
        <w:spacing w:line="360" w:lineRule="auto"/>
        <w:ind w:firstLine="420" w:firstLineChars="200"/>
        <w:outlineLvl w:val="9"/>
        <w:rPr>
          <w:rFonts w:hint="eastAsia" w:ascii="宋体" w:hAnsi="宋体" w:eastAsia="宋体" w:cs="Times New Roman"/>
          <w:color w:val="000000" w:themeColor="text1"/>
          <w:szCs w:val="21"/>
          <w:highlight w:val="none"/>
          <w14:textFill>
            <w14:solidFill>
              <w14:schemeClr w14:val="tx1"/>
            </w14:solidFill>
          </w14:textFill>
        </w:rPr>
      </w:pPr>
      <w:r>
        <w:rPr>
          <w:rFonts w:hint="eastAsia" w:ascii="宋体" w:hAnsi="宋体" w:eastAsia="宋体" w:cs="Times New Roman"/>
          <w:color w:val="000000" w:themeColor="text1"/>
          <w:szCs w:val="21"/>
          <w:highlight w:val="none"/>
          <w14:textFill>
            <w14:solidFill>
              <w14:schemeClr w14:val="tx1"/>
            </w14:solidFill>
          </w14:textFill>
        </w:rPr>
        <w:t>十八、违约终止合同</w:t>
      </w:r>
    </w:p>
    <w:p w14:paraId="157AAC7A">
      <w:pPr>
        <w:overflowPunct/>
        <w:bidi w:val="0"/>
        <w:spacing w:line="360" w:lineRule="auto"/>
        <w:ind w:firstLine="420" w:firstLineChars="200"/>
        <w:outlineLvl w:val="9"/>
        <w:rPr>
          <w:rFonts w:hint="eastAsia" w:ascii="宋体" w:hAnsi="宋体" w:eastAsia="宋体" w:cs="Times New Roman"/>
          <w:color w:val="000000" w:themeColor="text1"/>
          <w:szCs w:val="21"/>
          <w:highlight w:val="none"/>
          <w14:textFill>
            <w14:solidFill>
              <w14:schemeClr w14:val="tx1"/>
            </w14:solidFill>
          </w14:textFill>
        </w:rPr>
      </w:pPr>
      <w:r>
        <w:rPr>
          <w:rFonts w:hint="eastAsia" w:ascii="宋体" w:hAnsi="宋体" w:eastAsia="宋体" w:cs="Times New Roman"/>
          <w:color w:val="000000" w:themeColor="text1"/>
          <w:szCs w:val="21"/>
          <w:highlight w:val="none"/>
          <w14:textFill>
            <w14:solidFill>
              <w14:schemeClr w14:val="tx1"/>
            </w14:solidFill>
          </w14:textFill>
        </w:rPr>
        <w:t xml:space="preserve">    18.1 在需方因供方违约而按合同约定采取的任何补救措施不受影响的情况下，需方可在下列情况下向供方发出书面通知，提出终止部分或全部合同。</w:t>
      </w:r>
    </w:p>
    <w:p w14:paraId="75B69979">
      <w:pPr>
        <w:overflowPunct/>
        <w:bidi w:val="0"/>
        <w:spacing w:line="360" w:lineRule="auto"/>
        <w:ind w:firstLine="420" w:firstLineChars="200"/>
        <w:outlineLvl w:val="9"/>
        <w:rPr>
          <w:rFonts w:hint="eastAsia" w:ascii="宋体" w:hAnsi="宋体" w:eastAsia="宋体" w:cs="Times New Roman"/>
          <w:color w:val="000000" w:themeColor="text1"/>
          <w:szCs w:val="21"/>
          <w:highlight w:val="none"/>
          <w14:textFill>
            <w14:solidFill>
              <w14:schemeClr w14:val="tx1"/>
            </w14:solidFill>
          </w14:textFill>
        </w:rPr>
      </w:pPr>
      <w:r>
        <w:rPr>
          <w:rFonts w:hint="eastAsia" w:ascii="宋体" w:hAnsi="宋体" w:eastAsia="宋体" w:cs="Times New Roman"/>
          <w:color w:val="000000" w:themeColor="text1"/>
          <w:szCs w:val="21"/>
          <w:highlight w:val="none"/>
          <w14:textFill>
            <w14:solidFill>
              <w14:schemeClr w14:val="tx1"/>
            </w14:solidFill>
          </w14:textFill>
        </w:rPr>
        <w:t xml:space="preserve">   （1）如果供方未能在合同规定的限期或需方同意延长的限期内提供部分或全部货物和服务。</w:t>
      </w:r>
    </w:p>
    <w:p w14:paraId="55CEAB8A">
      <w:pPr>
        <w:overflowPunct/>
        <w:bidi w:val="0"/>
        <w:spacing w:line="360" w:lineRule="auto"/>
        <w:ind w:firstLine="420" w:firstLineChars="200"/>
        <w:outlineLvl w:val="9"/>
        <w:rPr>
          <w:rFonts w:hint="eastAsia" w:ascii="宋体" w:hAnsi="宋体" w:eastAsia="宋体" w:cs="Times New Roman"/>
          <w:color w:val="000000" w:themeColor="text1"/>
          <w:szCs w:val="21"/>
          <w:highlight w:val="none"/>
          <w14:textFill>
            <w14:solidFill>
              <w14:schemeClr w14:val="tx1"/>
            </w14:solidFill>
          </w14:textFill>
        </w:rPr>
      </w:pPr>
      <w:r>
        <w:rPr>
          <w:rFonts w:hint="eastAsia" w:ascii="宋体" w:hAnsi="宋体" w:eastAsia="宋体" w:cs="Times New Roman"/>
          <w:color w:val="000000" w:themeColor="text1"/>
          <w:szCs w:val="21"/>
          <w:highlight w:val="none"/>
          <w14:textFill>
            <w14:solidFill>
              <w14:schemeClr w14:val="tx1"/>
            </w14:solidFill>
          </w14:textFill>
        </w:rPr>
        <w:t xml:space="preserve">   （2）如果供方未能履行合同规定的其它任何义务。</w:t>
      </w:r>
    </w:p>
    <w:p w14:paraId="39B5B670">
      <w:pPr>
        <w:overflowPunct/>
        <w:bidi w:val="0"/>
        <w:spacing w:line="360" w:lineRule="auto"/>
        <w:ind w:firstLine="420" w:firstLineChars="200"/>
        <w:outlineLvl w:val="9"/>
        <w:rPr>
          <w:rFonts w:hint="eastAsia" w:ascii="宋体" w:hAnsi="宋体" w:eastAsia="宋体" w:cs="Times New Roman"/>
          <w:color w:val="000000" w:themeColor="text1"/>
          <w:szCs w:val="21"/>
          <w:highlight w:val="none"/>
          <w14:textFill>
            <w14:solidFill>
              <w14:schemeClr w14:val="tx1"/>
            </w14:solidFill>
          </w14:textFill>
        </w:rPr>
      </w:pPr>
      <w:r>
        <w:rPr>
          <w:rFonts w:hint="eastAsia" w:ascii="宋体" w:hAnsi="宋体" w:eastAsia="宋体" w:cs="Times New Roman"/>
          <w:color w:val="000000" w:themeColor="text1"/>
          <w:szCs w:val="21"/>
          <w:highlight w:val="none"/>
          <w14:textFill>
            <w14:solidFill>
              <w14:schemeClr w14:val="tx1"/>
            </w14:solidFill>
          </w14:textFill>
        </w:rPr>
        <w:t xml:space="preserve">   （3）如果需方认为供方在本合同的竞争或实施中有腐败和欺诈行为。为此，定义如下：“腐败行为”是指提供、给予、接受或索取任何有价值的东西来影响采购人员在采购过程或合同实施过程中的行为；“欺诈行为”是指为了影响采购过程或合同实施过程而谎报事实，损害采购人的利益，包括供货单位之间串通，人为地使供货活动丧失竞争性，损害采购人所能获得的权益。</w:t>
      </w:r>
    </w:p>
    <w:p w14:paraId="1AF39323">
      <w:pPr>
        <w:overflowPunct/>
        <w:bidi w:val="0"/>
        <w:spacing w:line="360" w:lineRule="auto"/>
        <w:ind w:firstLine="420" w:firstLineChars="200"/>
        <w:outlineLvl w:val="9"/>
        <w:rPr>
          <w:rFonts w:hint="eastAsia" w:ascii="宋体" w:hAnsi="宋体" w:eastAsia="宋体" w:cs="Times New Roman"/>
          <w:color w:val="000000" w:themeColor="text1"/>
          <w:szCs w:val="21"/>
          <w:highlight w:val="none"/>
          <w14:textFill>
            <w14:solidFill>
              <w14:schemeClr w14:val="tx1"/>
            </w14:solidFill>
          </w14:textFill>
        </w:rPr>
      </w:pPr>
      <w:r>
        <w:rPr>
          <w:rFonts w:hint="eastAsia" w:ascii="宋体" w:hAnsi="宋体" w:eastAsia="宋体" w:cs="Times New Roman"/>
          <w:color w:val="000000" w:themeColor="text1"/>
          <w:szCs w:val="21"/>
          <w:highlight w:val="none"/>
          <w14:textFill>
            <w14:solidFill>
              <w14:schemeClr w14:val="tx1"/>
            </w14:solidFill>
          </w14:textFill>
        </w:rPr>
        <w:t>18.2 如果需方根据上述第18.1款的规定，终止了全部或部分合同，需方可以依其认为适当的条件和方法购买与未交货物类似的货物，供方应对购买类似货物所超出的那部分费用负责。供方提交的履约保证金将被作为需方采取上述补救措施的购买资金的一部分。并且，供方应继续履行合同中未终止的部分。</w:t>
      </w:r>
    </w:p>
    <w:p w14:paraId="3A0430F0">
      <w:pPr>
        <w:overflowPunct/>
        <w:bidi w:val="0"/>
        <w:spacing w:line="360" w:lineRule="auto"/>
        <w:ind w:firstLine="420" w:firstLineChars="200"/>
        <w:outlineLvl w:val="9"/>
        <w:rPr>
          <w:rFonts w:hint="eastAsia" w:ascii="宋体" w:hAnsi="宋体" w:eastAsia="宋体" w:cs="Times New Roman"/>
          <w:color w:val="000000" w:themeColor="text1"/>
          <w:szCs w:val="21"/>
          <w:highlight w:val="none"/>
          <w14:textFill>
            <w14:solidFill>
              <w14:schemeClr w14:val="tx1"/>
            </w14:solidFill>
          </w14:textFill>
        </w:rPr>
      </w:pPr>
      <w:r>
        <w:rPr>
          <w:rFonts w:hint="eastAsia" w:ascii="宋体" w:hAnsi="宋体" w:eastAsia="宋体" w:cs="Times New Roman"/>
          <w:color w:val="000000" w:themeColor="text1"/>
          <w:szCs w:val="21"/>
          <w:highlight w:val="none"/>
          <w14:textFill>
            <w14:solidFill>
              <w14:schemeClr w14:val="tx1"/>
            </w14:solidFill>
          </w14:textFill>
        </w:rPr>
        <w:t>十九、破产终止合同</w:t>
      </w:r>
    </w:p>
    <w:p w14:paraId="625D4F62">
      <w:pPr>
        <w:overflowPunct/>
        <w:bidi w:val="0"/>
        <w:spacing w:line="360" w:lineRule="auto"/>
        <w:ind w:firstLine="420" w:firstLineChars="200"/>
        <w:outlineLvl w:val="9"/>
        <w:rPr>
          <w:rFonts w:hint="eastAsia" w:ascii="宋体" w:hAnsi="宋体" w:eastAsia="宋体" w:cs="Times New Roman"/>
          <w:color w:val="000000" w:themeColor="text1"/>
          <w:szCs w:val="21"/>
          <w:highlight w:val="none"/>
          <w14:textFill>
            <w14:solidFill>
              <w14:schemeClr w14:val="tx1"/>
            </w14:solidFill>
          </w14:textFill>
        </w:rPr>
      </w:pPr>
      <w:r>
        <w:rPr>
          <w:rFonts w:hint="eastAsia" w:ascii="宋体" w:hAnsi="宋体" w:eastAsia="宋体" w:cs="Times New Roman"/>
          <w:color w:val="000000" w:themeColor="text1"/>
          <w:szCs w:val="21"/>
          <w:highlight w:val="none"/>
          <w14:textFill>
            <w14:solidFill>
              <w14:schemeClr w14:val="tx1"/>
            </w14:solidFill>
          </w14:textFill>
        </w:rPr>
        <w:t>19.1 如果供方破产或丧失清偿能力，需方可在任何时候以书面形式通知供方终止合同而不给供方补偿。该终止合同将不损害或影响需方已经采取或将要采取任何补救措施的权力。</w:t>
      </w:r>
    </w:p>
    <w:p w14:paraId="53E21BF4">
      <w:pPr>
        <w:overflowPunct/>
        <w:bidi w:val="0"/>
        <w:spacing w:line="360" w:lineRule="auto"/>
        <w:ind w:firstLine="420" w:firstLineChars="200"/>
        <w:outlineLvl w:val="9"/>
        <w:rPr>
          <w:rFonts w:hint="eastAsia" w:ascii="宋体" w:hAnsi="宋体" w:eastAsia="宋体" w:cs="Times New Roman"/>
          <w:color w:val="000000" w:themeColor="text1"/>
          <w:szCs w:val="21"/>
          <w:highlight w:val="none"/>
          <w14:textFill>
            <w14:solidFill>
              <w14:schemeClr w14:val="tx1"/>
            </w14:solidFill>
          </w14:textFill>
        </w:rPr>
      </w:pPr>
      <w:r>
        <w:rPr>
          <w:rFonts w:hint="eastAsia" w:ascii="宋体" w:hAnsi="宋体" w:eastAsia="宋体" w:cs="Times New Roman"/>
          <w:color w:val="000000" w:themeColor="text1"/>
          <w:szCs w:val="21"/>
          <w:highlight w:val="none"/>
          <w14:textFill>
            <w14:solidFill>
              <w14:schemeClr w14:val="tx1"/>
            </w14:solidFill>
          </w14:textFill>
        </w:rPr>
        <w:t>二十、合同转让和分包</w:t>
      </w:r>
    </w:p>
    <w:p w14:paraId="4659EEBC">
      <w:pPr>
        <w:overflowPunct/>
        <w:bidi w:val="0"/>
        <w:spacing w:line="360" w:lineRule="auto"/>
        <w:ind w:firstLine="420" w:firstLineChars="200"/>
        <w:outlineLvl w:val="9"/>
        <w:rPr>
          <w:rFonts w:hint="eastAsia" w:ascii="宋体" w:hAnsi="宋体" w:eastAsia="宋体" w:cs="Times New Roman"/>
          <w:color w:val="000000" w:themeColor="text1"/>
          <w:szCs w:val="21"/>
          <w:highlight w:val="none"/>
          <w14:textFill>
            <w14:solidFill>
              <w14:schemeClr w14:val="tx1"/>
            </w14:solidFill>
          </w14:textFill>
        </w:rPr>
      </w:pPr>
      <w:r>
        <w:rPr>
          <w:rFonts w:hint="eastAsia" w:ascii="宋体" w:hAnsi="宋体" w:eastAsia="宋体" w:cs="Times New Roman"/>
          <w:color w:val="000000" w:themeColor="text1"/>
          <w:szCs w:val="21"/>
          <w:highlight w:val="none"/>
          <w14:textFill>
            <w14:solidFill>
              <w14:schemeClr w14:val="tx1"/>
            </w14:solidFill>
          </w14:textFill>
        </w:rPr>
        <w:t>20.1 供方不得部分转让和分包或全部转让和分包其应履行的合同义务。</w:t>
      </w:r>
    </w:p>
    <w:p w14:paraId="465BBAB3">
      <w:pPr>
        <w:overflowPunct/>
        <w:bidi w:val="0"/>
        <w:spacing w:line="360" w:lineRule="auto"/>
        <w:ind w:firstLine="420" w:firstLineChars="200"/>
        <w:outlineLvl w:val="9"/>
        <w:rPr>
          <w:rFonts w:hint="eastAsia" w:ascii="宋体" w:hAnsi="宋体" w:eastAsia="宋体" w:cs="Times New Roman"/>
          <w:color w:val="000000" w:themeColor="text1"/>
          <w:szCs w:val="21"/>
          <w:highlight w:val="none"/>
          <w14:textFill>
            <w14:solidFill>
              <w14:schemeClr w14:val="tx1"/>
            </w14:solidFill>
          </w14:textFill>
        </w:rPr>
      </w:pPr>
      <w:r>
        <w:rPr>
          <w:rFonts w:hint="eastAsia" w:ascii="宋体" w:hAnsi="宋体" w:eastAsia="宋体" w:cs="Times New Roman"/>
          <w:color w:val="000000" w:themeColor="text1"/>
          <w:szCs w:val="21"/>
          <w:highlight w:val="none"/>
          <w14:textFill>
            <w14:solidFill>
              <w14:schemeClr w14:val="tx1"/>
            </w14:solidFill>
          </w14:textFill>
        </w:rPr>
        <w:t>二十一、需要补充的合同条款</w:t>
      </w:r>
    </w:p>
    <w:p w14:paraId="116F8EF9">
      <w:pPr>
        <w:overflowPunct/>
        <w:bidi w:val="0"/>
        <w:spacing w:line="360" w:lineRule="auto"/>
        <w:ind w:firstLine="420" w:firstLineChars="200"/>
        <w:outlineLvl w:val="9"/>
        <w:rPr>
          <w:rFonts w:hint="eastAsia" w:ascii="宋体" w:hAnsi="宋体" w:eastAsia="宋体" w:cs="Times New Roman"/>
          <w:color w:val="000000" w:themeColor="text1"/>
          <w:szCs w:val="21"/>
          <w:highlight w:val="none"/>
          <w14:textFill>
            <w14:solidFill>
              <w14:schemeClr w14:val="tx1"/>
            </w14:solidFill>
          </w14:textFill>
        </w:rPr>
      </w:pPr>
      <w:r>
        <w:rPr>
          <w:rFonts w:hint="eastAsia" w:ascii="宋体" w:hAnsi="宋体" w:eastAsia="宋体" w:cs="Times New Roman"/>
          <w:color w:val="000000" w:themeColor="text1"/>
          <w:szCs w:val="21"/>
          <w:highlight w:val="none"/>
          <w14:textFill>
            <w14:solidFill>
              <w14:schemeClr w14:val="tx1"/>
            </w14:solidFill>
          </w14:textFill>
        </w:rPr>
        <w:t>21.1 根据评标过程中或者商务谈判时商定的条款和条件在订立合同时标明。</w:t>
      </w:r>
    </w:p>
    <w:p w14:paraId="03C1C6B7">
      <w:pPr>
        <w:overflowPunct/>
        <w:bidi w:val="0"/>
        <w:spacing w:line="360" w:lineRule="auto"/>
        <w:ind w:firstLine="420" w:firstLineChars="200"/>
        <w:outlineLvl w:val="9"/>
        <w:rPr>
          <w:rFonts w:hint="eastAsia" w:ascii="宋体" w:hAnsi="宋体" w:eastAsia="宋体" w:cs="Times New Roman"/>
          <w:color w:val="000000" w:themeColor="text1"/>
          <w:szCs w:val="21"/>
          <w:highlight w:val="none"/>
          <w14:textFill>
            <w14:solidFill>
              <w14:schemeClr w14:val="tx1"/>
            </w14:solidFill>
          </w14:textFill>
        </w:rPr>
      </w:pPr>
      <w:r>
        <w:rPr>
          <w:rFonts w:hint="eastAsia" w:ascii="宋体" w:hAnsi="宋体" w:eastAsia="宋体" w:cs="Times New Roman"/>
          <w:color w:val="000000" w:themeColor="text1"/>
          <w:szCs w:val="21"/>
          <w:highlight w:val="none"/>
          <w14:textFill>
            <w14:solidFill>
              <w14:schemeClr w14:val="tx1"/>
            </w14:solidFill>
          </w14:textFill>
        </w:rPr>
        <w:t>二十二、适用法律</w:t>
      </w:r>
    </w:p>
    <w:p w14:paraId="06C607FF">
      <w:pPr>
        <w:overflowPunct/>
        <w:bidi w:val="0"/>
        <w:spacing w:line="360" w:lineRule="auto"/>
        <w:ind w:firstLine="420" w:firstLineChars="200"/>
        <w:outlineLvl w:val="9"/>
        <w:rPr>
          <w:rFonts w:hint="eastAsia" w:ascii="宋体" w:hAnsi="宋体" w:eastAsia="宋体" w:cs="Times New Roman"/>
          <w:color w:val="000000" w:themeColor="text1"/>
          <w:szCs w:val="21"/>
          <w:highlight w:val="none"/>
          <w14:textFill>
            <w14:solidFill>
              <w14:schemeClr w14:val="tx1"/>
            </w14:solidFill>
          </w14:textFill>
        </w:rPr>
      </w:pPr>
      <w:r>
        <w:rPr>
          <w:rFonts w:hint="eastAsia" w:ascii="宋体" w:hAnsi="宋体" w:eastAsia="宋体" w:cs="Times New Roman"/>
          <w:color w:val="000000" w:themeColor="text1"/>
          <w:szCs w:val="21"/>
          <w:highlight w:val="none"/>
          <w14:textFill>
            <w14:solidFill>
              <w14:schemeClr w14:val="tx1"/>
            </w14:solidFill>
          </w14:textFill>
        </w:rPr>
        <w:t>22.1 本合同按照中华人民共和国的现行法律进行解释。</w:t>
      </w:r>
    </w:p>
    <w:p w14:paraId="67271000">
      <w:pPr>
        <w:overflowPunct/>
        <w:bidi w:val="0"/>
        <w:spacing w:line="360" w:lineRule="auto"/>
        <w:ind w:firstLine="420" w:firstLineChars="200"/>
        <w:outlineLvl w:val="9"/>
        <w:rPr>
          <w:rFonts w:hint="eastAsia" w:ascii="宋体" w:hAnsi="宋体" w:eastAsia="宋体" w:cs="Times New Roman"/>
          <w:color w:val="000000" w:themeColor="text1"/>
          <w:szCs w:val="21"/>
          <w:highlight w:val="none"/>
          <w14:textFill>
            <w14:solidFill>
              <w14:schemeClr w14:val="tx1"/>
            </w14:solidFill>
          </w14:textFill>
        </w:rPr>
      </w:pPr>
      <w:r>
        <w:rPr>
          <w:rFonts w:hint="eastAsia" w:ascii="宋体" w:hAnsi="宋体" w:eastAsia="宋体" w:cs="Times New Roman"/>
          <w:color w:val="000000" w:themeColor="text1"/>
          <w:szCs w:val="21"/>
          <w:highlight w:val="none"/>
          <w14:textFill>
            <w14:solidFill>
              <w14:schemeClr w14:val="tx1"/>
            </w14:solidFill>
          </w14:textFill>
        </w:rPr>
        <w:t>二十三、合同生效</w:t>
      </w:r>
    </w:p>
    <w:p w14:paraId="292BF168">
      <w:pPr>
        <w:overflowPunct/>
        <w:bidi w:val="0"/>
        <w:spacing w:line="360" w:lineRule="auto"/>
        <w:ind w:firstLine="420" w:firstLineChars="200"/>
        <w:outlineLvl w:val="9"/>
        <w:rPr>
          <w:rFonts w:hint="eastAsia" w:ascii="宋体" w:hAnsi="宋体" w:eastAsia="宋体" w:cs="Times New Roman"/>
          <w:color w:val="000000" w:themeColor="text1"/>
          <w:szCs w:val="21"/>
          <w:highlight w:val="none"/>
          <w14:textFill>
            <w14:solidFill>
              <w14:schemeClr w14:val="tx1"/>
            </w14:solidFill>
          </w14:textFill>
        </w:rPr>
      </w:pPr>
      <w:r>
        <w:rPr>
          <w:rFonts w:hint="eastAsia" w:ascii="宋体" w:hAnsi="宋体" w:eastAsia="宋体" w:cs="Times New Roman"/>
          <w:color w:val="000000" w:themeColor="text1"/>
          <w:szCs w:val="21"/>
          <w:highlight w:val="none"/>
          <w14:textFill>
            <w14:solidFill>
              <w14:schemeClr w14:val="tx1"/>
            </w14:solidFill>
          </w14:textFill>
        </w:rPr>
        <w:t xml:space="preserve">    23.1 本合同在供需双方法定代表人或其授权代理人签字并加盖公章并且采购方收到供方提交的履约保证金后生效。 </w:t>
      </w:r>
    </w:p>
    <w:p w14:paraId="6B822651">
      <w:pPr>
        <w:overflowPunct/>
        <w:bidi w:val="0"/>
        <w:spacing w:line="360" w:lineRule="auto"/>
        <w:ind w:firstLine="420" w:firstLineChars="200"/>
        <w:outlineLvl w:val="9"/>
        <w:rPr>
          <w:rFonts w:hint="eastAsia" w:ascii="宋体" w:hAnsi="宋体" w:eastAsia="宋体" w:cs="Times New Roman"/>
          <w:color w:val="000000" w:themeColor="text1"/>
          <w:szCs w:val="21"/>
          <w:highlight w:val="none"/>
          <w14:textFill>
            <w14:solidFill>
              <w14:schemeClr w14:val="tx1"/>
            </w14:solidFill>
          </w14:textFill>
        </w:rPr>
      </w:pPr>
      <w:r>
        <w:rPr>
          <w:rFonts w:hint="eastAsia" w:ascii="宋体" w:hAnsi="宋体" w:eastAsia="宋体" w:cs="Times New Roman"/>
          <w:color w:val="000000" w:themeColor="text1"/>
          <w:szCs w:val="21"/>
          <w:highlight w:val="none"/>
          <w14:textFill>
            <w14:solidFill>
              <w14:schemeClr w14:val="tx1"/>
            </w14:solidFill>
          </w14:textFill>
        </w:rPr>
        <w:t>二十四、合同附件</w:t>
      </w:r>
    </w:p>
    <w:p w14:paraId="39377C0C">
      <w:pPr>
        <w:overflowPunct/>
        <w:bidi w:val="0"/>
        <w:spacing w:line="360" w:lineRule="auto"/>
        <w:ind w:firstLine="420" w:firstLineChars="200"/>
        <w:outlineLvl w:val="9"/>
        <w:rPr>
          <w:rFonts w:hint="eastAsia" w:ascii="宋体" w:hAnsi="宋体" w:eastAsia="宋体" w:cs="Times New Roman"/>
          <w:color w:val="000000" w:themeColor="text1"/>
          <w:szCs w:val="21"/>
          <w:highlight w:val="none"/>
          <w14:textFill>
            <w14:solidFill>
              <w14:schemeClr w14:val="tx1"/>
            </w14:solidFill>
          </w14:textFill>
        </w:rPr>
      </w:pPr>
      <w:r>
        <w:rPr>
          <w:rFonts w:hint="eastAsia" w:ascii="宋体" w:hAnsi="宋体" w:eastAsia="宋体" w:cs="Times New Roman"/>
          <w:color w:val="000000" w:themeColor="text1"/>
          <w:szCs w:val="21"/>
          <w:highlight w:val="none"/>
          <w14:textFill>
            <w14:solidFill>
              <w14:schemeClr w14:val="tx1"/>
            </w14:solidFill>
          </w14:textFill>
        </w:rPr>
        <w:t>24.1下列文件构成本合同不可分割的组成部分，与本合同具有同等法律效力：</w:t>
      </w:r>
    </w:p>
    <w:p w14:paraId="2101BADF">
      <w:pPr>
        <w:overflowPunct/>
        <w:bidi w:val="0"/>
        <w:spacing w:line="360" w:lineRule="auto"/>
        <w:ind w:firstLine="420" w:firstLineChars="200"/>
        <w:outlineLvl w:val="9"/>
        <w:rPr>
          <w:rFonts w:hint="eastAsia" w:ascii="宋体" w:hAnsi="宋体" w:eastAsia="宋体" w:cs="Times New Roman"/>
          <w:color w:val="000000" w:themeColor="text1"/>
          <w:szCs w:val="21"/>
          <w:highlight w:val="none"/>
          <w14:textFill>
            <w14:solidFill>
              <w14:schemeClr w14:val="tx1"/>
            </w14:solidFill>
          </w14:textFill>
        </w:rPr>
      </w:pPr>
      <w:r>
        <w:rPr>
          <w:rFonts w:hint="eastAsia" w:ascii="宋体" w:hAnsi="宋体" w:eastAsia="宋体" w:cs="Times New Roman"/>
          <w:color w:val="000000" w:themeColor="text1"/>
          <w:szCs w:val="21"/>
          <w:highlight w:val="none"/>
          <w14:textFill>
            <w14:solidFill>
              <w14:schemeClr w14:val="tx1"/>
            </w14:solidFill>
          </w14:textFill>
        </w:rPr>
        <w:t>1、招标文件及澄清、补充文件；</w:t>
      </w:r>
    </w:p>
    <w:p w14:paraId="73278EA9">
      <w:pPr>
        <w:overflowPunct/>
        <w:bidi w:val="0"/>
        <w:spacing w:line="360" w:lineRule="auto"/>
        <w:ind w:firstLine="420" w:firstLineChars="200"/>
        <w:outlineLvl w:val="9"/>
        <w:rPr>
          <w:rFonts w:hint="eastAsia" w:ascii="宋体" w:hAnsi="宋体" w:eastAsia="宋体" w:cs="Times New Roman"/>
          <w:color w:val="000000" w:themeColor="text1"/>
          <w:szCs w:val="21"/>
          <w:highlight w:val="none"/>
          <w14:textFill>
            <w14:solidFill>
              <w14:schemeClr w14:val="tx1"/>
            </w14:solidFill>
          </w14:textFill>
        </w:rPr>
      </w:pPr>
      <w:r>
        <w:rPr>
          <w:rFonts w:hint="eastAsia" w:ascii="宋体" w:hAnsi="宋体" w:eastAsia="宋体" w:cs="Times New Roman"/>
          <w:color w:val="000000" w:themeColor="text1"/>
          <w:szCs w:val="21"/>
          <w:highlight w:val="none"/>
          <w14:textFill>
            <w14:solidFill>
              <w14:schemeClr w14:val="tx1"/>
            </w14:solidFill>
          </w14:textFill>
        </w:rPr>
        <w:t xml:space="preserve">2、供方的投标文件、在投标期间的书面承诺文件和售后服务承诺书；        </w:t>
      </w:r>
    </w:p>
    <w:p w14:paraId="151D7592">
      <w:pPr>
        <w:overflowPunct/>
        <w:bidi w:val="0"/>
        <w:spacing w:line="360" w:lineRule="auto"/>
        <w:ind w:firstLine="420" w:firstLineChars="200"/>
        <w:outlineLvl w:val="9"/>
        <w:rPr>
          <w:rFonts w:hint="eastAsia" w:ascii="宋体" w:hAnsi="宋体" w:eastAsia="宋体" w:cs="Times New Roman"/>
          <w:color w:val="000000" w:themeColor="text1"/>
          <w:szCs w:val="21"/>
          <w:highlight w:val="none"/>
          <w14:textFill>
            <w14:solidFill>
              <w14:schemeClr w14:val="tx1"/>
            </w14:solidFill>
          </w14:textFill>
        </w:rPr>
      </w:pPr>
      <w:r>
        <w:rPr>
          <w:rFonts w:hint="eastAsia" w:ascii="宋体" w:hAnsi="宋体" w:eastAsia="宋体" w:cs="Times New Roman"/>
          <w:color w:val="000000" w:themeColor="text1"/>
          <w:szCs w:val="21"/>
          <w:highlight w:val="none"/>
          <w14:textFill>
            <w14:solidFill>
              <w14:schemeClr w14:val="tx1"/>
            </w14:solidFill>
          </w14:textFill>
        </w:rPr>
        <w:t>3、产品样本、说明书、图纸（与合同配置不符之处，以合同为准）；</w:t>
      </w:r>
    </w:p>
    <w:p w14:paraId="30502ACC">
      <w:pPr>
        <w:overflowPunct/>
        <w:bidi w:val="0"/>
        <w:spacing w:line="360" w:lineRule="auto"/>
        <w:ind w:firstLine="420" w:firstLineChars="200"/>
        <w:outlineLvl w:val="9"/>
        <w:rPr>
          <w:rFonts w:hint="eastAsia" w:ascii="宋体" w:hAnsi="宋体" w:eastAsia="宋体" w:cs="Times New Roman"/>
          <w:color w:val="000000" w:themeColor="text1"/>
          <w:szCs w:val="21"/>
          <w:highlight w:val="none"/>
          <w14:textFill>
            <w14:solidFill>
              <w14:schemeClr w14:val="tx1"/>
            </w14:solidFill>
          </w14:textFill>
        </w:rPr>
      </w:pPr>
      <w:r>
        <w:rPr>
          <w:rFonts w:hint="eastAsia" w:ascii="宋体" w:hAnsi="宋体" w:eastAsia="宋体" w:cs="Times New Roman"/>
          <w:color w:val="000000" w:themeColor="text1"/>
          <w:szCs w:val="21"/>
          <w:highlight w:val="none"/>
          <w14:textFill>
            <w14:solidFill>
              <w14:schemeClr w14:val="tx1"/>
            </w14:solidFill>
          </w14:textFill>
        </w:rPr>
        <w:t>4、中标通知书；</w:t>
      </w:r>
    </w:p>
    <w:p w14:paraId="12F7C349">
      <w:pPr>
        <w:overflowPunct/>
        <w:bidi w:val="0"/>
        <w:spacing w:line="360" w:lineRule="auto"/>
        <w:ind w:firstLine="420" w:firstLineChars="200"/>
        <w:outlineLvl w:val="9"/>
        <w:rPr>
          <w:rFonts w:hint="eastAsia" w:ascii="宋体" w:hAnsi="宋体" w:eastAsia="宋体" w:cs="Times New Roman"/>
          <w:color w:val="000000" w:themeColor="text1"/>
          <w:szCs w:val="21"/>
          <w:highlight w:val="none"/>
          <w14:textFill>
            <w14:solidFill>
              <w14:schemeClr w14:val="tx1"/>
            </w14:solidFill>
          </w14:textFill>
        </w:rPr>
      </w:pPr>
      <w:r>
        <w:rPr>
          <w:rFonts w:hint="eastAsia" w:ascii="宋体" w:hAnsi="宋体" w:eastAsia="宋体" w:cs="Times New Roman"/>
          <w:color w:val="000000" w:themeColor="text1"/>
          <w:szCs w:val="21"/>
          <w:highlight w:val="none"/>
          <w14:textFill>
            <w14:solidFill>
              <w14:schemeClr w14:val="tx1"/>
            </w14:solidFill>
          </w14:textFill>
        </w:rPr>
        <w:t>5、政府采购验收报告单；</w:t>
      </w:r>
    </w:p>
    <w:p w14:paraId="31AD9619">
      <w:pPr>
        <w:overflowPunct/>
        <w:bidi w:val="0"/>
        <w:spacing w:line="360" w:lineRule="auto"/>
        <w:ind w:firstLine="420" w:firstLineChars="200"/>
        <w:outlineLvl w:val="9"/>
        <w:rPr>
          <w:rFonts w:hint="eastAsia" w:ascii="宋体" w:hAnsi="宋体" w:eastAsia="宋体" w:cs="Times New Roman"/>
          <w:color w:val="000000" w:themeColor="text1"/>
          <w:szCs w:val="21"/>
          <w:highlight w:val="none"/>
          <w14:textFill>
            <w14:solidFill>
              <w14:schemeClr w14:val="tx1"/>
            </w14:solidFill>
          </w14:textFill>
        </w:rPr>
      </w:pPr>
      <w:r>
        <w:rPr>
          <w:rFonts w:hint="eastAsia" w:ascii="宋体" w:hAnsi="宋体" w:eastAsia="宋体" w:cs="Times New Roman"/>
          <w:color w:val="000000" w:themeColor="text1"/>
          <w:szCs w:val="21"/>
          <w:highlight w:val="none"/>
          <w14:textFill>
            <w14:solidFill>
              <w14:schemeClr w14:val="tx1"/>
            </w14:solidFill>
          </w14:textFill>
        </w:rPr>
        <w:t>6、合同的其他附件：</w:t>
      </w:r>
    </w:p>
    <w:p w14:paraId="526D6316">
      <w:pPr>
        <w:overflowPunct/>
        <w:bidi w:val="0"/>
        <w:spacing w:line="360" w:lineRule="auto"/>
        <w:ind w:firstLine="420" w:firstLineChars="200"/>
        <w:outlineLvl w:val="9"/>
        <w:rPr>
          <w:rFonts w:hint="eastAsia" w:ascii="宋体" w:hAnsi="宋体" w:eastAsia="宋体" w:cs="Times New Roman"/>
          <w:color w:val="000000" w:themeColor="text1"/>
          <w:szCs w:val="21"/>
          <w:highlight w:val="none"/>
          <w14:textFill>
            <w14:solidFill>
              <w14:schemeClr w14:val="tx1"/>
            </w14:solidFill>
          </w14:textFill>
        </w:rPr>
      </w:pPr>
      <w:r>
        <w:rPr>
          <w:rFonts w:hint="eastAsia" w:ascii="宋体" w:hAnsi="宋体" w:eastAsia="宋体" w:cs="Times New Roman"/>
          <w:color w:val="000000" w:themeColor="text1"/>
          <w:szCs w:val="21"/>
          <w:highlight w:val="none"/>
          <w14:textFill>
            <w14:solidFill>
              <w14:schemeClr w14:val="tx1"/>
            </w14:solidFill>
          </w14:textFill>
        </w:rPr>
        <w:t>上述合同附件如果有不一致之处，以日期在后的和对需方有利的为准。</w:t>
      </w:r>
    </w:p>
    <w:p w14:paraId="0B40F912">
      <w:pPr>
        <w:overflowPunct/>
        <w:bidi w:val="0"/>
        <w:spacing w:line="360" w:lineRule="auto"/>
        <w:ind w:firstLine="420" w:firstLineChars="200"/>
        <w:outlineLvl w:val="9"/>
        <w:rPr>
          <w:rFonts w:hint="eastAsia" w:ascii="宋体" w:hAnsi="宋体" w:eastAsia="宋体" w:cs="Times New Roman"/>
          <w:color w:val="000000" w:themeColor="text1"/>
          <w:szCs w:val="21"/>
          <w:highlight w:val="none"/>
          <w14:textFill>
            <w14:solidFill>
              <w14:schemeClr w14:val="tx1"/>
            </w14:solidFill>
          </w14:textFill>
        </w:rPr>
      </w:pPr>
      <w:r>
        <w:rPr>
          <w:rFonts w:hint="eastAsia" w:ascii="宋体" w:hAnsi="宋体" w:eastAsia="宋体" w:cs="Times New Roman"/>
          <w:color w:val="000000" w:themeColor="text1"/>
          <w:szCs w:val="21"/>
          <w:highlight w:val="none"/>
          <w14:textFill>
            <w14:solidFill>
              <w14:schemeClr w14:val="tx1"/>
            </w14:solidFill>
          </w14:textFill>
        </w:rPr>
        <w:t>二十五、合同修改</w:t>
      </w:r>
    </w:p>
    <w:p w14:paraId="73815C0C">
      <w:pPr>
        <w:overflowPunct/>
        <w:bidi w:val="0"/>
        <w:spacing w:line="360" w:lineRule="auto"/>
        <w:ind w:firstLine="420" w:firstLineChars="200"/>
        <w:outlineLvl w:val="9"/>
        <w:rPr>
          <w:rFonts w:hint="eastAsia" w:ascii="宋体" w:hAnsi="宋体" w:eastAsia="宋体" w:cs="Times New Roman"/>
          <w:color w:val="000000" w:themeColor="text1"/>
          <w:szCs w:val="21"/>
          <w:highlight w:val="none"/>
          <w14:textFill>
            <w14:solidFill>
              <w14:schemeClr w14:val="tx1"/>
            </w14:solidFill>
          </w14:textFill>
        </w:rPr>
      </w:pPr>
      <w:r>
        <w:rPr>
          <w:rFonts w:hint="eastAsia" w:ascii="宋体" w:hAnsi="宋体" w:eastAsia="宋体" w:cs="Times New Roman"/>
          <w:color w:val="000000" w:themeColor="text1"/>
          <w:szCs w:val="21"/>
          <w:highlight w:val="none"/>
          <w14:textFill>
            <w14:solidFill>
              <w14:schemeClr w14:val="tx1"/>
            </w14:solidFill>
          </w14:textFill>
        </w:rPr>
        <w:t>25.1除供需双方和采购方签署书面修改、补充协议，并成为本合同不可分割的一部分之外，本合同条件不得有任何变化或修改。</w:t>
      </w:r>
    </w:p>
    <w:p w14:paraId="5EA42668">
      <w:pPr>
        <w:overflowPunct/>
        <w:bidi w:val="0"/>
        <w:spacing w:line="360" w:lineRule="auto"/>
        <w:ind w:firstLine="420" w:firstLineChars="200"/>
        <w:outlineLvl w:val="9"/>
        <w:rPr>
          <w:rFonts w:hint="eastAsia" w:ascii="宋体" w:hAnsi="宋体" w:eastAsia="宋体" w:cs="Times New Roman"/>
          <w:color w:val="000000" w:themeColor="text1"/>
          <w:szCs w:val="21"/>
          <w:highlight w:val="none"/>
          <w14:textFill>
            <w14:solidFill>
              <w14:schemeClr w14:val="tx1"/>
            </w14:solidFill>
          </w14:textFill>
        </w:rPr>
      </w:pPr>
      <w:r>
        <w:rPr>
          <w:rFonts w:hint="eastAsia" w:ascii="宋体" w:hAnsi="宋体" w:eastAsia="宋体" w:cs="Times New Roman"/>
          <w:color w:val="000000" w:themeColor="text1"/>
          <w:szCs w:val="21"/>
          <w:highlight w:val="none"/>
          <w14:textFill>
            <w14:solidFill>
              <w14:schemeClr w14:val="tx1"/>
            </w14:solidFill>
          </w14:textFill>
        </w:rPr>
        <w:t>二十六、合同备案</w:t>
      </w:r>
    </w:p>
    <w:p w14:paraId="48AF431A">
      <w:pPr>
        <w:overflowPunct/>
        <w:bidi w:val="0"/>
        <w:spacing w:line="360" w:lineRule="auto"/>
        <w:ind w:firstLine="420" w:firstLineChars="200"/>
        <w:outlineLvl w:val="9"/>
        <w:rPr>
          <w:rFonts w:hint="eastAsia" w:ascii="宋体" w:hAnsi="宋体" w:eastAsia="宋体" w:cs="Times New Roman"/>
          <w:color w:val="000000" w:themeColor="text1"/>
          <w:szCs w:val="21"/>
          <w:highlight w:val="none"/>
          <w14:textFill>
            <w14:solidFill>
              <w14:schemeClr w14:val="tx1"/>
            </w14:solidFill>
          </w14:textFill>
        </w:rPr>
      </w:pPr>
      <w:r>
        <w:rPr>
          <w:rFonts w:hint="eastAsia" w:ascii="宋体" w:hAnsi="宋体" w:eastAsia="宋体" w:cs="Times New Roman"/>
          <w:color w:val="000000" w:themeColor="text1"/>
          <w:szCs w:val="21"/>
          <w:highlight w:val="none"/>
          <w14:textFill>
            <w14:solidFill>
              <w14:schemeClr w14:val="tx1"/>
            </w14:solidFill>
          </w14:textFill>
        </w:rPr>
        <w:t>26.1自本合同订立之日起七个工作日内，向本级政府采购监督管理部门备案。</w:t>
      </w:r>
    </w:p>
    <w:p w14:paraId="2FCD466D">
      <w:pPr>
        <w:overflowPunct/>
        <w:bidi w:val="0"/>
        <w:spacing w:line="360" w:lineRule="auto"/>
        <w:ind w:firstLine="420" w:firstLineChars="200"/>
        <w:outlineLvl w:val="9"/>
        <w:rPr>
          <w:rFonts w:hint="eastAsia" w:ascii="宋体" w:hAnsi="宋体" w:eastAsia="宋体" w:cs="Times New Roman"/>
          <w:color w:val="000000" w:themeColor="text1"/>
          <w:szCs w:val="21"/>
          <w:highlight w:val="none"/>
          <w14:textFill>
            <w14:solidFill>
              <w14:schemeClr w14:val="tx1"/>
            </w14:solidFill>
          </w14:textFill>
        </w:rPr>
      </w:pPr>
      <w:r>
        <w:rPr>
          <w:rFonts w:hint="eastAsia" w:ascii="宋体" w:hAnsi="宋体" w:eastAsia="宋体" w:cs="Times New Roman"/>
          <w:color w:val="000000" w:themeColor="text1"/>
          <w:szCs w:val="21"/>
          <w:highlight w:val="none"/>
          <w14:textFill>
            <w14:solidFill>
              <w14:schemeClr w14:val="tx1"/>
            </w14:solidFill>
          </w14:textFill>
        </w:rPr>
        <w:t>二十七、政府采购法对政府采购合同变更终止的规定：“政府采购合同的双方当事人不得擅自变更、中止或者终止合同。政府采购合同继续履行将损害国家利益和社会公共利益的，双方当事人应当变更、中止或者终止合同。有过错的一方应当承担赔偿责任，双方都有过错的，各自承担相应的责任。”在本合同中，双方当事人指供需双方。</w:t>
      </w:r>
    </w:p>
    <w:p w14:paraId="20D8A314">
      <w:pPr>
        <w:overflowPunct/>
        <w:bidi w:val="0"/>
        <w:spacing w:line="360" w:lineRule="auto"/>
        <w:ind w:firstLine="420" w:firstLineChars="200"/>
        <w:outlineLvl w:val="9"/>
        <w:rPr>
          <w:rFonts w:hint="eastAsia" w:ascii="宋体" w:hAnsi="宋体" w:eastAsia="宋体" w:cs="Times New Roman"/>
          <w:color w:val="000000" w:themeColor="text1"/>
          <w:szCs w:val="21"/>
          <w:highlight w:val="none"/>
          <w14:textFill>
            <w14:solidFill>
              <w14:schemeClr w14:val="tx1"/>
            </w14:solidFill>
          </w14:textFill>
        </w:rPr>
      </w:pPr>
      <w:r>
        <w:rPr>
          <w:rFonts w:hint="eastAsia" w:ascii="宋体" w:hAnsi="宋体" w:eastAsia="宋体" w:cs="Times New Roman"/>
          <w:color w:val="000000" w:themeColor="text1"/>
          <w:szCs w:val="21"/>
          <w:highlight w:val="none"/>
          <w14:textFill>
            <w14:solidFill>
              <w14:schemeClr w14:val="tx1"/>
            </w14:solidFill>
          </w14:textFill>
        </w:rPr>
        <w:t>需方：                                  供方：</w:t>
      </w:r>
    </w:p>
    <w:p w14:paraId="52C21E33">
      <w:pPr>
        <w:overflowPunct/>
        <w:bidi w:val="0"/>
        <w:spacing w:line="360" w:lineRule="auto"/>
        <w:ind w:firstLine="420" w:firstLineChars="200"/>
        <w:outlineLvl w:val="9"/>
        <w:rPr>
          <w:rFonts w:hint="eastAsia" w:ascii="宋体" w:hAnsi="宋体" w:eastAsia="宋体" w:cs="Times New Roman"/>
          <w:color w:val="000000" w:themeColor="text1"/>
          <w:szCs w:val="21"/>
          <w:highlight w:val="none"/>
          <w14:textFill>
            <w14:solidFill>
              <w14:schemeClr w14:val="tx1"/>
            </w14:solidFill>
          </w14:textFill>
        </w:rPr>
      </w:pPr>
      <w:r>
        <w:rPr>
          <w:rFonts w:hint="eastAsia" w:ascii="宋体" w:hAnsi="宋体" w:eastAsia="宋体" w:cs="Times New Roman"/>
          <w:color w:val="000000" w:themeColor="text1"/>
          <w:szCs w:val="21"/>
          <w:highlight w:val="none"/>
          <w14:textFill>
            <w14:solidFill>
              <w14:schemeClr w14:val="tx1"/>
            </w14:solidFill>
          </w14:textFill>
        </w:rPr>
        <w:t>地址：                                  地址：</w:t>
      </w:r>
    </w:p>
    <w:p w14:paraId="3A54A7E4">
      <w:pPr>
        <w:overflowPunct/>
        <w:bidi w:val="0"/>
        <w:spacing w:line="360" w:lineRule="auto"/>
        <w:ind w:firstLine="420" w:firstLineChars="200"/>
        <w:outlineLvl w:val="9"/>
        <w:rPr>
          <w:rFonts w:hint="eastAsia" w:ascii="宋体" w:hAnsi="宋体" w:eastAsia="宋体" w:cs="Times New Roman"/>
          <w:color w:val="000000" w:themeColor="text1"/>
          <w:szCs w:val="21"/>
          <w:highlight w:val="none"/>
          <w14:textFill>
            <w14:solidFill>
              <w14:schemeClr w14:val="tx1"/>
            </w14:solidFill>
          </w14:textFill>
        </w:rPr>
      </w:pPr>
      <w:r>
        <w:rPr>
          <w:rFonts w:hint="eastAsia" w:ascii="宋体" w:hAnsi="宋体" w:eastAsia="宋体" w:cs="Times New Roman"/>
          <w:color w:val="000000" w:themeColor="text1"/>
          <w:szCs w:val="21"/>
          <w:highlight w:val="none"/>
          <w14:textFill>
            <w14:solidFill>
              <w14:schemeClr w14:val="tx1"/>
            </w14:solidFill>
          </w14:textFill>
        </w:rPr>
        <w:t xml:space="preserve">法定代表人 ：                           法定代表人 :              </w:t>
      </w:r>
    </w:p>
    <w:p w14:paraId="6D4C01C0">
      <w:pPr>
        <w:overflowPunct/>
        <w:bidi w:val="0"/>
        <w:spacing w:line="360" w:lineRule="auto"/>
        <w:ind w:firstLine="420" w:firstLineChars="200"/>
        <w:outlineLvl w:val="9"/>
        <w:rPr>
          <w:rFonts w:hint="eastAsia" w:ascii="宋体" w:hAnsi="宋体" w:eastAsia="宋体" w:cs="Times New Roman"/>
          <w:color w:val="000000" w:themeColor="text1"/>
          <w:szCs w:val="21"/>
          <w:highlight w:val="none"/>
          <w14:textFill>
            <w14:solidFill>
              <w14:schemeClr w14:val="tx1"/>
            </w14:solidFill>
          </w14:textFill>
        </w:rPr>
      </w:pPr>
      <w:r>
        <w:rPr>
          <w:rFonts w:hint="eastAsia" w:ascii="宋体" w:hAnsi="宋体" w:eastAsia="宋体" w:cs="Times New Roman"/>
          <w:color w:val="000000" w:themeColor="text1"/>
          <w:szCs w:val="21"/>
          <w:highlight w:val="none"/>
          <w14:textFill>
            <w14:solidFill>
              <w14:schemeClr w14:val="tx1"/>
            </w14:solidFill>
          </w14:textFill>
        </w:rPr>
        <w:t>或授权委托人：                          或授权代理人：</w:t>
      </w:r>
    </w:p>
    <w:p w14:paraId="7D3AFD35">
      <w:pPr>
        <w:overflowPunct/>
        <w:bidi w:val="0"/>
        <w:spacing w:line="360" w:lineRule="auto"/>
        <w:ind w:firstLine="420" w:firstLineChars="200"/>
        <w:outlineLvl w:val="9"/>
        <w:rPr>
          <w:rFonts w:hint="eastAsia" w:ascii="宋体" w:hAnsi="宋体" w:eastAsia="宋体" w:cs="Times New Roman"/>
          <w:color w:val="000000" w:themeColor="text1"/>
          <w:szCs w:val="21"/>
          <w:highlight w:val="none"/>
          <w14:textFill>
            <w14:solidFill>
              <w14:schemeClr w14:val="tx1"/>
            </w14:solidFill>
          </w14:textFill>
        </w:rPr>
      </w:pPr>
      <w:r>
        <w:rPr>
          <w:rFonts w:hint="eastAsia" w:ascii="宋体" w:hAnsi="宋体" w:eastAsia="宋体" w:cs="Times New Roman"/>
          <w:color w:val="000000" w:themeColor="text1"/>
          <w:szCs w:val="21"/>
          <w:highlight w:val="none"/>
          <w14:textFill>
            <w14:solidFill>
              <w14:schemeClr w14:val="tx1"/>
            </w14:solidFill>
          </w14:textFill>
        </w:rPr>
        <w:t>签字日期：                              签字日期：</w:t>
      </w:r>
    </w:p>
    <w:p w14:paraId="150315A1">
      <w:pPr>
        <w:overflowPunct/>
        <w:bidi w:val="0"/>
        <w:spacing w:line="360" w:lineRule="auto"/>
        <w:ind w:firstLine="420" w:firstLineChars="200"/>
        <w:outlineLvl w:val="9"/>
        <w:rPr>
          <w:rFonts w:hint="eastAsia" w:ascii="宋体" w:hAnsi="宋体" w:eastAsia="宋体" w:cs="Times New Roman"/>
          <w:color w:val="000000" w:themeColor="text1"/>
          <w:szCs w:val="21"/>
          <w:highlight w:val="none"/>
          <w14:textFill>
            <w14:solidFill>
              <w14:schemeClr w14:val="tx1"/>
            </w14:solidFill>
          </w14:textFill>
        </w:rPr>
      </w:pPr>
      <w:r>
        <w:rPr>
          <w:rFonts w:hint="eastAsia" w:ascii="宋体" w:hAnsi="宋体" w:eastAsia="宋体" w:cs="Times New Roman"/>
          <w:color w:val="000000" w:themeColor="text1"/>
          <w:szCs w:val="21"/>
          <w:highlight w:val="none"/>
          <w14:textFill>
            <w14:solidFill>
              <w14:schemeClr w14:val="tx1"/>
            </w14:solidFill>
          </w14:textFill>
        </w:rPr>
        <w:t>邮政编码：                              邮政编码：</w:t>
      </w:r>
    </w:p>
    <w:p w14:paraId="4D370BBC">
      <w:pPr>
        <w:overflowPunct/>
        <w:bidi w:val="0"/>
        <w:spacing w:line="360" w:lineRule="auto"/>
        <w:ind w:firstLine="420" w:firstLineChars="200"/>
        <w:outlineLvl w:val="9"/>
        <w:rPr>
          <w:rFonts w:hint="eastAsia" w:ascii="宋体" w:hAnsi="宋体" w:eastAsia="宋体" w:cs="Times New Roman"/>
          <w:color w:val="000000" w:themeColor="text1"/>
          <w:szCs w:val="21"/>
          <w:highlight w:val="none"/>
          <w14:textFill>
            <w14:solidFill>
              <w14:schemeClr w14:val="tx1"/>
            </w14:solidFill>
          </w14:textFill>
        </w:rPr>
      </w:pPr>
      <w:r>
        <w:rPr>
          <w:rFonts w:hint="eastAsia" w:ascii="宋体" w:hAnsi="宋体" w:eastAsia="宋体" w:cs="Times New Roman"/>
          <w:color w:val="000000" w:themeColor="text1"/>
          <w:szCs w:val="21"/>
          <w:highlight w:val="none"/>
          <w14:textFill>
            <w14:solidFill>
              <w14:schemeClr w14:val="tx1"/>
            </w14:solidFill>
          </w14:textFill>
        </w:rPr>
        <w:t>电话：                                  电话：</w:t>
      </w:r>
    </w:p>
    <w:p w14:paraId="6426CF72">
      <w:pPr>
        <w:overflowPunct/>
        <w:bidi w:val="0"/>
        <w:spacing w:line="360" w:lineRule="auto"/>
        <w:ind w:firstLine="420" w:firstLineChars="200"/>
        <w:outlineLvl w:val="9"/>
        <w:rPr>
          <w:rFonts w:hint="eastAsia" w:ascii="宋体" w:hAnsi="宋体" w:eastAsia="宋体" w:cs="Times New Roman"/>
          <w:color w:val="000000" w:themeColor="text1"/>
          <w:szCs w:val="21"/>
          <w:highlight w:val="none"/>
          <w14:textFill>
            <w14:solidFill>
              <w14:schemeClr w14:val="tx1"/>
            </w14:solidFill>
          </w14:textFill>
        </w:rPr>
      </w:pPr>
      <w:r>
        <w:rPr>
          <w:rFonts w:hint="eastAsia" w:ascii="宋体" w:hAnsi="宋体" w:eastAsia="宋体" w:cs="Times New Roman"/>
          <w:color w:val="000000" w:themeColor="text1"/>
          <w:szCs w:val="21"/>
          <w:highlight w:val="none"/>
          <w14:textFill>
            <w14:solidFill>
              <w14:schemeClr w14:val="tx1"/>
            </w14:solidFill>
          </w14:textFill>
        </w:rPr>
        <w:t>传真：                                  传真：</w:t>
      </w:r>
    </w:p>
    <w:p w14:paraId="43E7BDAB">
      <w:pPr>
        <w:overflowPunct/>
        <w:bidi w:val="0"/>
        <w:spacing w:line="360" w:lineRule="auto"/>
        <w:ind w:firstLine="420" w:firstLineChars="200"/>
        <w:outlineLvl w:val="9"/>
        <w:rPr>
          <w:rFonts w:hint="eastAsia" w:ascii="宋体" w:hAnsi="宋体" w:eastAsia="宋体" w:cs="Times New Roman"/>
          <w:color w:val="000000" w:themeColor="text1"/>
          <w:szCs w:val="21"/>
          <w:highlight w:val="none"/>
          <w14:textFill>
            <w14:solidFill>
              <w14:schemeClr w14:val="tx1"/>
            </w14:solidFill>
          </w14:textFill>
        </w:rPr>
      </w:pPr>
      <w:r>
        <w:rPr>
          <w:rFonts w:hint="eastAsia" w:ascii="宋体" w:hAnsi="宋体" w:eastAsia="宋体" w:cs="Times New Roman"/>
          <w:color w:val="000000" w:themeColor="text1"/>
          <w:szCs w:val="21"/>
          <w:highlight w:val="none"/>
          <w14:textFill>
            <w14:solidFill>
              <w14:schemeClr w14:val="tx1"/>
            </w14:solidFill>
          </w14:textFill>
        </w:rPr>
        <w:t>联系人：                                联系人：</w:t>
      </w:r>
    </w:p>
    <w:p w14:paraId="465147CB">
      <w:pPr>
        <w:overflowPunct/>
        <w:bidi w:val="0"/>
        <w:spacing w:line="360" w:lineRule="auto"/>
        <w:ind w:firstLine="420" w:firstLineChars="200"/>
        <w:outlineLvl w:val="9"/>
        <w:rPr>
          <w:rFonts w:hint="eastAsia" w:ascii="宋体" w:hAnsi="宋体" w:eastAsia="宋体" w:cs="Times New Roman"/>
          <w:color w:val="000000" w:themeColor="text1"/>
          <w:szCs w:val="21"/>
          <w:highlight w:val="none"/>
          <w14:textFill>
            <w14:solidFill>
              <w14:schemeClr w14:val="tx1"/>
            </w14:solidFill>
          </w14:textFill>
        </w:rPr>
      </w:pPr>
      <w:r>
        <w:rPr>
          <w:rFonts w:hint="eastAsia" w:ascii="宋体" w:hAnsi="宋体" w:eastAsia="宋体" w:cs="Times New Roman"/>
          <w:color w:val="000000" w:themeColor="text1"/>
          <w:szCs w:val="21"/>
          <w:highlight w:val="none"/>
          <w14:textFill>
            <w14:solidFill>
              <w14:schemeClr w14:val="tx1"/>
            </w14:solidFill>
          </w14:textFill>
        </w:rPr>
        <w:t>开户银行：                              开户银行：</w:t>
      </w:r>
    </w:p>
    <w:p w14:paraId="32694568">
      <w:pPr>
        <w:overflowPunct/>
        <w:bidi w:val="0"/>
        <w:spacing w:line="360" w:lineRule="auto"/>
        <w:ind w:firstLine="420" w:firstLineChars="200"/>
        <w:outlineLvl w:val="9"/>
        <w:rPr>
          <w:rFonts w:hint="eastAsia" w:ascii="宋体" w:hAnsi="宋体" w:eastAsia="宋体" w:cs="Times New Roman"/>
          <w:color w:val="000000" w:themeColor="text1"/>
          <w:szCs w:val="21"/>
          <w:highlight w:val="none"/>
          <w14:textFill>
            <w14:solidFill>
              <w14:schemeClr w14:val="tx1"/>
            </w14:solidFill>
          </w14:textFill>
        </w:rPr>
      </w:pPr>
      <w:r>
        <w:rPr>
          <w:rFonts w:hint="eastAsia" w:ascii="宋体" w:hAnsi="宋体" w:eastAsia="宋体" w:cs="Times New Roman"/>
          <w:color w:val="000000" w:themeColor="text1"/>
          <w:szCs w:val="21"/>
          <w:highlight w:val="none"/>
          <w14:textFill>
            <w14:solidFill>
              <w14:schemeClr w14:val="tx1"/>
            </w14:solidFill>
          </w14:textFill>
        </w:rPr>
        <w:t>帐户名称:                               帐户名称：</w:t>
      </w:r>
    </w:p>
    <w:p w14:paraId="7344D90A">
      <w:pPr>
        <w:overflowPunct/>
        <w:bidi w:val="0"/>
        <w:spacing w:line="360" w:lineRule="auto"/>
        <w:ind w:firstLine="420" w:firstLineChars="200"/>
        <w:outlineLvl w:val="9"/>
        <w:rPr>
          <w:rFonts w:hint="eastAsia" w:ascii="宋体" w:hAnsi="宋体" w:eastAsia="宋体" w:cs="Times New Roman"/>
          <w:color w:val="000000" w:themeColor="text1"/>
          <w:szCs w:val="21"/>
          <w:highlight w:val="none"/>
          <w14:textFill>
            <w14:solidFill>
              <w14:schemeClr w14:val="tx1"/>
            </w14:solidFill>
          </w14:textFill>
        </w:rPr>
      </w:pPr>
      <w:r>
        <w:rPr>
          <w:rFonts w:hint="eastAsia" w:ascii="宋体" w:hAnsi="宋体" w:eastAsia="宋体" w:cs="Times New Roman"/>
          <w:color w:val="000000" w:themeColor="text1"/>
          <w:szCs w:val="21"/>
          <w:highlight w:val="none"/>
          <w14:textFill>
            <w14:solidFill>
              <w14:schemeClr w14:val="tx1"/>
            </w14:solidFill>
          </w14:textFill>
        </w:rPr>
        <w:t>帐号：                                  帐号：</w:t>
      </w:r>
    </w:p>
    <w:p w14:paraId="6220158C">
      <w:pPr>
        <w:overflowPunct/>
        <w:bidi w:val="0"/>
        <w:outlineLvl w:val="9"/>
        <w:rPr>
          <w:rFonts w:hint="eastAsia" w:ascii="宋体" w:hAnsi="宋体" w:eastAsia="宋体" w:cs="宋体"/>
          <w:b/>
          <w:color w:val="000000" w:themeColor="text1"/>
          <w:kern w:val="44"/>
          <w:sz w:val="24"/>
          <w:szCs w:val="24"/>
          <w:highlight w:val="none"/>
          <w:lang w:eastAsia="zh-CN"/>
          <w14:textFill>
            <w14:solidFill>
              <w14:schemeClr w14:val="tx1"/>
            </w14:solidFill>
          </w14:textFill>
        </w:rPr>
      </w:pPr>
      <w:r>
        <w:rPr>
          <w:rFonts w:hint="eastAsia" w:ascii="宋体" w:hAnsi="宋体" w:eastAsia="宋体" w:cs="宋体"/>
          <w:b/>
          <w:color w:val="000000" w:themeColor="text1"/>
          <w:kern w:val="44"/>
          <w:sz w:val="24"/>
          <w:szCs w:val="24"/>
          <w:highlight w:val="none"/>
          <w:lang w:val="en-US" w:eastAsia="zh-CN"/>
          <w14:textFill>
            <w14:solidFill>
              <w14:schemeClr w14:val="tx1"/>
            </w14:solidFill>
          </w14:textFill>
        </w:rPr>
        <w:t>本合同为参考范本，</w:t>
      </w:r>
      <w:r>
        <w:rPr>
          <w:rFonts w:hint="eastAsia" w:ascii="宋体" w:hAnsi="宋体" w:eastAsia="宋体" w:cs="宋体"/>
          <w:b/>
          <w:color w:val="000000" w:themeColor="text1"/>
          <w:kern w:val="44"/>
          <w:sz w:val="24"/>
          <w:szCs w:val="24"/>
          <w:highlight w:val="none"/>
          <w:lang w:eastAsia="zh-CN"/>
          <w14:textFill>
            <w14:solidFill>
              <w14:schemeClr w14:val="tx1"/>
            </w14:solidFill>
          </w14:textFill>
        </w:rPr>
        <w:t>合同协议条款将由采购人（甲方）与成交人（乙方）结合磋商文件、响应文件和本项目具体情况协商后签订。具体以实际签订合同为准。</w:t>
      </w:r>
    </w:p>
    <w:p w14:paraId="696EAE3F">
      <w:pPr>
        <w:overflowPunct/>
        <w:bidi w:val="0"/>
        <w:outlineLvl w:val="9"/>
        <w:rPr>
          <w:rFonts w:hint="eastAsia" w:ascii="宋体" w:hAnsi="宋体" w:eastAsia="宋体" w:cs="宋体"/>
          <w:b/>
          <w:color w:val="000000" w:themeColor="text1"/>
          <w:kern w:val="44"/>
          <w:sz w:val="24"/>
          <w:szCs w:val="24"/>
          <w:highlight w:val="none"/>
          <w:lang w:eastAsia="zh-CN"/>
          <w14:textFill>
            <w14:solidFill>
              <w14:schemeClr w14:val="tx1"/>
            </w14:solidFill>
          </w14:textFill>
        </w:rPr>
      </w:pPr>
    </w:p>
    <w:p w14:paraId="3E1F8535">
      <w:pPr>
        <w:overflowPunct/>
        <w:bidi w:val="0"/>
        <w:spacing w:line="420" w:lineRule="exact"/>
        <w:jc w:val="center"/>
        <w:outlineLvl w:val="9"/>
        <w:rPr>
          <w:rFonts w:ascii="宋体" w:hAnsi="宋体"/>
          <w:color w:val="000000" w:themeColor="text1"/>
          <w:highlight w:val="none"/>
          <w14:textFill>
            <w14:solidFill>
              <w14:schemeClr w14:val="tx1"/>
            </w14:solidFill>
          </w14:textFill>
        </w:rPr>
      </w:pPr>
    </w:p>
    <w:p w14:paraId="3C1FA8F8">
      <w:pPr>
        <w:overflowPunct/>
        <w:bidi w:val="0"/>
        <w:outlineLvl w:val="9"/>
        <w:rPr>
          <w:rFonts w:hint="eastAsia" w:ascii="宋体" w:hAnsi="宋体"/>
          <w:b/>
          <w:color w:val="000000" w:themeColor="text1"/>
          <w:sz w:val="32"/>
          <w:szCs w:val="32"/>
          <w:highlight w:val="none"/>
          <w14:textFill>
            <w14:solidFill>
              <w14:schemeClr w14:val="tx1"/>
            </w14:solidFill>
          </w14:textFill>
        </w:rPr>
      </w:pPr>
      <w:r>
        <w:rPr>
          <w:rFonts w:hint="eastAsia" w:ascii="宋体" w:hAnsi="宋体"/>
          <w:b/>
          <w:color w:val="000000" w:themeColor="text1"/>
          <w:sz w:val="32"/>
          <w:szCs w:val="32"/>
          <w:highlight w:val="none"/>
          <w14:textFill>
            <w14:solidFill>
              <w14:schemeClr w14:val="tx1"/>
            </w14:solidFill>
          </w14:textFill>
        </w:rPr>
        <w:br w:type="page"/>
      </w:r>
    </w:p>
    <w:p w14:paraId="06C6B8CC">
      <w:pPr>
        <w:keepNext w:val="0"/>
        <w:keepLines w:val="0"/>
        <w:pageBreakBefore w:val="0"/>
        <w:widowControl w:val="0"/>
        <w:kinsoku/>
        <w:wordWrap/>
        <w:overflowPunct/>
        <w:topLinePunct w:val="0"/>
        <w:autoSpaceDE/>
        <w:autoSpaceDN/>
        <w:bidi w:val="0"/>
        <w:adjustRightInd/>
        <w:snapToGrid/>
        <w:jc w:val="center"/>
        <w:textAlignment w:val="auto"/>
        <w:outlineLvl w:val="0"/>
        <w:rPr>
          <w:rFonts w:hint="eastAsia" w:eastAsia="宋体"/>
          <w:b/>
          <w:bCs/>
          <w:color w:val="000000" w:themeColor="text1"/>
          <w:sz w:val="36"/>
          <w:szCs w:val="36"/>
          <w:highlight w:val="none"/>
          <w:lang w:val="en-US" w:eastAsia="zh-CN"/>
          <w14:textFill>
            <w14:solidFill>
              <w14:schemeClr w14:val="tx1"/>
            </w14:solidFill>
          </w14:textFill>
        </w:rPr>
      </w:pPr>
      <w:bookmarkStart w:id="47" w:name="_Toc32019"/>
      <w:bookmarkStart w:id="48" w:name="_Toc9679"/>
      <w:r>
        <w:rPr>
          <w:rFonts w:hint="eastAsia"/>
          <w:b/>
          <w:bCs/>
          <w:color w:val="000000" w:themeColor="text1"/>
          <w:sz w:val="36"/>
          <w:szCs w:val="36"/>
          <w:highlight w:val="none"/>
          <w:lang w:val="en-US" w:eastAsia="zh-CN"/>
          <w14:textFill>
            <w14:solidFill>
              <w14:schemeClr w14:val="tx1"/>
            </w14:solidFill>
          </w14:textFill>
        </w:rPr>
        <w:t xml:space="preserve">第四章 </w:t>
      </w:r>
      <w:r>
        <w:rPr>
          <w:rFonts w:hint="eastAsia" w:eastAsia="宋体"/>
          <w:b/>
          <w:bCs/>
          <w:color w:val="000000" w:themeColor="text1"/>
          <w:sz w:val="36"/>
          <w:szCs w:val="36"/>
          <w:highlight w:val="none"/>
          <w:lang w:val="en-US" w:eastAsia="zh-CN"/>
          <w14:textFill>
            <w14:solidFill>
              <w14:schemeClr w14:val="tx1"/>
            </w14:solidFill>
          </w14:textFill>
        </w:rPr>
        <w:t>采购需求</w:t>
      </w:r>
      <w:bookmarkEnd w:id="47"/>
      <w:bookmarkEnd w:id="48"/>
    </w:p>
    <w:tbl>
      <w:tblPr>
        <w:tblStyle w:val="38"/>
        <w:tblW w:w="9198" w:type="dxa"/>
        <w:tblInd w:w="93"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108" w:type="dxa"/>
          <w:bottom w:w="0" w:type="dxa"/>
          <w:right w:w="108" w:type="dxa"/>
        </w:tblCellMar>
      </w:tblPr>
      <w:tblGrid>
        <w:gridCol w:w="1555"/>
        <w:gridCol w:w="5771"/>
        <w:gridCol w:w="550"/>
        <w:gridCol w:w="512"/>
        <w:gridCol w:w="810"/>
      </w:tblGrid>
      <w:tr w14:paraId="4DBA07C3">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00" w:hRule="atLeast"/>
        </w:trPr>
        <w:tc>
          <w:tcPr>
            <w:tcW w:w="15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ED6699E">
            <w:pPr>
              <w:keepNext w:val="0"/>
              <w:keepLines w:val="0"/>
              <w:widowControl/>
              <w:suppressLineNumbers w:val="0"/>
              <w:overflowPunct/>
              <w:bidi w:val="0"/>
              <w:spacing w:line="240" w:lineRule="auto"/>
              <w:jc w:val="center"/>
              <w:textAlignment w:val="center"/>
              <w:outlineLvl w:val="9"/>
              <w:rPr>
                <w:rFonts w:hint="eastAsia" w:asciiTheme="minorEastAsia" w:hAnsiTheme="minorEastAsia" w:eastAsiaTheme="minorEastAsia" w:cstheme="minorEastAsia"/>
                <w:b/>
                <w:bCs/>
                <w:i w:val="0"/>
                <w:iCs w:val="0"/>
                <w:color w:val="000000"/>
                <w:sz w:val="18"/>
                <w:szCs w:val="18"/>
                <w:u w:val="none"/>
              </w:rPr>
            </w:pPr>
            <w:r>
              <w:rPr>
                <w:rFonts w:hint="eastAsia" w:asciiTheme="minorEastAsia" w:hAnsiTheme="minorEastAsia" w:eastAsiaTheme="minorEastAsia" w:cstheme="minorEastAsia"/>
                <w:b/>
                <w:bCs/>
                <w:i w:val="0"/>
                <w:iCs w:val="0"/>
                <w:color w:val="000000"/>
                <w:kern w:val="0"/>
                <w:sz w:val="18"/>
                <w:szCs w:val="18"/>
                <w:u w:val="none"/>
                <w:lang w:val="en-US" w:eastAsia="zh-CN" w:bidi="ar"/>
              </w:rPr>
              <w:t>产品名称</w:t>
            </w:r>
          </w:p>
        </w:tc>
        <w:tc>
          <w:tcPr>
            <w:tcW w:w="577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4F736BE">
            <w:pPr>
              <w:keepNext w:val="0"/>
              <w:keepLines w:val="0"/>
              <w:widowControl/>
              <w:suppressLineNumbers w:val="0"/>
              <w:overflowPunct/>
              <w:bidi w:val="0"/>
              <w:spacing w:line="240" w:lineRule="auto"/>
              <w:jc w:val="center"/>
              <w:textAlignment w:val="center"/>
              <w:outlineLvl w:val="9"/>
              <w:rPr>
                <w:rFonts w:hint="eastAsia" w:asciiTheme="minorEastAsia" w:hAnsiTheme="minorEastAsia" w:eastAsiaTheme="minorEastAsia" w:cstheme="minorEastAsia"/>
                <w:b/>
                <w:bCs/>
                <w:i w:val="0"/>
                <w:iCs w:val="0"/>
                <w:color w:val="000000"/>
                <w:sz w:val="18"/>
                <w:szCs w:val="18"/>
                <w:u w:val="none"/>
              </w:rPr>
            </w:pPr>
            <w:r>
              <w:rPr>
                <w:rFonts w:hint="eastAsia" w:asciiTheme="minorEastAsia" w:hAnsiTheme="minorEastAsia" w:eastAsiaTheme="minorEastAsia" w:cstheme="minorEastAsia"/>
                <w:b/>
                <w:bCs/>
                <w:i w:val="0"/>
                <w:iCs w:val="0"/>
                <w:color w:val="000000"/>
                <w:kern w:val="0"/>
                <w:sz w:val="18"/>
                <w:szCs w:val="18"/>
                <w:u w:val="none"/>
                <w:lang w:val="en-US" w:eastAsia="zh-CN" w:bidi="ar"/>
              </w:rPr>
              <w:t>技术参数</w:t>
            </w:r>
          </w:p>
        </w:tc>
        <w:tc>
          <w:tcPr>
            <w:tcW w:w="5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F8091A5">
            <w:pPr>
              <w:keepNext w:val="0"/>
              <w:keepLines w:val="0"/>
              <w:widowControl/>
              <w:suppressLineNumbers w:val="0"/>
              <w:overflowPunct/>
              <w:bidi w:val="0"/>
              <w:spacing w:line="240" w:lineRule="auto"/>
              <w:jc w:val="center"/>
              <w:textAlignment w:val="center"/>
              <w:outlineLvl w:val="9"/>
              <w:rPr>
                <w:rFonts w:hint="eastAsia" w:asciiTheme="minorEastAsia" w:hAnsiTheme="minorEastAsia" w:eastAsiaTheme="minorEastAsia" w:cstheme="minorEastAsia"/>
                <w:b/>
                <w:bCs/>
                <w:i w:val="0"/>
                <w:iCs w:val="0"/>
                <w:color w:val="000000"/>
                <w:sz w:val="18"/>
                <w:szCs w:val="18"/>
                <w:u w:val="none"/>
              </w:rPr>
            </w:pPr>
            <w:r>
              <w:rPr>
                <w:rFonts w:hint="eastAsia" w:asciiTheme="minorEastAsia" w:hAnsiTheme="minorEastAsia" w:eastAsiaTheme="minorEastAsia" w:cstheme="minorEastAsia"/>
                <w:b/>
                <w:bCs/>
                <w:i w:val="0"/>
                <w:iCs w:val="0"/>
                <w:color w:val="000000"/>
                <w:kern w:val="0"/>
                <w:sz w:val="18"/>
                <w:szCs w:val="18"/>
                <w:u w:val="none"/>
                <w:lang w:val="en-US" w:eastAsia="zh-CN" w:bidi="ar"/>
              </w:rPr>
              <w:t>数量</w:t>
            </w:r>
          </w:p>
        </w:tc>
        <w:tc>
          <w:tcPr>
            <w:tcW w:w="51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8D6D2AA">
            <w:pPr>
              <w:keepNext w:val="0"/>
              <w:keepLines w:val="0"/>
              <w:widowControl/>
              <w:suppressLineNumbers w:val="0"/>
              <w:overflowPunct/>
              <w:bidi w:val="0"/>
              <w:spacing w:line="240" w:lineRule="auto"/>
              <w:jc w:val="center"/>
              <w:textAlignment w:val="center"/>
              <w:outlineLvl w:val="9"/>
              <w:rPr>
                <w:rFonts w:hint="eastAsia" w:asciiTheme="minorEastAsia" w:hAnsiTheme="minorEastAsia" w:eastAsiaTheme="minorEastAsia" w:cstheme="minorEastAsia"/>
                <w:b/>
                <w:bCs/>
                <w:i w:val="0"/>
                <w:iCs w:val="0"/>
                <w:color w:val="000000"/>
                <w:sz w:val="18"/>
                <w:szCs w:val="18"/>
                <w:u w:val="none"/>
              </w:rPr>
            </w:pPr>
            <w:r>
              <w:rPr>
                <w:rFonts w:hint="eastAsia" w:asciiTheme="minorEastAsia" w:hAnsiTheme="minorEastAsia" w:eastAsiaTheme="minorEastAsia" w:cstheme="minorEastAsia"/>
                <w:b/>
                <w:bCs/>
                <w:i w:val="0"/>
                <w:iCs w:val="0"/>
                <w:color w:val="000000"/>
                <w:kern w:val="0"/>
                <w:sz w:val="18"/>
                <w:szCs w:val="18"/>
                <w:u w:val="none"/>
                <w:lang w:val="en-US" w:eastAsia="zh-CN" w:bidi="ar"/>
              </w:rPr>
              <w:t>单位</w:t>
            </w:r>
          </w:p>
        </w:tc>
        <w:tc>
          <w:tcPr>
            <w:tcW w:w="81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FC85D5A">
            <w:pPr>
              <w:keepNext w:val="0"/>
              <w:keepLines w:val="0"/>
              <w:widowControl/>
              <w:suppressLineNumbers w:val="0"/>
              <w:overflowPunct/>
              <w:bidi w:val="0"/>
              <w:spacing w:line="240" w:lineRule="auto"/>
              <w:jc w:val="center"/>
              <w:textAlignment w:val="center"/>
              <w:outlineLvl w:val="9"/>
              <w:rPr>
                <w:rFonts w:hint="eastAsia" w:asciiTheme="minorEastAsia" w:hAnsiTheme="minorEastAsia" w:eastAsiaTheme="minorEastAsia" w:cstheme="minorEastAsia"/>
                <w:b/>
                <w:bCs/>
                <w:i w:val="0"/>
                <w:iCs w:val="0"/>
                <w:color w:val="000000"/>
                <w:sz w:val="18"/>
                <w:szCs w:val="18"/>
                <w:u w:val="none"/>
              </w:rPr>
            </w:pPr>
            <w:r>
              <w:rPr>
                <w:rFonts w:hint="eastAsia" w:asciiTheme="minorEastAsia" w:hAnsiTheme="minorEastAsia" w:eastAsiaTheme="minorEastAsia" w:cstheme="minorEastAsia"/>
                <w:b/>
                <w:bCs/>
                <w:i w:val="0"/>
                <w:iCs w:val="0"/>
                <w:color w:val="000000"/>
                <w:kern w:val="0"/>
                <w:sz w:val="18"/>
                <w:szCs w:val="18"/>
                <w:u w:val="none"/>
                <w:lang w:val="en-US" w:eastAsia="zh-CN" w:bidi="ar"/>
              </w:rPr>
              <w:t>单价元</w:t>
            </w:r>
          </w:p>
        </w:tc>
      </w:tr>
      <w:tr w14:paraId="0E69CBB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675" w:hRule="atLeast"/>
        </w:trPr>
        <w:tc>
          <w:tcPr>
            <w:tcW w:w="15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3CFC6B6">
            <w:pPr>
              <w:keepNext w:val="0"/>
              <w:keepLines w:val="0"/>
              <w:widowControl/>
              <w:suppressLineNumbers w:val="0"/>
              <w:overflowPunct/>
              <w:bidi w:val="0"/>
              <w:spacing w:line="240" w:lineRule="auto"/>
              <w:jc w:val="center"/>
              <w:textAlignment w:val="center"/>
              <w:outlineLvl w:val="9"/>
              <w:rPr>
                <w:rFonts w:hint="eastAsia" w:asciiTheme="minorEastAsia" w:hAnsiTheme="minorEastAsia" w:eastAsiaTheme="minorEastAsia" w:cstheme="minorEastAsia"/>
                <w:i w:val="0"/>
                <w:iCs w:val="0"/>
                <w:color w:val="000000"/>
                <w:sz w:val="18"/>
                <w:szCs w:val="18"/>
                <w:u w:val="none"/>
              </w:rPr>
            </w:pPr>
            <w:r>
              <w:rPr>
                <w:rFonts w:hint="eastAsia" w:asciiTheme="minorEastAsia" w:hAnsiTheme="minorEastAsia" w:eastAsiaTheme="minorEastAsia" w:cstheme="minorEastAsia"/>
                <w:i w:val="0"/>
                <w:iCs w:val="0"/>
                <w:color w:val="000000"/>
                <w:kern w:val="0"/>
                <w:sz w:val="18"/>
                <w:szCs w:val="18"/>
                <w:u w:val="none"/>
                <w:lang w:val="en-US" w:eastAsia="zh-CN" w:bidi="ar"/>
              </w:rPr>
              <w:t>智能LED教室灯</w:t>
            </w:r>
          </w:p>
        </w:tc>
        <w:tc>
          <w:tcPr>
            <w:tcW w:w="577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ACA7DC2">
            <w:pPr>
              <w:keepNext w:val="0"/>
              <w:keepLines w:val="0"/>
              <w:widowControl/>
              <w:suppressLineNumbers w:val="0"/>
              <w:overflowPunct/>
              <w:bidi w:val="0"/>
              <w:spacing w:line="240" w:lineRule="auto"/>
              <w:jc w:val="left"/>
              <w:textAlignment w:val="center"/>
              <w:outlineLvl w:val="9"/>
              <w:rPr>
                <w:rFonts w:hint="eastAsia" w:asciiTheme="minorEastAsia" w:hAnsiTheme="minorEastAsia" w:eastAsiaTheme="minorEastAsia" w:cstheme="minorEastAsia"/>
                <w:i w:val="0"/>
                <w:iCs w:val="0"/>
                <w:color w:val="000000"/>
                <w:sz w:val="18"/>
                <w:szCs w:val="18"/>
                <w:u w:val="none"/>
              </w:rPr>
            </w:pPr>
            <w:r>
              <w:rPr>
                <w:rFonts w:hint="eastAsia" w:asciiTheme="minorEastAsia" w:hAnsiTheme="minorEastAsia" w:eastAsiaTheme="minorEastAsia" w:cstheme="minorEastAsia"/>
                <w:i w:val="0"/>
                <w:iCs w:val="0"/>
                <w:color w:val="000000"/>
                <w:kern w:val="0"/>
                <w:sz w:val="18"/>
                <w:szCs w:val="18"/>
                <w:u w:val="none"/>
                <w:lang w:val="en-US" w:eastAsia="zh-CN" w:bidi="ar"/>
              </w:rPr>
              <w:t xml:space="preserve">★1、LED教室灯尺寸≥1220mm；为一体式电镀铝长方形格栅防眩灯具，小格栅尺寸长宽高30*15*12mm±1mm；背罩采用高分子复合材料，抗UV、耐黄变，材料边缘厚度不低于1.0mm；背均匀出光，背部可视发光面积占总背罩面积不低于50%，以确保教室天花板照度均匀，降低教室整体眩光，无吊杆阴影；采用一体式航空铝型材边框，四边角为圆弧，可减少尖锐磕碰风险，边框为一体化工艺，不使用拼接工艺，保证灯体安全牢靠。 </w:t>
            </w:r>
            <w:r>
              <w:rPr>
                <w:rFonts w:hint="eastAsia" w:asciiTheme="minorEastAsia" w:hAnsiTheme="minorEastAsia" w:eastAsiaTheme="minorEastAsia" w:cstheme="minorEastAsia"/>
                <w:i w:val="0"/>
                <w:iCs w:val="0"/>
                <w:color w:val="000000"/>
                <w:kern w:val="0"/>
                <w:sz w:val="18"/>
                <w:szCs w:val="18"/>
                <w:u w:val="none"/>
                <w:lang w:val="en-US" w:eastAsia="zh-CN" w:bidi="ar"/>
              </w:rPr>
              <w:br w:type="textWrapping"/>
            </w:r>
            <w:r>
              <w:rPr>
                <w:rFonts w:hint="eastAsia" w:asciiTheme="minorEastAsia" w:hAnsiTheme="minorEastAsia" w:eastAsiaTheme="minorEastAsia" w:cstheme="minorEastAsia"/>
                <w:i w:val="0"/>
                <w:iCs w:val="0"/>
                <w:color w:val="000000"/>
                <w:kern w:val="0"/>
                <w:sz w:val="18"/>
                <w:szCs w:val="18"/>
                <w:u w:val="none"/>
                <w:lang w:val="en-US" w:eastAsia="zh-CN" w:bidi="ar"/>
              </w:rPr>
              <w:t>2、LED教室灯采用大尺寸外置驱动电源，器件散热性能好；驱动不可徒手拆卸，保证安全；驱动电源置于灯体上居中对称，保证吊装安全稳固；金属边框与吊杆支架有防坠装置，防止掉落风险。</w:t>
            </w:r>
            <w:r>
              <w:rPr>
                <w:rFonts w:hint="eastAsia" w:asciiTheme="minorEastAsia" w:hAnsiTheme="minorEastAsia" w:eastAsiaTheme="minorEastAsia" w:cstheme="minorEastAsia"/>
                <w:i w:val="0"/>
                <w:iCs w:val="0"/>
                <w:color w:val="000000"/>
                <w:kern w:val="0"/>
                <w:sz w:val="18"/>
                <w:szCs w:val="18"/>
                <w:u w:val="none"/>
                <w:lang w:val="en-US" w:eastAsia="zh-CN" w:bidi="ar"/>
              </w:rPr>
              <w:br w:type="textWrapping"/>
            </w:r>
            <w:r>
              <w:rPr>
                <w:rFonts w:hint="eastAsia" w:asciiTheme="minorEastAsia" w:hAnsiTheme="minorEastAsia" w:eastAsiaTheme="minorEastAsia" w:cstheme="minorEastAsia"/>
                <w:i w:val="0"/>
                <w:iCs w:val="0"/>
                <w:color w:val="000000"/>
                <w:kern w:val="0"/>
                <w:sz w:val="18"/>
                <w:szCs w:val="18"/>
                <w:u w:val="none"/>
                <w:lang w:val="en-US" w:eastAsia="zh-CN" w:bidi="ar"/>
              </w:rPr>
              <w:t>3、LED教室灯色温（或相关色温）4300-5300K，显色指数Ra≥95、R9≥90，色容差≤5 SDCM。</w:t>
            </w:r>
            <w:r>
              <w:rPr>
                <w:rFonts w:hint="eastAsia" w:asciiTheme="minorEastAsia" w:hAnsiTheme="minorEastAsia" w:eastAsiaTheme="minorEastAsia" w:cstheme="minorEastAsia"/>
                <w:i w:val="0"/>
                <w:iCs w:val="0"/>
                <w:color w:val="000000"/>
                <w:kern w:val="0"/>
                <w:sz w:val="18"/>
                <w:szCs w:val="18"/>
                <w:u w:val="none"/>
                <w:lang w:val="en-US" w:eastAsia="zh-CN" w:bidi="ar"/>
              </w:rPr>
              <w:br w:type="textWrapping"/>
            </w:r>
            <w:r>
              <w:rPr>
                <w:rFonts w:hint="eastAsia" w:asciiTheme="minorEastAsia" w:hAnsiTheme="minorEastAsia" w:eastAsiaTheme="minorEastAsia" w:cstheme="minorEastAsia"/>
                <w:i w:val="0"/>
                <w:iCs w:val="0"/>
                <w:color w:val="000000"/>
                <w:kern w:val="0"/>
                <w:sz w:val="18"/>
                <w:szCs w:val="18"/>
                <w:u w:val="none"/>
                <w:lang w:val="en-US" w:eastAsia="zh-CN" w:bidi="ar"/>
              </w:rPr>
              <w:t>4、LED教室灯通过人体电磁辐射测试。</w:t>
            </w:r>
            <w:r>
              <w:rPr>
                <w:rFonts w:hint="eastAsia" w:asciiTheme="minorEastAsia" w:hAnsiTheme="minorEastAsia" w:eastAsiaTheme="minorEastAsia" w:cstheme="minorEastAsia"/>
                <w:i w:val="0"/>
                <w:iCs w:val="0"/>
                <w:color w:val="000000"/>
                <w:kern w:val="0"/>
                <w:sz w:val="18"/>
                <w:szCs w:val="18"/>
                <w:u w:val="none"/>
                <w:lang w:val="en-US" w:eastAsia="zh-CN" w:bidi="ar"/>
              </w:rPr>
              <w:br w:type="textWrapping"/>
            </w:r>
            <w:r>
              <w:rPr>
                <w:rFonts w:hint="eastAsia" w:asciiTheme="minorEastAsia" w:hAnsiTheme="minorEastAsia" w:eastAsiaTheme="minorEastAsia" w:cstheme="minorEastAsia"/>
                <w:i w:val="0"/>
                <w:iCs w:val="0"/>
                <w:color w:val="000000"/>
                <w:kern w:val="0"/>
                <w:sz w:val="18"/>
                <w:szCs w:val="18"/>
                <w:u w:val="none"/>
                <w:lang w:val="en-US" w:eastAsia="zh-CN" w:bidi="ar"/>
              </w:rPr>
              <w:t xml:space="preserve">▲5、智能控制：无线组网和无线通讯；支持物联远程控制技术，如ZigBee无线组网等，支持室内情景面板调节，支持PC端等控制方式。场景控制器各场景模式的灯具亮度可根据实际需求调节，亮度设置范围0%~100%可调。根据教学场景配置≥4种默认场景模式，支持快速配置；场景快速切换，根据使用需求能够快速切换整体灯光照明状态，根据教学场景配置多种自定义场景模式。支持恒照度调光功能，支持集成安装恒照度模块，环境光发生变化时，每盏灯根据环境的变化，自动调光；功能开启后，设备能够根据检测到的照度值进行自动调节，功能关闭后，设备不再自动调光。 </w:t>
            </w:r>
            <w:r>
              <w:rPr>
                <w:rFonts w:hint="eastAsia" w:asciiTheme="minorEastAsia" w:hAnsiTheme="minorEastAsia" w:eastAsiaTheme="minorEastAsia" w:cstheme="minorEastAsia"/>
                <w:i w:val="0"/>
                <w:iCs w:val="0"/>
                <w:color w:val="000000"/>
                <w:kern w:val="0"/>
                <w:sz w:val="18"/>
                <w:szCs w:val="18"/>
                <w:u w:val="none"/>
                <w:lang w:val="en-US" w:eastAsia="zh-CN" w:bidi="ar"/>
              </w:rPr>
              <w:br w:type="textWrapping"/>
            </w:r>
            <w:r>
              <w:rPr>
                <w:rFonts w:hint="eastAsia" w:asciiTheme="minorEastAsia" w:hAnsiTheme="minorEastAsia" w:eastAsiaTheme="minorEastAsia" w:cstheme="minorEastAsia"/>
                <w:i w:val="0"/>
                <w:iCs w:val="0"/>
                <w:color w:val="000000"/>
                <w:kern w:val="0"/>
                <w:sz w:val="18"/>
                <w:szCs w:val="18"/>
                <w:u w:val="none"/>
                <w:lang w:val="en-US" w:eastAsia="zh-CN" w:bidi="ar"/>
              </w:rPr>
              <w:t xml:space="preserve">▲6、LED教室灯额定功率≤40W，单颗光源功率≥1W，光源额定总功率是灯具额定功率的5.5倍或以上。 </w:t>
            </w:r>
            <w:r>
              <w:rPr>
                <w:rFonts w:hint="eastAsia" w:asciiTheme="minorEastAsia" w:hAnsiTheme="minorEastAsia" w:eastAsiaTheme="minorEastAsia" w:cstheme="minorEastAsia"/>
                <w:i w:val="0"/>
                <w:iCs w:val="0"/>
                <w:color w:val="000000"/>
                <w:kern w:val="0"/>
                <w:sz w:val="18"/>
                <w:szCs w:val="18"/>
                <w:u w:val="none"/>
                <w:lang w:val="en-US" w:eastAsia="zh-CN" w:bidi="ar"/>
              </w:rPr>
              <w:br w:type="textWrapping"/>
            </w:r>
            <w:r>
              <w:rPr>
                <w:rFonts w:hint="eastAsia" w:asciiTheme="minorEastAsia" w:hAnsiTheme="minorEastAsia" w:eastAsiaTheme="minorEastAsia" w:cstheme="minorEastAsia"/>
                <w:i w:val="0"/>
                <w:iCs w:val="0"/>
                <w:color w:val="000000"/>
                <w:kern w:val="0"/>
                <w:sz w:val="18"/>
                <w:szCs w:val="18"/>
                <w:u w:val="none"/>
                <w:lang w:val="en-US" w:eastAsia="zh-CN" w:bidi="ar"/>
              </w:rPr>
              <w:t>7、LED教室灯至少依据《GB/T 26572》标准通过电器电子产品认证。</w:t>
            </w:r>
            <w:r>
              <w:rPr>
                <w:rFonts w:hint="eastAsia" w:asciiTheme="minorEastAsia" w:hAnsiTheme="minorEastAsia" w:eastAsiaTheme="minorEastAsia" w:cstheme="minorEastAsia"/>
                <w:i w:val="0"/>
                <w:iCs w:val="0"/>
                <w:color w:val="000000"/>
                <w:kern w:val="0"/>
                <w:sz w:val="18"/>
                <w:szCs w:val="18"/>
                <w:u w:val="none"/>
                <w:lang w:val="en-US" w:eastAsia="zh-CN" w:bidi="ar"/>
              </w:rPr>
              <w:br w:type="textWrapping"/>
            </w:r>
            <w:r>
              <w:rPr>
                <w:rFonts w:hint="eastAsia" w:asciiTheme="minorEastAsia" w:hAnsiTheme="minorEastAsia" w:eastAsiaTheme="minorEastAsia" w:cstheme="minorEastAsia"/>
                <w:i w:val="0"/>
                <w:iCs w:val="0"/>
                <w:color w:val="000000"/>
                <w:kern w:val="0"/>
                <w:sz w:val="18"/>
                <w:szCs w:val="18"/>
                <w:u w:val="none"/>
                <w:lang w:val="en-US" w:eastAsia="zh-CN" w:bidi="ar"/>
              </w:rPr>
              <w:t>8、LED教室灯通过频闪无危害或无频闪危害或无显著影响认证。</w:t>
            </w:r>
            <w:r>
              <w:rPr>
                <w:rFonts w:hint="eastAsia" w:asciiTheme="minorEastAsia" w:hAnsiTheme="minorEastAsia" w:eastAsiaTheme="minorEastAsia" w:cstheme="minorEastAsia"/>
                <w:i w:val="0"/>
                <w:iCs w:val="0"/>
                <w:color w:val="000000"/>
                <w:kern w:val="0"/>
                <w:sz w:val="18"/>
                <w:szCs w:val="18"/>
                <w:u w:val="none"/>
                <w:lang w:val="en-US" w:eastAsia="zh-CN" w:bidi="ar"/>
              </w:rPr>
              <w:br w:type="textWrapping"/>
            </w:r>
            <w:r>
              <w:rPr>
                <w:rFonts w:hint="eastAsia" w:asciiTheme="minorEastAsia" w:hAnsiTheme="minorEastAsia" w:eastAsiaTheme="minorEastAsia" w:cstheme="minorEastAsia"/>
                <w:i w:val="0"/>
                <w:iCs w:val="0"/>
                <w:color w:val="000000"/>
                <w:kern w:val="0"/>
                <w:sz w:val="18"/>
                <w:szCs w:val="18"/>
                <w:u w:val="none"/>
                <w:lang w:val="en-US" w:eastAsia="zh-CN" w:bidi="ar"/>
              </w:rPr>
              <w:t>9、LED教室灯蓝光危害等级为RG0（或0类危险）。</w:t>
            </w:r>
            <w:r>
              <w:rPr>
                <w:rFonts w:hint="eastAsia" w:asciiTheme="minorEastAsia" w:hAnsiTheme="minorEastAsia" w:eastAsiaTheme="minorEastAsia" w:cstheme="minorEastAsia"/>
                <w:i w:val="0"/>
                <w:iCs w:val="0"/>
                <w:color w:val="000000"/>
                <w:kern w:val="0"/>
                <w:sz w:val="18"/>
                <w:szCs w:val="18"/>
                <w:u w:val="none"/>
                <w:lang w:val="en-US" w:eastAsia="zh-CN" w:bidi="ar"/>
              </w:rPr>
              <w:br w:type="textWrapping"/>
            </w:r>
            <w:r>
              <w:rPr>
                <w:rFonts w:hint="eastAsia" w:asciiTheme="minorEastAsia" w:hAnsiTheme="minorEastAsia" w:eastAsiaTheme="minorEastAsia" w:cstheme="minorEastAsia"/>
                <w:i w:val="0"/>
                <w:iCs w:val="0"/>
                <w:color w:val="000000"/>
                <w:kern w:val="0"/>
                <w:sz w:val="18"/>
                <w:szCs w:val="18"/>
                <w:u w:val="none"/>
                <w:lang w:val="en-US" w:eastAsia="zh-CN" w:bidi="ar"/>
              </w:rPr>
              <w:t>▲10、LED教室灯在大气压力≥100kPa，平均湿度≥50%RH、极值空气温度≤-25℃及相对温差≥34℃的实地自然环境条件下至少持续运行360小时，至少依据《GB/T18595》标准满足浪涌性能为C或以上等级。</w:t>
            </w:r>
            <w:r>
              <w:rPr>
                <w:rFonts w:hint="eastAsia" w:asciiTheme="minorEastAsia" w:hAnsiTheme="minorEastAsia" w:eastAsiaTheme="minorEastAsia" w:cstheme="minorEastAsia"/>
                <w:i w:val="0"/>
                <w:iCs w:val="0"/>
                <w:color w:val="000000"/>
                <w:kern w:val="0"/>
                <w:sz w:val="18"/>
                <w:szCs w:val="18"/>
                <w:u w:val="none"/>
                <w:lang w:val="en-US" w:eastAsia="zh-CN" w:bidi="ar"/>
              </w:rPr>
              <w:br w:type="textWrapping"/>
            </w:r>
            <w:r>
              <w:rPr>
                <w:rFonts w:hint="eastAsia" w:asciiTheme="minorEastAsia" w:hAnsiTheme="minorEastAsia" w:eastAsiaTheme="minorEastAsia" w:cstheme="minorEastAsia"/>
                <w:i w:val="0"/>
                <w:iCs w:val="0"/>
                <w:color w:val="000000"/>
                <w:kern w:val="0"/>
                <w:sz w:val="18"/>
                <w:szCs w:val="18"/>
                <w:u w:val="none"/>
                <w:lang w:val="en-US" w:eastAsia="zh-CN" w:bidi="ar"/>
              </w:rPr>
              <w:t>▲11、LED教室灯在大气压力≥100kPa，平均湿度≥50%RH、极值空气温度≤-25℃及相对温差≥34℃的实地自然环境条件下至少持续运行360小时，至少依据《GB/T36979》满足空间颜色非均匀性△u’v’≤0.007。</w:t>
            </w:r>
            <w:r>
              <w:rPr>
                <w:rFonts w:hint="eastAsia" w:asciiTheme="minorEastAsia" w:hAnsiTheme="minorEastAsia" w:eastAsiaTheme="minorEastAsia" w:cstheme="minorEastAsia"/>
                <w:i w:val="0"/>
                <w:iCs w:val="0"/>
                <w:color w:val="000000"/>
                <w:kern w:val="0"/>
                <w:sz w:val="18"/>
                <w:szCs w:val="18"/>
                <w:u w:val="none"/>
                <w:lang w:val="en-US" w:eastAsia="zh-CN" w:bidi="ar"/>
              </w:rPr>
              <w:br w:type="textWrapping"/>
            </w:r>
            <w:r>
              <w:rPr>
                <w:rFonts w:hint="eastAsia" w:asciiTheme="minorEastAsia" w:hAnsiTheme="minorEastAsia" w:eastAsiaTheme="minorEastAsia" w:cstheme="minorEastAsia"/>
                <w:i w:val="0"/>
                <w:iCs w:val="0"/>
                <w:color w:val="000000"/>
                <w:kern w:val="0"/>
                <w:sz w:val="18"/>
                <w:szCs w:val="18"/>
                <w:u w:val="none"/>
                <w:lang w:val="en-US" w:eastAsia="zh-CN" w:bidi="ar"/>
              </w:rPr>
              <w:t>▲12、LED教室灯在大气压力≥100kPa，平均湿度≥50%RH、极值空气温度≤-25℃及相对温差≥34℃的实地自然环境条件下至少持续运行360小时，至少依据《GB/T9468》标准满足光束角C0-C180及C90-C270的实测值与初始值偏差均不超过±10%。</w:t>
            </w:r>
            <w:r>
              <w:rPr>
                <w:rFonts w:hint="eastAsia" w:asciiTheme="minorEastAsia" w:hAnsiTheme="minorEastAsia" w:eastAsiaTheme="minorEastAsia" w:cstheme="minorEastAsia"/>
                <w:i w:val="0"/>
                <w:iCs w:val="0"/>
                <w:color w:val="000000"/>
                <w:kern w:val="0"/>
                <w:sz w:val="18"/>
                <w:szCs w:val="18"/>
                <w:u w:val="none"/>
                <w:lang w:val="en-US" w:eastAsia="zh-CN" w:bidi="ar"/>
              </w:rPr>
              <w:br w:type="textWrapping"/>
            </w:r>
            <w:r>
              <w:rPr>
                <w:rFonts w:hint="eastAsia" w:asciiTheme="minorEastAsia" w:hAnsiTheme="minorEastAsia" w:eastAsiaTheme="minorEastAsia" w:cstheme="minorEastAsia"/>
                <w:i w:val="0"/>
                <w:iCs w:val="0"/>
                <w:color w:val="000000"/>
                <w:kern w:val="0"/>
                <w:sz w:val="18"/>
                <w:szCs w:val="18"/>
                <w:u w:val="none"/>
                <w:lang w:val="en-US" w:eastAsia="zh-CN" w:bidi="ar"/>
              </w:rPr>
              <w:t>▲13、LED教室灯在大气压力≥100kPa，平均湿度≥50%RH、极值空气温度≤-25℃及相对温差≥34℃的实地自然环境条件下至少持续运行360小时，至少依据《GB/T31897.201》标准满足光效的实测值与初始值的偏差不超过-10%。</w:t>
            </w:r>
            <w:r>
              <w:rPr>
                <w:rFonts w:hint="eastAsia" w:asciiTheme="minorEastAsia" w:hAnsiTheme="minorEastAsia" w:eastAsiaTheme="minorEastAsia" w:cstheme="minorEastAsia"/>
                <w:i w:val="0"/>
                <w:iCs w:val="0"/>
                <w:color w:val="000000"/>
                <w:kern w:val="0"/>
                <w:sz w:val="18"/>
                <w:szCs w:val="18"/>
                <w:u w:val="none"/>
                <w:lang w:val="en-US" w:eastAsia="zh-CN" w:bidi="ar"/>
              </w:rPr>
              <w:br w:type="textWrapping"/>
            </w:r>
            <w:r>
              <w:rPr>
                <w:rFonts w:hint="eastAsia" w:asciiTheme="minorEastAsia" w:hAnsiTheme="minorEastAsia" w:eastAsiaTheme="minorEastAsia" w:cstheme="minorEastAsia"/>
                <w:i w:val="0"/>
                <w:iCs w:val="0"/>
                <w:color w:val="000000"/>
                <w:kern w:val="0"/>
                <w:sz w:val="18"/>
                <w:szCs w:val="18"/>
                <w:u w:val="none"/>
                <w:lang w:val="en-US" w:eastAsia="zh-CN" w:bidi="ar"/>
              </w:rPr>
              <w:t>▲14、LED教室灯在大气压力≥100kPa，平均湿度≥50%RH、极值空气温度≤-25℃及相对温差≥34℃的实地自然环境条件下至少持续运行360小时，至少依据《GB/T6882》标准满足噪声＜17dB（A）。</w:t>
            </w:r>
            <w:r>
              <w:rPr>
                <w:rFonts w:hint="eastAsia" w:asciiTheme="minorEastAsia" w:hAnsiTheme="minorEastAsia" w:eastAsiaTheme="minorEastAsia" w:cstheme="minorEastAsia"/>
                <w:i w:val="0"/>
                <w:iCs w:val="0"/>
                <w:color w:val="000000"/>
                <w:kern w:val="0"/>
                <w:sz w:val="18"/>
                <w:szCs w:val="18"/>
                <w:u w:val="none"/>
                <w:lang w:val="en-US" w:eastAsia="zh-CN" w:bidi="ar"/>
              </w:rPr>
              <w:br w:type="textWrapping"/>
            </w:r>
            <w:r>
              <w:rPr>
                <w:rFonts w:hint="eastAsia" w:asciiTheme="minorEastAsia" w:hAnsiTheme="minorEastAsia" w:eastAsiaTheme="minorEastAsia" w:cstheme="minorEastAsia"/>
                <w:i w:val="0"/>
                <w:iCs w:val="0"/>
                <w:color w:val="000000"/>
                <w:kern w:val="0"/>
                <w:sz w:val="18"/>
                <w:szCs w:val="18"/>
                <w:u w:val="none"/>
                <w:lang w:val="en-US" w:eastAsia="zh-CN" w:bidi="ar"/>
              </w:rPr>
              <w:t>15、LED教室灯通过教室照明灯具性能认证。</w:t>
            </w:r>
            <w:r>
              <w:rPr>
                <w:rFonts w:hint="eastAsia" w:asciiTheme="minorEastAsia" w:hAnsiTheme="minorEastAsia" w:eastAsiaTheme="minorEastAsia" w:cstheme="minorEastAsia"/>
                <w:i w:val="0"/>
                <w:iCs w:val="0"/>
                <w:color w:val="000000"/>
                <w:kern w:val="0"/>
                <w:sz w:val="18"/>
                <w:szCs w:val="18"/>
                <w:u w:val="none"/>
                <w:lang w:val="en-US" w:eastAsia="zh-CN" w:bidi="ar"/>
              </w:rPr>
              <w:br w:type="textWrapping"/>
            </w:r>
            <w:r>
              <w:rPr>
                <w:rFonts w:hint="eastAsia" w:asciiTheme="minorEastAsia" w:hAnsiTheme="minorEastAsia" w:eastAsiaTheme="minorEastAsia" w:cstheme="minorEastAsia"/>
                <w:i w:val="0"/>
                <w:iCs w:val="0"/>
                <w:color w:val="000000"/>
                <w:kern w:val="0"/>
                <w:sz w:val="18"/>
                <w:szCs w:val="18"/>
                <w:u w:val="none"/>
                <w:lang w:val="en-US" w:eastAsia="zh-CN" w:bidi="ar"/>
              </w:rPr>
              <w:t>16、LED教室灯至少依据《GB/T33721》标准满足光通维持寿命≥50000小时。</w:t>
            </w:r>
            <w:r>
              <w:rPr>
                <w:rFonts w:hint="eastAsia" w:asciiTheme="minorEastAsia" w:hAnsiTheme="minorEastAsia" w:eastAsiaTheme="minorEastAsia" w:cstheme="minorEastAsia"/>
                <w:i w:val="0"/>
                <w:iCs w:val="0"/>
                <w:color w:val="000000"/>
                <w:kern w:val="0"/>
                <w:sz w:val="18"/>
                <w:szCs w:val="18"/>
                <w:u w:val="none"/>
                <w:lang w:val="en-US" w:eastAsia="zh-CN" w:bidi="ar"/>
              </w:rPr>
              <w:br w:type="textWrapping"/>
            </w:r>
            <w:r>
              <w:rPr>
                <w:rFonts w:hint="eastAsia" w:asciiTheme="minorEastAsia" w:hAnsiTheme="minorEastAsia" w:eastAsiaTheme="minorEastAsia" w:cstheme="minorEastAsia"/>
                <w:i w:val="0"/>
                <w:iCs w:val="0"/>
                <w:color w:val="000000"/>
                <w:kern w:val="0"/>
                <w:sz w:val="18"/>
                <w:szCs w:val="18"/>
                <w:u w:val="none"/>
                <w:lang w:val="en-US" w:eastAsia="zh-CN" w:bidi="ar"/>
              </w:rPr>
              <w:t>17、支持在LED教室灯搭载无线教学扩声音箱集成组合，可拓展扩音功能。</w:t>
            </w:r>
          </w:p>
        </w:tc>
        <w:tc>
          <w:tcPr>
            <w:tcW w:w="55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534A84A">
            <w:pPr>
              <w:keepNext w:val="0"/>
              <w:keepLines w:val="0"/>
              <w:widowControl/>
              <w:suppressLineNumbers w:val="0"/>
              <w:overflowPunct/>
              <w:bidi w:val="0"/>
              <w:spacing w:line="240" w:lineRule="auto"/>
              <w:jc w:val="center"/>
              <w:textAlignment w:val="center"/>
              <w:outlineLvl w:val="9"/>
              <w:rPr>
                <w:rFonts w:hint="eastAsia" w:asciiTheme="minorEastAsia" w:hAnsiTheme="minorEastAsia" w:eastAsiaTheme="minorEastAsia" w:cstheme="minorEastAsia"/>
                <w:i w:val="0"/>
                <w:iCs w:val="0"/>
                <w:color w:val="000000"/>
                <w:sz w:val="18"/>
                <w:szCs w:val="18"/>
                <w:u w:val="none"/>
              </w:rPr>
            </w:pPr>
            <w:r>
              <w:rPr>
                <w:rFonts w:hint="eastAsia" w:asciiTheme="minorEastAsia" w:hAnsiTheme="minorEastAsia" w:eastAsiaTheme="minorEastAsia" w:cstheme="minorEastAsia"/>
                <w:i w:val="0"/>
                <w:iCs w:val="0"/>
                <w:color w:val="000000"/>
                <w:kern w:val="0"/>
                <w:sz w:val="18"/>
                <w:szCs w:val="18"/>
                <w:u w:val="none"/>
                <w:lang w:val="en-US" w:eastAsia="zh-CN" w:bidi="ar"/>
              </w:rPr>
              <w:t>954</w:t>
            </w:r>
          </w:p>
        </w:tc>
        <w:tc>
          <w:tcPr>
            <w:tcW w:w="51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8BBFB4B">
            <w:pPr>
              <w:keepNext w:val="0"/>
              <w:keepLines w:val="0"/>
              <w:widowControl/>
              <w:suppressLineNumbers w:val="0"/>
              <w:overflowPunct/>
              <w:bidi w:val="0"/>
              <w:spacing w:line="240" w:lineRule="auto"/>
              <w:jc w:val="center"/>
              <w:textAlignment w:val="center"/>
              <w:outlineLvl w:val="9"/>
              <w:rPr>
                <w:rFonts w:hint="eastAsia" w:asciiTheme="minorEastAsia" w:hAnsiTheme="minorEastAsia" w:eastAsiaTheme="minorEastAsia" w:cstheme="minorEastAsia"/>
                <w:i w:val="0"/>
                <w:iCs w:val="0"/>
                <w:color w:val="000000"/>
                <w:sz w:val="18"/>
                <w:szCs w:val="18"/>
                <w:u w:val="none"/>
              </w:rPr>
            </w:pPr>
            <w:r>
              <w:rPr>
                <w:rFonts w:hint="eastAsia" w:asciiTheme="minorEastAsia" w:hAnsiTheme="minorEastAsia" w:eastAsiaTheme="minorEastAsia" w:cstheme="minorEastAsia"/>
                <w:i w:val="0"/>
                <w:iCs w:val="0"/>
                <w:color w:val="000000"/>
                <w:kern w:val="0"/>
                <w:sz w:val="18"/>
                <w:szCs w:val="18"/>
                <w:u w:val="none"/>
                <w:lang w:val="en-US" w:eastAsia="zh-CN" w:bidi="ar"/>
              </w:rPr>
              <w:t>盏</w:t>
            </w:r>
          </w:p>
        </w:tc>
        <w:tc>
          <w:tcPr>
            <w:tcW w:w="81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8E5D443">
            <w:pPr>
              <w:keepNext w:val="0"/>
              <w:keepLines w:val="0"/>
              <w:widowControl/>
              <w:suppressLineNumbers w:val="0"/>
              <w:overflowPunct/>
              <w:bidi w:val="0"/>
              <w:spacing w:line="240" w:lineRule="auto"/>
              <w:jc w:val="right"/>
              <w:textAlignment w:val="center"/>
              <w:outlineLvl w:val="9"/>
              <w:rPr>
                <w:rFonts w:hint="eastAsia" w:asciiTheme="minorEastAsia" w:hAnsiTheme="minorEastAsia" w:eastAsiaTheme="minorEastAsia" w:cstheme="minorEastAsia"/>
                <w:i w:val="0"/>
                <w:iCs w:val="0"/>
                <w:color w:val="000000"/>
                <w:sz w:val="18"/>
                <w:szCs w:val="18"/>
                <w:u w:val="none"/>
              </w:rPr>
            </w:pPr>
            <w:r>
              <w:rPr>
                <w:rFonts w:hint="eastAsia" w:asciiTheme="minorEastAsia" w:hAnsiTheme="minorEastAsia" w:eastAsiaTheme="minorEastAsia" w:cstheme="minorEastAsia"/>
                <w:i w:val="0"/>
                <w:iCs w:val="0"/>
                <w:color w:val="000000"/>
                <w:kern w:val="0"/>
                <w:sz w:val="18"/>
                <w:szCs w:val="18"/>
                <w:u w:val="none"/>
                <w:lang w:val="en-US" w:eastAsia="zh-CN" w:bidi="ar"/>
              </w:rPr>
              <w:t>550</w:t>
            </w:r>
          </w:p>
        </w:tc>
      </w:tr>
      <w:tr w14:paraId="3C794A5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00" w:hRule="atLeast"/>
        </w:trPr>
        <w:tc>
          <w:tcPr>
            <w:tcW w:w="15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F78D3E0">
            <w:pPr>
              <w:keepNext w:val="0"/>
              <w:keepLines w:val="0"/>
              <w:widowControl/>
              <w:suppressLineNumbers w:val="0"/>
              <w:overflowPunct/>
              <w:bidi w:val="0"/>
              <w:spacing w:line="240" w:lineRule="auto"/>
              <w:jc w:val="center"/>
              <w:textAlignment w:val="center"/>
              <w:outlineLvl w:val="9"/>
              <w:rPr>
                <w:rFonts w:hint="eastAsia" w:asciiTheme="minorEastAsia" w:hAnsiTheme="minorEastAsia" w:eastAsiaTheme="minorEastAsia" w:cstheme="minorEastAsia"/>
                <w:i w:val="0"/>
                <w:iCs w:val="0"/>
                <w:color w:val="000000"/>
                <w:sz w:val="18"/>
                <w:szCs w:val="18"/>
                <w:u w:val="none"/>
              </w:rPr>
            </w:pPr>
            <w:r>
              <w:rPr>
                <w:rFonts w:hint="eastAsia" w:asciiTheme="minorEastAsia" w:hAnsiTheme="minorEastAsia" w:eastAsiaTheme="minorEastAsia" w:cstheme="minorEastAsia"/>
                <w:i w:val="0"/>
                <w:iCs w:val="0"/>
                <w:color w:val="000000"/>
                <w:kern w:val="0"/>
                <w:sz w:val="18"/>
                <w:szCs w:val="18"/>
                <w:u w:val="none"/>
                <w:lang w:val="en-US" w:eastAsia="zh-CN" w:bidi="ar"/>
              </w:rPr>
              <w:t>智能LED黑板灯</w:t>
            </w:r>
          </w:p>
        </w:tc>
        <w:tc>
          <w:tcPr>
            <w:tcW w:w="577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B80A633">
            <w:pPr>
              <w:keepNext w:val="0"/>
              <w:keepLines w:val="0"/>
              <w:widowControl/>
              <w:suppressLineNumbers w:val="0"/>
              <w:overflowPunct/>
              <w:bidi w:val="0"/>
              <w:spacing w:line="240" w:lineRule="auto"/>
              <w:jc w:val="left"/>
              <w:textAlignment w:val="center"/>
              <w:outlineLvl w:val="9"/>
              <w:rPr>
                <w:rFonts w:hint="eastAsia" w:asciiTheme="minorEastAsia" w:hAnsiTheme="minorEastAsia" w:eastAsiaTheme="minorEastAsia" w:cstheme="minorEastAsia"/>
                <w:i w:val="0"/>
                <w:iCs w:val="0"/>
                <w:color w:val="000000"/>
                <w:sz w:val="18"/>
                <w:szCs w:val="18"/>
                <w:u w:val="none"/>
              </w:rPr>
            </w:pPr>
            <w:r>
              <w:rPr>
                <w:rFonts w:hint="eastAsia" w:asciiTheme="minorEastAsia" w:hAnsiTheme="minorEastAsia" w:eastAsiaTheme="minorEastAsia" w:cstheme="minorEastAsia"/>
                <w:i w:val="0"/>
                <w:iCs w:val="0"/>
                <w:color w:val="000000"/>
                <w:kern w:val="0"/>
                <w:sz w:val="18"/>
                <w:szCs w:val="18"/>
                <w:u w:val="none"/>
                <w:lang w:val="en-US" w:eastAsia="zh-CN" w:bidi="ar"/>
              </w:rPr>
              <w:t>1、LED黑板灯长度≥1220mm，为一体式电镀铝长方形格栅防眩灯具，小格栅尺寸长宽高17*27*8mm±1mm；采用一体式航空铝型材灯体，且灯体最小壁厚不低于0.65mm；为一体式挡光板设计，挡光板高度不低于50mm，能够有效遮挡眩光，能够使光线更集中分布在黑板表面，避免多余的光线入射到老师或学生的眼睛。</w:t>
            </w:r>
            <w:r>
              <w:rPr>
                <w:rFonts w:hint="eastAsia" w:asciiTheme="minorEastAsia" w:hAnsiTheme="minorEastAsia" w:eastAsiaTheme="minorEastAsia" w:cstheme="minorEastAsia"/>
                <w:i w:val="0"/>
                <w:iCs w:val="0"/>
                <w:color w:val="000000"/>
                <w:kern w:val="0"/>
                <w:sz w:val="18"/>
                <w:szCs w:val="18"/>
                <w:u w:val="none"/>
                <w:lang w:val="en-US" w:eastAsia="zh-CN" w:bidi="ar"/>
              </w:rPr>
              <w:br w:type="textWrapping"/>
            </w:r>
            <w:r>
              <w:rPr>
                <w:rFonts w:hint="eastAsia" w:asciiTheme="minorEastAsia" w:hAnsiTheme="minorEastAsia" w:eastAsiaTheme="minorEastAsia" w:cstheme="minorEastAsia"/>
                <w:i w:val="0"/>
                <w:iCs w:val="0"/>
                <w:color w:val="000000"/>
                <w:kern w:val="0"/>
                <w:sz w:val="18"/>
                <w:szCs w:val="18"/>
                <w:u w:val="none"/>
                <w:lang w:val="en-US" w:eastAsia="zh-CN" w:bidi="ar"/>
              </w:rPr>
              <w:t>2、LED黑板灯采用大尺寸外置驱动电源，器件散热性能好；驱动不可徒手拆卸，保证安全；驱动电源置于灯体上居中对称，保证吊装安全稳固。</w:t>
            </w:r>
            <w:r>
              <w:rPr>
                <w:rFonts w:hint="eastAsia" w:asciiTheme="minorEastAsia" w:hAnsiTheme="minorEastAsia" w:eastAsiaTheme="minorEastAsia" w:cstheme="minorEastAsia"/>
                <w:i w:val="0"/>
                <w:iCs w:val="0"/>
                <w:color w:val="000000"/>
                <w:kern w:val="0"/>
                <w:sz w:val="18"/>
                <w:szCs w:val="18"/>
                <w:u w:val="none"/>
                <w:lang w:val="en-US" w:eastAsia="zh-CN" w:bidi="ar"/>
              </w:rPr>
              <w:br w:type="textWrapping"/>
            </w:r>
            <w:r>
              <w:rPr>
                <w:rFonts w:hint="eastAsia" w:asciiTheme="minorEastAsia" w:hAnsiTheme="minorEastAsia" w:eastAsiaTheme="minorEastAsia" w:cstheme="minorEastAsia"/>
                <w:i w:val="0"/>
                <w:iCs w:val="0"/>
                <w:color w:val="000000"/>
                <w:kern w:val="0"/>
                <w:sz w:val="18"/>
                <w:szCs w:val="18"/>
                <w:u w:val="none"/>
                <w:lang w:val="en-US" w:eastAsia="zh-CN" w:bidi="ar"/>
              </w:rPr>
              <w:t>3、LED黑板灯色温（或相关色温）4300-5300K，显色指数Ra≥95、R9≥90，色容差≤5 SDCM。</w:t>
            </w:r>
            <w:r>
              <w:rPr>
                <w:rFonts w:hint="eastAsia" w:asciiTheme="minorEastAsia" w:hAnsiTheme="minorEastAsia" w:eastAsiaTheme="minorEastAsia" w:cstheme="minorEastAsia"/>
                <w:i w:val="0"/>
                <w:iCs w:val="0"/>
                <w:color w:val="000000"/>
                <w:kern w:val="0"/>
                <w:sz w:val="18"/>
                <w:szCs w:val="18"/>
                <w:u w:val="none"/>
                <w:lang w:val="en-US" w:eastAsia="zh-CN" w:bidi="ar"/>
              </w:rPr>
              <w:br w:type="textWrapping"/>
            </w:r>
            <w:r>
              <w:rPr>
                <w:rFonts w:hint="eastAsia" w:asciiTheme="minorEastAsia" w:hAnsiTheme="minorEastAsia" w:eastAsiaTheme="minorEastAsia" w:cstheme="minorEastAsia"/>
                <w:i w:val="0"/>
                <w:iCs w:val="0"/>
                <w:color w:val="000000"/>
                <w:kern w:val="0"/>
                <w:sz w:val="18"/>
                <w:szCs w:val="18"/>
                <w:u w:val="none"/>
                <w:lang w:val="en-US" w:eastAsia="zh-CN" w:bidi="ar"/>
              </w:rPr>
              <w:t>4、LED黑板灯通过人体电磁辐射测试。</w:t>
            </w:r>
            <w:r>
              <w:rPr>
                <w:rFonts w:hint="eastAsia" w:asciiTheme="minorEastAsia" w:hAnsiTheme="minorEastAsia" w:eastAsiaTheme="minorEastAsia" w:cstheme="minorEastAsia"/>
                <w:i w:val="0"/>
                <w:iCs w:val="0"/>
                <w:color w:val="000000"/>
                <w:kern w:val="0"/>
                <w:sz w:val="18"/>
                <w:szCs w:val="18"/>
                <w:u w:val="none"/>
                <w:lang w:val="en-US" w:eastAsia="zh-CN" w:bidi="ar"/>
              </w:rPr>
              <w:br w:type="textWrapping"/>
            </w:r>
            <w:r>
              <w:rPr>
                <w:rFonts w:hint="eastAsia" w:asciiTheme="minorEastAsia" w:hAnsiTheme="minorEastAsia" w:eastAsiaTheme="minorEastAsia" w:cstheme="minorEastAsia"/>
                <w:i w:val="0"/>
                <w:iCs w:val="0"/>
                <w:color w:val="000000"/>
                <w:kern w:val="0"/>
                <w:sz w:val="18"/>
                <w:szCs w:val="18"/>
                <w:u w:val="none"/>
                <w:lang w:val="en-US" w:eastAsia="zh-CN" w:bidi="ar"/>
              </w:rPr>
              <w:t>5、智能控制：无线组网和无线通讯；支持物联远程控制技术，如ZigBee无线组网等，支持室内情景面板调节，支持PC端等控制方式。场景控制器各场景模式的灯具亮度可根据实际需求调节，亮度设置范围0%~100%可调。根据教学场景配置≥4种默认场景模式，支持快速配置；场景快速切换，根据使用需求能够快速切换整体灯光照明状态，根据教学场景配置多种自定义场景模式。</w:t>
            </w:r>
            <w:r>
              <w:rPr>
                <w:rFonts w:hint="eastAsia" w:asciiTheme="minorEastAsia" w:hAnsiTheme="minorEastAsia" w:eastAsiaTheme="minorEastAsia" w:cstheme="minorEastAsia"/>
                <w:i w:val="0"/>
                <w:iCs w:val="0"/>
                <w:color w:val="000000"/>
                <w:kern w:val="0"/>
                <w:sz w:val="18"/>
                <w:szCs w:val="18"/>
                <w:u w:val="none"/>
                <w:lang w:val="en-US" w:eastAsia="zh-CN" w:bidi="ar"/>
              </w:rPr>
              <w:br w:type="textWrapping"/>
            </w:r>
            <w:r>
              <w:rPr>
                <w:rFonts w:hint="eastAsia" w:asciiTheme="minorEastAsia" w:hAnsiTheme="minorEastAsia" w:eastAsiaTheme="minorEastAsia" w:cstheme="minorEastAsia"/>
                <w:i w:val="0"/>
                <w:iCs w:val="0"/>
                <w:color w:val="000000"/>
                <w:kern w:val="0"/>
                <w:sz w:val="18"/>
                <w:szCs w:val="18"/>
                <w:u w:val="none"/>
                <w:lang w:val="en-US" w:eastAsia="zh-CN" w:bidi="ar"/>
              </w:rPr>
              <w:t xml:space="preserve">▲6、LED黑板灯额定功率≤40W，单颗光源功率≥1W，光源额定总功率是灯具额定功率的4.5倍或以上。 </w:t>
            </w:r>
            <w:r>
              <w:rPr>
                <w:rFonts w:hint="eastAsia" w:asciiTheme="minorEastAsia" w:hAnsiTheme="minorEastAsia" w:eastAsiaTheme="minorEastAsia" w:cstheme="minorEastAsia"/>
                <w:i w:val="0"/>
                <w:iCs w:val="0"/>
                <w:color w:val="000000"/>
                <w:kern w:val="0"/>
                <w:sz w:val="18"/>
                <w:szCs w:val="18"/>
                <w:u w:val="none"/>
                <w:lang w:val="en-US" w:eastAsia="zh-CN" w:bidi="ar"/>
              </w:rPr>
              <w:br w:type="textWrapping"/>
            </w:r>
            <w:r>
              <w:rPr>
                <w:rFonts w:hint="eastAsia" w:asciiTheme="minorEastAsia" w:hAnsiTheme="minorEastAsia" w:eastAsiaTheme="minorEastAsia" w:cstheme="minorEastAsia"/>
                <w:i w:val="0"/>
                <w:iCs w:val="0"/>
                <w:color w:val="000000"/>
                <w:kern w:val="0"/>
                <w:sz w:val="18"/>
                <w:szCs w:val="18"/>
                <w:u w:val="none"/>
                <w:lang w:val="en-US" w:eastAsia="zh-CN" w:bidi="ar"/>
              </w:rPr>
              <w:t>7、LED黑板灯至少依据《GB/T 26572》标准通过电器电子产品认证。</w:t>
            </w:r>
            <w:r>
              <w:rPr>
                <w:rFonts w:hint="eastAsia" w:asciiTheme="minorEastAsia" w:hAnsiTheme="minorEastAsia" w:eastAsiaTheme="minorEastAsia" w:cstheme="minorEastAsia"/>
                <w:i w:val="0"/>
                <w:iCs w:val="0"/>
                <w:color w:val="000000"/>
                <w:kern w:val="0"/>
                <w:sz w:val="18"/>
                <w:szCs w:val="18"/>
                <w:u w:val="none"/>
                <w:lang w:val="en-US" w:eastAsia="zh-CN" w:bidi="ar"/>
              </w:rPr>
              <w:br w:type="textWrapping"/>
            </w:r>
            <w:r>
              <w:rPr>
                <w:rFonts w:hint="eastAsia" w:asciiTheme="minorEastAsia" w:hAnsiTheme="minorEastAsia" w:eastAsiaTheme="minorEastAsia" w:cstheme="minorEastAsia"/>
                <w:i w:val="0"/>
                <w:iCs w:val="0"/>
                <w:color w:val="000000"/>
                <w:kern w:val="0"/>
                <w:sz w:val="18"/>
                <w:szCs w:val="18"/>
                <w:u w:val="none"/>
                <w:lang w:val="en-US" w:eastAsia="zh-CN" w:bidi="ar"/>
              </w:rPr>
              <w:t>8、LED黑板灯通过频闪无危害或无频闪危害或无显著影响认证。</w:t>
            </w:r>
            <w:r>
              <w:rPr>
                <w:rFonts w:hint="eastAsia" w:asciiTheme="minorEastAsia" w:hAnsiTheme="minorEastAsia" w:eastAsiaTheme="minorEastAsia" w:cstheme="minorEastAsia"/>
                <w:i w:val="0"/>
                <w:iCs w:val="0"/>
                <w:color w:val="000000"/>
                <w:kern w:val="0"/>
                <w:sz w:val="18"/>
                <w:szCs w:val="18"/>
                <w:u w:val="none"/>
                <w:lang w:val="en-US" w:eastAsia="zh-CN" w:bidi="ar"/>
              </w:rPr>
              <w:br w:type="textWrapping"/>
            </w:r>
            <w:r>
              <w:rPr>
                <w:rFonts w:hint="eastAsia" w:asciiTheme="minorEastAsia" w:hAnsiTheme="minorEastAsia" w:eastAsiaTheme="minorEastAsia" w:cstheme="minorEastAsia"/>
                <w:i w:val="0"/>
                <w:iCs w:val="0"/>
                <w:color w:val="000000"/>
                <w:kern w:val="0"/>
                <w:sz w:val="18"/>
                <w:szCs w:val="18"/>
                <w:u w:val="none"/>
                <w:lang w:val="en-US" w:eastAsia="zh-CN" w:bidi="ar"/>
              </w:rPr>
              <w:t>9、LED黑板灯蓝光危害等级为RG0（或0类危险）。</w:t>
            </w:r>
            <w:r>
              <w:rPr>
                <w:rFonts w:hint="eastAsia" w:asciiTheme="minorEastAsia" w:hAnsiTheme="minorEastAsia" w:eastAsiaTheme="minorEastAsia" w:cstheme="minorEastAsia"/>
                <w:i w:val="0"/>
                <w:iCs w:val="0"/>
                <w:color w:val="000000"/>
                <w:kern w:val="0"/>
                <w:sz w:val="18"/>
                <w:szCs w:val="18"/>
                <w:u w:val="none"/>
                <w:lang w:val="en-US" w:eastAsia="zh-CN" w:bidi="ar"/>
              </w:rPr>
              <w:br w:type="textWrapping"/>
            </w:r>
            <w:r>
              <w:rPr>
                <w:rFonts w:hint="eastAsia" w:asciiTheme="minorEastAsia" w:hAnsiTheme="minorEastAsia" w:eastAsiaTheme="minorEastAsia" w:cstheme="minorEastAsia"/>
                <w:i w:val="0"/>
                <w:iCs w:val="0"/>
                <w:color w:val="000000"/>
                <w:kern w:val="0"/>
                <w:sz w:val="18"/>
                <w:szCs w:val="18"/>
                <w:u w:val="none"/>
                <w:lang w:val="en-US" w:eastAsia="zh-CN" w:bidi="ar"/>
              </w:rPr>
              <w:t>▲10、LED黑板灯在大气压力≥100kPa，平均湿度≥50%RH、极值空气温度≤-25℃及相对温差≥34℃的实地自然环境条件下至少持续运行360小时，至少依据《GB/T18595》标准满足浪涌性能为C或以上等级。</w:t>
            </w:r>
            <w:r>
              <w:rPr>
                <w:rFonts w:hint="eastAsia" w:asciiTheme="minorEastAsia" w:hAnsiTheme="minorEastAsia" w:eastAsiaTheme="minorEastAsia" w:cstheme="minorEastAsia"/>
                <w:i w:val="0"/>
                <w:iCs w:val="0"/>
                <w:color w:val="000000"/>
                <w:kern w:val="0"/>
                <w:sz w:val="18"/>
                <w:szCs w:val="18"/>
                <w:u w:val="none"/>
                <w:lang w:val="en-US" w:eastAsia="zh-CN" w:bidi="ar"/>
              </w:rPr>
              <w:br w:type="textWrapping"/>
            </w:r>
            <w:r>
              <w:rPr>
                <w:rFonts w:hint="eastAsia" w:asciiTheme="minorEastAsia" w:hAnsiTheme="minorEastAsia" w:eastAsiaTheme="minorEastAsia" w:cstheme="minorEastAsia"/>
                <w:i w:val="0"/>
                <w:iCs w:val="0"/>
                <w:color w:val="000000"/>
                <w:kern w:val="0"/>
                <w:sz w:val="18"/>
                <w:szCs w:val="18"/>
                <w:u w:val="none"/>
                <w:lang w:val="en-US" w:eastAsia="zh-CN" w:bidi="ar"/>
              </w:rPr>
              <w:t>▲11、LED黑板灯在大气压力≥100kPa，平均湿度≥50%RH、极值空气温度≤-25℃及相对温差≥34℃的实地自然环境条件下至少持续运行360小时，至少依据《GB/T36979》满足空间颜色非均匀性△u’v’≤0.007。</w:t>
            </w:r>
            <w:r>
              <w:rPr>
                <w:rFonts w:hint="eastAsia" w:asciiTheme="minorEastAsia" w:hAnsiTheme="minorEastAsia" w:eastAsiaTheme="minorEastAsia" w:cstheme="minorEastAsia"/>
                <w:i w:val="0"/>
                <w:iCs w:val="0"/>
                <w:color w:val="000000"/>
                <w:kern w:val="0"/>
                <w:sz w:val="18"/>
                <w:szCs w:val="18"/>
                <w:u w:val="none"/>
                <w:lang w:val="en-US" w:eastAsia="zh-CN" w:bidi="ar"/>
              </w:rPr>
              <w:br w:type="textWrapping"/>
            </w:r>
            <w:r>
              <w:rPr>
                <w:rFonts w:hint="eastAsia" w:asciiTheme="minorEastAsia" w:hAnsiTheme="minorEastAsia" w:eastAsiaTheme="minorEastAsia" w:cstheme="minorEastAsia"/>
                <w:i w:val="0"/>
                <w:iCs w:val="0"/>
                <w:color w:val="000000"/>
                <w:kern w:val="0"/>
                <w:sz w:val="18"/>
                <w:szCs w:val="18"/>
                <w:u w:val="none"/>
                <w:lang w:val="en-US" w:eastAsia="zh-CN" w:bidi="ar"/>
              </w:rPr>
              <w:t>▲12、LED黑板灯在大气压力≥100kPa，平均湿度≥50%RH、极值空气温度≤-25℃及相对温差≥34℃的实地自然环境条件下至少持续运行360小时，至少依据《GB/T9468》标准满足光束角C0-C180及C90-C270的实测值与初始值偏差均不超过±10%。</w:t>
            </w:r>
            <w:r>
              <w:rPr>
                <w:rFonts w:hint="eastAsia" w:asciiTheme="minorEastAsia" w:hAnsiTheme="minorEastAsia" w:eastAsiaTheme="minorEastAsia" w:cstheme="minorEastAsia"/>
                <w:i w:val="0"/>
                <w:iCs w:val="0"/>
                <w:color w:val="000000"/>
                <w:kern w:val="0"/>
                <w:sz w:val="18"/>
                <w:szCs w:val="18"/>
                <w:u w:val="none"/>
                <w:lang w:val="en-US" w:eastAsia="zh-CN" w:bidi="ar"/>
              </w:rPr>
              <w:br w:type="textWrapping"/>
            </w:r>
            <w:r>
              <w:rPr>
                <w:rFonts w:hint="eastAsia" w:asciiTheme="minorEastAsia" w:hAnsiTheme="minorEastAsia" w:eastAsiaTheme="minorEastAsia" w:cstheme="minorEastAsia"/>
                <w:i w:val="0"/>
                <w:iCs w:val="0"/>
                <w:color w:val="000000"/>
                <w:kern w:val="0"/>
                <w:sz w:val="18"/>
                <w:szCs w:val="18"/>
                <w:u w:val="none"/>
                <w:lang w:val="en-US" w:eastAsia="zh-CN" w:bidi="ar"/>
              </w:rPr>
              <w:t>▲13、LED黑板灯在大气压力≥100kPa，平均湿度≥50%RH、极值空气温度≤-25℃及相对温差≥34℃的实地自然环境条件下至少持续运行360小时，至少依据《GB/T31897.201》标准满足光效的实测值与初始值的偏差不超过-10%。</w:t>
            </w:r>
            <w:r>
              <w:rPr>
                <w:rFonts w:hint="eastAsia" w:asciiTheme="minorEastAsia" w:hAnsiTheme="minorEastAsia" w:eastAsiaTheme="minorEastAsia" w:cstheme="minorEastAsia"/>
                <w:i w:val="0"/>
                <w:iCs w:val="0"/>
                <w:color w:val="000000"/>
                <w:kern w:val="0"/>
                <w:sz w:val="18"/>
                <w:szCs w:val="18"/>
                <w:u w:val="none"/>
                <w:lang w:val="en-US" w:eastAsia="zh-CN" w:bidi="ar"/>
              </w:rPr>
              <w:br w:type="textWrapping"/>
            </w:r>
            <w:r>
              <w:rPr>
                <w:rFonts w:hint="eastAsia" w:asciiTheme="minorEastAsia" w:hAnsiTheme="minorEastAsia" w:eastAsiaTheme="minorEastAsia" w:cstheme="minorEastAsia"/>
                <w:i w:val="0"/>
                <w:iCs w:val="0"/>
                <w:color w:val="000000"/>
                <w:kern w:val="0"/>
                <w:sz w:val="18"/>
                <w:szCs w:val="18"/>
                <w:u w:val="none"/>
                <w:lang w:val="en-US" w:eastAsia="zh-CN" w:bidi="ar"/>
              </w:rPr>
              <w:t>▲14、LED黑板灯在大气压力≥100kPa，平均湿度≥50%RH、极值空气温度≤-25℃及相对温差≥34℃的实地自然环境条件下至少持续运行360小时，至少依据《GB/T6882》标准满足噪声＜17dB（A）。</w:t>
            </w:r>
            <w:r>
              <w:rPr>
                <w:rFonts w:hint="eastAsia" w:asciiTheme="minorEastAsia" w:hAnsiTheme="minorEastAsia" w:eastAsiaTheme="minorEastAsia" w:cstheme="minorEastAsia"/>
                <w:i w:val="0"/>
                <w:iCs w:val="0"/>
                <w:color w:val="000000"/>
                <w:kern w:val="0"/>
                <w:sz w:val="18"/>
                <w:szCs w:val="18"/>
                <w:u w:val="none"/>
                <w:lang w:val="en-US" w:eastAsia="zh-CN" w:bidi="ar"/>
              </w:rPr>
              <w:br w:type="textWrapping"/>
            </w:r>
            <w:r>
              <w:rPr>
                <w:rFonts w:hint="eastAsia" w:asciiTheme="minorEastAsia" w:hAnsiTheme="minorEastAsia" w:eastAsiaTheme="minorEastAsia" w:cstheme="minorEastAsia"/>
                <w:i w:val="0"/>
                <w:iCs w:val="0"/>
                <w:color w:val="000000"/>
                <w:kern w:val="0"/>
                <w:sz w:val="18"/>
                <w:szCs w:val="18"/>
                <w:u w:val="none"/>
                <w:lang w:val="en-US" w:eastAsia="zh-CN" w:bidi="ar"/>
              </w:rPr>
              <w:t>15、LED黑板灯通过教室照明灯具性能认证。</w:t>
            </w:r>
            <w:r>
              <w:rPr>
                <w:rFonts w:hint="eastAsia" w:asciiTheme="minorEastAsia" w:hAnsiTheme="minorEastAsia" w:eastAsiaTheme="minorEastAsia" w:cstheme="minorEastAsia"/>
                <w:i w:val="0"/>
                <w:iCs w:val="0"/>
                <w:color w:val="000000"/>
                <w:kern w:val="0"/>
                <w:sz w:val="18"/>
                <w:szCs w:val="18"/>
                <w:u w:val="none"/>
                <w:lang w:val="en-US" w:eastAsia="zh-CN" w:bidi="ar"/>
              </w:rPr>
              <w:br w:type="textWrapping"/>
            </w:r>
            <w:r>
              <w:rPr>
                <w:rFonts w:hint="eastAsia" w:asciiTheme="minorEastAsia" w:hAnsiTheme="minorEastAsia" w:eastAsiaTheme="minorEastAsia" w:cstheme="minorEastAsia"/>
                <w:i w:val="0"/>
                <w:iCs w:val="0"/>
                <w:color w:val="000000"/>
                <w:kern w:val="0"/>
                <w:sz w:val="18"/>
                <w:szCs w:val="18"/>
                <w:u w:val="none"/>
                <w:lang w:val="en-US" w:eastAsia="zh-CN" w:bidi="ar"/>
              </w:rPr>
              <w:t>16、LED黑板灯至少依据《GB/T33721》标准满足光通维持寿命≥50000小时。</w:t>
            </w:r>
          </w:p>
        </w:tc>
        <w:tc>
          <w:tcPr>
            <w:tcW w:w="55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B55659C">
            <w:pPr>
              <w:keepNext w:val="0"/>
              <w:keepLines w:val="0"/>
              <w:widowControl/>
              <w:suppressLineNumbers w:val="0"/>
              <w:overflowPunct/>
              <w:bidi w:val="0"/>
              <w:spacing w:line="240" w:lineRule="auto"/>
              <w:jc w:val="center"/>
              <w:textAlignment w:val="center"/>
              <w:outlineLvl w:val="9"/>
              <w:rPr>
                <w:rFonts w:hint="eastAsia" w:asciiTheme="minorEastAsia" w:hAnsiTheme="minorEastAsia" w:eastAsiaTheme="minorEastAsia" w:cstheme="minorEastAsia"/>
                <w:i w:val="0"/>
                <w:iCs w:val="0"/>
                <w:color w:val="000000"/>
                <w:sz w:val="18"/>
                <w:szCs w:val="18"/>
                <w:u w:val="none"/>
              </w:rPr>
            </w:pPr>
            <w:r>
              <w:rPr>
                <w:rFonts w:hint="eastAsia" w:asciiTheme="minorEastAsia" w:hAnsiTheme="minorEastAsia" w:eastAsiaTheme="minorEastAsia" w:cstheme="minorEastAsia"/>
                <w:i w:val="0"/>
                <w:iCs w:val="0"/>
                <w:color w:val="000000"/>
                <w:kern w:val="0"/>
                <w:sz w:val="18"/>
                <w:szCs w:val="18"/>
                <w:u w:val="none"/>
                <w:lang w:val="en-US" w:eastAsia="zh-CN" w:bidi="ar"/>
              </w:rPr>
              <w:t>318</w:t>
            </w:r>
          </w:p>
        </w:tc>
        <w:tc>
          <w:tcPr>
            <w:tcW w:w="51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66A1CB7">
            <w:pPr>
              <w:keepNext w:val="0"/>
              <w:keepLines w:val="0"/>
              <w:widowControl/>
              <w:suppressLineNumbers w:val="0"/>
              <w:overflowPunct/>
              <w:bidi w:val="0"/>
              <w:spacing w:line="240" w:lineRule="auto"/>
              <w:jc w:val="center"/>
              <w:textAlignment w:val="center"/>
              <w:outlineLvl w:val="9"/>
              <w:rPr>
                <w:rFonts w:hint="eastAsia" w:asciiTheme="minorEastAsia" w:hAnsiTheme="minorEastAsia" w:eastAsiaTheme="minorEastAsia" w:cstheme="minorEastAsia"/>
                <w:i w:val="0"/>
                <w:iCs w:val="0"/>
                <w:color w:val="000000"/>
                <w:sz w:val="18"/>
                <w:szCs w:val="18"/>
                <w:u w:val="none"/>
              </w:rPr>
            </w:pPr>
            <w:r>
              <w:rPr>
                <w:rFonts w:hint="eastAsia" w:asciiTheme="minorEastAsia" w:hAnsiTheme="minorEastAsia" w:eastAsiaTheme="minorEastAsia" w:cstheme="minorEastAsia"/>
                <w:i w:val="0"/>
                <w:iCs w:val="0"/>
                <w:color w:val="000000"/>
                <w:kern w:val="0"/>
                <w:sz w:val="18"/>
                <w:szCs w:val="18"/>
                <w:u w:val="none"/>
                <w:lang w:val="en-US" w:eastAsia="zh-CN" w:bidi="ar"/>
              </w:rPr>
              <w:t>盏</w:t>
            </w:r>
          </w:p>
        </w:tc>
        <w:tc>
          <w:tcPr>
            <w:tcW w:w="81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BB2537B">
            <w:pPr>
              <w:keepNext w:val="0"/>
              <w:keepLines w:val="0"/>
              <w:widowControl/>
              <w:suppressLineNumbers w:val="0"/>
              <w:overflowPunct/>
              <w:bidi w:val="0"/>
              <w:spacing w:line="240" w:lineRule="auto"/>
              <w:jc w:val="right"/>
              <w:textAlignment w:val="center"/>
              <w:outlineLvl w:val="9"/>
              <w:rPr>
                <w:rFonts w:hint="eastAsia" w:asciiTheme="minorEastAsia" w:hAnsiTheme="minorEastAsia" w:eastAsiaTheme="minorEastAsia" w:cstheme="minorEastAsia"/>
                <w:i w:val="0"/>
                <w:iCs w:val="0"/>
                <w:color w:val="000000"/>
                <w:sz w:val="18"/>
                <w:szCs w:val="18"/>
                <w:u w:val="none"/>
              </w:rPr>
            </w:pPr>
            <w:r>
              <w:rPr>
                <w:rFonts w:hint="eastAsia" w:asciiTheme="minorEastAsia" w:hAnsiTheme="minorEastAsia" w:eastAsiaTheme="minorEastAsia" w:cstheme="minorEastAsia"/>
                <w:i w:val="0"/>
                <w:iCs w:val="0"/>
                <w:color w:val="000000"/>
                <w:kern w:val="0"/>
                <w:sz w:val="18"/>
                <w:szCs w:val="18"/>
                <w:u w:val="none"/>
                <w:lang w:val="en-US" w:eastAsia="zh-CN" w:bidi="ar"/>
              </w:rPr>
              <w:t>520</w:t>
            </w:r>
          </w:p>
        </w:tc>
      </w:tr>
      <w:tr w14:paraId="25B23ED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00" w:hRule="atLeast"/>
        </w:trPr>
        <w:tc>
          <w:tcPr>
            <w:tcW w:w="15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DD39FAC">
            <w:pPr>
              <w:keepNext w:val="0"/>
              <w:keepLines w:val="0"/>
              <w:widowControl/>
              <w:suppressLineNumbers w:val="0"/>
              <w:overflowPunct/>
              <w:bidi w:val="0"/>
              <w:spacing w:line="240" w:lineRule="auto"/>
              <w:jc w:val="center"/>
              <w:textAlignment w:val="center"/>
              <w:outlineLvl w:val="9"/>
              <w:rPr>
                <w:rFonts w:hint="eastAsia" w:asciiTheme="minorEastAsia" w:hAnsiTheme="minorEastAsia" w:eastAsiaTheme="minorEastAsia" w:cstheme="minorEastAsia"/>
                <w:i w:val="0"/>
                <w:iCs w:val="0"/>
                <w:color w:val="000000"/>
                <w:sz w:val="18"/>
                <w:szCs w:val="18"/>
                <w:u w:val="none"/>
              </w:rPr>
            </w:pPr>
            <w:r>
              <w:rPr>
                <w:rFonts w:hint="eastAsia" w:asciiTheme="minorEastAsia" w:hAnsiTheme="minorEastAsia" w:eastAsiaTheme="minorEastAsia" w:cstheme="minorEastAsia"/>
                <w:i w:val="0"/>
                <w:iCs w:val="0"/>
                <w:color w:val="000000"/>
                <w:kern w:val="0"/>
                <w:sz w:val="18"/>
                <w:szCs w:val="18"/>
                <w:u w:val="none"/>
                <w:lang w:val="en-US" w:eastAsia="zh-CN" w:bidi="ar"/>
              </w:rPr>
              <w:t>智能LED教室灯1</w:t>
            </w:r>
          </w:p>
        </w:tc>
        <w:tc>
          <w:tcPr>
            <w:tcW w:w="577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D2623DB">
            <w:pPr>
              <w:keepNext w:val="0"/>
              <w:keepLines w:val="0"/>
              <w:widowControl/>
              <w:suppressLineNumbers w:val="0"/>
              <w:overflowPunct/>
              <w:bidi w:val="0"/>
              <w:spacing w:line="240" w:lineRule="auto"/>
              <w:jc w:val="left"/>
              <w:textAlignment w:val="center"/>
              <w:outlineLvl w:val="9"/>
              <w:rPr>
                <w:rFonts w:hint="eastAsia" w:asciiTheme="minorEastAsia" w:hAnsiTheme="minorEastAsia" w:eastAsiaTheme="minorEastAsia" w:cstheme="minorEastAsia"/>
                <w:i w:val="0"/>
                <w:iCs w:val="0"/>
                <w:color w:val="000000"/>
                <w:sz w:val="18"/>
                <w:szCs w:val="18"/>
                <w:u w:val="none"/>
              </w:rPr>
            </w:pPr>
            <w:r>
              <w:rPr>
                <w:rFonts w:hint="eastAsia" w:asciiTheme="minorEastAsia" w:hAnsiTheme="minorEastAsia" w:eastAsiaTheme="minorEastAsia" w:cstheme="minorEastAsia"/>
                <w:i w:val="0"/>
                <w:iCs w:val="0"/>
                <w:color w:val="000000"/>
                <w:kern w:val="0"/>
                <w:sz w:val="18"/>
                <w:szCs w:val="18"/>
                <w:u w:val="none"/>
                <w:lang w:val="en-US" w:eastAsia="zh-CN" w:bidi="ar"/>
              </w:rPr>
              <w:t>1、LED教室灯尺寸长宽1200*300±10mm；为一体式侧发光微晶防眩面板灯，采用长短边结合的棱锥体防眩微晶防眩设计，防眩效果好，长时间使用不变形；采用高性能光学板材辊压成型；至少有3种光学材料组成，包含反射纸，导光板，和微晶防眩板等，灯体表面发光均匀，无暗影。</w:t>
            </w:r>
            <w:r>
              <w:rPr>
                <w:rFonts w:hint="eastAsia" w:asciiTheme="minorEastAsia" w:hAnsiTheme="minorEastAsia" w:eastAsiaTheme="minorEastAsia" w:cstheme="minorEastAsia"/>
                <w:i w:val="0"/>
                <w:iCs w:val="0"/>
                <w:color w:val="000000"/>
                <w:kern w:val="0"/>
                <w:sz w:val="18"/>
                <w:szCs w:val="18"/>
                <w:u w:val="none"/>
                <w:lang w:val="en-US" w:eastAsia="zh-CN" w:bidi="ar"/>
              </w:rPr>
              <w:br w:type="textWrapping"/>
            </w:r>
            <w:r>
              <w:rPr>
                <w:rFonts w:hint="eastAsia" w:asciiTheme="minorEastAsia" w:hAnsiTheme="minorEastAsia" w:eastAsiaTheme="minorEastAsia" w:cstheme="minorEastAsia"/>
                <w:i w:val="0"/>
                <w:iCs w:val="0"/>
                <w:color w:val="000000"/>
                <w:kern w:val="0"/>
                <w:sz w:val="18"/>
                <w:szCs w:val="18"/>
                <w:u w:val="none"/>
                <w:lang w:val="en-US" w:eastAsia="zh-CN" w:bidi="ar"/>
              </w:rPr>
              <w:t>2、LED教室灯铝基板光源模组采用插槽方式固定于灯体，灯条和散热体均匀接触，保证灯体更好散热，延长使用寿命；吊架固定在灯体边框上面，单个支架的固定点≥4个，长时间使用无掉落的安全隐患。</w:t>
            </w:r>
            <w:r>
              <w:rPr>
                <w:rFonts w:hint="eastAsia" w:asciiTheme="minorEastAsia" w:hAnsiTheme="minorEastAsia" w:eastAsiaTheme="minorEastAsia" w:cstheme="minorEastAsia"/>
                <w:i w:val="0"/>
                <w:iCs w:val="0"/>
                <w:color w:val="000000"/>
                <w:kern w:val="0"/>
                <w:sz w:val="18"/>
                <w:szCs w:val="18"/>
                <w:u w:val="none"/>
                <w:lang w:val="en-US" w:eastAsia="zh-CN" w:bidi="ar"/>
              </w:rPr>
              <w:br w:type="textWrapping"/>
            </w:r>
            <w:r>
              <w:rPr>
                <w:rFonts w:hint="eastAsia" w:asciiTheme="minorEastAsia" w:hAnsiTheme="minorEastAsia" w:eastAsiaTheme="minorEastAsia" w:cstheme="minorEastAsia"/>
                <w:i w:val="0"/>
                <w:iCs w:val="0"/>
                <w:color w:val="000000"/>
                <w:kern w:val="0"/>
                <w:sz w:val="18"/>
                <w:szCs w:val="18"/>
                <w:u w:val="none"/>
                <w:lang w:val="en-US" w:eastAsia="zh-CN" w:bidi="ar"/>
              </w:rPr>
              <w:t>3、LED教室灯色温（或相关色温）4300-5300K，显色指数Ra≥95、R9≥90，色容差≤5 SDCM。</w:t>
            </w:r>
            <w:r>
              <w:rPr>
                <w:rFonts w:hint="eastAsia" w:asciiTheme="minorEastAsia" w:hAnsiTheme="minorEastAsia" w:eastAsiaTheme="minorEastAsia" w:cstheme="minorEastAsia"/>
                <w:i w:val="0"/>
                <w:iCs w:val="0"/>
                <w:color w:val="000000"/>
                <w:kern w:val="0"/>
                <w:sz w:val="18"/>
                <w:szCs w:val="18"/>
                <w:u w:val="none"/>
                <w:lang w:val="en-US" w:eastAsia="zh-CN" w:bidi="ar"/>
              </w:rPr>
              <w:br w:type="textWrapping"/>
            </w:r>
            <w:r>
              <w:rPr>
                <w:rFonts w:hint="eastAsia" w:asciiTheme="minorEastAsia" w:hAnsiTheme="minorEastAsia" w:eastAsiaTheme="minorEastAsia" w:cstheme="minorEastAsia"/>
                <w:i w:val="0"/>
                <w:iCs w:val="0"/>
                <w:color w:val="000000"/>
                <w:kern w:val="0"/>
                <w:sz w:val="18"/>
                <w:szCs w:val="18"/>
                <w:u w:val="none"/>
                <w:lang w:val="en-US" w:eastAsia="zh-CN" w:bidi="ar"/>
              </w:rPr>
              <w:t>4、LED教室灯至少依据《GB/T 31275》及《GB/T 17743》标准通过人体电磁辐射测试，且灯具电源端传导骚扰电压（或电源接口骚扰电压）、辐射骚扰、感应电流密度检测结果皆为合格（或通过或符合或判定为P）。</w:t>
            </w:r>
            <w:r>
              <w:rPr>
                <w:rFonts w:hint="eastAsia" w:asciiTheme="minorEastAsia" w:hAnsiTheme="minorEastAsia" w:eastAsiaTheme="minorEastAsia" w:cstheme="minorEastAsia"/>
                <w:i w:val="0"/>
                <w:iCs w:val="0"/>
                <w:color w:val="000000"/>
                <w:kern w:val="0"/>
                <w:sz w:val="18"/>
                <w:szCs w:val="18"/>
                <w:u w:val="none"/>
                <w:lang w:val="en-US" w:eastAsia="zh-CN" w:bidi="ar"/>
              </w:rPr>
              <w:br w:type="textWrapping"/>
            </w:r>
            <w:r>
              <w:rPr>
                <w:rFonts w:hint="eastAsia" w:asciiTheme="minorEastAsia" w:hAnsiTheme="minorEastAsia" w:eastAsiaTheme="minorEastAsia" w:cstheme="minorEastAsia"/>
                <w:i w:val="0"/>
                <w:iCs w:val="0"/>
                <w:color w:val="000000"/>
                <w:kern w:val="0"/>
                <w:sz w:val="18"/>
                <w:szCs w:val="18"/>
                <w:u w:val="none"/>
                <w:lang w:val="en-US" w:eastAsia="zh-CN" w:bidi="ar"/>
              </w:rPr>
              <w:t xml:space="preserve">▲5、智能控制：无线组网和无线通讯；支持物联远程控制技术，如ZigBee无线组网等，支持室内情景面板调节，支持PC端等控制方式。场景控制器各场景模式的灯具亮度可根据实际需求调节，亮度设置范围0%~100%可调。根据教学场景配置≥4种默认场景模式，支持快速配置；场景快速切换，根据使用需求能够快速切换整体灯光照明状态，根据教学场景配置多种自定义场景模式。支持恒照度调光功能，支持集成安装恒照度模块，环境光发生变化时，每盏灯根据环境的变化，自动调光；功能开启后，设备能够根据检测到的照度值进行自动调节，功能关闭后，设备不再自动调光。 </w:t>
            </w:r>
            <w:r>
              <w:rPr>
                <w:rFonts w:hint="eastAsia" w:asciiTheme="minorEastAsia" w:hAnsiTheme="minorEastAsia" w:eastAsiaTheme="minorEastAsia" w:cstheme="minorEastAsia"/>
                <w:i w:val="0"/>
                <w:iCs w:val="0"/>
                <w:color w:val="000000"/>
                <w:kern w:val="0"/>
                <w:sz w:val="18"/>
                <w:szCs w:val="18"/>
                <w:u w:val="none"/>
                <w:lang w:val="en-US" w:eastAsia="zh-CN" w:bidi="ar"/>
              </w:rPr>
              <w:br w:type="textWrapping"/>
            </w:r>
            <w:r>
              <w:rPr>
                <w:rFonts w:hint="eastAsia" w:asciiTheme="minorEastAsia" w:hAnsiTheme="minorEastAsia" w:eastAsiaTheme="minorEastAsia" w:cstheme="minorEastAsia"/>
                <w:i w:val="0"/>
                <w:iCs w:val="0"/>
                <w:color w:val="000000"/>
                <w:kern w:val="0"/>
                <w:sz w:val="18"/>
                <w:szCs w:val="18"/>
                <w:u w:val="none"/>
                <w:lang w:val="en-US" w:eastAsia="zh-CN" w:bidi="ar"/>
              </w:rPr>
              <w:t xml:space="preserve">6、LED教室灯额定功率≤40W，单颗光源功率≥1W，光源额定总功率是灯具额定功率的3.5倍或以上。 </w:t>
            </w:r>
            <w:r>
              <w:rPr>
                <w:rFonts w:hint="eastAsia" w:asciiTheme="minorEastAsia" w:hAnsiTheme="minorEastAsia" w:eastAsiaTheme="minorEastAsia" w:cstheme="minorEastAsia"/>
                <w:i w:val="0"/>
                <w:iCs w:val="0"/>
                <w:color w:val="000000"/>
                <w:kern w:val="0"/>
                <w:sz w:val="18"/>
                <w:szCs w:val="18"/>
                <w:u w:val="none"/>
                <w:lang w:val="en-US" w:eastAsia="zh-CN" w:bidi="ar"/>
              </w:rPr>
              <w:br w:type="textWrapping"/>
            </w:r>
            <w:r>
              <w:rPr>
                <w:rFonts w:hint="eastAsia" w:asciiTheme="minorEastAsia" w:hAnsiTheme="minorEastAsia" w:eastAsiaTheme="minorEastAsia" w:cstheme="minorEastAsia"/>
                <w:i w:val="0"/>
                <w:iCs w:val="0"/>
                <w:color w:val="000000"/>
                <w:kern w:val="0"/>
                <w:sz w:val="18"/>
                <w:szCs w:val="18"/>
                <w:u w:val="none"/>
                <w:lang w:val="en-US" w:eastAsia="zh-CN" w:bidi="ar"/>
              </w:rPr>
              <w:t>7、LED教室灯至少依据《GB/T 26572》标准通过电器电子产品认证。</w:t>
            </w:r>
            <w:r>
              <w:rPr>
                <w:rFonts w:hint="eastAsia" w:asciiTheme="minorEastAsia" w:hAnsiTheme="minorEastAsia" w:eastAsiaTheme="minorEastAsia" w:cstheme="minorEastAsia"/>
                <w:i w:val="0"/>
                <w:iCs w:val="0"/>
                <w:color w:val="000000"/>
                <w:kern w:val="0"/>
                <w:sz w:val="18"/>
                <w:szCs w:val="18"/>
                <w:u w:val="none"/>
                <w:lang w:val="en-US" w:eastAsia="zh-CN" w:bidi="ar"/>
              </w:rPr>
              <w:br w:type="textWrapping"/>
            </w:r>
            <w:r>
              <w:rPr>
                <w:rFonts w:hint="eastAsia" w:asciiTheme="minorEastAsia" w:hAnsiTheme="minorEastAsia" w:eastAsiaTheme="minorEastAsia" w:cstheme="minorEastAsia"/>
                <w:i w:val="0"/>
                <w:iCs w:val="0"/>
                <w:color w:val="000000"/>
                <w:kern w:val="0"/>
                <w:sz w:val="18"/>
                <w:szCs w:val="18"/>
                <w:u w:val="none"/>
                <w:lang w:val="en-US" w:eastAsia="zh-CN" w:bidi="ar"/>
              </w:rPr>
              <w:t>8、LED教室灯通过频闪无危害或无频闪危害或无显著影响认证。</w:t>
            </w:r>
            <w:r>
              <w:rPr>
                <w:rFonts w:hint="eastAsia" w:asciiTheme="minorEastAsia" w:hAnsiTheme="minorEastAsia" w:eastAsiaTheme="minorEastAsia" w:cstheme="minorEastAsia"/>
                <w:i w:val="0"/>
                <w:iCs w:val="0"/>
                <w:color w:val="000000"/>
                <w:kern w:val="0"/>
                <w:sz w:val="18"/>
                <w:szCs w:val="18"/>
                <w:u w:val="none"/>
                <w:lang w:val="en-US" w:eastAsia="zh-CN" w:bidi="ar"/>
              </w:rPr>
              <w:br w:type="textWrapping"/>
            </w:r>
            <w:r>
              <w:rPr>
                <w:rFonts w:hint="eastAsia" w:asciiTheme="minorEastAsia" w:hAnsiTheme="minorEastAsia" w:eastAsiaTheme="minorEastAsia" w:cstheme="minorEastAsia"/>
                <w:i w:val="0"/>
                <w:iCs w:val="0"/>
                <w:color w:val="000000"/>
                <w:kern w:val="0"/>
                <w:sz w:val="18"/>
                <w:szCs w:val="18"/>
                <w:u w:val="none"/>
                <w:lang w:val="en-US" w:eastAsia="zh-CN" w:bidi="ar"/>
              </w:rPr>
              <w:t>9、LED教室灯蓝光危害等级为RG0（或0类危险）。</w:t>
            </w:r>
            <w:r>
              <w:rPr>
                <w:rFonts w:hint="eastAsia" w:asciiTheme="minorEastAsia" w:hAnsiTheme="minorEastAsia" w:eastAsiaTheme="minorEastAsia" w:cstheme="minorEastAsia"/>
                <w:i w:val="0"/>
                <w:iCs w:val="0"/>
                <w:color w:val="000000"/>
                <w:kern w:val="0"/>
                <w:sz w:val="18"/>
                <w:szCs w:val="18"/>
                <w:u w:val="none"/>
                <w:lang w:val="en-US" w:eastAsia="zh-CN" w:bidi="ar"/>
              </w:rPr>
              <w:br w:type="textWrapping"/>
            </w:r>
            <w:r>
              <w:rPr>
                <w:rFonts w:hint="eastAsia" w:asciiTheme="minorEastAsia" w:hAnsiTheme="minorEastAsia" w:eastAsiaTheme="minorEastAsia" w:cstheme="minorEastAsia"/>
                <w:i w:val="0"/>
                <w:iCs w:val="0"/>
                <w:color w:val="000000"/>
                <w:kern w:val="0"/>
                <w:sz w:val="18"/>
                <w:szCs w:val="18"/>
                <w:u w:val="none"/>
                <w:lang w:val="en-US" w:eastAsia="zh-CN" w:bidi="ar"/>
              </w:rPr>
              <w:t>▲10、LED教室灯在大气压力≥100kPa，平均湿度≥50%RH、极值空气温度≤-25℃及相对温差≥34℃的实地自然环境条件下至少持续运行360小时，至少依据《GB/T18595》标准满足浪涌性能为C或以上等级。</w:t>
            </w:r>
            <w:r>
              <w:rPr>
                <w:rFonts w:hint="eastAsia" w:asciiTheme="minorEastAsia" w:hAnsiTheme="minorEastAsia" w:eastAsiaTheme="minorEastAsia" w:cstheme="minorEastAsia"/>
                <w:i w:val="0"/>
                <w:iCs w:val="0"/>
                <w:color w:val="000000"/>
                <w:kern w:val="0"/>
                <w:sz w:val="18"/>
                <w:szCs w:val="18"/>
                <w:u w:val="none"/>
                <w:lang w:val="en-US" w:eastAsia="zh-CN" w:bidi="ar"/>
              </w:rPr>
              <w:br w:type="textWrapping"/>
            </w:r>
            <w:r>
              <w:rPr>
                <w:rFonts w:hint="eastAsia" w:asciiTheme="minorEastAsia" w:hAnsiTheme="minorEastAsia" w:eastAsiaTheme="minorEastAsia" w:cstheme="minorEastAsia"/>
                <w:i w:val="0"/>
                <w:iCs w:val="0"/>
                <w:color w:val="000000"/>
                <w:kern w:val="0"/>
                <w:sz w:val="18"/>
                <w:szCs w:val="18"/>
                <w:u w:val="none"/>
                <w:lang w:val="en-US" w:eastAsia="zh-CN" w:bidi="ar"/>
              </w:rPr>
              <w:t>▲11、LED教室灯在大气压力≥100kPa，平均湿度≥50%RH、极值空气温度≤-25℃及相对温差≥34℃的实地自然环境条件下至少持续运行360小时，至少依据《GB/T36979》满足空间颜色非均匀性△u’v’≤0.007。</w:t>
            </w:r>
            <w:r>
              <w:rPr>
                <w:rFonts w:hint="eastAsia" w:asciiTheme="minorEastAsia" w:hAnsiTheme="minorEastAsia" w:eastAsiaTheme="minorEastAsia" w:cstheme="minorEastAsia"/>
                <w:i w:val="0"/>
                <w:iCs w:val="0"/>
                <w:color w:val="000000"/>
                <w:kern w:val="0"/>
                <w:sz w:val="18"/>
                <w:szCs w:val="18"/>
                <w:u w:val="none"/>
                <w:lang w:val="en-US" w:eastAsia="zh-CN" w:bidi="ar"/>
              </w:rPr>
              <w:br w:type="textWrapping"/>
            </w:r>
            <w:r>
              <w:rPr>
                <w:rFonts w:hint="eastAsia" w:asciiTheme="minorEastAsia" w:hAnsiTheme="minorEastAsia" w:eastAsiaTheme="minorEastAsia" w:cstheme="minorEastAsia"/>
                <w:i w:val="0"/>
                <w:iCs w:val="0"/>
                <w:color w:val="000000"/>
                <w:kern w:val="0"/>
                <w:sz w:val="18"/>
                <w:szCs w:val="18"/>
                <w:u w:val="none"/>
                <w:lang w:val="en-US" w:eastAsia="zh-CN" w:bidi="ar"/>
              </w:rPr>
              <w:t>▲12、LED教室灯在大气压力≥100kPa，平均湿度≥50%RH、极值空气温度≤-25℃及相对温差≥34℃的实地自然环境条件下至少持续运行360小时，至少依据《GB/T9468》标准满足光束角C0-C180及C90-C270的实测值与初始值偏差均不超过±10%。</w:t>
            </w:r>
            <w:r>
              <w:rPr>
                <w:rFonts w:hint="eastAsia" w:asciiTheme="minorEastAsia" w:hAnsiTheme="minorEastAsia" w:eastAsiaTheme="minorEastAsia" w:cstheme="minorEastAsia"/>
                <w:i w:val="0"/>
                <w:iCs w:val="0"/>
                <w:color w:val="000000"/>
                <w:kern w:val="0"/>
                <w:sz w:val="18"/>
                <w:szCs w:val="18"/>
                <w:u w:val="none"/>
                <w:lang w:val="en-US" w:eastAsia="zh-CN" w:bidi="ar"/>
              </w:rPr>
              <w:br w:type="textWrapping"/>
            </w:r>
            <w:r>
              <w:rPr>
                <w:rFonts w:hint="eastAsia" w:asciiTheme="minorEastAsia" w:hAnsiTheme="minorEastAsia" w:eastAsiaTheme="minorEastAsia" w:cstheme="minorEastAsia"/>
                <w:i w:val="0"/>
                <w:iCs w:val="0"/>
                <w:color w:val="000000"/>
                <w:kern w:val="0"/>
                <w:sz w:val="18"/>
                <w:szCs w:val="18"/>
                <w:u w:val="none"/>
                <w:lang w:val="en-US" w:eastAsia="zh-CN" w:bidi="ar"/>
              </w:rPr>
              <w:t>▲13、LED教室灯在大气压力≥100kPa，平均湿度≥50%RH、极值空气温度≤-25℃及相对温差≥34℃的实地自然环境条件下至少持续运行360小时，至少依据《GB/T31897.201》标准满足光效的实测值与初始值的偏差不超过-10%。</w:t>
            </w:r>
            <w:r>
              <w:rPr>
                <w:rFonts w:hint="eastAsia" w:asciiTheme="minorEastAsia" w:hAnsiTheme="minorEastAsia" w:eastAsiaTheme="minorEastAsia" w:cstheme="minorEastAsia"/>
                <w:i w:val="0"/>
                <w:iCs w:val="0"/>
                <w:color w:val="000000"/>
                <w:kern w:val="0"/>
                <w:sz w:val="18"/>
                <w:szCs w:val="18"/>
                <w:u w:val="none"/>
                <w:lang w:val="en-US" w:eastAsia="zh-CN" w:bidi="ar"/>
              </w:rPr>
              <w:br w:type="textWrapping"/>
            </w:r>
            <w:r>
              <w:rPr>
                <w:rFonts w:hint="eastAsia" w:asciiTheme="minorEastAsia" w:hAnsiTheme="minorEastAsia" w:eastAsiaTheme="minorEastAsia" w:cstheme="minorEastAsia"/>
                <w:i w:val="0"/>
                <w:iCs w:val="0"/>
                <w:color w:val="000000"/>
                <w:kern w:val="0"/>
                <w:sz w:val="18"/>
                <w:szCs w:val="18"/>
                <w:u w:val="none"/>
                <w:lang w:val="en-US" w:eastAsia="zh-CN" w:bidi="ar"/>
              </w:rPr>
              <w:t>▲14、LED教室灯在大气压力≥100kPa，平均湿度≥50%RH、极值空气温度≤-25℃及相对温差≥34℃的实地自然环境条件下至少持续运行360小时，至少依据《GB/T6882》标准满足噪声＜17dB（A）。</w:t>
            </w:r>
            <w:r>
              <w:rPr>
                <w:rFonts w:hint="eastAsia" w:asciiTheme="minorEastAsia" w:hAnsiTheme="minorEastAsia" w:eastAsiaTheme="minorEastAsia" w:cstheme="minorEastAsia"/>
                <w:i w:val="0"/>
                <w:iCs w:val="0"/>
                <w:color w:val="000000"/>
                <w:kern w:val="0"/>
                <w:sz w:val="18"/>
                <w:szCs w:val="18"/>
                <w:u w:val="none"/>
                <w:lang w:val="en-US" w:eastAsia="zh-CN" w:bidi="ar"/>
              </w:rPr>
              <w:br w:type="textWrapping"/>
            </w:r>
            <w:r>
              <w:rPr>
                <w:rFonts w:hint="eastAsia" w:asciiTheme="minorEastAsia" w:hAnsiTheme="minorEastAsia" w:eastAsiaTheme="minorEastAsia" w:cstheme="minorEastAsia"/>
                <w:i w:val="0"/>
                <w:iCs w:val="0"/>
                <w:color w:val="000000"/>
                <w:kern w:val="0"/>
                <w:sz w:val="18"/>
                <w:szCs w:val="18"/>
                <w:u w:val="none"/>
                <w:lang w:val="en-US" w:eastAsia="zh-CN" w:bidi="ar"/>
              </w:rPr>
              <w:t>15、LED教室灯通过教室照明灯具性能认证。</w:t>
            </w:r>
            <w:r>
              <w:rPr>
                <w:rFonts w:hint="eastAsia" w:asciiTheme="minorEastAsia" w:hAnsiTheme="minorEastAsia" w:eastAsiaTheme="minorEastAsia" w:cstheme="minorEastAsia"/>
                <w:i w:val="0"/>
                <w:iCs w:val="0"/>
                <w:color w:val="000000"/>
                <w:kern w:val="0"/>
                <w:sz w:val="18"/>
                <w:szCs w:val="18"/>
                <w:u w:val="none"/>
                <w:lang w:val="en-US" w:eastAsia="zh-CN" w:bidi="ar"/>
              </w:rPr>
              <w:br w:type="textWrapping"/>
            </w:r>
            <w:r>
              <w:rPr>
                <w:rFonts w:hint="eastAsia" w:asciiTheme="minorEastAsia" w:hAnsiTheme="minorEastAsia" w:eastAsiaTheme="minorEastAsia" w:cstheme="minorEastAsia"/>
                <w:i w:val="0"/>
                <w:iCs w:val="0"/>
                <w:color w:val="000000"/>
                <w:kern w:val="0"/>
                <w:sz w:val="18"/>
                <w:szCs w:val="18"/>
                <w:u w:val="none"/>
                <w:lang w:val="en-US" w:eastAsia="zh-CN" w:bidi="ar"/>
              </w:rPr>
              <w:t>16、LED教室灯至少依据《GB/T33721》标准满足光通维持寿命≥50000小时。</w:t>
            </w:r>
          </w:p>
        </w:tc>
        <w:tc>
          <w:tcPr>
            <w:tcW w:w="55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A1116C7">
            <w:pPr>
              <w:keepNext w:val="0"/>
              <w:keepLines w:val="0"/>
              <w:widowControl/>
              <w:suppressLineNumbers w:val="0"/>
              <w:overflowPunct/>
              <w:bidi w:val="0"/>
              <w:spacing w:line="240" w:lineRule="auto"/>
              <w:jc w:val="center"/>
              <w:textAlignment w:val="center"/>
              <w:outlineLvl w:val="9"/>
              <w:rPr>
                <w:rFonts w:hint="eastAsia" w:asciiTheme="minorEastAsia" w:hAnsiTheme="minorEastAsia" w:eastAsiaTheme="minorEastAsia" w:cstheme="minorEastAsia"/>
                <w:i w:val="0"/>
                <w:iCs w:val="0"/>
                <w:color w:val="000000"/>
                <w:sz w:val="18"/>
                <w:szCs w:val="18"/>
                <w:u w:val="none"/>
              </w:rPr>
            </w:pPr>
            <w:r>
              <w:rPr>
                <w:rFonts w:hint="eastAsia" w:asciiTheme="minorEastAsia" w:hAnsiTheme="minorEastAsia" w:eastAsiaTheme="minorEastAsia" w:cstheme="minorEastAsia"/>
                <w:i w:val="0"/>
                <w:iCs w:val="0"/>
                <w:color w:val="000000"/>
                <w:kern w:val="0"/>
                <w:sz w:val="18"/>
                <w:szCs w:val="18"/>
                <w:u w:val="none"/>
                <w:lang w:val="en-US" w:eastAsia="zh-CN" w:bidi="ar"/>
              </w:rPr>
              <w:t>81</w:t>
            </w:r>
          </w:p>
        </w:tc>
        <w:tc>
          <w:tcPr>
            <w:tcW w:w="51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97A87A9">
            <w:pPr>
              <w:keepNext w:val="0"/>
              <w:keepLines w:val="0"/>
              <w:widowControl/>
              <w:suppressLineNumbers w:val="0"/>
              <w:overflowPunct/>
              <w:bidi w:val="0"/>
              <w:spacing w:line="240" w:lineRule="auto"/>
              <w:jc w:val="center"/>
              <w:textAlignment w:val="center"/>
              <w:outlineLvl w:val="9"/>
              <w:rPr>
                <w:rFonts w:hint="eastAsia" w:asciiTheme="minorEastAsia" w:hAnsiTheme="minorEastAsia" w:eastAsiaTheme="minorEastAsia" w:cstheme="minorEastAsia"/>
                <w:i w:val="0"/>
                <w:iCs w:val="0"/>
                <w:color w:val="000000"/>
                <w:sz w:val="18"/>
                <w:szCs w:val="18"/>
                <w:u w:val="none"/>
              </w:rPr>
            </w:pPr>
            <w:r>
              <w:rPr>
                <w:rFonts w:hint="eastAsia" w:asciiTheme="minorEastAsia" w:hAnsiTheme="minorEastAsia" w:eastAsiaTheme="minorEastAsia" w:cstheme="minorEastAsia"/>
                <w:i w:val="0"/>
                <w:iCs w:val="0"/>
                <w:color w:val="000000"/>
                <w:kern w:val="0"/>
                <w:sz w:val="18"/>
                <w:szCs w:val="18"/>
                <w:u w:val="none"/>
                <w:lang w:val="en-US" w:eastAsia="zh-CN" w:bidi="ar"/>
              </w:rPr>
              <w:t>盏</w:t>
            </w:r>
          </w:p>
        </w:tc>
        <w:tc>
          <w:tcPr>
            <w:tcW w:w="81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5543C03">
            <w:pPr>
              <w:keepNext w:val="0"/>
              <w:keepLines w:val="0"/>
              <w:widowControl/>
              <w:suppressLineNumbers w:val="0"/>
              <w:overflowPunct/>
              <w:bidi w:val="0"/>
              <w:spacing w:line="240" w:lineRule="auto"/>
              <w:jc w:val="right"/>
              <w:textAlignment w:val="center"/>
              <w:outlineLvl w:val="9"/>
              <w:rPr>
                <w:rFonts w:hint="eastAsia" w:asciiTheme="minorEastAsia" w:hAnsiTheme="minorEastAsia" w:eastAsiaTheme="minorEastAsia" w:cstheme="minorEastAsia"/>
                <w:i w:val="0"/>
                <w:iCs w:val="0"/>
                <w:color w:val="000000"/>
                <w:sz w:val="18"/>
                <w:szCs w:val="18"/>
                <w:u w:val="none"/>
              </w:rPr>
            </w:pPr>
            <w:r>
              <w:rPr>
                <w:rFonts w:hint="eastAsia" w:asciiTheme="minorEastAsia" w:hAnsiTheme="minorEastAsia" w:eastAsiaTheme="minorEastAsia" w:cstheme="minorEastAsia"/>
                <w:i w:val="0"/>
                <w:iCs w:val="0"/>
                <w:color w:val="000000"/>
                <w:kern w:val="0"/>
                <w:sz w:val="18"/>
                <w:szCs w:val="18"/>
                <w:u w:val="none"/>
                <w:lang w:val="en-US" w:eastAsia="zh-CN" w:bidi="ar"/>
              </w:rPr>
              <w:t>500</w:t>
            </w:r>
          </w:p>
        </w:tc>
      </w:tr>
      <w:tr w14:paraId="0F49352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0" w:hRule="atLeast"/>
        </w:trPr>
        <w:tc>
          <w:tcPr>
            <w:tcW w:w="15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2D48B94">
            <w:pPr>
              <w:keepNext w:val="0"/>
              <w:keepLines w:val="0"/>
              <w:widowControl/>
              <w:suppressLineNumbers w:val="0"/>
              <w:overflowPunct/>
              <w:bidi w:val="0"/>
              <w:spacing w:line="240" w:lineRule="auto"/>
              <w:jc w:val="center"/>
              <w:textAlignment w:val="center"/>
              <w:outlineLvl w:val="9"/>
              <w:rPr>
                <w:rFonts w:hint="eastAsia" w:asciiTheme="minorEastAsia" w:hAnsiTheme="minorEastAsia" w:eastAsiaTheme="minorEastAsia" w:cstheme="minorEastAsia"/>
                <w:i w:val="0"/>
                <w:iCs w:val="0"/>
                <w:color w:val="000000"/>
                <w:sz w:val="18"/>
                <w:szCs w:val="18"/>
                <w:u w:val="none"/>
              </w:rPr>
            </w:pPr>
            <w:r>
              <w:rPr>
                <w:rFonts w:hint="eastAsia" w:asciiTheme="minorEastAsia" w:hAnsiTheme="minorEastAsia" w:eastAsiaTheme="minorEastAsia" w:cstheme="minorEastAsia"/>
                <w:i w:val="0"/>
                <w:iCs w:val="0"/>
                <w:color w:val="000000"/>
                <w:kern w:val="0"/>
                <w:sz w:val="18"/>
                <w:szCs w:val="18"/>
                <w:u w:val="none"/>
                <w:lang w:val="en-US" w:eastAsia="zh-CN" w:bidi="ar"/>
              </w:rPr>
              <w:t>智能LED黑板灯1</w:t>
            </w:r>
          </w:p>
        </w:tc>
        <w:tc>
          <w:tcPr>
            <w:tcW w:w="577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9C41D14">
            <w:pPr>
              <w:keepNext w:val="0"/>
              <w:keepLines w:val="0"/>
              <w:widowControl/>
              <w:suppressLineNumbers w:val="0"/>
              <w:overflowPunct/>
              <w:bidi w:val="0"/>
              <w:spacing w:line="240" w:lineRule="auto"/>
              <w:jc w:val="left"/>
              <w:textAlignment w:val="center"/>
              <w:outlineLvl w:val="9"/>
              <w:rPr>
                <w:rFonts w:hint="eastAsia" w:asciiTheme="minorEastAsia" w:hAnsiTheme="minorEastAsia" w:eastAsiaTheme="minorEastAsia" w:cstheme="minorEastAsia"/>
                <w:i w:val="0"/>
                <w:iCs w:val="0"/>
                <w:color w:val="000000"/>
                <w:sz w:val="18"/>
                <w:szCs w:val="18"/>
                <w:u w:val="none"/>
              </w:rPr>
            </w:pPr>
            <w:r>
              <w:rPr>
                <w:rFonts w:hint="eastAsia" w:asciiTheme="minorEastAsia" w:hAnsiTheme="minorEastAsia" w:eastAsiaTheme="minorEastAsia" w:cstheme="minorEastAsia"/>
                <w:i w:val="0"/>
                <w:iCs w:val="0"/>
                <w:color w:val="000000"/>
                <w:kern w:val="0"/>
                <w:sz w:val="18"/>
                <w:szCs w:val="18"/>
                <w:u w:val="none"/>
                <w:lang w:val="en-US" w:eastAsia="zh-CN" w:bidi="ar"/>
              </w:rPr>
              <w:t>▲1、LED黑板灯长度≥1220mm，为一体式透镜防眩灯具，透镜尺寸长宽高300*15*9mm±1mm，透镜为PC材质，耐高温，长时间使用无黄变，精准控制黑板灯的光线角度，光线集中均匀分布黑板面；采用一体式航空铝型材灯体，且灯体最小壁厚不低于0.65mm，灯具外形应平整、无凹陷和毛刺，焊缝无透光现象，表面均匀、光洁，无流挂现象。</w:t>
            </w:r>
            <w:r>
              <w:rPr>
                <w:rFonts w:hint="eastAsia" w:asciiTheme="minorEastAsia" w:hAnsiTheme="minorEastAsia" w:eastAsiaTheme="minorEastAsia" w:cstheme="minorEastAsia"/>
                <w:i w:val="0"/>
                <w:iCs w:val="0"/>
                <w:color w:val="000000"/>
                <w:kern w:val="0"/>
                <w:sz w:val="18"/>
                <w:szCs w:val="18"/>
                <w:u w:val="none"/>
                <w:lang w:val="en-US" w:eastAsia="zh-CN" w:bidi="ar"/>
              </w:rPr>
              <w:br w:type="textWrapping"/>
            </w:r>
            <w:r>
              <w:rPr>
                <w:rFonts w:hint="eastAsia" w:asciiTheme="minorEastAsia" w:hAnsiTheme="minorEastAsia" w:eastAsiaTheme="minorEastAsia" w:cstheme="minorEastAsia"/>
                <w:i w:val="0"/>
                <w:iCs w:val="0"/>
                <w:color w:val="000000"/>
                <w:kern w:val="0"/>
                <w:sz w:val="18"/>
                <w:szCs w:val="18"/>
                <w:u w:val="none"/>
                <w:lang w:val="en-US" w:eastAsia="zh-CN" w:bidi="ar"/>
              </w:rPr>
              <w:t>2、LED黑板灯采用大尺寸外置驱动电源，器件散热性能好；驱动不可徒手拆卸，保证安全；驱动电源置于灯体上居中对称，保证吊装安全稳固；采用拔插式固定灯体和吊杆，不使用螺丝连接吊杆，安装便捷。</w:t>
            </w:r>
            <w:r>
              <w:rPr>
                <w:rFonts w:hint="eastAsia" w:asciiTheme="minorEastAsia" w:hAnsiTheme="minorEastAsia" w:eastAsiaTheme="minorEastAsia" w:cstheme="minorEastAsia"/>
                <w:i w:val="0"/>
                <w:iCs w:val="0"/>
                <w:color w:val="000000"/>
                <w:kern w:val="0"/>
                <w:sz w:val="18"/>
                <w:szCs w:val="18"/>
                <w:u w:val="none"/>
                <w:lang w:val="en-US" w:eastAsia="zh-CN" w:bidi="ar"/>
              </w:rPr>
              <w:br w:type="textWrapping"/>
            </w:r>
            <w:r>
              <w:rPr>
                <w:rFonts w:hint="eastAsia" w:asciiTheme="minorEastAsia" w:hAnsiTheme="minorEastAsia" w:eastAsiaTheme="minorEastAsia" w:cstheme="minorEastAsia"/>
                <w:i w:val="0"/>
                <w:iCs w:val="0"/>
                <w:color w:val="000000"/>
                <w:kern w:val="0"/>
                <w:sz w:val="18"/>
                <w:szCs w:val="18"/>
                <w:u w:val="none"/>
                <w:lang w:val="en-US" w:eastAsia="zh-CN" w:bidi="ar"/>
              </w:rPr>
              <w:t>3、LED黑板灯色温（或相关色温）4300-5300K，显色指数Ra≥95、R9≥90，色容差≤5 SDCM。</w:t>
            </w:r>
            <w:r>
              <w:rPr>
                <w:rFonts w:hint="eastAsia" w:asciiTheme="minorEastAsia" w:hAnsiTheme="minorEastAsia" w:eastAsiaTheme="minorEastAsia" w:cstheme="minorEastAsia"/>
                <w:i w:val="0"/>
                <w:iCs w:val="0"/>
                <w:color w:val="000000"/>
                <w:kern w:val="0"/>
                <w:sz w:val="18"/>
                <w:szCs w:val="18"/>
                <w:u w:val="none"/>
                <w:lang w:val="en-US" w:eastAsia="zh-CN" w:bidi="ar"/>
              </w:rPr>
              <w:br w:type="textWrapping"/>
            </w:r>
            <w:r>
              <w:rPr>
                <w:rFonts w:hint="eastAsia" w:asciiTheme="minorEastAsia" w:hAnsiTheme="minorEastAsia" w:eastAsiaTheme="minorEastAsia" w:cstheme="minorEastAsia"/>
                <w:i w:val="0"/>
                <w:iCs w:val="0"/>
                <w:color w:val="000000"/>
                <w:kern w:val="0"/>
                <w:sz w:val="18"/>
                <w:szCs w:val="18"/>
                <w:u w:val="none"/>
                <w:lang w:val="en-US" w:eastAsia="zh-CN" w:bidi="ar"/>
              </w:rPr>
              <w:t>4、LED黑板灯至少依据《GB/T 31275》及《GB/T 17743》标准通过人体电磁辐射测试，且灯具电源端传导骚扰电压（或电源接口骚扰电压）、辐射骚扰、感应电流密度检测结果皆为合格（或通过或符合或判定为P）。</w:t>
            </w:r>
            <w:r>
              <w:rPr>
                <w:rFonts w:hint="eastAsia" w:asciiTheme="minorEastAsia" w:hAnsiTheme="minorEastAsia" w:eastAsiaTheme="minorEastAsia" w:cstheme="minorEastAsia"/>
                <w:i w:val="0"/>
                <w:iCs w:val="0"/>
                <w:color w:val="000000"/>
                <w:kern w:val="0"/>
                <w:sz w:val="18"/>
                <w:szCs w:val="18"/>
                <w:u w:val="none"/>
                <w:lang w:val="en-US" w:eastAsia="zh-CN" w:bidi="ar"/>
              </w:rPr>
              <w:br w:type="textWrapping"/>
            </w:r>
            <w:r>
              <w:rPr>
                <w:rFonts w:hint="eastAsia" w:asciiTheme="minorEastAsia" w:hAnsiTheme="minorEastAsia" w:eastAsiaTheme="minorEastAsia" w:cstheme="minorEastAsia"/>
                <w:i w:val="0"/>
                <w:iCs w:val="0"/>
                <w:color w:val="000000"/>
                <w:kern w:val="0"/>
                <w:sz w:val="18"/>
                <w:szCs w:val="18"/>
                <w:u w:val="none"/>
                <w:lang w:val="en-US" w:eastAsia="zh-CN" w:bidi="ar"/>
              </w:rPr>
              <w:t>5、智能控制：无线组网和无线通讯；支持物联远程控制技术，如ZigBee无线组网等，支持室内情景面板调节，支持PC端等控制方式。场景控制器各场景模式的灯具亮度可根据实际需求调节，亮度设置范围0%~100%可调。根据教学场景配置≥4种默认场景模式，支持快速配置；场景快速切换，根据使用需求能够快速切换整体灯光照明状态，根据教学场景配置多种自定义场景模式。</w:t>
            </w:r>
            <w:r>
              <w:rPr>
                <w:rFonts w:hint="eastAsia" w:asciiTheme="minorEastAsia" w:hAnsiTheme="minorEastAsia" w:eastAsiaTheme="minorEastAsia" w:cstheme="minorEastAsia"/>
                <w:i w:val="0"/>
                <w:iCs w:val="0"/>
                <w:color w:val="000000"/>
                <w:kern w:val="0"/>
                <w:sz w:val="18"/>
                <w:szCs w:val="18"/>
                <w:u w:val="none"/>
                <w:lang w:val="en-US" w:eastAsia="zh-CN" w:bidi="ar"/>
              </w:rPr>
              <w:br w:type="textWrapping"/>
            </w:r>
            <w:r>
              <w:rPr>
                <w:rFonts w:hint="eastAsia" w:asciiTheme="minorEastAsia" w:hAnsiTheme="minorEastAsia" w:eastAsiaTheme="minorEastAsia" w:cstheme="minorEastAsia"/>
                <w:i w:val="0"/>
                <w:iCs w:val="0"/>
                <w:color w:val="000000"/>
                <w:kern w:val="0"/>
                <w:sz w:val="18"/>
                <w:szCs w:val="18"/>
                <w:u w:val="none"/>
                <w:lang w:val="en-US" w:eastAsia="zh-CN" w:bidi="ar"/>
              </w:rPr>
              <w:t xml:space="preserve">▲6、LED黑板灯额定功率≤40W，单颗光源功率≥1W，光源额定总功率是灯具额定功率的4.5倍或以上。 </w:t>
            </w:r>
            <w:r>
              <w:rPr>
                <w:rFonts w:hint="eastAsia" w:asciiTheme="minorEastAsia" w:hAnsiTheme="minorEastAsia" w:eastAsiaTheme="minorEastAsia" w:cstheme="minorEastAsia"/>
                <w:i w:val="0"/>
                <w:iCs w:val="0"/>
                <w:color w:val="000000"/>
                <w:kern w:val="0"/>
                <w:sz w:val="18"/>
                <w:szCs w:val="18"/>
                <w:u w:val="none"/>
                <w:lang w:val="en-US" w:eastAsia="zh-CN" w:bidi="ar"/>
              </w:rPr>
              <w:br w:type="textWrapping"/>
            </w:r>
            <w:r>
              <w:rPr>
                <w:rFonts w:hint="eastAsia" w:asciiTheme="minorEastAsia" w:hAnsiTheme="minorEastAsia" w:eastAsiaTheme="minorEastAsia" w:cstheme="minorEastAsia"/>
                <w:i w:val="0"/>
                <w:iCs w:val="0"/>
                <w:color w:val="000000"/>
                <w:kern w:val="0"/>
                <w:sz w:val="18"/>
                <w:szCs w:val="18"/>
                <w:u w:val="none"/>
                <w:lang w:val="en-US" w:eastAsia="zh-CN" w:bidi="ar"/>
              </w:rPr>
              <w:t>7、LED黑板灯至少依据《GB/T 26572》标准通过电器电子产品认证。</w:t>
            </w:r>
            <w:r>
              <w:rPr>
                <w:rFonts w:hint="eastAsia" w:asciiTheme="minorEastAsia" w:hAnsiTheme="minorEastAsia" w:eastAsiaTheme="minorEastAsia" w:cstheme="minorEastAsia"/>
                <w:i w:val="0"/>
                <w:iCs w:val="0"/>
                <w:color w:val="000000"/>
                <w:kern w:val="0"/>
                <w:sz w:val="18"/>
                <w:szCs w:val="18"/>
                <w:u w:val="none"/>
                <w:lang w:val="en-US" w:eastAsia="zh-CN" w:bidi="ar"/>
              </w:rPr>
              <w:br w:type="textWrapping"/>
            </w:r>
            <w:r>
              <w:rPr>
                <w:rFonts w:hint="eastAsia" w:asciiTheme="minorEastAsia" w:hAnsiTheme="minorEastAsia" w:eastAsiaTheme="minorEastAsia" w:cstheme="minorEastAsia"/>
                <w:i w:val="0"/>
                <w:iCs w:val="0"/>
                <w:color w:val="000000"/>
                <w:kern w:val="0"/>
                <w:sz w:val="18"/>
                <w:szCs w:val="18"/>
                <w:u w:val="none"/>
                <w:lang w:val="en-US" w:eastAsia="zh-CN" w:bidi="ar"/>
              </w:rPr>
              <w:t>8、LED黑板灯通过频闪无危害或无频闪危害或无显著影响认证。</w:t>
            </w:r>
            <w:r>
              <w:rPr>
                <w:rFonts w:hint="eastAsia" w:asciiTheme="minorEastAsia" w:hAnsiTheme="minorEastAsia" w:eastAsiaTheme="minorEastAsia" w:cstheme="minorEastAsia"/>
                <w:i w:val="0"/>
                <w:iCs w:val="0"/>
                <w:color w:val="000000"/>
                <w:kern w:val="0"/>
                <w:sz w:val="18"/>
                <w:szCs w:val="18"/>
                <w:u w:val="none"/>
                <w:lang w:val="en-US" w:eastAsia="zh-CN" w:bidi="ar"/>
              </w:rPr>
              <w:br w:type="textWrapping"/>
            </w:r>
            <w:r>
              <w:rPr>
                <w:rFonts w:hint="eastAsia" w:asciiTheme="minorEastAsia" w:hAnsiTheme="minorEastAsia" w:eastAsiaTheme="minorEastAsia" w:cstheme="minorEastAsia"/>
                <w:i w:val="0"/>
                <w:iCs w:val="0"/>
                <w:color w:val="000000"/>
                <w:kern w:val="0"/>
                <w:sz w:val="18"/>
                <w:szCs w:val="18"/>
                <w:u w:val="none"/>
                <w:lang w:val="en-US" w:eastAsia="zh-CN" w:bidi="ar"/>
              </w:rPr>
              <w:t>9、LED黑板灯蓝光危害等级为RG0（或0类危险）。</w:t>
            </w:r>
            <w:r>
              <w:rPr>
                <w:rFonts w:hint="eastAsia" w:asciiTheme="minorEastAsia" w:hAnsiTheme="minorEastAsia" w:eastAsiaTheme="minorEastAsia" w:cstheme="minorEastAsia"/>
                <w:i w:val="0"/>
                <w:iCs w:val="0"/>
                <w:color w:val="000000"/>
                <w:kern w:val="0"/>
                <w:sz w:val="18"/>
                <w:szCs w:val="18"/>
                <w:u w:val="none"/>
                <w:lang w:val="en-US" w:eastAsia="zh-CN" w:bidi="ar"/>
              </w:rPr>
              <w:br w:type="textWrapping"/>
            </w:r>
            <w:r>
              <w:rPr>
                <w:rFonts w:hint="eastAsia" w:asciiTheme="minorEastAsia" w:hAnsiTheme="minorEastAsia" w:eastAsiaTheme="minorEastAsia" w:cstheme="minorEastAsia"/>
                <w:i w:val="0"/>
                <w:iCs w:val="0"/>
                <w:color w:val="000000"/>
                <w:kern w:val="0"/>
                <w:sz w:val="18"/>
                <w:szCs w:val="18"/>
                <w:u w:val="none"/>
                <w:lang w:val="en-US" w:eastAsia="zh-CN" w:bidi="ar"/>
              </w:rPr>
              <w:t>▲10、LED黑板灯在大气压力≥100kPa，平均湿度≥50%RH、极值空气温度≤-25℃及相对温差≥34℃的实地自然环境条件下至少持续运行360小时，至少依据《GB/T18595》标准满足浪涌性能为C或以上等级。</w:t>
            </w:r>
            <w:r>
              <w:rPr>
                <w:rFonts w:hint="eastAsia" w:asciiTheme="minorEastAsia" w:hAnsiTheme="minorEastAsia" w:eastAsiaTheme="minorEastAsia" w:cstheme="minorEastAsia"/>
                <w:i w:val="0"/>
                <w:iCs w:val="0"/>
                <w:color w:val="000000"/>
                <w:kern w:val="0"/>
                <w:sz w:val="18"/>
                <w:szCs w:val="18"/>
                <w:u w:val="none"/>
                <w:lang w:val="en-US" w:eastAsia="zh-CN" w:bidi="ar"/>
              </w:rPr>
              <w:br w:type="textWrapping"/>
            </w:r>
            <w:r>
              <w:rPr>
                <w:rFonts w:hint="eastAsia" w:asciiTheme="minorEastAsia" w:hAnsiTheme="minorEastAsia" w:eastAsiaTheme="minorEastAsia" w:cstheme="minorEastAsia"/>
                <w:i w:val="0"/>
                <w:iCs w:val="0"/>
                <w:color w:val="000000"/>
                <w:kern w:val="0"/>
                <w:sz w:val="18"/>
                <w:szCs w:val="18"/>
                <w:u w:val="none"/>
                <w:lang w:val="en-US" w:eastAsia="zh-CN" w:bidi="ar"/>
              </w:rPr>
              <w:t>▲11、LED黑板灯在大气压力≥100kPa，平均湿度≥50%RH、极值空气温度≤-25℃及相对温差≥34℃的实地自然环境条件下至少持续运行360小时，至少依据《GB/T36979》满足空间颜色非均匀性△u’v’≤0.007。</w:t>
            </w:r>
            <w:r>
              <w:rPr>
                <w:rFonts w:hint="eastAsia" w:asciiTheme="minorEastAsia" w:hAnsiTheme="minorEastAsia" w:eastAsiaTheme="minorEastAsia" w:cstheme="minorEastAsia"/>
                <w:i w:val="0"/>
                <w:iCs w:val="0"/>
                <w:color w:val="000000"/>
                <w:kern w:val="0"/>
                <w:sz w:val="18"/>
                <w:szCs w:val="18"/>
                <w:u w:val="none"/>
                <w:lang w:val="en-US" w:eastAsia="zh-CN" w:bidi="ar"/>
              </w:rPr>
              <w:br w:type="textWrapping"/>
            </w:r>
            <w:r>
              <w:rPr>
                <w:rFonts w:hint="eastAsia" w:asciiTheme="minorEastAsia" w:hAnsiTheme="minorEastAsia" w:eastAsiaTheme="minorEastAsia" w:cstheme="minorEastAsia"/>
                <w:i w:val="0"/>
                <w:iCs w:val="0"/>
                <w:color w:val="000000"/>
                <w:kern w:val="0"/>
                <w:sz w:val="18"/>
                <w:szCs w:val="18"/>
                <w:u w:val="none"/>
                <w:lang w:val="en-US" w:eastAsia="zh-CN" w:bidi="ar"/>
              </w:rPr>
              <w:t>▲12、LED黑板灯在大气压力≥100kPa，平均湿度≥50%RH、极值空气温度≤-25℃及相对温差≥34℃的实地自然环境条件下至少持续运行360小时，至少依据《GB/T9468》标准满足光束角C0-C180及C90-C270的实测值与初始值偏差均不超过±10%。</w:t>
            </w:r>
            <w:r>
              <w:rPr>
                <w:rFonts w:hint="eastAsia" w:asciiTheme="minorEastAsia" w:hAnsiTheme="minorEastAsia" w:eastAsiaTheme="minorEastAsia" w:cstheme="minorEastAsia"/>
                <w:i w:val="0"/>
                <w:iCs w:val="0"/>
                <w:color w:val="000000"/>
                <w:kern w:val="0"/>
                <w:sz w:val="18"/>
                <w:szCs w:val="18"/>
                <w:u w:val="none"/>
                <w:lang w:val="en-US" w:eastAsia="zh-CN" w:bidi="ar"/>
              </w:rPr>
              <w:br w:type="textWrapping"/>
            </w:r>
            <w:r>
              <w:rPr>
                <w:rFonts w:hint="eastAsia" w:asciiTheme="minorEastAsia" w:hAnsiTheme="minorEastAsia" w:eastAsiaTheme="minorEastAsia" w:cstheme="minorEastAsia"/>
                <w:i w:val="0"/>
                <w:iCs w:val="0"/>
                <w:color w:val="000000"/>
                <w:kern w:val="0"/>
                <w:sz w:val="18"/>
                <w:szCs w:val="18"/>
                <w:u w:val="none"/>
                <w:lang w:val="en-US" w:eastAsia="zh-CN" w:bidi="ar"/>
              </w:rPr>
              <w:t>▲13、LED黑板灯在大气压力≥100kPa，平均湿度≥50%RH、极值空气温度≤-25℃及相对温差≥34℃的实地自然环境条件下至少持续运行360小时，至少依据《GB/T31897.201》标准满足光效的实测值与初始值的偏差不超过-10%。</w:t>
            </w:r>
            <w:r>
              <w:rPr>
                <w:rFonts w:hint="eastAsia" w:asciiTheme="minorEastAsia" w:hAnsiTheme="minorEastAsia" w:eastAsiaTheme="minorEastAsia" w:cstheme="minorEastAsia"/>
                <w:i w:val="0"/>
                <w:iCs w:val="0"/>
                <w:color w:val="000000"/>
                <w:kern w:val="0"/>
                <w:sz w:val="18"/>
                <w:szCs w:val="18"/>
                <w:u w:val="none"/>
                <w:lang w:val="en-US" w:eastAsia="zh-CN" w:bidi="ar"/>
              </w:rPr>
              <w:br w:type="textWrapping"/>
            </w:r>
            <w:r>
              <w:rPr>
                <w:rFonts w:hint="eastAsia" w:asciiTheme="minorEastAsia" w:hAnsiTheme="minorEastAsia" w:eastAsiaTheme="minorEastAsia" w:cstheme="minorEastAsia"/>
                <w:i w:val="0"/>
                <w:iCs w:val="0"/>
                <w:color w:val="000000"/>
                <w:kern w:val="0"/>
                <w:sz w:val="18"/>
                <w:szCs w:val="18"/>
                <w:u w:val="none"/>
                <w:lang w:val="en-US" w:eastAsia="zh-CN" w:bidi="ar"/>
              </w:rPr>
              <w:t>▲14、LED黑板灯在大气压力≥100kPa，平均湿度≥50%RH、极值空气温度≤-25℃及相对温差≥34℃的实地自然环境条件下至少持续运行360小时，至少依据《GB/T6882》标准满足噪声＜17dB（A）。</w:t>
            </w:r>
            <w:r>
              <w:rPr>
                <w:rFonts w:hint="eastAsia" w:asciiTheme="minorEastAsia" w:hAnsiTheme="minorEastAsia" w:eastAsiaTheme="minorEastAsia" w:cstheme="minorEastAsia"/>
                <w:i w:val="0"/>
                <w:iCs w:val="0"/>
                <w:color w:val="000000"/>
                <w:kern w:val="0"/>
                <w:sz w:val="18"/>
                <w:szCs w:val="18"/>
                <w:u w:val="none"/>
                <w:lang w:val="en-US" w:eastAsia="zh-CN" w:bidi="ar"/>
              </w:rPr>
              <w:br w:type="textWrapping"/>
            </w:r>
            <w:r>
              <w:rPr>
                <w:rFonts w:hint="eastAsia" w:asciiTheme="minorEastAsia" w:hAnsiTheme="minorEastAsia" w:eastAsiaTheme="minorEastAsia" w:cstheme="minorEastAsia"/>
                <w:i w:val="0"/>
                <w:iCs w:val="0"/>
                <w:color w:val="000000"/>
                <w:kern w:val="0"/>
                <w:sz w:val="18"/>
                <w:szCs w:val="18"/>
                <w:u w:val="none"/>
                <w:lang w:val="en-US" w:eastAsia="zh-CN" w:bidi="ar"/>
              </w:rPr>
              <w:t>15、LED黑板灯通过教室照明灯具性能认证。</w:t>
            </w:r>
            <w:r>
              <w:rPr>
                <w:rFonts w:hint="eastAsia" w:asciiTheme="minorEastAsia" w:hAnsiTheme="minorEastAsia" w:eastAsiaTheme="minorEastAsia" w:cstheme="minorEastAsia"/>
                <w:i w:val="0"/>
                <w:iCs w:val="0"/>
                <w:color w:val="000000"/>
                <w:kern w:val="0"/>
                <w:sz w:val="18"/>
                <w:szCs w:val="18"/>
                <w:u w:val="none"/>
                <w:lang w:val="en-US" w:eastAsia="zh-CN" w:bidi="ar"/>
              </w:rPr>
              <w:br w:type="textWrapping"/>
            </w:r>
            <w:r>
              <w:rPr>
                <w:rFonts w:hint="eastAsia" w:asciiTheme="minorEastAsia" w:hAnsiTheme="minorEastAsia" w:eastAsiaTheme="minorEastAsia" w:cstheme="minorEastAsia"/>
                <w:i w:val="0"/>
                <w:iCs w:val="0"/>
                <w:color w:val="000000"/>
                <w:kern w:val="0"/>
                <w:sz w:val="18"/>
                <w:szCs w:val="18"/>
                <w:u w:val="none"/>
                <w:lang w:val="en-US" w:eastAsia="zh-CN" w:bidi="ar"/>
              </w:rPr>
              <w:t>16、LED黑板灯至少依据《GB/T33721》标准满足光通维持寿命≥50000小时。</w:t>
            </w:r>
          </w:p>
        </w:tc>
        <w:tc>
          <w:tcPr>
            <w:tcW w:w="55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7CFD7CD">
            <w:pPr>
              <w:keepNext w:val="0"/>
              <w:keepLines w:val="0"/>
              <w:widowControl/>
              <w:suppressLineNumbers w:val="0"/>
              <w:overflowPunct/>
              <w:bidi w:val="0"/>
              <w:spacing w:line="240" w:lineRule="auto"/>
              <w:jc w:val="center"/>
              <w:textAlignment w:val="center"/>
              <w:outlineLvl w:val="9"/>
              <w:rPr>
                <w:rFonts w:hint="eastAsia" w:asciiTheme="minorEastAsia" w:hAnsiTheme="minorEastAsia" w:eastAsiaTheme="minorEastAsia" w:cstheme="minorEastAsia"/>
                <w:i w:val="0"/>
                <w:iCs w:val="0"/>
                <w:color w:val="000000"/>
                <w:sz w:val="18"/>
                <w:szCs w:val="18"/>
                <w:u w:val="none"/>
              </w:rPr>
            </w:pPr>
            <w:r>
              <w:rPr>
                <w:rFonts w:hint="eastAsia" w:asciiTheme="minorEastAsia" w:hAnsiTheme="minorEastAsia" w:eastAsiaTheme="minorEastAsia" w:cstheme="minorEastAsia"/>
                <w:i w:val="0"/>
                <w:iCs w:val="0"/>
                <w:color w:val="000000"/>
                <w:kern w:val="0"/>
                <w:sz w:val="18"/>
                <w:szCs w:val="18"/>
                <w:u w:val="none"/>
                <w:lang w:val="en-US" w:eastAsia="zh-CN" w:bidi="ar"/>
              </w:rPr>
              <w:t>27</w:t>
            </w:r>
          </w:p>
        </w:tc>
        <w:tc>
          <w:tcPr>
            <w:tcW w:w="51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C9F5B6B">
            <w:pPr>
              <w:keepNext w:val="0"/>
              <w:keepLines w:val="0"/>
              <w:widowControl/>
              <w:suppressLineNumbers w:val="0"/>
              <w:overflowPunct/>
              <w:bidi w:val="0"/>
              <w:spacing w:line="240" w:lineRule="auto"/>
              <w:jc w:val="center"/>
              <w:textAlignment w:val="center"/>
              <w:outlineLvl w:val="9"/>
              <w:rPr>
                <w:rFonts w:hint="eastAsia" w:asciiTheme="minorEastAsia" w:hAnsiTheme="minorEastAsia" w:eastAsiaTheme="minorEastAsia" w:cstheme="minorEastAsia"/>
                <w:i w:val="0"/>
                <w:iCs w:val="0"/>
                <w:color w:val="000000"/>
                <w:sz w:val="18"/>
                <w:szCs w:val="18"/>
                <w:u w:val="none"/>
              </w:rPr>
            </w:pPr>
            <w:r>
              <w:rPr>
                <w:rFonts w:hint="eastAsia" w:asciiTheme="minorEastAsia" w:hAnsiTheme="minorEastAsia" w:eastAsiaTheme="minorEastAsia" w:cstheme="minorEastAsia"/>
                <w:i w:val="0"/>
                <w:iCs w:val="0"/>
                <w:color w:val="000000"/>
                <w:kern w:val="0"/>
                <w:sz w:val="18"/>
                <w:szCs w:val="18"/>
                <w:u w:val="none"/>
                <w:lang w:val="en-US" w:eastAsia="zh-CN" w:bidi="ar"/>
              </w:rPr>
              <w:t>盏</w:t>
            </w:r>
          </w:p>
        </w:tc>
        <w:tc>
          <w:tcPr>
            <w:tcW w:w="81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EF30887">
            <w:pPr>
              <w:keepNext w:val="0"/>
              <w:keepLines w:val="0"/>
              <w:widowControl/>
              <w:suppressLineNumbers w:val="0"/>
              <w:overflowPunct/>
              <w:bidi w:val="0"/>
              <w:spacing w:line="240" w:lineRule="auto"/>
              <w:jc w:val="right"/>
              <w:textAlignment w:val="center"/>
              <w:outlineLvl w:val="9"/>
              <w:rPr>
                <w:rFonts w:hint="eastAsia" w:asciiTheme="minorEastAsia" w:hAnsiTheme="minorEastAsia" w:eastAsiaTheme="minorEastAsia" w:cstheme="minorEastAsia"/>
                <w:i w:val="0"/>
                <w:iCs w:val="0"/>
                <w:color w:val="000000"/>
                <w:sz w:val="18"/>
                <w:szCs w:val="18"/>
                <w:u w:val="none"/>
              </w:rPr>
            </w:pPr>
            <w:r>
              <w:rPr>
                <w:rFonts w:hint="eastAsia" w:asciiTheme="minorEastAsia" w:hAnsiTheme="minorEastAsia" w:eastAsiaTheme="minorEastAsia" w:cstheme="minorEastAsia"/>
                <w:i w:val="0"/>
                <w:iCs w:val="0"/>
                <w:color w:val="000000"/>
                <w:kern w:val="0"/>
                <w:sz w:val="18"/>
                <w:szCs w:val="18"/>
                <w:u w:val="none"/>
                <w:lang w:val="en-US" w:eastAsia="zh-CN" w:bidi="ar"/>
              </w:rPr>
              <w:t>500</w:t>
            </w:r>
          </w:p>
        </w:tc>
      </w:tr>
      <w:tr w14:paraId="1314699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00" w:hRule="atLeast"/>
        </w:trPr>
        <w:tc>
          <w:tcPr>
            <w:tcW w:w="15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EE39362">
            <w:pPr>
              <w:keepNext w:val="0"/>
              <w:keepLines w:val="0"/>
              <w:widowControl/>
              <w:suppressLineNumbers w:val="0"/>
              <w:overflowPunct/>
              <w:bidi w:val="0"/>
              <w:spacing w:line="240" w:lineRule="auto"/>
              <w:jc w:val="center"/>
              <w:textAlignment w:val="center"/>
              <w:outlineLvl w:val="9"/>
              <w:rPr>
                <w:rFonts w:hint="eastAsia" w:asciiTheme="minorEastAsia" w:hAnsiTheme="minorEastAsia" w:eastAsiaTheme="minorEastAsia" w:cstheme="minorEastAsia"/>
                <w:i w:val="0"/>
                <w:iCs w:val="0"/>
                <w:color w:val="000000"/>
                <w:sz w:val="18"/>
                <w:szCs w:val="18"/>
                <w:u w:val="none"/>
              </w:rPr>
            </w:pPr>
            <w:r>
              <w:rPr>
                <w:rFonts w:hint="eastAsia" w:asciiTheme="minorEastAsia" w:hAnsiTheme="minorEastAsia" w:eastAsiaTheme="minorEastAsia" w:cstheme="minorEastAsia"/>
                <w:i w:val="0"/>
                <w:iCs w:val="0"/>
                <w:color w:val="000000"/>
                <w:kern w:val="0"/>
                <w:sz w:val="18"/>
                <w:szCs w:val="18"/>
                <w:u w:val="none"/>
                <w:lang w:val="en-US" w:eastAsia="zh-CN" w:bidi="ar"/>
              </w:rPr>
              <w:t>智能LED黑板灯2</w:t>
            </w:r>
          </w:p>
        </w:tc>
        <w:tc>
          <w:tcPr>
            <w:tcW w:w="577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5F8688F">
            <w:pPr>
              <w:keepNext w:val="0"/>
              <w:keepLines w:val="0"/>
              <w:widowControl/>
              <w:suppressLineNumbers w:val="0"/>
              <w:overflowPunct/>
              <w:bidi w:val="0"/>
              <w:spacing w:line="240" w:lineRule="auto"/>
              <w:jc w:val="left"/>
              <w:textAlignment w:val="center"/>
              <w:outlineLvl w:val="9"/>
              <w:rPr>
                <w:rFonts w:hint="eastAsia" w:asciiTheme="minorEastAsia" w:hAnsiTheme="minorEastAsia" w:eastAsiaTheme="minorEastAsia" w:cstheme="minorEastAsia"/>
                <w:i w:val="0"/>
                <w:iCs w:val="0"/>
                <w:color w:val="000000"/>
                <w:sz w:val="18"/>
                <w:szCs w:val="18"/>
                <w:u w:val="none"/>
              </w:rPr>
            </w:pPr>
            <w:r>
              <w:rPr>
                <w:rFonts w:hint="eastAsia" w:asciiTheme="minorEastAsia" w:hAnsiTheme="minorEastAsia" w:eastAsiaTheme="minorEastAsia" w:cstheme="minorEastAsia"/>
                <w:i w:val="0"/>
                <w:iCs w:val="0"/>
                <w:color w:val="000000"/>
                <w:kern w:val="0"/>
                <w:sz w:val="18"/>
                <w:szCs w:val="18"/>
                <w:u w:val="none"/>
                <w:lang w:val="en-US" w:eastAsia="zh-CN" w:bidi="ar"/>
              </w:rPr>
              <w:t>▲1、LED教室灯长宽尺寸为1195*295±5mm，为一体式直下式微晶防眩灯具，采用长短边结合的棱锥体防眩微晶防眩设计，防眩效果好；采用一体式航空铝型材边框，灯具外形平整，侧表面无螺丝，四面主框架采用铝合金，背板为金属材质（或冷轧钢板材质）冲压成型，背罩工艺静电喷粉。</w:t>
            </w:r>
            <w:r>
              <w:rPr>
                <w:rFonts w:hint="eastAsia" w:asciiTheme="minorEastAsia" w:hAnsiTheme="minorEastAsia" w:eastAsiaTheme="minorEastAsia" w:cstheme="minorEastAsia"/>
                <w:i w:val="0"/>
                <w:iCs w:val="0"/>
                <w:color w:val="000000"/>
                <w:kern w:val="0"/>
                <w:sz w:val="18"/>
                <w:szCs w:val="18"/>
                <w:u w:val="none"/>
                <w:lang w:val="en-US" w:eastAsia="zh-CN" w:bidi="ar"/>
              </w:rPr>
              <w:br w:type="textWrapping"/>
            </w:r>
            <w:r>
              <w:rPr>
                <w:rFonts w:hint="eastAsia" w:asciiTheme="minorEastAsia" w:hAnsiTheme="minorEastAsia" w:eastAsiaTheme="minorEastAsia" w:cstheme="minorEastAsia"/>
                <w:i w:val="0"/>
                <w:iCs w:val="0"/>
                <w:color w:val="000000"/>
                <w:kern w:val="0"/>
                <w:sz w:val="18"/>
                <w:szCs w:val="18"/>
                <w:u w:val="none"/>
                <w:lang w:val="en-US" w:eastAsia="zh-CN" w:bidi="ar"/>
              </w:rPr>
              <w:t xml:space="preserve">2、为了保证灯体的散热性良好，LED教室灯光源条采用均匀打胶的方式，防止光源条掉落，增加散热面积；为了保证吊装灯具的牢固性和安全性，固定支架与金属边框连接固定，单个支架与边框的连接至少4个螺丝或铆钉固定，加强吊装的安全性，防止掉落风险。 </w:t>
            </w:r>
            <w:r>
              <w:rPr>
                <w:rFonts w:hint="eastAsia" w:asciiTheme="minorEastAsia" w:hAnsiTheme="minorEastAsia" w:eastAsiaTheme="minorEastAsia" w:cstheme="minorEastAsia"/>
                <w:i w:val="0"/>
                <w:iCs w:val="0"/>
                <w:color w:val="000000"/>
                <w:kern w:val="0"/>
                <w:sz w:val="18"/>
                <w:szCs w:val="18"/>
                <w:u w:val="none"/>
                <w:lang w:val="en-US" w:eastAsia="zh-CN" w:bidi="ar"/>
              </w:rPr>
              <w:br w:type="textWrapping"/>
            </w:r>
            <w:r>
              <w:rPr>
                <w:rFonts w:hint="eastAsia" w:asciiTheme="minorEastAsia" w:hAnsiTheme="minorEastAsia" w:eastAsiaTheme="minorEastAsia" w:cstheme="minorEastAsia"/>
                <w:i w:val="0"/>
                <w:iCs w:val="0"/>
                <w:color w:val="000000"/>
                <w:kern w:val="0"/>
                <w:sz w:val="18"/>
                <w:szCs w:val="18"/>
                <w:u w:val="none"/>
                <w:lang w:val="en-US" w:eastAsia="zh-CN" w:bidi="ar"/>
              </w:rPr>
              <w:t>3、LED教室灯色温（或相关色温）4300-5300K，显色指数Ra≥95、R9≥90，色容差≤5 SDCM。</w:t>
            </w:r>
            <w:r>
              <w:rPr>
                <w:rFonts w:hint="eastAsia" w:asciiTheme="minorEastAsia" w:hAnsiTheme="minorEastAsia" w:eastAsiaTheme="minorEastAsia" w:cstheme="minorEastAsia"/>
                <w:i w:val="0"/>
                <w:iCs w:val="0"/>
                <w:color w:val="000000"/>
                <w:kern w:val="0"/>
                <w:sz w:val="18"/>
                <w:szCs w:val="18"/>
                <w:u w:val="none"/>
                <w:lang w:val="en-US" w:eastAsia="zh-CN" w:bidi="ar"/>
              </w:rPr>
              <w:br w:type="textWrapping"/>
            </w:r>
            <w:r>
              <w:rPr>
                <w:rFonts w:hint="eastAsia" w:asciiTheme="minorEastAsia" w:hAnsiTheme="minorEastAsia" w:eastAsiaTheme="minorEastAsia" w:cstheme="minorEastAsia"/>
                <w:i w:val="0"/>
                <w:iCs w:val="0"/>
                <w:color w:val="000000"/>
                <w:kern w:val="0"/>
                <w:sz w:val="18"/>
                <w:szCs w:val="18"/>
                <w:u w:val="none"/>
                <w:lang w:val="en-US" w:eastAsia="zh-CN" w:bidi="ar"/>
              </w:rPr>
              <w:t>4、LED教室灯至少依据《GB/T 17743》及《GB/T 31275》标准通过人体电磁辐射测试，且灯具电源端传导骚扰电压（或电源接口骚扰电压）、外壳端口辐射骚扰、感应电流密度检测结果皆为合格（或符合或通过或判定为P）。</w:t>
            </w:r>
            <w:r>
              <w:rPr>
                <w:rFonts w:hint="eastAsia" w:asciiTheme="minorEastAsia" w:hAnsiTheme="minorEastAsia" w:eastAsiaTheme="minorEastAsia" w:cstheme="minorEastAsia"/>
                <w:i w:val="0"/>
                <w:iCs w:val="0"/>
                <w:color w:val="000000"/>
                <w:kern w:val="0"/>
                <w:sz w:val="18"/>
                <w:szCs w:val="18"/>
                <w:u w:val="none"/>
                <w:lang w:val="en-US" w:eastAsia="zh-CN" w:bidi="ar"/>
              </w:rPr>
              <w:br w:type="textWrapping"/>
            </w:r>
            <w:r>
              <w:rPr>
                <w:rFonts w:hint="eastAsia" w:asciiTheme="minorEastAsia" w:hAnsiTheme="minorEastAsia" w:eastAsiaTheme="minorEastAsia" w:cstheme="minorEastAsia"/>
                <w:i w:val="0"/>
                <w:iCs w:val="0"/>
                <w:color w:val="000000"/>
                <w:kern w:val="0"/>
                <w:sz w:val="18"/>
                <w:szCs w:val="18"/>
                <w:u w:val="none"/>
                <w:lang w:val="en-US" w:eastAsia="zh-CN" w:bidi="ar"/>
              </w:rPr>
              <w:t>▲5、LED教室灯额定功率≤40W，单颗光源功率≥1W，光源额定总功率是灯具额定功率的2倍或以上。</w:t>
            </w:r>
            <w:r>
              <w:rPr>
                <w:rFonts w:hint="eastAsia" w:asciiTheme="minorEastAsia" w:hAnsiTheme="minorEastAsia" w:eastAsiaTheme="minorEastAsia" w:cstheme="minorEastAsia"/>
                <w:i w:val="0"/>
                <w:iCs w:val="0"/>
                <w:color w:val="000000"/>
                <w:kern w:val="0"/>
                <w:sz w:val="18"/>
                <w:szCs w:val="18"/>
                <w:u w:val="none"/>
                <w:lang w:val="en-US" w:eastAsia="zh-CN" w:bidi="ar"/>
              </w:rPr>
              <w:br w:type="textWrapping"/>
            </w:r>
            <w:r>
              <w:rPr>
                <w:rFonts w:hint="eastAsia" w:asciiTheme="minorEastAsia" w:hAnsiTheme="minorEastAsia" w:eastAsiaTheme="minorEastAsia" w:cstheme="minorEastAsia"/>
                <w:i w:val="0"/>
                <w:iCs w:val="0"/>
                <w:color w:val="000000"/>
                <w:kern w:val="0"/>
                <w:sz w:val="18"/>
                <w:szCs w:val="18"/>
                <w:u w:val="none"/>
                <w:lang w:val="en-US" w:eastAsia="zh-CN" w:bidi="ar"/>
              </w:rPr>
              <w:t>6、LED教室灯至少依据《GB/T 26572》标准通过电器电子产品认证。</w:t>
            </w:r>
            <w:r>
              <w:rPr>
                <w:rFonts w:hint="eastAsia" w:asciiTheme="minorEastAsia" w:hAnsiTheme="minorEastAsia" w:eastAsiaTheme="minorEastAsia" w:cstheme="minorEastAsia"/>
                <w:i w:val="0"/>
                <w:iCs w:val="0"/>
                <w:color w:val="000000"/>
                <w:kern w:val="0"/>
                <w:sz w:val="18"/>
                <w:szCs w:val="18"/>
                <w:u w:val="none"/>
                <w:lang w:val="en-US" w:eastAsia="zh-CN" w:bidi="ar"/>
              </w:rPr>
              <w:br w:type="textWrapping"/>
            </w:r>
            <w:r>
              <w:rPr>
                <w:rFonts w:hint="eastAsia" w:asciiTheme="minorEastAsia" w:hAnsiTheme="minorEastAsia" w:eastAsiaTheme="minorEastAsia" w:cstheme="minorEastAsia"/>
                <w:i w:val="0"/>
                <w:iCs w:val="0"/>
                <w:color w:val="000000"/>
                <w:kern w:val="0"/>
                <w:sz w:val="18"/>
                <w:szCs w:val="18"/>
                <w:u w:val="none"/>
                <w:lang w:val="en-US" w:eastAsia="zh-CN" w:bidi="ar"/>
              </w:rPr>
              <w:t>7、LED教室灯通过频闪无危害或无频闪危害或无显著影响认证。</w:t>
            </w:r>
            <w:r>
              <w:rPr>
                <w:rFonts w:hint="eastAsia" w:asciiTheme="minorEastAsia" w:hAnsiTheme="minorEastAsia" w:eastAsiaTheme="minorEastAsia" w:cstheme="minorEastAsia"/>
                <w:i w:val="0"/>
                <w:iCs w:val="0"/>
                <w:color w:val="000000"/>
                <w:kern w:val="0"/>
                <w:sz w:val="18"/>
                <w:szCs w:val="18"/>
                <w:u w:val="none"/>
                <w:lang w:val="en-US" w:eastAsia="zh-CN" w:bidi="ar"/>
              </w:rPr>
              <w:br w:type="textWrapping"/>
            </w:r>
            <w:r>
              <w:rPr>
                <w:rFonts w:hint="eastAsia" w:asciiTheme="minorEastAsia" w:hAnsiTheme="minorEastAsia" w:eastAsiaTheme="minorEastAsia" w:cstheme="minorEastAsia"/>
                <w:i w:val="0"/>
                <w:iCs w:val="0"/>
                <w:color w:val="000000"/>
                <w:kern w:val="0"/>
                <w:sz w:val="18"/>
                <w:szCs w:val="18"/>
                <w:u w:val="none"/>
                <w:lang w:val="en-US" w:eastAsia="zh-CN" w:bidi="ar"/>
              </w:rPr>
              <w:t>8、LED教室灯蓝光危害等级为RG0（或0类危险）。</w:t>
            </w:r>
            <w:r>
              <w:rPr>
                <w:rFonts w:hint="eastAsia" w:asciiTheme="minorEastAsia" w:hAnsiTheme="minorEastAsia" w:eastAsiaTheme="minorEastAsia" w:cstheme="minorEastAsia"/>
                <w:i w:val="0"/>
                <w:iCs w:val="0"/>
                <w:color w:val="000000"/>
                <w:kern w:val="0"/>
                <w:sz w:val="18"/>
                <w:szCs w:val="18"/>
                <w:u w:val="none"/>
                <w:lang w:val="en-US" w:eastAsia="zh-CN" w:bidi="ar"/>
              </w:rPr>
              <w:br w:type="textWrapping"/>
            </w:r>
            <w:r>
              <w:rPr>
                <w:rFonts w:hint="eastAsia" w:asciiTheme="minorEastAsia" w:hAnsiTheme="minorEastAsia" w:eastAsiaTheme="minorEastAsia" w:cstheme="minorEastAsia"/>
                <w:i w:val="0"/>
                <w:iCs w:val="0"/>
                <w:color w:val="000000"/>
                <w:kern w:val="0"/>
                <w:sz w:val="18"/>
                <w:szCs w:val="18"/>
                <w:u w:val="none"/>
                <w:lang w:val="en-US" w:eastAsia="zh-CN" w:bidi="ar"/>
              </w:rPr>
              <w:t>▲9、LED教室灯在大气压力≥100kPa，平均湿度≥50%RH、极值空气温度≤-25℃及相对温差≥34℃的实地自然环境条件下至少持续运行360小时，至少依据《GB/T36979》标准满足色品空间颜色非均匀性△u’v’≤0.007。</w:t>
            </w:r>
            <w:r>
              <w:rPr>
                <w:rFonts w:hint="eastAsia" w:asciiTheme="minorEastAsia" w:hAnsiTheme="minorEastAsia" w:eastAsiaTheme="minorEastAsia" w:cstheme="minorEastAsia"/>
                <w:i w:val="0"/>
                <w:iCs w:val="0"/>
                <w:color w:val="000000"/>
                <w:kern w:val="0"/>
                <w:sz w:val="18"/>
                <w:szCs w:val="18"/>
                <w:u w:val="none"/>
                <w:lang w:val="en-US" w:eastAsia="zh-CN" w:bidi="ar"/>
              </w:rPr>
              <w:br w:type="textWrapping"/>
            </w:r>
            <w:r>
              <w:rPr>
                <w:rFonts w:hint="eastAsia" w:asciiTheme="minorEastAsia" w:hAnsiTheme="minorEastAsia" w:eastAsiaTheme="minorEastAsia" w:cstheme="minorEastAsia"/>
                <w:i w:val="0"/>
                <w:iCs w:val="0"/>
                <w:color w:val="000000"/>
                <w:kern w:val="0"/>
                <w:sz w:val="18"/>
                <w:szCs w:val="18"/>
                <w:u w:val="none"/>
                <w:lang w:val="en-US" w:eastAsia="zh-CN" w:bidi="ar"/>
              </w:rPr>
              <w:t>▲10、LED教室灯在大气压力≥100kPa，平均湿度≥50%RH、极值空气温度≤-25℃及相对温差≥34℃的实地自然环境条件下至少持续运行360小时，至少依据《GB/T9468》标准满足光束角C0-C180及C90-C270的实测值与初始值偏差均不超过±10%。</w:t>
            </w:r>
            <w:r>
              <w:rPr>
                <w:rFonts w:hint="eastAsia" w:asciiTheme="minorEastAsia" w:hAnsiTheme="minorEastAsia" w:eastAsiaTheme="minorEastAsia" w:cstheme="minorEastAsia"/>
                <w:i w:val="0"/>
                <w:iCs w:val="0"/>
                <w:color w:val="000000"/>
                <w:kern w:val="0"/>
                <w:sz w:val="18"/>
                <w:szCs w:val="18"/>
                <w:u w:val="none"/>
                <w:lang w:val="en-US" w:eastAsia="zh-CN" w:bidi="ar"/>
              </w:rPr>
              <w:br w:type="textWrapping"/>
            </w:r>
            <w:r>
              <w:rPr>
                <w:rFonts w:hint="eastAsia" w:asciiTheme="minorEastAsia" w:hAnsiTheme="minorEastAsia" w:eastAsiaTheme="minorEastAsia" w:cstheme="minorEastAsia"/>
                <w:i w:val="0"/>
                <w:iCs w:val="0"/>
                <w:color w:val="000000"/>
                <w:kern w:val="0"/>
                <w:sz w:val="18"/>
                <w:szCs w:val="18"/>
                <w:u w:val="none"/>
                <w:lang w:val="en-US" w:eastAsia="zh-CN" w:bidi="ar"/>
              </w:rPr>
              <w:t>▲11、LED教室灯在大气压力≥100kPa，平均湿度≥50%RH、极值空气温度≤-25℃及相对温差≥34℃的实地自然环境条件下至少持续运行360小时，至少依据《GB/T31897.201》标准满足光效的实测值与初始值的偏差不超过-10%。</w:t>
            </w:r>
            <w:r>
              <w:rPr>
                <w:rFonts w:hint="eastAsia" w:asciiTheme="minorEastAsia" w:hAnsiTheme="minorEastAsia" w:eastAsiaTheme="minorEastAsia" w:cstheme="minorEastAsia"/>
                <w:i w:val="0"/>
                <w:iCs w:val="0"/>
                <w:color w:val="000000"/>
                <w:kern w:val="0"/>
                <w:sz w:val="18"/>
                <w:szCs w:val="18"/>
                <w:u w:val="none"/>
                <w:lang w:val="en-US" w:eastAsia="zh-CN" w:bidi="ar"/>
              </w:rPr>
              <w:br w:type="textWrapping"/>
            </w:r>
            <w:r>
              <w:rPr>
                <w:rFonts w:hint="eastAsia" w:asciiTheme="minorEastAsia" w:hAnsiTheme="minorEastAsia" w:eastAsiaTheme="minorEastAsia" w:cstheme="minorEastAsia"/>
                <w:i w:val="0"/>
                <w:iCs w:val="0"/>
                <w:color w:val="000000"/>
                <w:kern w:val="0"/>
                <w:sz w:val="18"/>
                <w:szCs w:val="18"/>
                <w:u w:val="none"/>
                <w:lang w:val="en-US" w:eastAsia="zh-CN" w:bidi="ar"/>
              </w:rPr>
              <w:t>▲12、LED教室灯在大气压力≥100kPa，平均湿度≥50%RH、极值空气温度≤-25℃及相对温差≥34℃的实地自然环境条件下至少持续运行360小时，至少依据《GB/T 18595》标准满足浪涌性能达到C或以上等级。</w:t>
            </w:r>
            <w:r>
              <w:rPr>
                <w:rFonts w:hint="eastAsia" w:asciiTheme="minorEastAsia" w:hAnsiTheme="minorEastAsia" w:eastAsiaTheme="minorEastAsia" w:cstheme="minorEastAsia"/>
                <w:i w:val="0"/>
                <w:iCs w:val="0"/>
                <w:color w:val="000000"/>
                <w:kern w:val="0"/>
                <w:sz w:val="18"/>
                <w:szCs w:val="18"/>
                <w:u w:val="none"/>
                <w:lang w:val="en-US" w:eastAsia="zh-CN" w:bidi="ar"/>
              </w:rPr>
              <w:br w:type="textWrapping"/>
            </w:r>
            <w:r>
              <w:rPr>
                <w:rFonts w:hint="eastAsia" w:asciiTheme="minorEastAsia" w:hAnsiTheme="minorEastAsia" w:eastAsiaTheme="minorEastAsia" w:cstheme="minorEastAsia"/>
                <w:i w:val="0"/>
                <w:iCs w:val="0"/>
                <w:color w:val="000000"/>
                <w:kern w:val="0"/>
                <w:sz w:val="18"/>
                <w:szCs w:val="18"/>
                <w:u w:val="none"/>
                <w:lang w:val="en-US" w:eastAsia="zh-CN" w:bidi="ar"/>
              </w:rPr>
              <w:t xml:space="preserve">▲13、LED教室灯在大气压力≥100kPa，平均湿度≥50%RH、极值空气温度≤-25℃及相对温差≥34℃的实地自然环境条件下至少持续运行360小时，至少依据《GB/T6882》标准满足噪声＜17dB（A）。 </w:t>
            </w:r>
            <w:r>
              <w:rPr>
                <w:rFonts w:hint="eastAsia" w:asciiTheme="minorEastAsia" w:hAnsiTheme="minorEastAsia" w:eastAsiaTheme="minorEastAsia" w:cstheme="minorEastAsia"/>
                <w:i w:val="0"/>
                <w:iCs w:val="0"/>
                <w:color w:val="000000"/>
                <w:kern w:val="0"/>
                <w:sz w:val="18"/>
                <w:szCs w:val="18"/>
                <w:u w:val="none"/>
                <w:lang w:val="en-US" w:eastAsia="zh-CN" w:bidi="ar"/>
              </w:rPr>
              <w:br w:type="textWrapping"/>
            </w:r>
            <w:r>
              <w:rPr>
                <w:rFonts w:hint="eastAsia" w:asciiTheme="minorEastAsia" w:hAnsiTheme="minorEastAsia" w:eastAsiaTheme="minorEastAsia" w:cstheme="minorEastAsia"/>
                <w:i w:val="0"/>
                <w:iCs w:val="0"/>
                <w:color w:val="000000"/>
                <w:kern w:val="0"/>
                <w:sz w:val="18"/>
                <w:szCs w:val="18"/>
                <w:u w:val="none"/>
                <w:lang w:val="en-US" w:eastAsia="zh-CN" w:bidi="ar"/>
              </w:rPr>
              <w:t>14、为确保灯具使用寿命，LED教室灯符合《LED灯具可靠性试验方法》第6章电源开关试验要求。</w:t>
            </w:r>
            <w:r>
              <w:rPr>
                <w:rFonts w:hint="eastAsia" w:asciiTheme="minorEastAsia" w:hAnsiTheme="minorEastAsia" w:eastAsiaTheme="minorEastAsia" w:cstheme="minorEastAsia"/>
                <w:i w:val="0"/>
                <w:iCs w:val="0"/>
                <w:color w:val="000000"/>
                <w:kern w:val="0"/>
                <w:sz w:val="18"/>
                <w:szCs w:val="18"/>
                <w:u w:val="none"/>
                <w:lang w:val="en-US" w:eastAsia="zh-CN" w:bidi="ar"/>
              </w:rPr>
              <w:br w:type="textWrapping"/>
            </w:r>
            <w:r>
              <w:rPr>
                <w:rFonts w:hint="eastAsia" w:asciiTheme="minorEastAsia" w:hAnsiTheme="minorEastAsia" w:eastAsiaTheme="minorEastAsia" w:cstheme="minorEastAsia"/>
                <w:i w:val="0"/>
                <w:iCs w:val="0"/>
                <w:color w:val="000000"/>
                <w:kern w:val="0"/>
                <w:sz w:val="18"/>
                <w:szCs w:val="18"/>
                <w:u w:val="none"/>
                <w:lang w:val="en-US" w:eastAsia="zh-CN" w:bidi="ar"/>
              </w:rPr>
              <w:t>15、LED教室灯光通维持寿命≥50000小时。</w:t>
            </w:r>
          </w:p>
        </w:tc>
        <w:tc>
          <w:tcPr>
            <w:tcW w:w="55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6D76521">
            <w:pPr>
              <w:keepNext w:val="0"/>
              <w:keepLines w:val="0"/>
              <w:widowControl/>
              <w:suppressLineNumbers w:val="0"/>
              <w:overflowPunct/>
              <w:bidi w:val="0"/>
              <w:spacing w:line="240" w:lineRule="auto"/>
              <w:jc w:val="center"/>
              <w:textAlignment w:val="center"/>
              <w:outlineLvl w:val="9"/>
              <w:rPr>
                <w:rFonts w:hint="eastAsia" w:asciiTheme="minorEastAsia" w:hAnsiTheme="minorEastAsia" w:eastAsiaTheme="minorEastAsia" w:cstheme="minorEastAsia"/>
                <w:i w:val="0"/>
                <w:iCs w:val="0"/>
                <w:color w:val="000000"/>
                <w:sz w:val="18"/>
                <w:szCs w:val="18"/>
                <w:u w:val="none"/>
              </w:rPr>
            </w:pPr>
            <w:r>
              <w:rPr>
                <w:rFonts w:hint="eastAsia" w:asciiTheme="minorEastAsia" w:hAnsiTheme="minorEastAsia" w:eastAsiaTheme="minorEastAsia" w:cstheme="minorEastAsia"/>
                <w:i w:val="0"/>
                <w:iCs w:val="0"/>
                <w:color w:val="000000"/>
                <w:kern w:val="0"/>
                <w:sz w:val="18"/>
                <w:szCs w:val="18"/>
                <w:u w:val="none"/>
                <w:lang w:val="en-US" w:eastAsia="zh-CN" w:bidi="ar"/>
              </w:rPr>
              <w:t>54</w:t>
            </w:r>
          </w:p>
        </w:tc>
        <w:tc>
          <w:tcPr>
            <w:tcW w:w="51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C662C35">
            <w:pPr>
              <w:keepNext w:val="0"/>
              <w:keepLines w:val="0"/>
              <w:widowControl/>
              <w:suppressLineNumbers w:val="0"/>
              <w:overflowPunct/>
              <w:bidi w:val="0"/>
              <w:spacing w:line="240" w:lineRule="auto"/>
              <w:jc w:val="center"/>
              <w:textAlignment w:val="center"/>
              <w:outlineLvl w:val="9"/>
              <w:rPr>
                <w:rFonts w:hint="eastAsia" w:asciiTheme="minorEastAsia" w:hAnsiTheme="minorEastAsia" w:eastAsiaTheme="minorEastAsia" w:cstheme="minorEastAsia"/>
                <w:i w:val="0"/>
                <w:iCs w:val="0"/>
                <w:color w:val="000000"/>
                <w:sz w:val="18"/>
                <w:szCs w:val="18"/>
                <w:u w:val="none"/>
              </w:rPr>
            </w:pPr>
            <w:r>
              <w:rPr>
                <w:rFonts w:hint="eastAsia" w:asciiTheme="minorEastAsia" w:hAnsiTheme="minorEastAsia" w:eastAsiaTheme="minorEastAsia" w:cstheme="minorEastAsia"/>
                <w:i w:val="0"/>
                <w:iCs w:val="0"/>
                <w:color w:val="000000"/>
                <w:kern w:val="0"/>
                <w:sz w:val="18"/>
                <w:szCs w:val="18"/>
                <w:u w:val="none"/>
                <w:lang w:val="en-US" w:eastAsia="zh-CN" w:bidi="ar"/>
              </w:rPr>
              <w:t>盏</w:t>
            </w:r>
          </w:p>
        </w:tc>
        <w:tc>
          <w:tcPr>
            <w:tcW w:w="81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63A48C1">
            <w:pPr>
              <w:keepNext w:val="0"/>
              <w:keepLines w:val="0"/>
              <w:widowControl/>
              <w:suppressLineNumbers w:val="0"/>
              <w:overflowPunct/>
              <w:bidi w:val="0"/>
              <w:spacing w:line="240" w:lineRule="auto"/>
              <w:jc w:val="right"/>
              <w:textAlignment w:val="center"/>
              <w:outlineLvl w:val="9"/>
              <w:rPr>
                <w:rFonts w:hint="eastAsia" w:asciiTheme="minorEastAsia" w:hAnsiTheme="minorEastAsia" w:eastAsiaTheme="minorEastAsia" w:cstheme="minorEastAsia"/>
                <w:i w:val="0"/>
                <w:iCs w:val="0"/>
                <w:color w:val="000000"/>
                <w:sz w:val="18"/>
                <w:szCs w:val="18"/>
                <w:u w:val="none"/>
              </w:rPr>
            </w:pPr>
            <w:r>
              <w:rPr>
                <w:rFonts w:hint="eastAsia" w:asciiTheme="minorEastAsia" w:hAnsiTheme="minorEastAsia" w:eastAsiaTheme="minorEastAsia" w:cstheme="minorEastAsia"/>
                <w:i w:val="0"/>
                <w:iCs w:val="0"/>
                <w:color w:val="000000"/>
                <w:kern w:val="0"/>
                <w:sz w:val="18"/>
                <w:szCs w:val="18"/>
                <w:u w:val="none"/>
                <w:lang w:val="en-US" w:eastAsia="zh-CN" w:bidi="ar"/>
              </w:rPr>
              <w:t>350</w:t>
            </w:r>
          </w:p>
        </w:tc>
      </w:tr>
      <w:tr w14:paraId="6FEC94C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00" w:hRule="atLeast"/>
        </w:trPr>
        <w:tc>
          <w:tcPr>
            <w:tcW w:w="15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77BE558">
            <w:pPr>
              <w:keepNext w:val="0"/>
              <w:keepLines w:val="0"/>
              <w:widowControl/>
              <w:suppressLineNumbers w:val="0"/>
              <w:overflowPunct/>
              <w:bidi w:val="0"/>
              <w:spacing w:line="240" w:lineRule="auto"/>
              <w:jc w:val="center"/>
              <w:textAlignment w:val="center"/>
              <w:outlineLvl w:val="9"/>
              <w:rPr>
                <w:rFonts w:hint="eastAsia" w:asciiTheme="minorEastAsia" w:hAnsiTheme="minorEastAsia" w:eastAsiaTheme="minorEastAsia" w:cstheme="minorEastAsia"/>
                <w:i w:val="0"/>
                <w:iCs w:val="0"/>
                <w:color w:val="000000"/>
                <w:sz w:val="18"/>
                <w:szCs w:val="18"/>
                <w:u w:val="none"/>
              </w:rPr>
            </w:pPr>
            <w:r>
              <w:rPr>
                <w:rFonts w:hint="eastAsia" w:asciiTheme="minorEastAsia" w:hAnsiTheme="minorEastAsia" w:eastAsiaTheme="minorEastAsia" w:cstheme="minorEastAsia"/>
                <w:i w:val="0"/>
                <w:iCs w:val="0"/>
                <w:color w:val="000000"/>
                <w:kern w:val="0"/>
                <w:sz w:val="18"/>
                <w:szCs w:val="18"/>
                <w:u w:val="none"/>
                <w:lang w:val="en-US" w:eastAsia="zh-CN" w:bidi="ar"/>
              </w:rPr>
              <w:t>智能LED黑板灯2</w:t>
            </w:r>
          </w:p>
        </w:tc>
        <w:tc>
          <w:tcPr>
            <w:tcW w:w="577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EA4497F">
            <w:pPr>
              <w:keepNext w:val="0"/>
              <w:keepLines w:val="0"/>
              <w:widowControl/>
              <w:suppressLineNumbers w:val="0"/>
              <w:overflowPunct/>
              <w:bidi w:val="0"/>
              <w:spacing w:line="240" w:lineRule="auto"/>
              <w:jc w:val="left"/>
              <w:textAlignment w:val="center"/>
              <w:outlineLvl w:val="9"/>
              <w:rPr>
                <w:rFonts w:hint="eastAsia" w:asciiTheme="minorEastAsia" w:hAnsiTheme="minorEastAsia" w:eastAsiaTheme="minorEastAsia" w:cstheme="minorEastAsia"/>
                <w:i w:val="0"/>
                <w:iCs w:val="0"/>
                <w:color w:val="000000"/>
                <w:sz w:val="18"/>
                <w:szCs w:val="18"/>
                <w:u w:val="none"/>
              </w:rPr>
            </w:pPr>
            <w:r>
              <w:rPr>
                <w:rFonts w:hint="eastAsia" w:asciiTheme="minorEastAsia" w:hAnsiTheme="minorEastAsia" w:eastAsiaTheme="minorEastAsia" w:cstheme="minorEastAsia"/>
                <w:i w:val="0"/>
                <w:iCs w:val="0"/>
                <w:color w:val="000000"/>
                <w:kern w:val="0"/>
                <w:sz w:val="18"/>
                <w:szCs w:val="18"/>
                <w:u w:val="none"/>
                <w:lang w:val="en-US" w:eastAsia="zh-CN" w:bidi="ar"/>
              </w:rPr>
              <w:t xml:space="preserve">▲1、LED黑板灯尺寸长度≥1220mm，为一体式电镀铝格栅防眩灯具，格栅尺寸长宽高300*20*8mm±1mm，有效防止眩光；采用一体式航空铝型材灯体，灯体最小壁厚不低于0.65mm。  </w:t>
            </w:r>
            <w:r>
              <w:rPr>
                <w:rFonts w:hint="eastAsia" w:asciiTheme="minorEastAsia" w:hAnsiTheme="minorEastAsia" w:eastAsiaTheme="minorEastAsia" w:cstheme="minorEastAsia"/>
                <w:i w:val="0"/>
                <w:iCs w:val="0"/>
                <w:color w:val="000000"/>
                <w:kern w:val="0"/>
                <w:sz w:val="18"/>
                <w:szCs w:val="18"/>
                <w:u w:val="none"/>
                <w:lang w:val="en-US" w:eastAsia="zh-CN" w:bidi="ar"/>
              </w:rPr>
              <w:br w:type="textWrapping"/>
            </w:r>
            <w:r>
              <w:rPr>
                <w:rFonts w:hint="eastAsia" w:asciiTheme="minorEastAsia" w:hAnsiTheme="minorEastAsia" w:eastAsiaTheme="minorEastAsia" w:cstheme="minorEastAsia"/>
                <w:i w:val="0"/>
                <w:iCs w:val="0"/>
                <w:color w:val="000000"/>
                <w:kern w:val="0"/>
                <w:sz w:val="18"/>
                <w:szCs w:val="18"/>
                <w:u w:val="none"/>
                <w:lang w:val="en-US" w:eastAsia="zh-CN" w:bidi="ar"/>
              </w:rPr>
              <w:t>2、LED黑板灯为一体式挡光板设计，挡光板高度不低于17mm，能够有效遮挡眩光，能够使光线更集中分布在黑板表面，避免多余的光线入射到老师或学生的眼睛；吊杆连接装置可调节，且吊装支架能够固定电源线，隐藏安装线，保证走线美观；采用拔插式固定灯体和吊杆，不使用螺丝连接吊杆，安装便捷。</w:t>
            </w:r>
            <w:r>
              <w:rPr>
                <w:rFonts w:hint="eastAsia" w:asciiTheme="minorEastAsia" w:hAnsiTheme="minorEastAsia" w:eastAsiaTheme="minorEastAsia" w:cstheme="minorEastAsia"/>
                <w:i w:val="0"/>
                <w:iCs w:val="0"/>
                <w:color w:val="000000"/>
                <w:kern w:val="0"/>
                <w:sz w:val="18"/>
                <w:szCs w:val="18"/>
                <w:u w:val="none"/>
                <w:lang w:val="en-US" w:eastAsia="zh-CN" w:bidi="ar"/>
              </w:rPr>
              <w:br w:type="textWrapping"/>
            </w:r>
            <w:r>
              <w:rPr>
                <w:rFonts w:hint="eastAsia" w:asciiTheme="minorEastAsia" w:hAnsiTheme="minorEastAsia" w:eastAsiaTheme="minorEastAsia" w:cstheme="minorEastAsia"/>
                <w:i w:val="0"/>
                <w:iCs w:val="0"/>
                <w:color w:val="000000"/>
                <w:kern w:val="0"/>
                <w:sz w:val="18"/>
                <w:szCs w:val="18"/>
                <w:u w:val="none"/>
                <w:lang w:val="en-US" w:eastAsia="zh-CN" w:bidi="ar"/>
              </w:rPr>
              <w:t>3、LED黑板灯色温（或相关色温）4300-5300K，显色指数Ra≥95、R9≥90，色容差≤5 SDCM。</w:t>
            </w:r>
            <w:r>
              <w:rPr>
                <w:rFonts w:hint="eastAsia" w:asciiTheme="minorEastAsia" w:hAnsiTheme="minorEastAsia" w:eastAsiaTheme="minorEastAsia" w:cstheme="minorEastAsia"/>
                <w:i w:val="0"/>
                <w:iCs w:val="0"/>
                <w:color w:val="000000"/>
                <w:kern w:val="0"/>
                <w:sz w:val="18"/>
                <w:szCs w:val="18"/>
                <w:u w:val="none"/>
                <w:lang w:val="en-US" w:eastAsia="zh-CN" w:bidi="ar"/>
              </w:rPr>
              <w:br w:type="textWrapping"/>
            </w:r>
            <w:r>
              <w:rPr>
                <w:rFonts w:hint="eastAsia" w:asciiTheme="minorEastAsia" w:hAnsiTheme="minorEastAsia" w:eastAsiaTheme="minorEastAsia" w:cstheme="minorEastAsia"/>
                <w:i w:val="0"/>
                <w:iCs w:val="0"/>
                <w:color w:val="000000"/>
                <w:kern w:val="0"/>
                <w:sz w:val="18"/>
                <w:szCs w:val="18"/>
                <w:u w:val="none"/>
                <w:lang w:val="en-US" w:eastAsia="zh-CN" w:bidi="ar"/>
              </w:rPr>
              <w:t>4、LED黑板灯至少依据《GB/T 17743》及《GB/T 31275》标准通过人体电磁辐射测试，且灯具电源端传导骚扰电压（或电源接口骚扰电压）、外壳端口辐射骚扰、感应电流密度检测结果皆为合格（或符合或通过或判定为P）。</w:t>
            </w:r>
            <w:r>
              <w:rPr>
                <w:rFonts w:hint="eastAsia" w:asciiTheme="minorEastAsia" w:hAnsiTheme="minorEastAsia" w:eastAsiaTheme="minorEastAsia" w:cstheme="minorEastAsia"/>
                <w:i w:val="0"/>
                <w:iCs w:val="0"/>
                <w:color w:val="000000"/>
                <w:kern w:val="0"/>
                <w:sz w:val="18"/>
                <w:szCs w:val="18"/>
                <w:u w:val="none"/>
                <w:lang w:val="en-US" w:eastAsia="zh-CN" w:bidi="ar"/>
              </w:rPr>
              <w:br w:type="textWrapping"/>
            </w:r>
            <w:r>
              <w:rPr>
                <w:rFonts w:hint="eastAsia" w:asciiTheme="minorEastAsia" w:hAnsiTheme="minorEastAsia" w:eastAsiaTheme="minorEastAsia" w:cstheme="minorEastAsia"/>
                <w:i w:val="0"/>
                <w:iCs w:val="0"/>
                <w:color w:val="000000"/>
                <w:kern w:val="0"/>
                <w:sz w:val="18"/>
                <w:szCs w:val="18"/>
                <w:u w:val="none"/>
                <w:lang w:val="en-US" w:eastAsia="zh-CN" w:bidi="ar"/>
              </w:rPr>
              <w:t>▲5、LED黑板灯额定功率≤40W，单颗光源功率≥1W，光源额定总功率是灯具额定功率的2倍或以上。</w:t>
            </w:r>
            <w:r>
              <w:rPr>
                <w:rFonts w:hint="eastAsia" w:asciiTheme="minorEastAsia" w:hAnsiTheme="minorEastAsia" w:eastAsiaTheme="minorEastAsia" w:cstheme="minorEastAsia"/>
                <w:i w:val="0"/>
                <w:iCs w:val="0"/>
                <w:color w:val="000000"/>
                <w:kern w:val="0"/>
                <w:sz w:val="18"/>
                <w:szCs w:val="18"/>
                <w:u w:val="none"/>
                <w:lang w:val="en-US" w:eastAsia="zh-CN" w:bidi="ar"/>
              </w:rPr>
              <w:br w:type="textWrapping"/>
            </w:r>
            <w:r>
              <w:rPr>
                <w:rFonts w:hint="eastAsia" w:asciiTheme="minorEastAsia" w:hAnsiTheme="minorEastAsia" w:eastAsiaTheme="minorEastAsia" w:cstheme="minorEastAsia"/>
                <w:i w:val="0"/>
                <w:iCs w:val="0"/>
                <w:color w:val="000000"/>
                <w:kern w:val="0"/>
                <w:sz w:val="18"/>
                <w:szCs w:val="18"/>
                <w:u w:val="none"/>
                <w:lang w:val="en-US" w:eastAsia="zh-CN" w:bidi="ar"/>
              </w:rPr>
              <w:t>6、LED黑板灯至少依据《GB/T 26572》标准通过电器电子产品认证。</w:t>
            </w:r>
            <w:r>
              <w:rPr>
                <w:rFonts w:hint="eastAsia" w:asciiTheme="minorEastAsia" w:hAnsiTheme="minorEastAsia" w:eastAsiaTheme="minorEastAsia" w:cstheme="minorEastAsia"/>
                <w:i w:val="0"/>
                <w:iCs w:val="0"/>
                <w:color w:val="000000"/>
                <w:kern w:val="0"/>
                <w:sz w:val="18"/>
                <w:szCs w:val="18"/>
                <w:u w:val="none"/>
                <w:lang w:val="en-US" w:eastAsia="zh-CN" w:bidi="ar"/>
              </w:rPr>
              <w:br w:type="textWrapping"/>
            </w:r>
            <w:r>
              <w:rPr>
                <w:rFonts w:hint="eastAsia" w:asciiTheme="minorEastAsia" w:hAnsiTheme="minorEastAsia" w:eastAsiaTheme="minorEastAsia" w:cstheme="minorEastAsia"/>
                <w:i w:val="0"/>
                <w:iCs w:val="0"/>
                <w:color w:val="000000"/>
                <w:kern w:val="0"/>
                <w:sz w:val="18"/>
                <w:szCs w:val="18"/>
                <w:u w:val="none"/>
                <w:lang w:val="en-US" w:eastAsia="zh-CN" w:bidi="ar"/>
              </w:rPr>
              <w:t>7、LED黑板灯通过频闪无危害或无频闪危害或无显著影响认证。</w:t>
            </w:r>
            <w:r>
              <w:rPr>
                <w:rFonts w:hint="eastAsia" w:asciiTheme="minorEastAsia" w:hAnsiTheme="minorEastAsia" w:eastAsiaTheme="minorEastAsia" w:cstheme="minorEastAsia"/>
                <w:i w:val="0"/>
                <w:iCs w:val="0"/>
                <w:color w:val="000000"/>
                <w:kern w:val="0"/>
                <w:sz w:val="18"/>
                <w:szCs w:val="18"/>
                <w:u w:val="none"/>
                <w:lang w:val="en-US" w:eastAsia="zh-CN" w:bidi="ar"/>
              </w:rPr>
              <w:br w:type="textWrapping"/>
            </w:r>
            <w:r>
              <w:rPr>
                <w:rFonts w:hint="eastAsia" w:asciiTheme="minorEastAsia" w:hAnsiTheme="minorEastAsia" w:eastAsiaTheme="minorEastAsia" w:cstheme="minorEastAsia"/>
                <w:i w:val="0"/>
                <w:iCs w:val="0"/>
                <w:color w:val="000000"/>
                <w:kern w:val="0"/>
                <w:sz w:val="18"/>
                <w:szCs w:val="18"/>
                <w:u w:val="none"/>
                <w:lang w:val="en-US" w:eastAsia="zh-CN" w:bidi="ar"/>
              </w:rPr>
              <w:t>8、LED黑板灯蓝光危害等级为RG0（或0类危险）。</w:t>
            </w:r>
            <w:r>
              <w:rPr>
                <w:rFonts w:hint="eastAsia" w:asciiTheme="minorEastAsia" w:hAnsiTheme="minorEastAsia" w:eastAsiaTheme="minorEastAsia" w:cstheme="minorEastAsia"/>
                <w:i w:val="0"/>
                <w:iCs w:val="0"/>
                <w:color w:val="000000"/>
                <w:kern w:val="0"/>
                <w:sz w:val="18"/>
                <w:szCs w:val="18"/>
                <w:u w:val="none"/>
                <w:lang w:val="en-US" w:eastAsia="zh-CN" w:bidi="ar"/>
              </w:rPr>
              <w:br w:type="textWrapping"/>
            </w:r>
            <w:r>
              <w:rPr>
                <w:rFonts w:hint="eastAsia" w:asciiTheme="minorEastAsia" w:hAnsiTheme="minorEastAsia" w:eastAsiaTheme="minorEastAsia" w:cstheme="minorEastAsia"/>
                <w:i w:val="0"/>
                <w:iCs w:val="0"/>
                <w:color w:val="000000"/>
                <w:kern w:val="0"/>
                <w:sz w:val="18"/>
                <w:szCs w:val="18"/>
                <w:u w:val="none"/>
                <w:lang w:val="en-US" w:eastAsia="zh-CN" w:bidi="ar"/>
              </w:rPr>
              <w:t>▲9、LED黑板灯在大气压力≥100kPa，平均湿度≥50%RH、极值空气温度≤-25℃及相对温差≥34℃的实地自然环境条件下至少持续运行360小时，至少依据《GB/T36979》标准满足色品空间颜色非均匀性△u’v’≤0.007。</w:t>
            </w:r>
            <w:r>
              <w:rPr>
                <w:rFonts w:hint="eastAsia" w:asciiTheme="minorEastAsia" w:hAnsiTheme="minorEastAsia" w:eastAsiaTheme="minorEastAsia" w:cstheme="minorEastAsia"/>
                <w:i w:val="0"/>
                <w:iCs w:val="0"/>
                <w:color w:val="000000"/>
                <w:kern w:val="0"/>
                <w:sz w:val="18"/>
                <w:szCs w:val="18"/>
                <w:u w:val="none"/>
                <w:lang w:val="en-US" w:eastAsia="zh-CN" w:bidi="ar"/>
              </w:rPr>
              <w:br w:type="textWrapping"/>
            </w:r>
            <w:r>
              <w:rPr>
                <w:rFonts w:hint="eastAsia" w:asciiTheme="minorEastAsia" w:hAnsiTheme="minorEastAsia" w:eastAsiaTheme="minorEastAsia" w:cstheme="minorEastAsia"/>
                <w:i w:val="0"/>
                <w:iCs w:val="0"/>
                <w:color w:val="000000"/>
                <w:kern w:val="0"/>
                <w:sz w:val="18"/>
                <w:szCs w:val="18"/>
                <w:u w:val="none"/>
                <w:lang w:val="en-US" w:eastAsia="zh-CN" w:bidi="ar"/>
              </w:rPr>
              <w:t>▲10、LED黑板灯在大气压力≥100kPa，平均湿度≥50%RH、极值空气温度≤-25℃及相对温差≥34℃的实地自然环境条件下至少持续运行360小时，至少依据《GB/T9468》标准满足光束角C0-C180及C90-C270的实测值与初始值偏差均不超过±10%。</w:t>
            </w:r>
            <w:r>
              <w:rPr>
                <w:rFonts w:hint="eastAsia" w:asciiTheme="minorEastAsia" w:hAnsiTheme="minorEastAsia" w:eastAsiaTheme="minorEastAsia" w:cstheme="minorEastAsia"/>
                <w:i w:val="0"/>
                <w:iCs w:val="0"/>
                <w:color w:val="000000"/>
                <w:kern w:val="0"/>
                <w:sz w:val="18"/>
                <w:szCs w:val="18"/>
                <w:u w:val="none"/>
                <w:lang w:val="en-US" w:eastAsia="zh-CN" w:bidi="ar"/>
              </w:rPr>
              <w:br w:type="textWrapping"/>
            </w:r>
            <w:r>
              <w:rPr>
                <w:rFonts w:hint="eastAsia" w:asciiTheme="minorEastAsia" w:hAnsiTheme="minorEastAsia" w:eastAsiaTheme="minorEastAsia" w:cstheme="minorEastAsia"/>
                <w:i w:val="0"/>
                <w:iCs w:val="0"/>
                <w:color w:val="000000"/>
                <w:kern w:val="0"/>
                <w:sz w:val="18"/>
                <w:szCs w:val="18"/>
                <w:u w:val="none"/>
                <w:lang w:val="en-US" w:eastAsia="zh-CN" w:bidi="ar"/>
              </w:rPr>
              <w:t xml:space="preserve">▲11、LED黑板灯在大气压力≥100kPa，平均湿度≥50%RH、极值空气温度≤-25℃及相对温差≥34℃的实地自然环境条件下至少持续运行360小时，至少依据《GB/T31897.201》标准满足光效的实测值与初始值的偏差不超过-10%。 </w:t>
            </w:r>
            <w:r>
              <w:rPr>
                <w:rFonts w:hint="eastAsia" w:asciiTheme="minorEastAsia" w:hAnsiTheme="minorEastAsia" w:eastAsiaTheme="minorEastAsia" w:cstheme="minorEastAsia"/>
                <w:i w:val="0"/>
                <w:iCs w:val="0"/>
                <w:color w:val="000000"/>
                <w:kern w:val="0"/>
                <w:sz w:val="18"/>
                <w:szCs w:val="18"/>
                <w:u w:val="none"/>
                <w:lang w:val="en-US" w:eastAsia="zh-CN" w:bidi="ar"/>
              </w:rPr>
              <w:br w:type="textWrapping"/>
            </w:r>
            <w:r>
              <w:rPr>
                <w:rFonts w:hint="eastAsia" w:asciiTheme="minorEastAsia" w:hAnsiTheme="minorEastAsia" w:eastAsiaTheme="minorEastAsia" w:cstheme="minorEastAsia"/>
                <w:i w:val="0"/>
                <w:iCs w:val="0"/>
                <w:color w:val="000000"/>
                <w:kern w:val="0"/>
                <w:sz w:val="18"/>
                <w:szCs w:val="18"/>
                <w:u w:val="none"/>
                <w:lang w:val="en-US" w:eastAsia="zh-CN" w:bidi="ar"/>
              </w:rPr>
              <w:t>▲12、LED黑板灯在大气压力≥100kPa，平均湿度≥50%RH、极值空气温度≤-25℃及相对温差≥34℃的实地自然环境条件下至少持续运行360小时，至少依据《GB/T 18595》标准满足浪涌性能达到C或以上等级。</w:t>
            </w:r>
            <w:r>
              <w:rPr>
                <w:rFonts w:hint="eastAsia" w:asciiTheme="minorEastAsia" w:hAnsiTheme="minorEastAsia" w:eastAsiaTheme="minorEastAsia" w:cstheme="minorEastAsia"/>
                <w:i w:val="0"/>
                <w:iCs w:val="0"/>
                <w:color w:val="000000"/>
                <w:kern w:val="0"/>
                <w:sz w:val="18"/>
                <w:szCs w:val="18"/>
                <w:u w:val="none"/>
                <w:lang w:val="en-US" w:eastAsia="zh-CN" w:bidi="ar"/>
              </w:rPr>
              <w:br w:type="textWrapping"/>
            </w:r>
            <w:r>
              <w:rPr>
                <w:rFonts w:hint="eastAsia" w:asciiTheme="minorEastAsia" w:hAnsiTheme="minorEastAsia" w:eastAsiaTheme="minorEastAsia" w:cstheme="minorEastAsia"/>
                <w:i w:val="0"/>
                <w:iCs w:val="0"/>
                <w:color w:val="000000"/>
                <w:kern w:val="0"/>
                <w:sz w:val="18"/>
                <w:szCs w:val="18"/>
                <w:u w:val="none"/>
                <w:lang w:val="en-US" w:eastAsia="zh-CN" w:bidi="ar"/>
              </w:rPr>
              <w:t xml:space="preserve">▲13、LED黑板灯在大气压力≥100kPa，平均湿度≥50%RH、极值空气温度≤-25℃及相对温差≥34℃的实地自然环境条件下至少持续运行360小时，至少依据《GB/T6882》标准满足噪声＜17dB（A）。 </w:t>
            </w:r>
            <w:r>
              <w:rPr>
                <w:rFonts w:hint="eastAsia" w:asciiTheme="minorEastAsia" w:hAnsiTheme="minorEastAsia" w:eastAsiaTheme="minorEastAsia" w:cstheme="minorEastAsia"/>
                <w:i w:val="0"/>
                <w:iCs w:val="0"/>
                <w:color w:val="000000"/>
                <w:kern w:val="0"/>
                <w:sz w:val="18"/>
                <w:szCs w:val="18"/>
                <w:u w:val="none"/>
                <w:lang w:val="en-US" w:eastAsia="zh-CN" w:bidi="ar"/>
              </w:rPr>
              <w:br w:type="textWrapping"/>
            </w:r>
            <w:r>
              <w:rPr>
                <w:rFonts w:hint="eastAsia" w:asciiTheme="minorEastAsia" w:hAnsiTheme="minorEastAsia" w:eastAsiaTheme="minorEastAsia" w:cstheme="minorEastAsia"/>
                <w:i w:val="0"/>
                <w:iCs w:val="0"/>
                <w:color w:val="000000"/>
                <w:kern w:val="0"/>
                <w:sz w:val="18"/>
                <w:szCs w:val="18"/>
                <w:u w:val="none"/>
                <w:lang w:val="en-US" w:eastAsia="zh-CN" w:bidi="ar"/>
              </w:rPr>
              <w:t>14、为确保灯具使用寿命，LED黑板灯符合《LED灯具可靠性试验方法》第6章电源开关试验要求。</w:t>
            </w:r>
            <w:r>
              <w:rPr>
                <w:rFonts w:hint="eastAsia" w:asciiTheme="minorEastAsia" w:hAnsiTheme="minorEastAsia" w:eastAsiaTheme="minorEastAsia" w:cstheme="minorEastAsia"/>
                <w:i w:val="0"/>
                <w:iCs w:val="0"/>
                <w:color w:val="000000"/>
                <w:kern w:val="0"/>
                <w:sz w:val="18"/>
                <w:szCs w:val="18"/>
                <w:u w:val="none"/>
                <w:lang w:val="en-US" w:eastAsia="zh-CN" w:bidi="ar"/>
              </w:rPr>
              <w:br w:type="textWrapping"/>
            </w:r>
            <w:r>
              <w:rPr>
                <w:rFonts w:hint="eastAsia" w:asciiTheme="minorEastAsia" w:hAnsiTheme="minorEastAsia" w:eastAsiaTheme="minorEastAsia" w:cstheme="minorEastAsia"/>
                <w:i w:val="0"/>
                <w:iCs w:val="0"/>
                <w:color w:val="000000"/>
                <w:kern w:val="0"/>
                <w:sz w:val="18"/>
                <w:szCs w:val="18"/>
                <w:u w:val="none"/>
                <w:lang w:val="en-US" w:eastAsia="zh-CN" w:bidi="ar"/>
              </w:rPr>
              <w:t>15、LED黑板灯光通维持寿命≥50000小时。</w:t>
            </w:r>
          </w:p>
        </w:tc>
        <w:tc>
          <w:tcPr>
            <w:tcW w:w="55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8C6A872">
            <w:pPr>
              <w:keepNext w:val="0"/>
              <w:keepLines w:val="0"/>
              <w:widowControl/>
              <w:suppressLineNumbers w:val="0"/>
              <w:overflowPunct/>
              <w:bidi w:val="0"/>
              <w:spacing w:line="240" w:lineRule="auto"/>
              <w:jc w:val="center"/>
              <w:textAlignment w:val="center"/>
              <w:outlineLvl w:val="9"/>
              <w:rPr>
                <w:rFonts w:hint="eastAsia" w:asciiTheme="minorEastAsia" w:hAnsiTheme="minorEastAsia" w:eastAsiaTheme="minorEastAsia" w:cstheme="minorEastAsia"/>
                <w:i w:val="0"/>
                <w:iCs w:val="0"/>
                <w:color w:val="000000"/>
                <w:sz w:val="18"/>
                <w:szCs w:val="18"/>
                <w:u w:val="none"/>
              </w:rPr>
            </w:pPr>
            <w:r>
              <w:rPr>
                <w:rFonts w:hint="eastAsia" w:asciiTheme="minorEastAsia" w:hAnsiTheme="minorEastAsia" w:eastAsiaTheme="minorEastAsia" w:cstheme="minorEastAsia"/>
                <w:i w:val="0"/>
                <w:iCs w:val="0"/>
                <w:color w:val="000000"/>
                <w:kern w:val="0"/>
                <w:sz w:val="18"/>
                <w:szCs w:val="18"/>
                <w:u w:val="none"/>
                <w:lang w:val="en-US" w:eastAsia="zh-CN" w:bidi="ar"/>
              </w:rPr>
              <w:t>27</w:t>
            </w:r>
          </w:p>
        </w:tc>
        <w:tc>
          <w:tcPr>
            <w:tcW w:w="51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6C5B4B8">
            <w:pPr>
              <w:keepNext w:val="0"/>
              <w:keepLines w:val="0"/>
              <w:widowControl/>
              <w:suppressLineNumbers w:val="0"/>
              <w:overflowPunct/>
              <w:bidi w:val="0"/>
              <w:spacing w:line="240" w:lineRule="auto"/>
              <w:jc w:val="center"/>
              <w:textAlignment w:val="center"/>
              <w:outlineLvl w:val="9"/>
              <w:rPr>
                <w:rFonts w:hint="eastAsia" w:asciiTheme="minorEastAsia" w:hAnsiTheme="minorEastAsia" w:eastAsiaTheme="minorEastAsia" w:cstheme="minorEastAsia"/>
                <w:i w:val="0"/>
                <w:iCs w:val="0"/>
                <w:color w:val="000000"/>
                <w:sz w:val="18"/>
                <w:szCs w:val="18"/>
                <w:u w:val="none"/>
              </w:rPr>
            </w:pPr>
            <w:r>
              <w:rPr>
                <w:rFonts w:hint="eastAsia" w:asciiTheme="minorEastAsia" w:hAnsiTheme="minorEastAsia" w:eastAsiaTheme="minorEastAsia" w:cstheme="minorEastAsia"/>
                <w:i w:val="0"/>
                <w:iCs w:val="0"/>
                <w:color w:val="000000"/>
                <w:kern w:val="0"/>
                <w:sz w:val="18"/>
                <w:szCs w:val="18"/>
                <w:u w:val="none"/>
                <w:lang w:val="en-US" w:eastAsia="zh-CN" w:bidi="ar"/>
              </w:rPr>
              <w:t>盏</w:t>
            </w:r>
          </w:p>
        </w:tc>
        <w:tc>
          <w:tcPr>
            <w:tcW w:w="81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B2D15A8">
            <w:pPr>
              <w:keepNext w:val="0"/>
              <w:keepLines w:val="0"/>
              <w:widowControl/>
              <w:suppressLineNumbers w:val="0"/>
              <w:overflowPunct/>
              <w:bidi w:val="0"/>
              <w:spacing w:line="240" w:lineRule="auto"/>
              <w:jc w:val="right"/>
              <w:textAlignment w:val="center"/>
              <w:outlineLvl w:val="9"/>
              <w:rPr>
                <w:rFonts w:hint="eastAsia" w:asciiTheme="minorEastAsia" w:hAnsiTheme="minorEastAsia" w:eastAsiaTheme="minorEastAsia" w:cstheme="minorEastAsia"/>
                <w:i w:val="0"/>
                <w:iCs w:val="0"/>
                <w:color w:val="000000"/>
                <w:sz w:val="18"/>
                <w:szCs w:val="18"/>
                <w:u w:val="none"/>
              </w:rPr>
            </w:pPr>
            <w:r>
              <w:rPr>
                <w:rFonts w:hint="eastAsia" w:asciiTheme="minorEastAsia" w:hAnsiTheme="minorEastAsia" w:eastAsiaTheme="minorEastAsia" w:cstheme="minorEastAsia"/>
                <w:i w:val="0"/>
                <w:iCs w:val="0"/>
                <w:color w:val="000000"/>
                <w:kern w:val="0"/>
                <w:sz w:val="18"/>
                <w:szCs w:val="18"/>
                <w:u w:val="none"/>
                <w:lang w:val="en-US" w:eastAsia="zh-CN" w:bidi="ar"/>
              </w:rPr>
              <w:t>350</w:t>
            </w:r>
          </w:p>
        </w:tc>
      </w:tr>
      <w:tr w14:paraId="1FE3019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00" w:hRule="atLeast"/>
        </w:trPr>
        <w:tc>
          <w:tcPr>
            <w:tcW w:w="15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BA2D363">
            <w:pPr>
              <w:keepNext w:val="0"/>
              <w:keepLines w:val="0"/>
              <w:widowControl/>
              <w:suppressLineNumbers w:val="0"/>
              <w:overflowPunct/>
              <w:bidi w:val="0"/>
              <w:spacing w:line="240" w:lineRule="auto"/>
              <w:jc w:val="center"/>
              <w:textAlignment w:val="center"/>
              <w:outlineLvl w:val="9"/>
              <w:rPr>
                <w:rFonts w:hint="eastAsia" w:asciiTheme="minorEastAsia" w:hAnsiTheme="minorEastAsia" w:eastAsiaTheme="minorEastAsia" w:cstheme="minorEastAsia"/>
                <w:i w:val="0"/>
                <w:iCs w:val="0"/>
                <w:color w:val="000000"/>
                <w:sz w:val="18"/>
                <w:szCs w:val="18"/>
                <w:u w:val="none"/>
              </w:rPr>
            </w:pPr>
            <w:r>
              <w:rPr>
                <w:rFonts w:hint="eastAsia" w:asciiTheme="minorEastAsia" w:hAnsiTheme="minorEastAsia" w:eastAsiaTheme="minorEastAsia" w:cstheme="minorEastAsia"/>
                <w:i w:val="0"/>
                <w:iCs w:val="0"/>
                <w:color w:val="000000"/>
                <w:kern w:val="0"/>
                <w:sz w:val="18"/>
                <w:szCs w:val="18"/>
                <w:u w:val="none"/>
                <w:lang w:val="en-US" w:eastAsia="zh-CN" w:bidi="ar"/>
              </w:rPr>
              <w:t>无线教学扩声音箱</w:t>
            </w:r>
          </w:p>
        </w:tc>
        <w:tc>
          <w:tcPr>
            <w:tcW w:w="577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3DCC580">
            <w:pPr>
              <w:keepNext w:val="0"/>
              <w:keepLines w:val="0"/>
              <w:widowControl/>
              <w:suppressLineNumbers w:val="0"/>
              <w:overflowPunct/>
              <w:bidi w:val="0"/>
              <w:spacing w:line="240" w:lineRule="auto"/>
              <w:jc w:val="left"/>
              <w:textAlignment w:val="center"/>
              <w:outlineLvl w:val="9"/>
              <w:rPr>
                <w:rFonts w:hint="eastAsia" w:asciiTheme="minorEastAsia" w:hAnsiTheme="minorEastAsia" w:eastAsiaTheme="minorEastAsia" w:cstheme="minorEastAsia"/>
                <w:i w:val="0"/>
                <w:iCs w:val="0"/>
                <w:color w:val="000000"/>
                <w:sz w:val="18"/>
                <w:szCs w:val="18"/>
                <w:u w:val="none"/>
              </w:rPr>
            </w:pPr>
            <w:r>
              <w:rPr>
                <w:rFonts w:hint="eastAsia" w:asciiTheme="minorEastAsia" w:hAnsiTheme="minorEastAsia" w:eastAsiaTheme="minorEastAsia" w:cstheme="minorEastAsia"/>
                <w:i w:val="0"/>
                <w:iCs w:val="0"/>
                <w:color w:val="000000"/>
                <w:kern w:val="0"/>
                <w:sz w:val="18"/>
                <w:szCs w:val="18"/>
                <w:u w:val="none"/>
                <w:lang w:val="en-US" w:eastAsia="zh-CN" w:bidi="ar"/>
              </w:rPr>
              <w:t xml:space="preserve">1、外壳材质：ABS材质，整机尺寸长度：≤300mm，工作电压：AC 220V/50HZ。 </w:t>
            </w:r>
            <w:r>
              <w:rPr>
                <w:rFonts w:hint="eastAsia" w:asciiTheme="minorEastAsia" w:hAnsiTheme="minorEastAsia" w:eastAsiaTheme="minorEastAsia" w:cstheme="minorEastAsia"/>
                <w:i w:val="0"/>
                <w:iCs w:val="0"/>
                <w:color w:val="000000"/>
                <w:kern w:val="0"/>
                <w:sz w:val="18"/>
                <w:szCs w:val="18"/>
                <w:u w:val="none"/>
                <w:lang w:val="en-US" w:eastAsia="zh-CN" w:bidi="ar"/>
              </w:rPr>
              <w:br w:type="textWrapping"/>
            </w:r>
            <w:r>
              <w:rPr>
                <w:rFonts w:hint="eastAsia" w:asciiTheme="minorEastAsia" w:hAnsiTheme="minorEastAsia" w:eastAsiaTheme="minorEastAsia" w:cstheme="minorEastAsia"/>
                <w:i w:val="0"/>
                <w:iCs w:val="0"/>
                <w:color w:val="000000"/>
                <w:kern w:val="0"/>
                <w:sz w:val="18"/>
                <w:szCs w:val="18"/>
                <w:u w:val="none"/>
                <w:lang w:val="en-US" w:eastAsia="zh-CN" w:bidi="ar"/>
              </w:rPr>
              <w:t xml:space="preserve">▲2、支持专业数字U段无线传输，有效避开校园内其他无线信号（如蓝牙、WiFi等）干扰。 </w:t>
            </w:r>
            <w:r>
              <w:rPr>
                <w:rFonts w:hint="eastAsia" w:asciiTheme="minorEastAsia" w:hAnsiTheme="minorEastAsia" w:eastAsiaTheme="minorEastAsia" w:cstheme="minorEastAsia"/>
                <w:i w:val="0"/>
                <w:iCs w:val="0"/>
                <w:color w:val="000000"/>
                <w:kern w:val="0"/>
                <w:sz w:val="18"/>
                <w:szCs w:val="18"/>
                <w:u w:val="none"/>
                <w:lang w:val="en-US" w:eastAsia="zh-CN" w:bidi="ar"/>
              </w:rPr>
              <w:br w:type="textWrapping"/>
            </w:r>
            <w:r>
              <w:rPr>
                <w:rFonts w:hint="eastAsia" w:asciiTheme="minorEastAsia" w:hAnsiTheme="minorEastAsia" w:eastAsiaTheme="minorEastAsia" w:cstheme="minorEastAsia"/>
                <w:i w:val="0"/>
                <w:iCs w:val="0"/>
                <w:color w:val="000000"/>
                <w:kern w:val="0"/>
                <w:sz w:val="18"/>
                <w:szCs w:val="18"/>
                <w:u w:val="none"/>
                <w:lang w:val="en-US" w:eastAsia="zh-CN" w:bidi="ar"/>
              </w:rPr>
              <w:t>3、信噪比：≥80dB@1W。</w:t>
            </w:r>
            <w:r>
              <w:rPr>
                <w:rFonts w:hint="eastAsia" w:asciiTheme="minorEastAsia" w:hAnsiTheme="minorEastAsia" w:eastAsiaTheme="minorEastAsia" w:cstheme="minorEastAsia"/>
                <w:i w:val="0"/>
                <w:iCs w:val="0"/>
                <w:color w:val="000000"/>
                <w:kern w:val="0"/>
                <w:sz w:val="18"/>
                <w:szCs w:val="18"/>
                <w:u w:val="none"/>
                <w:lang w:val="en-US" w:eastAsia="zh-CN" w:bidi="ar"/>
              </w:rPr>
              <w:br w:type="textWrapping"/>
            </w:r>
            <w:r>
              <w:rPr>
                <w:rFonts w:hint="eastAsia" w:asciiTheme="minorEastAsia" w:hAnsiTheme="minorEastAsia" w:eastAsiaTheme="minorEastAsia" w:cstheme="minorEastAsia"/>
                <w:i w:val="0"/>
                <w:iCs w:val="0"/>
                <w:color w:val="000000"/>
                <w:kern w:val="0"/>
                <w:sz w:val="18"/>
                <w:szCs w:val="18"/>
                <w:u w:val="none"/>
                <w:lang w:val="en-US" w:eastAsia="zh-CN" w:bidi="ar"/>
              </w:rPr>
              <w:t>4、动态范围 ：麦克风-主机：10mv~160mv。</w:t>
            </w:r>
            <w:r>
              <w:rPr>
                <w:rFonts w:hint="eastAsia" w:asciiTheme="minorEastAsia" w:hAnsiTheme="minorEastAsia" w:eastAsiaTheme="minorEastAsia" w:cstheme="minorEastAsia"/>
                <w:i w:val="0"/>
                <w:iCs w:val="0"/>
                <w:color w:val="000000"/>
                <w:kern w:val="0"/>
                <w:sz w:val="18"/>
                <w:szCs w:val="18"/>
                <w:u w:val="none"/>
                <w:lang w:val="en-US" w:eastAsia="zh-CN" w:bidi="ar"/>
              </w:rPr>
              <w:br w:type="textWrapping"/>
            </w:r>
            <w:r>
              <w:rPr>
                <w:rFonts w:hint="eastAsia" w:asciiTheme="minorEastAsia" w:hAnsiTheme="minorEastAsia" w:eastAsiaTheme="minorEastAsia" w:cstheme="minorEastAsia"/>
                <w:i w:val="0"/>
                <w:iCs w:val="0"/>
                <w:color w:val="000000"/>
                <w:kern w:val="0"/>
                <w:sz w:val="18"/>
                <w:szCs w:val="18"/>
                <w:u w:val="none"/>
                <w:lang w:val="en-US" w:eastAsia="zh-CN" w:bidi="ar"/>
              </w:rPr>
              <w:t>5、频率响应：线路输入20Hz–20kHz。</w:t>
            </w:r>
            <w:r>
              <w:rPr>
                <w:rFonts w:hint="eastAsia" w:asciiTheme="minorEastAsia" w:hAnsiTheme="minorEastAsia" w:eastAsiaTheme="minorEastAsia" w:cstheme="minorEastAsia"/>
                <w:i w:val="0"/>
                <w:iCs w:val="0"/>
                <w:color w:val="000000"/>
                <w:kern w:val="0"/>
                <w:sz w:val="18"/>
                <w:szCs w:val="18"/>
                <w:u w:val="none"/>
                <w:lang w:val="en-US" w:eastAsia="zh-CN" w:bidi="ar"/>
              </w:rPr>
              <w:br w:type="textWrapping"/>
            </w:r>
            <w:r>
              <w:rPr>
                <w:rFonts w:hint="eastAsia" w:asciiTheme="minorEastAsia" w:hAnsiTheme="minorEastAsia" w:eastAsiaTheme="minorEastAsia" w:cstheme="minorEastAsia"/>
                <w:i w:val="0"/>
                <w:iCs w:val="0"/>
                <w:color w:val="000000"/>
                <w:kern w:val="0"/>
                <w:sz w:val="18"/>
                <w:szCs w:val="18"/>
                <w:u w:val="none"/>
                <w:lang w:val="en-US" w:eastAsia="zh-CN" w:bidi="ar"/>
              </w:rPr>
              <w:t>▲6、输入灵敏度：（-20dbFS）-0dbFS。</w:t>
            </w:r>
            <w:r>
              <w:rPr>
                <w:rFonts w:hint="eastAsia" w:asciiTheme="minorEastAsia" w:hAnsiTheme="minorEastAsia" w:eastAsiaTheme="minorEastAsia" w:cstheme="minorEastAsia"/>
                <w:i w:val="0"/>
                <w:iCs w:val="0"/>
                <w:color w:val="000000"/>
                <w:kern w:val="0"/>
                <w:sz w:val="18"/>
                <w:szCs w:val="18"/>
                <w:u w:val="none"/>
                <w:lang w:val="en-US" w:eastAsia="zh-CN" w:bidi="ar"/>
              </w:rPr>
              <w:br w:type="textWrapping"/>
            </w:r>
            <w:r>
              <w:rPr>
                <w:rFonts w:hint="eastAsia" w:asciiTheme="minorEastAsia" w:hAnsiTheme="minorEastAsia" w:eastAsiaTheme="minorEastAsia" w:cstheme="minorEastAsia"/>
                <w:i w:val="0"/>
                <w:iCs w:val="0"/>
                <w:color w:val="000000"/>
                <w:kern w:val="0"/>
                <w:sz w:val="18"/>
                <w:szCs w:val="18"/>
                <w:u w:val="none"/>
                <w:lang w:val="en-US" w:eastAsia="zh-CN" w:bidi="ar"/>
              </w:rPr>
              <w:t>7、失真度（失真+噪声）：＜0.5%@1W。</w:t>
            </w:r>
            <w:r>
              <w:rPr>
                <w:rFonts w:hint="eastAsia" w:asciiTheme="minorEastAsia" w:hAnsiTheme="minorEastAsia" w:eastAsiaTheme="minorEastAsia" w:cstheme="minorEastAsia"/>
                <w:i w:val="0"/>
                <w:iCs w:val="0"/>
                <w:color w:val="000000"/>
                <w:kern w:val="0"/>
                <w:sz w:val="18"/>
                <w:szCs w:val="18"/>
                <w:u w:val="none"/>
                <w:lang w:val="en-US" w:eastAsia="zh-CN" w:bidi="ar"/>
              </w:rPr>
              <w:br w:type="textWrapping"/>
            </w:r>
            <w:r>
              <w:rPr>
                <w:rFonts w:hint="eastAsia" w:asciiTheme="minorEastAsia" w:hAnsiTheme="minorEastAsia" w:eastAsiaTheme="minorEastAsia" w:cstheme="minorEastAsia"/>
                <w:i w:val="0"/>
                <w:iCs w:val="0"/>
                <w:color w:val="000000"/>
                <w:kern w:val="0"/>
                <w:sz w:val="18"/>
                <w:szCs w:val="18"/>
                <w:u w:val="none"/>
                <w:lang w:val="en-US" w:eastAsia="zh-CN" w:bidi="ar"/>
              </w:rPr>
              <w:t>8、无线频段：450Mhz~700Mhz。</w:t>
            </w:r>
            <w:r>
              <w:rPr>
                <w:rFonts w:hint="eastAsia" w:asciiTheme="minorEastAsia" w:hAnsiTheme="minorEastAsia" w:eastAsiaTheme="minorEastAsia" w:cstheme="minorEastAsia"/>
                <w:i w:val="0"/>
                <w:iCs w:val="0"/>
                <w:color w:val="000000"/>
                <w:kern w:val="0"/>
                <w:sz w:val="18"/>
                <w:szCs w:val="18"/>
                <w:u w:val="none"/>
                <w:lang w:val="en-US" w:eastAsia="zh-CN" w:bidi="ar"/>
              </w:rPr>
              <w:br w:type="textWrapping"/>
            </w:r>
            <w:r>
              <w:rPr>
                <w:rFonts w:hint="eastAsia" w:asciiTheme="minorEastAsia" w:hAnsiTheme="minorEastAsia" w:eastAsiaTheme="minorEastAsia" w:cstheme="minorEastAsia"/>
                <w:i w:val="0"/>
                <w:iCs w:val="0"/>
                <w:color w:val="000000"/>
                <w:kern w:val="0"/>
                <w:sz w:val="18"/>
                <w:szCs w:val="18"/>
                <w:u w:val="none"/>
                <w:lang w:val="en-US" w:eastAsia="zh-CN" w:bidi="ar"/>
              </w:rPr>
              <w:t>9、喇叭功率：4Ω 10W。</w:t>
            </w:r>
            <w:r>
              <w:rPr>
                <w:rFonts w:hint="eastAsia" w:asciiTheme="minorEastAsia" w:hAnsiTheme="minorEastAsia" w:eastAsiaTheme="minorEastAsia" w:cstheme="minorEastAsia"/>
                <w:i w:val="0"/>
                <w:iCs w:val="0"/>
                <w:color w:val="000000"/>
                <w:kern w:val="0"/>
                <w:sz w:val="18"/>
                <w:szCs w:val="18"/>
                <w:u w:val="none"/>
                <w:lang w:val="en-US" w:eastAsia="zh-CN" w:bidi="ar"/>
              </w:rPr>
              <w:br w:type="textWrapping"/>
            </w:r>
            <w:r>
              <w:rPr>
                <w:rFonts w:hint="eastAsia" w:asciiTheme="minorEastAsia" w:hAnsiTheme="minorEastAsia" w:eastAsiaTheme="minorEastAsia" w:cstheme="minorEastAsia"/>
                <w:i w:val="0"/>
                <w:iCs w:val="0"/>
                <w:color w:val="000000"/>
                <w:kern w:val="0"/>
                <w:sz w:val="18"/>
                <w:szCs w:val="18"/>
                <w:u w:val="none"/>
                <w:lang w:val="en-US" w:eastAsia="zh-CN" w:bidi="ar"/>
              </w:rPr>
              <w:t>10、工作温度：-10℃~40℃。</w:t>
            </w:r>
            <w:r>
              <w:rPr>
                <w:rFonts w:hint="eastAsia" w:asciiTheme="minorEastAsia" w:hAnsiTheme="minorEastAsia" w:eastAsiaTheme="minorEastAsia" w:cstheme="minorEastAsia"/>
                <w:i w:val="0"/>
                <w:iCs w:val="0"/>
                <w:color w:val="000000"/>
                <w:kern w:val="0"/>
                <w:sz w:val="18"/>
                <w:szCs w:val="18"/>
                <w:u w:val="none"/>
                <w:lang w:val="en-US" w:eastAsia="zh-CN" w:bidi="ar"/>
              </w:rPr>
              <w:br w:type="textWrapping"/>
            </w:r>
            <w:r>
              <w:rPr>
                <w:rFonts w:hint="eastAsia" w:asciiTheme="minorEastAsia" w:hAnsiTheme="minorEastAsia" w:eastAsiaTheme="minorEastAsia" w:cstheme="minorEastAsia"/>
                <w:i w:val="0"/>
                <w:iCs w:val="0"/>
                <w:color w:val="000000"/>
                <w:kern w:val="0"/>
                <w:sz w:val="18"/>
                <w:szCs w:val="18"/>
                <w:u w:val="none"/>
                <w:lang w:val="en-US" w:eastAsia="zh-CN" w:bidi="ar"/>
              </w:rPr>
              <w:t>11、扩声器多点均衡布局，实现教室均衡扩声。</w:t>
            </w:r>
            <w:r>
              <w:rPr>
                <w:rFonts w:hint="eastAsia" w:asciiTheme="minorEastAsia" w:hAnsiTheme="minorEastAsia" w:eastAsiaTheme="minorEastAsia" w:cstheme="minorEastAsia"/>
                <w:i w:val="0"/>
                <w:iCs w:val="0"/>
                <w:color w:val="000000"/>
                <w:kern w:val="0"/>
                <w:sz w:val="18"/>
                <w:szCs w:val="18"/>
                <w:u w:val="none"/>
                <w:lang w:val="en-US" w:eastAsia="zh-CN" w:bidi="ar"/>
              </w:rPr>
              <w:br w:type="textWrapping"/>
            </w:r>
            <w:r>
              <w:rPr>
                <w:rFonts w:hint="eastAsia" w:asciiTheme="minorEastAsia" w:hAnsiTheme="minorEastAsia" w:eastAsiaTheme="minorEastAsia" w:cstheme="minorEastAsia"/>
                <w:i w:val="0"/>
                <w:iCs w:val="0"/>
                <w:color w:val="000000"/>
                <w:kern w:val="0"/>
                <w:sz w:val="18"/>
                <w:szCs w:val="18"/>
                <w:u w:val="none"/>
                <w:lang w:val="en-US" w:eastAsia="zh-CN" w:bidi="ar"/>
              </w:rPr>
              <w:t>12、采用全音域喇叭与导向式音箱设计，音色饱满。</w:t>
            </w:r>
            <w:r>
              <w:rPr>
                <w:rFonts w:hint="eastAsia" w:asciiTheme="minorEastAsia" w:hAnsiTheme="minorEastAsia" w:eastAsiaTheme="minorEastAsia" w:cstheme="minorEastAsia"/>
                <w:i w:val="0"/>
                <w:iCs w:val="0"/>
                <w:color w:val="000000"/>
                <w:kern w:val="0"/>
                <w:sz w:val="18"/>
                <w:szCs w:val="18"/>
                <w:u w:val="none"/>
                <w:lang w:val="en-US" w:eastAsia="zh-CN" w:bidi="ar"/>
              </w:rPr>
              <w:br w:type="textWrapping"/>
            </w:r>
            <w:r>
              <w:rPr>
                <w:rFonts w:hint="eastAsia" w:asciiTheme="minorEastAsia" w:hAnsiTheme="minorEastAsia" w:eastAsiaTheme="minorEastAsia" w:cstheme="minorEastAsia"/>
                <w:i w:val="0"/>
                <w:iCs w:val="0"/>
                <w:color w:val="000000"/>
                <w:kern w:val="0"/>
                <w:sz w:val="18"/>
                <w:szCs w:val="18"/>
                <w:u w:val="none"/>
                <w:lang w:val="en-US" w:eastAsia="zh-CN" w:bidi="ar"/>
              </w:rPr>
              <w:t>13、安装方式：集成在智能LED教室灯上。</w:t>
            </w:r>
          </w:p>
        </w:tc>
        <w:tc>
          <w:tcPr>
            <w:tcW w:w="55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E1184DB">
            <w:pPr>
              <w:keepNext w:val="0"/>
              <w:keepLines w:val="0"/>
              <w:widowControl/>
              <w:suppressLineNumbers w:val="0"/>
              <w:overflowPunct/>
              <w:bidi w:val="0"/>
              <w:spacing w:line="240" w:lineRule="auto"/>
              <w:jc w:val="center"/>
              <w:textAlignment w:val="center"/>
              <w:outlineLvl w:val="9"/>
              <w:rPr>
                <w:rFonts w:hint="eastAsia" w:asciiTheme="minorEastAsia" w:hAnsiTheme="minorEastAsia" w:eastAsiaTheme="minorEastAsia" w:cstheme="minorEastAsia"/>
                <w:i w:val="0"/>
                <w:iCs w:val="0"/>
                <w:color w:val="000000"/>
                <w:sz w:val="18"/>
                <w:szCs w:val="18"/>
                <w:u w:val="none"/>
              </w:rPr>
            </w:pPr>
            <w:r>
              <w:rPr>
                <w:rFonts w:hint="eastAsia" w:asciiTheme="minorEastAsia" w:hAnsiTheme="minorEastAsia" w:eastAsiaTheme="minorEastAsia" w:cstheme="minorEastAsia"/>
                <w:i w:val="0"/>
                <w:iCs w:val="0"/>
                <w:color w:val="000000"/>
                <w:kern w:val="0"/>
                <w:sz w:val="18"/>
                <w:szCs w:val="18"/>
                <w:u w:val="none"/>
                <w:lang w:val="en-US" w:eastAsia="zh-CN" w:bidi="ar"/>
              </w:rPr>
              <w:t>424</w:t>
            </w:r>
          </w:p>
        </w:tc>
        <w:tc>
          <w:tcPr>
            <w:tcW w:w="51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D439D6D">
            <w:pPr>
              <w:keepNext w:val="0"/>
              <w:keepLines w:val="0"/>
              <w:widowControl/>
              <w:suppressLineNumbers w:val="0"/>
              <w:overflowPunct/>
              <w:bidi w:val="0"/>
              <w:spacing w:line="240" w:lineRule="auto"/>
              <w:jc w:val="center"/>
              <w:textAlignment w:val="center"/>
              <w:outlineLvl w:val="9"/>
              <w:rPr>
                <w:rFonts w:hint="eastAsia" w:asciiTheme="minorEastAsia" w:hAnsiTheme="minorEastAsia" w:eastAsiaTheme="minorEastAsia" w:cstheme="minorEastAsia"/>
                <w:i w:val="0"/>
                <w:iCs w:val="0"/>
                <w:color w:val="000000"/>
                <w:sz w:val="18"/>
                <w:szCs w:val="18"/>
                <w:u w:val="none"/>
              </w:rPr>
            </w:pPr>
            <w:r>
              <w:rPr>
                <w:rFonts w:hint="eastAsia" w:asciiTheme="minorEastAsia" w:hAnsiTheme="minorEastAsia" w:eastAsiaTheme="minorEastAsia" w:cstheme="minorEastAsia"/>
                <w:i w:val="0"/>
                <w:iCs w:val="0"/>
                <w:color w:val="000000"/>
                <w:kern w:val="0"/>
                <w:sz w:val="18"/>
                <w:szCs w:val="18"/>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A8559CA">
            <w:pPr>
              <w:keepNext w:val="0"/>
              <w:keepLines w:val="0"/>
              <w:widowControl/>
              <w:suppressLineNumbers w:val="0"/>
              <w:overflowPunct/>
              <w:bidi w:val="0"/>
              <w:spacing w:line="240" w:lineRule="auto"/>
              <w:jc w:val="right"/>
              <w:textAlignment w:val="center"/>
              <w:outlineLvl w:val="9"/>
              <w:rPr>
                <w:rFonts w:hint="eastAsia" w:asciiTheme="minorEastAsia" w:hAnsiTheme="minorEastAsia" w:eastAsiaTheme="minorEastAsia" w:cstheme="minorEastAsia"/>
                <w:i w:val="0"/>
                <w:iCs w:val="0"/>
                <w:color w:val="000000"/>
                <w:sz w:val="18"/>
                <w:szCs w:val="18"/>
                <w:u w:val="none"/>
              </w:rPr>
            </w:pPr>
            <w:r>
              <w:rPr>
                <w:rFonts w:hint="eastAsia" w:asciiTheme="minorEastAsia" w:hAnsiTheme="minorEastAsia" w:eastAsiaTheme="minorEastAsia" w:cstheme="minorEastAsia"/>
                <w:i w:val="0"/>
                <w:iCs w:val="0"/>
                <w:color w:val="000000"/>
                <w:kern w:val="0"/>
                <w:sz w:val="18"/>
                <w:szCs w:val="18"/>
                <w:u w:val="none"/>
                <w:lang w:val="en-US" w:eastAsia="zh-CN" w:bidi="ar"/>
              </w:rPr>
              <w:t>365</w:t>
            </w:r>
          </w:p>
        </w:tc>
      </w:tr>
      <w:tr w14:paraId="56CDC7B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00" w:hRule="atLeast"/>
        </w:trPr>
        <w:tc>
          <w:tcPr>
            <w:tcW w:w="15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1BA86E6">
            <w:pPr>
              <w:keepNext w:val="0"/>
              <w:keepLines w:val="0"/>
              <w:widowControl/>
              <w:suppressLineNumbers w:val="0"/>
              <w:overflowPunct/>
              <w:bidi w:val="0"/>
              <w:spacing w:line="240" w:lineRule="auto"/>
              <w:jc w:val="center"/>
              <w:textAlignment w:val="center"/>
              <w:outlineLvl w:val="9"/>
              <w:rPr>
                <w:rFonts w:hint="eastAsia" w:asciiTheme="minorEastAsia" w:hAnsiTheme="minorEastAsia" w:eastAsiaTheme="minorEastAsia" w:cstheme="minorEastAsia"/>
                <w:i w:val="0"/>
                <w:iCs w:val="0"/>
                <w:color w:val="000000"/>
                <w:sz w:val="18"/>
                <w:szCs w:val="18"/>
                <w:u w:val="none"/>
              </w:rPr>
            </w:pPr>
            <w:r>
              <w:rPr>
                <w:rFonts w:hint="eastAsia" w:asciiTheme="minorEastAsia" w:hAnsiTheme="minorEastAsia" w:eastAsiaTheme="minorEastAsia" w:cstheme="minorEastAsia"/>
                <w:i w:val="0"/>
                <w:iCs w:val="0"/>
                <w:color w:val="000000"/>
                <w:kern w:val="0"/>
                <w:sz w:val="18"/>
                <w:szCs w:val="18"/>
                <w:u w:val="none"/>
                <w:lang w:val="en-US" w:eastAsia="zh-CN" w:bidi="ar"/>
              </w:rPr>
              <w:t>无线教学扩声主机</w:t>
            </w:r>
          </w:p>
        </w:tc>
        <w:tc>
          <w:tcPr>
            <w:tcW w:w="577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235C2FF">
            <w:pPr>
              <w:keepNext w:val="0"/>
              <w:keepLines w:val="0"/>
              <w:widowControl/>
              <w:suppressLineNumbers w:val="0"/>
              <w:overflowPunct/>
              <w:bidi w:val="0"/>
              <w:spacing w:line="240" w:lineRule="auto"/>
              <w:jc w:val="left"/>
              <w:textAlignment w:val="center"/>
              <w:outlineLvl w:val="9"/>
              <w:rPr>
                <w:rFonts w:hint="eastAsia" w:asciiTheme="minorEastAsia" w:hAnsiTheme="minorEastAsia" w:eastAsiaTheme="minorEastAsia" w:cstheme="minorEastAsia"/>
                <w:i w:val="0"/>
                <w:iCs w:val="0"/>
                <w:color w:val="000000"/>
                <w:sz w:val="18"/>
                <w:szCs w:val="18"/>
                <w:u w:val="none"/>
              </w:rPr>
            </w:pPr>
            <w:r>
              <w:rPr>
                <w:rFonts w:hint="eastAsia" w:asciiTheme="minorEastAsia" w:hAnsiTheme="minorEastAsia" w:eastAsiaTheme="minorEastAsia" w:cstheme="minorEastAsia"/>
                <w:i w:val="0"/>
                <w:iCs w:val="0"/>
                <w:color w:val="000000"/>
                <w:kern w:val="0"/>
                <w:sz w:val="18"/>
                <w:szCs w:val="18"/>
                <w:u w:val="none"/>
                <w:lang w:val="en-US" w:eastAsia="zh-CN" w:bidi="ar"/>
              </w:rPr>
              <w:t>1、整机尺寸长≤150mm，外壳ABS材质；工作电压：DC 24V/1A 电源适配器供电。</w:t>
            </w:r>
            <w:r>
              <w:rPr>
                <w:rFonts w:hint="eastAsia" w:asciiTheme="minorEastAsia" w:hAnsiTheme="minorEastAsia" w:eastAsiaTheme="minorEastAsia" w:cstheme="minorEastAsia"/>
                <w:i w:val="0"/>
                <w:iCs w:val="0"/>
                <w:color w:val="000000"/>
                <w:kern w:val="0"/>
                <w:sz w:val="18"/>
                <w:szCs w:val="18"/>
                <w:u w:val="none"/>
                <w:lang w:val="en-US" w:eastAsia="zh-CN" w:bidi="ar"/>
              </w:rPr>
              <w:br w:type="textWrapping"/>
            </w:r>
            <w:r>
              <w:rPr>
                <w:rFonts w:hint="eastAsia" w:asciiTheme="minorEastAsia" w:hAnsiTheme="minorEastAsia" w:eastAsiaTheme="minorEastAsia" w:cstheme="minorEastAsia"/>
                <w:i w:val="0"/>
                <w:iCs w:val="0"/>
                <w:color w:val="000000"/>
                <w:kern w:val="0"/>
                <w:sz w:val="18"/>
                <w:szCs w:val="18"/>
                <w:u w:val="none"/>
                <w:lang w:val="en-US" w:eastAsia="zh-CN" w:bidi="ar"/>
              </w:rPr>
              <w:t>2、主机设备采用数字音频处理器，无线发射和接收一体式设计。</w:t>
            </w:r>
            <w:r>
              <w:rPr>
                <w:rFonts w:hint="eastAsia" w:asciiTheme="minorEastAsia" w:hAnsiTheme="minorEastAsia" w:eastAsiaTheme="minorEastAsia" w:cstheme="minorEastAsia"/>
                <w:i w:val="0"/>
                <w:iCs w:val="0"/>
                <w:color w:val="000000"/>
                <w:kern w:val="0"/>
                <w:sz w:val="18"/>
                <w:szCs w:val="18"/>
                <w:u w:val="none"/>
                <w:lang w:val="en-US" w:eastAsia="zh-CN" w:bidi="ar"/>
              </w:rPr>
              <w:br w:type="textWrapping"/>
            </w:r>
            <w:r>
              <w:rPr>
                <w:rFonts w:hint="eastAsia" w:asciiTheme="minorEastAsia" w:hAnsiTheme="minorEastAsia" w:eastAsiaTheme="minorEastAsia" w:cstheme="minorEastAsia"/>
                <w:i w:val="0"/>
                <w:iCs w:val="0"/>
                <w:color w:val="000000"/>
                <w:kern w:val="0"/>
                <w:sz w:val="18"/>
                <w:szCs w:val="18"/>
                <w:u w:val="none"/>
                <w:lang w:val="en-US" w:eastAsia="zh-CN" w:bidi="ar"/>
              </w:rPr>
              <w:t>3、具有USB接口、电源接口与音频接口，音频接口：LINE IN（3.5mm）；LINE IN（凤凰端子3PIN）；LINE OUT（3.5mm）；LINE OUT（凤凰端子3PIN）。</w:t>
            </w:r>
            <w:r>
              <w:rPr>
                <w:rFonts w:hint="eastAsia" w:asciiTheme="minorEastAsia" w:hAnsiTheme="minorEastAsia" w:eastAsiaTheme="minorEastAsia" w:cstheme="minorEastAsia"/>
                <w:i w:val="0"/>
                <w:iCs w:val="0"/>
                <w:color w:val="000000"/>
                <w:kern w:val="0"/>
                <w:sz w:val="18"/>
                <w:szCs w:val="18"/>
                <w:u w:val="none"/>
                <w:lang w:val="en-US" w:eastAsia="zh-CN" w:bidi="ar"/>
              </w:rPr>
              <w:br w:type="textWrapping"/>
            </w:r>
            <w:r>
              <w:rPr>
                <w:rFonts w:hint="eastAsia" w:asciiTheme="minorEastAsia" w:hAnsiTheme="minorEastAsia" w:eastAsiaTheme="minorEastAsia" w:cstheme="minorEastAsia"/>
                <w:i w:val="0"/>
                <w:iCs w:val="0"/>
                <w:color w:val="000000"/>
                <w:kern w:val="0"/>
                <w:sz w:val="18"/>
                <w:szCs w:val="18"/>
                <w:u w:val="none"/>
                <w:lang w:val="en-US" w:eastAsia="zh-CN" w:bidi="ar"/>
              </w:rPr>
              <w:t>4、具有音量调节、高低音效果调节。</w:t>
            </w:r>
            <w:r>
              <w:rPr>
                <w:rFonts w:hint="eastAsia" w:asciiTheme="minorEastAsia" w:hAnsiTheme="minorEastAsia" w:eastAsiaTheme="minorEastAsia" w:cstheme="minorEastAsia"/>
                <w:i w:val="0"/>
                <w:iCs w:val="0"/>
                <w:color w:val="000000"/>
                <w:kern w:val="0"/>
                <w:sz w:val="18"/>
                <w:szCs w:val="18"/>
                <w:u w:val="none"/>
                <w:lang w:val="en-US" w:eastAsia="zh-CN" w:bidi="ar"/>
              </w:rPr>
              <w:br w:type="textWrapping"/>
            </w:r>
            <w:r>
              <w:rPr>
                <w:rFonts w:hint="eastAsia" w:asciiTheme="minorEastAsia" w:hAnsiTheme="minorEastAsia" w:eastAsiaTheme="minorEastAsia" w:cstheme="minorEastAsia"/>
                <w:i w:val="0"/>
                <w:iCs w:val="0"/>
                <w:color w:val="000000"/>
                <w:kern w:val="0"/>
                <w:sz w:val="18"/>
                <w:szCs w:val="18"/>
                <w:u w:val="none"/>
                <w:lang w:val="en-US" w:eastAsia="zh-CN" w:bidi="ar"/>
              </w:rPr>
              <w:t>5、具有啸叫抑制（AFC）功能开关、线路输入噪声门（Gate）功能开关、线路输入自动衰减（AUTOFADE）功能开关。</w:t>
            </w:r>
            <w:r>
              <w:rPr>
                <w:rFonts w:hint="eastAsia" w:asciiTheme="minorEastAsia" w:hAnsiTheme="minorEastAsia" w:eastAsiaTheme="minorEastAsia" w:cstheme="minorEastAsia"/>
                <w:i w:val="0"/>
                <w:iCs w:val="0"/>
                <w:color w:val="000000"/>
                <w:kern w:val="0"/>
                <w:sz w:val="18"/>
                <w:szCs w:val="18"/>
                <w:u w:val="none"/>
                <w:lang w:val="en-US" w:eastAsia="zh-CN" w:bidi="ar"/>
              </w:rPr>
              <w:br w:type="textWrapping"/>
            </w:r>
            <w:r>
              <w:rPr>
                <w:rFonts w:hint="eastAsia" w:asciiTheme="minorEastAsia" w:hAnsiTheme="minorEastAsia" w:eastAsiaTheme="minorEastAsia" w:cstheme="minorEastAsia"/>
                <w:i w:val="0"/>
                <w:iCs w:val="0"/>
                <w:color w:val="000000"/>
                <w:kern w:val="0"/>
                <w:sz w:val="18"/>
                <w:szCs w:val="18"/>
                <w:u w:val="none"/>
                <w:lang w:val="en-US" w:eastAsia="zh-CN" w:bidi="ar"/>
              </w:rPr>
              <w:t>6、可通过拨码对UHF的接收和发射频道（频点）进行选择。</w:t>
            </w:r>
            <w:r>
              <w:rPr>
                <w:rFonts w:hint="eastAsia" w:asciiTheme="minorEastAsia" w:hAnsiTheme="minorEastAsia" w:eastAsiaTheme="minorEastAsia" w:cstheme="minorEastAsia"/>
                <w:i w:val="0"/>
                <w:iCs w:val="0"/>
                <w:color w:val="000000"/>
                <w:kern w:val="0"/>
                <w:sz w:val="18"/>
                <w:szCs w:val="18"/>
                <w:u w:val="none"/>
                <w:lang w:val="en-US" w:eastAsia="zh-CN" w:bidi="ar"/>
              </w:rPr>
              <w:br w:type="textWrapping"/>
            </w:r>
            <w:r>
              <w:rPr>
                <w:rFonts w:hint="eastAsia" w:asciiTheme="minorEastAsia" w:hAnsiTheme="minorEastAsia" w:eastAsiaTheme="minorEastAsia" w:cstheme="minorEastAsia"/>
                <w:i w:val="0"/>
                <w:iCs w:val="0"/>
                <w:color w:val="000000"/>
                <w:kern w:val="0"/>
                <w:sz w:val="18"/>
                <w:szCs w:val="18"/>
                <w:u w:val="none"/>
                <w:lang w:val="en-US" w:eastAsia="zh-CN" w:bidi="ar"/>
              </w:rPr>
              <w:t>7、具有OLED显示屏，可显示当前UFH接收和发射的频率点和蓝牙开启和关闭的状态。</w:t>
            </w:r>
            <w:r>
              <w:rPr>
                <w:rFonts w:hint="eastAsia" w:asciiTheme="minorEastAsia" w:hAnsiTheme="minorEastAsia" w:eastAsiaTheme="minorEastAsia" w:cstheme="minorEastAsia"/>
                <w:i w:val="0"/>
                <w:iCs w:val="0"/>
                <w:color w:val="000000"/>
                <w:kern w:val="0"/>
                <w:sz w:val="18"/>
                <w:szCs w:val="18"/>
                <w:u w:val="none"/>
                <w:lang w:val="en-US" w:eastAsia="zh-CN" w:bidi="ar"/>
              </w:rPr>
              <w:br w:type="textWrapping"/>
            </w:r>
            <w:r>
              <w:rPr>
                <w:rFonts w:hint="eastAsia" w:asciiTheme="minorEastAsia" w:hAnsiTheme="minorEastAsia" w:eastAsiaTheme="minorEastAsia" w:cstheme="minorEastAsia"/>
                <w:i w:val="0"/>
                <w:iCs w:val="0"/>
                <w:color w:val="000000"/>
                <w:kern w:val="0"/>
                <w:sz w:val="18"/>
                <w:szCs w:val="18"/>
                <w:u w:val="none"/>
                <w:lang w:val="en-US" w:eastAsia="zh-CN" w:bidi="ar"/>
              </w:rPr>
              <w:t>8、具有充电槽功能，支持 麦克风充电功能，即放即充。</w:t>
            </w:r>
            <w:r>
              <w:rPr>
                <w:rFonts w:hint="eastAsia" w:asciiTheme="minorEastAsia" w:hAnsiTheme="minorEastAsia" w:eastAsiaTheme="minorEastAsia" w:cstheme="minorEastAsia"/>
                <w:i w:val="0"/>
                <w:iCs w:val="0"/>
                <w:color w:val="000000"/>
                <w:kern w:val="0"/>
                <w:sz w:val="18"/>
                <w:szCs w:val="18"/>
                <w:u w:val="none"/>
                <w:lang w:val="en-US" w:eastAsia="zh-CN" w:bidi="ar"/>
              </w:rPr>
              <w:br w:type="textWrapping"/>
            </w:r>
            <w:r>
              <w:rPr>
                <w:rFonts w:hint="eastAsia" w:asciiTheme="minorEastAsia" w:hAnsiTheme="minorEastAsia" w:eastAsiaTheme="minorEastAsia" w:cstheme="minorEastAsia"/>
                <w:i w:val="0"/>
                <w:iCs w:val="0"/>
                <w:color w:val="000000"/>
                <w:kern w:val="0"/>
                <w:sz w:val="18"/>
                <w:szCs w:val="18"/>
                <w:u w:val="none"/>
                <w:lang w:val="en-US" w:eastAsia="zh-CN" w:bidi="ar"/>
              </w:rPr>
              <w:t>9、可以同时连接90个或以上的扩音器。</w:t>
            </w:r>
            <w:r>
              <w:rPr>
                <w:rFonts w:hint="eastAsia" w:asciiTheme="minorEastAsia" w:hAnsiTheme="minorEastAsia" w:eastAsiaTheme="minorEastAsia" w:cstheme="minorEastAsia"/>
                <w:i w:val="0"/>
                <w:iCs w:val="0"/>
                <w:color w:val="000000"/>
                <w:kern w:val="0"/>
                <w:sz w:val="18"/>
                <w:szCs w:val="18"/>
                <w:u w:val="none"/>
                <w:lang w:val="en-US" w:eastAsia="zh-CN" w:bidi="ar"/>
              </w:rPr>
              <w:br w:type="textWrapping"/>
            </w:r>
            <w:r>
              <w:rPr>
                <w:rFonts w:hint="eastAsia" w:asciiTheme="minorEastAsia" w:hAnsiTheme="minorEastAsia" w:eastAsiaTheme="minorEastAsia" w:cstheme="minorEastAsia"/>
                <w:i w:val="0"/>
                <w:iCs w:val="0"/>
                <w:color w:val="000000"/>
                <w:kern w:val="0"/>
                <w:sz w:val="18"/>
                <w:szCs w:val="18"/>
                <w:u w:val="none"/>
                <w:lang w:val="en-US" w:eastAsia="zh-CN" w:bidi="ar"/>
              </w:rPr>
              <w:t>10、工作温度：-10℃～40℃。</w:t>
            </w:r>
            <w:r>
              <w:rPr>
                <w:rFonts w:hint="eastAsia" w:asciiTheme="minorEastAsia" w:hAnsiTheme="minorEastAsia" w:eastAsiaTheme="minorEastAsia" w:cstheme="minorEastAsia"/>
                <w:i w:val="0"/>
                <w:iCs w:val="0"/>
                <w:color w:val="000000"/>
                <w:kern w:val="0"/>
                <w:sz w:val="18"/>
                <w:szCs w:val="18"/>
                <w:u w:val="none"/>
                <w:lang w:val="en-US" w:eastAsia="zh-CN" w:bidi="ar"/>
              </w:rPr>
              <w:br w:type="textWrapping"/>
            </w:r>
            <w:r>
              <w:rPr>
                <w:rFonts w:hint="eastAsia" w:asciiTheme="minorEastAsia" w:hAnsiTheme="minorEastAsia" w:eastAsiaTheme="minorEastAsia" w:cstheme="minorEastAsia"/>
                <w:i w:val="0"/>
                <w:iCs w:val="0"/>
                <w:color w:val="000000"/>
                <w:kern w:val="0"/>
                <w:sz w:val="18"/>
                <w:szCs w:val="18"/>
                <w:u w:val="none"/>
                <w:lang w:val="en-US" w:eastAsia="zh-CN" w:bidi="ar"/>
              </w:rPr>
              <w:t>11、通信协议：支持无线UHF。</w:t>
            </w:r>
            <w:r>
              <w:rPr>
                <w:rFonts w:hint="eastAsia" w:asciiTheme="minorEastAsia" w:hAnsiTheme="minorEastAsia" w:eastAsiaTheme="minorEastAsia" w:cstheme="minorEastAsia"/>
                <w:i w:val="0"/>
                <w:iCs w:val="0"/>
                <w:color w:val="000000"/>
                <w:kern w:val="0"/>
                <w:sz w:val="18"/>
                <w:szCs w:val="18"/>
                <w:u w:val="none"/>
                <w:lang w:val="en-US" w:eastAsia="zh-CN" w:bidi="ar"/>
              </w:rPr>
              <w:br w:type="textWrapping"/>
            </w:r>
            <w:r>
              <w:rPr>
                <w:rFonts w:hint="eastAsia" w:asciiTheme="minorEastAsia" w:hAnsiTheme="minorEastAsia" w:eastAsiaTheme="minorEastAsia" w:cstheme="minorEastAsia"/>
                <w:i w:val="0"/>
                <w:iCs w:val="0"/>
                <w:color w:val="000000"/>
                <w:kern w:val="0"/>
                <w:sz w:val="18"/>
                <w:szCs w:val="18"/>
                <w:u w:val="none"/>
                <w:lang w:val="en-US" w:eastAsia="zh-CN" w:bidi="ar"/>
              </w:rPr>
              <w:t>12、频率响应：</w:t>
            </w:r>
            <w:r>
              <w:rPr>
                <w:rFonts w:hint="eastAsia" w:asciiTheme="minorEastAsia" w:hAnsiTheme="minorEastAsia" w:eastAsiaTheme="minorEastAsia" w:cstheme="minorEastAsia"/>
                <w:i w:val="0"/>
                <w:iCs w:val="0"/>
                <w:color w:val="000000"/>
                <w:kern w:val="0"/>
                <w:sz w:val="18"/>
                <w:szCs w:val="18"/>
                <w:u w:val="none"/>
                <w:lang w:val="en-US" w:eastAsia="zh-CN" w:bidi="ar"/>
              </w:rPr>
              <w:br w:type="textWrapping"/>
            </w:r>
            <w:r>
              <w:rPr>
                <w:rFonts w:hint="eastAsia" w:asciiTheme="minorEastAsia" w:hAnsiTheme="minorEastAsia" w:eastAsiaTheme="minorEastAsia" w:cstheme="minorEastAsia"/>
                <w:i w:val="0"/>
                <w:iCs w:val="0"/>
                <w:color w:val="000000"/>
                <w:kern w:val="0"/>
                <w:sz w:val="18"/>
                <w:szCs w:val="18"/>
                <w:u w:val="none"/>
                <w:lang w:val="en-US" w:eastAsia="zh-CN" w:bidi="ar"/>
              </w:rPr>
              <w:t>主机线路—主机：80Hz～20 kHz；</w:t>
            </w:r>
            <w:r>
              <w:rPr>
                <w:rFonts w:hint="eastAsia" w:asciiTheme="minorEastAsia" w:hAnsiTheme="minorEastAsia" w:eastAsiaTheme="minorEastAsia" w:cstheme="minorEastAsia"/>
                <w:i w:val="0"/>
                <w:iCs w:val="0"/>
                <w:color w:val="000000"/>
                <w:kern w:val="0"/>
                <w:sz w:val="18"/>
                <w:szCs w:val="18"/>
                <w:u w:val="none"/>
                <w:lang w:val="en-US" w:eastAsia="zh-CN" w:bidi="ar"/>
              </w:rPr>
              <w:br w:type="textWrapping"/>
            </w:r>
            <w:r>
              <w:rPr>
                <w:rFonts w:hint="eastAsia" w:asciiTheme="minorEastAsia" w:hAnsiTheme="minorEastAsia" w:eastAsiaTheme="minorEastAsia" w:cstheme="minorEastAsia"/>
                <w:i w:val="0"/>
                <w:iCs w:val="0"/>
                <w:color w:val="000000"/>
                <w:kern w:val="0"/>
                <w:sz w:val="18"/>
                <w:szCs w:val="18"/>
                <w:u w:val="none"/>
                <w:lang w:val="en-US" w:eastAsia="zh-CN" w:bidi="ar"/>
              </w:rPr>
              <w:t>麦克风-主机：100Hz～10kHz。</w:t>
            </w:r>
            <w:r>
              <w:rPr>
                <w:rFonts w:hint="eastAsia" w:asciiTheme="minorEastAsia" w:hAnsiTheme="minorEastAsia" w:eastAsiaTheme="minorEastAsia" w:cstheme="minorEastAsia"/>
                <w:i w:val="0"/>
                <w:iCs w:val="0"/>
                <w:color w:val="000000"/>
                <w:kern w:val="0"/>
                <w:sz w:val="18"/>
                <w:szCs w:val="18"/>
                <w:u w:val="none"/>
                <w:lang w:val="en-US" w:eastAsia="zh-CN" w:bidi="ar"/>
              </w:rPr>
              <w:br w:type="textWrapping"/>
            </w:r>
            <w:r>
              <w:rPr>
                <w:rFonts w:hint="eastAsia" w:asciiTheme="minorEastAsia" w:hAnsiTheme="minorEastAsia" w:eastAsiaTheme="minorEastAsia" w:cstheme="minorEastAsia"/>
                <w:i w:val="0"/>
                <w:iCs w:val="0"/>
                <w:color w:val="000000"/>
                <w:kern w:val="0"/>
                <w:sz w:val="18"/>
                <w:szCs w:val="18"/>
                <w:u w:val="none"/>
                <w:lang w:val="en-US" w:eastAsia="zh-CN" w:bidi="ar"/>
              </w:rPr>
              <w:t>▲13、信噪比:</w:t>
            </w:r>
            <w:r>
              <w:rPr>
                <w:rFonts w:hint="eastAsia" w:asciiTheme="minorEastAsia" w:hAnsiTheme="minorEastAsia" w:eastAsiaTheme="minorEastAsia" w:cstheme="minorEastAsia"/>
                <w:i w:val="0"/>
                <w:iCs w:val="0"/>
                <w:color w:val="000000"/>
                <w:kern w:val="0"/>
                <w:sz w:val="18"/>
                <w:szCs w:val="18"/>
                <w:u w:val="none"/>
                <w:lang w:val="en-US" w:eastAsia="zh-CN" w:bidi="ar"/>
              </w:rPr>
              <w:br w:type="textWrapping"/>
            </w:r>
            <w:r>
              <w:rPr>
                <w:rFonts w:hint="eastAsia" w:asciiTheme="minorEastAsia" w:hAnsiTheme="minorEastAsia" w:eastAsiaTheme="minorEastAsia" w:cstheme="minorEastAsia"/>
                <w:i w:val="0"/>
                <w:iCs w:val="0"/>
                <w:color w:val="000000"/>
                <w:kern w:val="0"/>
                <w:sz w:val="18"/>
                <w:szCs w:val="18"/>
                <w:u w:val="none"/>
                <w:lang w:val="en-US" w:eastAsia="zh-CN" w:bidi="ar"/>
              </w:rPr>
              <w:t xml:space="preserve">（麦克风-主机）：≥83dB； </w:t>
            </w:r>
            <w:r>
              <w:rPr>
                <w:rFonts w:hint="eastAsia" w:asciiTheme="minorEastAsia" w:hAnsiTheme="minorEastAsia" w:eastAsiaTheme="minorEastAsia" w:cstheme="minorEastAsia"/>
                <w:i w:val="0"/>
                <w:iCs w:val="0"/>
                <w:color w:val="000000"/>
                <w:kern w:val="0"/>
                <w:sz w:val="18"/>
                <w:szCs w:val="18"/>
                <w:u w:val="none"/>
                <w:lang w:val="en-US" w:eastAsia="zh-CN" w:bidi="ar"/>
              </w:rPr>
              <w:br w:type="textWrapping"/>
            </w:r>
            <w:r>
              <w:rPr>
                <w:rFonts w:hint="eastAsia" w:asciiTheme="minorEastAsia" w:hAnsiTheme="minorEastAsia" w:eastAsiaTheme="minorEastAsia" w:cstheme="minorEastAsia"/>
                <w:i w:val="0"/>
                <w:iCs w:val="0"/>
                <w:color w:val="000000"/>
                <w:kern w:val="0"/>
                <w:sz w:val="18"/>
                <w:szCs w:val="18"/>
                <w:u w:val="none"/>
                <w:lang w:val="en-US" w:eastAsia="zh-CN" w:bidi="ar"/>
              </w:rPr>
              <w:t>（主机线路-主机）：≥83dB。</w:t>
            </w:r>
            <w:r>
              <w:rPr>
                <w:rFonts w:hint="eastAsia" w:asciiTheme="minorEastAsia" w:hAnsiTheme="minorEastAsia" w:eastAsiaTheme="minorEastAsia" w:cstheme="minorEastAsia"/>
                <w:i w:val="0"/>
                <w:iCs w:val="0"/>
                <w:color w:val="000000"/>
                <w:kern w:val="0"/>
                <w:sz w:val="18"/>
                <w:szCs w:val="18"/>
                <w:u w:val="none"/>
                <w:lang w:val="en-US" w:eastAsia="zh-CN" w:bidi="ar"/>
              </w:rPr>
              <w:br w:type="textWrapping"/>
            </w:r>
            <w:r>
              <w:rPr>
                <w:rFonts w:hint="eastAsia" w:asciiTheme="minorEastAsia" w:hAnsiTheme="minorEastAsia" w:eastAsiaTheme="minorEastAsia" w:cstheme="minorEastAsia"/>
                <w:i w:val="0"/>
                <w:iCs w:val="0"/>
                <w:color w:val="000000"/>
                <w:kern w:val="0"/>
                <w:sz w:val="18"/>
                <w:szCs w:val="18"/>
                <w:u w:val="none"/>
                <w:lang w:val="en-US" w:eastAsia="zh-CN" w:bidi="ar"/>
              </w:rPr>
              <w:t>▲14、总谐波失真: ≤0.12%。</w:t>
            </w:r>
            <w:r>
              <w:rPr>
                <w:rFonts w:hint="eastAsia" w:asciiTheme="minorEastAsia" w:hAnsiTheme="minorEastAsia" w:eastAsiaTheme="minorEastAsia" w:cstheme="minorEastAsia"/>
                <w:i w:val="0"/>
                <w:iCs w:val="0"/>
                <w:color w:val="000000"/>
                <w:kern w:val="0"/>
                <w:sz w:val="18"/>
                <w:szCs w:val="18"/>
                <w:u w:val="none"/>
                <w:lang w:val="en-US" w:eastAsia="zh-CN" w:bidi="ar"/>
              </w:rPr>
              <w:br w:type="textWrapping"/>
            </w:r>
            <w:r>
              <w:rPr>
                <w:rFonts w:hint="eastAsia" w:asciiTheme="minorEastAsia" w:hAnsiTheme="minorEastAsia" w:eastAsiaTheme="minorEastAsia" w:cstheme="minorEastAsia"/>
                <w:i w:val="0"/>
                <w:iCs w:val="0"/>
                <w:color w:val="000000"/>
                <w:kern w:val="0"/>
                <w:sz w:val="18"/>
                <w:szCs w:val="18"/>
                <w:u w:val="none"/>
                <w:lang w:val="en-US" w:eastAsia="zh-CN" w:bidi="ar"/>
              </w:rPr>
              <w:t>15、支持NFC配对。</w:t>
            </w:r>
            <w:r>
              <w:rPr>
                <w:rFonts w:hint="eastAsia" w:asciiTheme="minorEastAsia" w:hAnsiTheme="minorEastAsia" w:eastAsiaTheme="minorEastAsia" w:cstheme="minorEastAsia"/>
                <w:i w:val="0"/>
                <w:iCs w:val="0"/>
                <w:color w:val="000000"/>
                <w:kern w:val="0"/>
                <w:sz w:val="18"/>
                <w:szCs w:val="18"/>
                <w:u w:val="none"/>
                <w:lang w:val="en-US" w:eastAsia="zh-CN" w:bidi="ar"/>
              </w:rPr>
              <w:br w:type="textWrapping"/>
            </w:r>
            <w:r>
              <w:rPr>
                <w:rFonts w:hint="eastAsia" w:asciiTheme="minorEastAsia" w:hAnsiTheme="minorEastAsia" w:eastAsiaTheme="minorEastAsia" w:cstheme="minorEastAsia"/>
                <w:i w:val="0"/>
                <w:iCs w:val="0"/>
                <w:color w:val="000000"/>
                <w:kern w:val="0"/>
                <w:sz w:val="18"/>
                <w:szCs w:val="18"/>
                <w:u w:val="none"/>
                <w:lang w:val="en-US" w:eastAsia="zh-CN" w:bidi="ar"/>
              </w:rPr>
              <w:t>16、无线频段：450Mhz～700Mhz。</w:t>
            </w:r>
            <w:r>
              <w:rPr>
                <w:rFonts w:hint="eastAsia" w:asciiTheme="minorEastAsia" w:hAnsiTheme="minorEastAsia" w:eastAsiaTheme="minorEastAsia" w:cstheme="minorEastAsia"/>
                <w:i w:val="0"/>
                <w:iCs w:val="0"/>
                <w:color w:val="000000"/>
                <w:kern w:val="0"/>
                <w:sz w:val="18"/>
                <w:szCs w:val="18"/>
                <w:u w:val="none"/>
                <w:lang w:val="en-US" w:eastAsia="zh-CN" w:bidi="ar"/>
              </w:rPr>
              <w:br w:type="textWrapping"/>
            </w:r>
            <w:r>
              <w:rPr>
                <w:rFonts w:hint="eastAsia" w:asciiTheme="minorEastAsia" w:hAnsiTheme="minorEastAsia" w:eastAsiaTheme="minorEastAsia" w:cstheme="minorEastAsia"/>
                <w:i w:val="0"/>
                <w:iCs w:val="0"/>
                <w:color w:val="000000"/>
                <w:kern w:val="0"/>
                <w:sz w:val="18"/>
                <w:szCs w:val="18"/>
                <w:u w:val="none"/>
                <w:lang w:val="en-US" w:eastAsia="zh-CN" w:bidi="ar"/>
              </w:rPr>
              <w:t>17、具有配对指示灯提示功能。</w:t>
            </w:r>
            <w:r>
              <w:rPr>
                <w:rFonts w:hint="eastAsia" w:asciiTheme="minorEastAsia" w:hAnsiTheme="minorEastAsia" w:eastAsiaTheme="minorEastAsia" w:cstheme="minorEastAsia"/>
                <w:i w:val="0"/>
                <w:iCs w:val="0"/>
                <w:color w:val="000000"/>
                <w:kern w:val="0"/>
                <w:sz w:val="18"/>
                <w:szCs w:val="18"/>
                <w:u w:val="none"/>
                <w:lang w:val="en-US" w:eastAsia="zh-CN" w:bidi="ar"/>
              </w:rPr>
              <w:br w:type="textWrapping"/>
            </w:r>
            <w:r>
              <w:rPr>
                <w:rFonts w:hint="eastAsia" w:asciiTheme="minorEastAsia" w:hAnsiTheme="minorEastAsia" w:eastAsiaTheme="minorEastAsia" w:cstheme="minorEastAsia"/>
                <w:i w:val="0"/>
                <w:iCs w:val="0"/>
                <w:color w:val="000000"/>
                <w:kern w:val="0"/>
                <w:sz w:val="18"/>
                <w:szCs w:val="18"/>
                <w:u w:val="none"/>
                <w:lang w:val="en-US" w:eastAsia="zh-CN" w:bidi="ar"/>
              </w:rPr>
              <w:t>18、最大可实现35m长距离通信，为保证教室间不相互干扰正常工作距离范围为10～15m，根据使用场景，可直接现场定制化通信距离。</w:t>
            </w:r>
            <w:r>
              <w:rPr>
                <w:rFonts w:hint="eastAsia" w:asciiTheme="minorEastAsia" w:hAnsiTheme="minorEastAsia" w:eastAsiaTheme="minorEastAsia" w:cstheme="minorEastAsia"/>
                <w:i w:val="0"/>
                <w:iCs w:val="0"/>
                <w:color w:val="000000"/>
                <w:kern w:val="0"/>
                <w:sz w:val="18"/>
                <w:szCs w:val="18"/>
                <w:u w:val="none"/>
                <w:lang w:val="en-US" w:eastAsia="zh-CN" w:bidi="ar"/>
              </w:rPr>
              <w:br w:type="textWrapping"/>
            </w:r>
            <w:r>
              <w:rPr>
                <w:rFonts w:hint="eastAsia" w:asciiTheme="minorEastAsia" w:hAnsiTheme="minorEastAsia" w:eastAsiaTheme="minorEastAsia" w:cstheme="minorEastAsia"/>
                <w:i w:val="0"/>
                <w:iCs w:val="0"/>
                <w:color w:val="000000"/>
                <w:kern w:val="0"/>
                <w:sz w:val="18"/>
                <w:szCs w:val="18"/>
                <w:u w:val="none"/>
                <w:lang w:val="en-US" w:eastAsia="zh-CN" w:bidi="ar"/>
              </w:rPr>
              <w:t>19、支持无线音频输入（UHF&amp;蓝牙），有线音频输入（两路line in、LAN输入）。</w:t>
            </w:r>
            <w:r>
              <w:rPr>
                <w:rFonts w:hint="eastAsia" w:asciiTheme="minorEastAsia" w:hAnsiTheme="minorEastAsia" w:eastAsiaTheme="minorEastAsia" w:cstheme="minorEastAsia"/>
                <w:i w:val="0"/>
                <w:iCs w:val="0"/>
                <w:color w:val="000000"/>
                <w:kern w:val="0"/>
                <w:sz w:val="18"/>
                <w:szCs w:val="18"/>
                <w:u w:val="none"/>
                <w:lang w:val="en-US" w:eastAsia="zh-CN" w:bidi="ar"/>
              </w:rPr>
              <w:br w:type="textWrapping"/>
            </w:r>
            <w:r>
              <w:rPr>
                <w:rFonts w:hint="eastAsia" w:asciiTheme="minorEastAsia" w:hAnsiTheme="minorEastAsia" w:eastAsiaTheme="minorEastAsia" w:cstheme="minorEastAsia"/>
                <w:i w:val="0"/>
                <w:iCs w:val="0"/>
                <w:color w:val="000000"/>
                <w:kern w:val="0"/>
                <w:sz w:val="18"/>
                <w:szCs w:val="18"/>
                <w:u w:val="none"/>
                <w:lang w:val="en-US" w:eastAsia="zh-CN" w:bidi="ar"/>
              </w:rPr>
              <w:t>20、支持无线音频输出（UHF），有线音频输出（两路line out）。</w:t>
            </w:r>
            <w:r>
              <w:rPr>
                <w:rFonts w:hint="eastAsia" w:asciiTheme="minorEastAsia" w:hAnsiTheme="minorEastAsia" w:eastAsiaTheme="minorEastAsia" w:cstheme="minorEastAsia"/>
                <w:i w:val="0"/>
                <w:iCs w:val="0"/>
                <w:color w:val="000000"/>
                <w:kern w:val="0"/>
                <w:sz w:val="18"/>
                <w:szCs w:val="18"/>
                <w:u w:val="none"/>
                <w:lang w:val="en-US" w:eastAsia="zh-CN" w:bidi="ar"/>
              </w:rPr>
              <w:br w:type="textWrapping"/>
            </w:r>
            <w:r>
              <w:rPr>
                <w:rFonts w:hint="eastAsia" w:asciiTheme="minorEastAsia" w:hAnsiTheme="minorEastAsia" w:eastAsiaTheme="minorEastAsia" w:cstheme="minorEastAsia"/>
                <w:i w:val="0"/>
                <w:iCs w:val="0"/>
                <w:color w:val="000000"/>
                <w:kern w:val="0"/>
                <w:sz w:val="18"/>
                <w:szCs w:val="18"/>
                <w:u w:val="none"/>
                <w:lang w:val="en-US" w:eastAsia="zh-CN" w:bidi="ar"/>
              </w:rPr>
              <w:t>21、安装方式：壁挂安装。</w:t>
            </w:r>
          </w:p>
        </w:tc>
        <w:tc>
          <w:tcPr>
            <w:tcW w:w="55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6C17FC3">
            <w:pPr>
              <w:keepNext w:val="0"/>
              <w:keepLines w:val="0"/>
              <w:widowControl/>
              <w:suppressLineNumbers w:val="0"/>
              <w:overflowPunct/>
              <w:bidi w:val="0"/>
              <w:spacing w:line="240" w:lineRule="auto"/>
              <w:jc w:val="center"/>
              <w:textAlignment w:val="center"/>
              <w:outlineLvl w:val="9"/>
              <w:rPr>
                <w:rFonts w:hint="eastAsia" w:asciiTheme="minorEastAsia" w:hAnsiTheme="minorEastAsia" w:eastAsiaTheme="minorEastAsia" w:cstheme="minorEastAsia"/>
                <w:i w:val="0"/>
                <w:iCs w:val="0"/>
                <w:color w:val="000000"/>
                <w:sz w:val="18"/>
                <w:szCs w:val="18"/>
                <w:u w:val="none"/>
              </w:rPr>
            </w:pPr>
            <w:r>
              <w:rPr>
                <w:rFonts w:hint="eastAsia" w:asciiTheme="minorEastAsia" w:hAnsiTheme="minorEastAsia" w:eastAsiaTheme="minorEastAsia" w:cstheme="minorEastAsia"/>
                <w:i w:val="0"/>
                <w:iCs w:val="0"/>
                <w:color w:val="000000"/>
                <w:kern w:val="0"/>
                <w:sz w:val="18"/>
                <w:szCs w:val="18"/>
                <w:u w:val="none"/>
                <w:lang w:val="en-US" w:eastAsia="zh-CN" w:bidi="ar"/>
              </w:rPr>
              <w:t>106</w:t>
            </w:r>
          </w:p>
        </w:tc>
        <w:tc>
          <w:tcPr>
            <w:tcW w:w="51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92C8448">
            <w:pPr>
              <w:keepNext w:val="0"/>
              <w:keepLines w:val="0"/>
              <w:widowControl/>
              <w:suppressLineNumbers w:val="0"/>
              <w:overflowPunct/>
              <w:bidi w:val="0"/>
              <w:spacing w:line="240" w:lineRule="auto"/>
              <w:jc w:val="center"/>
              <w:textAlignment w:val="center"/>
              <w:outlineLvl w:val="9"/>
              <w:rPr>
                <w:rFonts w:hint="eastAsia" w:asciiTheme="minorEastAsia" w:hAnsiTheme="minorEastAsia" w:eastAsiaTheme="minorEastAsia" w:cstheme="minorEastAsia"/>
                <w:i w:val="0"/>
                <w:iCs w:val="0"/>
                <w:color w:val="000000"/>
                <w:sz w:val="18"/>
                <w:szCs w:val="18"/>
                <w:u w:val="none"/>
              </w:rPr>
            </w:pPr>
            <w:r>
              <w:rPr>
                <w:rFonts w:hint="eastAsia" w:asciiTheme="minorEastAsia" w:hAnsiTheme="minorEastAsia" w:eastAsiaTheme="minorEastAsia" w:cstheme="minorEastAsia"/>
                <w:i w:val="0"/>
                <w:iCs w:val="0"/>
                <w:color w:val="000000"/>
                <w:kern w:val="0"/>
                <w:sz w:val="18"/>
                <w:szCs w:val="18"/>
                <w:u w:val="none"/>
                <w:lang w:val="en-US" w:eastAsia="zh-CN" w:bidi="ar"/>
              </w:rPr>
              <w:t>台</w:t>
            </w:r>
          </w:p>
        </w:tc>
        <w:tc>
          <w:tcPr>
            <w:tcW w:w="81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6ADD3C0">
            <w:pPr>
              <w:keepNext w:val="0"/>
              <w:keepLines w:val="0"/>
              <w:widowControl/>
              <w:suppressLineNumbers w:val="0"/>
              <w:overflowPunct/>
              <w:bidi w:val="0"/>
              <w:spacing w:line="240" w:lineRule="auto"/>
              <w:jc w:val="right"/>
              <w:textAlignment w:val="center"/>
              <w:outlineLvl w:val="9"/>
              <w:rPr>
                <w:rFonts w:hint="eastAsia" w:asciiTheme="minorEastAsia" w:hAnsiTheme="minorEastAsia" w:eastAsiaTheme="minorEastAsia" w:cstheme="minorEastAsia"/>
                <w:i w:val="0"/>
                <w:iCs w:val="0"/>
                <w:color w:val="000000"/>
                <w:sz w:val="18"/>
                <w:szCs w:val="18"/>
                <w:u w:val="none"/>
              </w:rPr>
            </w:pPr>
            <w:r>
              <w:rPr>
                <w:rFonts w:hint="eastAsia" w:asciiTheme="minorEastAsia" w:hAnsiTheme="minorEastAsia" w:eastAsiaTheme="minorEastAsia" w:cstheme="minorEastAsia"/>
                <w:i w:val="0"/>
                <w:iCs w:val="0"/>
                <w:color w:val="000000"/>
                <w:kern w:val="0"/>
                <w:sz w:val="18"/>
                <w:szCs w:val="18"/>
                <w:u w:val="none"/>
                <w:lang w:val="en-US" w:eastAsia="zh-CN" w:bidi="ar"/>
              </w:rPr>
              <w:t>800</w:t>
            </w:r>
          </w:p>
        </w:tc>
      </w:tr>
      <w:tr w14:paraId="3E0BDAD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00" w:hRule="atLeast"/>
        </w:trPr>
        <w:tc>
          <w:tcPr>
            <w:tcW w:w="15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2820AA7">
            <w:pPr>
              <w:keepNext w:val="0"/>
              <w:keepLines w:val="0"/>
              <w:widowControl/>
              <w:suppressLineNumbers w:val="0"/>
              <w:overflowPunct/>
              <w:bidi w:val="0"/>
              <w:spacing w:line="240" w:lineRule="auto"/>
              <w:jc w:val="center"/>
              <w:textAlignment w:val="center"/>
              <w:outlineLvl w:val="9"/>
              <w:rPr>
                <w:rFonts w:hint="eastAsia" w:asciiTheme="minorEastAsia" w:hAnsiTheme="minorEastAsia" w:eastAsiaTheme="minorEastAsia" w:cstheme="minorEastAsia"/>
                <w:i w:val="0"/>
                <w:iCs w:val="0"/>
                <w:color w:val="000000"/>
                <w:sz w:val="18"/>
                <w:szCs w:val="18"/>
                <w:u w:val="none"/>
              </w:rPr>
            </w:pPr>
            <w:r>
              <w:rPr>
                <w:rFonts w:hint="eastAsia" w:asciiTheme="minorEastAsia" w:hAnsiTheme="minorEastAsia" w:eastAsiaTheme="minorEastAsia" w:cstheme="minorEastAsia"/>
                <w:i w:val="0"/>
                <w:iCs w:val="0"/>
                <w:color w:val="000000"/>
                <w:kern w:val="0"/>
                <w:sz w:val="18"/>
                <w:szCs w:val="18"/>
                <w:u w:val="none"/>
                <w:lang w:val="en-US" w:eastAsia="zh-CN" w:bidi="ar"/>
              </w:rPr>
              <w:t>无线麦克风</w:t>
            </w:r>
          </w:p>
        </w:tc>
        <w:tc>
          <w:tcPr>
            <w:tcW w:w="577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1DA2CA6">
            <w:pPr>
              <w:keepNext w:val="0"/>
              <w:keepLines w:val="0"/>
              <w:widowControl/>
              <w:suppressLineNumbers w:val="0"/>
              <w:overflowPunct/>
              <w:bidi w:val="0"/>
              <w:spacing w:line="240" w:lineRule="auto"/>
              <w:jc w:val="left"/>
              <w:textAlignment w:val="center"/>
              <w:outlineLvl w:val="9"/>
              <w:rPr>
                <w:rFonts w:hint="eastAsia" w:asciiTheme="minorEastAsia" w:hAnsiTheme="minorEastAsia" w:eastAsiaTheme="minorEastAsia" w:cstheme="minorEastAsia"/>
                <w:i w:val="0"/>
                <w:iCs w:val="0"/>
                <w:color w:val="000000"/>
                <w:sz w:val="18"/>
                <w:szCs w:val="18"/>
                <w:u w:val="none"/>
              </w:rPr>
            </w:pPr>
            <w:r>
              <w:rPr>
                <w:rFonts w:hint="eastAsia" w:asciiTheme="minorEastAsia" w:hAnsiTheme="minorEastAsia" w:eastAsiaTheme="minorEastAsia" w:cstheme="minorEastAsia"/>
                <w:i w:val="0"/>
                <w:iCs w:val="0"/>
                <w:color w:val="000000"/>
                <w:kern w:val="0"/>
                <w:sz w:val="18"/>
                <w:szCs w:val="18"/>
                <w:u w:val="none"/>
                <w:lang w:val="en-US" w:eastAsia="zh-CN" w:bidi="ar"/>
              </w:rPr>
              <w:t xml:space="preserve">1、整机尺寸长≤150mm，外壳ABS材质；电池容量：1000mAh±5%；充电电压：DC 5V。   </w:t>
            </w:r>
            <w:r>
              <w:rPr>
                <w:rFonts w:hint="eastAsia" w:asciiTheme="minorEastAsia" w:hAnsiTheme="minorEastAsia" w:eastAsiaTheme="minorEastAsia" w:cstheme="minorEastAsia"/>
                <w:i w:val="0"/>
                <w:iCs w:val="0"/>
                <w:color w:val="000000"/>
                <w:kern w:val="0"/>
                <w:sz w:val="18"/>
                <w:szCs w:val="18"/>
                <w:u w:val="none"/>
                <w:lang w:val="en-US" w:eastAsia="zh-CN" w:bidi="ar"/>
              </w:rPr>
              <w:br w:type="textWrapping"/>
            </w:r>
            <w:r>
              <w:rPr>
                <w:rFonts w:hint="eastAsia" w:asciiTheme="minorEastAsia" w:hAnsiTheme="minorEastAsia" w:eastAsiaTheme="minorEastAsia" w:cstheme="minorEastAsia"/>
                <w:i w:val="0"/>
                <w:iCs w:val="0"/>
                <w:color w:val="000000"/>
                <w:kern w:val="0"/>
                <w:sz w:val="18"/>
                <w:szCs w:val="18"/>
                <w:u w:val="none"/>
                <w:lang w:val="en-US" w:eastAsia="zh-CN" w:bidi="ar"/>
              </w:rPr>
              <w:t>2、具有配对指示灯提示功能。</w:t>
            </w:r>
            <w:r>
              <w:rPr>
                <w:rFonts w:hint="eastAsia" w:asciiTheme="minorEastAsia" w:hAnsiTheme="minorEastAsia" w:eastAsiaTheme="minorEastAsia" w:cstheme="minorEastAsia"/>
                <w:i w:val="0"/>
                <w:iCs w:val="0"/>
                <w:color w:val="000000"/>
                <w:kern w:val="0"/>
                <w:sz w:val="18"/>
                <w:szCs w:val="18"/>
                <w:u w:val="none"/>
                <w:lang w:val="en-US" w:eastAsia="zh-CN" w:bidi="ar"/>
              </w:rPr>
              <w:br w:type="textWrapping"/>
            </w:r>
            <w:r>
              <w:rPr>
                <w:rFonts w:hint="eastAsia" w:asciiTheme="minorEastAsia" w:hAnsiTheme="minorEastAsia" w:eastAsiaTheme="minorEastAsia" w:cstheme="minorEastAsia"/>
                <w:i w:val="0"/>
                <w:iCs w:val="0"/>
                <w:color w:val="000000"/>
                <w:kern w:val="0"/>
                <w:sz w:val="18"/>
                <w:szCs w:val="18"/>
                <w:u w:val="none"/>
                <w:lang w:val="en-US" w:eastAsia="zh-CN" w:bidi="ar"/>
              </w:rPr>
              <w:t>3、充电接口：type-C充电接口，3PIN 充电触点。</w:t>
            </w:r>
            <w:r>
              <w:rPr>
                <w:rFonts w:hint="eastAsia" w:asciiTheme="minorEastAsia" w:hAnsiTheme="minorEastAsia" w:eastAsiaTheme="minorEastAsia" w:cstheme="minorEastAsia"/>
                <w:i w:val="0"/>
                <w:iCs w:val="0"/>
                <w:color w:val="000000"/>
                <w:kern w:val="0"/>
                <w:sz w:val="18"/>
                <w:szCs w:val="18"/>
                <w:u w:val="none"/>
                <w:lang w:val="en-US" w:eastAsia="zh-CN" w:bidi="ar"/>
              </w:rPr>
              <w:br w:type="textWrapping"/>
            </w:r>
            <w:r>
              <w:rPr>
                <w:rFonts w:hint="eastAsia" w:asciiTheme="minorEastAsia" w:hAnsiTheme="minorEastAsia" w:eastAsiaTheme="minorEastAsia" w:cstheme="minorEastAsia"/>
                <w:i w:val="0"/>
                <w:iCs w:val="0"/>
                <w:color w:val="000000"/>
                <w:kern w:val="0"/>
                <w:sz w:val="18"/>
                <w:szCs w:val="18"/>
                <w:u w:val="none"/>
                <w:lang w:val="en-US" w:eastAsia="zh-CN" w:bidi="ar"/>
              </w:rPr>
              <w:t>4、充电方式：放置在主机的麦克风收纳槽内进行充电，插入type-c接口的USB充电线充电。</w:t>
            </w:r>
            <w:r>
              <w:rPr>
                <w:rFonts w:hint="eastAsia" w:asciiTheme="minorEastAsia" w:hAnsiTheme="minorEastAsia" w:eastAsiaTheme="minorEastAsia" w:cstheme="minorEastAsia"/>
                <w:i w:val="0"/>
                <w:iCs w:val="0"/>
                <w:color w:val="000000"/>
                <w:kern w:val="0"/>
                <w:sz w:val="18"/>
                <w:szCs w:val="18"/>
                <w:u w:val="none"/>
                <w:lang w:val="en-US" w:eastAsia="zh-CN" w:bidi="ar"/>
              </w:rPr>
              <w:br w:type="textWrapping"/>
            </w:r>
            <w:r>
              <w:rPr>
                <w:rFonts w:hint="eastAsia" w:asciiTheme="minorEastAsia" w:hAnsiTheme="minorEastAsia" w:eastAsiaTheme="minorEastAsia" w:cstheme="minorEastAsia"/>
                <w:i w:val="0"/>
                <w:iCs w:val="0"/>
                <w:color w:val="000000"/>
                <w:kern w:val="0"/>
                <w:sz w:val="18"/>
                <w:szCs w:val="18"/>
                <w:u w:val="none"/>
                <w:lang w:val="en-US" w:eastAsia="zh-CN" w:bidi="ar"/>
              </w:rPr>
              <w:t>5、采用锂电池供电，可充电循环使用，连续使用时间≥5小时。</w:t>
            </w:r>
            <w:r>
              <w:rPr>
                <w:rFonts w:hint="eastAsia" w:asciiTheme="minorEastAsia" w:hAnsiTheme="minorEastAsia" w:eastAsiaTheme="minorEastAsia" w:cstheme="minorEastAsia"/>
                <w:i w:val="0"/>
                <w:iCs w:val="0"/>
                <w:color w:val="000000"/>
                <w:kern w:val="0"/>
                <w:sz w:val="18"/>
                <w:szCs w:val="18"/>
                <w:u w:val="none"/>
                <w:lang w:val="en-US" w:eastAsia="zh-CN" w:bidi="ar"/>
              </w:rPr>
              <w:br w:type="textWrapping"/>
            </w:r>
            <w:r>
              <w:rPr>
                <w:rFonts w:hint="eastAsia" w:asciiTheme="minorEastAsia" w:hAnsiTheme="minorEastAsia" w:eastAsiaTheme="minorEastAsia" w:cstheme="minorEastAsia"/>
                <w:i w:val="0"/>
                <w:iCs w:val="0"/>
                <w:color w:val="000000"/>
                <w:kern w:val="0"/>
                <w:sz w:val="18"/>
                <w:szCs w:val="18"/>
                <w:u w:val="none"/>
                <w:lang w:val="en-US" w:eastAsia="zh-CN" w:bidi="ar"/>
              </w:rPr>
              <w:t>6、具有音量大小调节、PPT翻页和激光笔功能。</w:t>
            </w:r>
            <w:r>
              <w:rPr>
                <w:rFonts w:hint="eastAsia" w:asciiTheme="minorEastAsia" w:hAnsiTheme="minorEastAsia" w:eastAsiaTheme="minorEastAsia" w:cstheme="minorEastAsia"/>
                <w:i w:val="0"/>
                <w:iCs w:val="0"/>
                <w:color w:val="000000"/>
                <w:kern w:val="0"/>
                <w:sz w:val="18"/>
                <w:szCs w:val="18"/>
                <w:u w:val="none"/>
                <w:lang w:val="en-US" w:eastAsia="zh-CN" w:bidi="ar"/>
              </w:rPr>
              <w:br w:type="textWrapping"/>
            </w:r>
            <w:r>
              <w:rPr>
                <w:rFonts w:hint="eastAsia" w:asciiTheme="minorEastAsia" w:hAnsiTheme="minorEastAsia" w:eastAsiaTheme="minorEastAsia" w:cstheme="minorEastAsia"/>
                <w:i w:val="0"/>
                <w:iCs w:val="0"/>
                <w:color w:val="000000"/>
                <w:kern w:val="0"/>
                <w:sz w:val="18"/>
                <w:szCs w:val="18"/>
                <w:u w:val="none"/>
                <w:lang w:val="en-US" w:eastAsia="zh-CN" w:bidi="ar"/>
              </w:rPr>
              <w:t>7、麦克风类型：全指向性驻极体。</w:t>
            </w:r>
            <w:r>
              <w:rPr>
                <w:rFonts w:hint="eastAsia" w:asciiTheme="minorEastAsia" w:hAnsiTheme="minorEastAsia" w:eastAsiaTheme="minorEastAsia" w:cstheme="minorEastAsia"/>
                <w:i w:val="0"/>
                <w:iCs w:val="0"/>
                <w:color w:val="000000"/>
                <w:kern w:val="0"/>
                <w:sz w:val="18"/>
                <w:szCs w:val="18"/>
                <w:u w:val="none"/>
                <w:lang w:val="en-US" w:eastAsia="zh-CN" w:bidi="ar"/>
              </w:rPr>
              <w:br w:type="textWrapping"/>
            </w:r>
            <w:r>
              <w:rPr>
                <w:rFonts w:hint="eastAsia" w:asciiTheme="minorEastAsia" w:hAnsiTheme="minorEastAsia" w:eastAsiaTheme="minorEastAsia" w:cstheme="minorEastAsia"/>
                <w:i w:val="0"/>
                <w:iCs w:val="0"/>
                <w:color w:val="000000"/>
                <w:kern w:val="0"/>
                <w:sz w:val="18"/>
                <w:szCs w:val="18"/>
                <w:u w:val="none"/>
                <w:lang w:val="en-US" w:eastAsia="zh-CN" w:bidi="ar"/>
              </w:rPr>
              <w:t>8、工作温度 -10℃～40℃。</w:t>
            </w:r>
            <w:r>
              <w:rPr>
                <w:rFonts w:hint="eastAsia" w:asciiTheme="minorEastAsia" w:hAnsiTheme="minorEastAsia" w:eastAsiaTheme="minorEastAsia" w:cstheme="minorEastAsia"/>
                <w:i w:val="0"/>
                <w:iCs w:val="0"/>
                <w:color w:val="000000"/>
                <w:kern w:val="0"/>
                <w:sz w:val="18"/>
                <w:szCs w:val="18"/>
                <w:u w:val="none"/>
                <w:lang w:val="en-US" w:eastAsia="zh-CN" w:bidi="ar"/>
              </w:rPr>
              <w:br w:type="textWrapping"/>
            </w:r>
            <w:r>
              <w:rPr>
                <w:rFonts w:hint="eastAsia" w:asciiTheme="minorEastAsia" w:hAnsiTheme="minorEastAsia" w:eastAsiaTheme="minorEastAsia" w:cstheme="minorEastAsia"/>
                <w:i w:val="0"/>
                <w:iCs w:val="0"/>
                <w:color w:val="000000"/>
                <w:kern w:val="0"/>
                <w:sz w:val="18"/>
                <w:szCs w:val="18"/>
                <w:u w:val="none"/>
                <w:lang w:val="en-US" w:eastAsia="zh-CN" w:bidi="ar"/>
              </w:rPr>
              <w:t>9、使用寿命：≥280个循环。</w:t>
            </w:r>
            <w:r>
              <w:rPr>
                <w:rFonts w:hint="eastAsia" w:asciiTheme="minorEastAsia" w:hAnsiTheme="minorEastAsia" w:eastAsiaTheme="minorEastAsia" w:cstheme="minorEastAsia"/>
                <w:i w:val="0"/>
                <w:iCs w:val="0"/>
                <w:color w:val="000000"/>
                <w:kern w:val="0"/>
                <w:sz w:val="18"/>
                <w:szCs w:val="18"/>
                <w:u w:val="none"/>
                <w:lang w:val="en-US" w:eastAsia="zh-CN" w:bidi="ar"/>
              </w:rPr>
              <w:br w:type="textWrapping"/>
            </w:r>
            <w:r>
              <w:rPr>
                <w:rFonts w:hint="eastAsia" w:asciiTheme="minorEastAsia" w:hAnsiTheme="minorEastAsia" w:eastAsiaTheme="minorEastAsia" w:cstheme="minorEastAsia"/>
                <w:i w:val="0"/>
                <w:iCs w:val="0"/>
                <w:color w:val="000000"/>
                <w:kern w:val="0"/>
                <w:sz w:val="18"/>
                <w:szCs w:val="18"/>
                <w:u w:val="none"/>
                <w:lang w:val="en-US" w:eastAsia="zh-CN" w:bidi="ar"/>
              </w:rPr>
              <w:t>▲10、咪头灵敏度：-32 dBV/Pa±2dB。</w:t>
            </w:r>
            <w:r>
              <w:rPr>
                <w:rFonts w:hint="eastAsia" w:asciiTheme="minorEastAsia" w:hAnsiTheme="minorEastAsia" w:eastAsiaTheme="minorEastAsia" w:cstheme="minorEastAsia"/>
                <w:i w:val="0"/>
                <w:iCs w:val="0"/>
                <w:color w:val="000000"/>
                <w:kern w:val="0"/>
                <w:sz w:val="18"/>
                <w:szCs w:val="18"/>
                <w:u w:val="none"/>
                <w:lang w:val="en-US" w:eastAsia="zh-CN" w:bidi="ar"/>
              </w:rPr>
              <w:br w:type="textWrapping"/>
            </w:r>
            <w:r>
              <w:rPr>
                <w:rFonts w:hint="eastAsia" w:asciiTheme="minorEastAsia" w:hAnsiTheme="minorEastAsia" w:eastAsiaTheme="minorEastAsia" w:cstheme="minorEastAsia"/>
                <w:i w:val="0"/>
                <w:iCs w:val="0"/>
                <w:color w:val="000000"/>
                <w:kern w:val="0"/>
                <w:sz w:val="18"/>
                <w:szCs w:val="18"/>
                <w:u w:val="none"/>
                <w:lang w:val="en-US" w:eastAsia="zh-CN" w:bidi="ar"/>
              </w:rPr>
              <w:t xml:space="preserve">11、咪头频率响应：100Hz～20KHz。 </w:t>
            </w:r>
            <w:r>
              <w:rPr>
                <w:rFonts w:hint="eastAsia" w:asciiTheme="minorEastAsia" w:hAnsiTheme="minorEastAsia" w:eastAsiaTheme="minorEastAsia" w:cstheme="minorEastAsia"/>
                <w:i w:val="0"/>
                <w:iCs w:val="0"/>
                <w:color w:val="000000"/>
                <w:kern w:val="0"/>
                <w:sz w:val="18"/>
                <w:szCs w:val="18"/>
                <w:u w:val="none"/>
                <w:lang w:val="en-US" w:eastAsia="zh-CN" w:bidi="ar"/>
              </w:rPr>
              <w:br w:type="textWrapping"/>
            </w:r>
            <w:r>
              <w:rPr>
                <w:rFonts w:hint="eastAsia" w:asciiTheme="minorEastAsia" w:hAnsiTheme="minorEastAsia" w:eastAsiaTheme="minorEastAsia" w:cstheme="minorEastAsia"/>
                <w:i w:val="0"/>
                <w:iCs w:val="0"/>
                <w:color w:val="000000"/>
                <w:kern w:val="0"/>
                <w:sz w:val="18"/>
                <w:szCs w:val="18"/>
                <w:u w:val="none"/>
                <w:lang w:val="en-US" w:eastAsia="zh-CN" w:bidi="ar"/>
              </w:rPr>
              <w:t xml:space="preserve">12、咪头最大声压级：≥110dB@(THD&lt;3%)。  </w:t>
            </w:r>
            <w:r>
              <w:rPr>
                <w:rFonts w:hint="eastAsia" w:asciiTheme="minorEastAsia" w:hAnsiTheme="minorEastAsia" w:eastAsiaTheme="minorEastAsia" w:cstheme="minorEastAsia"/>
                <w:i w:val="0"/>
                <w:iCs w:val="0"/>
                <w:color w:val="000000"/>
                <w:kern w:val="0"/>
                <w:sz w:val="18"/>
                <w:szCs w:val="18"/>
                <w:u w:val="none"/>
                <w:lang w:val="en-US" w:eastAsia="zh-CN" w:bidi="ar"/>
              </w:rPr>
              <w:br w:type="textWrapping"/>
            </w:r>
            <w:r>
              <w:rPr>
                <w:rFonts w:hint="eastAsia" w:asciiTheme="minorEastAsia" w:hAnsiTheme="minorEastAsia" w:eastAsiaTheme="minorEastAsia" w:cstheme="minorEastAsia"/>
                <w:i w:val="0"/>
                <w:iCs w:val="0"/>
                <w:color w:val="000000"/>
                <w:kern w:val="0"/>
                <w:sz w:val="18"/>
                <w:szCs w:val="18"/>
                <w:u w:val="none"/>
                <w:lang w:val="en-US" w:eastAsia="zh-CN" w:bidi="ar"/>
              </w:rPr>
              <w:t>13、咪头信噪比：≥70dB @(f=1KHZ,S.P.L=1Pa，A-weighted)。</w:t>
            </w:r>
            <w:r>
              <w:rPr>
                <w:rFonts w:hint="eastAsia" w:asciiTheme="minorEastAsia" w:hAnsiTheme="minorEastAsia" w:eastAsiaTheme="minorEastAsia" w:cstheme="minorEastAsia"/>
                <w:i w:val="0"/>
                <w:iCs w:val="0"/>
                <w:color w:val="000000"/>
                <w:kern w:val="0"/>
                <w:sz w:val="18"/>
                <w:szCs w:val="18"/>
                <w:u w:val="none"/>
                <w:lang w:val="en-US" w:eastAsia="zh-CN" w:bidi="ar"/>
              </w:rPr>
              <w:br w:type="textWrapping"/>
            </w:r>
            <w:r>
              <w:rPr>
                <w:rFonts w:hint="eastAsia" w:asciiTheme="minorEastAsia" w:hAnsiTheme="minorEastAsia" w:eastAsiaTheme="minorEastAsia" w:cstheme="minorEastAsia"/>
                <w:i w:val="0"/>
                <w:iCs w:val="0"/>
                <w:color w:val="000000"/>
                <w:kern w:val="0"/>
                <w:sz w:val="18"/>
                <w:szCs w:val="18"/>
                <w:u w:val="none"/>
                <w:lang w:val="en-US" w:eastAsia="zh-CN" w:bidi="ar"/>
              </w:rPr>
              <w:t>14、无线频段：450Mhz～700Mhz。</w:t>
            </w:r>
            <w:r>
              <w:rPr>
                <w:rFonts w:hint="eastAsia" w:asciiTheme="minorEastAsia" w:hAnsiTheme="minorEastAsia" w:eastAsiaTheme="minorEastAsia" w:cstheme="minorEastAsia"/>
                <w:i w:val="0"/>
                <w:iCs w:val="0"/>
                <w:color w:val="000000"/>
                <w:kern w:val="0"/>
                <w:sz w:val="18"/>
                <w:szCs w:val="18"/>
                <w:u w:val="none"/>
                <w:lang w:val="en-US" w:eastAsia="zh-CN" w:bidi="ar"/>
              </w:rPr>
              <w:br w:type="textWrapping"/>
            </w:r>
            <w:r>
              <w:rPr>
                <w:rFonts w:hint="eastAsia" w:asciiTheme="minorEastAsia" w:hAnsiTheme="minorEastAsia" w:eastAsiaTheme="minorEastAsia" w:cstheme="minorEastAsia"/>
                <w:i w:val="0"/>
                <w:iCs w:val="0"/>
                <w:color w:val="000000"/>
                <w:kern w:val="0"/>
                <w:sz w:val="18"/>
                <w:szCs w:val="18"/>
                <w:u w:val="none"/>
                <w:lang w:val="en-US" w:eastAsia="zh-CN" w:bidi="ar"/>
              </w:rPr>
              <w:t>15、使用时无固定位置要求，在教室范围内可自由移动。</w:t>
            </w:r>
            <w:r>
              <w:rPr>
                <w:rFonts w:hint="eastAsia" w:asciiTheme="minorEastAsia" w:hAnsiTheme="minorEastAsia" w:eastAsiaTheme="minorEastAsia" w:cstheme="minorEastAsia"/>
                <w:i w:val="0"/>
                <w:iCs w:val="0"/>
                <w:color w:val="000000"/>
                <w:kern w:val="0"/>
                <w:sz w:val="18"/>
                <w:szCs w:val="18"/>
                <w:u w:val="none"/>
                <w:lang w:val="en-US" w:eastAsia="zh-CN" w:bidi="ar"/>
              </w:rPr>
              <w:br w:type="textWrapping"/>
            </w:r>
            <w:r>
              <w:rPr>
                <w:rFonts w:hint="eastAsia" w:asciiTheme="minorEastAsia" w:hAnsiTheme="minorEastAsia" w:eastAsiaTheme="minorEastAsia" w:cstheme="minorEastAsia"/>
                <w:i w:val="0"/>
                <w:iCs w:val="0"/>
                <w:color w:val="000000"/>
                <w:kern w:val="0"/>
                <w:sz w:val="18"/>
                <w:szCs w:val="18"/>
                <w:u w:val="none"/>
                <w:lang w:val="en-US" w:eastAsia="zh-CN" w:bidi="ar"/>
              </w:rPr>
              <w:t>16、体积小巧、便于携带、悬挂等安装方式。</w:t>
            </w:r>
            <w:r>
              <w:rPr>
                <w:rFonts w:hint="eastAsia" w:asciiTheme="minorEastAsia" w:hAnsiTheme="minorEastAsia" w:eastAsiaTheme="minorEastAsia" w:cstheme="minorEastAsia"/>
                <w:i w:val="0"/>
                <w:iCs w:val="0"/>
                <w:color w:val="000000"/>
                <w:kern w:val="0"/>
                <w:sz w:val="18"/>
                <w:szCs w:val="18"/>
                <w:u w:val="none"/>
                <w:lang w:val="en-US" w:eastAsia="zh-CN" w:bidi="ar"/>
              </w:rPr>
              <w:br w:type="textWrapping"/>
            </w:r>
            <w:r>
              <w:rPr>
                <w:rFonts w:hint="eastAsia" w:asciiTheme="minorEastAsia" w:hAnsiTheme="minorEastAsia" w:eastAsiaTheme="minorEastAsia" w:cstheme="minorEastAsia"/>
                <w:i w:val="0"/>
                <w:iCs w:val="0"/>
                <w:color w:val="000000"/>
                <w:kern w:val="0"/>
                <w:sz w:val="18"/>
                <w:szCs w:val="18"/>
                <w:u w:val="none"/>
                <w:lang w:val="en-US" w:eastAsia="zh-CN" w:bidi="ar"/>
              </w:rPr>
              <w:t>17、可灵活配对，一个麦克风可适配所有同系列主机。</w:t>
            </w:r>
            <w:r>
              <w:rPr>
                <w:rFonts w:hint="eastAsia" w:asciiTheme="minorEastAsia" w:hAnsiTheme="minorEastAsia" w:eastAsiaTheme="minorEastAsia" w:cstheme="minorEastAsia"/>
                <w:i w:val="0"/>
                <w:iCs w:val="0"/>
                <w:color w:val="000000"/>
                <w:kern w:val="0"/>
                <w:sz w:val="18"/>
                <w:szCs w:val="18"/>
                <w:u w:val="none"/>
                <w:lang w:val="en-US" w:eastAsia="zh-CN" w:bidi="ar"/>
              </w:rPr>
              <w:br w:type="textWrapping"/>
            </w:r>
            <w:r>
              <w:rPr>
                <w:rFonts w:hint="eastAsia" w:asciiTheme="minorEastAsia" w:hAnsiTheme="minorEastAsia" w:eastAsiaTheme="minorEastAsia" w:cstheme="minorEastAsia"/>
                <w:i w:val="0"/>
                <w:iCs w:val="0"/>
                <w:color w:val="000000"/>
                <w:kern w:val="0"/>
                <w:sz w:val="18"/>
                <w:szCs w:val="18"/>
                <w:u w:val="none"/>
                <w:lang w:val="en-US" w:eastAsia="zh-CN" w:bidi="ar"/>
              </w:rPr>
              <w:t>18、双击电源键，支持蓝牙功能的设备开启和关闭。</w:t>
            </w:r>
          </w:p>
        </w:tc>
        <w:tc>
          <w:tcPr>
            <w:tcW w:w="55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9E89D50">
            <w:pPr>
              <w:keepNext w:val="0"/>
              <w:keepLines w:val="0"/>
              <w:widowControl/>
              <w:suppressLineNumbers w:val="0"/>
              <w:overflowPunct/>
              <w:bidi w:val="0"/>
              <w:spacing w:line="240" w:lineRule="auto"/>
              <w:jc w:val="center"/>
              <w:textAlignment w:val="center"/>
              <w:outlineLvl w:val="9"/>
              <w:rPr>
                <w:rFonts w:hint="eastAsia" w:asciiTheme="minorEastAsia" w:hAnsiTheme="minorEastAsia" w:eastAsiaTheme="minorEastAsia" w:cstheme="minorEastAsia"/>
                <w:i w:val="0"/>
                <w:iCs w:val="0"/>
                <w:color w:val="000000"/>
                <w:sz w:val="18"/>
                <w:szCs w:val="18"/>
                <w:u w:val="none"/>
              </w:rPr>
            </w:pPr>
            <w:r>
              <w:rPr>
                <w:rFonts w:hint="eastAsia" w:asciiTheme="minorEastAsia" w:hAnsiTheme="minorEastAsia" w:eastAsiaTheme="minorEastAsia" w:cstheme="minorEastAsia"/>
                <w:i w:val="0"/>
                <w:iCs w:val="0"/>
                <w:color w:val="000000"/>
                <w:kern w:val="0"/>
                <w:sz w:val="18"/>
                <w:szCs w:val="18"/>
                <w:u w:val="none"/>
                <w:lang w:val="en-US" w:eastAsia="zh-CN" w:bidi="ar"/>
              </w:rPr>
              <w:t>106</w:t>
            </w:r>
          </w:p>
        </w:tc>
        <w:tc>
          <w:tcPr>
            <w:tcW w:w="51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1015867">
            <w:pPr>
              <w:keepNext w:val="0"/>
              <w:keepLines w:val="0"/>
              <w:widowControl/>
              <w:suppressLineNumbers w:val="0"/>
              <w:overflowPunct/>
              <w:bidi w:val="0"/>
              <w:spacing w:line="240" w:lineRule="auto"/>
              <w:jc w:val="center"/>
              <w:textAlignment w:val="center"/>
              <w:outlineLvl w:val="9"/>
              <w:rPr>
                <w:rFonts w:hint="eastAsia" w:asciiTheme="minorEastAsia" w:hAnsiTheme="minorEastAsia" w:eastAsiaTheme="minorEastAsia" w:cstheme="minorEastAsia"/>
                <w:i w:val="0"/>
                <w:iCs w:val="0"/>
                <w:color w:val="000000"/>
                <w:sz w:val="18"/>
                <w:szCs w:val="18"/>
                <w:u w:val="none"/>
              </w:rPr>
            </w:pPr>
            <w:r>
              <w:rPr>
                <w:rFonts w:hint="eastAsia" w:asciiTheme="minorEastAsia" w:hAnsiTheme="minorEastAsia" w:eastAsiaTheme="minorEastAsia" w:cstheme="minorEastAsia"/>
                <w:i w:val="0"/>
                <w:iCs w:val="0"/>
                <w:color w:val="000000"/>
                <w:kern w:val="0"/>
                <w:sz w:val="18"/>
                <w:szCs w:val="18"/>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7A4F260">
            <w:pPr>
              <w:keepNext w:val="0"/>
              <w:keepLines w:val="0"/>
              <w:widowControl/>
              <w:suppressLineNumbers w:val="0"/>
              <w:overflowPunct/>
              <w:bidi w:val="0"/>
              <w:spacing w:line="240" w:lineRule="auto"/>
              <w:jc w:val="right"/>
              <w:textAlignment w:val="center"/>
              <w:outlineLvl w:val="9"/>
              <w:rPr>
                <w:rFonts w:hint="eastAsia" w:asciiTheme="minorEastAsia" w:hAnsiTheme="minorEastAsia" w:eastAsiaTheme="minorEastAsia" w:cstheme="minorEastAsia"/>
                <w:i w:val="0"/>
                <w:iCs w:val="0"/>
                <w:color w:val="000000"/>
                <w:sz w:val="18"/>
                <w:szCs w:val="18"/>
                <w:u w:val="none"/>
              </w:rPr>
            </w:pPr>
            <w:r>
              <w:rPr>
                <w:rFonts w:hint="eastAsia" w:asciiTheme="minorEastAsia" w:hAnsiTheme="minorEastAsia" w:eastAsiaTheme="minorEastAsia" w:cstheme="minorEastAsia"/>
                <w:i w:val="0"/>
                <w:iCs w:val="0"/>
                <w:color w:val="000000"/>
                <w:kern w:val="0"/>
                <w:sz w:val="18"/>
                <w:szCs w:val="18"/>
                <w:u w:val="none"/>
                <w:lang w:val="en-US" w:eastAsia="zh-CN" w:bidi="ar"/>
              </w:rPr>
              <w:t>290</w:t>
            </w:r>
          </w:p>
        </w:tc>
      </w:tr>
      <w:tr w14:paraId="6F5E929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00" w:hRule="atLeast"/>
        </w:trPr>
        <w:tc>
          <w:tcPr>
            <w:tcW w:w="15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EC2FA86">
            <w:pPr>
              <w:keepNext w:val="0"/>
              <w:keepLines w:val="0"/>
              <w:widowControl/>
              <w:suppressLineNumbers w:val="0"/>
              <w:overflowPunct/>
              <w:bidi w:val="0"/>
              <w:spacing w:line="240" w:lineRule="auto"/>
              <w:jc w:val="center"/>
              <w:textAlignment w:val="center"/>
              <w:outlineLvl w:val="9"/>
              <w:rPr>
                <w:rFonts w:hint="eastAsia" w:asciiTheme="minorEastAsia" w:hAnsiTheme="minorEastAsia" w:eastAsiaTheme="minorEastAsia" w:cstheme="minorEastAsia"/>
                <w:i w:val="0"/>
                <w:iCs w:val="0"/>
                <w:color w:val="000000"/>
                <w:sz w:val="18"/>
                <w:szCs w:val="18"/>
                <w:u w:val="none"/>
              </w:rPr>
            </w:pPr>
            <w:r>
              <w:rPr>
                <w:rFonts w:hint="eastAsia" w:asciiTheme="minorEastAsia" w:hAnsiTheme="minorEastAsia" w:eastAsiaTheme="minorEastAsia" w:cstheme="minorEastAsia"/>
                <w:i w:val="0"/>
                <w:iCs w:val="0"/>
                <w:color w:val="000000"/>
                <w:kern w:val="0"/>
                <w:sz w:val="18"/>
                <w:szCs w:val="18"/>
                <w:u w:val="none"/>
                <w:lang w:val="en-US" w:eastAsia="zh-CN" w:bidi="ar"/>
              </w:rPr>
              <w:t>智能网关</w:t>
            </w:r>
          </w:p>
        </w:tc>
        <w:tc>
          <w:tcPr>
            <w:tcW w:w="577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2DD3A4B">
            <w:pPr>
              <w:keepNext w:val="0"/>
              <w:keepLines w:val="0"/>
              <w:widowControl/>
              <w:suppressLineNumbers w:val="0"/>
              <w:overflowPunct/>
              <w:bidi w:val="0"/>
              <w:spacing w:line="240" w:lineRule="auto"/>
              <w:jc w:val="left"/>
              <w:textAlignment w:val="center"/>
              <w:outlineLvl w:val="9"/>
              <w:rPr>
                <w:rFonts w:hint="eastAsia" w:asciiTheme="minorEastAsia" w:hAnsiTheme="minorEastAsia" w:eastAsiaTheme="minorEastAsia" w:cstheme="minorEastAsia"/>
                <w:i w:val="0"/>
                <w:iCs w:val="0"/>
                <w:color w:val="000000"/>
                <w:sz w:val="18"/>
                <w:szCs w:val="18"/>
                <w:u w:val="none"/>
              </w:rPr>
            </w:pPr>
            <w:r>
              <w:rPr>
                <w:rFonts w:hint="eastAsia" w:asciiTheme="minorEastAsia" w:hAnsiTheme="minorEastAsia" w:eastAsiaTheme="minorEastAsia" w:cstheme="minorEastAsia"/>
                <w:i w:val="0"/>
                <w:iCs w:val="0"/>
                <w:color w:val="000000"/>
                <w:kern w:val="0"/>
                <w:sz w:val="18"/>
                <w:szCs w:val="18"/>
                <w:u w:val="none"/>
                <w:lang w:val="en-US" w:eastAsia="zh-CN" w:bidi="ar"/>
              </w:rPr>
              <w:t>1、供电方式：5V USB供电；3.3V 串口供电。</w:t>
            </w:r>
            <w:r>
              <w:rPr>
                <w:rFonts w:hint="eastAsia" w:asciiTheme="minorEastAsia" w:hAnsiTheme="minorEastAsia" w:eastAsiaTheme="minorEastAsia" w:cstheme="minorEastAsia"/>
                <w:i w:val="0"/>
                <w:iCs w:val="0"/>
                <w:color w:val="000000"/>
                <w:kern w:val="0"/>
                <w:sz w:val="18"/>
                <w:szCs w:val="18"/>
                <w:u w:val="none"/>
                <w:lang w:val="en-US" w:eastAsia="zh-CN" w:bidi="ar"/>
              </w:rPr>
              <w:br w:type="textWrapping"/>
            </w:r>
            <w:r>
              <w:rPr>
                <w:rFonts w:hint="eastAsia" w:asciiTheme="minorEastAsia" w:hAnsiTheme="minorEastAsia" w:eastAsiaTheme="minorEastAsia" w:cstheme="minorEastAsia"/>
                <w:i w:val="0"/>
                <w:iCs w:val="0"/>
                <w:color w:val="000000"/>
                <w:kern w:val="0"/>
                <w:sz w:val="18"/>
                <w:szCs w:val="18"/>
                <w:u w:val="none"/>
                <w:lang w:val="en-US" w:eastAsia="zh-CN" w:bidi="ar"/>
              </w:rPr>
              <w:t>2、SD卡槽：数量≥1，支持≥32G Micro SD卡。</w:t>
            </w:r>
            <w:r>
              <w:rPr>
                <w:rFonts w:hint="eastAsia" w:asciiTheme="minorEastAsia" w:hAnsiTheme="minorEastAsia" w:eastAsiaTheme="minorEastAsia" w:cstheme="minorEastAsia"/>
                <w:i w:val="0"/>
                <w:iCs w:val="0"/>
                <w:color w:val="000000"/>
                <w:kern w:val="0"/>
                <w:sz w:val="18"/>
                <w:szCs w:val="18"/>
                <w:u w:val="none"/>
                <w:lang w:val="en-US" w:eastAsia="zh-CN" w:bidi="ar"/>
              </w:rPr>
              <w:br w:type="textWrapping"/>
            </w:r>
            <w:r>
              <w:rPr>
                <w:rFonts w:hint="eastAsia" w:asciiTheme="minorEastAsia" w:hAnsiTheme="minorEastAsia" w:eastAsiaTheme="minorEastAsia" w:cstheme="minorEastAsia"/>
                <w:i w:val="0"/>
                <w:iCs w:val="0"/>
                <w:color w:val="000000"/>
                <w:kern w:val="0"/>
                <w:sz w:val="18"/>
                <w:szCs w:val="18"/>
                <w:u w:val="none"/>
                <w:lang w:val="en-US" w:eastAsia="zh-CN" w:bidi="ar"/>
              </w:rPr>
              <w:t>3、按键：至少包含复位按键≥1，功能按键≥1等。</w:t>
            </w:r>
            <w:r>
              <w:rPr>
                <w:rFonts w:hint="eastAsia" w:asciiTheme="minorEastAsia" w:hAnsiTheme="minorEastAsia" w:eastAsiaTheme="minorEastAsia" w:cstheme="minorEastAsia"/>
                <w:i w:val="0"/>
                <w:iCs w:val="0"/>
                <w:color w:val="000000"/>
                <w:kern w:val="0"/>
                <w:sz w:val="18"/>
                <w:szCs w:val="18"/>
                <w:u w:val="none"/>
                <w:lang w:val="en-US" w:eastAsia="zh-CN" w:bidi="ar"/>
              </w:rPr>
              <w:br w:type="textWrapping"/>
            </w:r>
            <w:r>
              <w:rPr>
                <w:rFonts w:hint="eastAsia" w:asciiTheme="minorEastAsia" w:hAnsiTheme="minorEastAsia" w:eastAsiaTheme="minorEastAsia" w:cstheme="minorEastAsia"/>
                <w:i w:val="0"/>
                <w:iCs w:val="0"/>
                <w:color w:val="000000"/>
                <w:kern w:val="0"/>
                <w:sz w:val="18"/>
                <w:szCs w:val="18"/>
                <w:u w:val="none"/>
                <w:lang w:val="en-US" w:eastAsia="zh-CN" w:bidi="ar"/>
              </w:rPr>
              <w:t xml:space="preserve">4、指示灯：红蓝双色指示灯。 </w:t>
            </w:r>
            <w:r>
              <w:rPr>
                <w:rFonts w:hint="eastAsia" w:asciiTheme="minorEastAsia" w:hAnsiTheme="minorEastAsia" w:eastAsiaTheme="minorEastAsia" w:cstheme="minorEastAsia"/>
                <w:i w:val="0"/>
                <w:iCs w:val="0"/>
                <w:color w:val="000000"/>
                <w:kern w:val="0"/>
                <w:sz w:val="18"/>
                <w:szCs w:val="18"/>
                <w:u w:val="none"/>
                <w:lang w:val="en-US" w:eastAsia="zh-CN" w:bidi="ar"/>
              </w:rPr>
              <w:br w:type="textWrapping"/>
            </w:r>
            <w:r>
              <w:rPr>
                <w:rFonts w:hint="eastAsia" w:asciiTheme="minorEastAsia" w:hAnsiTheme="minorEastAsia" w:eastAsiaTheme="minorEastAsia" w:cstheme="minorEastAsia"/>
                <w:i w:val="0"/>
                <w:iCs w:val="0"/>
                <w:color w:val="000000"/>
                <w:kern w:val="0"/>
                <w:sz w:val="18"/>
                <w:szCs w:val="18"/>
                <w:u w:val="none"/>
                <w:lang w:val="en-US" w:eastAsia="zh-CN" w:bidi="ar"/>
              </w:rPr>
              <w:t>5、工作温度：-10℃~45℃，工作湿度：5%~90%RH 无冷凝。</w:t>
            </w:r>
            <w:r>
              <w:rPr>
                <w:rFonts w:hint="eastAsia" w:asciiTheme="minorEastAsia" w:hAnsiTheme="minorEastAsia" w:eastAsiaTheme="minorEastAsia" w:cstheme="minorEastAsia"/>
                <w:i w:val="0"/>
                <w:iCs w:val="0"/>
                <w:color w:val="000000"/>
                <w:kern w:val="0"/>
                <w:sz w:val="18"/>
                <w:szCs w:val="18"/>
                <w:u w:val="none"/>
                <w:lang w:val="en-US" w:eastAsia="zh-CN" w:bidi="ar"/>
              </w:rPr>
              <w:br w:type="textWrapping"/>
            </w:r>
            <w:r>
              <w:rPr>
                <w:rFonts w:hint="eastAsia" w:asciiTheme="minorEastAsia" w:hAnsiTheme="minorEastAsia" w:eastAsiaTheme="minorEastAsia" w:cstheme="minorEastAsia"/>
                <w:i w:val="0"/>
                <w:iCs w:val="0"/>
                <w:color w:val="000000"/>
                <w:kern w:val="0"/>
                <w:sz w:val="18"/>
                <w:szCs w:val="18"/>
                <w:u w:val="none"/>
                <w:lang w:val="en-US" w:eastAsia="zh-CN" w:bidi="ar"/>
              </w:rPr>
              <w:t>▲6、支持Zigbee3.0等，2.4GHz，内置天线，南向连接，通信距离：≥30米，Zigbee设备接入数量≥20个；串口：支持TTL串口通信。</w:t>
            </w:r>
            <w:r>
              <w:rPr>
                <w:rFonts w:hint="eastAsia" w:asciiTheme="minorEastAsia" w:hAnsiTheme="minorEastAsia" w:eastAsiaTheme="minorEastAsia" w:cstheme="minorEastAsia"/>
                <w:i w:val="0"/>
                <w:iCs w:val="0"/>
                <w:color w:val="000000"/>
                <w:kern w:val="0"/>
                <w:sz w:val="18"/>
                <w:szCs w:val="18"/>
                <w:u w:val="none"/>
                <w:lang w:val="en-US" w:eastAsia="zh-CN" w:bidi="ar"/>
              </w:rPr>
              <w:br w:type="textWrapping"/>
            </w:r>
            <w:r>
              <w:rPr>
                <w:rFonts w:hint="eastAsia" w:asciiTheme="minorEastAsia" w:hAnsiTheme="minorEastAsia" w:eastAsiaTheme="minorEastAsia" w:cstheme="minorEastAsia"/>
                <w:i w:val="0"/>
                <w:iCs w:val="0"/>
                <w:color w:val="000000"/>
                <w:kern w:val="0"/>
                <w:sz w:val="18"/>
                <w:szCs w:val="18"/>
                <w:u w:val="none"/>
                <w:lang w:val="en-US" w:eastAsia="zh-CN" w:bidi="ar"/>
              </w:rPr>
              <w:t>7、支持对Zigbee等设备进行组网管理，支持Zigbee等设备单独控制、分组控制，统一控制；支持场景配置功能，用户可自定义场景。</w:t>
            </w:r>
            <w:r>
              <w:rPr>
                <w:rFonts w:hint="eastAsia" w:asciiTheme="minorEastAsia" w:hAnsiTheme="minorEastAsia" w:eastAsiaTheme="minorEastAsia" w:cstheme="minorEastAsia"/>
                <w:i w:val="0"/>
                <w:iCs w:val="0"/>
                <w:color w:val="000000"/>
                <w:kern w:val="0"/>
                <w:sz w:val="18"/>
                <w:szCs w:val="18"/>
                <w:u w:val="none"/>
                <w:lang w:val="en-US" w:eastAsia="zh-CN" w:bidi="ar"/>
              </w:rPr>
              <w:br w:type="textWrapping"/>
            </w:r>
            <w:r>
              <w:rPr>
                <w:rFonts w:hint="eastAsia" w:asciiTheme="minorEastAsia" w:hAnsiTheme="minorEastAsia" w:eastAsiaTheme="minorEastAsia" w:cstheme="minorEastAsia"/>
                <w:i w:val="0"/>
                <w:iCs w:val="0"/>
                <w:color w:val="000000"/>
                <w:kern w:val="0"/>
                <w:sz w:val="18"/>
                <w:szCs w:val="18"/>
                <w:u w:val="none"/>
                <w:lang w:val="en-US" w:eastAsia="zh-CN" w:bidi="ar"/>
              </w:rPr>
              <w:t>8、支持本机OTA及批量子设备OTA功能；</w:t>
            </w:r>
            <w:r>
              <w:rPr>
                <w:rFonts w:hint="eastAsia" w:asciiTheme="minorEastAsia" w:hAnsiTheme="minorEastAsia" w:eastAsiaTheme="minorEastAsia" w:cstheme="minorEastAsia"/>
                <w:i w:val="0"/>
                <w:iCs w:val="0"/>
                <w:color w:val="000000"/>
                <w:kern w:val="0"/>
                <w:sz w:val="18"/>
                <w:szCs w:val="18"/>
                <w:u w:val="none"/>
                <w:lang w:val="en-US" w:eastAsia="zh-CN" w:bidi="ar"/>
              </w:rPr>
              <w:br w:type="textWrapping"/>
            </w:r>
            <w:r>
              <w:rPr>
                <w:rFonts w:hint="eastAsia" w:asciiTheme="minorEastAsia" w:hAnsiTheme="minorEastAsia" w:eastAsiaTheme="minorEastAsia" w:cstheme="minorEastAsia"/>
                <w:i w:val="0"/>
                <w:iCs w:val="0"/>
                <w:color w:val="000000"/>
                <w:kern w:val="0"/>
                <w:sz w:val="18"/>
                <w:szCs w:val="18"/>
                <w:u w:val="none"/>
                <w:lang w:val="en-US" w:eastAsia="zh-CN" w:bidi="ar"/>
              </w:rPr>
              <w:t>9、支持物联校园无线数据接入主机自组网功能；</w:t>
            </w:r>
            <w:r>
              <w:rPr>
                <w:rFonts w:hint="eastAsia" w:asciiTheme="minorEastAsia" w:hAnsiTheme="minorEastAsia" w:eastAsiaTheme="minorEastAsia" w:cstheme="minorEastAsia"/>
                <w:i w:val="0"/>
                <w:iCs w:val="0"/>
                <w:color w:val="000000"/>
                <w:kern w:val="0"/>
                <w:sz w:val="18"/>
                <w:szCs w:val="18"/>
                <w:u w:val="none"/>
                <w:lang w:val="en-US" w:eastAsia="zh-CN" w:bidi="ar"/>
              </w:rPr>
              <w:br w:type="textWrapping"/>
            </w:r>
            <w:r>
              <w:rPr>
                <w:rFonts w:hint="eastAsia" w:asciiTheme="minorEastAsia" w:hAnsiTheme="minorEastAsia" w:eastAsiaTheme="minorEastAsia" w:cstheme="minorEastAsia"/>
                <w:i w:val="0"/>
                <w:iCs w:val="0"/>
                <w:color w:val="000000"/>
                <w:kern w:val="0"/>
                <w:sz w:val="18"/>
                <w:szCs w:val="18"/>
                <w:u w:val="none"/>
                <w:lang w:val="en-US" w:eastAsia="zh-CN" w:bidi="ar"/>
              </w:rPr>
              <w:t>10、支持接入智慧管理平台，实现远程管理控制。</w:t>
            </w:r>
          </w:p>
        </w:tc>
        <w:tc>
          <w:tcPr>
            <w:tcW w:w="55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E53C85E">
            <w:pPr>
              <w:keepNext w:val="0"/>
              <w:keepLines w:val="0"/>
              <w:widowControl/>
              <w:suppressLineNumbers w:val="0"/>
              <w:overflowPunct/>
              <w:bidi w:val="0"/>
              <w:spacing w:line="240" w:lineRule="auto"/>
              <w:jc w:val="center"/>
              <w:textAlignment w:val="center"/>
              <w:outlineLvl w:val="9"/>
              <w:rPr>
                <w:rFonts w:hint="eastAsia" w:asciiTheme="minorEastAsia" w:hAnsiTheme="minorEastAsia" w:eastAsiaTheme="minorEastAsia" w:cstheme="minorEastAsia"/>
                <w:i w:val="0"/>
                <w:iCs w:val="0"/>
                <w:color w:val="000000"/>
                <w:sz w:val="18"/>
                <w:szCs w:val="18"/>
                <w:u w:val="none"/>
              </w:rPr>
            </w:pPr>
            <w:r>
              <w:rPr>
                <w:rFonts w:hint="eastAsia" w:asciiTheme="minorEastAsia" w:hAnsiTheme="minorEastAsia" w:eastAsiaTheme="minorEastAsia" w:cstheme="minorEastAsia"/>
                <w:i w:val="0"/>
                <w:iCs w:val="0"/>
                <w:color w:val="000000"/>
                <w:kern w:val="0"/>
                <w:sz w:val="18"/>
                <w:szCs w:val="18"/>
                <w:u w:val="none"/>
                <w:lang w:val="en-US" w:eastAsia="zh-CN" w:bidi="ar"/>
              </w:rPr>
              <w:t>115</w:t>
            </w:r>
          </w:p>
        </w:tc>
        <w:tc>
          <w:tcPr>
            <w:tcW w:w="51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CE1E965">
            <w:pPr>
              <w:keepNext w:val="0"/>
              <w:keepLines w:val="0"/>
              <w:widowControl/>
              <w:suppressLineNumbers w:val="0"/>
              <w:overflowPunct/>
              <w:bidi w:val="0"/>
              <w:spacing w:line="240" w:lineRule="auto"/>
              <w:jc w:val="center"/>
              <w:textAlignment w:val="center"/>
              <w:outlineLvl w:val="9"/>
              <w:rPr>
                <w:rFonts w:hint="eastAsia" w:asciiTheme="minorEastAsia" w:hAnsiTheme="minorEastAsia" w:eastAsiaTheme="minorEastAsia" w:cstheme="minorEastAsia"/>
                <w:i w:val="0"/>
                <w:iCs w:val="0"/>
                <w:color w:val="000000"/>
                <w:sz w:val="18"/>
                <w:szCs w:val="18"/>
                <w:u w:val="none"/>
              </w:rPr>
            </w:pPr>
            <w:r>
              <w:rPr>
                <w:rFonts w:hint="eastAsia" w:asciiTheme="minorEastAsia" w:hAnsiTheme="minorEastAsia" w:eastAsiaTheme="minorEastAsia" w:cstheme="minorEastAsia"/>
                <w:i w:val="0"/>
                <w:iCs w:val="0"/>
                <w:color w:val="000000"/>
                <w:kern w:val="0"/>
                <w:sz w:val="18"/>
                <w:szCs w:val="18"/>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3CC743C">
            <w:pPr>
              <w:keepNext w:val="0"/>
              <w:keepLines w:val="0"/>
              <w:widowControl/>
              <w:suppressLineNumbers w:val="0"/>
              <w:overflowPunct/>
              <w:bidi w:val="0"/>
              <w:spacing w:line="240" w:lineRule="auto"/>
              <w:jc w:val="right"/>
              <w:textAlignment w:val="center"/>
              <w:outlineLvl w:val="9"/>
              <w:rPr>
                <w:rFonts w:hint="eastAsia" w:asciiTheme="minorEastAsia" w:hAnsiTheme="minorEastAsia" w:eastAsiaTheme="minorEastAsia" w:cstheme="minorEastAsia"/>
                <w:i w:val="0"/>
                <w:iCs w:val="0"/>
                <w:color w:val="000000"/>
                <w:sz w:val="18"/>
                <w:szCs w:val="18"/>
                <w:u w:val="none"/>
              </w:rPr>
            </w:pPr>
            <w:r>
              <w:rPr>
                <w:rFonts w:hint="eastAsia" w:asciiTheme="minorEastAsia" w:hAnsiTheme="minorEastAsia" w:eastAsiaTheme="minorEastAsia" w:cstheme="minorEastAsia"/>
                <w:i w:val="0"/>
                <w:iCs w:val="0"/>
                <w:color w:val="000000"/>
                <w:kern w:val="0"/>
                <w:sz w:val="18"/>
                <w:szCs w:val="18"/>
                <w:u w:val="none"/>
                <w:lang w:val="en-US" w:eastAsia="zh-CN" w:bidi="ar"/>
              </w:rPr>
              <w:t>70</w:t>
            </w:r>
          </w:p>
        </w:tc>
      </w:tr>
      <w:tr w14:paraId="5147714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00" w:hRule="atLeast"/>
        </w:trPr>
        <w:tc>
          <w:tcPr>
            <w:tcW w:w="15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5A92F2E">
            <w:pPr>
              <w:keepNext w:val="0"/>
              <w:keepLines w:val="0"/>
              <w:widowControl/>
              <w:suppressLineNumbers w:val="0"/>
              <w:overflowPunct/>
              <w:bidi w:val="0"/>
              <w:spacing w:line="240" w:lineRule="auto"/>
              <w:jc w:val="center"/>
              <w:textAlignment w:val="center"/>
              <w:outlineLvl w:val="9"/>
              <w:rPr>
                <w:rFonts w:hint="eastAsia" w:asciiTheme="minorEastAsia" w:hAnsiTheme="minorEastAsia" w:eastAsiaTheme="minorEastAsia" w:cstheme="minorEastAsia"/>
                <w:i w:val="0"/>
                <w:iCs w:val="0"/>
                <w:color w:val="000000"/>
                <w:sz w:val="18"/>
                <w:szCs w:val="18"/>
                <w:u w:val="none"/>
              </w:rPr>
            </w:pPr>
            <w:r>
              <w:rPr>
                <w:rFonts w:hint="eastAsia" w:asciiTheme="minorEastAsia" w:hAnsiTheme="minorEastAsia" w:eastAsiaTheme="minorEastAsia" w:cstheme="minorEastAsia"/>
                <w:i w:val="0"/>
                <w:iCs w:val="0"/>
                <w:color w:val="000000"/>
                <w:kern w:val="0"/>
                <w:sz w:val="18"/>
                <w:szCs w:val="18"/>
                <w:u w:val="none"/>
                <w:lang w:val="en-US" w:eastAsia="zh-CN" w:bidi="ar"/>
              </w:rPr>
              <w:t>物联校园无线数据接入主机</w:t>
            </w:r>
          </w:p>
        </w:tc>
        <w:tc>
          <w:tcPr>
            <w:tcW w:w="577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1404563">
            <w:pPr>
              <w:keepNext w:val="0"/>
              <w:keepLines w:val="0"/>
              <w:widowControl/>
              <w:suppressLineNumbers w:val="0"/>
              <w:overflowPunct/>
              <w:bidi w:val="0"/>
              <w:spacing w:line="240" w:lineRule="auto"/>
              <w:jc w:val="left"/>
              <w:textAlignment w:val="center"/>
              <w:outlineLvl w:val="9"/>
              <w:rPr>
                <w:rFonts w:hint="eastAsia" w:asciiTheme="minorEastAsia" w:hAnsiTheme="minorEastAsia" w:eastAsiaTheme="minorEastAsia" w:cstheme="minorEastAsia"/>
                <w:i w:val="0"/>
                <w:iCs w:val="0"/>
                <w:color w:val="000000"/>
                <w:sz w:val="18"/>
                <w:szCs w:val="18"/>
                <w:u w:val="none"/>
              </w:rPr>
            </w:pPr>
            <w:r>
              <w:rPr>
                <w:rFonts w:hint="eastAsia" w:asciiTheme="minorEastAsia" w:hAnsiTheme="minorEastAsia" w:eastAsiaTheme="minorEastAsia" w:cstheme="minorEastAsia"/>
                <w:i w:val="0"/>
                <w:iCs w:val="0"/>
                <w:color w:val="000000"/>
                <w:kern w:val="0"/>
                <w:sz w:val="18"/>
                <w:szCs w:val="18"/>
                <w:u w:val="none"/>
                <w:lang w:val="en-US" w:eastAsia="zh-CN" w:bidi="ar"/>
              </w:rPr>
              <w:t>1、供电方式：AC 220V 50HZ供电。SIM接口：数量≥1，支持Micro SIM卡。</w:t>
            </w:r>
            <w:r>
              <w:rPr>
                <w:rFonts w:hint="eastAsia" w:asciiTheme="minorEastAsia" w:hAnsiTheme="minorEastAsia" w:eastAsiaTheme="minorEastAsia" w:cstheme="minorEastAsia"/>
                <w:i w:val="0"/>
                <w:iCs w:val="0"/>
                <w:color w:val="000000"/>
                <w:kern w:val="0"/>
                <w:sz w:val="18"/>
                <w:szCs w:val="18"/>
                <w:u w:val="none"/>
                <w:lang w:val="en-US" w:eastAsia="zh-CN" w:bidi="ar"/>
              </w:rPr>
              <w:br w:type="textWrapping"/>
            </w:r>
            <w:r>
              <w:rPr>
                <w:rFonts w:hint="eastAsia" w:asciiTheme="minorEastAsia" w:hAnsiTheme="minorEastAsia" w:eastAsiaTheme="minorEastAsia" w:cstheme="minorEastAsia"/>
                <w:i w:val="0"/>
                <w:iCs w:val="0"/>
                <w:color w:val="000000"/>
                <w:kern w:val="0"/>
                <w:sz w:val="18"/>
                <w:szCs w:val="18"/>
                <w:u w:val="none"/>
                <w:lang w:val="en-US" w:eastAsia="zh-CN" w:bidi="ar"/>
              </w:rPr>
              <w:t>2、CPU：RK3128  四核处理器等，RAM：512M，ROM：8G。</w:t>
            </w:r>
            <w:r>
              <w:rPr>
                <w:rFonts w:hint="eastAsia" w:asciiTheme="minorEastAsia" w:hAnsiTheme="minorEastAsia" w:eastAsiaTheme="minorEastAsia" w:cstheme="minorEastAsia"/>
                <w:i w:val="0"/>
                <w:iCs w:val="0"/>
                <w:color w:val="000000"/>
                <w:kern w:val="0"/>
                <w:sz w:val="18"/>
                <w:szCs w:val="18"/>
                <w:u w:val="none"/>
                <w:lang w:val="en-US" w:eastAsia="zh-CN" w:bidi="ar"/>
              </w:rPr>
              <w:br w:type="textWrapping"/>
            </w:r>
            <w:r>
              <w:rPr>
                <w:rFonts w:hint="eastAsia" w:asciiTheme="minorEastAsia" w:hAnsiTheme="minorEastAsia" w:eastAsiaTheme="minorEastAsia" w:cstheme="minorEastAsia"/>
                <w:i w:val="0"/>
                <w:iCs w:val="0"/>
                <w:color w:val="000000"/>
                <w:kern w:val="0"/>
                <w:sz w:val="18"/>
                <w:szCs w:val="18"/>
                <w:u w:val="none"/>
                <w:lang w:val="en-US" w:eastAsia="zh-CN" w:bidi="ar"/>
              </w:rPr>
              <w:t>3、以太网口：≥1个RJ45接口，10M/100M/1000M 自适应以太网。</w:t>
            </w:r>
            <w:r>
              <w:rPr>
                <w:rFonts w:hint="eastAsia" w:asciiTheme="minorEastAsia" w:hAnsiTheme="minorEastAsia" w:eastAsiaTheme="minorEastAsia" w:cstheme="minorEastAsia"/>
                <w:i w:val="0"/>
                <w:iCs w:val="0"/>
                <w:color w:val="000000"/>
                <w:kern w:val="0"/>
                <w:sz w:val="18"/>
                <w:szCs w:val="18"/>
                <w:u w:val="none"/>
                <w:lang w:val="en-US" w:eastAsia="zh-CN" w:bidi="ar"/>
              </w:rPr>
              <w:br w:type="textWrapping"/>
            </w:r>
            <w:r>
              <w:rPr>
                <w:rFonts w:hint="eastAsia" w:asciiTheme="minorEastAsia" w:hAnsiTheme="minorEastAsia" w:eastAsiaTheme="minorEastAsia" w:cstheme="minorEastAsia"/>
                <w:i w:val="0"/>
                <w:iCs w:val="0"/>
                <w:color w:val="000000"/>
                <w:kern w:val="0"/>
                <w:sz w:val="18"/>
                <w:szCs w:val="18"/>
                <w:u w:val="none"/>
                <w:lang w:val="en-US" w:eastAsia="zh-CN" w:bidi="ar"/>
              </w:rPr>
              <w:t>4、移动网络：网络制式：4G LTE CAT2外置天线。</w:t>
            </w:r>
            <w:r>
              <w:rPr>
                <w:rFonts w:hint="eastAsia" w:asciiTheme="minorEastAsia" w:hAnsiTheme="minorEastAsia" w:eastAsiaTheme="minorEastAsia" w:cstheme="minorEastAsia"/>
                <w:i w:val="0"/>
                <w:iCs w:val="0"/>
                <w:color w:val="000000"/>
                <w:kern w:val="0"/>
                <w:sz w:val="18"/>
                <w:szCs w:val="18"/>
                <w:u w:val="none"/>
                <w:lang w:val="en-US" w:eastAsia="zh-CN" w:bidi="ar"/>
              </w:rPr>
              <w:br w:type="textWrapping"/>
            </w:r>
            <w:r>
              <w:rPr>
                <w:rFonts w:hint="eastAsia" w:asciiTheme="minorEastAsia" w:hAnsiTheme="minorEastAsia" w:eastAsiaTheme="minorEastAsia" w:cstheme="minorEastAsia"/>
                <w:i w:val="0"/>
                <w:iCs w:val="0"/>
                <w:color w:val="000000"/>
                <w:kern w:val="0"/>
                <w:sz w:val="18"/>
                <w:szCs w:val="18"/>
                <w:u w:val="none"/>
                <w:lang w:val="en-US" w:eastAsia="zh-CN" w:bidi="ar"/>
              </w:rPr>
              <w:t>5、按键：功能键≥1，RESET键≥1。</w:t>
            </w:r>
            <w:r>
              <w:rPr>
                <w:rFonts w:hint="eastAsia" w:asciiTheme="minorEastAsia" w:hAnsiTheme="minorEastAsia" w:eastAsiaTheme="minorEastAsia" w:cstheme="minorEastAsia"/>
                <w:i w:val="0"/>
                <w:iCs w:val="0"/>
                <w:color w:val="000000"/>
                <w:kern w:val="0"/>
                <w:sz w:val="18"/>
                <w:szCs w:val="18"/>
                <w:u w:val="none"/>
                <w:lang w:val="en-US" w:eastAsia="zh-CN" w:bidi="ar"/>
              </w:rPr>
              <w:br w:type="textWrapping"/>
            </w:r>
            <w:r>
              <w:rPr>
                <w:rFonts w:hint="eastAsia" w:asciiTheme="minorEastAsia" w:hAnsiTheme="minorEastAsia" w:eastAsiaTheme="minorEastAsia" w:cstheme="minorEastAsia"/>
                <w:i w:val="0"/>
                <w:iCs w:val="0"/>
                <w:color w:val="000000"/>
                <w:kern w:val="0"/>
                <w:sz w:val="18"/>
                <w:szCs w:val="18"/>
                <w:u w:val="none"/>
                <w:lang w:val="en-US" w:eastAsia="zh-CN" w:bidi="ar"/>
              </w:rPr>
              <w:t>6、指示灯：数量≥4，至少包含电源≥1，系统≥1，4G网络≥1，WIFI≥1等。</w:t>
            </w:r>
            <w:r>
              <w:rPr>
                <w:rFonts w:hint="eastAsia" w:asciiTheme="minorEastAsia" w:hAnsiTheme="minorEastAsia" w:eastAsiaTheme="minorEastAsia" w:cstheme="minorEastAsia"/>
                <w:i w:val="0"/>
                <w:iCs w:val="0"/>
                <w:color w:val="000000"/>
                <w:kern w:val="0"/>
                <w:sz w:val="18"/>
                <w:szCs w:val="18"/>
                <w:u w:val="none"/>
                <w:lang w:val="en-US" w:eastAsia="zh-CN" w:bidi="ar"/>
              </w:rPr>
              <w:br w:type="textWrapping"/>
            </w:r>
            <w:r>
              <w:rPr>
                <w:rFonts w:hint="eastAsia" w:asciiTheme="minorEastAsia" w:hAnsiTheme="minorEastAsia" w:eastAsiaTheme="minorEastAsia" w:cstheme="minorEastAsia"/>
                <w:i w:val="0"/>
                <w:iCs w:val="0"/>
                <w:color w:val="000000"/>
                <w:kern w:val="0"/>
                <w:sz w:val="18"/>
                <w:szCs w:val="18"/>
                <w:u w:val="none"/>
                <w:lang w:val="en-US" w:eastAsia="zh-CN" w:bidi="ar"/>
              </w:rPr>
              <w:t>7、工作温度：-10℃~45℃。</w:t>
            </w:r>
            <w:r>
              <w:rPr>
                <w:rFonts w:hint="eastAsia" w:asciiTheme="minorEastAsia" w:hAnsiTheme="minorEastAsia" w:eastAsiaTheme="minorEastAsia" w:cstheme="minorEastAsia"/>
                <w:i w:val="0"/>
                <w:iCs w:val="0"/>
                <w:color w:val="000000"/>
                <w:kern w:val="0"/>
                <w:sz w:val="18"/>
                <w:szCs w:val="18"/>
                <w:u w:val="none"/>
                <w:lang w:val="en-US" w:eastAsia="zh-CN" w:bidi="ar"/>
              </w:rPr>
              <w:br w:type="textWrapping"/>
            </w:r>
            <w:r>
              <w:rPr>
                <w:rFonts w:hint="eastAsia" w:asciiTheme="minorEastAsia" w:hAnsiTheme="minorEastAsia" w:eastAsiaTheme="minorEastAsia" w:cstheme="minorEastAsia"/>
                <w:i w:val="0"/>
                <w:iCs w:val="0"/>
                <w:color w:val="000000"/>
                <w:kern w:val="0"/>
                <w:sz w:val="18"/>
                <w:szCs w:val="18"/>
                <w:u w:val="none"/>
                <w:lang w:val="en-US" w:eastAsia="zh-CN" w:bidi="ar"/>
              </w:rPr>
              <w:t>8、可接入设备：智能网关网关≥20个。</w:t>
            </w:r>
            <w:r>
              <w:rPr>
                <w:rFonts w:hint="eastAsia" w:asciiTheme="minorEastAsia" w:hAnsiTheme="minorEastAsia" w:eastAsiaTheme="minorEastAsia" w:cstheme="minorEastAsia"/>
                <w:i w:val="0"/>
                <w:iCs w:val="0"/>
                <w:color w:val="000000"/>
                <w:kern w:val="0"/>
                <w:sz w:val="18"/>
                <w:szCs w:val="18"/>
                <w:u w:val="none"/>
                <w:lang w:val="en-US" w:eastAsia="zh-CN" w:bidi="ar"/>
              </w:rPr>
              <w:br w:type="textWrapping"/>
            </w:r>
            <w:r>
              <w:rPr>
                <w:rFonts w:hint="eastAsia" w:asciiTheme="minorEastAsia" w:hAnsiTheme="minorEastAsia" w:eastAsiaTheme="minorEastAsia" w:cstheme="minorEastAsia"/>
                <w:i w:val="0"/>
                <w:iCs w:val="0"/>
                <w:color w:val="000000"/>
                <w:kern w:val="0"/>
                <w:sz w:val="18"/>
                <w:szCs w:val="18"/>
                <w:u w:val="none"/>
                <w:lang w:val="en-US" w:eastAsia="zh-CN" w:bidi="ar"/>
              </w:rPr>
              <w:t>9、安装方式：吸顶或壁挂安装。</w:t>
            </w:r>
          </w:p>
        </w:tc>
        <w:tc>
          <w:tcPr>
            <w:tcW w:w="55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03B85E2">
            <w:pPr>
              <w:keepNext w:val="0"/>
              <w:keepLines w:val="0"/>
              <w:widowControl/>
              <w:suppressLineNumbers w:val="0"/>
              <w:overflowPunct/>
              <w:bidi w:val="0"/>
              <w:spacing w:line="240" w:lineRule="auto"/>
              <w:jc w:val="center"/>
              <w:textAlignment w:val="center"/>
              <w:outlineLvl w:val="9"/>
              <w:rPr>
                <w:rFonts w:hint="eastAsia" w:asciiTheme="minorEastAsia" w:hAnsiTheme="minorEastAsia" w:eastAsiaTheme="minorEastAsia" w:cstheme="minorEastAsia"/>
                <w:i w:val="0"/>
                <w:iCs w:val="0"/>
                <w:color w:val="000000"/>
                <w:sz w:val="18"/>
                <w:szCs w:val="18"/>
                <w:u w:val="none"/>
              </w:rPr>
            </w:pPr>
            <w:r>
              <w:rPr>
                <w:rFonts w:hint="eastAsia" w:asciiTheme="minorEastAsia" w:hAnsiTheme="minorEastAsia" w:eastAsiaTheme="minorEastAsia" w:cstheme="minorEastAsia"/>
                <w:i w:val="0"/>
                <w:iCs w:val="0"/>
                <w:color w:val="000000"/>
                <w:kern w:val="0"/>
                <w:sz w:val="18"/>
                <w:szCs w:val="18"/>
                <w:u w:val="none"/>
                <w:lang w:val="en-US" w:eastAsia="zh-CN" w:bidi="ar"/>
              </w:rPr>
              <w:t>15</w:t>
            </w:r>
          </w:p>
        </w:tc>
        <w:tc>
          <w:tcPr>
            <w:tcW w:w="51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B1F975B">
            <w:pPr>
              <w:keepNext w:val="0"/>
              <w:keepLines w:val="0"/>
              <w:widowControl/>
              <w:suppressLineNumbers w:val="0"/>
              <w:overflowPunct/>
              <w:bidi w:val="0"/>
              <w:spacing w:line="240" w:lineRule="auto"/>
              <w:jc w:val="center"/>
              <w:textAlignment w:val="center"/>
              <w:outlineLvl w:val="9"/>
              <w:rPr>
                <w:rFonts w:hint="eastAsia" w:asciiTheme="minorEastAsia" w:hAnsiTheme="minorEastAsia" w:eastAsiaTheme="minorEastAsia" w:cstheme="minorEastAsia"/>
                <w:i w:val="0"/>
                <w:iCs w:val="0"/>
                <w:color w:val="000000"/>
                <w:sz w:val="18"/>
                <w:szCs w:val="18"/>
                <w:u w:val="none"/>
              </w:rPr>
            </w:pPr>
            <w:r>
              <w:rPr>
                <w:rFonts w:hint="eastAsia" w:asciiTheme="minorEastAsia" w:hAnsiTheme="minorEastAsia" w:eastAsiaTheme="minorEastAsia" w:cstheme="minorEastAsia"/>
                <w:i w:val="0"/>
                <w:iCs w:val="0"/>
                <w:color w:val="000000"/>
                <w:kern w:val="0"/>
                <w:sz w:val="18"/>
                <w:szCs w:val="18"/>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4CE37A6">
            <w:pPr>
              <w:keepNext w:val="0"/>
              <w:keepLines w:val="0"/>
              <w:widowControl/>
              <w:suppressLineNumbers w:val="0"/>
              <w:overflowPunct/>
              <w:bidi w:val="0"/>
              <w:spacing w:line="240" w:lineRule="auto"/>
              <w:jc w:val="right"/>
              <w:textAlignment w:val="center"/>
              <w:outlineLvl w:val="9"/>
              <w:rPr>
                <w:rFonts w:hint="eastAsia" w:asciiTheme="minorEastAsia" w:hAnsiTheme="minorEastAsia" w:eastAsiaTheme="minorEastAsia" w:cstheme="minorEastAsia"/>
                <w:i w:val="0"/>
                <w:iCs w:val="0"/>
                <w:color w:val="000000"/>
                <w:sz w:val="18"/>
                <w:szCs w:val="18"/>
                <w:u w:val="none"/>
              </w:rPr>
            </w:pPr>
            <w:r>
              <w:rPr>
                <w:rFonts w:hint="eastAsia" w:asciiTheme="minorEastAsia" w:hAnsiTheme="minorEastAsia" w:eastAsiaTheme="minorEastAsia" w:cstheme="minorEastAsia"/>
                <w:i w:val="0"/>
                <w:iCs w:val="0"/>
                <w:color w:val="000000"/>
                <w:kern w:val="0"/>
                <w:sz w:val="18"/>
                <w:szCs w:val="18"/>
                <w:u w:val="none"/>
                <w:lang w:val="en-US" w:eastAsia="zh-CN" w:bidi="ar"/>
              </w:rPr>
              <w:t>250</w:t>
            </w:r>
          </w:p>
        </w:tc>
      </w:tr>
      <w:tr w14:paraId="5A93717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00" w:hRule="atLeast"/>
        </w:trPr>
        <w:tc>
          <w:tcPr>
            <w:tcW w:w="15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C9F1F11">
            <w:pPr>
              <w:keepNext w:val="0"/>
              <w:keepLines w:val="0"/>
              <w:widowControl/>
              <w:suppressLineNumbers w:val="0"/>
              <w:overflowPunct/>
              <w:bidi w:val="0"/>
              <w:spacing w:line="240" w:lineRule="auto"/>
              <w:jc w:val="center"/>
              <w:textAlignment w:val="center"/>
              <w:outlineLvl w:val="9"/>
              <w:rPr>
                <w:rFonts w:hint="eastAsia" w:asciiTheme="minorEastAsia" w:hAnsiTheme="minorEastAsia" w:eastAsiaTheme="minorEastAsia" w:cstheme="minorEastAsia"/>
                <w:i w:val="0"/>
                <w:iCs w:val="0"/>
                <w:color w:val="000000"/>
                <w:sz w:val="18"/>
                <w:szCs w:val="18"/>
                <w:u w:val="none"/>
              </w:rPr>
            </w:pPr>
            <w:r>
              <w:rPr>
                <w:rFonts w:hint="eastAsia" w:asciiTheme="minorEastAsia" w:hAnsiTheme="minorEastAsia" w:eastAsiaTheme="minorEastAsia" w:cstheme="minorEastAsia"/>
                <w:i w:val="0"/>
                <w:iCs w:val="0"/>
                <w:color w:val="000000"/>
                <w:kern w:val="0"/>
                <w:sz w:val="18"/>
                <w:szCs w:val="18"/>
                <w:u w:val="none"/>
                <w:lang w:val="en-US" w:eastAsia="zh-CN" w:bidi="ar"/>
              </w:rPr>
              <w:t>智能面板</w:t>
            </w:r>
          </w:p>
        </w:tc>
        <w:tc>
          <w:tcPr>
            <w:tcW w:w="577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94F7D1F">
            <w:pPr>
              <w:keepNext w:val="0"/>
              <w:keepLines w:val="0"/>
              <w:widowControl/>
              <w:suppressLineNumbers w:val="0"/>
              <w:overflowPunct/>
              <w:bidi w:val="0"/>
              <w:spacing w:line="240" w:lineRule="auto"/>
              <w:jc w:val="left"/>
              <w:textAlignment w:val="center"/>
              <w:outlineLvl w:val="9"/>
              <w:rPr>
                <w:rFonts w:hint="eastAsia" w:asciiTheme="minorEastAsia" w:hAnsiTheme="minorEastAsia" w:eastAsiaTheme="minorEastAsia" w:cstheme="minorEastAsia"/>
                <w:i w:val="0"/>
                <w:iCs w:val="0"/>
                <w:color w:val="000000"/>
                <w:sz w:val="18"/>
                <w:szCs w:val="18"/>
                <w:u w:val="none"/>
              </w:rPr>
            </w:pPr>
            <w:r>
              <w:rPr>
                <w:rFonts w:hint="eastAsia" w:asciiTheme="minorEastAsia" w:hAnsiTheme="minorEastAsia" w:eastAsiaTheme="minorEastAsia" w:cstheme="minorEastAsia"/>
                <w:i w:val="0"/>
                <w:iCs w:val="0"/>
                <w:color w:val="000000"/>
                <w:kern w:val="0"/>
                <w:sz w:val="18"/>
                <w:szCs w:val="18"/>
                <w:u w:val="none"/>
                <w:lang w:val="en-US" w:eastAsia="zh-CN" w:bidi="ar"/>
              </w:rPr>
              <w:t>1、输入电压：220V/50Hz。</w:t>
            </w:r>
            <w:r>
              <w:rPr>
                <w:rFonts w:hint="eastAsia" w:asciiTheme="minorEastAsia" w:hAnsiTheme="minorEastAsia" w:eastAsiaTheme="minorEastAsia" w:cstheme="minorEastAsia"/>
                <w:i w:val="0"/>
                <w:iCs w:val="0"/>
                <w:color w:val="000000"/>
                <w:kern w:val="0"/>
                <w:sz w:val="18"/>
                <w:szCs w:val="18"/>
                <w:u w:val="none"/>
                <w:lang w:val="en-US" w:eastAsia="zh-CN" w:bidi="ar"/>
              </w:rPr>
              <w:br w:type="textWrapping"/>
            </w:r>
            <w:r>
              <w:rPr>
                <w:rFonts w:hint="eastAsia" w:asciiTheme="minorEastAsia" w:hAnsiTheme="minorEastAsia" w:eastAsiaTheme="minorEastAsia" w:cstheme="minorEastAsia"/>
                <w:i w:val="0"/>
                <w:iCs w:val="0"/>
                <w:color w:val="000000"/>
                <w:kern w:val="0"/>
                <w:sz w:val="18"/>
                <w:szCs w:val="18"/>
                <w:u w:val="none"/>
                <w:lang w:val="en-US" w:eastAsia="zh-CN" w:bidi="ar"/>
              </w:rPr>
              <w:t>2、工作温度：-10℃~45℃，工作湿度：≤80%。</w:t>
            </w:r>
            <w:r>
              <w:rPr>
                <w:rFonts w:hint="eastAsia" w:asciiTheme="minorEastAsia" w:hAnsiTheme="minorEastAsia" w:eastAsiaTheme="minorEastAsia" w:cstheme="minorEastAsia"/>
                <w:i w:val="0"/>
                <w:iCs w:val="0"/>
                <w:color w:val="000000"/>
                <w:kern w:val="0"/>
                <w:sz w:val="18"/>
                <w:szCs w:val="18"/>
                <w:u w:val="none"/>
                <w:lang w:val="en-US" w:eastAsia="zh-CN" w:bidi="ar"/>
              </w:rPr>
              <w:br w:type="textWrapping"/>
            </w:r>
            <w:r>
              <w:rPr>
                <w:rFonts w:hint="eastAsia" w:asciiTheme="minorEastAsia" w:hAnsiTheme="minorEastAsia" w:eastAsiaTheme="minorEastAsia" w:cstheme="minorEastAsia"/>
                <w:i w:val="0"/>
                <w:iCs w:val="0"/>
                <w:color w:val="000000"/>
                <w:kern w:val="0"/>
                <w:sz w:val="18"/>
                <w:szCs w:val="18"/>
                <w:u w:val="none"/>
                <w:lang w:val="en-US" w:eastAsia="zh-CN" w:bidi="ar"/>
              </w:rPr>
              <w:t>3、通讯距离：≥30m（室内）。</w:t>
            </w:r>
            <w:r>
              <w:rPr>
                <w:rFonts w:hint="eastAsia" w:asciiTheme="minorEastAsia" w:hAnsiTheme="minorEastAsia" w:eastAsiaTheme="minorEastAsia" w:cstheme="minorEastAsia"/>
                <w:i w:val="0"/>
                <w:iCs w:val="0"/>
                <w:color w:val="000000"/>
                <w:kern w:val="0"/>
                <w:sz w:val="18"/>
                <w:szCs w:val="18"/>
                <w:u w:val="none"/>
                <w:lang w:val="en-US" w:eastAsia="zh-CN" w:bidi="ar"/>
              </w:rPr>
              <w:br w:type="textWrapping"/>
            </w:r>
            <w:r>
              <w:rPr>
                <w:rFonts w:hint="eastAsia" w:asciiTheme="minorEastAsia" w:hAnsiTheme="minorEastAsia" w:eastAsiaTheme="minorEastAsia" w:cstheme="minorEastAsia"/>
                <w:i w:val="0"/>
                <w:iCs w:val="0"/>
                <w:color w:val="000000"/>
                <w:kern w:val="0"/>
                <w:sz w:val="18"/>
                <w:szCs w:val="18"/>
                <w:u w:val="none"/>
                <w:lang w:val="en-US" w:eastAsia="zh-CN" w:bidi="ar"/>
              </w:rPr>
              <w:t>▲4、无线通讯协议：Zigbee3.0等，通讯频率：2.4GHz。按键数量：≥6个；支持场景数量：≥6个（板书、投影、自习、考试、放学、休息等，满足不同教学场景需要）；按键功能：至少包含板书、投影、考试、放学等；实现开关控制、智能控制。</w:t>
            </w:r>
            <w:r>
              <w:rPr>
                <w:rFonts w:hint="eastAsia" w:asciiTheme="minorEastAsia" w:hAnsiTheme="minorEastAsia" w:eastAsiaTheme="minorEastAsia" w:cstheme="minorEastAsia"/>
                <w:i w:val="0"/>
                <w:iCs w:val="0"/>
                <w:color w:val="000000"/>
                <w:kern w:val="0"/>
                <w:sz w:val="18"/>
                <w:szCs w:val="18"/>
                <w:u w:val="none"/>
                <w:lang w:val="en-US" w:eastAsia="zh-CN" w:bidi="ar"/>
              </w:rPr>
              <w:br w:type="textWrapping"/>
            </w:r>
            <w:r>
              <w:rPr>
                <w:rFonts w:hint="eastAsia" w:asciiTheme="minorEastAsia" w:hAnsiTheme="minorEastAsia" w:eastAsiaTheme="minorEastAsia" w:cstheme="minorEastAsia"/>
                <w:i w:val="0"/>
                <w:iCs w:val="0"/>
                <w:color w:val="000000"/>
                <w:kern w:val="0"/>
                <w:sz w:val="18"/>
                <w:szCs w:val="18"/>
                <w:u w:val="none"/>
                <w:lang w:val="en-US" w:eastAsia="zh-CN" w:bidi="ar"/>
              </w:rPr>
              <w:t>5、支持动态指示灯功能，实时显示当前操作。</w:t>
            </w:r>
            <w:r>
              <w:rPr>
                <w:rFonts w:hint="eastAsia" w:asciiTheme="minorEastAsia" w:hAnsiTheme="minorEastAsia" w:eastAsiaTheme="minorEastAsia" w:cstheme="minorEastAsia"/>
                <w:i w:val="0"/>
                <w:iCs w:val="0"/>
                <w:color w:val="000000"/>
                <w:kern w:val="0"/>
                <w:sz w:val="18"/>
                <w:szCs w:val="18"/>
                <w:u w:val="none"/>
                <w:lang w:val="en-US" w:eastAsia="zh-CN" w:bidi="ar"/>
              </w:rPr>
              <w:br w:type="textWrapping"/>
            </w:r>
            <w:r>
              <w:rPr>
                <w:rFonts w:hint="eastAsia" w:asciiTheme="minorEastAsia" w:hAnsiTheme="minorEastAsia" w:eastAsiaTheme="minorEastAsia" w:cstheme="minorEastAsia"/>
                <w:i w:val="0"/>
                <w:iCs w:val="0"/>
                <w:color w:val="000000"/>
                <w:kern w:val="0"/>
                <w:sz w:val="18"/>
                <w:szCs w:val="18"/>
                <w:u w:val="none"/>
                <w:lang w:val="en-US" w:eastAsia="zh-CN" w:bidi="ar"/>
              </w:rPr>
              <w:t>6、支持OTA（在线升级）远程升级功能。</w:t>
            </w:r>
            <w:r>
              <w:rPr>
                <w:rFonts w:hint="eastAsia" w:asciiTheme="minorEastAsia" w:hAnsiTheme="minorEastAsia" w:eastAsiaTheme="minorEastAsia" w:cstheme="minorEastAsia"/>
                <w:i w:val="0"/>
                <w:iCs w:val="0"/>
                <w:color w:val="000000"/>
                <w:kern w:val="0"/>
                <w:sz w:val="18"/>
                <w:szCs w:val="18"/>
                <w:u w:val="none"/>
                <w:lang w:val="en-US" w:eastAsia="zh-CN" w:bidi="ar"/>
              </w:rPr>
              <w:br w:type="textWrapping"/>
            </w:r>
            <w:r>
              <w:rPr>
                <w:rFonts w:hint="eastAsia" w:asciiTheme="minorEastAsia" w:hAnsiTheme="minorEastAsia" w:eastAsiaTheme="minorEastAsia" w:cstheme="minorEastAsia"/>
                <w:i w:val="0"/>
                <w:iCs w:val="0"/>
                <w:color w:val="000000"/>
                <w:kern w:val="0"/>
                <w:sz w:val="18"/>
                <w:szCs w:val="18"/>
                <w:u w:val="none"/>
                <w:lang w:val="en-US" w:eastAsia="zh-CN" w:bidi="ar"/>
              </w:rPr>
              <w:t>7、安装方式：86型场景面板，明盒/暗盒安装。</w:t>
            </w:r>
          </w:p>
        </w:tc>
        <w:tc>
          <w:tcPr>
            <w:tcW w:w="55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6A18A1F">
            <w:pPr>
              <w:keepNext w:val="0"/>
              <w:keepLines w:val="0"/>
              <w:widowControl/>
              <w:suppressLineNumbers w:val="0"/>
              <w:overflowPunct/>
              <w:bidi w:val="0"/>
              <w:spacing w:line="240" w:lineRule="auto"/>
              <w:jc w:val="center"/>
              <w:textAlignment w:val="center"/>
              <w:outlineLvl w:val="9"/>
              <w:rPr>
                <w:rFonts w:hint="eastAsia" w:asciiTheme="minorEastAsia" w:hAnsiTheme="minorEastAsia" w:eastAsiaTheme="minorEastAsia" w:cstheme="minorEastAsia"/>
                <w:i w:val="0"/>
                <w:iCs w:val="0"/>
                <w:color w:val="000000"/>
                <w:sz w:val="18"/>
                <w:szCs w:val="18"/>
                <w:u w:val="none"/>
              </w:rPr>
            </w:pPr>
            <w:r>
              <w:rPr>
                <w:rFonts w:hint="eastAsia" w:asciiTheme="minorEastAsia" w:hAnsiTheme="minorEastAsia" w:eastAsiaTheme="minorEastAsia" w:cstheme="minorEastAsia"/>
                <w:i w:val="0"/>
                <w:iCs w:val="0"/>
                <w:color w:val="000000"/>
                <w:kern w:val="0"/>
                <w:sz w:val="18"/>
                <w:szCs w:val="18"/>
                <w:u w:val="none"/>
                <w:lang w:val="en-US" w:eastAsia="zh-CN" w:bidi="ar"/>
              </w:rPr>
              <w:t>115</w:t>
            </w:r>
          </w:p>
        </w:tc>
        <w:tc>
          <w:tcPr>
            <w:tcW w:w="51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CE6C315">
            <w:pPr>
              <w:keepNext w:val="0"/>
              <w:keepLines w:val="0"/>
              <w:widowControl/>
              <w:suppressLineNumbers w:val="0"/>
              <w:overflowPunct/>
              <w:bidi w:val="0"/>
              <w:spacing w:line="240" w:lineRule="auto"/>
              <w:jc w:val="center"/>
              <w:textAlignment w:val="center"/>
              <w:outlineLvl w:val="9"/>
              <w:rPr>
                <w:rFonts w:hint="eastAsia" w:asciiTheme="minorEastAsia" w:hAnsiTheme="minorEastAsia" w:eastAsiaTheme="minorEastAsia" w:cstheme="minorEastAsia"/>
                <w:i w:val="0"/>
                <w:iCs w:val="0"/>
                <w:color w:val="000000"/>
                <w:sz w:val="18"/>
                <w:szCs w:val="18"/>
                <w:u w:val="none"/>
              </w:rPr>
            </w:pPr>
            <w:r>
              <w:rPr>
                <w:rFonts w:hint="eastAsia" w:asciiTheme="minorEastAsia" w:hAnsiTheme="minorEastAsia" w:eastAsiaTheme="minorEastAsia" w:cstheme="minorEastAsia"/>
                <w:i w:val="0"/>
                <w:iCs w:val="0"/>
                <w:color w:val="000000"/>
                <w:kern w:val="0"/>
                <w:sz w:val="18"/>
                <w:szCs w:val="18"/>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37D712A">
            <w:pPr>
              <w:keepNext w:val="0"/>
              <w:keepLines w:val="0"/>
              <w:widowControl/>
              <w:suppressLineNumbers w:val="0"/>
              <w:overflowPunct/>
              <w:bidi w:val="0"/>
              <w:spacing w:line="240" w:lineRule="auto"/>
              <w:jc w:val="right"/>
              <w:textAlignment w:val="center"/>
              <w:outlineLvl w:val="9"/>
              <w:rPr>
                <w:rFonts w:hint="eastAsia" w:asciiTheme="minorEastAsia" w:hAnsiTheme="minorEastAsia" w:eastAsiaTheme="minorEastAsia" w:cstheme="minorEastAsia"/>
                <w:i w:val="0"/>
                <w:iCs w:val="0"/>
                <w:color w:val="000000"/>
                <w:sz w:val="18"/>
                <w:szCs w:val="18"/>
                <w:u w:val="none"/>
              </w:rPr>
            </w:pPr>
            <w:r>
              <w:rPr>
                <w:rFonts w:hint="eastAsia" w:asciiTheme="minorEastAsia" w:hAnsiTheme="minorEastAsia" w:eastAsiaTheme="minorEastAsia" w:cstheme="minorEastAsia"/>
                <w:i w:val="0"/>
                <w:iCs w:val="0"/>
                <w:color w:val="000000"/>
                <w:kern w:val="0"/>
                <w:sz w:val="18"/>
                <w:szCs w:val="18"/>
                <w:u w:val="none"/>
                <w:lang w:val="en-US" w:eastAsia="zh-CN" w:bidi="ar"/>
              </w:rPr>
              <w:t>70</w:t>
            </w:r>
          </w:p>
        </w:tc>
      </w:tr>
      <w:tr w14:paraId="19EB323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00" w:hRule="atLeast"/>
        </w:trPr>
        <w:tc>
          <w:tcPr>
            <w:tcW w:w="15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2CF94F4">
            <w:pPr>
              <w:keepNext w:val="0"/>
              <w:keepLines w:val="0"/>
              <w:widowControl/>
              <w:suppressLineNumbers w:val="0"/>
              <w:overflowPunct/>
              <w:bidi w:val="0"/>
              <w:spacing w:line="240" w:lineRule="auto"/>
              <w:jc w:val="center"/>
              <w:textAlignment w:val="center"/>
              <w:outlineLvl w:val="9"/>
              <w:rPr>
                <w:rFonts w:hint="eastAsia" w:asciiTheme="minorEastAsia" w:hAnsiTheme="minorEastAsia" w:eastAsiaTheme="minorEastAsia" w:cstheme="minorEastAsia"/>
                <w:i w:val="0"/>
                <w:iCs w:val="0"/>
                <w:color w:val="000000"/>
                <w:sz w:val="18"/>
                <w:szCs w:val="18"/>
                <w:highlight w:val="none"/>
                <w:u w:val="none"/>
              </w:rPr>
            </w:pPr>
            <w:r>
              <w:rPr>
                <w:rFonts w:hint="eastAsia" w:asciiTheme="minorEastAsia" w:hAnsiTheme="minorEastAsia" w:eastAsiaTheme="minorEastAsia" w:cstheme="minorEastAsia"/>
                <w:i w:val="0"/>
                <w:iCs w:val="0"/>
                <w:color w:val="000000"/>
                <w:kern w:val="0"/>
                <w:sz w:val="18"/>
                <w:szCs w:val="18"/>
                <w:highlight w:val="none"/>
                <w:u w:val="none"/>
                <w:lang w:val="en-US" w:eastAsia="zh-CN" w:bidi="ar"/>
              </w:rPr>
              <w:t>智慧管理平台</w:t>
            </w:r>
          </w:p>
        </w:tc>
        <w:tc>
          <w:tcPr>
            <w:tcW w:w="577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CA307AD">
            <w:pPr>
              <w:keepNext w:val="0"/>
              <w:keepLines w:val="0"/>
              <w:widowControl/>
              <w:suppressLineNumbers w:val="0"/>
              <w:overflowPunct/>
              <w:bidi w:val="0"/>
              <w:spacing w:line="240" w:lineRule="auto"/>
              <w:jc w:val="left"/>
              <w:textAlignment w:val="center"/>
              <w:outlineLvl w:val="9"/>
              <w:rPr>
                <w:rFonts w:hint="eastAsia" w:asciiTheme="minorEastAsia" w:hAnsiTheme="minorEastAsia" w:eastAsiaTheme="minorEastAsia" w:cstheme="minorEastAsia"/>
                <w:i w:val="0"/>
                <w:iCs w:val="0"/>
                <w:color w:val="000000"/>
                <w:sz w:val="18"/>
                <w:szCs w:val="18"/>
                <w:highlight w:val="none"/>
                <w:u w:val="none"/>
              </w:rPr>
            </w:pPr>
            <w:r>
              <w:rPr>
                <w:rFonts w:hint="eastAsia" w:asciiTheme="minorEastAsia" w:hAnsiTheme="minorEastAsia" w:eastAsiaTheme="minorEastAsia" w:cstheme="minorEastAsia"/>
                <w:i w:val="0"/>
                <w:iCs w:val="0"/>
                <w:color w:val="000000"/>
                <w:kern w:val="0"/>
                <w:sz w:val="18"/>
                <w:szCs w:val="18"/>
                <w:highlight w:val="none"/>
                <w:u w:val="none"/>
                <w:lang w:val="en-US" w:eastAsia="zh-CN" w:bidi="ar"/>
              </w:rPr>
              <w:t>1、平台采用B/S架构，支持跨平台部署，至少支持Linux、Windows平台；平台接入设备数量不低于20万台。</w:t>
            </w:r>
            <w:r>
              <w:rPr>
                <w:rFonts w:hint="eastAsia" w:asciiTheme="minorEastAsia" w:hAnsiTheme="minorEastAsia" w:eastAsiaTheme="minorEastAsia" w:cstheme="minorEastAsia"/>
                <w:i w:val="0"/>
                <w:iCs w:val="0"/>
                <w:color w:val="000000"/>
                <w:kern w:val="0"/>
                <w:sz w:val="18"/>
                <w:szCs w:val="18"/>
                <w:highlight w:val="none"/>
                <w:u w:val="none"/>
                <w:lang w:val="en-US" w:eastAsia="zh-CN" w:bidi="ar"/>
              </w:rPr>
              <w:br w:type="textWrapping"/>
            </w:r>
            <w:r>
              <w:rPr>
                <w:rFonts w:hint="eastAsia" w:asciiTheme="minorEastAsia" w:hAnsiTheme="minorEastAsia" w:eastAsiaTheme="minorEastAsia" w:cstheme="minorEastAsia"/>
                <w:i w:val="0"/>
                <w:iCs w:val="0"/>
                <w:color w:val="000000"/>
                <w:kern w:val="0"/>
                <w:sz w:val="18"/>
                <w:szCs w:val="18"/>
                <w:highlight w:val="none"/>
                <w:u w:val="none"/>
                <w:lang w:val="en-US" w:eastAsia="zh-CN" w:bidi="ar"/>
              </w:rPr>
              <w:t>2、组织管理：支持多级组织架构设置，包括学校、学院、系所、班级等层级，可灵活调整组织结构。</w:t>
            </w:r>
            <w:r>
              <w:rPr>
                <w:rFonts w:hint="eastAsia" w:asciiTheme="minorEastAsia" w:hAnsiTheme="minorEastAsia" w:eastAsiaTheme="minorEastAsia" w:cstheme="minorEastAsia"/>
                <w:i w:val="0"/>
                <w:iCs w:val="0"/>
                <w:color w:val="000000"/>
                <w:kern w:val="0"/>
                <w:sz w:val="18"/>
                <w:szCs w:val="18"/>
                <w:highlight w:val="none"/>
                <w:u w:val="none"/>
                <w:lang w:val="en-US" w:eastAsia="zh-CN" w:bidi="ar"/>
              </w:rPr>
              <w:br w:type="textWrapping"/>
            </w:r>
            <w:r>
              <w:rPr>
                <w:rFonts w:hint="eastAsia" w:asciiTheme="minorEastAsia" w:hAnsiTheme="minorEastAsia" w:eastAsiaTheme="minorEastAsia" w:cstheme="minorEastAsia"/>
                <w:i w:val="0"/>
                <w:iCs w:val="0"/>
                <w:color w:val="000000"/>
                <w:kern w:val="0"/>
                <w:sz w:val="18"/>
                <w:szCs w:val="18"/>
                <w:highlight w:val="none"/>
                <w:u w:val="none"/>
                <w:lang w:val="en-US" w:eastAsia="zh-CN" w:bidi="ar"/>
              </w:rPr>
              <w:t>3、学校信息管理：可以设置学校名称、学校地址、校徽、校训、学校简介等信息。</w:t>
            </w:r>
            <w:r>
              <w:rPr>
                <w:rFonts w:hint="eastAsia" w:asciiTheme="minorEastAsia" w:hAnsiTheme="minorEastAsia" w:eastAsiaTheme="minorEastAsia" w:cstheme="minorEastAsia"/>
                <w:i w:val="0"/>
                <w:iCs w:val="0"/>
                <w:color w:val="000000"/>
                <w:kern w:val="0"/>
                <w:sz w:val="18"/>
                <w:szCs w:val="18"/>
                <w:highlight w:val="none"/>
                <w:u w:val="none"/>
                <w:lang w:val="en-US" w:eastAsia="zh-CN" w:bidi="ar"/>
              </w:rPr>
              <w:br w:type="textWrapping"/>
            </w:r>
            <w:r>
              <w:rPr>
                <w:rFonts w:hint="eastAsia" w:asciiTheme="minorEastAsia" w:hAnsiTheme="minorEastAsia" w:eastAsiaTheme="minorEastAsia" w:cstheme="minorEastAsia"/>
                <w:i w:val="0"/>
                <w:iCs w:val="0"/>
                <w:color w:val="000000"/>
                <w:kern w:val="0"/>
                <w:sz w:val="18"/>
                <w:szCs w:val="18"/>
                <w:highlight w:val="none"/>
                <w:u w:val="none"/>
                <w:lang w:val="en-US" w:eastAsia="zh-CN" w:bidi="ar"/>
              </w:rPr>
              <w:t>4、部门管理：支持导入学校部门，支持持单个添加子部门、编辑部门信息和删除部门。</w:t>
            </w:r>
            <w:r>
              <w:rPr>
                <w:rFonts w:hint="eastAsia" w:asciiTheme="minorEastAsia" w:hAnsiTheme="minorEastAsia" w:eastAsiaTheme="minorEastAsia" w:cstheme="minorEastAsia"/>
                <w:i w:val="0"/>
                <w:iCs w:val="0"/>
                <w:color w:val="000000"/>
                <w:kern w:val="0"/>
                <w:sz w:val="18"/>
                <w:szCs w:val="18"/>
                <w:highlight w:val="none"/>
                <w:u w:val="none"/>
                <w:lang w:val="en-US" w:eastAsia="zh-CN" w:bidi="ar"/>
              </w:rPr>
              <w:br w:type="textWrapping"/>
            </w:r>
            <w:r>
              <w:rPr>
                <w:rFonts w:hint="eastAsia" w:asciiTheme="minorEastAsia" w:hAnsiTheme="minorEastAsia" w:eastAsiaTheme="minorEastAsia" w:cstheme="minorEastAsia"/>
                <w:i w:val="0"/>
                <w:iCs w:val="0"/>
                <w:color w:val="000000"/>
                <w:kern w:val="0"/>
                <w:sz w:val="18"/>
                <w:szCs w:val="18"/>
                <w:highlight w:val="none"/>
                <w:u w:val="none"/>
                <w:lang w:val="en-US" w:eastAsia="zh-CN" w:bidi="ar"/>
              </w:rPr>
              <w:t>5、人员管理：支持新增单个人员、批量新增账号； 支持编辑人员信息、人员凭证管理、重置用户密码。</w:t>
            </w:r>
            <w:r>
              <w:rPr>
                <w:rFonts w:hint="eastAsia" w:asciiTheme="minorEastAsia" w:hAnsiTheme="minorEastAsia" w:eastAsiaTheme="minorEastAsia" w:cstheme="minorEastAsia"/>
                <w:i w:val="0"/>
                <w:iCs w:val="0"/>
                <w:color w:val="000000"/>
                <w:kern w:val="0"/>
                <w:sz w:val="18"/>
                <w:szCs w:val="18"/>
                <w:highlight w:val="none"/>
                <w:u w:val="none"/>
                <w:lang w:val="en-US" w:eastAsia="zh-CN" w:bidi="ar"/>
              </w:rPr>
              <w:br w:type="textWrapping"/>
            </w:r>
            <w:r>
              <w:rPr>
                <w:rFonts w:hint="eastAsia" w:asciiTheme="minorEastAsia" w:hAnsiTheme="minorEastAsia" w:eastAsiaTheme="minorEastAsia" w:cstheme="minorEastAsia"/>
                <w:i w:val="0"/>
                <w:iCs w:val="0"/>
                <w:color w:val="000000"/>
                <w:kern w:val="0"/>
                <w:sz w:val="18"/>
                <w:szCs w:val="18"/>
                <w:highlight w:val="none"/>
                <w:u w:val="none"/>
                <w:lang w:val="en-US" w:eastAsia="zh-CN" w:bidi="ar"/>
              </w:rPr>
              <w:t>6、角色管理：支持展示系统默认角色，以及新增自定义角色，支持配置菜单和功能权限。</w:t>
            </w:r>
            <w:r>
              <w:rPr>
                <w:rFonts w:hint="eastAsia" w:asciiTheme="minorEastAsia" w:hAnsiTheme="minorEastAsia" w:eastAsiaTheme="minorEastAsia" w:cstheme="minorEastAsia"/>
                <w:i w:val="0"/>
                <w:iCs w:val="0"/>
                <w:color w:val="000000"/>
                <w:kern w:val="0"/>
                <w:sz w:val="18"/>
                <w:szCs w:val="18"/>
                <w:highlight w:val="none"/>
                <w:u w:val="none"/>
                <w:lang w:val="en-US" w:eastAsia="zh-CN" w:bidi="ar"/>
              </w:rPr>
              <w:br w:type="textWrapping"/>
            </w:r>
            <w:r>
              <w:rPr>
                <w:rFonts w:hint="eastAsia" w:asciiTheme="minorEastAsia" w:hAnsiTheme="minorEastAsia" w:eastAsiaTheme="minorEastAsia" w:cstheme="minorEastAsia"/>
                <w:i w:val="0"/>
                <w:iCs w:val="0"/>
                <w:color w:val="000000"/>
                <w:kern w:val="0"/>
                <w:sz w:val="18"/>
                <w:szCs w:val="18"/>
                <w:highlight w:val="none"/>
                <w:u w:val="none"/>
                <w:lang w:val="en-US" w:eastAsia="zh-CN" w:bidi="ar"/>
              </w:rPr>
              <w:t>7、设备管理：支持列表形式查看平台接入的所有照明设备信息，包括设备名称、连接状态、开关状态。支持查看设备基础信息及设备日志，包括设备告警信息/设备控制记录/设备连接记录/设备运行记录等。</w:t>
            </w:r>
            <w:r>
              <w:rPr>
                <w:rFonts w:hint="eastAsia" w:asciiTheme="minorEastAsia" w:hAnsiTheme="minorEastAsia" w:eastAsiaTheme="minorEastAsia" w:cstheme="minorEastAsia"/>
                <w:i w:val="0"/>
                <w:iCs w:val="0"/>
                <w:color w:val="000000"/>
                <w:kern w:val="0"/>
                <w:sz w:val="18"/>
                <w:szCs w:val="18"/>
                <w:highlight w:val="none"/>
                <w:u w:val="none"/>
                <w:lang w:val="en-US" w:eastAsia="zh-CN" w:bidi="ar"/>
              </w:rPr>
              <w:br w:type="textWrapping"/>
            </w:r>
            <w:r>
              <w:rPr>
                <w:rFonts w:hint="eastAsia" w:asciiTheme="minorEastAsia" w:hAnsiTheme="minorEastAsia" w:eastAsiaTheme="minorEastAsia" w:cstheme="minorEastAsia"/>
                <w:i w:val="0"/>
                <w:iCs w:val="0"/>
                <w:color w:val="000000"/>
                <w:kern w:val="0"/>
                <w:sz w:val="18"/>
                <w:szCs w:val="18"/>
                <w:highlight w:val="none"/>
                <w:u w:val="none"/>
                <w:lang w:val="en-US" w:eastAsia="zh-CN" w:bidi="ar"/>
              </w:rPr>
              <w:t>8、空间管理：支持按实际学校建筑建设情况创建空间，以树层级结构展示，支持整校-楼栋-楼层-房间等多级结构；支持设置空间类型、空间用途；支持自定义配置空间背景图；支持照明设备以图标形式配置在空间背景图上，位置和实际地理位置相对应。</w:t>
            </w:r>
            <w:r>
              <w:rPr>
                <w:rFonts w:hint="eastAsia" w:asciiTheme="minorEastAsia" w:hAnsiTheme="minorEastAsia" w:eastAsiaTheme="minorEastAsia" w:cstheme="minorEastAsia"/>
                <w:i w:val="0"/>
                <w:iCs w:val="0"/>
                <w:color w:val="000000"/>
                <w:kern w:val="0"/>
                <w:sz w:val="18"/>
                <w:szCs w:val="18"/>
                <w:highlight w:val="none"/>
                <w:u w:val="none"/>
                <w:lang w:val="en-US" w:eastAsia="zh-CN" w:bidi="ar"/>
              </w:rPr>
              <w:br w:type="textWrapping"/>
            </w:r>
            <w:r>
              <w:rPr>
                <w:rFonts w:hint="eastAsia" w:asciiTheme="minorEastAsia" w:hAnsiTheme="minorEastAsia" w:eastAsiaTheme="minorEastAsia" w:cstheme="minorEastAsia"/>
                <w:i w:val="0"/>
                <w:iCs w:val="0"/>
                <w:color w:val="000000"/>
                <w:kern w:val="0"/>
                <w:sz w:val="18"/>
                <w:szCs w:val="18"/>
                <w:highlight w:val="none"/>
                <w:u w:val="none"/>
                <w:lang w:val="en-US" w:eastAsia="zh-CN" w:bidi="ar"/>
              </w:rPr>
              <w:t>9、支持空间地图/列表两种形式展示筛选的设备：可在列表视图上展示照明设备的实时状态：在线/离线/开启/关闭；在空间视图点击设备图标可进行单个灯具设备实时开关灯、调节亮度等；在空间视图点击设备图标可以查看设备数据信息包含设备的电流、通电时间、电压等；支持场景控制，能即时反馈场景控制结果并生成相应的记录。</w:t>
            </w:r>
            <w:r>
              <w:rPr>
                <w:rFonts w:hint="eastAsia" w:asciiTheme="minorEastAsia" w:hAnsiTheme="minorEastAsia" w:eastAsiaTheme="minorEastAsia" w:cstheme="minorEastAsia"/>
                <w:i w:val="0"/>
                <w:iCs w:val="0"/>
                <w:color w:val="000000"/>
                <w:kern w:val="0"/>
                <w:sz w:val="18"/>
                <w:szCs w:val="18"/>
                <w:highlight w:val="none"/>
                <w:u w:val="none"/>
                <w:lang w:val="en-US" w:eastAsia="zh-CN" w:bidi="ar"/>
              </w:rPr>
              <w:br w:type="textWrapping"/>
            </w:r>
            <w:r>
              <w:rPr>
                <w:rFonts w:hint="eastAsia" w:asciiTheme="minorEastAsia" w:hAnsiTheme="minorEastAsia" w:eastAsiaTheme="minorEastAsia" w:cstheme="minorEastAsia"/>
                <w:i w:val="0"/>
                <w:iCs w:val="0"/>
                <w:color w:val="000000"/>
                <w:kern w:val="0"/>
                <w:sz w:val="18"/>
                <w:szCs w:val="18"/>
                <w:highlight w:val="none"/>
                <w:u w:val="none"/>
                <w:lang w:val="en-US" w:eastAsia="zh-CN" w:bidi="ar"/>
              </w:rPr>
              <w:t>10、支持在移动端APP或小程序上查看照明设备的实时状态、支持对灯具设备远程开关控制，支持按整校/整栋/整层集中控制。</w:t>
            </w:r>
            <w:r>
              <w:rPr>
                <w:rFonts w:hint="eastAsia" w:asciiTheme="minorEastAsia" w:hAnsiTheme="minorEastAsia" w:eastAsiaTheme="minorEastAsia" w:cstheme="minorEastAsia"/>
                <w:i w:val="0"/>
                <w:iCs w:val="0"/>
                <w:color w:val="000000"/>
                <w:kern w:val="0"/>
                <w:sz w:val="18"/>
                <w:szCs w:val="18"/>
                <w:highlight w:val="none"/>
                <w:u w:val="none"/>
                <w:lang w:val="en-US" w:eastAsia="zh-CN" w:bidi="ar"/>
              </w:rPr>
              <w:br w:type="textWrapping"/>
            </w:r>
            <w:r>
              <w:rPr>
                <w:rFonts w:hint="eastAsia" w:asciiTheme="minorEastAsia" w:hAnsiTheme="minorEastAsia" w:eastAsiaTheme="minorEastAsia" w:cstheme="minorEastAsia"/>
                <w:i w:val="0"/>
                <w:iCs w:val="0"/>
                <w:color w:val="000000"/>
                <w:kern w:val="0"/>
                <w:sz w:val="18"/>
                <w:szCs w:val="18"/>
                <w:highlight w:val="none"/>
                <w:u w:val="none"/>
                <w:lang w:val="en-US" w:eastAsia="zh-CN" w:bidi="ar"/>
              </w:rPr>
              <w:t>11、支持联动控制，支持设置作息后按照校历作息时间进行联动，比如上课自动开灯，放学自动关灯等。</w:t>
            </w:r>
            <w:r>
              <w:rPr>
                <w:rFonts w:hint="eastAsia" w:asciiTheme="minorEastAsia" w:hAnsiTheme="minorEastAsia" w:eastAsiaTheme="minorEastAsia" w:cstheme="minorEastAsia"/>
                <w:i w:val="0"/>
                <w:iCs w:val="0"/>
                <w:color w:val="000000"/>
                <w:kern w:val="0"/>
                <w:sz w:val="18"/>
                <w:szCs w:val="18"/>
                <w:highlight w:val="none"/>
                <w:u w:val="none"/>
                <w:lang w:val="en-US" w:eastAsia="zh-CN" w:bidi="ar"/>
              </w:rPr>
              <w:br w:type="textWrapping"/>
            </w:r>
            <w:r>
              <w:rPr>
                <w:rFonts w:hint="eastAsia" w:asciiTheme="minorEastAsia" w:hAnsiTheme="minorEastAsia" w:eastAsiaTheme="minorEastAsia" w:cstheme="minorEastAsia"/>
                <w:i w:val="0"/>
                <w:iCs w:val="0"/>
                <w:color w:val="000000"/>
                <w:kern w:val="0"/>
                <w:sz w:val="18"/>
                <w:szCs w:val="18"/>
                <w:highlight w:val="none"/>
                <w:u w:val="none"/>
                <w:lang w:val="en-US" w:eastAsia="zh-CN" w:bidi="ar"/>
              </w:rPr>
              <w:t>12、支持场景配置：支持新增/修改/删除场景，支持内置默认的光场景模式：板书、自习、考试等。</w:t>
            </w:r>
            <w:r>
              <w:rPr>
                <w:rFonts w:hint="eastAsia" w:asciiTheme="minorEastAsia" w:hAnsiTheme="minorEastAsia" w:eastAsiaTheme="minorEastAsia" w:cstheme="minorEastAsia"/>
                <w:i w:val="0"/>
                <w:iCs w:val="0"/>
                <w:color w:val="000000"/>
                <w:kern w:val="0"/>
                <w:sz w:val="18"/>
                <w:szCs w:val="18"/>
                <w:highlight w:val="none"/>
                <w:u w:val="none"/>
                <w:lang w:val="en-US" w:eastAsia="zh-CN" w:bidi="ar"/>
              </w:rPr>
              <w:br w:type="textWrapping"/>
            </w:r>
            <w:r>
              <w:rPr>
                <w:rFonts w:hint="eastAsia" w:asciiTheme="minorEastAsia" w:hAnsiTheme="minorEastAsia" w:eastAsiaTheme="minorEastAsia" w:cstheme="minorEastAsia"/>
                <w:i w:val="0"/>
                <w:iCs w:val="0"/>
                <w:color w:val="000000"/>
                <w:kern w:val="0"/>
                <w:sz w:val="18"/>
                <w:szCs w:val="18"/>
                <w:highlight w:val="none"/>
                <w:u w:val="none"/>
                <w:lang w:val="en-US" w:eastAsia="zh-CN" w:bidi="ar"/>
              </w:rPr>
              <w:t>13、支持告警策略配置：支持对灯具的电压、电流等参数进行监控，并能够在异常状态下发出告警；支持批量/单个设置生效设备；支持设置不少于三种告警等级（紧急/重要/一般）；支持按照部门权限/指定人员推送告警通知；支持不少于5种告警通知方式（web消息通知/app消息通知/小程序消息通知/短信通知/语音通知）。</w:t>
            </w:r>
            <w:r>
              <w:rPr>
                <w:rFonts w:hint="eastAsia" w:asciiTheme="minorEastAsia" w:hAnsiTheme="minorEastAsia" w:eastAsiaTheme="minorEastAsia" w:cstheme="minorEastAsia"/>
                <w:i w:val="0"/>
                <w:iCs w:val="0"/>
                <w:color w:val="000000"/>
                <w:kern w:val="0"/>
                <w:sz w:val="18"/>
                <w:szCs w:val="18"/>
                <w:highlight w:val="none"/>
                <w:u w:val="none"/>
                <w:lang w:val="en-US" w:eastAsia="zh-CN" w:bidi="ar"/>
              </w:rPr>
              <w:br w:type="textWrapping"/>
            </w:r>
            <w:r>
              <w:rPr>
                <w:rFonts w:hint="eastAsia" w:asciiTheme="minorEastAsia" w:hAnsiTheme="minorEastAsia" w:eastAsiaTheme="minorEastAsia" w:cstheme="minorEastAsia"/>
                <w:i w:val="0"/>
                <w:iCs w:val="0"/>
                <w:color w:val="000000"/>
                <w:kern w:val="0"/>
                <w:sz w:val="18"/>
                <w:szCs w:val="18"/>
                <w:highlight w:val="none"/>
                <w:u w:val="none"/>
                <w:lang w:val="en-US" w:eastAsia="zh-CN" w:bidi="ar"/>
              </w:rPr>
              <w:t>14、支持查看照明设备的总览信息，包含：灯具设备总数，灯具设备在线数，灯具设备开启率，设备告警数等，点击设备告警记录可下穿至告警记录详细信息。</w:t>
            </w:r>
            <w:r>
              <w:rPr>
                <w:rFonts w:hint="eastAsia" w:asciiTheme="minorEastAsia" w:hAnsiTheme="minorEastAsia" w:eastAsiaTheme="minorEastAsia" w:cstheme="minorEastAsia"/>
                <w:i w:val="0"/>
                <w:iCs w:val="0"/>
                <w:color w:val="000000"/>
                <w:kern w:val="0"/>
                <w:sz w:val="18"/>
                <w:szCs w:val="18"/>
                <w:highlight w:val="none"/>
                <w:u w:val="none"/>
                <w:lang w:val="en-US" w:eastAsia="zh-CN" w:bidi="ar"/>
              </w:rPr>
              <w:br w:type="textWrapping"/>
            </w:r>
            <w:r>
              <w:rPr>
                <w:rFonts w:hint="eastAsia" w:asciiTheme="minorEastAsia" w:hAnsiTheme="minorEastAsia" w:eastAsiaTheme="minorEastAsia" w:cstheme="minorEastAsia"/>
                <w:i w:val="0"/>
                <w:iCs w:val="0"/>
                <w:color w:val="000000"/>
                <w:kern w:val="0"/>
                <w:sz w:val="18"/>
                <w:szCs w:val="18"/>
                <w:highlight w:val="none"/>
                <w:u w:val="none"/>
                <w:lang w:val="en-US" w:eastAsia="zh-CN" w:bidi="ar"/>
              </w:rPr>
              <w:t>★15、为保证软硬件产品高度兼容性及售后服务统一便利性，平台须具有智慧健康光环境或校园照明相关自主知识产权且与智能LED教室灯、智能LED黑板灯以及无线扩声设备为同一制造商。</w:t>
            </w:r>
          </w:p>
        </w:tc>
        <w:tc>
          <w:tcPr>
            <w:tcW w:w="55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874F47D">
            <w:pPr>
              <w:keepNext w:val="0"/>
              <w:keepLines w:val="0"/>
              <w:widowControl/>
              <w:suppressLineNumbers w:val="0"/>
              <w:overflowPunct/>
              <w:bidi w:val="0"/>
              <w:spacing w:line="240" w:lineRule="auto"/>
              <w:jc w:val="center"/>
              <w:textAlignment w:val="center"/>
              <w:outlineLvl w:val="9"/>
              <w:rPr>
                <w:rFonts w:hint="eastAsia" w:asciiTheme="minorEastAsia" w:hAnsiTheme="minorEastAsia" w:eastAsiaTheme="minorEastAsia" w:cstheme="minorEastAsia"/>
                <w:i w:val="0"/>
                <w:iCs w:val="0"/>
                <w:color w:val="000000"/>
                <w:sz w:val="18"/>
                <w:szCs w:val="18"/>
                <w:highlight w:val="none"/>
                <w:u w:val="none"/>
              </w:rPr>
            </w:pPr>
            <w:r>
              <w:rPr>
                <w:rFonts w:hint="eastAsia" w:asciiTheme="minorEastAsia" w:hAnsiTheme="minorEastAsia" w:eastAsiaTheme="minorEastAsia" w:cstheme="minorEastAsia"/>
                <w:i w:val="0"/>
                <w:iCs w:val="0"/>
                <w:color w:val="000000"/>
                <w:kern w:val="0"/>
                <w:sz w:val="18"/>
                <w:szCs w:val="18"/>
                <w:highlight w:val="none"/>
                <w:u w:val="none"/>
                <w:lang w:val="en-US" w:eastAsia="zh-CN" w:bidi="ar"/>
              </w:rPr>
              <w:t>8</w:t>
            </w:r>
          </w:p>
        </w:tc>
        <w:tc>
          <w:tcPr>
            <w:tcW w:w="51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B47C4A6">
            <w:pPr>
              <w:keepNext w:val="0"/>
              <w:keepLines w:val="0"/>
              <w:widowControl/>
              <w:suppressLineNumbers w:val="0"/>
              <w:overflowPunct/>
              <w:bidi w:val="0"/>
              <w:spacing w:line="240" w:lineRule="auto"/>
              <w:jc w:val="center"/>
              <w:textAlignment w:val="center"/>
              <w:outlineLvl w:val="9"/>
              <w:rPr>
                <w:rFonts w:hint="eastAsia" w:asciiTheme="minorEastAsia" w:hAnsiTheme="minorEastAsia" w:eastAsiaTheme="minorEastAsia" w:cstheme="minorEastAsia"/>
                <w:i w:val="0"/>
                <w:iCs w:val="0"/>
                <w:color w:val="000000"/>
                <w:sz w:val="18"/>
                <w:szCs w:val="18"/>
                <w:highlight w:val="none"/>
                <w:u w:val="none"/>
              </w:rPr>
            </w:pPr>
            <w:r>
              <w:rPr>
                <w:rFonts w:hint="eastAsia" w:asciiTheme="minorEastAsia" w:hAnsiTheme="minorEastAsia" w:eastAsiaTheme="minorEastAsia" w:cstheme="minorEastAsia"/>
                <w:i w:val="0"/>
                <w:iCs w:val="0"/>
                <w:color w:val="000000"/>
                <w:kern w:val="0"/>
                <w:sz w:val="18"/>
                <w:szCs w:val="18"/>
                <w:highlight w:val="none"/>
                <w:u w:val="none"/>
                <w:lang w:val="en-US" w:eastAsia="zh-CN" w:bidi="ar"/>
              </w:rPr>
              <w:t>套</w:t>
            </w:r>
          </w:p>
        </w:tc>
        <w:tc>
          <w:tcPr>
            <w:tcW w:w="81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0565982">
            <w:pPr>
              <w:keepNext w:val="0"/>
              <w:keepLines w:val="0"/>
              <w:widowControl/>
              <w:suppressLineNumbers w:val="0"/>
              <w:overflowPunct/>
              <w:bidi w:val="0"/>
              <w:spacing w:line="240" w:lineRule="auto"/>
              <w:jc w:val="right"/>
              <w:textAlignment w:val="center"/>
              <w:outlineLvl w:val="9"/>
              <w:rPr>
                <w:rFonts w:hint="eastAsia" w:asciiTheme="minorEastAsia" w:hAnsiTheme="minorEastAsia" w:eastAsiaTheme="minorEastAsia" w:cstheme="minorEastAsia"/>
                <w:i w:val="0"/>
                <w:iCs w:val="0"/>
                <w:color w:val="000000"/>
                <w:sz w:val="18"/>
                <w:szCs w:val="18"/>
                <w:highlight w:val="none"/>
                <w:u w:val="none"/>
              </w:rPr>
            </w:pPr>
            <w:r>
              <w:rPr>
                <w:rFonts w:hint="eastAsia" w:asciiTheme="minorEastAsia" w:hAnsiTheme="minorEastAsia" w:eastAsiaTheme="minorEastAsia" w:cstheme="minorEastAsia"/>
                <w:i w:val="0"/>
                <w:iCs w:val="0"/>
                <w:color w:val="000000"/>
                <w:kern w:val="0"/>
                <w:sz w:val="18"/>
                <w:szCs w:val="18"/>
                <w:highlight w:val="none"/>
                <w:u w:val="none"/>
                <w:lang w:val="en-US" w:eastAsia="zh-CN" w:bidi="ar"/>
              </w:rPr>
              <w:t>1600</w:t>
            </w:r>
          </w:p>
        </w:tc>
      </w:tr>
      <w:tr w14:paraId="1FB0365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00" w:hRule="atLeast"/>
        </w:trPr>
        <w:tc>
          <w:tcPr>
            <w:tcW w:w="155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6098321">
            <w:pPr>
              <w:keepNext w:val="0"/>
              <w:keepLines w:val="0"/>
              <w:widowControl/>
              <w:suppressLineNumbers w:val="0"/>
              <w:overflowPunct/>
              <w:bidi w:val="0"/>
              <w:spacing w:line="240" w:lineRule="auto"/>
              <w:jc w:val="left"/>
              <w:textAlignment w:val="center"/>
              <w:outlineLvl w:val="9"/>
              <w:rPr>
                <w:rFonts w:hint="eastAsia" w:asciiTheme="minorEastAsia" w:hAnsiTheme="minorEastAsia" w:eastAsiaTheme="minorEastAsia" w:cstheme="minorEastAsia"/>
                <w:i w:val="0"/>
                <w:iCs w:val="0"/>
                <w:color w:val="000000"/>
                <w:sz w:val="18"/>
                <w:szCs w:val="18"/>
                <w:highlight w:val="none"/>
                <w:u w:val="none"/>
              </w:rPr>
            </w:pPr>
            <w:r>
              <w:rPr>
                <w:rFonts w:hint="eastAsia" w:asciiTheme="minorEastAsia" w:hAnsiTheme="minorEastAsia" w:eastAsiaTheme="minorEastAsia" w:cstheme="minorEastAsia"/>
                <w:i w:val="0"/>
                <w:iCs w:val="0"/>
                <w:color w:val="000000"/>
                <w:kern w:val="0"/>
                <w:sz w:val="18"/>
                <w:szCs w:val="18"/>
                <w:highlight w:val="none"/>
                <w:u w:val="none"/>
                <w:lang w:val="en-US" w:eastAsia="zh-CN" w:bidi="ar"/>
              </w:rPr>
              <w:t>布线及辅材</w:t>
            </w:r>
          </w:p>
        </w:tc>
        <w:tc>
          <w:tcPr>
            <w:tcW w:w="577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6F02D02">
            <w:pPr>
              <w:keepNext w:val="0"/>
              <w:keepLines w:val="0"/>
              <w:widowControl/>
              <w:suppressLineNumbers w:val="0"/>
              <w:overflowPunct/>
              <w:bidi w:val="0"/>
              <w:spacing w:line="240" w:lineRule="auto"/>
              <w:jc w:val="left"/>
              <w:textAlignment w:val="center"/>
              <w:outlineLvl w:val="9"/>
              <w:rPr>
                <w:rFonts w:hint="eastAsia" w:asciiTheme="minorEastAsia" w:hAnsiTheme="minorEastAsia" w:eastAsiaTheme="minorEastAsia" w:cstheme="minorEastAsia"/>
                <w:i w:val="0"/>
                <w:iCs w:val="0"/>
                <w:color w:val="000000"/>
                <w:sz w:val="18"/>
                <w:szCs w:val="18"/>
                <w:highlight w:val="none"/>
                <w:u w:val="none"/>
              </w:rPr>
            </w:pPr>
            <w:r>
              <w:rPr>
                <w:rFonts w:hint="eastAsia" w:asciiTheme="minorEastAsia" w:hAnsiTheme="minorEastAsia" w:eastAsiaTheme="minorEastAsia" w:cstheme="minorEastAsia"/>
                <w:i w:val="0"/>
                <w:iCs w:val="0"/>
                <w:color w:val="000000"/>
                <w:kern w:val="0"/>
                <w:sz w:val="18"/>
                <w:szCs w:val="18"/>
                <w:highlight w:val="none"/>
                <w:u w:val="none"/>
                <w:lang w:val="en-US" w:eastAsia="zh-CN" w:bidi="ar"/>
              </w:rPr>
              <w:t>符合国标线材、使用全新开关</w:t>
            </w:r>
          </w:p>
        </w:tc>
        <w:tc>
          <w:tcPr>
            <w:tcW w:w="55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49F1197">
            <w:pPr>
              <w:keepNext w:val="0"/>
              <w:keepLines w:val="0"/>
              <w:widowControl/>
              <w:suppressLineNumbers w:val="0"/>
              <w:overflowPunct/>
              <w:bidi w:val="0"/>
              <w:spacing w:line="240" w:lineRule="auto"/>
              <w:jc w:val="center"/>
              <w:textAlignment w:val="center"/>
              <w:outlineLvl w:val="9"/>
              <w:rPr>
                <w:rFonts w:hint="eastAsia" w:asciiTheme="minorEastAsia" w:hAnsiTheme="minorEastAsia" w:eastAsiaTheme="minorEastAsia" w:cstheme="minorEastAsia"/>
                <w:i w:val="0"/>
                <w:iCs w:val="0"/>
                <w:color w:val="000000"/>
                <w:sz w:val="18"/>
                <w:szCs w:val="18"/>
                <w:highlight w:val="none"/>
                <w:u w:val="none"/>
              </w:rPr>
            </w:pPr>
            <w:r>
              <w:rPr>
                <w:rFonts w:hint="eastAsia" w:asciiTheme="minorEastAsia" w:hAnsiTheme="minorEastAsia" w:eastAsiaTheme="minorEastAsia" w:cstheme="minorEastAsia"/>
                <w:i w:val="0"/>
                <w:iCs w:val="0"/>
                <w:color w:val="000000"/>
                <w:kern w:val="0"/>
                <w:sz w:val="18"/>
                <w:szCs w:val="18"/>
                <w:highlight w:val="none"/>
                <w:u w:val="none"/>
                <w:lang w:val="en-US" w:eastAsia="zh-CN" w:bidi="ar"/>
              </w:rPr>
              <w:t>1</w:t>
            </w:r>
          </w:p>
        </w:tc>
        <w:tc>
          <w:tcPr>
            <w:tcW w:w="51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EC0DE86">
            <w:pPr>
              <w:keepNext w:val="0"/>
              <w:keepLines w:val="0"/>
              <w:widowControl/>
              <w:suppressLineNumbers w:val="0"/>
              <w:overflowPunct/>
              <w:bidi w:val="0"/>
              <w:spacing w:line="240" w:lineRule="auto"/>
              <w:jc w:val="center"/>
              <w:textAlignment w:val="center"/>
              <w:outlineLvl w:val="9"/>
              <w:rPr>
                <w:rFonts w:hint="eastAsia" w:asciiTheme="minorEastAsia" w:hAnsiTheme="minorEastAsia" w:eastAsiaTheme="minorEastAsia" w:cstheme="minorEastAsia"/>
                <w:i w:val="0"/>
                <w:iCs w:val="0"/>
                <w:color w:val="000000"/>
                <w:sz w:val="18"/>
                <w:szCs w:val="18"/>
                <w:highlight w:val="none"/>
                <w:u w:val="none"/>
              </w:rPr>
            </w:pPr>
            <w:r>
              <w:rPr>
                <w:rFonts w:hint="eastAsia" w:asciiTheme="minorEastAsia" w:hAnsiTheme="minorEastAsia" w:eastAsiaTheme="minorEastAsia" w:cstheme="minorEastAsia"/>
                <w:i w:val="0"/>
                <w:iCs w:val="0"/>
                <w:color w:val="000000"/>
                <w:kern w:val="0"/>
                <w:sz w:val="18"/>
                <w:szCs w:val="18"/>
                <w:highlight w:val="none"/>
                <w:u w:val="none"/>
                <w:lang w:val="en-US" w:eastAsia="zh-CN" w:bidi="ar"/>
              </w:rPr>
              <w:t>批</w:t>
            </w:r>
          </w:p>
        </w:tc>
        <w:tc>
          <w:tcPr>
            <w:tcW w:w="81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94923BB">
            <w:pPr>
              <w:keepNext w:val="0"/>
              <w:keepLines w:val="0"/>
              <w:widowControl/>
              <w:suppressLineNumbers w:val="0"/>
              <w:overflowPunct/>
              <w:bidi w:val="0"/>
              <w:spacing w:line="240" w:lineRule="auto"/>
              <w:jc w:val="right"/>
              <w:textAlignment w:val="center"/>
              <w:outlineLvl w:val="9"/>
              <w:rPr>
                <w:rFonts w:hint="eastAsia" w:asciiTheme="minorEastAsia" w:hAnsiTheme="minorEastAsia" w:eastAsiaTheme="minorEastAsia" w:cstheme="minorEastAsia"/>
                <w:i w:val="0"/>
                <w:iCs w:val="0"/>
                <w:color w:val="000000"/>
                <w:sz w:val="18"/>
                <w:szCs w:val="18"/>
                <w:highlight w:val="none"/>
                <w:u w:val="none"/>
              </w:rPr>
            </w:pPr>
            <w:r>
              <w:rPr>
                <w:rFonts w:hint="eastAsia" w:asciiTheme="minorEastAsia" w:hAnsiTheme="minorEastAsia" w:eastAsiaTheme="minorEastAsia" w:cstheme="minorEastAsia"/>
                <w:i w:val="0"/>
                <w:iCs w:val="0"/>
                <w:color w:val="000000"/>
                <w:kern w:val="0"/>
                <w:sz w:val="18"/>
                <w:szCs w:val="18"/>
                <w:highlight w:val="none"/>
                <w:u w:val="none"/>
                <w:lang w:val="en-US" w:eastAsia="zh-CN" w:bidi="ar"/>
              </w:rPr>
              <w:t>52640</w:t>
            </w:r>
          </w:p>
        </w:tc>
      </w:tr>
    </w:tbl>
    <w:p w14:paraId="4F49EDE4">
      <w:pPr>
        <w:numPr>
          <w:ilvl w:val="0"/>
          <w:numId w:val="0"/>
        </w:numPr>
        <w:overflowPunct/>
        <w:bidi w:val="0"/>
        <w:outlineLvl w:val="9"/>
        <w:rPr>
          <w:rFonts w:hint="eastAsia"/>
          <w:highlight w:val="none"/>
        </w:rPr>
      </w:pPr>
    </w:p>
    <w:p w14:paraId="49520040">
      <w:pPr>
        <w:keepNext w:val="0"/>
        <w:keepLines w:val="0"/>
        <w:pageBreakBefore w:val="0"/>
        <w:suppressLineNumbers w:val="0"/>
        <w:kinsoku/>
        <w:wordWrap/>
        <w:overflowPunct/>
        <w:topLinePunct w:val="0"/>
        <w:autoSpaceDE/>
        <w:autoSpaceDN/>
        <w:bidi w:val="0"/>
        <w:adjustRightInd w:val="0"/>
        <w:snapToGrid w:val="0"/>
        <w:spacing w:before="0" w:beforeAutospacing="0" w:after="0" w:afterAutospacing="0" w:line="360" w:lineRule="auto"/>
        <w:ind w:right="0"/>
        <w:jc w:val="both"/>
        <w:textAlignment w:val="auto"/>
        <w:outlineLvl w:val="9"/>
        <w:rPr>
          <w:rFonts w:hint="eastAsia"/>
          <w:b/>
          <w:bCs/>
          <w:highlight w:val="none"/>
          <w:lang w:eastAsia="zh-CN"/>
        </w:rPr>
      </w:pPr>
      <w:r>
        <w:rPr>
          <w:rFonts w:hint="eastAsia"/>
          <w:b/>
          <w:bCs/>
          <w:highlight w:val="none"/>
          <w:lang w:eastAsia="zh-CN"/>
        </w:rPr>
        <w:t>注：</w:t>
      </w:r>
    </w:p>
    <w:p w14:paraId="4770A9AE">
      <w:pPr>
        <w:keepNext w:val="0"/>
        <w:keepLines w:val="0"/>
        <w:pageBreakBefore w:val="0"/>
        <w:suppressLineNumbers w:val="0"/>
        <w:kinsoku/>
        <w:wordWrap/>
        <w:overflowPunct/>
        <w:topLinePunct w:val="0"/>
        <w:autoSpaceDE/>
        <w:autoSpaceDN/>
        <w:bidi w:val="0"/>
        <w:adjustRightInd w:val="0"/>
        <w:snapToGrid w:val="0"/>
        <w:spacing w:before="0" w:beforeAutospacing="0" w:after="0" w:afterAutospacing="0" w:line="360" w:lineRule="auto"/>
        <w:ind w:right="0"/>
        <w:jc w:val="both"/>
        <w:textAlignment w:val="auto"/>
        <w:outlineLvl w:val="9"/>
        <w:rPr>
          <w:rFonts w:hint="eastAsia" w:ascii="Times New Roman" w:hAnsi="Times New Roman" w:eastAsia="宋体" w:cs="Times New Roman"/>
          <w:b/>
          <w:bCs/>
          <w:highlight w:val="none"/>
          <w:lang w:val="zh-CN" w:eastAsia="zh-CN"/>
        </w:rPr>
      </w:pPr>
      <w:r>
        <w:rPr>
          <w:rFonts w:hint="eastAsia" w:ascii="Times New Roman" w:hAnsi="Times New Roman" w:eastAsia="宋体" w:cs="Times New Roman"/>
          <w:b/>
          <w:bCs/>
          <w:highlight w:val="none"/>
          <w:lang w:val="en-US" w:eastAsia="zh-CN"/>
        </w:rPr>
        <w:t>1.</w:t>
      </w:r>
      <w:r>
        <w:rPr>
          <w:rFonts w:hint="eastAsia" w:ascii="Times New Roman" w:hAnsi="Times New Roman" w:eastAsia="宋体" w:cs="Times New Roman"/>
          <w:b/>
          <w:bCs/>
          <w:highlight w:val="none"/>
          <w:lang w:val="zh-CN" w:eastAsia="zh-CN"/>
        </w:rPr>
        <w:t>技术指标带“★”指标为强制性指标，不满足的一项按无效投标处理。</w:t>
      </w:r>
    </w:p>
    <w:p w14:paraId="51B2F22B">
      <w:pPr>
        <w:keepNext w:val="0"/>
        <w:keepLines w:val="0"/>
        <w:pageBreakBefore w:val="0"/>
        <w:suppressLineNumbers w:val="0"/>
        <w:kinsoku/>
        <w:wordWrap/>
        <w:overflowPunct/>
        <w:topLinePunct w:val="0"/>
        <w:autoSpaceDE/>
        <w:autoSpaceDN/>
        <w:bidi w:val="0"/>
        <w:adjustRightInd w:val="0"/>
        <w:snapToGrid w:val="0"/>
        <w:spacing w:before="0" w:beforeAutospacing="0" w:after="0" w:afterAutospacing="0" w:line="360" w:lineRule="auto"/>
        <w:ind w:right="0"/>
        <w:jc w:val="both"/>
        <w:textAlignment w:val="auto"/>
        <w:outlineLvl w:val="9"/>
        <w:rPr>
          <w:rFonts w:hint="eastAsia" w:ascii="Times New Roman" w:hAnsi="Times New Roman" w:eastAsia="宋体" w:cs="Times New Roman"/>
          <w:b/>
          <w:bCs/>
          <w:highlight w:val="none"/>
          <w:lang w:val="zh-CN" w:eastAsia="zh-CN"/>
        </w:rPr>
      </w:pPr>
      <w:r>
        <w:rPr>
          <w:rFonts w:hint="eastAsia" w:ascii="Times New Roman" w:hAnsi="Times New Roman" w:eastAsia="宋体" w:cs="Times New Roman"/>
          <w:b/>
          <w:bCs/>
          <w:highlight w:val="none"/>
          <w:lang w:val="en-US" w:eastAsia="zh-CN"/>
        </w:rPr>
        <w:t>2.以上所有设备</w:t>
      </w:r>
      <w:r>
        <w:rPr>
          <w:rFonts w:hint="eastAsia" w:ascii="Times New Roman" w:hAnsi="Times New Roman" w:eastAsia="宋体" w:cs="Times New Roman"/>
          <w:b/>
          <w:bCs/>
          <w:highlight w:val="none"/>
          <w:lang w:val="zh-CN" w:eastAsia="zh-CN"/>
        </w:rPr>
        <w:t>须提供相关佐证材料，包含但不限于产品彩页或技术参数确认函。</w:t>
      </w:r>
    </w:p>
    <w:p w14:paraId="0F6DC1E8">
      <w:pPr>
        <w:keepNext w:val="0"/>
        <w:keepLines w:val="0"/>
        <w:pageBreakBefore w:val="0"/>
        <w:suppressLineNumbers w:val="0"/>
        <w:kinsoku/>
        <w:wordWrap/>
        <w:overflowPunct/>
        <w:topLinePunct w:val="0"/>
        <w:autoSpaceDE/>
        <w:autoSpaceDN/>
        <w:bidi w:val="0"/>
        <w:adjustRightInd w:val="0"/>
        <w:snapToGrid w:val="0"/>
        <w:spacing w:before="0" w:beforeAutospacing="0" w:after="0" w:afterAutospacing="0" w:line="360" w:lineRule="auto"/>
        <w:ind w:right="0"/>
        <w:jc w:val="both"/>
        <w:textAlignment w:val="auto"/>
        <w:outlineLvl w:val="9"/>
        <w:rPr>
          <w:rFonts w:hint="default" w:ascii="Times New Roman" w:hAnsi="Times New Roman" w:eastAsia="宋体" w:cs="Times New Roman"/>
          <w:b/>
          <w:bCs/>
          <w:highlight w:val="none"/>
          <w:lang w:val="en-US" w:eastAsia="zh-CN"/>
        </w:rPr>
      </w:pPr>
      <w:r>
        <w:rPr>
          <w:rFonts w:hint="eastAsia" w:ascii="Times New Roman" w:hAnsi="Times New Roman" w:eastAsia="宋体" w:cs="Times New Roman"/>
          <w:b/>
          <w:bCs/>
          <w:highlight w:val="none"/>
          <w:lang w:val="en-US" w:eastAsia="zh-CN"/>
        </w:rPr>
        <w:t>3.本项目核心产品是智能LED教室灯。</w:t>
      </w:r>
    </w:p>
    <w:p w14:paraId="3951B41E">
      <w:pPr>
        <w:keepNext w:val="0"/>
        <w:keepLines w:val="0"/>
        <w:pageBreakBefore w:val="0"/>
        <w:suppressLineNumbers w:val="0"/>
        <w:kinsoku/>
        <w:wordWrap/>
        <w:overflowPunct/>
        <w:topLinePunct w:val="0"/>
        <w:autoSpaceDE/>
        <w:autoSpaceDN/>
        <w:bidi w:val="0"/>
        <w:adjustRightInd w:val="0"/>
        <w:snapToGrid w:val="0"/>
        <w:spacing w:before="0" w:beforeAutospacing="0" w:after="0" w:afterAutospacing="0" w:line="360" w:lineRule="auto"/>
        <w:ind w:right="0"/>
        <w:jc w:val="both"/>
        <w:textAlignment w:val="auto"/>
        <w:outlineLvl w:val="9"/>
        <w:rPr>
          <w:rFonts w:hint="default" w:ascii="Times New Roman" w:hAnsi="Times New Roman" w:eastAsia="宋体" w:cs="Times New Roman"/>
          <w:b/>
          <w:bCs/>
          <w:highlight w:val="none"/>
          <w:lang w:val="en-US" w:eastAsia="zh-CN"/>
        </w:rPr>
      </w:pPr>
    </w:p>
    <w:p w14:paraId="4E8C564A">
      <w:pPr>
        <w:overflowPunct/>
        <w:bidi w:val="0"/>
        <w:outlineLvl w:val="9"/>
        <w:rPr>
          <w:rFonts w:hint="eastAsia" w:ascii="宋体" w:hAnsi="宋体"/>
          <w:b/>
          <w:color w:val="000000" w:themeColor="text1"/>
          <w:sz w:val="32"/>
          <w:szCs w:val="32"/>
          <w:highlight w:val="none"/>
          <w14:textFill>
            <w14:solidFill>
              <w14:schemeClr w14:val="tx1"/>
            </w14:solidFill>
          </w14:textFill>
        </w:rPr>
      </w:pPr>
      <w:r>
        <w:rPr>
          <w:rFonts w:hint="eastAsia" w:ascii="宋体" w:hAnsi="宋体"/>
          <w:b/>
          <w:color w:val="000000" w:themeColor="text1"/>
          <w:sz w:val="32"/>
          <w:szCs w:val="32"/>
          <w:highlight w:val="none"/>
          <w14:textFill>
            <w14:solidFill>
              <w14:schemeClr w14:val="tx1"/>
            </w14:solidFill>
          </w14:textFill>
        </w:rPr>
        <w:br w:type="page"/>
      </w:r>
    </w:p>
    <w:p w14:paraId="2CA6C706">
      <w:pPr>
        <w:overflowPunct/>
        <w:bidi w:val="0"/>
        <w:outlineLvl w:val="9"/>
        <w:rPr>
          <w:rFonts w:hint="eastAsia"/>
          <w:color w:val="000000" w:themeColor="text1"/>
          <w:highlight w:val="none"/>
          <w:lang w:eastAsia="zh-CN"/>
          <w14:textFill>
            <w14:solidFill>
              <w14:schemeClr w14:val="tx1"/>
            </w14:solidFill>
          </w14:textFill>
        </w:rPr>
      </w:pPr>
      <w:bookmarkStart w:id="49" w:name="_Toc589"/>
    </w:p>
    <w:p w14:paraId="526AF3E1">
      <w:pPr>
        <w:overflowPunct/>
        <w:bidi w:val="0"/>
        <w:outlineLvl w:val="9"/>
        <w:rPr>
          <w:rFonts w:hint="eastAsia"/>
          <w:color w:val="000000" w:themeColor="text1"/>
          <w:highlight w:val="none"/>
          <w:lang w:eastAsia="zh-CN"/>
          <w14:textFill>
            <w14:solidFill>
              <w14:schemeClr w14:val="tx1"/>
            </w14:solidFill>
          </w14:textFill>
        </w:rPr>
      </w:pPr>
    </w:p>
    <w:p w14:paraId="09B347E3">
      <w:pPr>
        <w:overflowPunct/>
        <w:bidi w:val="0"/>
        <w:outlineLvl w:val="9"/>
        <w:rPr>
          <w:rFonts w:hint="eastAsia"/>
          <w:color w:val="000000" w:themeColor="text1"/>
          <w:highlight w:val="none"/>
          <w:lang w:eastAsia="zh-CN"/>
          <w14:textFill>
            <w14:solidFill>
              <w14:schemeClr w14:val="tx1"/>
            </w14:solidFill>
          </w14:textFill>
        </w:rPr>
      </w:pPr>
    </w:p>
    <w:p w14:paraId="5F2EBA5F">
      <w:pPr>
        <w:overflowPunct/>
        <w:bidi w:val="0"/>
        <w:outlineLvl w:val="9"/>
        <w:rPr>
          <w:rFonts w:hint="eastAsia"/>
          <w:color w:val="000000" w:themeColor="text1"/>
          <w:highlight w:val="none"/>
          <w:lang w:eastAsia="zh-CN"/>
          <w14:textFill>
            <w14:solidFill>
              <w14:schemeClr w14:val="tx1"/>
            </w14:solidFill>
          </w14:textFill>
        </w:rPr>
      </w:pPr>
    </w:p>
    <w:p w14:paraId="1E394375">
      <w:pPr>
        <w:overflowPunct/>
        <w:bidi w:val="0"/>
        <w:outlineLvl w:val="9"/>
        <w:rPr>
          <w:rFonts w:hint="eastAsia"/>
          <w:color w:val="000000" w:themeColor="text1"/>
          <w:highlight w:val="none"/>
          <w:lang w:eastAsia="zh-CN"/>
          <w14:textFill>
            <w14:solidFill>
              <w14:schemeClr w14:val="tx1"/>
            </w14:solidFill>
          </w14:textFill>
        </w:rPr>
      </w:pPr>
    </w:p>
    <w:p w14:paraId="03E096C5">
      <w:pPr>
        <w:overflowPunct/>
        <w:bidi w:val="0"/>
        <w:outlineLvl w:val="9"/>
        <w:rPr>
          <w:rFonts w:hint="eastAsia"/>
          <w:color w:val="000000" w:themeColor="text1"/>
          <w:highlight w:val="none"/>
          <w:lang w:eastAsia="zh-CN"/>
          <w14:textFill>
            <w14:solidFill>
              <w14:schemeClr w14:val="tx1"/>
            </w14:solidFill>
          </w14:textFill>
        </w:rPr>
      </w:pPr>
    </w:p>
    <w:p w14:paraId="40DE1C03">
      <w:pPr>
        <w:overflowPunct/>
        <w:bidi w:val="0"/>
        <w:outlineLvl w:val="9"/>
        <w:rPr>
          <w:rFonts w:hint="eastAsia"/>
          <w:color w:val="000000" w:themeColor="text1"/>
          <w:highlight w:val="none"/>
          <w:lang w:eastAsia="zh-CN"/>
          <w14:textFill>
            <w14:solidFill>
              <w14:schemeClr w14:val="tx1"/>
            </w14:solidFill>
          </w14:textFill>
        </w:rPr>
      </w:pPr>
    </w:p>
    <w:p w14:paraId="5852A299">
      <w:pPr>
        <w:overflowPunct/>
        <w:bidi w:val="0"/>
        <w:outlineLvl w:val="9"/>
        <w:rPr>
          <w:rFonts w:hint="eastAsia"/>
          <w:color w:val="000000" w:themeColor="text1"/>
          <w:highlight w:val="none"/>
          <w:lang w:eastAsia="zh-CN"/>
          <w14:textFill>
            <w14:solidFill>
              <w14:schemeClr w14:val="tx1"/>
            </w14:solidFill>
          </w14:textFill>
        </w:rPr>
      </w:pPr>
    </w:p>
    <w:p w14:paraId="5E7B392C">
      <w:pPr>
        <w:overflowPunct/>
        <w:bidi w:val="0"/>
        <w:outlineLvl w:val="9"/>
        <w:rPr>
          <w:rFonts w:hint="eastAsia"/>
          <w:color w:val="000000" w:themeColor="text1"/>
          <w:highlight w:val="none"/>
          <w:lang w:eastAsia="zh-CN"/>
          <w14:textFill>
            <w14:solidFill>
              <w14:schemeClr w14:val="tx1"/>
            </w14:solidFill>
          </w14:textFill>
        </w:rPr>
      </w:pPr>
    </w:p>
    <w:p w14:paraId="37EF479E">
      <w:pPr>
        <w:overflowPunct/>
        <w:bidi w:val="0"/>
        <w:outlineLvl w:val="9"/>
        <w:rPr>
          <w:rFonts w:hint="eastAsia"/>
          <w:color w:val="000000" w:themeColor="text1"/>
          <w:highlight w:val="none"/>
          <w:lang w:eastAsia="zh-CN"/>
          <w14:textFill>
            <w14:solidFill>
              <w14:schemeClr w14:val="tx1"/>
            </w14:solidFill>
          </w14:textFill>
        </w:rPr>
      </w:pPr>
    </w:p>
    <w:p w14:paraId="6A718798">
      <w:pPr>
        <w:overflowPunct/>
        <w:bidi w:val="0"/>
        <w:outlineLvl w:val="9"/>
        <w:rPr>
          <w:rFonts w:hint="eastAsia"/>
          <w:color w:val="000000" w:themeColor="text1"/>
          <w:highlight w:val="none"/>
          <w:lang w:eastAsia="zh-CN"/>
          <w14:textFill>
            <w14:solidFill>
              <w14:schemeClr w14:val="tx1"/>
            </w14:solidFill>
          </w14:textFill>
        </w:rPr>
      </w:pPr>
    </w:p>
    <w:p w14:paraId="2A37F07E">
      <w:pPr>
        <w:overflowPunct/>
        <w:bidi w:val="0"/>
        <w:outlineLvl w:val="9"/>
        <w:rPr>
          <w:rFonts w:hint="eastAsia"/>
          <w:color w:val="000000" w:themeColor="text1"/>
          <w:highlight w:val="none"/>
          <w:lang w:eastAsia="zh-CN"/>
          <w14:textFill>
            <w14:solidFill>
              <w14:schemeClr w14:val="tx1"/>
            </w14:solidFill>
          </w14:textFill>
        </w:rPr>
      </w:pPr>
    </w:p>
    <w:p w14:paraId="6FAC7516">
      <w:pPr>
        <w:overflowPunct/>
        <w:bidi w:val="0"/>
        <w:outlineLvl w:val="9"/>
        <w:rPr>
          <w:rFonts w:hint="eastAsia"/>
          <w:color w:val="000000" w:themeColor="text1"/>
          <w:highlight w:val="none"/>
          <w:lang w:eastAsia="zh-CN"/>
          <w14:textFill>
            <w14:solidFill>
              <w14:schemeClr w14:val="tx1"/>
            </w14:solidFill>
          </w14:textFill>
        </w:rPr>
      </w:pPr>
    </w:p>
    <w:p w14:paraId="42B6E66C">
      <w:pPr>
        <w:overflowPunct/>
        <w:bidi w:val="0"/>
        <w:outlineLvl w:val="9"/>
        <w:rPr>
          <w:rFonts w:hint="eastAsia"/>
          <w:color w:val="000000" w:themeColor="text1"/>
          <w:highlight w:val="none"/>
          <w:lang w:eastAsia="zh-CN"/>
          <w14:textFill>
            <w14:solidFill>
              <w14:schemeClr w14:val="tx1"/>
            </w14:solidFill>
          </w14:textFill>
        </w:rPr>
      </w:pPr>
    </w:p>
    <w:p w14:paraId="6801F1EA">
      <w:pPr>
        <w:overflowPunct/>
        <w:bidi w:val="0"/>
        <w:outlineLvl w:val="9"/>
        <w:rPr>
          <w:rFonts w:hint="eastAsia"/>
          <w:color w:val="000000" w:themeColor="text1"/>
          <w:highlight w:val="none"/>
          <w:lang w:eastAsia="zh-CN"/>
          <w14:textFill>
            <w14:solidFill>
              <w14:schemeClr w14:val="tx1"/>
            </w14:solidFill>
          </w14:textFill>
        </w:rPr>
      </w:pPr>
    </w:p>
    <w:p w14:paraId="097C812E">
      <w:pPr>
        <w:overflowPunct/>
        <w:bidi w:val="0"/>
        <w:outlineLvl w:val="9"/>
        <w:rPr>
          <w:rFonts w:hint="eastAsia"/>
          <w:color w:val="000000" w:themeColor="text1"/>
          <w:highlight w:val="none"/>
          <w:lang w:eastAsia="zh-CN"/>
          <w14:textFill>
            <w14:solidFill>
              <w14:schemeClr w14:val="tx1"/>
            </w14:solidFill>
          </w14:textFill>
        </w:rPr>
      </w:pPr>
    </w:p>
    <w:p w14:paraId="67BC6550">
      <w:pPr>
        <w:keepNext w:val="0"/>
        <w:keepLines w:val="0"/>
        <w:pageBreakBefore w:val="0"/>
        <w:widowControl w:val="0"/>
        <w:kinsoku/>
        <w:wordWrap/>
        <w:overflowPunct/>
        <w:topLinePunct w:val="0"/>
        <w:autoSpaceDE/>
        <w:autoSpaceDN/>
        <w:bidi w:val="0"/>
        <w:adjustRightInd/>
        <w:snapToGrid/>
        <w:jc w:val="center"/>
        <w:textAlignment w:val="auto"/>
        <w:outlineLvl w:val="0"/>
        <w:rPr>
          <w:b/>
          <w:bCs/>
          <w:color w:val="000000" w:themeColor="text1"/>
          <w:sz w:val="40"/>
          <w:szCs w:val="40"/>
          <w:highlight w:val="none"/>
          <w14:textFill>
            <w14:solidFill>
              <w14:schemeClr w14:val="tx1"/>
            </w14:solidFill>
          </w14:textFill>
        </w:rPr>
      </w:pPr>
      <w:bookmarkStart w:id="50" w:name="_Toc14594"/>
      <w:r>
        <w:rPr>
          <w:rFonts w:hint="eastAsia"/>
          <w:b/>
          <w:bCs/>
          <w:color w:val="000000" w:themeColor="text1"/>
          <w:sz w:val="40"/>
          <w:szCs w:val="40"/>
          <w:highlight w:val="none"/>
          <w:lang w:eastAsia="zh-CN"/>
          <w14:textFill>
            <w14:solidFill>
              <w14:schemeClr w14:val="tx1"/>
            </w14:solidFill>
          </w14:textFill>
        </w:rPr>
        <w:t>第五章</w:t>
      </w:r>
      <w:r>
        <w:rPr>
          <w:rFonts w:hint="eastAsia"/>
          <w:b/>
          <w:bCs/>
          <w:color w:val="000000" w:themeColor="text1"/>
          <w:sz w:val="40"/>
          <w:szCs w:val="40"/>
          <w:highlight w:val="none"/>
          <w:lang w:val="en-US" w:eastAsia="zh-CN"/>
          <w14:textFill>
            <w14:solidFill>
              <w14:schemeClr w14:val="tx1"/>
            </w14:solidFill>
          </w14:textFill>
        </w:rPr>
        <w:t xml:space="preserve"> </w:t>
      </w:r>
      <w:r>
        <w:rPr>
          <w:rFonts w:hint="eastAsia"/>
          <w:b/>
          <w:bCs/>
          <w:color w:val="000000" w:themeColor="text1"/>
          <w:sz w:val="40"/>
          <w:szCs w:val="40"/>
          <w:highlight w:val="none"/>
          <w14:textFill>
            <w14:solidFill>
              <w14:schemeClr w14:val="tx1"/>
            </w14:solidFill>
          </w14:textFill>
        </w:rPr>
        <w:t>响应文件格式</w:t>
      </w:r>
      <w:bookmarkEnd w:id="49"/>
      <w:bookmarkEnd w:id="50"/>
    </w:p>
    <w:p w14:paraId="61874E00">
      <w:pPr>
        <w:overflowPunct/>
        <w:bidi w:val="0"/>
        <w:jc w:val="center"/>
        <w:outlineLvl w:val="9"/>
        <w:rPr>
          <w:rFonts w:ascii="黑体" w:eastAsia="黑体"/>
          <w:color w:val="000000" w:themeColor="text1"/>
          <w:sz w:val="32"/>
          <w:szCs w:val="32"/>
          <w:highlight w:val="none"/>
          <w14:textFill>
            <w14:solidFill>
              <w14:schemeClr w14:val="tx1"/>
            </w14:solidFill>
          </w14:textFill>
        </w:rPr>
      </w:pPr>
      <w:r>
        <w:rPr>
          <w:rFonts w:ascii="宋体" w:hAnsi="宋体"/>
          <w:color w:val="000000" w:themeColor="text1"/>
          <w:sz w:val="32"/>
          <w:szCs w:val="32"/>
          <w:highlight w:val="none"/>
          <w14:textFill>
            <w14:solidFill>
              <w14:schemeClr w14:val="tx1"/>
            </w14:solidFill>
          </w14:textFill>
        </w:rPr>
        <w:br w:type="page"/>
      </w:r>
    </w:p>
    <w:p w14:paraId="3FA9D445">
      <w:pPr>
        <w:overflowPunct/>
        <w:bidi w:val="0"/>
        <w:jc w:val="center"/>
        <w:outlineLvl w:val="9"/>
        <w:rPr>
          <w:rFonts w:ascii="黑体" w:eastAsia="黑体"/>
          <w:color w:val="000000" w:themeColor="text1"/>
          <w:sz w:val="32"/>
          <w:szCs w:val="32"/>
          <w:highlight w:val="none"/>
          <w14:textFill>
            <w14:solidFill>
              <w14:schemeClr w14:val="tx1"/>
            </w14:solidFill>
          </w14:textFill>
        </w:rPr>
      </w:pPr>
    </w:p>
    <w:p w14:paraId="121BE878">
      <w:pPr>
        <w:overflowPunct/>
        <w:bidi w:val="0"/>
        <w:jc w:val="center"/>
        <w:outlineLvl w:val="9"/>
        <w:rPr>
          <w:rFonts w:ascii="黑体" w:eastAsia="黑体"/>
          <w:color w:val="000000" w:themeColor="text1"/>
          <w:sz w:val="32"/>
          <w:szCs w:val="32"/>
          <w:highlight w:val="none"/>
          <w14:textFill>
            <w14:solidFill>
              <w14:schemeClr w14:val="tx1"/>
            </w14:solidFill>
          </w14:textFill>
        </w:rPr>
      </w:pPr>
    </w:p>
    <w:p w14:paraId="52DF82BB">
      <w:pPr>
        <w:overflowPunct/>
        <w:bidi w:val="0"/>
        <w:jc w:val="center"/>
        <w:outlineLvl w:val="9"/>
        <w:rPr>
          <w:rFonts w:ascii="黑体" w:eastAsia="黑体"/>
          <w:color w:val="000000" w:themeColor="text1"/>
          <w:sz w:val="32"/>
          <w:szCs w:val="32"/>
          <w:highlight w:val="none"/>
          <w14:textFill>
            <w14:solidFill>
              <w14:schemeClr w14:val="tx1"/>
            </w14:solidFill>
          </w14:textFill>
        </w:rPr>
      </w:pPr>
    </w:p>
    <w:p w14:paraId="6BB4F14E">
      <w:pPr>
        <w:overflowPunct/>
        <w:bidi w:val="0"/>
        <w:jc w:val="center"/>
        <w:outlineLvl w:val="9"/>
        <w:rPr>
          <w:rFonts w:ascii="黑体" w:eastAsia="黑体"/>
          <w:color w:val="000000" w:themeColor="text1"/>
          <w:sz w:val="28"/>
          <w:szCs w:val="28"/>
          <w:highlight w:val="none"/>
          <w14:textFill>
            <w14:solidFill>
              <w14:schemeClr w14:val="tx1"/>
            </w14:solidFill>
          </w14:textFill>
        </w:rPr>
      </w:pPr>
      <w:r>
        <w:rPr>
          <w:rFonts w:hint="eastAsia" w:ascii="宋体" w:hAnsi="宋体"/>
          <w:color w:val="000000" w:themeColor="text1"/>
          <w:sz w:val="28"/>
          <w:szCs w:val="28"/>
          <w:highlight w:val="none"/>
          <w:u w:val="single"/>
          <w14:textFill>
            <w14:solidFill>
              <w14:schemeClr w14:val="tx1"/>
            </w14:solidFill>
          </w14:textFill>
        </w:rPr>
        <w:t xml:space="preserve">                                 （项目名称） </w:t>
      </w:r>
    </w:p>
    <w:p w14:paraId="104D7816">
      <w:pPr>
        <w:overflowPunct/>
        <w:bidi w:val="0"/>
        <w:spacing w:beforeLines="100"/>
        <w:jc w:val="center"/>
        <w:outlineLvl w:val="9"/>
        <w:rPr>
          <w:rFonts w:hint="eastAsia" w:ascii="黑体" w:eastAsia="黑体"/>
          <w:color w:val="000000" w:themeColor="text1"/>
          <w:sz w:val="44"/>
          <w:szCs w:val="44"/>
          <w:highlight w:val="none"/>
          <w14:textFill>
            <w14:solidFill>
              <w14:schemeClr w14:val="tx1"/>
            </w14:solidFill>
          </w14:textFill>
        </w:rPr>
      </w:pPr>
    </w:p>
    <w:p w14:paraId="6AB67308">
      <w:pPr>
        <w:wordWrap w:val="0"/>
        <w:overflowPunct/>
        <w:bidi w:val="0"/>
        <w:spacing w:beforeLines="100"/>
        <w:jc w:val="right"/>
        <w:outlineLvl w:val="9"/>
        <w:rPr>
          <w:rFonts w:hint="default" w:ascii="黑体" w:eastAsia="黑体"/>
          <w:color w:val="000000" w:themeColor="text1"/>
          <w:sz w:val="44"/>
          <w:szCs w:val="44"/>
          <w:highlight w:val="none"/>
          <w:lang w:val="en-US" w:eastAsia="zh-CN"/>
          <w14:textFill>
            <w14:solidFill>
              <w14:schemeClr w14:val="tx1"/>
            </w14:solidFill>
          </w14:textFill>
        </w:rPr>
      </w:pPr>
      <w:r>
        <w:rPr>
          <w:rFonts w:hint="eastAsia" w:ascii="宋体" w:hAnsi="宋体"/>
          <w:color w:val="000000" w:themeColor="text1"/>
          <w:sz w:val="28"/>
          <w:szCs w:val="28"/>
          <w:highlight w:val="none"/>
          <w:u w:val="none"/>
          <w:lang w:val="en-US" w:eastAsia="zh-CN"/>
          <w14:textFill>
            <w14:solidFill>
              <w14:schemeClr w14:val="tx1"/>
            </w14:solidFill>
          </w14:textFill>
        </w:rPr>
        <w:t>正</w:t>
      </w:r>
      <w:r>
        <w:rPr>
          <w:rFonts w:hint="eastAsia" w:ascii="宋体" w:hAnsi="宋体"/>
          <w:color w:val="000000" w:themeColor="text1"/>
          <w:sz w:val="28"/>
          <w:szCs w:val="28"/>
          <w:highlight w:val="none"/>
          <w:u w:val="none"/>
          <w:lang w:eastAsia="zh-CN"/>
          <w14:textFill>
            <w14:solidFill>
              <w14:schemeClr w14:val="tx1"/>
            </w14:solidFill>
          </w14:textFill>
        </w:rPr>
        <w:t>（</w:t>
      </w:r>
      <w:r>
        <w:rPr>
          <w:rFonts w:hint="eastAsia" w:ascii="宋体" w:hAnsi="宋体"/>
          <w:color w:val="000000" w:themeColor="text1"/>
          <w:sz w:val="28"/>
          <w:szCs w:val="28"/>
          <w:highlight w:val="none"/>
          <w:u w:val="none"/>
          <w:lang w:val="en-US" w:eastAsia="zh-CN"/>
          <w14:textFill>
            <w14:solidFill>
              <w14:schemeClr w14:val="tx1"/>
            </w14:solidFill>
          </w14:textFill>
        </w:rPr>
        <w:t>副</w:t>
      </w:r>
      <w:r>
        <w:rPr>
          <w:rFonts w:hint="eastAsia" w:ascii="宋体" w:hAnsi="宋体"/>
          <w:color w:val="000000" w:themeColor="text1"/>
          <w:sz w:val="28"/>
          <w:szCs w:val="28"/>
          <w:highlight w:val="none"/>
          <w:u w:val="none"/>
          <w:lang w:eastAsia="zh-CN"/>
          <w14:textFill>
            <w14:solidFill>
              <w14:schemeClr w14:val="tx1"/>
            </w14:solidFill>
          </w14:textFill>
        </w:rPr>
        <w:t>）</w:t>
      </w:r>
      <w:r>
        <w:rPr>
          <w:rFonts w:hint="eastAsia" w:ascii="宋体" w:hAnsi="宋体"/>
          <w:color w:val="000000" w:themeColor="text1"/>
          <w:sz w:val="28"/>
          <w:szCs w:val="28"/>
          <w:highlight w:val="none"/>
          <w:u w:val="none"/>
          <w:lang w:val="en-US" w:eastAsia="zh-CN"/>
          <w14:textFill>
            <w14:solidFill>
              <w14:schemeClr w14:val="tx1"/>
            </w14:solidFill>
          </w14:textFill>
        </w:rPr>
        <w:t xml:space="preserve">本   </w:t>
      </w:r>
    </w:p>
    <w:p w14:paraId="1DDB8E17">
      <w:pPr>
        <w:overflowPunct/>
        <w:bidi w:val="0"/>
        <w:spacing w:beforeLines="100"/>
        <w:jc w:val="center"/>
        <w:outlineLvl w:val="9"/>
        <w:rPr>
          <w:rFonts w:hint="eastAsia" w:ascii="黑体" w:eastAsia="黑体"/>
          <w:color w:val="000000" w:themeColor="text1"/>
          <w:sz w:val="44"/>
          <w:szCs w:val="44"/>
          <w:highlight w:val="none"/>
          <w14:textFill>
            <w14:solidFill>
              <w14:schemeClr w14:val="tx1"/>
            </w14:solidFill>
          </w14:textFill>
        </w:rPr>
      </w:pPr>
    </w:p>
    <w:p w14:paraId="18E6EA7C">
      <w:pPr>
        <w:overflowPunct/>
        <w:bidi w:val="0"/>
        <w:spacing w:beforeLines="100"/>
        <w:jc w:val="center"/>
        <w:outlineLvl w:val="9"/>
        <w:rPr>
          <w:rFonts w:ascii="黑体" w:eastAsia="黑体"/>
          <w:color w:val="000000" w:themeColor="text1"/>
          <w:sz w:val="44"/>
          <w:szCs w:val="44"/>
          <w:highlight w:val="none"/>
          <w14:textFill>
            <w14:solidFill>
              <w14:schemeClr w14:val="tx1"/>
            </w14:solidFill>
          </w14:textFill>
        </w:rPr>
      </w:pPr>
      <w:r>
        <w:rPr>
          <w:rFonts w:hint="eastAsia" w:ascii="黑体" w:eastAsia="黑体"/>
          <w:color w:val="000000" w:themeColor="text1"/>
          <w:sz w:val="44"/>
          <w:szCs w:val="44"/>
          <w:highlight w:val="none"/>
          <w14:textFill>
            <w14:solidFill>
              <w14:schemeClr w14:val="tx1"/>
            </w14:solidFill>
          </w14:textFill>
        </w:rPr>
        <w:t>响  应  文  件</w:t>
      </w:r>
    </w:p>
    <w:p w14:paraId="459936B4">
      <w:pPr>
        <w:overflowPunct/>
        <w:bidi w:val="0"/>
        <w:jc w:val="center"/>
        <w:outlineLvl w:val="9"/>
        <w:rPr>
          <w:rFonts w:ascii="黑体" w:eastAsia="黑体"/>
          <w:color w:val="000000" w:themeColor="text1"/>
          <w:sz w:val="32"/>
          <w:szCs w:val="32"/>
          <w:highlight w:val="none"/>
          <w14:textFill>
            <w14:solidFill>
              <w14:schemeClr w14:val="tx1"/>
            </w14:solidFill>
          </w14:textFill>
        </w:rPr>
      </w:pPr>
    </w:p>
    <w:p w14:paraId="0CB86EA8">
      <w:pPr>
        <w:overflowPunct/>
        <w:bidi w:val="0"/>
        <w:jc w:val="center"/>
        <w:outlineLvl w:val="9"/>
        <w:rPr>
          <w:rFonts w:ascii="黑体" w:eastAsia="黑体"/>
          <w:color w:val="000000" w:themeColor="text1"/>
          <w:sz w:val="32"/>
          <w:szCs w:val="32"/>
          <w:highlight w:val="none"/>
          <w14:textFill>
            <w14:solidFill>
              <w14:schemeClr w14:val="tx1"/>
            </w14:solidFill>
          </w14:textFill>
        </w:rPr>
      </w:pPr>
    </w:p>
    <w:p w14:paraId="64FDA803">
      <w:pPr>
        <w:overflowPunct/>
        <w:bidi w:val="0"/>
        <w:jc w:val="center"/>
        <w:outlineLvl w:val="9"/>
        <w:rPr>
          <w:rFonts w:ascii="黑体" w:eastAsia="黑体"/>
          <w:color w:val="000000" w:themeColor="text1"/>
          <w:sz w:val="32"/>
          <w:szCs w:val="32"/>
          <w:highlight w:val="none"/>
          <w14:textFill>
            <w14:solidFill>
              <w14:schemeClr w14:val="tx1"/>
            </w14:solidFill>
          </w14:textFill>
        </w:rPr>
      </w:pPr>
      <w:r>
        <w:rPr>
          <w:rFonts w:hint="eastAsia" w:ascii="黑体" w:eastAsia="黑体"/>
          <w:color w:val="000000" w:themeColor="text1"/>
          <w:sz w:val="32"/>
          <w:szCs w:val="32"/>
          <w:highlight w:val="none"/>
          <w14:textFill>
            <w14:solidFill>
              <w14:schemeClr w14:val="tx1"/>
            </w14:solidFill>
          </w14:textFill>
        </w:rPr>
        <w:t>项目编号：</w:t>
      </w:r>
    </w:p>
    <w:p w14:paraId="3DC57D4C">
      <w:pPr>
        <w:overflowPunct/>
        <w:bidi w:val="0"/>
        <w:jc w:val="center"/>
        <w:outlineLvl w:val="9"/>
        <w:rPr>
          <w:rFonts w:ascii="黑体" w:eastAsia="黑体"/>
          <w:color w:val="000000" w:themeColor="text1"/>
          <w:sz w:val="32"/>
          <w:szCs w:val="32"/>
          <w:highlight w:val="none"/>
          <w14:textFill>
            <w14:solidFill>
              <w14:schemeClr w14:val="tx1"/>
            </w14:solidFill>
          </w14:textFill>
        </w:rPr>
      </w:pPr>
    </w:p>
    <w:p w14:paraId="734FC70C">
      <w:pPr>
        <w:overflowPunct/>
        <w:bidi w:val="0"/>
        <w:jc w:val="center"/>
        <w:outlineLvl w:val="9"/>
        <w:rPr>
          <w:rFonts w:ascii="黑体" w:eastAsia="黑体"/>
          <w:color w:val="000000" w:themeColor="text1"/>
          <w:sz w:val="32"/>
          <w:szCs w:val="32"/>
          <w:highlight w:val="none"/>
          <w14:textFill>
            <w14:solidFill>
              <w14:schemeClr w14:val="tx1"/>
            </w14:solidFill>
          </w14:textFill>
        </w:rPr>
      </w:pPr>
    </w:p>
    <w:p w14:paraId="1E6EE326">
      <w:pPr>
        <w:overflowPunct/>
        <w:bidi w:val="0"/>
        <w:jc w:val="center"/>
        <w:outlineLvl w:val="9"/>
        <w:rPr>
          <w:rFonts w:ascii="黑体" w:eastAsia="黑体"/>
          <w:color w:val="000000" w:themeColor="text1"/>
          <w:sz w:val="32"/>
          <w:szCs w:val="32"/>
          <w:highlight w:val="none"/>
          <w14:textFill>
            <w14:solidFill>
              <w14:schemeClr w14:val="tx1"/>
            </w14:solidFill>
          </w14:textFill>
        </w:rPr>
      </w:pPr>
    </w:p>
    <w:p w14:paraId="3F70CD13">
      <w:pPr>
        <w:overflowPunct/>
        <w:bidi w:val="0"/>
        <w:jc w:val="center"/>
        <w:outlineLvl w:val="9"/>
        <w:rPr>
          <w:rFonts w:ascii="黑体" w:eastAsia="黑体"/>
          <w:color w:val="000000" w:themeColor="text1"/>
          <w:sz w:val="32"/>
          <w:szCs w:val="32"/>
          <w:highlight w:val="none"/>
          <w14:textFill>
            <w14:solidFill>
              <w14:schemeClr w14:val="tx1"/>
            </w14:solidFill>
          </w14:textFill>
        </w:rPr>
      </w:pPr>
    </w:p>
    <w:p w14:paraId="38F677C5">
      <w:pPr>
        <w:overflowPunct/>
        <w:bidi w:val="0"/>
        <w:jc w:val="center"/>
        <w:outlineLvl w:val="9"/>
        <w:rPr>
          <w:rFonts w:ascii="黑体" w:eastAsia="黑体"/>
          <w:color w:val="000000" w:themeColor="text1"/>
          <w:sz w:val="32"/>
          <w:szCs w:val="32"/>
          <w:highlight w:val="none"/>
          <w14:textFill>
            <w14:solidFill>
              <w14:schemeClr w14:val="tx1"/>
            </w14:solidFill>
          </w14:textFill>
        </w:rPr>
      </w:pPr>
    </w:p>
    <w:p w14:paraId="7C58AC65">
      <w:pPr>
        <w:overflowPunct/>
        <w:bidi w:val="0"/>
        <w:jc w:val="center"/>
        <w:outlineLvl w:val="9"/>
        <w:rPr>
          <w:rFonts w:ascii="黑体" w:eastAsia="黑体"/>
          <w:color w:val="000000" w:themeColor="text1"/>
          <w:sz w:val="32"/>
          <w:szCs w:val="32"/>
          <w:highlight w:val="none"/>
          <w14:textFill>
            <w14:solidFill>
              <w14:schemeClr w14:val="tx1"/>
            </w14:solidFill>
          </w14:textFill>
        </w:rPr>
      </w:pPr>
    </w:p>
    <w:p w14:paraId="798C52BA">
      <w:pPr>
        <w:overflowPunct/>
        <w:bidi w:val="0"/>
        <w:jc w:val="center"/>
        <w:outlineLvl w:val="9"/>
        <w:rPr>
          <w:rFonts w:ascii="黑体" w:eastAsia="黑体"/>
          <w:color w:val="000000" w:themeColor="text1"/>
          <w:sz w:val="32"/>
          <w:szCs w:val="32"/>
          <w:highlight w:val="none"/>
          <w14:textFill>
            <w14:solidFill>
              <w14:schemeClr w14:val="tx1"/>
            </w14:solidFill>
          </w14:textFill>
        </w:rPr>
      </w:pPr>
    </w:p>
    <w:p w14:paraId="2866C8E5">
      <w:pPr>
        <w:overflowPunct/>
        <w:bidi w:val="0"/>
        <w:jc w:val="center"/>
        <w:outlineLvl w:val="9"/>
        <w:rPr>
          <w:rFonts w:ascii="黑体" w:eastAsia="黑体"/>
          <w:color w:val="000000" w:themeColor="text1"/>
          <w:sz w:val="32"/>
          <w:szCs w:val="32"/>
          <w:highlight w:val="none"/>
          <w14:textFill>
            <w14:solidFill>
              <w14:schemeClr w14:val="tx1"/>
            </w14:solidFill>
          </w14:textFill>
        </w:rPr>
      </w:pPr>
    </w:p>
    <w:p w14:paraId="426F5A26">
      <w:pPr>
        <w:overflowPunct/>
        <w:bidi w:val="0"/>
        <w:jc w:val="center"/>
        <w:outlineLvl w:val="9"/>
        <w:rPr>
          <w:rFonts w:ascii="黑体" w:eastAsia="黑体"/>
          <w:color w:val="000000" w:themeColor="text1"/>
          <w:sz w:val="32"/>
          <w:szCs w:val="32"/>
          <w:highlight w:val="none"/>
          <w14:textFill>
            <w14:solidFill>
              <w14:schemeClr w14:val="tx1"/>
            </w14:solidFill>
          </w14:textFill>
        </w:rPr>
      </w:pPr>
    </w:p>
    <w:p w14:paraId="5ED0D43C">
      <w:pPr>
        <w:overflowPunct/>
        <w:bidi w:val="0"/>
        <w:jc w:val="center"/>
        <w:outlineLvl w:val="9"/>
        <w:rPr>
          <w:rFonts w:ascii="黑体" w:eastAsia="黑体"/>
          <w:color w:val="000000" w:themeColor="text1"/>
          <w:sz w:val="32"/>
          <w:szCs w:val="32"/>
          <w:highlight w:val="none"/>
          <w14:textFill>
            <w14:solidFill>
              <w14:schemeClr w14:val="tx1"/>
            </w14:solidFill>
          </w14:textFill>
        </w:rPr>
      </w:pPr>
    </w:p>
    <w:p w14:paraId="1FCBFD07">
      <w:pPr>
        <w:overflowPunct/>
        <w:bidi w:val="0"/>
        <w:jc w:val="center"/>
        <w:outlineLvl w:val="9"/>
        <w:rPr>
          <w:rFonts w:ascii="黑体" w:eastAsia="黑体"/>
          <w:color w:val="000000" w:themeColor="text1"/>
          <w:sz w:val="32"/>
          <w:szCs w:val="32"/>
          <w:highlight w:val="none"/>
          <w14:textFill>
            <w14:solidFill>
              <w14:schemeClr w14:val="tx1"/>
            </w14:solidFill>
          </w14:textFill>
        </w:rPr>
      </w:pPr>
    </w:p>
    <w:p w14:paraId="766E5FB3">
      <w:pPr>
        <w:overflowPunct/>
        <w:bidi w:val="0"/>
        <w:spacing w:line="480" w:lineRule="auto"/>
        <w:ind w:left="0" w:leftChars="0" w:firstLine="2100" w:firstLineChars="750"/>
        <w:outlineLvl w:val="9"/>
        <w:rPr>
          <w:rFonts w:ascii="黑体" w:eastAsia="黑体"/>
          <w:color w:val="000000" w:themeColor="text1"/>
          <w:sz w:val="28"/>
          <w:szCs w:val="28"/>
          <w:highlight w:val="none"/>
          <w14:textFill>
            <w14:solidFill>
              <w14:schemeClr w14:val="tx1"/>
            </w14:solidFill>
          </w14:textFill>
        </w:rPr>
      </w:pPr>
      <w:r>
        <w:rPr>
          <w:rFonts w:hint="eastAsia" w:ascii="黑体" w:eastAsia="黑体"/>
          <w:color w:val="000000" w:themeColor="text1"/>
          <w:sz w:val="28"/>
          <w:szCs w:val="28"/>
          <w:highlight w:val="none"/>
          <w:lang w:eastAsia="zh-CN"/>
          <w14:textFill>
            <w14:solidFill>
              <w14:schemeClr w14:val="tx1"/>
            </w14:solidFill>
          </w14:textFill>
        </w:rPr>
        <w:t>供应商</w:t>
      </w:r>
      <w:r>
        <w:rPr>
          <w:rFonts w:hint="eastAsia" w:ascii="黑体" w:eastAsia="黑体"/>
          <w:color w:val="000000" w:themeColor="text1"/>
          <w:sz w:val="28"/>
          <w:szCs w:val="28"/>
          <w:highlight w:val="none"/>
          <w14:textFill>
            <w14:solidFill>
              <w14:schemeClr w14:val="tx1"/>
            </w14:solidFill>
          </w14:textFill>
        </w:rPr>
        <w:t>：</w:t>
      </w:r>
      <w:r>
        <w:rPr>
          <w:rFonts w:hint="eastAsia" w:ascii="黑体" w:eastAsia="黑体"/>
          <w:color w:val="000000" w:themeColor="text1"/>
          <w:sz w:val="28"/>
          <w:szCs w:val="28"/>
          <w:highlight w:val="none"/>
          <w:lang w:val="en-US" w:eastAsia="zh-CN"/>
          <w14:textFill>
            <w14:solidFill>
              <w14:schemeClr w14:val="tx1"/>
            </w14:solidFill>
          </w14:textFill>
        </w:rPr>
        <w:t xml:space="preserve">                    </w:t>
      </w:r>
      <w:r>
        <w:rPr>
          <w:rFonts w:hint="eastAsia" w:ascii="黑体" w:eastAsia="黑体"/>
          <w:color w:val="000000" w:themeColor="text1"/>
          <w:sz w:val="28"/>
          <w:szCs w:val="28"/>
          <w:highlight w:val="none"/>
          <w14:textFill>
            <w14:solidFill>
              <w14:schemeClr w14:val="tx1"/>
            </w14:solidFill>
          </w14:textFill>
        </w:rPr>
        <w:t>（盖单位章）</w:t>
      </w:r>
    </w:p>
    <w:p w14:paraId="094414A2">
      <w:pPr>
        <w:overflowPunct/>
        <w:bidi w:val="0"/>
        <w:spacing w:line="480" w:lineRule="auto"/>
        <w:jc w:val="center"/>
        <w:outlineLvl w:val="9"/>
        <w:rPr>
          <w:rFonts w:ascii="黑体" w:eastAsia="黑体"/>
          <w:color w:val="000000" w:themeColor="text1"/>
          <w:sz w:val="28"/>
          <w:szCs w:val="28"/>
          <w:highlight w:val="none"/>
          <w14:textFill>
            <w14:solidFill>
              <w14:schemeClr w14:val="tx1"/>
            </w14:solidFill>
          </w14:textFill>
        </w:rPr>
      </w:pPr>
      <w:r>
        <w:rPr>
          <w:rFonts w:hint="eastAsia" w:ascii="黑体" w:eastAsia="黑体"/>
          <w:color w:val="000000" w:themeColor="text1"/>
          <w:sz w:val="28"/>
          <w:szCs w:val="28"/>
          <w:highlight w:val="none"/>
          <w14:textFill>
            <w14:solidFill>
              <w14:schemeClr w14:val="tx1"/>
            </w14:solidFill>
          </w14:textFill>
        </w:rPr>
        <w:t xml:space="preserve">  法定代表人或其委托代理人：</w:t>
      </w:r>
      <w:r>
        <w:rPr>
          <w:rFonts w:hint="eastAsia" w:ascii="黑体" w:eastAsia="黑体"/>
          <w:color w:val="000000" w:themeColor="text1"/>
          <w:sz w:val="28"/>
          <w:szCs w:val="28"/>
          <w:highlight w:val="none"/>
          <w:lang w:val="en-US" w:eastAsia="zh-CN"/>
          <w14:textFill>
            <w14:solidFill>
              <w14:schemeClr w14:val="tx1"/>
            </w14:solidFill>
          </w14:textFill>
        </w:rPr>
        <w:t xml:space="preserve">   </w:t>
      </w:r>
      <w:r>
        <w:rPr>
          <w:rFonts w:hint="eastAsia" w:ascii="黑体" w:eastAsia="黑体"/>
          <w:color w:val="000000" w:themeColor="text1"/>
          <w:sz w:val="28"/>
          <w:szCs w:val="28"/>
          <w:highlight w:val="none"/>
          <w14:textFill>
            <w14:solidFill>
              <w14:schemeClr w14:val="tx1"/>
            </w14:solidFill>
          </w14:textFill>
        </w:rPr>
        <w:t>（签字）</w:t>
      </w:r>
    </w:p>
    <w:p w14:paraId="203527F7">
      <w:pPr>
        <w:overflowPunct/>
        <w:bidi w:val="0"/>
        <w:jc w:val="center"/>
        <w:outlineLvl w:val="9"/>
        <w:rPr>
          <w:rFonts w:ascii="黑体" w:eastAsia="黑体"/>
          <w:color w:val="000000" w:themeColor="text1"/>
          <w:sz w:val="28"/>
          <w:szCs w:val="28"/>
          <w:highlight w:val="none"/>
          <w14:textFill>
            <w14:solidFill>
              <w14:schemeClr w14:val="tx1"/>
            </w14:solidFill>
          </w14:textFill>
        </w:rPr>
      </w:pPr>
    </w:p>
    <w:p w14:paraId="65BAF236">
      <w:pPr>
        <w:overflowPunct/>
        <w:bidi w:val="0"/>
        <w:jc w:val="center"/>
        <w:outlineLvl w:val="9"/>
        <w:rPr>
          <w:rFonts w:ascii="黑体" w:eastAsia="黑体"/>
          <w:color w:val="000000" w:themeColor="text1"/>
          <w:sz w:val="28"/>
          <w:szCs w:val="28"/>
          <w:highlight w:val="none"/>
          <w14:textFill>
            <w14:solidFill>
              <w14:schemeClr w14:val="tx1"/>
            </w14:solidFill>
          </w14:textFill>
        </w:rPr>
      </w:pPr>
    </w:p>
    <w:p w14:paraId="562FEBDF">
      <w:pPr>
        <w:overflowPunct/>
        <w:bidi w:val="0"/>
        <w:jc w:val="center"/>
        <w:outlineLvl w:val="9"/>
        <w:rPr>
          <w:rFonts w:ascii="黑体" w:eastAsia="黑体"/>
          <w:color w:val="000000" w:themeColor="text1"/>
          <w:sz w:val="28"/>
          <w:szCs w:val="28"/>
          <w:highlight w:val="none"/>
          <w14:textFill>
            <w14:solidFill>
              <w14:schemeClr w14:val="tx1"/>
            </w14:solidFill>
          </w14:textFill>
        </w:rPr>
      </w:pPr>
      <w:r>
        <w:rPr>
          <w:rFonts w:hint="eastAsia" w:ascii="黑体" w:eastAsia="黑体"/>
          <w:color w:val="000000" w:themeColor="text1"/>
          <w:sz w:val="28"/>
          <w:szCs w:val="28"/>
          <w:highlight w:val="none"/>
          <w14:textFill>
            <w14:solidFill>
              <w14:schemeClr w14:val="tx1"/>
            </w14:solidFill>
          </w14:textFill>
        </w:rPr>
        <w:t>年  月  日</w:t>
      </w:r>
    </w:p>
    <w:p w14:paraId="406ECAC6">
      <w:pPr>
        <w:overflowPunct/>
        <w:bidi w:val="0"/>
        <w:jc w:val="center"/>
        <w:outlineLvl w:val="9"/>
        <w:rPr>
          <w:rFonts w:ascii="宋体" w:hAnsi="宋体"/>
          <w:color w:val="000000" w:themeColor="text1"/>
          <w:sz w:val="28"/>
          <w:szCs w:val="28"/>
          <w:highlight w:val="none"/>
          <w14:textFill>
            <w14:solidFill>
              <w14:schemeClr w14:val="tx1"/>
            </w14:solidFill>
          </w14:textFill>
        </w:rPr>
      </w:pPr>
      <w:r>
        <w:rPr>
          <w:rFonts w:ascii="黑体" w:eastAsia="黑体"/>
          <w:color w:val="000000" w:themeColor="text1"/>
          <w:sz w:val="28"/>
          <w:szCs w:val="28"/>
          <w:highlight w:val="none"/>
          <w14:textFill>
            <w14:solidFill>
              <w14:schemeClr w14:val="tx1"/>
            </w14:solidFill>
          </w14:textFill>
        </w:rPr>
        <w:br w:type="page"/>
      </w:r>
      <w:r>
        <w:rPr>
          <w:rFonts w:hint="eastAsia" w:ascii="宋体" w:hAnsi="宋体"/>
          <w:color w:val="000000" w:themeColor="text1"/>
          <w:sz w:val="28"/>
          <w:szCs w:val="28"/>
          <w:highlight w:val="none"/>
          <w14:textFill>
            <w14:solidFill>
              <w14:schemeClr w14:val="tx1"/>
            </w14:solidFill>
          </w14:textFill>
        </w:rPr>
        <w:t>目    录</w:t>
      </w:r>
    </w:p>
    <w:p w14:paraId="3EA90591">
      <w:pPr>
        <w:tabs>
          <w:tab w:val="left" w:pos="420"/>
        </w:tabs>
        <w:overflowPunct/>
        <w:bidi w:val="0"/>
        <w:spacing w:line="600" w:lineRule="exact"/>
        <w:ind w:left="420" w:leftChars="200"/>
        <w:outlineLvl w:val="9"/>
        <w:rPr>
          <w:rFonts w:ascii="宋体" w:hAnsi="宋体"/>
          <w:color w:val="000000" w:themeColor="text1"/>
          <w:szCs w:val="21"/>
          <w:highlight w:val="none"/>
          <w14:textFill>
            <w14:solidFill>
              <w14:schemeClr w14:val="tx1"/>
            </w14:solidFill>
          </w14:textFill>
        </w:rPr>
      </w:pPr>
      <w:r>
        <w:rPr>
          <w:rFonts w:ascii="宋体" w:hAnsi="宋体"/>
          <w:color w:val="000000" w:themeColor="text1"/>
          <w:szCs w:val="21"/>
          <w:highlight w:val="none"/>
          <w14:textFill>
            <w14:solidFill>
              <w14:schemeClr w14:val="tx1"/>
            </w14:solidFill>
          </w14:textFill>
        </w:rPr>
        <w:t>一、</w:t>
      </w:r>
      <w:r>
        <w:rPr>
          <w:rFonts w:hint="eastAsia" w:ascii="宋体" w:hAnsi="宋体"/>
          <w:color w:val="000000" w:themeColor="text1"/>
          <w:szCs w:val="21"/>
          <w:highlight w:val="none"/>
          <w14:textFill>
            <w14:solidFill>
              <w14:schemeClr w14:val="tx1"/>
            </w14:solidFill>
          </w14:textFill>
        </w:rPr>
        <w:t>磋商函</w:t>
      </w:r>
    </w:p>
    <w:p w14:paraId="5CDEB51D">
      <w:pPr>
        <w:tabs>
          <w:tab w:val="left" w:pos="420"/>
        </w:tabs>
        <w:overflowPunct/>
        <w:bidi w:val="0"/>
        <w:spacing w:line="600" w:lineRule="exact"/>
        <w:ind w:left="420" w:leftChars="200"/>
        <w:outlineLvl w:val="9"/>
        <w:rPr>
          <w:rFonts w:hint="eastAsia" w:ascii="宋体" w:hAnsi="宋体"/>
          <w:color w:val="000000" w:themeColor="text1"/>
          <w:szCs w:val="21"/>
          <w:highlight w:val="none"/>
          <w14:textFill>
            <w14:solidFill>
              <w14:schemeClr w14:val="tx1"/>
            </w14:solidFill>
          </w14:textFill>
        </w:rPr>
      </w:pPr>
      <w:r>
        <w:rPr>
          <w:rFonts w:ascii="宋体" w:hAnsi="宋体"/>
          <w:color w:val="000000" w:themeColor="text1"/>
          <w:szCs w:val="21"/>
          <w:highlight w:val="none"/>
          <w14:textFill>
            <w14:solidFill>
              <w14:schemeClr w14:val="tx1"/>
            </w14:solidFill>
          </w14:textFill>
        </w:rPr>
        <w:t>二、</w:t>
      </w:r>
      <w:r>
        <w:rPr>
          <w:rFonts w:hint="eastAsia" w:ascii="宋体" w:hAnsi="宋体"/>
          <w:color w:val="000000" w:themeColor="text1"/>
          <w:szCs w:val="21"/>
          <w:highlight w:val="none"/>
          <w14:textFill>
            <w14:solidFill>
              <w14:schemeClr w14:val="tx1"/>
            </w14:solidFill>
          </w14:textFill>
        </w:rPr>
        <w:t>法定代表人资格证明</w:t>
      </w:r>
    </w:p>
    <w:p w14:paraId="2883AEFD">
      <w:pPr>
        <w:tabs>
          <w:tab w:val="left" w:pos="420"/>
        </w:tabs>
        <w:overflowPunct/>
        <w:bidi w:val="0"/>
        <w:spacing w:line="600" w:lineRule="exact"/>
        <w:ind w:left="420" w:leftChars="200"/>
        <w:outlineLvl w:val="9"/>
        <w:rPr>
          <w:rFonts w:ascii="宋体" w:hAnsi="宋体"/>
          <w:color w:val="000000" w:themeColor="text1"/>
          <w:szCs w:val="21"/>
          <w:highlight w:val="none"/>
          <w14:textFill>
            <w14:solidFill>
              <w14:schemeClr w14:val="tx1"/>
            </w14:solidFill>
          </w14:textFill>
        </w:rPr>
      </w:pPr>
      <w:r>
        <w:rPr>
          <w:rFonts w:ascii="宋体" w:hAnsi="宋体"/>
          <w:color w:val="000000" w:themeColor="text1"/>
          <w:szCs w:val="21"/>
          <w:highlight w:val="none"/>
          <w14:textFill>
            <w14:solidFill>
              <w14:schemeClr w14:val="tx1"/>
            </w14:solidFill>
          </w14:textFill>
        </w:rPr>
        <w:t>三、授权委托书</w:t>
      </w:r>
    </w:p>
    <w:p w14:paraId="30E1C870">
      <w:pPr>
        <w:tabs>
          <w:tab w:val="left" w:pos="420"/>
        </w:tabs>
        <w:overflowPunct/>
        <w:bidi w:val="0"/>
        <w:spacing w:line="600" w:lineRule="exact"/>
        <w:ind w:left="420" w:leftChars="200"/>
        <w:outlineLvl w:val="9"/>
        <w:rPr>
          <w:rFonts w:ascii="宋体" w:hAnsi="宋体"/>
          <w:color w:val="000000" w:themeColor="text1"/>
          <w:szCs w:val="21"/>
          <w:highlight w:val="none"/>
          <w14:textFill>
            <w14:solidFill>
              <w14:schemeClr w14:val="tx1"/>
            </w14:solidFill>
          </w14:textFill>
        </w:rPr>
      </w:pPr>
      <w:r>
        <w:rPr>
          <w:rFonts w:ascii="宋体" w:hAnsi="宋体"/>
          <w:color w:val="000000" w:themeColor="text1"/>
          <w:szCs w:val="21"/>
          <w:highlight w:val="none"/>
          <w14:textFill>
            <w14:solidFill>
              <w14:schemeClr w14:val="tx1"/>
            </w14:solidFill>
          </w14:textFill>
        </w:rPr>
        <w:t>四、</w:t>
      </w:r>
      <w:r>
        <w:rPr>
          <w:rFonts w:hint="eastAsia" w:ascii="宋体" w:hAnsi="宋体"/>
          <w:color w:val="000000" w:themeColor="text1"/>
          <w:szCs w:val="21"/>
          <w:highlight w:val="none"/>
          <w14:textFill>
            <w14:solidFill>
              <w14:schemeClr w14:val="tx1"/>
            </w14:solidFill>
          </w14:textFill>
        </w:rPr>
        <w:t>报价</w:t>
      </w:r>
      <w:r>
        <w:rPr>
          <w:rFonts w:ascii="宋体" w:hAnsi="宋体"/>
          <w:color w:val="000000" w:themeColor="text1"/>
          <w:szCs w:val="21"/>
          <w:highlight w:val="none"/>
          <w14:textFill>
            <w14:solidFill>
              <w14:schemeClr w14:val="tx1"/>
            </w14:solidFill>
          </w14:textFill>
        </w:rPr>
        <w:t>一览表</w:t>
      </w:r>
    </w:p>
    <w:p w14:paraId="4A3AFB0F">
      <w:pPr>
        <w:tabs>
          <w:tab w:val="left" w:pos="420"/>
        </w:tabs>
        <w:overflowPunct/>
        <w:bidi w:val="0"/>
        <w:spacing w:line="600" w:lineRule="exact"/>
        <w:ind w:left="420" w:leftChars="200"/>
        <w:outlineLvl w:val="9"/>
        <w:rPr>
          <w:rFonts w:hint="eastAsia" w:ascii="宋体" w:hAnsi="宋体"/>
          <w:color w:val="000000" w:themeColor="text1"/>
          <w:szCs w:val="21"/>
          <w:highlight w:val="none"/>
          <w14:textFill>
            <w14:solidFill>
              <w14:schemeClr w14:val="tx1"/>
            </w14:solidFill>
          </w14:textFill>
        </w:rPr>
      </w:pPr>
      <w:r>
        <w:rPr>
          <w:rFonts w:ascii="宋体" w:hAnsi="宋体"/>
          <w:color w:val="000000" w:themeColor="text1"/>
          <w:szCs w:val="21"/>
          <w:highlight w:val="none"/>
          <w14:textFill>
            <w14:solidFill>
              <w14:schemeClr w14:val="tx1"/>
            </w14:solidFill>
          </w14:textFill>
        </w:rPr>
        <w:t>五、报价</w:t>
      </w:r>
      <w:r>
        <w:rPr>
          <w:rFonts w:hint="eastAsia" w:ascii="宋体" w:hAnsi="宋体"/>
          <w:color w:val="000000" w:themeColor="text1"/>
          <w:szCs w:val="21"/>
          <w:highlight w:val="none"/>
          <w14:textFill>
            <w14:solidFill>
              <w14:schemeClr w14:val="tx1"/>
            </w14:solidFill>
          </w14:textFill>
        </w:rPr>
        <w:t>明细</w:t>
      </w:r>
    </w:p>
    <w:p w14:paraId="743F7B92">
      <w:pPr>
        <w:tabs>
          <w:tab w:val="left" w:pos="420"/>
        </w:tabs>
        <w:overflowPunct/>
        <w:bidi w:val="0"/>
        <w:spacing w:line="600" w:lineRule="exact"/>
        <w:ind w:left="420" w:leftChars="200"/>
        <w:outlineLvl w:val="9"/>
        <w:rPr>
          <w:rFonts w:ascii="宋体" w:hAnsi="宋体"/>
          <w:color w:val="000000" w:themeColor="text1"/>
          <w:szCs w:val="21"/>
          <w:highlight w:val="none"/>
          <w14:textFill>
            <w14:solidFill>
              <w14:schemeClr w14:val="tx1"/>
            </w14:solidFill>
          </w14:textFill>
        </w:rPr>
      </w:pPr>
      <w:r>
        <w:rPr>
          <w:rFonts w:ascii="宋体" w:hAnsi="宋体"/>
          <w:color w:val="000000" w:themeColor="text1"/>
          <w:szCs w:val="21"/>
          <w:highlight w:val="none"/>
          <w14:textFill>
            <w14:solidFill>
              <w14:schemeClr w14:val="tx1"/>
            </w14:solidFill>
          </w14:textFill>
        </w:rPr>
        <w:t>六、</w:t>
      </w:r>
      <w:r>
        <w:rPr>
          <w:rFonts w:hint="eastAsia" w:ascii="宋体" w:hAnsi="宋体"/>
          <w:color w:val="000000" w:themeColor="text1"/>
          <w:szCs w:val="21"/>
          <w:highlight w:val="none"/>
          <w14:textFill>
            <w14:solidFill>
              <w14:schemeClr w14:val="tx1"/>
            </w14:solidFill>
          </w14:textFill>
        </w:rPr>
        <w:t>磋商</w:t>
      </w:r>
      <w:r>
        <w:rPr>
          <w:rFonts w:ascii="宋体" w:hAnsi="宋体"/>
          <w:color w:val="000000" w:themeColor="text1"/>
          <w:szCs w:val="21"/>
          <w:highlight w:val="none"/>
          <w14:textFill>
            <w14:solidFill>
              <w14:schemeClr w14:val="tx1"/>
            </w14:solidFill>
          </w14:textFill>
        </w:rPr>
        <w:t>保证金</w:t>
      </w:r>
    </w:p>
    <w:p w14:paraId="51A5A461">
      <w:pPr>
        <w:tabs>
          <w:tab w:val="left" w:pos="420"/>
        </w:tabs>
        <w:overflowPunct/>
        <w:bidi w:val="0"/>
        <w:spacing w:line="600" w:lineRule="exact"/>
        <w:ind w:left="420" w:leftChars="200"/>
        <w:outlineLvl w:val="9"/>
        <w:rPr>
          <w:rFonts w:hint="eastAsia" w:ascii="宋体" w:hAnsi="宋体"/>
          <w:color w:val="000000" w:themeColor="text1"/>
          <w:szCs w:val="21"/>
          <w:highlight w:val="none"/>
          <w14:textFill>
            <w14:solidFill>
              <w14:schemeClr w14:val="tx1"/>
            </w14:solidFill>
          </w14:textFill>
        </w:rPr>
      </w:pPr>
      <w:r>
        <w:rPr>
          <w:rFonts w:ascii="宋体" w:hAnsi="宋体"/>
          <w:color w:val="000000" w:themeColor="text1"/>
          <w:szCs w:val="21"/>
          <w:highlight w:val="none"/>
          <w14:textFill>
            <w14:solidFill>
              <w14:schemeClr w14:val="tx1"/>
            </w14:solidFill>
          </w14:textFill>
        </w:rPr>
        <w:t>七、资格审查资料</w:t>
      </w:r>
    </w:p>
    <w:p w14:paraId="2AADD52C">
      <w:pPr>
        <w:tabs>
          <w:tab w:val="left" w:pos="420"/>
        </w:tabs>
        <w:overflowPunct/>
        <w:bidi w:val="0"/>
        <w:spacing w:line="600" w:lineRule="exact"/>
        <w:ind w:left="420" w:leftChars="200"/>
        <w:outlineLvl w:val="9"/>
        <w:rPr>
          <w:rFonts w:hint="default" w:ascii="宋体" w:hAnsi="宋体"/>
          <w:color w:val="000000" w:themeColor="text1"/>
          <w:szCs w:val="21"/>
          <w:highlight w:val="none"/>
          <w:lang w:val="en-US" w:eastAsia="zh-CN"/>
          <w14:textFill>
            <w14:solidFill>
              <w14:schemeClr w14:val="tx1"/>
            </w14:solidFill>
          </w14:textFill>
        </w:rPr>
      </w:pPr>
      <w:r>
        <w:rPr>
          <w:rFonts w:hint="eastAsia" w:ascii="宋体" w:hAnsi="宋体"/>
          <w:color w:val="000000" w:themeColor="text1"/>
          <w:szCs w:val="21"/>
          <w:highlight w:val="none"/>
          <w:lang w:val="en-US" w:eastAsia="zh-CN"/>
          <w14:textFill>
            <w14:solidFill>
              <w14:schemeClr w14:val="tx1"/>
            </w14:solidFill>
          </w14:textFill>
        </w:rPr>
        <w:t>八、技术部分</w:t>
      </w:r>
    </w:p>
    <w:p w14:paraId="51D40746">
      <w:pPr>
        <w:tabs>
          <w:tab w:val="left" w:pos="420"/>
        </w:tabs>
        <w:overflowPunct/>
        <w:bidi w:val="0"/>
        <w:spacing w:line="600" w:lineRule="exact"/>
        <w:ind w:left="420" w:leftChars="200"/>
        <w:outlineLvl w:val="9"/>
        <w:rPr>
          <w:rFonts w:ascii="宋体" w:hAnsi="宋体"/>
          <w:color w:val="000000" w:themeColor="text1"/>
          <w:szCs w:val="21"/>
          <w:highlight w:val="none"/>
          <w14:textFill>
            <w14:solidFill>
              <w14:schemeClr w14:val="tx1"/>
            </w14:solidFill>
          </w14:textFill>
        </w:rPr>
      </w:pPr>
      <w:r>
        <w:rPr>
          <w:rFonts w:hint="eastAsia" w:ascii="宋体" w:hAnsi="宋体"/>
          <w:color w:val="000000" w:themeColor="text1"/>
          <w:szCs w:val="21"/>
          <w:highlight w:val="none"/>
          <w:lang w:val="en-US" w:eastAsia="zh-CN"/>
          <w14:textFill>
            <w14:solidFill>
              <w14:schemeClr w14:val="tx1"/>
            </w14:solidFill>
          </w14:textFill>
        </w:rPr>
        <w:t>九</w:t>
      </w:r>
      <w:r>
        <w:rPr>
          <w:rFonts w:ascii="宋体" w:hAnsi="宋体"/>
          <w:color w:val="000000" w:themeColor="text1"/>
          <w:szCs w:val="21"/>
          <w:highlight w:val="none"/>
          <w14:textFill>
            <w14:solidFill>
              <w14:schemeClr w14:val="tx1"/>
            </w14:solidFill>
          </w14:textFill>
        </w:rPr>
        <w:t>、其他资料</w:t>
      </w:r>
    </w:p>
    <w:p w14:paraId="48937245">
      <w:pPr>
        <w:tabs>
          <w:tab w:val="left" w:pos="420"/>
        </w:tabs>
        <w:overflowPunct/>
        <w:bidi w:val="0"/>
        <w:spacing w:line="600" w:lineRule="exact"/>
        <w:ind w:left="420" w:leftChars="200"/>
        <w:outlineLvl w:val="9"/>
        <w:rPr>
          <w:rFonts w:ascii="宋体" w:hAnsi="宋体"/>
          <w:color w:val="000000" w:themeColor="text1"/>
          <w:szCs w:val="21"/>
          <w:highlight w:val="none"/>
          <w14:textFill>
            <w14:solidFill>
              <w14:schemeClr w14:val="tx1"/>
            </w14:solidFill>
          </w14:textFill>
        </w:rPr>
      </w:pPr>
    </w:p>
    <w:p w14:paraId="123F2993">
      <w:pPr>
        <w:overflowPunct/>
        <w:bidi w:val="0"/>
        <w:spacing w:line="480" w:lineRule="auto"/>
        <w:jc w:val="left"/>
        <w:outlineLvl w:val="9"/>
        <w:rPr>
          <w:b/>
          <w:color w:val="000000" w:themeColor="text1"/>
          <w:sz w:val="32"/>
          <w:szCs w:val="32"/>
          <w:highlight w:val="none"/>
          <w14:textFill>
            <w14:solidFill>
              <w14:schemeClr w14:val="tx1"/>
            </w14:solidFill>
          </w14:textFill>
        </w:rPr>
      </w:pPr>
      <w:r>
        <w:rPr>
          <w:rFonts w:ascii="宋体" w:hAnsi="宋体"/>
          <w:color w:val="000000" w:themeColor="text1"/>
          <w:szCs w:val="21"/>
          <w:highlight w:val="none"/>
          <w14:textFill>
            <w14:solidFill>
              <w14:schemeClr w14:val="tx1"/>
            </w14:solidFill>
          </w14:textFill>
        </w:rPr>
        <w:br w:type="page"/>
      </w:r>
      <w:r>
        <w:rPr>
          <w:rFonts w:hint="eastAsia" w:ascii="宋体" w:hAnsi="宋体"/>
          <w:b/>
          <w:color w:val="000000" w:themeColor="text1"/>
          <w:sz w:val="32"/>
          <w:szCs w:val="32"/>
          <w:highlight w:val="none"/>
          <w14:textFill>
            <w14:solidFill>
              <w14:schemeClr w14:val="tx1"/>
            </w14:solidFill>
          </w14:textFill>
        </w:rPr>
        <w:t>一、</w:t>
      </w:r>
      <w:r>
        <w:rPr>
          <w:rFonts w:hint="eastAsia"/>
          <w:b/>
          <w:color w:val="000000" w:themeColor="text1"/>
          <w:sz w:val="32"/>
          <w:szCs w:val="32"/>
          <w:highlight w:val="none"/>
          <w14:textFill>
            <w14:solidFill>
              <w14:schemeClr w14:val="tx1"/>
            </w14:solidFill>
          </w14:textFill>
        </w:rPr>
        <w:t>磋商函</w:t>
      </w:r>
    </w:p>
    <w:p w14:paraId="46F47EA7">
      <w:pPr>
        <w:overflowPunct/>
        <w:bidi w:val="0"/>
        <w:jc w:val="center"/>
        <w:outlineLvl w:val="9"/>
        <w:rPr>
          <w:rFonts w:hint="eastAsia"/>
          <w:color w:val="000000" w:themeColor="text1"/>
          <w:sz w:val="32"/>
          <w:szCs w:val="32"/>
          <w:highlight w:val="none"/>
          <w14:textFill>
            <w14:solidFill>
              <w14:schemeClr w14:val="tx1"/>
            </w14:solidFill>
          </w14:textFill>
        </w:rPr>
      </w:pPr>
      <w:r>
        <w:rPr>
          <w:color w:val="000000" w:themeColor="text1"/>
          <w:sz w:val="32"/>
          <w:szCs w:val="32"/>
          <w:highlight w:val="none"/>
          <w14:textFill>
            <w14:solidFill>
              <w14:schemeClr w14:val="tx1"/>
            </w14:solidFill>
          </w14:textFill>
        </w:rPr>
        <w:t>（一）</w:t>
      </w:r>
      <w:r>
        <w:rPr>
          <w:rFonts w:hint="eastAsia"/>
          <w:color w:val="000000" w:themeColor="text1"/>
          <w:sz w:val="32"/>
          <w:szCs w:val="32"/>
          <w:highlight w:val="none"/>
          <w14:textFill>
            <w14:solidFill>
              <w14:schemeClr w14:val="tx1"/>
            </w14:solidFill>
          </w14:textFill>
        </w:rPr>
        <w:t>磋商函</w:t>
      </w:r>
    </w:p>
    <w:p w14:paraId="0821EB97">
      <w:pPr>
        <w:overflowPunct/>
        <w:bidi w:val="0"/>
        <w:spacing w:line="360" w:lineRule="auto"/>
        <w:outlineLvl w:val="9"/>
        <w:rPr>
          <w:color w:val="000000" w:themeColor="text1"/>
          <w:highlight w:val="none"/>
          <w14:textFill>
            <w14:solidFill>
              <w14:schemeClr w14:val="tx1"/>
            </w14:solidFill>
          </w14:textFill>
        </w:rPr>
      </w:pPr>
    </w:p>
    <w:p w14:paraId="6932A9F2">
      <w:pPr>
        <w:overflowPunct/>
        <w:bidi w:val="0"/>
        <w:spacing w:line="360" w:lineRule="auto"/>
        <w:outlineLvl w:val="9"/>
        <w:rPr>
          <w:color w:val="000000" w:themeColor="text1"/>
          <w:szCs w:val="21"/>
          <w:highlight w:val="none"/>
          <w14:textFill>
            <w14:solidFill>
              <w14:schemeClr w14:val="tx1"/>
            </w14:solidFill>
          </w14:textFill>
        </w:rPr>
      </w:pPr>
      <w:r>
        <w:rPr>
          <w:color w:val="000000" w:themeColor="text1"/>
          <w:szCs w:val="21"/>
          <w:highlight w:val="none"/>
          <w14:textFill>
            <w14:solidFill>
              <w14:schemeClr w14:val="tx1"/>
            </w14:solidFill>
          </w14:textFill>
        </w:rPr>
        <w:t>致：</w:t>
      </w:r>
      <w:r>
        <w:rPr>
          <w:color w:val="000000" w:themeColor="text1"/>
          <w:szCs w:val="21"/>
          <w:highlight w:val="none"/>
          <w:u w:val="single"/>
          <w14:textFill>
            <w14:solidFill>
              <w14:schemeClr w14:val="tx1"/>
            </w14:solidFill>
          </w14:textFill>
        </w:rPr>
        <w:t xml:space="preserve">                   </w:t>
      </w:r>
      <w:r>
        <w:rPr>
          <w:color w:val="000000" w:themeColor="text1"/>
          <w:szCs w:val="21"/>
          <w:highlight w:val="none"/>
          <w14:textFill>
            <w14:solidFill>
              <w14:schemeClr w14:val="tx1"/>
            </w14:solidFill>
          </w14:textFill>
        </w:rPr>
        <w:t>（</w:t>
      </w:r>
      <w:r>
        <w:rPr>
          <w:rFonts w:hint="eastAsia"/>
          <w:color w:val="000000" w:themeColor="text1"/>
          <w:szCs w:val="21"/>
          <w:highlight w:val="none"/>
          <w14:textFill>
            <w14:solidFill>
              <w14:schemeClr w14:val="tx1"/>
            </w14:solidFill>
          </w14:textFill>
        </w:rPr>
        <w:t>采购</w:t>
      </w:r>
      <w:r>
        <w:rPr>
          <w:color w:val="000000" w:themeColor="text1"/>
          <w:szCs w:val="21"/>
          <w:highlight w:val="none"/>
          <w14:textFill>
            <w14:solidFill>
              <w14:schemeClr w14:val="tx1"/>
            </w14:solidFill>
          </w14:textFill>
        </w:rPr>
        <w:t>人名称）</w:t>
      </w:r>
    </w:p>
    <w:p w14:paraId="59B4A303">
      <w:pPr>
        <w:overflowPunct/>
        <w:bidi w:val="0"/>
        <w:spacing w:line="360" w:lineRule="auto"/>
        <w:ind w:firstLine="420" w:firstLineChars="200"/>
        <w:outlineLvl w:val="9"/>
        <w:rPr>
          <w:color w:val="000000" w:themeColor="text1"/>
          <w:szCs w:val="21"/>
          <w:highlight w:val="none"/>
          <w14:textFill>
            <w14:solidFill>
              <w14:schemeClr w14:val="tx1"/>
            </w14:solidFill>
          </w14:textFill>
        </w:rPr>
      </w:pPr>
      <w:r>
        <w:rPr>
          <w:color w:val="000000" w:themeColor="text1"/>
          <w:szCs w:val="21"/>
          <w:highlight w:val="none"/>
          <w14:textFill>
            <w14:solidFill>
              <w14:schemeClr w14:val="tx1"/>
            </w14:solidFill>
          </w14:textFill>
        </w:rPr>
        <w:t>经研究贵单位</w:t>
      </w:r>
      <w:r>
        <w:rPr>
          <w:color w:val="000000" w:themeColor="text1"/>
          <w:szCs w:val="21"/>
          <w:highlight w:val="none"/>
          <w:u w:val="single"/>
          <w14:textFill>
            <w14:solidFill>
              <w14:schemeClr w14:val="tx1"/>
            </w14:solidFill>
          </w14:textFill>
        </w:rPr>
        <w:t xml:space="preserve">         </w:t>
      </w:r>
      <w:r>
        <w:rPr>
          <w:color w:val="000000" w:themeColor="text1"/>
          <w:szCs w:val="21"/>
          <w:highlight w:val="none"/>
          <w14:textFill>
            <w14:solidFill>
              <w14:schemeClr w14:val="tx1"/>
            </w14:solidFill>
          </w14:textFill>
        </w:rPr>
        <w:t>（项目名称）的</w:t>
      </w:r>
      <w:r>
        <w:rPr>
          <w:rFonts w:hint="eastAsia"/>
          <w:color w:val="000000" w:themeColor="text1"/>
          <w:szCs w:val="21"/>
          <w:highlight w:val="none"/>
          <w14:textFill>
            <w14:solidFill>
              <w14:schemeClr w14:val="tx1"/>
            </w14:solidFill>
          </w14:textFill>
        </w:rPr>
        <w:t>磋商文件</w:t>
      </w:r>
      <w:r>
        <w:rPr>
          <w:color w:val="000000" w:themeColor="text1"/>
          <w:szCs w:val="21"/>
          <w:highlight w:val="none"/>
          <w14:textFill>
            <w14:solidFill>
              <w14:schemeClr w14:val="tx1"/>
            </w14:solidFill>
          </w14:textFill>
        </w:rPr>
        <w:t>后，</w:t>
      </w:r>
      <w:r>
        <w:rPr>
          <w:rFonts w:hint="eastAsia"/>
          <w:color w:val="000000" w:themeColor="text1"/>
          <w:szCs w:val="21"/>
          <w:highlight w:val="none"/>
          <w14:textFill>
            <w14:solidFill>
              <w14:schemeClr w14:val="tx1"/>
            </w14:solidFill>
          </w14:textFill>
        </w:rPr>
        <w:t>供货期</w:t>
      </w:r>
      <w:r>
        <w:rPr>
          <w:color w:val="000000" w:themeColor="text1"/>
          <w:szCs w:val="21"/>
          <w:highlight w:val="none"/>
          <w14:textFill>
            <w14:solidFill>
              <w14:schemeClr w14:val="tx1"/>
            </w14:solidFill>
          </w14:textFill>
        </w:rPr>
        <w:t>：</w:t>
      </w:r>
      <w:r>
        <w:rPr>
          <w:color w:val="000000" w:themeColor="text1"/>
          <w:szCs w:val="21"/>
          <w:highlight w:val="none"/>
          <w:u w:val="single"/>
          <w14:textFill>
            <w14:solidFill>
              <w14:schemeClr w14:val="tx1"/>
            </w14:solidFill>
          </w14:textFill>
        </w:rPr>
        <w:t xml:space="preserve">             </w:t>
      </w:r>
      <w:r>
        <w:rPr>
          <w:color w:val="000000" w:themeColor="text1"/>
          <w:szCs w:val="21"/>
          <w:highlight w:val="none"/>
          <w14:textFill>
            <w14:solidFill>
              <w14:schemeClr w14:val="tx1"/>
            </w14:solidFill>
          </w14:textFill>
        </w:rPr>
        <w:t>，</w:t>
      </w:r>
      <w:r>
        <w:rPr>
          <w:rFonts w:hint="eastAsia"/>
          <w:color w:val="000000" w:themeColor="text1"/>
          <w:szCs w:val="21"/>
          <w:highlight w:val="none"/>
          <w14:textFill>
            <w14:solidFill>
              <w14:schemeClr w14:val="tx1"/>
            </w14:solidFill>
          </w14:textFill>
        </w:rPr>
        <w:t>磋商</w:t>
      </w:r>
      <w:r>
        <w:rPr>
          <w:color w:val="000000" w:themeColor="text1"/>
          <w:szCs w:val="21"/>
          <w:highlight w:val="none"/>
          <w14:textFill>
            <w14:solidFill>
              <w14:schemeClr w14:val="tx1"/>
            </w14:solidFill>
          </w14:textFill>
        </w:rPr>
        <w:t>报价</w:t>
      </w:r>
      <w:r>
        <w:rPr>
          <w:color w:val="000000" w:themeColor="text1"/>
          <w:szCs w:val="21"/>
          <w:highlight w:val="none"/>
          <w:u w:val="single"/>
          <w14:textFill>
            <w14:solidFill>
              <w14:schemeClr w14:val="tx1"/>
            </w14:solidFill>
          </w14:textFill>
        </w:rPr>
        <w:t xml:space="preserve">        </w:t>
      </w:r>
      <w:r>
        <w:rPr>
          <w:color w:val="000000" w:themeColor="text1"/>
          <w:szCs w:val="21"/>
          <w:highlight w:val="none"/>
          <w14:textFill>
            <w14:solidFill>
              <w14:schemeClr w14:val="tx1"/>
            </w14:solidFill>
          </w14:textFill>
        </w:rPr>
        <w:t>，完成</w:t>
      </w:r>
      <w:r>
        <w:rPr>
          <w:rFonts w:hint="eastAsia"/>
          <w:color w:val="000000" w:themeColor="text1"/>
          <w:szCs w:val="21"/>
          <w:highlight w:val="none"/>
          <w14:textFill>
            <w14:solidFill>
              <w14:schemeClr w14:val="tx1"/>
            </w14:solidFill>
          </w14:textFill>
        </w:rPr>
        <w:t>磋商文件</w:t>
      </w:r>
      <w:r>
        <w:rPr>
          <w:color w:val="000000" w:themeColor="text1"/>
          <w:szCs w:val="21"/>
          <w:highlight w:val="none"/>
          <w14:textFill>
            <w14:solidFill>
              <w14:schemeClr w14:val="tx1"/>
            </w14:solidFill>
          </w14:textFill>
        </w:rPr>
        <w:t>中所规定的全部任务，不再要求</w:t>
      </w:r>
      <w:r>
        <w:rPr>
          <w:rFonts w:hint="eastAsia"/>
          <w:color w:val="000000" w:themeColor="text1"/>
          <w:szCs w:val="21"/>
          <w:highlight w:val="none"/>
          <w14:textFill>
            <w14:solidFill>
              <w14:schemeClr w14:val="tx1"/>
            </w14:solidFill>
          </w14:textFill>
        </w:rPr>
        <w:t>采购人</w:t>
      </w:r>
      <w:r>
        <w:rPr>
          <w:color w:val="000000" w:themeColor="text1"/>
          <w:szCs w:val="21"/>
          <w:highlight w:val="none"/>
          <w14:textFill>
            <w14:solidFill>
              <w14:schemeClr w14:val="tx1"/>
            </w14:solidFill>
          </w14:textFill>
        </w:rPr>
        <w:t>支付其他任何费用。</w:t>
      </w:r>
    </w:p>
    <w:p w14:paraId="4FF298AE">
      <w:pPr>
        <w:overflowPunct/>
        <w:bidi w:val="0"/>
        <w:spacing w:line="360" w:lineRule="auto"/>
        <w:ind w:firstLine="420" w:firstLineChars="200"/>
        <w:outlineLvl w:val="9"/>
        <w:rPr>
          <w:color w:val="000000" w:themeColor="text1"/>
          <w:szCs w:val="21"/>
          <w:highlight w:val="none"/>
          <w14:textFill>
            <w14:solidFill>
              <w14:schemeClr w14:val="tx1"/>
            </w14:solidFill>
          </w14:textFill>
        </w:rPr>
      </w:pPr>
      <w:r>
        <w:rPr>
          <w:color w:val="000000" w:themeColor="text1"/>
          <w:szCs w:val="21"/>
          <w:highlight w:val="none"/>
          <w14:textFill>
            <w14:solidFill>
              <w14:schemeClr w14:val="tx1"/>
            </w14:solidFill>
          </w14:textFill>
        </w:rPr>
        <w:t>一旦我方</w:t>
      </w:r>
      <w:r>
        <w:rPr>
          <w:rFonts w:hint="eastAsia"/>
          <w:color w:val="000000" w:themeColor="text1"/>
          <w:szCs w:val="21"/>
          <w:highlight w:val="none"/>
          <w14:textFill>
            <w14:solidFill>
              <w14:schemeClr w14:val="tx1"/>
            </w14:solidFill>
          </w14:textFill>
        </w:rPr>
        <w:t>成交</w:t>
      </w:r>
      <w:r>
        <w:rPr>
          <w:color w:val="000000" w:themeColor="text1"/>
          <w:szCs w:val="21"/>
          <w:highlight w:val="none"/>
          <w14:textFill>
            <w14:solidFill>
              <w14:schemeClr w14:val="tx1"/>
            </w14:solidFill>
          </w14:textFill>
        </w:rPr>
        <w:t xml:space="preserve">，我方承诺： </w:t>
      </w:r>
    </w:p>
    <w:p w14:paraId="7E8E7B0B">
      <w:pPr>
        <w:overflowPunct/>
        <w:autoSpaceDE w:val="0"/>
        <w:autoSpaceDN w:val="0"/>
        <w:bidi w:val="0"/>
        <w:snapToGrid w:val="0"/>
        <w:spacing w:line="360" w:lineRule="auto"/>
        <w:ind w:firstLine="420" w:firstLineChars="200"/>
        <w:jc w:val="left"/>
        <w:outlineLvl w:val="9"/>
        <w:rPr>
          <w:color w:val="000000" w:themeColor="text1"/>
          <w:szCs w:val="21"/>
          <w:highlight w:val="none"/>
          <w14:textFill>
            <w14:solidFill>
              <w14:schemeClr w14:val="tx1"/>
            </w14:solidFill>
          </w14:textFill>
        </w:rPr>
      </w:pPr>
      <w:r>
        <w:rPr>
          <w:color w:val="000000" w:themeColor="text1"/>
          <w:szCs w:val="21"/>
          <w:highlight w:val="none"/>
          <w14:textFill>
            <w14:solidFill>
              <w14:schemeClr w14:val="tx1"/>
            </w14:solidFill>
          </w14:textFill>
        </w:rPr>
        <w:t>（1）在收到</w:t>
      </w:r>
      <w:r>
        <w:rPr>
          <w:rFonts w:hint="eastAsia"/>
          <w:color w:val="000000" w:themeColor="text1"/>
          <w:szCs w:val="21"/>
          <w:highlight w:val="none"/>
          <w14:textFill>
            <w14:solidFill>
              <w14:schemeClr w14:val="tx1"/>
            </w14:solidFill>
          </w14:textFill>
        </w:rPr>
        <w:t>成交</w:t>
      </w:r>
      <w:r>
        <w:rPr>
          <w:color w:val="000000" w:themeColor="text1"/>
          <w:szCs w:val="21"/>
          <w:highlight w:val="none"/>
          <w14:textFill>
            <w14:solidFill>
              <w14:schemeClr w14:val="tx1"/>
            </w14:solidFill>
          </w14:textFill>
        </w:rPr>
        <w:t>通知书后，在</w:t>
      </w:r>
      <w:r>
        <w:rPr>
          <w:rFonts w:hint="eastAsia"/>
          <w:color w:val="000000" w:themeColor="text1"/>
          <w:szCs w:val="21"/>
          <w:highlight w:val="none"/>
          <w14:textFill>
            <w14:solidFill>
              <w14:schemeClr w14:val="tx1"/>
            </w14:solidFill>
          </w14:textFill>
        </w:rPr>
        <w:t>成交通知书</w:t>
      </w:r>
      <w:r>
        <w:rPr>
          <w:color w:val="000000" w:themeColor="text1"/>
          <w:szCs w:val="21"/>
          <w:highlight w:val="none"/>
          <w14:textFill>
            <w14:solidFill>
              <w14:schemeClr w14:val="tx1"/>
            </w14:solidFill>
          </w14:textFill>
        </w:rPr>
        <w:t>规定的期限内与你方签订合同，否则承担法律责任；</w:t>
      </w:r>
    </w:p>
    <w:p w14:paraId="01B8CC2B">
      <w:pPr>
        <w:overflowPunct/>
        <w:autoSpaceDE w:val="0"/>
        <w:autoSpaceDN w:val="0"/>
        <w:bidi w:val="0"/>
        <w:snapToGrid w:val="0"/>
        <w:spacing w:line="360" w:lineRule="auto"/>
        <w:ind w:firstLine="420" w:firstLineChars="200"/>
        <w:jc w:val="left"/>
        <w:outlineLvl w:val="9"/>
        <w:rPr>
          <w:color w:val="000000" w:themeColor="text1"/>
          <w:szCs w:val="21"/>
          <w:highlight w:val="none"/>
          <w14:textFill>
            <w14:solidFill>
              <w14:schemeClr w14:val="tx1"/>
            </w14:solidFill>
          </w14:textFill>
        </w:rPr>
      </w:pPr>
      <w:r>
        <w:rPr>
          <w:color w:val="000000" w:themeColor="text1"/>
          <w:szCs w:val="21"/>
          <w:highlight w:val="none"/>
          <w14:textFill>
            <w14:solidFill>
              <w14:schemeClr w14:val="tx1"/>
            </w14:solidFill>
          </w14:textFill>
        </w:rPr>
        <w:t xml:space="preserve">（2）在签订合同时不向你方提出附加条件； </w:t>
      </w:r>
    </w:p>
    <w:p w14:paraId="1E293121">
      <w:pPr>
        <w:overflowPunct/>
        <w:autoSpaceDE w:val="0"/>
        <w:autoSpaceDN w:val="0"/>
        <w:bidi w:val="0"/>
        <w:snapToGrid w:val="0"/>
        <w:spacing w:line="360" w:lineRule="auto"/>
        <w:ind w:firstLine="420" w:firstLineChars="200"/>
        <w:jc w:val="left"/>
        <w:outlineLvl w:val="9"/>
        <w:rPr>
          <w:color w:val="000000" w:themeColor="text1"/>
          <w:szCs w:val="21"/>
          <w:highlight w:val="none"/>
          <w14:textFill>
            <w14:solidFill>
              <w14:schemeClr w14:val="tx1"/>
            </w14:solidFill>
          </w14:textFill>
        </w:rPr>
      </w:pPr>
      <w:r>
        <w:rPr>
          <w:color w:val="000000" w:themeColor="text1"/>
          <w:szCs w:val="21"/>
          <w:highlight w:val="none"/>
          <w14:textFill>
            <w14:solidFill>
              <w14:schemeClr w14:val="tx1"/>
            </w14:solidFill>
          </w14:textFill>
        </w:rPr>
        <w:t>（3）按照</w:t>
      </w:r>
      <w:r>
        <w:rPr>
          <w:rFonts w:hint="eastAsia"/>
          <w:color w:val="000000" w:themeColor="text1"/>
          <w:szCs w:val="21"/>
          <w:highlight w:val="none"/>
          <w14:textFill>
            <w14:solidFill>
              <w14:schemeClr w14:val="tx1"/>
            </w14:solidFill>
          </w14:textFill>
        </w:rPr>
        <w:t>磋商文件</w:t>
      </w:r>
      <w:r>
        <w:rPr>
          <w:color w:val="000000" w:themeColor="text1"/>
          <w:szCs w:val="21"/>
          <w:highlight w:val="none"/>
          <w14:textFill>
            <w14:solidFill>
              <w14:schemeClr w14:val="tx1"/>
            </w14:solidFill>
          </w14:textFill>
        </w:rPr>
        <w:t xml:space="preserve">要求提交履约保证金； </w:t>
      </w:r>
    </w:p>
    <w:p w14:paraId="0F820548">
      <w:pPr>
        <w:overflowPunct/>
        <w:autoSpaceDE w:val="0"/>
        <w:autoSpaceDN w:val="0"/>
        <w:bidi w:val="0"/>
        <w:snapToGrid w:val="0"/>
        <w:spacing w:line="360" w:lineRule="auto"/>
        <w:ind w:firstLine="420" w:firstLineChars="200"/>
        <w:jc w:val="left"/>
        <w:outlineLvl w:val="9"/>
        <w:rPr>
          <w:color w:val="000000" w:themeColor="text1"/>
          <w:szCs w:val="21"/>
          <w:highlight w:val="none"/>
          <w14:textFill>
            <w14:solidFill>
              <w14:schemeClr w14:val="tx1"/>
            </w14:solidFill>
          </w14:textFill>
        </w:rPr>
      </w:pPr>
      <w:r>
        <w:rPr>
          <w:color w:val="000000" w:themeColor="text1"/>
          <w:szCs w:val="21"/>
          <w:highlight w:val="none"/>
          <w14:textFill>
            <w14:solidFill>
              <w14:schemeClr w14:val="tx1"/>
            </w14:solidFill>
          </w14:textFill>
        </w:rPr>
        <w:t>（4）在合同约定的期限内完成合同规定的全部义务</w:t>
      </w:r>
      <w:r>
        <w:rPr>
          <w:rFonts w:hint="eastAsia"/>
          <w:color w:val="000000" w:themeColor="text1"/>
          <w:szCs w:val="21"/>
          <w:highlight w:val="none"/>
          <w14:textFill>
            <w14:solidFill>
              <w14:schemeClr w14:val="tx1"/>
            </w14:solidFill>
          </w14:textFill>
        </w:rPr>
        <w:t>；</w:t>
      </w:r>
      <w:r>
        <w:rPr>
          <w:color w:val="000000" w:themeColor="text1"/>
          <w:szCs w:val="21"/>
          <w:highlight w:val="none"/>
          <w14:textFill>
            <w14:solidFill>
              <w14:schemeClr w14:val="tx1"/>
            </w14:solidFill>
          </w14:textFill>
        </w:rPr>
        <w:t xml:space="preserve"> </w:t>
      </w:r>
    </w:p>
    <w:p w14:paraId="25297FAC">
      <w:pPr>
        <w:overflowPunct/>
        <w:autoSpaceDE w:val="0"/>
        <w:autoSpaceDN w:val="0"/>
        <w:bidi w:val="0"/>
        <w:snapToGrid w:val="0"/>
        <w:spacing w:line="360" w:lineRule="auto"/>
        <w:ind w:firstLine="420" w:firstLineChars="200"/>
        <w:jc w:val="left"/>
        <w:outlineLvl w:val="9"/>
        <w:rPr>
          <w:rFonts w:hint="eastAsia"/>
          <w:color w:val="000000" w:themeColor="text1"/>
          <w:szCs w:val="21"/>
          <w:highlight w:val="none"/>
          <w14:textFill>
            <w14:solidFill>
              <w14:schemeClr w14:val="tx1"/>
            </w14:solidFill>
          </w14:textFill>
        </w:rPr>
      </w:pPr>
      <w:r>
        <w:rPr>
          <w:color w:val="000000" w:themeColor="text1"/>
          <w:szCs w:val="21"/>
          <w:highlight w:val="none"/>
          <w14:textFill>
            <w14:solidFill>
              <w14:schemeClr w14:val="tx1"/>
            </w14:solidFill>
          </w14:textFill>
        </w:rPr>
        <w:t>（5）无条件响应</w:t>
      </w:r>
      <w:r>
        <w:rPr>
          <w:rFonts w:hint="eastAsia"/>
          <w:color w:val="000000" w:themeColor="text1"/>
          <w:szCs w:val="21"/>
          <w:highlight w:val="none"/>
          <w14:textFill>
            <w14:solidFill>
              <w14:schemeClr w14:val="tx1"/>
            </w14:solidFill>
          </w14:textFill>
        </w:rPr>
        <w:t>采购</w:t>
      </w:r>
      <w:r>
        <w:rPr>
          <w:color w:val="000000" w:themeColor="text1"/>
          <w:szCs w:val="21"/>
          <w:highlight w:val="none"/>
          <w14:textFill>
            <w14:solidFill>
              <w14:schemeClr w14:val="tx1"/>
            </w14:solidFill>
          </w14:textFill>
        </w:rPr>
        <w:t>人须知前附表中所有要求</w:t>
      </w:r>
      <w:r>
        <w:rPr>
          <w:rFonts w:hint="eastAsia"/>
          <w:color w:val="000000" w:themeColor="text1"/>
          <w:szCs w:val="21"/>
          <w:highlight w:val="none"/>
          <w14:textFill>
            <w14:solidFill>
              <w14:schemeClr w14:val="tx1"/>
            </w14:solidFill>
          </w14:textFill>
        </w:rPr>
        <w:t>；</w:t>
      </w:r>
    </w:p>
    <w:p w14:paraId="70AE7D2F">
      <w:pPr>
        <w:overflowPunct/>
        <w:bidi w:val="0"/>
        <w:spacing w:line="360" w:lineRule="auto"/>
        <w:ind w:firstLine="420" w:firstLineChars="200"/>
        <w:outlineLvl w:val="9"/>
        <w:rPr>
          <w:color w:val="000000" w:themeColor="text1"/>
          <w:szCs w:val="21"/>
          <w:highlight w:val="none"/>
          <w14:textFill>
            <w14:solidFill>
              <w14:schemeClr w14:val="tx1"/>
            </w14:solidFill>
          </w14:textFill>
        </w:rPr>
      </w:pPr>
      <w:r>
        <w:rPr>
          <w:color w:val="000000" w:themeColor="text1"/>
          <w:szCs w:val="21"/>
          <w:highlight w:val="none"/>
          <w14:textFill>
            <w14:solidFill>
              <w14:schemeClr w14:val="tx1"/>
            </w14:solidFill>
          </w14:textFill>
        </w:rPr>
        <w:t>我方同意本</w:t>
      </w:r>
      <w:r>
        <w:rPr>
          <w:rFonts w:hint="eastAsia"/>
          <w:color w:val="000000" w:themeColor="text1"/>
          <w:szCs w:val="21"/>
          <w:highlight w:val="none"/>
          <w14:textFill>
            <w14:solidFill>
              <w14:schemeClr w14:val="tx1"/>
            </w14:solidFill>
          </w14:textFill>
        </w:rPr>
        <w:t>响应文件</w:t>
      </w:r>
      <w:r>
        <w:rPr>
          <w:color w:val="000000" w:themeColor="text1"/>
          <w:szCs w:val="21"/>
          <w:highlight w:val="none"/>
          <w14:textFill>
            <w14:solidFill>
              <w14:schemeClr w14:val="tx1"/>
            </w14:solidFill>
          </w14:textFill>
        </w:rPr>
        <w:t>在</w:t>
      </w:r>
      <w:r>
        <w:rPr>
          <w:rFonts w:hint="eastAsia"/>
          <w:color w:val="000000" w:themeColor="text1"/>
          <w:szCs w:val="21"/>
          <w:highlight w:val="none"/>
          <w:lang w:eastAsia="zh-CN"/>
          <w14:textFill>
            <w14:solidFill>
              <w14:schemeClr w14:val="tx1"/>
            </w14:solidFill>
          </w14:textFill>
        </w:rPr>
        <w:t>供应商</w:t>
      </w:r>
      <w:r>
        <w:rPr>
          <w:color w:val="000000" w:themeColor="text1"/>
          <w:szCs w:val="21"/>
          <w:highlight w:val="none"/>
          <w14:textFill>
            <w14:solidFill>
              <w14:schemeClr w14:val="tx1"/>
            </w14:solidFill>
          </w14:textFill>
        </w:rPr>
        <w:t>须知中规定的</w:t>
      </w:r>
      <w:r>
        <w:rPr>
          <w:rFonts w:hint="eastAsia"/>
          <w:color w:val="000000" w:themeColor="text1"/>
          <w:szCs w:val="21"/>
          <w:highlight w:val="none"/>
          <w14:textFill>
            <w14:solidFill>
              <w14:schemeClr w14:val="tx1"/>
            </w14:solidFill>
          </w14:textFill>
        </w:rPr>
        <w:t>磋商有效期内</w:t>
      </w:r>
      <w:r>
        <w:rPr>
          <w:color w:val="000000" w:themeColor="text1"/>
          <w:szCs w:val="21"/>
          <w:highlight w:val="none"/>
          <w14:textFill>
            <w14:solidFill>
              <w14:schemeClr w14:val="tx1"/>
            </w14:solidFill>
          </w14:textFill>
        </w:rPr>
        <w:t>对我方有约束力，且随时可能按此</w:t>
      </w:r>
      <w:r>
        <w:rPr>
          <w:rFonts w:hint="eastAsia"/>
          <w:color w:val="000000" w:themeColor="text1"/>
          <w:szCs w:val="21"/>
          <w:highlight w:val="none"/>
          <w14:textFill>
            <w14:solidFill>
              <w14:schemeClr w14:val="tx1"/>
            </w14:solidFill>
          </w14:textFill>
        </w:rPr>
        <w:t>响应文件成交</w:t>
      </w:r>
      <w:r>
        <w:rPr>
          <w:color w:val="000000" w:themeColor="text1"/>
          <w:szCs w:val="21"/>
          <w:highlight w:val="none"/>
          <w14:textFill>
            <w14:solidFill>
              <w14:schemeClr w14:val="tx1"/>
            </w14:solidFill>
          </w14:textFill>
        </w:rPr>
        <w:t>。</w:t>
      </w:r>
    </w:p>
    <w:p w14:paraId="31727B64">
      <w:pPr>
        <w:overflowPunct/>
        <w:bidi w:val="0"/>
        <w:spacing w:line="360" w:lineRule="auto"/>
        <w:ind w:firstLine="420" w:firstLineChars="200"/>
        <w:outlineLvl w:val="9"/>
        <w:rPr>
          <w:color w:val="000000" w:themeColor="text1"/>
          <w:szCs w:val="21"/>
          <w:highlight w:val="none"/>
          <w14:textFill>
            <w14:solidFill>
              <w14:schemeClr w14:val="tx1"/>
            </w14:solidFill>
          </w14:textFill>
        </w:rPr>
      </w:pPr>
      <w:r>
        <w:rPr>
          <w:color w:val="000000" w:themeColor="text1"/>
          <w:szCs w:val="21"/>
          <w:highlight w:val="none"/>
          <w14:textFill>
            <w14:solidFill>
              <w14:schemeClr w14:val="tx1"/>
            </w14:solidFill>
          </w14:textFill>
        </w:rPr>
        <w:t>在签署合同时，贵单位的</w:t>
      </w:r>
      <w:r>
        <w:rPr>
          <w:rFonts w:hint="eastAsia"/>
          <w:color w:val="000000" w:themeColor="text1"/>
          <w:szCs w:val="21"/>
          <w:highlight w:val="none"/>
          <w14:textFill>
            <w14:solidFill>
              <w14:schemeClr w14:val="tx1"/>
            </w14:solidFill>
          </w14:textFill>
        </w:rPr>
        <w:t>成交通知书</w:t>
      </w:r>
      <w:r>
        <w:rPr>
          <w:color w:val="000000" w:themeColor="text1"/>
          <w:szCs w:val="21"/>
          <w:highlight w:val="none"/>
          <w14:textFill>
            <w14:solidFill>
              <w14:schemeClr w14:val="tx1"/>
            </w14:solidFill>
          </w14:textFill>
        </w:rPr>
        <w:t>和本</w:t>
      </w:r>
      <w:r>
        <w:rPr>
          <w:rFonts w:hint="eastAsia"/>
          <w:color w:val="000000" w:themeColor="text1"/>
          <w:szCs w:val="21"/>
          <w:highlight w:val="none"/>
          <w14:textFill>
            <w14:solidFill>
              <w14:schemeClr w14:val="tx1"/>
            </w14:solidFill>
          </w14:textFill>
        </w:rPr>
        <w:t>响应文件</w:t>
      </w:r>
      <w:r>
        <w:rPr>
          <w:color w:val="000000" w:themeColor="text1"/>
          <w:szCs w:val="21"/>
          <w:highlight w:val="none"/>
          <w14:textFill>
            <w14:solidFill>
              <w14:schemeClr w14:val="tx1"/>
            </w14:solidFill>
          </w14:textFill>
        </w:rPr>
        <w:t>将构成约束我们双方的契约。</w:t>
      </w:r>
    </w:p>
    <w:p w14:paraId="73CA71EB">
      <w:pPr>
        <w:overflowPunct/>
        <w:bidi w:val="0"/>
        <w:spacing w:line="360" w:lineRule="auto"/>
        <w:ind w:firstLine="420" w:firstLineChars="200"/>
        <w:outlineLvl w:val="9"/>
        <w:rPr>
          <w:color w:val="000000" w:themeColor="text1"/>
          <w:szCs w:val="21"/>
          <w:highlight w:val="none"/>
          <w14:textFill>
            <w14:solidFill>
              <w14:schemeClr w14:val="tx1"/>
            </w14:solidFill>
          </w14:textFill>
        </w:rPr>
      </w:pPr>
      <w:r>
        <w:rPr>
          <w:color w:val="000000" w:themeColor="text1"/>
          <w:szCs w:val="21"/>
          <w:highlight w:val="none"/>
          <w14:textFill>
            <w14:solidFill>
              <w14:schemeClr w14:val="tx1"/>
            </w14:solidFill>
          </w14:textFill>
        </w:rPr>
        <w:t>我方理解你们将不受你们所受到的任何标价或其它任何</w:t>
      </w:r>
      <w:r>
        <w:rPr>
          <w:rFonts w:hint="eastAsia"/>
          <w:color w:val="000000" w:themeColor="text1"/>
          <w:szCs w:val="21"/>
          <w:highlight w:val="none"/>
          <w14:textFill>
            <w14:solidFill>
              <w14:schemeClr w14:val="tx1"/>
            </w14:solidFill>
          </w14:textFill>
        </w:rPr>
        <w:t>响应文件</w:t>
      </w:r>
      <w:r>
        <w:rPr>
          <w:color w:val="000000" w:themeColor="text1"/>
          <w:szCs w:val="21"/>
          <w:highlight w:val="none"/>
          <w14:textFill>
            <w14:solidFill>
              <w14:schemeClr w14:val="tx1"/>
            </w14:solidFill>
          </w14:textFill>
        </w:rPr>
        <w:t>的约束。</w:t>
      </w:r>
    </w:p>
    <w:p w14:paraId="0294A33B">
      <w:pPr>
        <w:overflowPunct/>
        <w:bidi w:val="0"/>
        <w:spacing w:line="360" w:lineRule="auto"/>
        <w:ind w:firstLine="420" w:firstLineChars="200"/>
        <w:outlineLvl w:val="9"/>
        <w:rPr>
          <w:color w:val="000000" w:themeColor="text1"/>
          <w:szCs w:val="21"/>
          <w:highlight w:val="none"/>
          <w14:textFill>
            <w14:solidFill>
              <w14:schemeClr w14:val="tx1"/>
            </w14:solidFill>
          </w14:textFill>
        </w:rPr>
      </w:pPr>
      <w:r>
        <w:rPr>
          <w:color w:val="000000" w:themeColor="text1"/>
          <w:szCs w:val="21"/>
          <w:highlight w:val="none"/>
          <w14:textFill>
            <w14:solidFill>
              <w14:schemeClr w14:val="tx1"/>
            </w14:solidFill>
          </w14:textFill>
        </w:rPr>
        <w:t>我方承诺完全按照</w:t>
      </w:r>
      <w:r>
        <w:rPr>
          <w:rFonts w:hint="eastAsia"/>
          <w:color w:val="000000" w:themeColor="text1"/>
          <w:szCs w:val="21"/>
          <w:highlight w:val="none"/>
          <w14:textFill>
            <w14:solidFill>
              <w14:schemeClr w14:val="tx1"/>
            </w14:solidFill>
          </w14:textFill>
        </w:rPr>
        <w:t>磋商文件</w:t>
      </w:r>
      <w:r>
        <w:rPr>
          <w:color w:val="000000" w:themeColor="text1"/>
          <w:szCs w:val="21"/>
          <w:highlight w:val="none"/>
          <w14:textFill>
            <w14:solidFill>
              <w14:schemeClr w14:val="tx1"/>
            </w14:solidFill>
          </w14:textFill>
        </w:rPr>
        <w:t>规定的时间提交完成的</w:t>
      </w:r>
      <w:r>
        <w:rPr>
          <w:rFonts w:hint="eastAsia"/>
          <w:color w:val="000000" w:themeColor="text1"/>
          <w:szCs w:val="21"/>
          <w:highlight w:val="none"/>
          <w14:textFill>
            <w14:solidFill>
              <w14:schemeClr w14:val="tx1"/>
            </w14:solidFill>
          </w14:textFill>
        </w:rPr>
        <w:t>响应文件</w:t>
      </w:r>
      <w:r>
        <w:rPr>
          <w:color w:val="000000" w:themeColor="text1"/>
          <w:szCs w:val="21"/>
          <w:highlight w:val="none"/>
          <w14:textFill>
            <w14:solidFill>
              <w14:schemeClr w14:val="tx1"/>
            </w14:solidFill>
          </w14:textFill>
        </w:rPr>
        <w:t>。</w:t>
      </w:r>
    </w:p>
    <w:p w14:paraId="0B20EA56">
      <w:pPr>
        <w:overflowPunct/>
        <w:bidi w:val="0"/>
        <w:spacing w:line="480" w:lineRule="auto"/>
        <w:ind w:firstLine="2520" w:firstLineChars="1200"/>
        <w:outlineLvl w:val="9"/>
        <w:rPr>
          <w:rFonts w:hint="eastAsia"/>
          <w:color w:val="000000" w:themeColor="text1"/>
          <w:szCs w:val="21"/>
          <w:highlight w:val="none"/>
          <w:lang w:eastAsia="zh-CN"/>
          <w14:textFill>
            <w14:solidFill>
              <w14:schemeClr w14:val="tx1"/>
            </w14:solidFill>
          </w14:textFill>
        </w:rPr>
      </w:pPr>
    </w:p>
    <w:p w14:paraId="43B7B168">
      <w:pPr>
        <w:overflowPunct/>
        <w:bidi w:val="0"/>
        <w:spacing w:line="480" w:lineRule="auto"/>
        <w:ind w:firstLine="2520" w:firstLineChars="1200"/>
        <w:outlineLvl w:val="9"/>
        <w:rPr>
          <w:rFonts w:hint="eastAsia"/>
          <w:color w:val="000000" w:themeColor="text1"/>
          <w:szCs w:val="21"/>
          <w:highlight w:val="none"/>
          <w:lang w:eastAsia="zh-CN"/>
          <w14:textFill>
            <w14:solidFill>
              <w14:schemeClr w14:val="tx1"/>
            </w14:solidFill>
          </w14:textFill>
        </w:rPr>
      </w:pPr>
    </w:p>
    <w:p w14:paraId="629F04F2">
      <w:pPr>
        <w:overflowPunct/>
        <w:bidi w:val="0"/>
        <w:spacing w:line="480" w:lineRule="auto"/>
        <w:ind w:firstLine="2520" w:firstLineChars="1200"/>
        <w:outlineLvl w:val="9"/>
        <w:rPr>
          <w:rFonts w:hint="eastAsia"/>
          <w:color w:val="000000" w:themeColor="text1"/>
          <w:szCs w:val="21"/>
          <w:highlight w:val="none"/>
          <w:lang w:eastAsia="zh-CN"/>
          <w14:textFill>
            <w14:solidFill>
              <w14:schemeClr w14:val="tx1"/>
            </w14:solidFill>
          </w14:textFill>
        </w:rPr>
      </w:pPr>
    </w:p>
    <w:p w14:paraId="79545A5D">
      <w:pPr>
        <w:overflowPunct/>
        <w:bidi w:val="0"/>
        <w:spacing w:line="480" w:lineRule="auto"/>
        <w:ind w:firstLine="2520" w:firstLineChars="1200"/>
        <w:outlineLvl w:val="9"/>
        <w:rPr>
          <w:rFonts w:hint="eastAsia"/>
          <w:color w:val="000000" w:themeColor="text1"/>
          <w:szCs w:val="21"/>
          <w:highlight w:val="none"/>
          <w:lang w:eastAsia="zh-CN"/>
          <w14:textFill>
            <w14:solidFill>
              <w14:schemeClr w14:val="tx1"/>
            </w14:solidFill>
          </w14:textFill>
        </w:rPr>
      </w:pPr>
    </w:p>
    <w:p w14:paraId="1ECE8677">
      <w:pPr>
        <w:overflowPunct/>
        <w:bidi w:val="0"/>
        <w:spacing w:line="480" w:lineRule="auto"/>
        <w:ind w:firstLine="2520" w:firstLineChars="1200"/>
        <w:outlineLvl w:val="9"/>
        <w:rPr>
          <w:color w:val="000000" w:themeColor="text1"/>
          <w:szCs w:val="21"/>
          <w:highlight w:val="none"/>
          <w14:textFill>
            <w14:solidFill>
              <w14:schemeClr w14:val="tx1"/>
            </w14:solidFill>
          </w14:textFill>
        </w:rPr>
      </w:pPr>
      <w:r>
        <w:rPr>
          <w:rFonts w:hint="eastAsia"/>
          <w:color w:val="000000" w:themeColor="text1"/>
          <w:szCs w:val="21"/>
          <w:highlight w:val="none"/>
          <w:lang w:eastAsia="zh-CN"/>
          <w14:textFill>
            <w14:solidFill>
              <w14:schemeClr w14:val="tx1"/>
            </w14:solidFill>
          </w14:textFill>
        </w:rPr>
        <w:t>供应商</w:t>
      </w:r>
      <w:r>
        <w:rPr>
          <w:color w:val="000000" w:themeColor="text1"/>
          <w:szCs w:val="21"/>
          <w:highlight w:val="none"/>
          <w14:textFill>
            <w14:solidFill>
              <w14:schemeClr w14:val="tx1"/>
            </w14:solidFill>
          </w14:textFill>
        </w:rPr>
        <w:t>：</w:t>
      </w:r>
      <w:r>
        <w:rPr>
          <w:color w:val="000000" w:themeColor="text1"/>
          <w:szCs w:val="21"/>
          <w:highlight w:val="none"/>
          <w:u w:val="single"/>
          <w14:textFill>
            <w14:solidFill>
              <w14:schemeClr w14:val="tx1"/>
            </w14:solidFill>
          </w14:textFill>
        </w:rPr>
        <w:t xml:space="preserve">                    </w:t>
      </w:r>
      <w:r>
        <w:rPr>
          <w:color w:val="000000" w:themeColor="text1"/>
          <w:szCs w:val="21"/>
          <w:highlight w:val="none"/>
          <w14:textFill>
            <w14:solidFill>
              <w14:schemeClr w14:val="tx1"/>
            </w14:solidFill>
          </w14:textFill>
        </w:rPr>
        <w:t>（公章）</w:t>
      </w:r>
    </w:p>
    <w:p w14:paraId="0134463F">
      <w:pPr>
        <w:overflowPunct/>
        <w:bidi w:val="0"/>
        <w:spacing w:line="480" w:lineRule="auto"/>
        <w:ind w:firstLine="2520" w:firstLineChars="1200"/>
        <w:jc w:val="left"/>
        <w:outlineLvl w:val="9"/>
        <w:rPr>
          <w:color w:val="000000" w:themeColor="text1"/>
          <w:szCs w:val="21"/>
          <w:highlight w:val="none"/>
          <w14:textFill>
            <w14:solidFill>
              <w14:schemeClr w14:val="tx1"/>
            </w14:solidFill>
          </w14:textFill>
        </w:rPr>
      </w:pPr>
      <w:r>
        <w:rPr>
          <w:color w:val="000000" w:themeColor="text1"/>
          <w:szCs w:val="21"/>
          <w:highlight w:val="none"/>
          <w14:textFill>
            <w14:solidFill>
              <w14:schemeClr w14:val="tx1"/>
            </w14:solidFill>
          </w14:textFill>
        </w:rPr>
        <w:t>法定代表人</w:t>
      </w:r>
      <w:r>
        <w:rPr>
          <w:rFonts w:hint="eastAsia"/>
          <w:color w:val="000000" w:themeColor="text1"/>
          <w:szCs w:val="21"/>
          <w:highlight w:val="none"/>
          <w14:textFill>
            <w14:solidFill>
              <w14:schemeClr w14:val="tx1"/>
            </w14:solidFill>
          </w14:textFill>
        </w:rPr>
        <w:t>或</w:t>
      </w:r>
      <w:r>
        <w:rPr>
          <w:color w:val="000000" w:themeColor="text1"/>
          <w:szCs w:val="21"/>
          <w:highlight w:val="none"/>
          <w14:textFill>
            <w14:solidFill>
              <w14:schemeClr w14:val="tx1"/>
            </w14:solidFill>
          </w14:textFill>
        </w:rPr>
        <w:t>委托代理人：</w:t>
      </w:r>
      <w:r>
        <w:rPr>
          <w:color w:val="000000" w:themeColor="text1"/>
          <w:szCs w:val="21"/>
          <w:highlight w:val="none"/>
          <w:u w:val="single"/>
          <w14:textFill>
            <w14:solidFill>
              <w14:schemeClr w14:val="tx1"/>
            </w14:solidFill>
          </w14:textFill>
        </w:rPr>
        <w:t xml:space="preserve">                </w:t>
      </w:r>
      <w:r>
        <w:rPr>
          <w:color w:val="000000" w:themeColor="text1"/>
          <w:szCs w:val="21"/>
          <w:highlight w:val="none"/>
          <w14:textFill>
            <w14:solidFill>
              <w14:schemeClr w14:val="tx1"/>
            </w14:solidFill>
          </w14:textFill>
        </w:rPr>
        <w:t>（签字</w:t>
      </w:r>
      <w:r>
        <w:rPr>
          <w:rFonts w:hint="eastAsia"/>
          <w:color w:val="000000" w:themeColor="text1"/>
          <w:szCs w:val="21"/>
          <w:highlight w:val="none"/>
          <w14:textFill>
            <w14:solidFill>
              <w14:schemeClr w14:val="tx1"/>
            </w14:solidFill>
          </w14:textFill>
        </w:rPr>
        <w:t>或</w:t>
      </w:r>
      <w:r>
        <w:rPr>
          <w:color w:val="000000" w:themeColor="text1"/>
          <w:szCs w:val="21"/>
          <w:highlight w:val="none"/>
          <w14:textFill>
            <w14:solidFill>
              <w14:schemeClr w14:val="tx1"/>
            </w14:solidFill>
          </w14:textFill>
        </w:rPr>
        <w:t>盖章）</w:t>
      </w:r>
    </w:p>
    <w:p w14:paraId="0D53B974">
      <w:pPr>
        <w:overflowPunct/>
        <w:bidi w:val="0"/>
        <w:spacing w:line="440" w:lineRule="exact"/>
        <w:ind w:firstLine="2530" w:firstLineChars="1205"/>
        <w:outlineLvl w:val="9"/>
        <w:rPr>
          <w:color w:val="000000" w:themeColor="text1"/>
          <w:highlight w:val="none"/>
          <w14:textFill>
            <w14:solidFill>
              <w14:schemeClr w14:val="tx1"/>
            </w14:solidFill>
          </w14:textFill>
        </w:rPr>
      </w:pPr>
      <w:r>
        <w:rPr>
          <w:color w:val="000000" w:themeColor="text1"/>
          <w:szCs w:val="21"/>
          <w:highlight w:val="none"/>
          <w14:textFill>
            <w14:solidFill>
              <w14:schemeClr w14:val="tx1"/>
            </w14:solidFill>
          </w14:textFill>
        </w:rPr>
        <w:t>日    期：    年    月    日</w:t>
      </w:r>
    </w:p>
    <w:p w14:paraId="4592C6AC">
      <w:pPr>
        <w:wordWrap w:val="0"/>
        <w:overflowPunct/>
        <w:bidi w:val="0"/>
        <w:spacing w:line="600" w:lineRule="auto"/>
        <w:ind w:firstLine="420" w:firstLineChars="200"/>
        <w:jc w:val="right"/>
        <w:outlineLvl w:val="9"/>
        <w:rPr>
          <w:color w:val="000000" w:themeColor="text1"/>
          <w:szCs w:val="21"/>
          <w:highlight w:val="none"/>
          <w14:textFill>
            <w14:solidFill>
              <w14:schemeClr w14:val="tx1"/>
            </w14:solidFill>
          </w14:textFill>
        </w:rPr>
      </w:pPr>
    </w:p>
    <w:p w14:paraId="33BE5EE7">
      <w:pPr>
        <w:wordWrap w:val="0"/>
        <w:overflowPunct/>
        <w:bidi w:val="0"/>
        <w:spacing w:line="600" w:lineRule="auto"/>
        <w:ind w:firstLine="420" w:firstLineChars="200"/>
        <w:jc w:val="right"/>
        <w:outlineLvl w:val="9"/>
        <w:rPr>
          <w:color w:val="000000" w:themeColor="text1"/>
          <w:szCs w:val="21"/>
          <w:highlight w:val="none"/>
          <w14:textFill>
            <w14:solidFill>
              <w14:schemeClr w14:val="tx1"/>
            </w14:solidFill>
          </w14:textFill>
        </w:rPr>
      </w:pPr>
    </w:p>
    <w:p w14:paraId="75E005E2">
      <w:pPr>
        <w:pStyle w:val="16"/>
        <w:overflowPunct/>
        <w:bidi w:val="0"/>
        <w:outlineLvl w:val="9"/>
        <w:rPr>
          <w:color w:val="000000" w:themeColor="text1"/>
          <w:highlight w:val="none"/>
          <w14:textFill>
            <w14:solidFill>
              <w14:schemeClr w14:val="tx1"/>
            </w14:solidFill>
          </w14:textFill>
        </w:rPr>
      </w:pPr>
    </w:p>
    <w:p w14:paraId="05AEA36B">
      <w:pPr>
        <w:wordWrap w:val="0"/>
        <w:overflowPunct/>
        <w:bidi w:val="0"/>
        <w:spacing w:line="600" w:lineRule="auto"/>
        <w:ind w:firstLine="420" w:firstLineChars="200"/>
        <w:jc w:val="right"/>
        <w:outlineLvl w:val="9"/>
        <w:rPr>
          <w:color w:val="000000" w:themeColor="text1"/>
          <w:szCs w:val="21"/>
          <w:highlight w:val="none"/>
          <w14:textFill>
            <w14:solidFill>
              <w14:schemeClr w14:val="tx1"/>
            </w14:solidFill>
          </w14:textFill>
        </w:rPr>
      </w:pPr>
      <w:r>
        <w:rPr>
          <w:color w:val="000000" w:themeColor="text1"/>
          <w:szCs w:val="21"/>
          <w:highlight w:val="none"/>
          <w14:textFill>
            <w14:solidFill>
              <w14:schemeClr w14:val="tx1"/>
            </w14:solidFill>
          </w14:textFill>
        </w:rPr>
        <w:t xml:space="preserve">        </w:t>
      </w:r>
    </w:p>
    <w:p w14:paraId="3ADBC918">
      <w:pPr>
        <w:overflowPunct/>
        <w:bidi w:val="0"/>
        <w:snapToGrid w:val="0"/>
        <w:jc w:val="center"/>
        <w:outlineLvl w:val="9"/>
        <w:rPr>
          <w:color w:val="000000" w:themeColor="text1"/>
          <w:sz w:val="32"/>
          <w:szCs w:val="32"/>
          <w:highlight w:val="none"/>
          <w14:textFill>
            <w14:solidFill>
              <w14:schemeClr w14:val="tx1"/>
            </w14:solidFill>
          </w14:textFill>
        </w:rPr>
      </w:pPr>
    </w:p>
    <w:p w14:paraId="2FEC5E76">
      <w:pPr>
        <w:overflowPunct/>
        <w:bidi w:val="0"/>
        <w:snapToGrid w:val="0"/>
        <w:jc w:val="center"/>
        <w:outlineLvl w:val="9"/>
        <w:rPr>
          <w:b/>
          <w:color w:val="000000" w:themeColor="text1"/>
          <w:sz w:val="32"/>
          <w:szCs w:val="32"/>
          <w:highlight w:val="none"/>
          <w14:textFill>
            <w14:solidFill>
              <w14:schemeClr w14:val="tx1"/>
            </w14:solidFill>
          </w14:textFill>
        </w:rPr>
      </w:pPr>
    </w:p>
    <w:p w14:paraId="0C590F44">
      <w:pPr>
        <w:overflowPunct/>
        <w:bidi w:val="0"/>
        <w:snapToGrid w:val="0"/>
        <w:jc w:val="center"/>
        <w:outlineLvl w:val="9"/>
        <w:rPr>
          <w:rFonts w:hint="eastAsia"/>
          <w:b/>
          <w:color w:val="000000" w:themeColor="text1"/>
          <w:sz w:val="32"/>
          <w:szCs w:val="32"/>
          <w:highlight w:val="none"/>
          <w14:textFill>
            <w14:solidFill>
              <w14:schemeClr w14:val="tx1"/>
            </w14:solidFill>
          </w14:textFill>
        </w:rPr>
      </w:pPr>
      <w:r>
        <w:rPr>
          <w:b/>
          <w:color w:val="000000" w:themeColor="text1"/>
          <w:sz w:val="32"/>
          <w:szCs w:val="32"/>
          <w:highlight w:val="none"/>
          <w14:textFill>
            <w14:solidFill>
              <w14:schemeClr w14:val="tx1"/>
            </w14:solidFill>
          </w14:textFill>
        </w:rPr>
        <w:br w:type="page"/>
      </w:r>
      <w:bookmarkStart w:id="51" w:name="_Toc65587250"/>
      <w:r>
        <w:rPr>
          <w:b/>
          <w:color w:val="000000" w:themeColor="text1"/>
          <w:sz w:val="32"/>
          <w:szCs w:val="32"/>
          <w:highlight w:val="none"/>
          <w14:textFill>
            <w14:solidFill>
              <w14:schemeClr w14:val="tx1"/>
            </w14:solidFill>
          </w14:textFill>
        </w:rPr>
        <w:t>二、法定代表人</w:t>
      </w:r>
      <w:r>
        <w:rPr>
          <w:rFonts w:hint="eastAsia"/>
          <w:b/>
          <w:color w:val="000000" w:themeColor="text1"/>
          <w:sz w:val="32"/>
          <w:szCs w:val="32"/>
          <w:highlight w:val="none"/>
          <w14:textFill>
            <w14:solidFill>
              <w14:schemeClr w14:val="tx1"/>
            </w14:solidFill>
          </w14:textFill>
        </w:rPr>
        <w:t>资格</w:t>
      </w:r>
      <w:r>
        <w:rPr>
          <w:b/>
          <w:color w:val="000000" w:themeColor="text1"/>
          <w:sz w:val="32"/>
          <w:szCs w:val="32"/>
          <w:highlight w:val="none"/>
          <w14:textFill>
            <w14:solidFill>
              <w14:schemeClr w14:val="tx1"/>
            </w14:solidFill>
          </w14:textFill>
        </w:rPr>
        <w:t>证</w:t>
      </w:r>
      <w:r>
        <w:rPr>
          <w:rFonts w:hint="eastAsia"/>
          <w:b/>
          <w:color w:val="000000" w:themeColor="text1"/>
          <w:sz w:val="32"/>
          <w:szCs w:val="32"/>
          <w:highlight w:val="none"/>
          <w14:textFill>
            <w14:solidFill>
              <w14:schemeClr w14:val="tx1"/>
            </w14:solidFill>
          </w14:textFill>
        </w:rPr>
        <w:t>明</w:t>
      </w:r>
    </w:p>
    <w:p w14:paraId="58D7B8D0">
      <w:pPr>
        <w:overflowPunct/>
        <w:bidi w:val="0"/>
        <w:spacing w:line="276" w:lineRule="auto"/>
        <w:outlineLvl w:val="9"/>
        <w:rPr>
          <w:color w:val="000000" w:themeColor="text1"/>
          <w:szCs w:val="21"/>
          <w:highlight w:val="none"/>
          <w14:textFill>
            <w14:solidFill>
              <w14:schemeClr w14:val="tx1"/>
            </w14:solidFill>
          </w14:textFill>
        </w:rPr>
      </w:pPr>
    </w:p>
    <w:p w14:paraId="6188F9E0">
      <w:pPr>
        <w:overflowPunct/>
        <w:bidi w:val="0"/>
        <w:spacing w:line="276" w:lineRule="auto"/>
        <w:outlineLvl w:val="9"/>
        <w:rPr>
          <w:color w:val="000000" w:themeColor="text1"/>
          <w:szCs w:val="21"/>
          <w:highlight w:val="none"/>
          <w14:textFill>
            <w14:solidFill>
              <w14:schemeClr w14:val="tx1"/>
            </w14:solidFill>
          </w14:textFill>
        </w:rPr>
      </w:pPr>
    </w:p>
    <w:p w14:paraId="37FE23AC">
      <w:pPr>
        <w:overflowPunct/>
        <w:bidi w:val="0"/>
        <w:spacing w:line="276" w:lineRule="auto"/>
        <w:ind w:firstLine="420" w:firstLineChars="200"/>
        <w:outlineLvl w:val="9"/>
        <w:rPr>
          <w:color w:val="000000" w:themeColor="text1"/>
          <w:szCs w:val="21"/>
          <w:highlight w:val="none"/>
          <w:u w:val="single"/>
          <w14:textFill>
            <w14:solidFill>
              <w14:schemeClr w14:val="tx1"/>
            </w14:solidFill>
          </w14:textFill>
        </w:rPr>
      </w:pPr>
      <w:r>
        <w:rPr>
          <w:rFonts w:hint="eastAsia"/>
          <w:color w:val="000000" w:themeColor="text1"/>
          <w:szCs w:val="21"/>
          <w:highlight w:val="none"/>
          <w14:textFill>
            <w14:solidFill>
              <w14:schemeClr w14:val="tx1"/>
            </w14:solidFill>
          </w14:textFill>
        </w:rPr>
        <w:t>供应商</w:t>
      </w:r>
      <w:r>
        <w:rPr>
          <w:color w:val="000000" w:themeColor="text1"/>
          <w:szCs w:val="21"/>
          <w:highlight w:val="none"/>
          <w14:textFill>
            <w14:solidFill>
              <w14:schemeClr w14:val="tx1"/>
            </w14:solidFill>
          </w14:textFill>
        </w:rPr>
        <w:t>单位名称：</w:t>
      </w:r>
      <w:r>
        <w:rPr>
          <w:color w:val="000000" w:themeColor="text1"/>
          <w:szCs w:val="21"/>
          <w:highlight w:val="none"/>
          <w:u w:val="single"/>
          <w14:textFill>
            <w14:solidFill>
              <w14:schemeClr w14:val="tx1"/>
            </w14:solidFill>
          </w14:textFill>
        </w:rPr>
        <w:t xml:space="preserve">                                           </w:t>
      </w:r>
    </w:p>
    <w:p w14:paraId="37AED586">
      <w:pPr>
        <w:overflowPunct/>
        <w:bidi w:val="0"/>
        <w:spacing w:line="276" w:lineRule="auto"/>
        <w:outlineLvl w:val="9"/>
        <w:rPr>
          <w:color w:val="000000" w:themeColor="text1"/>
          <w:szCs w:val="21"/>
          <w:highlight w:val="none"/>
          <w14:textFill>
            <w14:solidFill>
              <w14:schemeClr w14:val="tx1"/>
            </w14:solidFill>
          </w14:textFill>
        </w:rPr>
      </w:pPr>
    </w:p>
    <w:p w14:paraId="32B3162F">
      <w:pPr>
        <w:overflowPunct/>
        <w:bidi w:val="0"/>
        <w:spacing w:line="276" w:lineRule="auto"/>
        <w:ind w:firstLine="420" w:firstLineChars="200"/>
        <w:outlineLvl w:val="9"/>
        <w:rPr>
          <w:color w:val="000000" w:themeColor="text1"/>
          <w:szCs w:val="21"/>
          <w:highlight w:val="none"/>
          <w:u w:val="single"/>
          <w14:textFill>
            <w14:solidFill>
              <w14:schemeClr w14:val="tx1"/>
            </w14:solidFill>
          </w14:textFill>
        </w:rPr>
      </w:pPr>
      <w:r>
        <w:rPr>
          <w:color w:val="000000" w:themeColor="text1"/>
          <w:szCs w:val="21"/>
          <w:highlight w:val="none"/>
          <w14:textFill>
            <w14:solidFill>
              <w14:schemeClr w14:val="tx1"/>
            </w14:solidFill>
          </w14:textFill>
        </w:rPr>
        <w:t>单位性质：</w:t>
      </w:r>
      <w:r>
        <w:rPr>
          <w:color w:val="000000" w:themeColor="text1"/>
          <w:szCs w:val="21"/>
          <w:highlight w:val="none"/>
          <w:u w:val="single"/>
          <w14:textFill>
            <w14:solidFill>
              <w14:schemeClr w14:val="tx1"/>
            </w14:solidFill>
          </w14:textFill>
        </w:rPr>
        <w:t xml:space="preserve">                                           </w:t>
      </w:r>
    </w:p>
    <w:p w14:paraId="43E61DD9">
      <w:pPr>
        <w:overflowPunct/>
        <w:bidi w:val="0"/>
        <w:spacing w:line="276" w:lineRule="auto"/>
        <w:outlineLvl w:val="9"/>
        <w:rPr>
          <w:color w:val="000000" w:themeColor="text1"/>
          <w:szCs w:val="21"/>
          <w:highlight w:val="none"/>
          <w14:textFill>
            <w14:solidFill>
              <w14:schemeClr w14:val="tx1"/>
            </w14:solidFill>
          </w14:textFill>
        </w:rPr>
      </w:pPr>
    </w:p>
    <w:p w14:paraId="16897A4D">
      <w:pPr>
        <w:overflowPunct/>
        <w:bidi w:val="0"/>
        <w:spacing w:line="276" w:lineRule="auto"/>
        <w:ind w:firstLine="420" w:firstLineChars="200"/>
        <w:outlineLvl w:val="9"/>
        <w:rPr>
          <w:color w:val="000000" w:themeColor="text1"/>
          <w:szCs w:val="21"/>
          <w:highlight w:val="none"/>
          <w:u w:val="single"/>
          <w14:textFill>
            <w14:solidFill>
              <w14:schemeClr w14:val="tx1"/>
            </w14:solidFill>
          </w14:textFill>
        </w:rPr>
      </w:pPr>
      <w:r>
        <w:rPr>
          <w:color w:val="000000" w:themeColor="text1"/>
          <w:szCs w:val="21"/>
          <w:highlight w:val="none"/>
          <w14:textFill>
            <w14:solidFill>
              <w14:schemeClr w14:val="tx1"/>
            </w14:solidFill>
          </w14:textFill>
        </w:rPr>
        <w:t>地    址：</w:t>
      </w:r>
      <w:r>
        <w:rPr>
          <w:color w:val="000000" w:themeColor="text1"/>
          <w:szCs w:val="21"/>
          <w:highlight w:val="none"/>
          <w:u w:val="single"/>
          <w14:textFill>
            <w14:solidFill>
              <w14:schemeClr w14:val="tx1"/>
            </w14:solidFill>
          </w14:textFill>
        </w:rPr>
        <w:t xml:space="preserve">                                           </w:t>
      </w:r>
    </w:p>
    <w:p w14:paraId="256E0E49">
      <w:pPr>
        <w:overflowPunct/>
        <w:bidi w:val="0"/>
        <w:spacing w:line="276" w:lineRule="auto"/>
        <w:outlineLvl w:val="9"/>
        <w:rPr>
          <w:color w:val="000000" w:themeColor="text1"/>
          <w:szCs w:val="21"/>
          <w:highlight w:val="none"/>
          <w14:textFill>
            <w14:solidFill>
              <w14:schemeClr w14:val="tx1"/>
            </w14:solidFill>
          </w14:textFill>
        </w:rPr>
      </w:pPr>
    </w:p>
    <w:p w14:paraId="548ACCF3">
      <w:pPr>
        <w:overflowPunct/>
        <w:bidi w:val="0"/>
        <w:spacing w:line="276" w:lineRule="auto"/>
        <w:ind w:firstLine="420" w:firstLineChars="200"/>
        <w:outlineLvl w:val="9"/>
        <w:rPr>
          <w:color w:val="000000" w:themeColor="text1"/>
          <w:szCs w:val="21"/>
          <w:highlight w:val="none"/>
          <w14:textFill>
            <w14:solidFill>
              <w14:schemeClr w14:val="tx1"/>
            </w14:solidFill>
          </w14:textFill>
        </w:rPr>
      </w:pPr>
      <w:r>
        <w:rPr>
          <w:color w:val="000000" w:themeColor="text1"/>
          <w:szCs w:val="21"/>
          <w:highlight w:val="none"/>
          <w14:textFill>
            <w14:solidFill>
              <w14:schemeClr w14:val="tx1"/>
            </w14:solidFill>
          </w14:textFill>
        </w:rPr>
        <w:t>成立时间：</w:t>
      </w:r>
      <w:r>
        <w:rPr>
          <w:color w:val="000000" w:themeColor="text1"/>
          <w:szCs w:val="21"/>
          <w:highlight w:val="none"/>
          <w:u w:val="single"/>
          <w14:textFill>
            <w14:solidFill>
              <w14:schemeClr w14:val="tx1"/>
            </w14:solidFill>
          </w14:textFill>
        </w:rPr>
        <w:t xml:space="preserve">                  </w:t>
      </w:r>
      <w:r>
        <w:rPr>
          <w:color w:val="000000" w:themeColor="text1"/>
          <w:szCs w:val="21"/>
          <w:highlight w:val="none"/>
          <w14:textFill>
            <w14:solidFill>
              <w14:schemeClr w14:val="tx1"/>
            </w14:solidFill>
          </w14:textFill>
        </w:rPr>
        <w:t>年</w:t>
      </w:r>
      <w:r>
        <w:rPr>
          <w:color w:val="000000" w:themeColor="text1"/>
          <w:szCs w:val="21"/>
          <w:highlight w:val="none"/>
          <w:u w:val="single"/>
          <w14:textFill>
            <w14:solidFill>
              <w14:schemeClr w14:val="tx1"/>
            </w14:solidFill>
          </w14:textFill>
        </w:rPr>
        <w:t xml:space="preserve">          </w:t>
      </w:r>
      <w:r>
        <w:rPr>
          <w:color w:val="000000" w:themeColor="text1"/>
          <w:szCs w:val="21"/>
          <w:highlight w:val="none"/>
          <w14:textFill>
            <w14:solidFill>
              <w14:schemeClr w14:val="tx1"/>
            </w14:solidFill>
          </w14:textFill>
        </w:rPr>
        <w:t>月</w:t>
      </w:r>
      <w:r>
        <w:rPr>
          <w:color w:val="000000" w:themeColor="text1"/>
          <w:szCs w:val="21"/>
          <w:highlight w:val="none"/>
          <w:u w:val="single"/>
          <w14:textFill>
            <w14:solidFill>
              <w14:schemeClr w14:val="tx1"/>
            </w14:solidFill>
          </w14:textFill>
        </w:rPr>
        <w:t xml:space="preserve">          </w:t>
      </w:r>
      <w:r>
        <w:rPr>
          <w:color w:val="000000" w:themeColor="text1"/>
          <w:szCs w:val="21"/>
          <w:highlight w:val="none"/>
          <w14:textFill>
            <w14:solidFill>
              <w14:schemeClr w14:val="tx1"/>
            </w14:solidFill>
          </w14:textFill>
        </w:rPr>
        <w:t>日</w:t>
      </w:r>
    </w:p>
    <w:p w14:paraId="6D6EE74C">
      <w:pPr>
        <w:overflowPunct/>
        <w:bidi w:val="0"/>
        <w:spacing w:line="276" w:lineRule="auto"/>
        <w:outlineLvl w:val="9"/>
        <w:rPr>
          <w:color w:val="000000" w:themeColor="text1"/>
          <w:szCs w:val="21"/>
          <w:highlight w:val="none"/>
          <w14:textFill>
            <w14:solidFill>
              <w14:schemeClr w14:val="tx1"/>
            </w14:solidFill>
          </w14:textFill>
        </w:rPr>
      </w:pPr>
    </w:p>
    <w:p w14:paraId="04A15BB7">
      <w:pPr>
        <w:overflowPunct/>
        <w:bidi w:val="0"/>
        <w:spacing w:line="276" w:lineRule="auto"/>
        <w:ind w:firstLine="420" w:firstLineChars="200"/>
        <w:outlineLvl w:val="9"/>
        <w:rPr>
          <w:color w:val="000000" w:themeColor="text1"/>
          <w:szCs w:val="21"/>
          <w:highlight w:val="none"/>
          <w:u w:val="single"/>
          <w14:textFill>
            <w14:solidFill>
              <w14:schemeClr w14:val="tx1"/>
            </w14:solidFill>
          </w14:textFill>
        </w:rPr>
      </w:pPr>
      <w:r>
        <w:rPr>
          <w:color w:val="000000" w:themeColor="text1"/>
          <w:szCs w:val="21"/>
          <w:highlight w:val="none"/>
          <w14:textFill>
            <w14:solidFill>
              <w14:schemeClr w14:val="tx1"/>
            </w14:solidFill>
          </w14:textFill>
        </w:rPr>
        <w:t>经营期限：</w:t>
      </w:r>
      <w:r>
        <w:rPr>
          <w:color w:val="000000" w:themeColor="text1"/>
          <w:szCs w:val="21"/>
          <w:highlight w:val="none"/>
          <w:u w:val="single"/>
          <w14:textFill>
            <w14:solidFill>
              <w14:schemeClr w14:val="tx1"/>
            </w14:solidFill>
          </w14:textFill>
        </w:rPr>
        <w:t xml:space="preserve">                                           </w:t>
      </w:r>
    </w:p>
    <w:p w14:paraId="42596934">
      <w:pPr>
        <w:overflowPunct/>
        <w:bidi w:val="0"/>
        <w:spacing w:line="276" w:lineRule="auto"/>
        <w:outlineLvl w:val="9"/>
        <w:rPr>
          <w:color w:val="000000" w:themeColor="text1"/>
          <w:szCs w:val="21"/>
          <w:highlight w:val="none"/>
          <w14:textFill>
            <w14:solidFill>
              <w14:schemeClr w14:val="tx1"/>
            </w14:solidFill>
          </w14:textFill>
        </w:rPr>
      </w:pPr>
    </w:p>
    <w:p w14:paraId="5722446B">
      <w:pPr>
        <w:overflowPunct/>
        <w:bidi w:val="0"/>
        <w:spacing w:line="276" w:lineRule="auto"/>
        <w:ind w:firstLine="420" w:firstLineChars="200"/>
        <w:outlineLvl w:val="9"/>
        <w:rPr>
          <w:color w:val="000000" w:themeColor="text1"/>
          <w:szCs w:val="21"/>
          <w:highlight w:val="none"/>
          <w14:textFill>
            <w14:solidFill>
              <w14:schemeClr w14:val="tx1"/>
            </w14:solidFill>
          </w14:textFill>
        </w:rPr>
      </w:pPr>
      <w:r>
        <w:rPr>
          <w:color w:val="000000" w:themeColor="text1"/>
          <w:szCs w:val="21"/>
          <w:highlight w:val="none"/>
          <w14:textFill>
            <w14:solidFill>
              <w14:schemeClr w14:val="tx1"/>
            </w14:solidFill>
          </w14:textFill>
        </w:rPr>
        <w:t>姓    名：</w:t>
      </w:r>
      <w:r>
        <w:rPr>
          <w:color w:val="000000" w:themeColor="text1"/>
          <w:szCs w:val="21"/>
          <w:highlight w:val="none"/>
          <w:u w:val="single"/>
          <w14:textFill>
            <w14:solidFill>
              <w14:schemeClr w14:val="tx1"/>
            </w14:solidFill>
          </w14:textFill>
        </w:rPr>
        <w:t xml:space="preserve">        </w:t>
      </w:r>
      <w:r>
        <w:rPr>
          <w:color w:val="000000" w:themeColor="text1"/>
          <w:szCs w:val="21"/>
          <w:highlight w:val="none"/>
          <w14:textFill>
            <w14:solidFill>
              <w14:schemeClr w14:val="tx1"/>
            </w14:solidFill>
          </w14:textFill>
        </w:rPr>
        <w:t xml:space="preserve"> 性别：</w:t>
      </w:r>
      <w:r>
        <w:rPr>
          <w:color w:val="000000" w:themeColor="text1"/>
          <w:szCs w:val="21"/>
          <w:highlight w:val="none"/>
          <w:u w:val="single"/>
          <w14:textFill>
            <w14:solidFill>
              <w14:schemeClr w14:val="tx1"/>
            </w14:solidFill>
          </w14:textFill>
        </w:rPr>
        <w:t xml:space="preserve">        </w:t>
      </w:r>
      <w:r>
        <w:rPr>
          <w:color w:val="000000" w:themeColor="text1"/>
          <w:szCs w:val="21"/>
          <w:highlight w:val="none"/>
          <w14:textFill>
            <w14:solidFill>
              <w14:schemeClr w14:val="tx1"/>
            </w14:solidFill>
          </w14:textFill>
        </w:rPr>
        <w:t xml:space="preserve"> 年龄：</w:t>
      </w:r>
      <w:r>
        <w:rPr>
          <w:color w:val="000000" w:themeColor="text1"/>
          <w:szCs w:val="21"/>
          <w:highlight w:val="none"/>
          <w:u w:val="single"/>
          <w14:textFill>
            <w14:solidFill>
              <w14:schemeClr w14:val="tx1"/>
            </w14:solidFill>
          </w14:textFill>
        </w:rPr>
        <w:t xml:space="preserve">        </w:t>
      </w:r>
      <w:r>
        <w:rPr>
          <w:color w:val="000000" w:themeColor="text1"/>
          <w:szCs w:val="21"/>
          <w:highlight w:val="none"/>
          <w14:textFill>
            <w14:solidFill>
              <w14:schemeClr w14:val="tx1"/>
            </w14:solidFill>
          </w14:textFill>
        </w:rPr>
        <w:t>职务：</w:t>
      </w:r>
      <w:r>
        <w:rPr>
          <w:color w:val="000000" w:themeColor="text1"/>
          <w:szCs w:val="21"/>
          <w:highlight w:val="none"/>
          <w:u w:val="single"/>
          <w14:textFill>
            <w14:solidFill>
              <w14:schemeClr w14:val="tx1"/>
            </w14:solidFill>
          </w14:textFill>
        </w:rPr>
        <w:t xml:space="preserve">        </w:t>
      </w:r>
    </w:p>
    <w:p w14:paraId="45546A5F">
      <w:pPr>
        <w:overflowPunct/>
        <w:bidi w:val="0"/>
        <w:spacing w:line="276" w:lineRule="auto"/>
        <w:outlineLvl w:val="9"/>
        <w:rPr>
          <w:color w:val="000000" w:themeColor="text1"/>
          <w:szCs w:val="21"/>
          <w:highlight w:val="none"/>
          <w14:textFill>
            <w14:solidFill>
              <w14:schemeClr w14:val="tx1"/>
            </w14:solidFill>
          </w14:textFill>
        </w:rPr>
      </w:pPr>
    </w:p>
    <w:p w14:paraId="7BD790DE">
      <w:pPr>
        <w:overflowPunct/>
        <w:bidi w:val="0"/>
        <w:spacing w:line="276" w:lineRule="auto"/>
        <w:ind w:firstLine="420" w:firstLineChars="200"/>
        <w:outlineLvl w:val="9"/>
        <w:rPr>
          <w:color w:val="000000" w:themeColor="text1"/>
          <w:szCs w:val="21"/>
          <w:highlight w:val="none"/>
          <w14:textFill>
            <w14:solidFill>
              <w14:schemeClr w14:val="tx1"/>
            </w14:solidFill>
          </w14:textFill>
        </w:rPr>
      </w:pPr>
      <w:r>
        <w:rPr>
          <w:color w:val="000000" w:themeColor="text1"/>
          <w:szCs w:val="21"/>
          <w:highlight w:val="none"/>
          <w14:textFill>
            <w14:solidFill>
              <w14:schemeClr w14:val="tx1"/>
            </w14:solidFill>
          </w14:textFill>
        </w:rPr>
        <w:t>系</w:t>
      </w:r>
      <w:r>
        <w:rPr>
          <w:color w:val="000000" w:themeColor="text1"/>
          <w:szCs w:val="21"/>
          <w:highlight w:val="none"/>
          <w:u w:val="single"/>
          <w14:textFill>
            <w14:solidFill>
              <w14:schemeClr w14:val="tx1"/>
            </w14:solidFill>
          </w14:textFill>
        </w:rPr>
        <w:t xml:space="preserve">        （</w:t>
      </w:r>
      <w:r>
        <w:rPr>
          <w:rFonts w:hint="eastAsia"/>
          <w:color w:val="000000" w:themeColor="text1"/>
          <w:szCs w:val="21"/>
          <w:highlight w:val="none"/>
          <w:u w:val="single"/>
          <w:lang w:eastAsia="zh-CN"/>
          <w14:textFill>
            <w14:solidFill>
              <w14:schemeClr w14:val="tx1"/>
            </w14:solidFill>
          </w14:textFill>
        </w:rPr>
        <w:t>供应商</w:t>
      </w:r>
      <w:r>
        <w:rPr>
          <w:color w:val="000000" w:themeColor="text1"/>
          <w:szCs w:val="21"/>
          <w:highlight w:val="none"/>
          <w:u w:val="single"/>
          <w14:textFill>
            <w14:solidFill>
              <w14:schemeClr w14:val="tx1"/>
            </w14:solidFill>
          </w14:textFill>
        </w:rPr>
        <w:t xml:space="preserve">单位名称）        </w:t>
      </w:r>
      <w:r>
        <w:rPr>
          <w:color w:val="000000" w:themeColor="text1"/>
          <w:szCs w:val="21"/>
          <w:highlight w:val="none"/>
          <w14:textFill>
            <w14:solidFill>
              <w14:schemeClr w14:val="tx1"/>
            </w14:solidFill>
          </w14:textFill>
        </w:rPr>
        <w:t>的法定代表人。</w:t>
      </w:r>
    </w:p>
    <w:p w14:paraId="24C91A3F">
      <w:pPr>
        <w:overflowPunct/>
        <w:bidi w:val="0"/>
        <w:spacing w:line="276" w:lineRule="auto"/>
        <w:outlineLvl w:val="9"/>
        <w:rPr>
          <w:color w:val="000000" w:themeColor="text1"/>
          <w:szCs w:val="21"/>
          <w:highlight w:val="none"/>
          <w14:textFill>
            <w14:solidFill>
              <w14:schemeClr w14:val="tx1"/>
            </w14:solidFill>
          </w14:textFill>
        </w:rPr>
      </w:pPr>
    </w:p>
    <w:p w14:paraId="1C09862A">
      <w:pPr>
        <w:overflowPunct/>
        <w:bidi w:val="0"/>
        <w:spacing w:line="276" w:lineRule="auto"/>
        <w:outlineLvl w:val="9"/>
        <w:rPr>
          <w:color w:val="000000" w:themeColor="text1"/>
          <w:szCs w:val="21"/>
          <w:highlight w:val="none"/>
          <w14:textFill>
            <w14:solidFill>
              <w14:schemeClr w14:val="tx1"/>
            </w14:solidFill>
          </w14:textFill>
        </w:rPr>
      </w:pPr>
    </w:p>
    <w:p w14:paraId="655237A5">
      <w:pPr>
        <w:overflowPunct/>
        <w:bidi w:val="0"/>
        <w:spacing w:line="276" w:lineRule="auto"/>
        <w:ind w:firstLine="840" w:firstLineChars="400"/>
        <w:outlineLvl w:val="9"/>
        <w:rPr>
          <w:color w:val="000000" w:themeColor="text1"/>
          <w:szCs w:val="21"/>
          <w:highlight w:val="none"/>
          <w14:textFill>
            <w14:solidFill>
              <w14:schemeClr w14:val="tx1"/>
            </w14:solidFill>
          </w14:textFill>
        </w:rPr>
      </w:pPr>
      <w:r>
        <w:rPr>
          <w:color w:val="000000" w:themeColor="text1"/>
          <w:szCs w:val="21"/>
          <w:highlight w:val="none"/>
          <w14:textFill>
            <w14:solidFill>
              <w14:schemeClr w14:val="tx1"/>
            </w14:solidFill>
          </w14:textFill>
        </w:rPr>
        <w:t>特此证明。</w:t>
      </w:r>
    </w:p>
    <w:tbl>
      <w:tblPr>
        <w:tblStyle w:val="38"/>
        <w:tblW w:w="8820" w:type="dxa"/>
        <w:jc w:val="cente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
      <w:tblGrid>
        <w:gridCol w:w="8820"/>
      </w:tblGrid>
      <w:tr w14:paraId="274FEA4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2918" w:hRule="atLeast"/>
          <w:jc w:val="center"/>
        </w:trPr>
        <w:tc>
          <w:tcPr>
            <w:tcW w:w="8820" w:type="dxa"/>
            <w:noWrap w:val="0"/>
            <w:vAlign w:val="top"/>
          </w:tcPr>
          <w:p w14:paraId="45FDC0A1">
            <w:pPr>
              <w:overflowPunct/>
              <w:bidi w:val="0"/>
              <w:spacing w:line="360" w:lineRule="auto"/>
              <w:outlineLvl w:val="9"/>
              <w:rPr>
                <w:color w:val="000000" w:themeColor="text1"/>
                <w:szCs w:val="21"/>
                <w:highlight w:val="none"/>
                <w14:textFill>
                  <w14:solidFill>
                    <w14:schemeClr w14:val="tx1"/>
                  </w14:solidFill>
                </w14:textFill>
              </w:rPr>
            </w:pPr>
            <w:r>
              <w:rPr>
                <w:color w:val="000000" w:themeColor="text1"/>
                <w:szCs w:val="21"/>
                <w:highlight w:val="none"/>
                <w14:textFill>
                  <w14:solidFill>
                    <w14:schemeClr w14:val="tx1"/>
                  </w14:solidFill>
                </w14:textFill>
              </w:rPr>
              <w:t>附：法定代表人身份证复印件</w:t>
            </w:r>
          </w:p>
        </w:tc>
      </w:tr>
    </w:tbl>
    <w:p w14:paraId="29249712">
      <w:pPr>
        <w:overflowPunct/>
        <w:bidi w:val="0"/>
        <w:spacing w:line="360" w:lineRule="auto"/>
        <w:outlineLvl w:val="9"/>
        <w:rPr>
          <w:color w:val="000000" w:themeColor="text1"/>
          <w:szCs w:val="21"/>
          <w:highlight w:val="none"/>
          <w14:textFill>
            <w14:solidFill>
              <w14:schemeClr w14:val="tx1"/>
            </w14:solidFill>
          </w14:textFill>
        </w:rPr>
      </w:pPr>
      <w:r>
        <w:rPr>
          <w:color w:val="000000" w:themeColor="text1"/>
          <w:szCs w:val="21"/>
          <w:highlight w:val="none"/>
          <w14:textFill>
            <w14:solidFill>
              <w14:schemeClr w14:val="tx1"/>
            </w14:solidFill>
          </w14:textFill>
        </w:rPr>
        <w:t xml:space="preserve">                                              </w:t>
      </w:r>
    </w:p>
    <w:p w14:paraId="34B98412">
      <w:pPr>
        <w:overflowPunct/>
        <w:bidi w:val="0"/>
        <w:spacing w:line="600" w:lineRule="auto"/>
        <w:ind w:firstLine="4830" w:firstLineChars="2300"/>
        <w:jc w:val="right"/>
        <w:outlineLvl w:val="9"/>
        <w:rPr>
          <w:color w:val="000000" w:themeColor="text1"/>
          <w:szCs w:val="21"/>
          <w:highlight w:val="none"/>
          <w14:textFill>
            <w14:solidFill>
              <w14:schemeClr w14:val="tx1"/>
            </w14:solidFill>
          </w14:textFill>
        </w:rPr>
      </w:pPr>
      <w:r>
        <w:rPr>
          <w:rFonts w:hint="eastAsia"/>
          <w:color w:val="000000" w:themeColor="text1"/>
          <w:szCs w:val="21"/>
          <w:highlight w:val="none"/>
          <w:lang w:eastAsia="zh-CN"/>
          <w14:textFill>
            <w14:solidFill>
              <w14:schemeClr w14:val="tx1"/>
            </w14:solidFill>
          </w14:textFill>
        </w:rPr>
        <w:t>供应商</w:t>
      </w:r>
      <w:r>
        <w:rPr>
          <w:color w:val="000000" w:themeColor="text1"/>
          <w:szCs w:val="21"/>
          <w:highlight w:val="none"/>
          <w14:textFill>
            <w14:solidFill>
              <w14:schemeClr w14:val="tx1"/>
            </w14:solidFill>
          </w14:textFill>
        </w:rPr>
        <w:t>：</w:t>
      </w:r>
      <w:r>
        <w:rPr>
          <w:color w:val="000000" w:themeColor="text1"/>
          <w:szCs w:val="21"/>
          <w:highlight w:val="none"/>
          <w:u w:val="single"/>
          <w14:textFill>
            <w14:solidFill>
              <w14:schemeClr w14:val="tx1"/>
            </w14:solidFill>
          </w14:textFill>
        </w:rPr>
        <w:t xml:space="preserve">                    </w:t>
      </w:r>
      <w:r>
        <w:rPr>
          <w:color w:val="000000" w:themeColor="text1"/>
          <w:szCs w:val="21"/>
          <w:highlight w:val="none"/>
          <w14:textFill>
            <w14:solidFill>
              <w14:schemeClr w14:val="tx1"/>
            </w14:solidFill>
          </w14:textFill>
        </w:rPr>
        <w:t>（公章）</w:t>
      </w:r>
    </w:p>
    <w:p w14:paraId="5C580856">
      <w:pPr>
        <w:overflowPunct/>
        <w:bidi w:val="0"/>
        <w:spacing w:line="600" w:lineRule="auto"/>
        <w:ind w:firstLine="4830" w:firstLineChars="2300"/>
        <w:jc w:val="right"/>
        <w:outlineLvl w:val="9"/>
        <w:rPr>
          <w:color w:val="000000" w:themeColor="text1"/>
          <w:szCs w:val="21"/>
          <w:highlight w:val="none"/>
          <w14:textFill>
            <w14:solidFill>
              <w14:schemeClr w14:val="tx1"/>
            </w14:solidFill>
          </w14:textFill>
        </w:rPr>
      </w:pPr>
      <w:r>
        <w:rPr>
          <w:color w:val="000000" w:themeColor="text1"/>
          <w:szCs w:val="21"/>
          <w:highlight w:val="none"/>
          <w14:textFill>
            <w14:solidFill>
              <w14:schemeClr w14:val="tx1"/>
            </w14:solidFill>
          </w14:textFill>
        </w:rPr>
        <w:t>法定代表人：</w:t>
      </w:r>
      <w:r>
        <w:rPr>
          <w:color w:val="000000" w:themeColor="text1"/>
          <w:szCs w:val="21"/>
          <w:highlight w:val="none"/>
          <w:u w:val="single"/>
          <w14:textFill>
            <w14:solidFill>
              <w14:schemeClr w14:val="tx1"/>
            </w14:solidFill>
          </w14:textFill>
        </w:rPr>
        <w:t xml:space="preserve">                </w:t>
      </w:r>
      <w:r>
        <w:rPr>
          <w:color w:val="000000" w:themeColor="text1"/>
          <w:szCs w:val="21"/>
          <w:highlight w:val="none"/>
          <w14:textFill>
            <w14:solidFill>
              <w14:schemeClr w14:val="tx1"/>
            </w14:solidFill>
          </w14:textFill>
        </w:rPr>
        <w:t>（盖章）</w:t>
      </w:r>
    </w:p>
    <w:p w14:paraId="638C5EEC">
      <w:pPr>
        <w:wordWrap w:val="0"/>
        <w:overflowPunct/>
        <w:bidi w:val="0"/>
        <w:spacing w:line="600" w:lineRule="auto"/>
        <w:jc w:val="right"/>
        <w:outlineLvl w:val="9"/>
        <w:rPr>
          <w:color w:val="000000" w:themeColor="text1"/>
          <w:szCs w:val="21"/>
          <w:highlight w:val="none"/>
          <w14:textFill>
            <w14:solidFill>
              <w14:schemeClr w14:val="tx1"/>
            </w14:solidFill>
          </w14:textFill>
        </w:rPr>
      </w:pPr>
      <w:r>
        <w:rPr>
          <w:color w:val="000000" w:themeColor="text1"/>
          <w:szCs w:val="21"/>
          <w:highlight w:val="none"/>
          <w14:textFill>
            <w14:solidFill>
              <w14:schemeClr w14:val="tx1"/>
            </w14:solidFill>
          </w14:textFill>
        </w:rPr>
        <w:t xml:space="preserve">日   期：    年    月    日     </w:t>
      </w:r>
    </w:p>
    <w:p w14:paraId="6AABD029">
      <w:pPr>
        <w:overflowPunct/>
        <w:bidi w:val="0"/>
        <w:jc w:val="center"/>
        <w:outlineLvl w:val="9"/>
        <w:rPr>
          <w:rFonts w:hint="eastAsia"/>
          <w:b/>
          <w:color w:val="000000" w:themeColor="text1"/>
          <w:sz w:val="32"/>
          <w:szCs w:val="32"/>
          <w:highlight w:val="none"/>
          <w14:textFill>
            <w14:solidFill>
              <w14:schemeClr w14:val="tx1"/>
            </w14:solidFill>
          </w14:textFill>
        </w:rPr>
      </w:pPr>
      <w:r>
        <w:rPr>
          <w:color w:val="000000" w:themeColor="text1"/>
          <w:szCs w:val="21"/>
          <w:highlight w:val="none"/>
          <w14:textFill>
            <w14:solidFill>
              <w14:schemeClr w14:val="tx1"/>
            </w14:solidFill>
          </w14:textFill>
        </w:rPr>
        <w:br w:type="page"/>
      </w:r>
      <w:bookmarkStart w:id="52" w:name="_Toc511207283"/>
      <w:bookmarkStart w:id="53" w:name="_Toc449685252"/>
      <w:bookmarkStart w:id="54" w:name="_Toc402425837"/>
      <w:r>
        <w:rPr>
          <w:b/>
          <w:color w:val="000000" w:themeColor="text1"/>
          <w:sz w:val="32"/>
          <w:szCs w:val="32"/>
          <w:highlight w:val="none"/>
          <w14:textFill>
            <w14:solidFill>
              <w14:schemeClr w14:val="tx1"/>
            </w14:solidFill>
          </w14:textFill>
        </w:rPr>
        <w:t>三、授权委托书</w:t>
      </w:r>
      <w:bookmarkEnd w:id="52"/>
      <w:bookmarkEnd w:id="53"/>
      <w:bookmarkEnd w:id="54"/>
    </w:p>
    <w:p w14:paraId="6E617301">
      <w:pPr>
        <w:overflowPunct/>
        <w:bidi w:val="0"/>
        <w:spacing w:line="360" w:lineRule="auto"/>
        <w:outlineLvl w:val="9"/>
        <w:rPr>
          <w:color w:val="000000" w:themeColor="text1"/>
          <w:sz w:val="16"/>
          <w:szCs w:val="21"/>
          <w:highlight w:val="none"/>
          <w14:textFill>
            <w14:solidFill>
              <w14:schemeClr w14:val="tx1"/>
            </w14:solidFill>
          </w14:textFill>
        </w:rPr>
      </w:pPr>
    </w:p>
    <w:p w14:paraId="7CD1FE99">
      <w:pPr>
        <w:overflowPunct/>
        <w:bidi w:val="0"/>
        <w:spacing w:line="480" w:lineRule="auto"/>
        <w:ind w:firstLine="420" w:firstLineChars="200"/>
        <w:outlineLvl w:val="9"/>
        <w:rPr>
          <w:color w:val="000000" w:themeColor="text1"/>
          <w:szCs w:val="21"/>
          <w:highlight w:val="none"/>
          <w14:textFill>
            <w14:solidFill>
              <w14:schemeClr w14:val="tx1"/>
            </w14:solidFill>
          </w14:textFill>
        </w:rPr>
      </w:pPr>
      <w:r>
        <w:rPr>
          <w:color w:val="000000" w:themeColor="text1"/>
          <w:szCs w:val="21"/>
          <w:highlight w:val="none"/>
          <w14:textFill>
            <w14:solidFill>
              <w14:schemeClr w14:val="tx1"/>
            </w14:solidFill>
          </w14:textFill>
        </w:rPr>
        <w:t>本授权委托书声明：</w:t>
      </w:r>
    </w:p>
    <w:p w14:paraId="4198E421">
      <w:pPr>
        <w:overflowPunct/>
        <w:bidi w:val="0"/>
        <w:spacing w:line="480" w:lineRule="auto"/>
        <w:ind w:firstLine="420" w:firstLineChars="200"/>
        <w:outlineLvl w:val="9"/>
        <w:rPr>
          <w:color w:val="000000" w:themeColor="text1"/>
          <w:szCs w:val="21"/>
          <w:highlight w:val="none"/>
          <w14:textFill>
            <w14:solidFill>
              <w14:schemeClr w14:val="tx1"/>
            </w14:solidFill>
          </w14:textFill>
        </w:rPr>
      </w:pPr>
      <w:r>
        <w:rPr>
          <w:color w:val="000000" w:themeColor="text1"/>
          <w:szCs w:val="21"/>
          <w:highlight w:val="none"/>
          <w14:textFill>
            <w14:solidFill>
              <w14:schemeClr w14:val="tx1"/>
            </w14:solidFill>
          </w14:textFill>
        </w:rPr>
        <w:t>我</w:t>
      </w:r>
      <w:r>
        <w:rPr>
          <w:color w:val="000000" w:themeColor="text1"/>
          <w:szCs w:val="21"/>
          <w:highlight w:val="none"/>
          <w:u w:val="single"/>
          <w14:textFill>
            <w14:solidFill>
              <w14:schemeClr w14:val="tx1"/>
            </w14:solidFill>
          </w14:textFill>
        </w:rPr>
        <w:t xml:space="preserve">        </w:t>
      </w:r>
      <w:r>
        <w:rPr>
          <w:color w:val="000000" w:themeColor="text1"/>
          <w:szCs w:val="21"/>
          <w:highlight w:val="none"/>
          <w14:textFill>
            <w14:solidFill>
              <w14:schemeClr w14:val="tx1"/>
            </w14:solidFill>
          </w14:textFill>
        </w:rPr>
        <w:t>（姓名）系</w:t>
      </w:r>
      <w:r>
        <w:rPr>
          <w:color w:val="000000" w:themeColor="text1"/>
          <w:szCs w:val="21"/>
          <w:highlight w:val="none"/>
          <w:u w:val="single"/>
          <w14:textFill>
            <w14:solidFill>
              <w14:schemeClr w14:val="tx1"/>
            </w14:solidFill>
          </w14:textFill>
        </w:rPr>
        <w:t xml:space="preserve">                    </w:t>
      </w:r>
      <w:r>
        <w:rPr>
          <w:color w:val="000000" w:themeColor="text1"/>
          <w:szCs w:val="21"/>
          <w:highlight w:val="none"/>
          <w14:textFill>
            <w14:solidFill>
              <w14:schemeClr w14:val="tx1"/>
            </w14:solidFill>
          </w14:textFill>
        </w:rPr>
        <w:t>（</w:t>
      </w:r>
      <w:r>
        <w:rPr>
          <w:rFonts w:hint="eastAsia"/>
          <w:color w:val="000000" w:themeColor="text1"/>
          <w:szCs w:val="21"/>
          <w:highlight w:val="none"/>
          <w:lang w:eastAsia="zh-CN"/>
          <w14:textFill>
            <w14:solidFill>
              <w14:schemeClr w14:val="tx1"/>
            </w14:solidFill>
          </w14:textFill>
        </w:rPr>
        <w:t>供应商</w:t>
      </w:r>
      <w:r>
        <w:rPr>
          <w:color w:val="000000" w:themeColor="text1"/>
          <w:szCs w:val="21"/>
          <w:highlight w:val="none"/>
          <w14:textFill>
            <w14:solidFill>
              <w14:schemeClr w14:val="tx1"/>
            </w14:solidFill>
          </w14:textFill>
        </w:rPr>
        <w:t>名称）的法定代表人，现授权委托</w:t>
      </w:r>
      <w:r>
        <w:rPr>
          <w:color w:val="000000" w:themeColor="text1"/>
          <w:szCs w:val="21"/>
          <w:highlight w:val="none"/>
          <w:u w:val="single"/>
          <w14:textFill>
            <w14:solidFill>
              <w14:schemeClr w14:val="tx1"/>
            </w14:solidFill>
          </w14:textFill>
        </w:rPr>
        <w:t xml:space="preserve">        </w:t>
      </w:r>
      <w:r>
        <w:rPr>
          <w:color w:val="000000" w:themeColor="text1"/>
          <w:szCs w:val="21"/>
          <w:highlight w:val="none"/>
          <w14:textFill>
            <w14:solidFill>
              <w14:schemeClr w14:val="tx1"/>
            </w14:solidFill>
          </w14:textFill>
        </w:rPr>
        <w:t>（姓名）为我公司代表，以</w:t>
      </w:r>
      <w:r>
        <w:rPr>
          <w:color w:val="000000" w:themeColor="text1"/>
          <w:szCs w:val="21"/>
          <w:highlight w:val="none"/>
          <w:u w:val="single"/>
          <w14:textFill>
            <w14:solidFill>
              <w14:schemeClr w14:val="tx1"/>
            </w14:solidFill>
          </w14:textFill>
        </w:rPr>
        <w:t xml:space="preserve">         </w:t>
      </w:r>
      <w:r>
        <w:rPr>
          <w:color w:val="000000" w:themeColor="text1"/>
          <w:szCs w:val="21"/>
          <w:highlight w:val="none"/>
          <w14:textFill>
            <w14:solidFill>
              <w14:schemeClr w14:val="tx1"/>
            </w14:solidFill>
          </w14:textFill>
        </w:rPr>
        <w:t>（</w:t>
      </w:r>
      <w:r>
        <w:rPr>
          <w:rFonts w:hint="eastAsia"/>
          <w:color w:val="000000" w:themeColor="text1"/>
          <w:szCs w:val="21"/>
          <w:highlight w:val="none"/>
          <w:lang w:eastAsia="zh-CN"/>
          <w14:textFill>
            <w14:solidFill>
              <w14:schemeClr w14:val="tx1"/>
            </w14:solidFill>
          </w14:textFill>
        </w:rPr>
        <w:t>供应商</w:t>
      </w:r>
      <w:r>
        <w:rPr>
          <w:color w:val="000000" w:themeColor="text1"/>
          <w:szCs w:val="21"/>
          <w:highlight w:val="none"/>
          <w14:textFill>
            <w14:solidFill>
              <w14:schemeClr w14:val="tx1"/>
            </w14:solidFill>
          </w14:textFill>
        </w:rPr>
        <w:t>名称）的名义参加</w:t>
      </w:r>
      <w:r>
        <w:rPr>
          <w:color w:val="000000" w:themeColor="text1"/>
          <w:szCs w:val="21"/>
          <w:highlight w:val="none"/>
          <w:u w:val="single"/>
          <w14:textFill>
            <w14:solidFill>
              <w14:schemeClr w14:val="tx1"/>
            </w14:solidFill>
          </w14:textFill>
        </w:rPr>
        <w:t xml:space="preserve">           </w:t>
      </w:r>
      <w:r>
        <w:rPr>
          <w:color w:val="000000" w:themeColor="text1"/>
          <w:szCs w:val="21"/>
          <w:highlight w:val="none"/>
          <w14:textFill>
            <w14:solidFill>
              <w14:schemeClr w14:val="tx1"/>
            </w14:solidFill>
          </w14:textFill>
        </w:rPr>
        <w:t>（项目名称）投标活动。</w:t>
      </w:r>
    </w:p>
    <w:p w14:paraId="7D31FFCC">
      <w:pPr>
        <w:overflowPunct/>
        <w:bidi w:val="0"/>
        <w:spacing w:line="480" w:lineRule="auto"/>
        <w:ind w:firstLine="420" w:firstLineChars="200"/>
        <w:outlineLvl w:val="9"/>
        <w:rPr>
          <w:color w:val="000000" w:themeColor="text1"/>
          <w:szCs w:val="21"/>
          <w:highlight w:val="none"/>
          <w14:textFill>
            <w14:solidFill>
              <w14:schemeClr w14:val="tx1"/>
            </w14:solidFill>
          </w14:textFill>
        </w:rPr>
      </w:pPr>
      <w:r>
        <w:rPr>
          <w:color w:val="000000" w:themeColor="text1"/>
          <w:szCs w:val="21"/>
          <w:highlight w:val="none"/>
          <w14:textFill>
            <w14:solidFill>
              <w14:schemeClr w14:val="tx1"/>
            </w14:solidFill>
          </w14:textFill>
        </w:rPr>
        <w:t>委托代理人在</w:t>
      </w:r>
      <w:r>
        <w:rPr>
          <w:rFonts w:hint="eastAsia"/>
          <w:color w:val="000000" w:themeColor="text1"/>
          <w:szCs w:val="21"/>
          <w:highlight w:val="none"/>
          <w14:textFill>
            <w14:solidFill>
              <w14:schemeClr w14:val="tx1"/>
            </w14:solidFill>
          </w14:textFill>
        </w:rPr>
        <w:t>磋商、评审</w:t>
      </w:r>
      <w:r>
        <w:rPr>
          <w:color w:val="000000" w:themeColor="text1"/>
          <w:szCs w:val="21"/>
          <w:highlight w:val="none"/>
          <w14:textFill>
            <w14:solidFill>
              <w14:schemeClr w14:val="tx1"/>
            </w14:solidFill>
          </w14:textFill>
        </w:rPr>
        <w:t>、合同谈判过程中签署的一切文件和处理与之有关的一切事务，我均予以承认。</w:t>
      </w:r>
    </w:p>
    <w:p w14:paraId="67456877">
      <w:pPr>
        <w:overflowPunct/>
        <w:bidi w:val="0"/>
        <w:spacing w:line="480" w:lineRule="auto"/>
        <w:ind w:firstLine="420" w:firstLineChars="200"/>
        <w:outlineLvl w:val="9"/>
        <w:rPr>
          <w:color w:val="000000" w:themeColor="text1"/>
          <w:szCs w:val="21"/>
          <w:highlight w:val="none"/>
          <w14:textFill>
            <w14:solidFill>
              <w14:schemeClr w14:val="tx1"/>
            </w14:solidFill>
          </w14:textFill>
        </w:rPr>
      </w:pPr>
      <w:r>
        <w:rPr>
          <w:color w:val="000000" w:themeColor="text1"/>
          <w:szCs w:val="21"/>
          <w:highlight w:val="none"/>
          <w14:textFill>
            <w14:solidFill>
              <w14:schemeClr w14:val="tx1"/>
            </w14:solidFill>
          </w14:textFill>
        </w:rPr>
        <w:t>委托代理人无转委托权。</w:t>
      </w:r>
    </w:p>
    <w:p w14:paraId="1D33114B">
      <w:pPr>
        <w:overflowPunct/>
        <w:bidi w:val="0"/>
        <w:spacing w:line="480" w:lineRule="auto"/>
        <w:ind w:firstLine="420" w:firstLineChars="200"/>
        <w:outlineLvl w:val="9"/>
        <w:rPr>
          <w:color w:val="000000" w:themeColor="text1"/>
          <w:szCs w:val="21"/>
          <w:highlight w:val="none"/>
          <w14:textFill>
            <w14:solidFill>
              <w14:schemeClr w14:val="tx1"/>
            </w14:solidFill>
          </w14:textFill>
        </w:rPr>
      </w:pPr>
      <w:r>
        <w:rPr>
          <w:color w:val="000000" w:themeColor="text1"/>
          <w:szCs w:val="21"/>
          <w:highlight w:val="none"/>
          <w14:textFill>
            <w14:solidFill>
              <w14:schemeClr w14:val="tx1"/>
            </w14:solidFill>
          </w14:textFill>
        </w:rPr>
        <w:t>特此委托。</w:t>
      </w:r>
    </w:p>
    <w:tbl>
      <w:tblPr>
        <w:tblStyle w:val="38"/>
        <w:tblW w:w="8640" w:type="dxa"/>
        <w:tblInd w:w="0"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
      <w:tblGrid>
        <w:gridCol w:w="8640"/>
      </w:tblGrid>
      <w:tr w14:paraId="32F96DA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494" w:hRule="atLeast"/>
        </w:trPr>
        <w:tc>
          <w:tcPr>
            <w:tcW w:w="8640" w:type="dxa"/>
            <w:noWrap w:val="0"/>
            <w:vAlign w:val="top"/>
          </w:tcPr>
          <w:p w14:paraId="7F1418BE">
            <w:pPr>
              <w:overflowPunct/>
              <w:bidi w:val="0"/>
              <w:spacing w:line="360" w:lineRule="auto"/>
              <w:outlineLvl w:val="9"/>
              <w:rPr>
                <w:color w:val="000000" w:themeColor="text1"/>
                <w:szCs w:val="21"/>
                <w:highlight w:val="none"/>
                <w14:textFill>
                  <w14:solidFill>
                    <w14:schemeClr w14:val="tx1"/>
                  </w14:solidFill>
                </w14:textFill>
              </w:rPr>
            </w:pPr>
            <w:r>
              <w:rPr>
                <w:color w:val="000000" w:themeColor="text1"/>
                <w:szCs w:val="21"/>
                <w:highlight w:val="none"/>
                <w14:textFill>
                  <w14:solidFill>
                    <w14:schemeClr w14:val="tx1"/>
                  </w14:solidFill>
                </w14:textFill>
              </w:rPr>
              <w:t>附：委托代理人身份证复印件</w:t>
            </w:r>
          </w:p>
        </w:tc>
      </w:tr>
    </w:tbl>
    <w:p w14:paraId="14DA4848">
      <w:pPr>
        <w:overflowPunct/>
        <w:bidi w:val="0"/>
        <w:spacing w:line="360" w:lineRule="auto"/>
        <w:ind w:firstLine="420" w:firstLineChars="200"/>
        <w:jc w:val="right"/>
        <w:outlineLvl w:val="9"/>
        <w:rPr>
          <w:color w:val="000000" w:themeColor="text1"/>
          <w:szCs w:val="21"/>
          <w:highlight w:val="none"/>
          <w14:textFill>
            <w14:solidFill>
              <w14:schemeClr w14:val="tx1"/>
            </w14:solidFill>
          </w14:textFill>
        </w:rPr>
      </w:pPr>
    </w:p>
    <w:p w14:paraId="07BB4F69">
      <w:pPr>
        <w:wordWrap w:val="0"/>
        <w:overflowPunct/>
        <w:bidi w:val="0"/>
        <w:spacing w:line="480" w:lineRule="auto"/>
        <w:ind w:firstLine="420" w:firstLineChars="200"/>
        <w:jc w:val="right"/>
        <w:outlineLvl w:val="9"/>
        <w:rPr>
          <w:color w:val="000000" w:themeColor="text1"/>
          <w:szCs w:val="21"/>
          <w:highlight w:val="none"/>
          <w14:textFill>
            <w14:solidFill>
              <w14:schemeClr w14:val="tx1"/>
            </w14:solidFill>
          </w14:textFill>
        </w:rPr>
      </w:pPr>
      <w:r>
        <w:rPr>
          <w:rFonts w:hint="eastAsia"/>
          <w:color w:val="000000" w:themeColor="text1"/>
          <w:szCs w:val="21"/>
          <w:highlight w:val="none"/>
          <w:lang w:eastAsia="zh-CN"/>
          <w14:textFill>
            <w14:solidFill>
              <w14:schemeClr w14:val="tx1"/>
            </w14:solidFill>
          </w14:textFill>
        </w:rPr>
        <w:t>供</w:t>
      </w:r>
      <w:r>
        <w:rPr>
          <w:rFonts w:hint="eastAsia"/>
          <w:color w:val="000000" w:themeColor="text1"/>
          <w:szCs w:val="21"/>
          <w:highlight w:val="none"/>
          <w:lang w:val="en-US" w:eastAsia="zh-CN"/>
          <w14:textFill>
            <w14:solidFill>
              <w14:schemeClr w14:val="tx1"/>
            </w14:solidFill>
          </w14:textFill>
        </w:rPr>
        <w:t xml:space="preserve">  </w:t>
      </w:r>
      <w:r>
        <w:rPr>
          <w:rFonts w:hint="eastAsia"/>
          <w:color w:val="000000" w:themeColor="text1"/>
          <w:szCs w:val="21"/>
          <w:highlight w:val="none"/>
          <w:lang w:eastAsia="zh-CN"/>
          <w14:textFill>
            <w14:solidFill>
              <w14:schemeClr w14:val="tx1"/>
            </w14:solidFill>
          </w14:textFill>
        </w:rPr>
        <w:t>应</w:t>
      </w:r>
      <w:r>
        <w:rPr>
          <w:rFonts w:hint="eastAsia"/>
          <w:color w:val="000000" w:themeColor="text1"/>
          <w:szCs w:val="21"/>
          <w:highlight w:val="none"/>
          <w:lang w:val="en-US" w:eastAsia="zh-CN"/>
          <w14:textFill>
            <w14:solidFill>
              <w14:schemeClr w14:val="tx1"/>
            </w14:solidFill>
          </w14:textFill>
        </w:rPr>
        <w:t xml:space="preserve">  </w:t>
      </w:r>
      <w:r>
        <w:rPr>
          <w:rFonts w:hint="eastAsia"/>
          <w:color w:val="000000" w:themeColor="text1"/>
          <w:szCs w:val="21"/>
          <w:highlight w:val="none"/>
          <w:lang w:eastAsia="zh-CN"/>
          <w14:textFill>
            <w14:solidFill>
              <w14:schemeClr w14:val="tx1"/>
            </w14:solidFill>
          </w14:textFill>
        </w:rPr>
        <w:t>商</w:t>
      </w:r>
      <w:r>
        <w:rPr>
          <w:color w:val="000000" w:themeColor="text1"/>
          <w:szCs w:val="21"/>
          <w:highlight w:val="none"/>
          <w14:textFill>
            <w14:solidFill>
              <w14:schemeClr w14:val="tx1"/>
            </w14:solidFill>
          </w14:textFill>
        </w:rPr>
        <w:t>：</w:t>
      </w:r>
      <w:r>
        <w:rPr>
          <w:color w:val="000000" w:themeColor="text1"/>
          <w:szCs w:val="21"/>
          <w:highlight w:val="none"/>
          <w:u w:val="single"/>
          <w14:textFill>
            <w14:solidFill>
              <w14:schemeClr w14:val="tx1"/>
            </w14:solidFill>
          </w14:textFill>
        </w:rPr>
        <w:t xml:space="preserve">                    </w:t>
      </w:r>
      <w:r>
        <w:rPr>
          <w:color w:val="000000" w:themeColor="text1"/>
          <w:szCs w:val="21"/>
          <w:highlight w:val="none"/>
          <w14:textFill>
            <w14:solidFill>
              <w14:schemeClr w14:val="tx1"/>
            </w14:solidFill>
          </w14:textFill>
        </w:rPr>
        <w:t>（公章）</w:t>
      </w:r>
      <w:r>
        <w:rPr>
          <w:rFonts w:hint="eastAsia"/>
          <w:color w:val="000000" w:themeColor="text1"/>
          <w:szCs w:val="21"/>
          <w:highlight w:val="none"/>
          <w14:textFill>
            <w14:solidFill>
              <w14:schemeClr w14:val="tx1"/>
            </w14:solidFill>
          </w14:textFill>
        </w:rPr>
        <w:t xml:space="preserve">      </w:t>
      </w:r>
    </w:p>
    <w:p w14:paraId="0B1C1BAB">
      <w:pPr>
        <w:overflowPunct/>
        <w:bidi w:val="0"/>
        <w:spacing w:line="480" w:lineRule="auto"/>
        <w:ind w:firstLine="420" w:firstLineChars="200"/>
        <w:jc w:val="right"/>
        <w:outlineLvl w:val="9"/>
        <w:rPr>
          <w:color w:val="000000" w:themeColor="text1"/>
          <w:szCs w:val="21"/>
          <w:highlight w:val="none"/>
          <w14:textFill>
            <w14:solidFill>
              <w14:schemeClr w14:val="tx1"/>
            </w14:solidFill>
          </w14:textFill>
        </w:rPr>
      </w:pPr>
      <w:r>
        <w:rPr>
          <w:color w:val="000000" w:themeColor="text1"/>
          <w:szCs w:val="21"/>
          <w:highlight w:val="none"/>
          <w14:textFill>
            <w14:solidFill>
              <w14:schemeClr w14:val="tx1"/>
            </w14:solidFill>
          </w14:textFill>
        </w:rPr>
        <w:t>法定代表人：</w:t>
      </w:r>
      <w:r>
        <w:rPr>
          <w:color w:val="000000" w:themeColor="text1"/>
          <w:szCs w:val="21"/>
          <w:highlight w:val="none"/>
          <w:u w:val="single"/>
          <w14:textFill>
            <w14:solidFill>
              <w14:schemeClr w14:val="tx1"/>
            </w14:solidFill>
          </w14:textFill>
        </w:rPr>
        <w:t xml:space="preserve">                    </w:t>
      </w:r>
      <w:r>
        <w:rPr>
          <w:color w:val="000000" w:themeColor="text1"/>
          <w:szCs w:val="21"/>
          <w:highlight w:val="none"/>
          <w14:textFill>
            <w14:solidFill>
              <w14:schemeClr w14:val="tx1"/>
            </w14:solidFill>
          </w14:textFill>
        </w:rPr>
        <w:t>（盖章</w:t>
      </w:r>
      <w:r>
        <w:rPr>
          <w:rFonts w:hint="eastAsia"/>
          <w:color w:val="000000" w:themeColor="text1"/>
          <w:szCs w:val="21"/>
          <w:highlight w:val="none"/>
          <w14:textFill>
            <w14:solidFill>
              <w14:schemeClr w14:val="tx1"/>
            </w14:solidFill>
          </w14:textFill>
        </w:rPr>
        <w:t>或签字</w:t>
      </w:r>
      <w:r>
        <w:rPr>
          <w:color w:val="000000" w:themeColor="text1"/>
          <w:szCs w:val="21"/>
          <w:highlight w:val="none"/>
          <w14:textFill>
            <w14:solidFill>
              <w14:schemeClr w14:val="tx1"/>
            </w14:solidFill>
          </w14:textFill>
        </w:rPr>
        <w:t>）</w:t>
      </w:r>
    </w:p>
    <w:p w14:paraId="6D1CE90A">
      <w:pPr>
        <w:wordWrap w:val="0"/>
        <w:overflowPunct/>
        <w:bidi w:val="0"/>
        <w:spacing w:line="480" w:lineRule="auto"/>
        <w:ind w:firstLine="420" w:firstLineChars="200"/>
        <w:jc w:val="right"/>
        <w:outlineLvl w:val="9"/>
        <w:rPr>
          <w:color w:val="000000" w:themeColor="text1"/>
          <w:szCs w:val="21"/>
          <w:highlight w:val="none"/>
          <w14:textFill>
            <w14:solidFill>
              <w14:schemeClr w14:val="tx1"/>
            </w14:solidFill>
          </w14:textFill>
        </w:rPr>
      </w:pPr>
      <w:r>
        <w:rPr>
          <w:color w:val="000000" w:themeColor="text1"/>
          <w:szCs w:val="21"/>
          <w:highlight w:val="none"/>
          <w14:textFill>
            <w14:solidFill>
              <w14:schemeClr w14:val="tx1"/>
            </w14:solidFill>
          </w14:textFill>
        </w:rPr>
        <w:t>委托代理人：</w:t>
      </w:r>
      <w:r>
        <w:rPr>
          <w:color w:val="000000" w:themeColor="text1"/>
          <w:szCs w:val="21"/>
          <w:highlight w:val="none"/>
          <w:u w:val="single"/>
          <w14:textFill>
            <w14:solidFill>
              <w14:schemeClr w14:val="tx1"/>
            </w14:solidFill>
          </w14:textFill>
        </w:rPr>
        <w:t xml:space="preserve">                    </w:t>
      </w:r>
      <w:r>
        <w:rPr>
          <w:color w:val="000000" w:themeColor="text1"/>
          <w:szCs w:val="21"/>
          <w:highlight w:val="none"/>
          <w14:textFill>
            <w14:solidFill>
              <w14:schemeClr w14:val="tx1"/>
            </w14:solidFill>
          </w14:textFill>
        </w:rPr>
        <w:t>（签字）</w:t>
      </w:r>
      <w:r>
        <w:rPr>
          <w:rFonts w:hint="eastAsia"/>
          <w:color w:val="000000" w:themeColor="text1"/>
          <w:szCs w:val="21"/>
          <w:highlight w:val="none"/>
          <w14:textFill>
            <w14:solidFill>
              <w14:schemeClr w14:val="tx1"/>
            </w14:solidFill>
          </w14:textFill>
        </w:rPr>
        <w:t xml:space="preserve">      </w:t>
      </w:r>
    </w:p>
    <w:p w14:paraId="428EDA3A">
      <w:pPr>
        <w:wordWrap w:val="0"/>
        <w:overflowPunct/>
        <w:bidi w:val="0"/>
        <w:spacing w:line="480" w:lineRule="auto"/>
        <w:ind w:firstLine="420" w:firstLineChars="200"/>
        <w:jc w:val="right"/>
        <w:outlineLvl w:val="9"/>
        <w:rPr>
          <w:color w:val="000000" w:themeColor="text1"/>
          <w:szCs w:val="21"/>
          <w:highlight w:val="none"/>
          <w14:textFill>
            <w14:solidFill>
              <w14:schemeClr w14:val="tx1"/>
            </w14:solidFill>
          </w14:textFill>
        </w:rPr>
      </w:pPr>
      <w:r>
        <w:rPr>
          <w:color w:val="000000" w:themeColor="text1"/>
          <w:szCs w:val="21"/>
          <w:highlight w:val="none"/>
          <w14:textFill>
            <w14:solidFill>
              <w14:schemeClr w14:val="tx1"/>
            </w14:solidFill>
          </w14:textFill>
        </w:rPr>
        <w:t xml:space="preserve">日    期：    年    月    日     </w:t>
      </w:r>
      <w:bookmarkStart w:id="55" w:name="_Toc402425838"/>
      <w:bookmarkStart w:id="56" w:name="_Toc449685253"/>
      <w:bookmarkStart w:id="57" w:name="_Toc511207284"/>
    </w:p>
    <w:p w14:paraId="55DEE12D">
      <w:pPr>
        <w:overflowPunct/>
        <w:bidi w:val="0"/>
        <w:ind w:firstLine="420" w:firstLineChars="200"/>
        <w:jc w:val="center"/>
        <w:outlineLvl w:val="9"/>
        <w:rPr>
          <w:b/>
          <w:color w:val="000000" w:themeColor="text1"/>
          <w:sz w:val="32"/>
          <w:szCs w:val="32"/>
          <w:highlight w:val="none"/>
          <w14:textFill>
            <w14:solidFill>
              <w14:schemeClr w14:val="tx1"/>
            </w14:solidFill>
          </w14:textFill>
        </w:rPr>
      </w:pPr>
      <w:r>
        <w:rPr>
          <w:color w:val="000000" w:themeColor="text1"/>
          <w:szCs w:val="21"/>
          <w:highlight w:val="none"/>
          <w14:textFill>
            <w14:solidFill>
              <w14:schemeClr w14:val="tx1"/>
            </w14:solidFill>
          </w14:textFill>
        </w:rPr>
        <w:br w:type="page"/>
      </w:r>
      <w:r>
        <w:rPr>
          <w:b/>
          <w:color w:val="000000" w:themeColor="text1"/>
          <w:sz w:val="32"/>
          <w:szCs w:val="32"/>
          <w:highlight w:val="none"/>
          <w14:textFill>
            <w14:solidFill>
              <w14:schemeClr w14:val="tx1"/>
            </w14:solidFill>
          </w14:textFill>
        </w:rPr>
        <w:t>四、</w:t>
      </w:r>
      <w:r>
        <w:rPr>
          <w:rFonts w:hint="eastAsia"/>
          <w:b/>
          <w:color w:val="000000" w:themeColor="text1"/>
          <w:sz w:val="32"/>
          <w:szCs w:val="32"/>
          <w:highlight w:val="none"/>
          <w14:textFill>
            <w14:solidFill>
              <w14:schemeClr w14:val="tx1"/>
            </w14:solidFill>
          </w14:textFill>
        </w:rPr>
        <w:t>报价</w:t>
      </w:r>
      <w:r>
        <w:rPr>
          <w:b/>
          <w:color w:val="000000" w:themeColor="text1"/>
          <w:sz w:val="32"/>
          <w:szCs w:val="32"/>
          <w:highlight w:val="none"/>
          <w14:textFill>
            <w14:solidFill>
              <w14:schemeClr w14:val="tx1"/>
            </w14:solidFill>
          </w14:textFill>
        </w:rPr>
        <w:t>一览表</w:t>
      </w:r>
      <w:bookmarkEnd w:id="55"/>
      <w:bookmarkEnd w:id="56"/>
      <w:bookmarkEnd w:id="57"/>
      <w:r>
        <w:rPr>
          <w:rFonts w:hint="eastAsia"/>
          <w:b/>
          <w:color w:val="000000" w:themeColor="text1"/>
          <w:sz w:val="32"/>
          <w:szCs w:val="32"/>
          <w:highlight w:val="none"/>
          <w14:textFill>
            <w14:solidFill>
              <w14:schemeClr w14:val="tx1"/>
            </w14:solidFill>
          </w14:textFill>
        </w:rPr>
        <w:t>（首次）</w:t>
      </w:r>
    </w:p>
    <w:p w14:paraId="66853AE0">
      <w:pPr>
        <w:overflowPunct/>
        <w:bidi w:val="0"/>
        <w:spacing w:line="480" w:lineRule="auto"/>
        <w:ind w:firstLine="643" w:firstLineChars="200"/>
        <w:jc w:val="center"/>
        <w:outlineLvl w:val="9"/>
        <w:rPr>
          <w:b/>
          <w:color w:val="000000" w:themeColor="text1"/>
          <w:sz w:val="32"/>
          <w:szCs w:val="32"/>
          <w:highlight w:val="none"/>
          <w14:textFill>
            <w14:solidFill>
              <w14:schemeClr w14:val="tx1"/>
            </w14:solidFill>
          </w14:textFill>
        </w:rPr>
      </w:pPr>
    </w:p>
    <w:p w14:paraId="12292C95">
      <w:pPr>
        <w:overflowPunct/>
        <w:autoSpaceDE w:val="0"/>
        <w:autoSpaceDN w:val="0"/>
        <w:bidi w:val="0"/>
        <w:spacing w:line="480" w:lineRule="auto"/>
        <w:ind w:firstLine="210" w:firstLineChars="100"/>
        <w:outlineLvl w:val="9"/>
        <w:rPr>
          <w:bCs/>
          <w:color w:val="000000" w:themeColor="text1"/>
          <w:szCs w:val="21"/>
          <w:highlight w:val="none"/>
          <w:lang w:val="zh-CN"/>
          <w14:textFill>
            <w14:solidFill>
              <w14:schemeClr w14:val="tx1"/>
            </w14:solidFill>
          </w14:textFill>
        </w:rPr>
      </w:pPr>
      <w:r>
        <w:rPr>
          <w:bCs/>
          <w:color w:val="000000" w:themeColor="text1"/>
          <w:szCs w:val="21"/>
          <w:highlight w:val="none"/>
          <w:lang w:val="zh-CN"/>
          <w14:textFill>
            <w14:solidFill>
              <w14:schemeClr w14:val="tx1"/>
            </w14:solidFill>
          </w14:textFill>
        </w:rPr>
        <w:t>项目名称：</w:t>
      </w:r>
    </w:p>
    <w:p w14:paraId="439B98D8">
      <w:pPr>
        <w:overflowPunct/>
        <w:autoSpaceDE w:val="0"/>
        <w:autoSpaceDN w:val="0"/>
        <w:bidi w:val="0"/>
        <w:spacing w:line="480" w:lineRule="auto"/>
        <w:ind w:firstLine="210" w:firstLineChars="100"/>
        <w:outlineLvl w:val="9"/>
        <w:rPr>
          <w:bCs/>
          <w:color w:val="000000" w:themeColor="text1"/>
          <w:szCs w:val="21"/>
          <w:highlight w:val="none"/>
          <w:lang w:val="zh-CN"/>
          <w14:textFill>
            <w14:solidFill>
              <w14:schemeClr w14:val="tx1"/>
            </w14:solidFill>
          </w14:textFill>
        </w:rPr>
      </w:pPr>
      <w:r>
        <w:rPr>
          <w:rFonts w:hint="eastAsia"/>
          <w:bCs/>
          <w:color w:val="000000" w:themeColor="text1"/>
          <w:szCs w:val="21"/>
          <w:highlight w:val="none"/>
          <w14:textFill>
            <w14:solidFill>
              <w14:schemeClr w14:val="tx1"/>
            </w14:solidFill>
          </w14:textFill>
        </w:rPr>
        <w:t>项目</w:t>
      </w:r>
      <w:r>
        <w:rPr>
          <w:bCs/>
          <w:color w:val="000000" w:themeColor="text1"/>
          <w:szCs w:val="21"/>
          <w:highlight w:val="none"/>
          <w:lang w:val="zh-CN"/>
          <w14:textFill>
            <w14:solidFill>
              <w14:schemeClr w14:val="tx1"/>
            </w14:solidFill>
          </w14:textFill>
        </w:rPr>
        <w:t>编号：</w:t>
      </w:r>
    </w:p>
    <w:p w14:paraId="6F458D5E">
      <w:pPr>
        <w:overflowPunct/>
        <w:bidi w:val="0"/>
        <w:spacing w:line="480" w:lineRule="auto"/>
        <w:ind w:firstLine="210" w:firstLineChars="100"/>
        <w:outlineLvl w:val="9"/>
        <w:rPr>
          <w:bCs/>
          <w:color w:val="000000" w:themeColor="text1"/>
          <w:szCs w:val="21"/>
          <w:highlight w:val="none"/>
          <w:lang w:val="zh-CN"/>
          <w14:textFill>
            <w14:solidFill>
              <w14:schemeClr w14:val="tx1"/>
            </w14:solidFill>
          </w14:textFill>
        </w:rPr>
      </w:pPr>
      <w:r>
        <w:rPr>
          <w:bCs/>
          <w:color w:val="000000" w:themeColor="text1"/>
          <w:szCs w:val="21"/>
          <w:highlight w:val="none"/>
          <w:lang w:val="zh-CN"/>
          <w14:textFill>
            <w14:solidFill>
              <w14:schemeClr w14:val="tx1"/>
            </w14:solidFill>
          </w14:textFill>
        </w:rPr>
        <w:t>开</w:t>
      </w:r>
      <w:r>
        <w:rPr>
          <w:rFonts w:hint="eastAsia"/>
          <w:bCs/>
          <w:color w:val="000000" w:themeColor="text1"/>
          <w:szCs w:val="21"/>
          <w:highlight w:val="none"/>
          <w14:textFill>
            <w14:solidFill>
              <w14:schemeClr w14:val="tx1"/>
            </w14:solidFill>
          </w14:textFill>
        </w:rPr>
        <w:t>启</w:t>
      </w:r>
      <w:r>
        <w:rPr>
          <w:bCs/>
          <w:color w:val="000000" w:themeColor="text1"/>
          <w:szCs w:val="21"/>
          <w:highlight w:val="none"/>
          <w:lang w:val="zh-CN"/>
          <w14:textFill>
            <w14:solidFill>
              <w14:schemeClr w14:val="tx1"/>
            </w14:solidFill>
          </w14:textFill>
        </w:rPr>
        <w:t xml:space="preserve">时间：    年    月    日 </w:t>
      </w:r>
    </w:p>
    <w:tbl>
      <w:tblPr>
        <w:tblStyle w:val="38"/>
        <w:tblW w:w="10135"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3560"/>
        <w:gridCol w:w="2247"/>
        <w:gridCol w:w="1574"/>
        <w:gridCol w:w="1377"/>
        <w:gridCol w:w="1377"/>
      </w:tblGrid>
      <w:tr w14:paraId="38A0F9F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85" w:hRule="atLeast"/>
          <w:jc w:val="center"/>
        </w:trPr>
        <w:tc>
          <w:tcPr>
            <w:tcW w:w="3560" w:type="dxa"/>
            <w:noWrap w:val="0"/>
            <w:vAlign w:val="center"/>
          </w:tcPr>
          <w:p w14:paraId="43F9B540">
            <w:pPr>
              <w:overflowPunct/>
              <w:autoSpaceDE w:val="0"/>
              <w:autoSpaceDN w:val="0"/>
              <w:bidi w:val="0"/>
              <w:spacing w:line="400" w:lineRule="exact"/>
              <w:jc w:val="center"/>
              <w:outlineLvl w:val="9"/>
              <w:rPr>
                <w:bCs/>
                <w:color w:val="000000" w:themeColor="text1"/>
                <w:szCs w:val="21"/>
                <w:highlight w:val="none"/>
                <w:lang w:val="zh-CN"/>
                <w14:textFill>
                  <w14:solidFill>
                    <w14:schemeClr w14:val="tx1"/>
                  </w14:solidFill>
                </w14:textFill>
              </w:rPr>
            </w:pPr>
            <w:r>
              <w:rPr>
                <w:rFonts w:hint="eastAsia"/>
                <w:bCs/>
                <w:color w:val="000000" w:themeColor="text1"/>
                <w:szCs w:val="21"/>
                <w:highlight w:val="none"/>
                <w:lang w:eastAsia="zh-CN"/>
                <w14:textFill>
                  <w14:solidFill>
                    <w14:schemeClr w14:val="tx1"/>
                  </w14:solidFill>
                </w14:textFill>
              </w:rPr>
              <w:t>供应商</w:t>
            </w:r>
            <w:r>
              <w:rPr>
                <w:bCs/>
                <w:color w:val="000000" w:themeColor="text1"/>
                <w:szCs w:val="21"/>
                <w:highlight w:val="none"/>
                <w:lang w:val="zh-CN"/>
                <w14:textFill>
                  <w14:solidFill>
                    <w14:schemeClr w14:val="tx1"/>
                  </w14:solidFill>
                </w14:textFill>
              </w:rPr>
              <w:t>名称</w:t>
            </w:r>
          </w:p>
        </w:tc>
        <w:tc>
          <w:tcPr>
            <w:tcW w:w="2247" w:type="dxa"/>
            <w:noWrap w:val="0"/>
            <w:vAlign w:val="center"/>
          </w:tcPr>
          <w:p w14:paraId="4BC2B9E5">
            <w:pPr>
              <w:overflowPunct/>
              <w:autoSpaceDE w:val="0"/>
              <w:autoSpaceDN w:val="0"/>
              <w:bidi w:val="0"/>
              <w:spacing w:line="400" w:lineRule="exact"/>
              <w:jc w:val="center"/>
              <w:outlineLvl w:val="9"/>
              <w:rPr>
                <w:bCs/>
                <w:color w:val="000000" w:themeColor="text1"/>
                <w:szCs w:val="21"/>
                <w:highlight w:val="none"/>
                <w:lang w:val="zh-CN"/>
                <w14:textFill>
                  <w14:solidFill>
                    <w14:schemeClr w14:val="tx1"/>
                  </w14:solidFill>
                </w14:textFill>
              </w:rPr>
            </w:pPr>
            <w:r>
              <w:rPr>
                <w:bCs/>
                <w:color w:val="000000" w:themeColor="text1"/>
                <w:szCs w:val="21"/>
                <w:highlight w:val="none"/>
                <w:lang w:val="zh-CN"/>
                <w14:textFill>
                  <w14:solidFill>
                    <w14:schemeClr w14:val="tx1"/>
                  </w14:solidFill>
                </w14:textFill>
              </w:rPr>
              <w:t>报价</w:t>
            </w:r>
          </w:p>
          <w:p w14:paraId="1C029F8D">
            <w:pPr>
              <w:overflowPunct/>
              <w:autoSpaceDE w:val="0"/>
              <w:autoSpaceDN w:val="0"/>
              <w:bidi w:val="0"/>
              <w:spacing w:line="400" w:lineRule="exact"/>
              <w:jc w:val="center"/>
              <w:outlineLvl w:val="9"/>
              <w:rPr>
                <w:bCs/>
                <w:color w:val="000000" w:themeColor="text1"/>
                <w:szCs w:val="21"/>
                <w:highlight w:val="none"/>
                <w:lang w:val="zh-CN"/>
                <w14:textFill>
                  <w14:solidFill>
                    <w14:schemeClr w14:val="tx1"/>
                  </w14:solidFill>
                </w14:textFill>
              </w:rPr>
            </w:pPr>
            <w:r>
              <w:rPr>
                <w:bCs/>
                <w:color w:val="000000" w:themeColor="text1"/>
                <w:szCs w:val="21"/>
                <w:highlight w:val="none"/>
                <w:lang w:val="zh-CN"/>
                <w14:textFill>
                  <w14:solidFill>
                    <w14:schemeClr w14:val="tx1"/>
                  </w14:solidFill>
                </w14:textFill>
              </w:rPr>
              <w:t>（</w:t>
            </w:r>
            <w:r>
              <w:rPr>
                <w:rFonts w:hint="eastAsia"/>
                <w:bCs/>
                <w:color w:val="000000" w:themeColor="text1"/>
                <w:szCs w:val="21"/>
                <w:highlight w:val="none"/>
                <w14:textFill>
                  <w14:solidFill>
                    <w14:schemeClr w14:val="tx1"/>
                  </w14:solidFill>
                </w14:textFill>
              </w:rPr>
              <w:t>万元</w:t>
            </w:r>
            <w:r>
              <w:rPr>
                <w:bCs/>
                <w:color w:val="000000" w:themeColor="text1"/>
                <w:szCs w:val="21"/>
                <w:highlight w:val="none"/>
                <w:lang w:val="zh-CN"/>
                <w14:textFill>
                  <w14:solidFill>
                    <w14:schemeClr w14:val="tx1"/>
                  </w14:solidFill>
                </w14:textFill>
              </w:rPr>
              <w:t>）</w:t>
            </w:r>
          </w:p>
        </w:tc>
        <w:tc>
          <w:tcPr>
            <w:tcW w:w="1574" w:type="dxa"/>
            <w:noWrap w:val="0"/>
            <w:vAlign w:val="center"/>
          </w:tcPr>
          <w:p w14:paraId="4E1EB1B3">
            <w:pPr>
              <w:overflowPunct/>
              <w:autoSpaceDE w:val="0"/>
              <w:autoSpaceDN w:val="0"/>
              <w:bidi w:val="0"/>
              <w:spacing w:line="400" w:lineRule="exact"/>
              <w:jc w:val="center"/>
              <w:outlineLvl w:val="9"/>
              <w:rPr>
                <w:rFonts w:hint="eastAsia" w:eastAsia="宋体"/>
                <w:color w:val="000000" w:themeColor="text1"/>
                <w:szCs w:val="21"/>
                <w:highlight w:val="none"/>
                <w:lang w:eastAsia="zh-CN"/>
                <w14:textFill>
                  <w14:solidFill>
                    <w14:schemeClr w14:val="tx1"/>
                  </w14:solidFill>
                </w14:textFill>
              </w:rPr>
            </w:pPr>
            <w:r>
              <w:rPr>
                <w:rFonts w:hint="eastAsia"/>
                <w:color w:val="000000" w:themeColor="text1"/>
                <w:szCs w:val="21"/>
                <w:highlight w:val="none"/>
                <w:lang w:eastAsia="zh-CN"/>
                <w14:textFill>
                  <w14:solidFill>
                    <w14:schemeClr w14:val="tx1"/>
                  </w14:solidFill>
                </w14:textFill>
              </w:rPr>
              <w:t>合同履行期限</w:t>
            </w:r>
          </w:p>
        </w:tc>
        <w:tc>
          <w:tcPr>
            <w:tcW w:w="1377" w:type="dxa"/>
            <w:noWrap w:val="0"/>
            <w:vAlign w:val="center"/>
          </w:tcPr>
          <w:p w14:paraId="0D3528FD">
            <w:pPr>
              <w:overflowPunct/>
              <w:autoSpaceDE w:val="0"/>
              <w:autoSpaceDN w:val="0"/>
              <w:bidi w:val="0"/>
              <w:spacing w:line="400" w:lineRule="exact"/>
              <w:jc w:val="center"/>
              <w:outlineLvl w:val="9"/>
              <w:rPr>
                <w:bCs/>
                <w:color w:val="000000" w:themeColor="text1"/>
                <w:szCs w:val="21"/>
                <w:highlight w:val="none"/>
                <w:lang w:val="zh-CN"/>
                <w14:textFill>
                  <w14:solidFill>
                    <w14:schemeClr w14:val="tx1"/>
                  </w14:solidFill>
                </w14:textFill>
              </w:rPr>
            </w:pPr>
            <w:r>
              <w:rPr>
                <w:bCs/>
                <w:color w:val="000000" w:themeColor="text1"/>
                <w:szCs w:val="21"/>
                <w:highlight w:val="none"/>
                <w:lang w:val="zh-CN"/>
                <w14:textFill>
                  <w14:solidFill>
                    <w14:schemeClr w14:val="tx1"/>
                  </w14:solidFill>
                </w14:textFill>
              </w:rPr>
              <w:t>优惠</w:t>
            </w:r>
          </w:p>
          <w:p w14:paraId="44EF2CF2">
            <w:pPr>
              <w:overflowPunct/>
              <w:autoSpaceDE w:val="0"/>
              <w:autoSpaceDN w:val="0"/>
              <w:bidi w:val="0"/>
              <w:spacing w:line="400" w:lineRule="exact"/>
              <w:jc w:val="center"/>
              <w:outlineLvl w:val="9"/>
              <w:rPr>
                <w:bCs/>
                <w:color w:val="000000" w:themeColor="text1"/>
                <w:szCs w:val="21"/>
                <w:highlight w:val="none"/>
                <w:lang w:val="zh-CN"/>
                <w14:textFill>
                  <w14:solidFill>
                    <w14:schemeClr w14:val="tx1"/>
                  </w14:solidFill>
                </w14:textFill>
              </w:rPr>
            </w:pPr>
            <w:r>
              <w:rPr>
                <w:bCs/>
                <w:color w:val="000000" w:themeColor="text1"/>
                <w:szCs w:val="21"/>
                <w:highlight w:val="none"/>
                <w:lang w:val="zh-CN"/>
                <w14:textFill>
                  <w14:solidFill>
                    <w14:schemeClr w14:val="tx1"/>
                  </w14:solidFill>
                </w14:textFill>
              </w:rPr>
              <w:t>条件</w:t>
            </w:r>
          </w:p>
        </w:tc>
        <w:tc>
          <w:tcPr>
            <w:tcW w:w="1377" w:type="dxa"/>
            <w:noWrap w:val="0"/>
            <w:vAlign w:val="center"/>
          </w:tcPr>
          <w:p w14:paraId="7FB076FC">
            <w:pPr>
              <w:overflowPunct/>
              <w:autoSpaceDE w:val="0"/>
              <w:autoSpaceDN w:val="0"/>
              <w:bidi w:val="0"/>
              <w:spacing w:line="400" w:lineRule="exact"/>
              <w:jc w:val="center"/>
              <w:outlineLvl w:val="9"/>
              <w:rPr>
                <w:bCs/>
                <w:color w:val="000000" w:themeColor="text1"/>
                <w:szCs w:val="21"/>
                <w:highlight w:val="none"/>
                <w:lang w:val="zh-CN"/>
                <w14:textFill>
                  <w14:solidFill>
                    <w14:schemeClr w14:val="tx1"/>
                  </w14:solidFill>
                </w14:textFill>
              </w:rPr>
            </w:pPr>
            <w:r>
              <w:rPr>
                <w:rFonts w:hint="eastAsia"/>
                <w:bCs/>
                <w:color w:val="000000" w:themeColor="text1"/>
                <w:szCs w:val="21"/>
                <w:highlight w:val="none"/>
                <w:lang w:val="zh-CN"/>
                <w14:textFill>
                  <w14:solidFill>
                    <w14:schemeClr w14:val="tx1"/>
                  </w14:solidFill>
                </w14:textFill>
              </w:rPr>
              <w:t>质量标准</w:t>
            </w:r>
          </w:p>
        </w:tc>
      </w:tr>
      <w:tr w14:paraId="5A1B171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552" w:hRule="atLeast"/>
          <w:jc w:val="center"/>
        </w:trPr>
        <w:tc>
          <w:tcPr>
            <w:tcW w:w="3560" w:type="dxa"/>
            <w:noWrap w:val="0"/>
            <w:vAlign w:val="center"/>
          </w:tcPr>
          <w:p w14:paraId="5540FA4F">
            <w:pPr>
              <w:overflowPunct/>
              <w:autoSpaceDE w:val="0"/>
              <w:autoSpaceDN w:val="0"/>
              <w:bidi w:val="0"/>
              <w:spacing w:line="400" w:lineRule="exact"/>
              <w:jc w:val="center"/>
              <w:outlineLvl w:val="9"/>
              <w:rPr>
                <w:bCs/>
                <w:color w:val="000000" w:themeColor="text1"/>
                <w:szCs w:val="21"/>
                <w:highlight w:val="none"/>
                <w:lang w:val="zh-CN"/>
                <w14:textFill>
                  <w14:solidFill>
                    <w14:schemeClr w14:val="tx1"/>
                  </w14:solidFill>
                </w14:textFill>
              </w:rPr>
            </w:pPr>
          </w:p>
        </w:tc>
        <w:tc>
          <w:tcPr>
            <w:tcW w:w="2247" w:type="dxa"/>
            <w:noWrap w:val="0"/>
            <w:vAlign w:val="center"/>
          </w:tcPr>
          <w:p w14:paraId="5726B9A1">
            <w:pPr>
              <w:overflowPunct/>
              <w:autoSpaceDE w:val="0"/>
              <w:autoSpaceDN w:val="0"/>
              <w:bidi w:val="0"/>
              <w:spacing w:line="400" w:lineRule="exact"/>
              <w:jc w:val="center"/>
              <w:outlineLvl w:val="9"/>
              <w:rPr>
                <w:rFonts w:hint="eastAsia"/>
                <w:bCs/>
                <w:color w:val="000000" w:themeColor="text1"/>
                <w:szCs w:val="21"/>
                <w:highlight w:val="none"/>
                <w14:textFill>
                  <w14:solidFill>
                    <w14:schemeClr w14:val="tx1"/>
                  </w14:solidFill>
                </w14:textFill>
              </w:rPr>
            </w:pPr>
          </w:p>
        </w:tc>
        <w:tc>
          <w:tcPr>
            <w:tcW w:w="1574" w:type="dxa"/>
            <w:noWrap w:val="0"/>
            <w:vAlign w:val="center"/>
          </w:tcPr>
          <w:p w14:paraId="57AF8C12">
            <w:pPr>
              <w:overflowPunct/>
              <w:autoSpaceDE w:val="0"/>
              <w:autoSpaceDN w:val="0"/>
              <w:bidi w:val="0"/>
              <w:spacing w:line="400" w:lineRule="exact"/>
              <w:jc w:val="center"/>
              <w:outlineLvl w:val="9"/>
              <w:rPr>
                <w:color w:val="000000" w:themeColor="text1"/>
                <w:szCs w:val="21"/>
                <w:highlight w:val="none"/>
                <w14:textFill>
                  <w14:solidFill>
                    <w14:schemeClr w14:val="tx1"/>
                  </w14:solidFill>
                </w14:textFill>
              </w:rPr>
            </w:pPr>
          </w:p>
        </w:tc>
        <w:tc>
          <w:tcPr>
            <w:tcW w:w="1377" w:type="dxa"/>
            <w:noWrap w:val="0"/>
            <w:vAlign w:val="center"/>
          </w:tcPr>
          <w:p w14:paraId="70F6FA39">
            <w:pPr>
              <w:overflowPunct/>
              <w:autoSpaceDE w:val="0"/>
              <w:autoSpaceDN w:val="0"/>
              <w:bidi w:val="0"/>
              <w:spacing w:line="400" w:lineRule="exact"/>
              <w:jc w:val="center"/>
              <w:outlineLvl w:val="9"/>
              <w:rPr>
                <w:bCs/>
                <w:color w:val="000000" w:themeColor="text1"/>
                <w:szCs w:val="21"/>
                <w:highlight w:val="none"/>
                <w14:textFill>
                  <w14:solidFill>
                    <w14:schemeClr w14:val="tx1"/>
                  </w14:solidFill>
                </w14:textFill>
              </w:rPr>
            </w:pPr>
          </w:p>
        </w:tc>
        <w:tc>
          <w:tcPr>
            <w:tcW w:w="1377" w:type="dxa"/>
            <w:noWrap w:val="0"/>
            <w:vAlign w:val="center"/>
          </w:tcPr>
          <w:p w14:paraId="69762325">
            <w:pPr>
              <w:overflowPunct/>
              <w:autoSpaceDE w:val="0"/>
              <w:autoSpaceDN w:val="0"/>
              <w:bidi w:val="0"/>
              <w:spacing w:line="400" w:lineRule="exact"/>
              <w:jc w:val="center"/>
              <w:outlineLvl w:val="9"/>
              <w:rPr>
                <w:bCs/>
                <w:color w:val="000000" w:themeColor="text1"/>
                <w:szCs w:val="21"/>
                <w:highlight w:val="none"/>
                <w14:textFill>
                  <w14:solidFill>
                    <w14:schemeClr w14:val="tx1"/>
                  </w14:solidFill>
                </w14:textFill>
              </w:rPr>
            </w:pPr>
          </w:p>
        </w:tc>
      </w:tr>
    </w:tbl>
    <w:p w14:paraId="34EC1AB4">
      <w:pPr>
        <w:overflowPunct/>
        <w:autoSpaceDE w:val="0"/>
        <w:autoSpaceDN w:val="0"/>
        <w:bidi w:val="0"/>
        <w:spacing w:line="480" w:lineRule="auto"/>
        <w:outlineLvl w:val="9"/>
        <w:rPr>
          <w:bCs/>
          <w:color w:val="000000" w:themeColor="text1"/>
          <w:szCs w:val="21"/>
          <w:highlight w:val="none"/>
          <w:lang w:val="zh-CN"/>
          <w14:textFill>
            <w14:solidFill>
              <w14:schemeClr w14:val="tx1"/>
            </w14:solidFill>
          </w14:textFill>
        </w:rPr>
      </w:pPr>
      <w:r>
        <w:rPr>
          <w:bCs/>
          <w:color w:val="000000" w:themeColor="text1"/>
          <w:szCs w:val="21"/>
          <w:highlight w:val="none"/>
          <w:lang w:val="zh-CN"/>
          <w14:textFill>
            <w14:solidFill>
              <w14:schemeClr w14:val="tx1"/>
            </w14:solidFill>
          </w14:textFill>
        </w:rPr>
        <w:t>注：</w:t>
      </w:r>
    </w:p>
    <w:p w14:paraId="5E617A73">
      <w:pPr>
        <w:overflowPunct/>
        <w:autoSpaceDE w:val="0"/>
        <w:autoSpaceDN w:val="0"/>
        <w:bidi w:val="0"/>
        <w:adjustRightInd w:val="0"/>
        <w:spacing w:line="480" w:lineRule="auto"/>
        <w:ind w:firstLine="420" w:firstLineChars="200"/>
        <w:textAlignment w:val="baseline"/>
        <w:outlineLvl w:val="9"/>
        <w:rPr>
          <w:rFonts w:ascii="宋体" w:hAnsi="宋体" w:cs="宋体"/>
          <w:snapToGrid w:val="0"/>
          <w:color w:val="000000" w:themeColor="text1"/>
          <w:kern w:val="0"/>
          <w:szCs w:val="32"/>
          <w:highlight w:val="none"/>
          <w:lang w:val="zh-CN"/>
          <w14:textFill>
            <w14:solidFill>
              <w14:schemeClr w14:val="tx1"/>
            </w14:solidFill>
          </w14:textFill>
        </w:rPr>
      </w:pPr>
      <w:r>
        <w:rPr>
          <w:rFonts w:hint="eastAsia" w:ascii="宋体" w:hAnsi="宋体" w:cs="宋体"/>
          <w:snapToGrid w:val="0"/>
          <w:color w:val="000000" w:themeColor="text1"/>
          <w:kern w:val="0"/>
          <w:szCs w:val="32"/>
          <w:highlight w:val="none"/>
          <w14:textFill>
            <w14:solidFill>
              <w14:schemeClr w14:val="tx1"/>
            </w14:solidFill>
          </w14:textFill>
        </w:rPr>
        <w:t>1、</w:t>
      </w:r>
      <w:r>
        <w:rPr>
          <w:rFonts w:ascii="宋体" w:hAnsi="宋体" w:cs="宋体"/>
          <w:snapToGrid w:val="0"/>
          <w:color w:val="000000" w:themeColor="text1"/>
          <w:kern w:val="0"/>
          <w:szCs w:val="32"/>
          <w:highlight w:val="none"/>
          <w:lang w:val="zh-CN"/>
          <w14:textFill>
            <w14:solidFill>
              <w14:schemeClr w14:val="tx1"/>
            </w14:solidFill>
          </w14:textFill>
        </w:rPr>
        <w:t>本表的一切内容均具有法律效力，不得更改</w:t>
      </w:r>
      <w:r>
        <w:rPr>
          <w:rFonts w:hint="eastAsia" w:ascii="宋体" w:hAnsi="宋体" w:cs="宋体"/>
          <w:snapToGrid w:val="0"/>
          <w:color w:val="000000" w:themeColor="text1"/>
          <w:kern w:val="0"/>
          <w:szCs w:val="32"/>
          <w:highlight w:val="none"/>
          <w:lang w:val="zh-CN"/>
          <w14:textFill>
            <w14:solidFill>
              <w14:schemeClr w14:val="tx1"/>
            </w14:solidFill>
          </w14:textFill>
        </w:rPr>
        <w:t>。</w:t>
      </w:r>
      <w:r>
        <w:rPr>
          <w:rFonts w:hint="eastAsia" w:ascii="宋体" w:hAnsi="宋体" w:cs="宋体"/>
          <w:snapToGrid w:val="0"/>
          <w:color w:val="000000" w:themeColor="text1"/>
          <w:kern w:val="0"/>
          <w:szCs w:val="32"/>
          <w:highlight w:val="none"/>
          <w14:textFill>
            <w14:solidFill>
              <w14:schemeClr w14:val="tx1"/>
            </w14:solidFill>
          </w14:textFill>
        </w:rPr>
        <w:t>当报价一览表与响应标文件不一致时，以报价一览表为准</w:t>
      </w:r>
      <w:r>
        <w:rPr>
          <w:rFonts w:ascii="宋体" w:hAnsi="宋体" w:cs="宋体"/>
          <w:snapToGrid w:val="0"/>
          <w:color w:val="000000" w:themeColor="text1"/>
          <w:kern w:val="0"/>
          <w:szCs w:val="32"/>
          <w:highlight w:val="none"/>
          <w:lang w:val="zh-CN"/>
          <w14:textFill>
            <w14:solidFill>
              <w14:schemeClr w14:val="tx1"/>
            </w14:solidFill>
          </w14:textFill>
        </w:rPr>
        <w:t>。</w:t>
      </w:r>
    </w:p>
    <w:p w14:paraId="4817F20C">
      <w:pPr>
        <w:overflowPunct/>
        <w:autoSpaceDE w:val="0"/>
        <w:autoSpaceDN w:val="0"/>
        <w:bidi w:val="0"/>
        <w:adjustRightInd w:val="0"/>
        <w:spacing w:line="480" w:lineRule="auto"/>
        <w:ind w:firstLine="420" w:firstLineChars="200"/>
        <w:textAlignment w:val="baseline"/>
        <w:outlineLvl w:val="9"/>
        <w:rPr>
          <w:rFonts w:ascii="宋体" w:hAnsi="宋体" w:cs="宋体"/>
          <w:snapToGrid w:val="0"/>
          <w:color w:val="000000" w:themeColor="text1"/>
          <w:kern w:val="0"/>
          <w:szCs w:val="32"/>
          <w:highlight w:val="none"/>
          <w14:textFill>
            <w14:solidFill>
              <w14:schemeClr w14:val="tx1"/>
            </w14:solidFill>
          </w14:textFill>
        </w:rPr>
      </w:pPr>
      <w:r>
        <w:rPr>
          <w:rFonts w:hint="eastAsia" w:ascii="宋体" w:hAnsi="宋体" w:cs="宋体"/>
          <w:snapToGrid w:val="0"/>
          <w:color w:val="000000" w:themeColor="text1"/>
          <w:kern w:val="0"/>
          <w:szCs w:val="32"/>
          <w:highlight w:val="none"/>
          <w14:textFill>
            <w14:solidFill>
              <w14:schemeClr w14:val="tx1"/>
            </w14:solidFill>
          </w14:textFill>
        </w:rPr>
        <w:t>2、报价为采购范围所列全部项目的含税报价总和。优惠条件只填“有”或“无”，并在响应文件相应位置附具体内容。</w:t>
      </w:r>
    </w:p>
    <w:p w14:paraId="42A893F3">
      <w:pPr>
        <w:overflowPunct/>
        <w:autoSpaceDE w:val="0"/>
        <w:autoSpaceDN w:val="0"/>
        <w:bidi w:val="0"/>
        <w:adjustRightInd w:val="0"/>
        <w:spacing w:line="480" w:lineRule="auto"/>
        <w:ind w:firstLine="420" w:firstLineChars="200"/>
        <w:textAlignment w:val="baseline"/>
        <w:outlineLvl w:val="9"/>
        <w:rPr>
          <w:b/>
          <w:bCs/>
          <w:color w:val="000000" w:themeColor="text1"/>
          <w:szCs w:val="21"/>
          <w:highlight w:val="none"/>
          <w14:textFill>
            <w14:solidFill>
              <w14:schemeClr w14:val="tx1"/>
            </w14:solidFill>
          </w14:textFill>
        </w:rPr>
      </w:pPr>
      <w:r>
        <w:rPr>
          <w:rFonts w:hint="eastAsia" w:ascii="宋体" w:hAnsi="宋体" w:cs="宋体"/>
          <w:snapToGrid w:val="0"/>
          <w:color w:val="000000" w:themeColor="text1"/>
          <w:kern w:val="0"/>
          <w:szCs w:val="32"/>
          <w:highlight w:val="none"/>
          <w14:textFill>
            <w14:solidFill>
              <w14:schemeClr w14:val="tx1"/>
            </w14:solidFill>
          </w14:textFill>
        </w:rPr>
        <w:t>3</w:t>
      </w:r>
      <w:r>
        <w:rPr>
          <w:rFonts w:ascii="宋体" w:hAnsi="宋体" w:cs="宋体"/>
          <w:snapToGrid w:val="0"/>
          <w:color w:val="000000" w:themeColor="text1"/>
          <w:kern w:val="0"/>
          <w:szCs w:val="32"/>
          <w:highlight w:val="none"/>
          <w:lang w:val="zh-CN"/>
          <w14:textFill>
            <w14:solidFill>
              <w14:schemeClr w14:val="tx1"/>
            </w14:solidFill>
          </w14:textFill>
        </w:rPr>
        <w:t>、本表格须装订在</w:t>
      </w:r>
      <w:r>
        <w:rPr>
          <w:rFonts w:hint="eastAsia" w:ascii="宋体" w:hAnsi="宋体" w:cs="宋体"/>
          <w:snapToGrid w:val="0"/>
          <w:color w:val="000000" w:themeColor="text1"/>
          <w:kern w:val="0"/>
          <w:szCs w:val="32"/>
          <w:highlight w:val="none"/>
          <w14:textFill>
            <w14:solidFill>
              <w14:schemeClr w14:val="tx1"/>
            </w14:solidFill>
          </w14:textFill>
        </w:rPr>
        <w:t>响应</w:t>
      </w:r>
      <w:r>
        <w:rPr>
          <w:rFonts w:ascii="宋体" w:hAnsi="宋体" w:cs="宋体"/>
          <w:snapToGrid w:val="0"/>
          <w:color w:val="000000" w:themeColor="text1"/>
          <w:kern w:val="0"/>
          <w:szCs w:val="32"/>
          <w:highlight w:val="none"/>
          <w:lang w:val="zh-CN"/>
          <w14:textFill>
            <w14:solidFill>
              <w14:schemeClr w14:val="tx1"/>
            </w14:solidFill>
          </w14:textFill>
        </w:rPr>
        <w:t>文件内。然后再将此</w:t>
      </w:r>
      <w:r>
        <w:rPr>
          <w:rFonts w:hint="eastAsia" w:ascii="宋体" w:hAnsi="宋体" w:cs="宋体"/>
          <w:snapToGrid w:val="0"/>
          <w:color w:val="000000" w:themeColor="text1"/>
          <w:kern w:val="0"/>
          <w:szCs w:val="32"/>
          <w:highlight w:val="none"/>
          <w14:textFill>
            <w14:solidFill>
              <w14:schemeClr w14:val="tx1"/>
            </w14:solidFill>
          </w14:textFill>
        </w:rPr>
        <w:t>报价</w:t>
      </w:r>
      <w:r>
        <w:rPr>
          <w:rFonts w:ascii="宋体" w:hAnsi="宋体" w:cs="宋体"/>
          <w:snapToGrid w:val="0"/>
          <w:color w:val="000000" w:themeColor="text1"/>
          <w:kern w:val="0"/>
          <w:szCs w:val="32"/>
          <w:highlight w:val="none"/>
          <w:lang w:val="zh-CN"/>
          <w14:textFill>
            <w14:solidFill>
              <w14:schemeClr w14:val="tx1"/>
            </w14:solidFill>
          </w14:textFill>
        </w:rPr>
        <w:t>一览表单独打印一份签字和加盖印章后，单独密封在一个小信封内，随</w:t>
      </w:r>
      <w:r>
        <w:rPr>
          <w:rFonts w:hint="eastAsia" w:ascii="宋体" w:hAnsi="宋体" w:cs="宋体"/>
          <w:snapToGrid w:val="0"/>
          <w:color w:val="000000" w:themeColor="text1"/>
          <w:kern w:val="0"/>
          <w:szCs w:val="32"/>
          <w:highlight w:val="none"/>
          <w14:textFill>
            <w14:solidFill>
              <w14:schemeClr w14:val="tx1"/>
            </w14:solidFill>
          </w14:textFill>
        </w:rPr>
        <w:t>响应</w:t>
      </w:r>
      <w:r>
        <w:rPr>
          <w:bCs/>
          <w:color w:val="000000" w:themeColor="text1"/>
          <w:szCs w:val="21"/>
          <w:highlight w:val="none"/>
          <w:lang w:val="zh-CN"/>
          <w14:textFill>
            <w14:solidFill>
              <w14:schemeClr w14:val="tx1"/>
            </w14:solidFill>
          </w14:textFill>
        </w:rPr>
        <w:t>文件一同递交用。</w:t>
      </w:r>
    </w:p>
    <w:p w14:paraId="384615DB">
      <w:pPr>
        <w:overflowPunct/>
        <w:bidi w:val="0"/>
        <w:spacing w:line="480" w:lineRule="auto"/>
        <w:ind w:firstLine="2520" w:firstLineChars="1200"/>
        <w:outlineLvl w:val="9"/>
        <w:rPr>
          <w:color w:val="000000" w:themeColor="text1"/>
          <w:szCs w:val="21"/>
          <w:highlight w:val="none"/>
          <w14:textFill>
            <w14:solidFill>
              <w14:schemeClr w14:val="tx1"/>
            </w14:solidFill>
          </w14:textFill>
        </w:rPr>
      </w:pPr>
      <w:r>
        <w:rPr>
          <w:rFonts w:hint="eastAsia"/>
          <w:color w:val="000000" w:themeColor="text1"/>
          <w:szCs w:val="21"/>
          <w:highlight w:val="none"/>
          <w:lang w:eastAsia="zh-CN"/>
          <w14:textFill>
            <w14:solidFill>
              <w14:schemeClr w14:val="tx1"/>
            </w14:solidFill>
          </w14:textFill>
        </w:rPr>
        <w:t>供应商</w:t>
      </w:r>
      <w:r>
        <w:rPr>
          <w:color w:val="000000" w:themeColor="text1"/>
          <w:szCs w:val="21"/>
          <w:highlight w:val="none"/>
          <w14:textFill>
            <w14:solidFill>
              <w14:schemeClr w14:val="tx1"/>
            </w14:solidFill>
          </w14:textFill>
        </w:rPr>
        <w:t>：</w:t>
      </w:r>
      <w:r>
        <w:rPr>
          <w:color w:val="000000" w:themeColor="text1"/>
          <w:szCs w:val="21"/>
          <w:highlight w:val="none"/>
          <w:u w:val="single"/>
          <w14:textFill>
            <w14:solidFill>
              <w14:schemeClr w14:val="tx1"/>
            </w14:solidFill>
          </w14:textFill>
        </w:rPr>
        <w:t xml:space="preserve">                    </w:t>
      </w:r>
      <w:r>
        <w:rPr>
          <w:color w:val="000000" w:themeColor="text1"/>
          <w:szCs w:val="21"/>
          <w:highlight w:val="none"/>
          <w14:textFill>
            <w14:solidFill>
              <w14:schemeClr w14:val="tx1"/>
            </w14:solidFill>
          </w14:textFill>
        </w:rPr>
        <w:t>（公章）</w:t>
      </w:r>
    </w:p>
    <w:p w14:paraId="4A71A03C">
      <w:pPr>
        <w:overflowPunct/>
        <w:bidi w:val="0"/>
        <w:spacing w:line="480" w:lineRule="auto"/>
        <w:ind w:firstLine="2520" w:firstLineChars="1200"/>
        <w:jc w:val="left"/>
        <w:outlineLvl w:val="9"/>
        <w:rPr>
          <w:color w:val="000000" w:themeColor="text1"/>
          <w:szCs w:val="21"/>
          <w:highlight w:val="none"/>
          <w14:textFill>
            <w14:solidFill>
              <w14:schemeClr w14:val="tx1"/>
            </w14:solidFill>
          </w14:textFill>
        </w:rPr>
      </w:pPr>
      <w:r>
        <w:rPr>
          <w:color w:val="000000" w:themeColor="text1"/>
          <w:szCs w:val="21"/>
          <w:highlight w:val="none"/>
          <w14:textFill>
            <w14:solidFill>
              <w14:schemeClr w14:val="tx1"/>
            </w14:solidFill>
          </w14:textFill>
        </w:rPr>
        <w:t>法定代表人</w:t>
      </w:r>
      <w:r>
        <w:rPr>
          <w:rFonts w:hint="eastAsia"/>
          <w:color w:val="000000" w:themeColor="text1"/>
          <w:szCs w:val="21"/>
          <w:highlight w:val="none"/>
          <w14:textFill>
            <w14:solidFill>
              <w14:schemeClr w14:val="tx1"/>
            </w14:solidFill>
          </w14:textFill>
        </w:rPr>
        <w:t>或</w:t>
      </w:r>
      <w:r>
        <w:rPr>
          <w:color w:val="000000" w:themeColor="text1"/>
          <w:szCs w:val="21"/>
          <w:highlight w:val="none"/>
          <w14:textFill>
            <w14:solidFill>
              <w14:schemeClr w14:val="tx1"/>
            </w14:solidFill>
          </w14:textFill>
        </w:rPr>
        <w:t>委托代理人：</w:t>
      </w:r>
      <w:r>
        <w:rPr>
          <w:color w:val="000000" w:themeColor="text1"/>
          <w:szCs w:val="21"/>
          <w:highlight w:val="none"/>
          <w:u w:val="single"/>
          <w14:textFill>
            <w14:solidFill>
              <w14:schemeClr w14:val="tx1"/>
            </w14:solidFill>
          </w14:textFill>
        </w:rPr>
        <w:t xml:space="preserve">                </w:t>
      </w:r>
      <w:r>
        <w:rPr>
          <w:color w:val="000000" w:themeColor="text1"/>
          <w:szCs w:val="21"/>
          <w:highlight w:val="none"/>
          <w14:textFill>
            <w14:solidFill>
              <w14:schemeClr w14:val="tx1"/>
            </w14:solidFill>
          </w14:textFill>
        </w:rPr>
        <w:t>（签字</w:t>
      </w:r>
      <w:r>
        <w:rPr>
          <w:rFonts w:hint="eastAsia"/>
          <w:color w:val="000000" w:themeColor="text1"/>
          <w:szCs w:val="21"/>
          <w:highlight w:val="none"/>
          <w14:textFill>
            <w14:solidFill>
              <w14:schemeClr w14:val="tx1"/>
            </w14:solidFill>
          </w14:textFill>
        </w:rPr>
        <w:t>或</w:t>
      </w:r>
      <w:r>
        <w:rPr>
          <w:color w:val="000000" w:themeColor="text1"/>
          <w:szCs w:val="21"/>
          <w:highlight w:val="none"/>
          <w14:textFill>
            <w14:solidFill>
              <w14:schemeClr w14:val="tx1"/>
            </w14:solidFill>
          </w14:textFill>
        </w:rPr>
        <w:t>盖章）</w:t>
      </w:r>
    </w:p>
    <w:p w14:paraId="51AD8BE6">
      <w:pPr>
        <w:overflowPunct/>
        <w:bidi w:val="0"/>
        <w:spacing w:line="440" w:lineRule="exact"/>
        <w:ind w:firstLine="2530" w:firstLineChars="1205"/>
        <w:outlineLvl w:val="9"/>
        <w:rPr>
          <w:color w:val="000000" w:themeColor="text1"/>
          <w:highlight w:val="none"/>
          <w14:textFill>
            <w14:solidFill>
              <w14:schemeClr w14:val="tx1"/>
            </w14:solidFill>
          </w14:textFill>
        </w:rPr>
      </w:pPr>
      <w:r>
        <w:rPr>
          <w:color w:val="000000" w:themeColor="text1"/>
          <w:szCs w:val="21"/>
          <w:highlight w:val="none"/>
          <w14:textFill>
            <w14:solidFill>
              <w14:schemeClr w14:val="tx1"/>
            </w14:solidFill>
          </w14:textFill>
        </w:rPr>
        <w:t>日    期：    年    月    日</w:t>
      </w:r>
    </w:p>
    <w:p w14:paraId="0123BFDC">
      <w:pPr>
        <w:overflowPunct/>
        <w:bidi w:val="0"/>
        <w:spacing w:line="300" w:lineRule="auto"/>
        <w:ind w:firstLine="420" w:firstLineChars="200"/>
        <w:outlineLvl w:val="9"/>
        <w:rPr>
          <w:color w:val="000000" w:themeColor="text1"/>
          <w:highlight w:val="none"/>
          <w14:textFill>
            <w14:solidFill>
              <w14:schemeClr w14:val="tx1"/>
            </w14:solidFill>
          </w14:textFill>
        </w:rPr>
      </w:pPr>
    </w:p>
    <w:p w14:paraId="489A3B9F">
      <w:pPr>
        <w:overflowPunct/>
        <w:autoSpaceDE w:val="0"/>
        <w:autoSpaceDN w:val="0"/>
        <w:bidi w:val="0"/>
        <w:jc w:val="center"/>
        <w:outlineLvl w:val="9"/>
        <w:rPr>
          <w:rFonts w:hint="eastAsia"/>
          <w:b/>
          <w:color w:val="000000" w:themeColor="text1"/>
          <w:sz w:val="32"/>
          <w:szCs w:val="32"/>
          <w:highlight w:val="none"/>
          <w14:textFill>
            <w14:solidFill>
              <w14:schemeClr w14:val="tx1"/>
            </w14:solidFill>
          </w14:textFill>
        </w:rPr>
      </w:pPr>
      <w:bookmarkStart w:id="58" w:name="_Toc402425839"/>
      <w:r>
        <w:rPr>
          <w:b/>
          <w:color w:val="000000" w:themeColor="text1"/>
          <w:highlight w:val="none"/>
          <w14:textFill>
            <w14:solidFill>
              <w14:schemeClr w14:val="tx1"/>
            </w14:solidFill>
          </w14:textFill>
        </w:rPr>
        <w:br w:type="page"/>
      </w:r>
      <w:bookmarkEnd w:id="51"/>
      <w:bookmarkEnd w:id="58"/>
      <w:r>
        <w:rPr>
          <w:b/>
          <w:color w:val="000000" w:themeColor="text1"/>
          <w:sz w:val="32"/>
          <w:szCs w:val="32"/>
          <w:highlight w:val="none"/>
          <w14:textFill>
            <w14:solidFill>
              <w14:schemeClr w14:val="tx1"/>
            </w14:solidFill>
          </w14:textFill>
        </w:rPr>
        <w:t>五、报价</w:t>
      </w:r>
      <w:r>
        <w:rPr>
          <w:rFonts w:hint="eastAsia"/>
          <w:b/>
          <w:color w:val="000000" w:themeColor="text1"/>
          <w:sz w:val="32"/>
          <w:szCs w:val="32"/>
          <w:highlight w:val="none"/>
          <w14:textFill>
            <w14:solidFill>
              <w14:schemeClr w14:val="tx1"/>
            </w14:solidFill>
          </w14:textFill>
        </w:rPr>
        <w:t>明细</w:t>
      </w:r>
    </w:p>
    <w:p w14:paraId="6C4DCD1A">
      <w:pPr>
        <w:overflowPunct/>
        <w:autoSpaceDE w:val="0"/>
        <w:autoSpaceDN w:val="0"/>
        <w:bidi w:val="0"/>
        <w:snapToGrid w:val="0"/>
        <w:outlineLvl w:val="9"/>
        <w:rPr>
          <w:color w:val="000000" w:themeColor="text1"/>
          <w:spacing w:val="11"/>
          <w:szCs w:val="21"/>
          <w:highlight w:val="none"/>
          <w14:textFill>
            <w14:solidFill>
              <w14:schemeClr w14:val="tx1"/>
            </w14:solidFill>
          </w14:textFill>
        </w:rPr>
      </w:pPr>
    </w:p>
    <w:p w14:paraId="392DA8FB">
      <w:pPr>
        <w:overflowPunct/>
        <w:autoSpaceDE w:val="0"/>
        <w:autoSpaceDN w:val="0"/>
        <w:bidi w:val="0"/>
        <w:snapToGrid w:val="0"/>
        <w:outlineLvl w:val="9"/>
        <w:rPr>
          <w:color w:val="000000" w:themeColor="text1"/>
          <w:spacing w:val="11"/>
          <w:szCs w:val="21"/>
          <w:highlight w:val="none"/>
          <w14:textFill>
            <w14:solidFill>
              <w14:schemeClr w14:val="tx1"/>
            </w14:solidFill>
          </w14:textFill>
        </w:rPr>
      </w:pPr>
    </w:p>
    <w:p w14:paraId="2D660842">
      <w:pPr>
        <w:overflowPunct/>
        <w:autoSpaceDE w:val="0"/>
        <w:autoSpaceDN w:val="0"/>
        <w:bidi w:val="0"/>
        <w:snapToGrid w:val="0"/>
        <w:outlineLvl w:val="9"/>
        <w:rPr>
          <w:rFonts w:hint="eastAsia" w:eastAsia="宋体"/>
          <w:color w:val="000000" w:themeColor="text1"/>
          <w:spacing w:val="11"/>
          <w:szCs w:val="21"/>
          <w:highlight w:val="none"/>
          <w:lang w:eastAsia="zh-CN"/>
          <w14:textFill>
            <w14:solidFill>
              <w14:schemeClr w14:val="tx1"/>
            </w14:solidFill>
          </w14:textFill>
        </w:rPr>
      </w:pPr>
      <w:r>
        <w:rPr>
          <w:rFonts w:hint="eastAsia"/>
          <w:color w:val="000000" w:themeColor="text1"/>
          <w:spacing w:val="11"/>
          <w:szCs w:val="21"/>
          <w:highlight w:val="none"/>
          <w14:textFill>
            <w14:solidFill>
              <w14:schemeClr w14:val="tx1"/>
            </w14:solidFill>
          </w14:textFill>
        </w:rPr>
        <w:t>内容由</w:t>
      </w:r>
      <w:r>
        <w:rPr>
          <w:rFonts w:hint="eastAsia"/>
          <w:color w:val="000000" w:themeColor="text1"/>
          <w:spacing w:val="11"/>
          <w:szCs w:val="21"/>
          <w:highlight w:val="none"/>
          <w:lang w:eastAsia="zh-CN"/>
          <w14:textFill>
            <w14:solidFill>
              <w14:schemeClr w14:val="tx1"/>
            </w14:solidFill>
          </w14:textFill>
        </w:rPr>
        <w:t>供应商</w:t>
      </w:r>
      <w:r>
        <w:rPr>
          <w:rFonts w:hint="eastAsia"/>
          <w:color w:val="000000" w:themeColor="text1"/>
          <w:spacing w:val="11"/>
          <w:szCs w:val="21"/>
          <w:highlight w:val="none"/>
          <w14:textFill>
            <w14:solidFill>
              <w14:schemeClr w14:val="tx1"/>
            </w14:solidFill>
          </w14:textFill>
        </w:rPr>
        <w:t>根据项目需要自行编制。</w:t>
      </w:r>
      <w:r>
        <w:rPr>
          <w:rFonts w:hint="eastAsia"/>
          <w:color w:val="000000" w:themeColor="text1"/>
          <w:spacing w:val="11"/>
          <w:szCs w:val="21"/>
          <w:highlight w:val="none"/>
          <w:lang w:eastAsia="zh-CN"/>
          <w14:textFill>
            <w14:solidFill>
              <w14:schemeClr w14:val="tx1"/>
            </w14:solidFill>
          </w14:textFill>
        </w:rPr>
        <w:t>需体现品目名称、厂家、品牌、规格型号等相关信息。</w:t>
      </w:r>
    </w:p>
    <w:p w14:paraId="4BCFB689">
      <w:pPr>
        <w:overflowPunct/>
        <w:autoSpaceDE w:val="0"/>
        <w:autoSpaceDN w:val="0"/>
        <w:bidi w:val="0"/>
        <w:snapToGrid w:val="0"/>
        <w:outlineLvl w:val="9"/>
        <w:rPr>
          <w:color w:val="000000" w:themeColor="text1"/>
          <w:spacing w:val="11"/>
          <w:szCs w:val="21"/>
          <w:highlight w:val="none"/>
          <w14:textFill>
            <w14:solidFill>
              <w14:schemeClr w14:val="tx1"/>
            </w14:solidFill>
          </w14:textFill>
        </w:rPr>
      </w:pPr>
    </w:p>
    <w:p w14:paraId="0DBCB4A5">
      <w:pPr>
        <w:overflowPunct/>
        <w:autoSpaceDE w:val="0"/>
        <w:autoSpaceDN w:val="0"/>
        <w:bidi w:val="0"/>
        <w:snapToGrid w:val="0"/>
        <w:outlineLvl w:val="9"/>
        <w:rPr>
          <w:color w:val="000000" w:themeColor="text1"/>
          <w:spacing w:val="11"/>
          <w:szCs w:val="21"/>
          <w:highlight w:val="none"/>
          <w14:textFill>
            <w14:solidFill>
              <w14:schemeClr w14:val="tx1"/>
            </w14:solidFill>
          </w14:textFill>
        </w:rPr>
      </w:pPr>
    </w:p>
    <w:p w14:paraId="6DA4F24C">
      <w:pPr>
        <w:overflowPunct/>
        <w:autoSpaceDE w:val="0"/>
        <w:autoSpaceDN w:val="0"/>
        <w:bidi w:val="0"/>
        <w:snapToGrid w:val="0"/>
        <w:outlineLvl w:val="9"/>
        <w:rPr>
          <w:color w:val="000000" w:themeColor="text1"/>
          <w:spacing w:val="11"/>
          <w:szCs w:val="21"/>
          <w:highlight w:val="none"/>
          <w14:textFill>
            <w14:solidFill>
              <w14:schemeClr w14:val="tx1"/>
            </w14:solidFill>
          </w14:textFill>
        </w:rPr>
      </w:pPr>
    </w:p>
    <w:p w14:paraId="66355913">
      <w:pPr>
        <w:overflowPunct/>
        <w:autoSpaceDE w:val="0"/>
        <w:autoSpaceDN w:val="0"/>
        <w:bidi w:val="0"/>
        <w:snapToGrid w:val="0"/>
        <w:outlineLvl w:val="9"/>
        <w:rPr>
          <w:color w:val="000000" w:themeColor="text1"/>
          <w:spacing w:val="11"/>
          <w:szCs w:val="21"/>
          <w:highlight w:val="none"/>
          <w14:textFill>
            <w14:solidFill>
              <w14:schemeClr w14:val="tx1"/>
            </w14:solidFill>
          </w14:textFill>
        </w:rPr>
      </w:pPr>
    </w:p>
    <w:p w14:paraId="7933E63D">
      <w:pPr>
        <w:overflowPunct/>
        <w:autoSpaceDE w:val="0"/>
        <w:autoSpaceDN w:val="0"/>
        <w:bidi w:val="0"/>
        <w:snapToGrid w:val="0"/>
        <w:outlineLvl w:val="9"/>
        <w:rPr>
          <w:color w:val="000000" w:themeColor="text1"/>
          <w:spacing w:val="11"/>
          <w:szCs w:val="21"/>
          <w:highlight w:val="none"/>
          <w14:textFill>
            <w14:solidFill>
              <w14:schemeClr w14:val="tx1"/>
            </w14:solidFill>
          </w14:textFill>
        </w:rPr>
      </w:pPr>
    </w:p>
    <w:p w14:paraId="5071439C">
      <w:pPr>
        <w:overflowPunct/>
        <w:autoSpaceDE w:val="0"/>
        <w:autoSpaceDN w:val="0"/>
        <w:bidi w:val="0"/>
        <w:snapToGrid w:val="0"/>
        <w:outlineLvl w:val="9"/>
        <w:rPr>
          <w:color w:val="000000" w:themeColor="text1"/>
          <w:spacing w:val="11"/>
          <w:szCs w:val="21"/>
          <w:highlight w:val="none"/>
          <w14:textFill>
            <w14:solidFill>
              <w14:schemeClr w14:val="tx1"/>
            </w14:solidFill>
          </w14:textFill>
        </w:rPr>
      </w:pPr>
    </w:p>
    <w:p w14:paraId="6306840C">
      <w:pPr>
        <w:overflowPunct/>
        <w:autoSpaceDE w:val="0"/>
        <w:autoSpaceDN w:val="0"/>
        <w:bidi w:val="0"/>
        <w:snapToGrid w:val="0"/>
        <w:outlineLvl w:val="9"/>
        <w:rPr>
          <w:color w:val="000000" w:themeColor="text1"/>
          <w:spacing w:val="11"/>
          <w:szCs w:val="21"/>
          <w:highlight w:val="none"/>
          <w14:textFill>
            <w14:solidFill>
              <w14:schemeClr w14:val="tx1"/>
            </w14:solidFill>
          </w14:textFill>
        </w:rPr>
      </w:pPr>
    </w:p>
    <w:p w14:paraId="2446981B">
      <w:pPr>
        <w:overflowPunct/>
        <w:autoSpaceDE w:val="0"/>
        <w:autoSpaceDN w:val="0"/>
        <w:bidi w:val="0"/>
        <w:snapToGrid w:val="0"/>
        <w:outlineLvl w:val="9"/>
        <w:rPr>
          <w:color w:val="000000" w:themeColor="text1"/>
          <w:spacing w:val="11"/>
          <w:szCs w:val="21"/>
          <w:highlight w:val="none"/>
          <w14:textFill>
            <w14:solidFill>
              <w14:schemeClr w14:val="tx1"/>
            </w14:solidFill>
          </w14:textFill>
        </w:rPr>
      </w:pPr>
    </w:p>
    <w:p w14:paraId="5E0D657D">
      <w:pPr>
        <w:overflowPunct/>
        <w:autoSpaceDE w:val="0"/>
        <w:autoSpaceDN w:val="0"/>
        <w:bidi w:val="0"/>
        <w:snapToGrid w:val="0"/>
        <w:outlineLvl w:val="9"/>
        <w:rPr>
          <w:color w:val="000000" w:themeColor="text1"/>
          <w:spacing w:val="11"/>
          <w:szCs w:val="21"/>
          <w:highlight w:val="none"/>
          <w14:textFill>
            <w14:solidFill>
              <w14:schemeClr w14:val="tx1"/>
            </w14:solidFill>
          </w14:textFill>
        </w:rPr>
      </w:pPr>
    </w:p>
    <w:p w14:paraId="006EB7C3">
      <w:pPr>
        <w:overflowPunct/>
        <w:autoSpaceDE w:val="0"/>
        <w:autoSpaceDN w:val="0"/>
        <w:bidi w:val="0"/>
        <w:snapToGrid w:val="0"/>
        <w:outlineLvl w:val="9"/>
        <w:rPr>
          <w:color w:val="000000" w:themeColor="text1"/>
          <w:spacing w:val="11"/>
          <w:szCs w:val="21"/>
          <w:highlight w:val="none"/>
          <w14:textFill>
            <w14:solidFill>
              <w14:schemeClr w14:val="tx1"/>
            </w14:solidFill>
          </w14:textFill>
        </w:rPr>
      </w:pPr>
    </w:p>
    <w:p w14:paraId="3866AEAD">
      <w:pPr>
        <w:overflowPunct/>
        <w:autoSpaceDE w:val="0"/>
        <w:autoSpaceDN w:val="0"/>
        <w:bidi w:val="0"/>
        <w:snapToGrid w:val="0"/>
        <w:outlineLvl w:val="9"/>
        <w:rPr>
          <w:color w:val="000000" w:themeColor="text1"/>
          <w:spacing w:val="11"/>
          <w:szCs w:val="21"/>
          <w:highlight w:val="none"/>
          <w14:textFill>
            <w14:solidFill>
              <w14:schemeClr w14:val="tx1"/>
            </w14:solidFill>
          </w14:textFill>
        </w:rPr>
      </w:pPr>
    </w:p>
    <w:p w14:paraId="3C206C54">
      <w:pPr>
        <w:overflowPunct/>
        <w:autoSpaceDE w:val="0"/>
        <w:autoSpaceDN w:val="0"/>
        <w:bidi w:val="0"/>
        <w:snapToGrid w:val="0"/>
        <w:outlineLvl w:val="9"/>
        <w:rPr>
          <w:color w:val="000000" w:themeColor="text1"/>
          <w:spacing w:val="11"/>
          <w:szCs w:val="21"/>
          <w:highlight w:val="none"/>
          <w14:textFill>
            <w14:solidFill>
              <w14:schemeClr w14:val="tx1"/>
            </w14:solidFill>
          </w14:textFill>
        </w:rPr>
      </w:pPr>
    </w:p>
    <w:p w14:paraId="54E4C91E">
      <w:pPr>
        <w:overflowPunct/>
        <w:bidi w:val="0"/>
        <w:spacing w:line="480" w:lineRule="auto"/>
        <w:ind w:firstLine="420" w:firstLineChars="200"/>
        <w:jc w:val="right"/>
        <w:outlineLvl w:val="9"/>
        <w:rPr>
          <w:color w:val="000000" w:themeColor="text1"/>
          <w:szCs w:val="21"/>
          <w:highlight w:val="none"/>
          <w14:textFill>
            <w14:solidFill>
              <w14:schemeClr w14:val="tx1"/>
            </w14:solidFill>
          </w14:textFill>
        </w:rPr>
      </w:pPr>
    </w:p>
    <w:p w14:paraId="0D7A9C68">
      <w:pPr>
        <w:overflowPunct/>
        <w:bidi w:val="0"/>
        <w:spacing w:line="480" w:lineRule="auto"/>
        <w:ind w:firstLine="2520" w:firstLineChars="1200"/>
        <w:outlineLvl w:val="9"/>
        <w:rPr>
          <w:color w:val="000000" w:themeColor="text1"/>
          <w:szCs w:val="21"/>
          <w:highlight w:val="none"/>
          <w14:textFill>
            <w14:solidFill>
              <w14:schemeClr w14:val="tx1"/>
            </w14:solidFill>
          </w14:textFill>
        </w:rPr>
      </w:pPr>
      <w:r>
        <w:rPr>
          <w:rFonts w:hint="eastAsia"/>
          <w:color w:val="000000" w:themeColor="text1"/>
          <w:szCs w:val="21"/>
          <w:highlight w:val="none"/>
          <w:lang w:eastAsia="zh-CN"/>
          <w14:textFill>
            <w14:solidFill>
              <w14:schemeClr w14:val="tx1"/>
            </w14:solidFill>
          </w14:textFill>
        </w:rPr>
        <w:t>供应商</w:t>
      </w:r>
      <w:r>
        <w:rPr>
          <w:color w:val="000000" w:themeColor="text1"/>
          <w:szCs w:val="21"/>
          <w:highlight w:val="none"/>
          <w14:textFill>
            <w14:solidFill>
              <w14:schemeClr w14:val="tx1"/>
            </w14:solidFill>
          </w14:textFill>
        </w:rPr>
        <w:t>：</w:t>
      </w:r>
      <w:r>
        <w:rPr>
          <w:color w:val="000000" w:themeColor="text1"/>
          <w:szCs w:val="21"/>
          <w:highlight w:val="none"/>
          <w:u w:val="single"/>
          <w14:textFill>
            <w14:solidFill>
              <w14:schemeClr w14:val="tx1"/>
            </w14:solidFill>
          </w14:textFill>
        </w:rPr>
        <w:t xml:space="preserve">                    </w:t>
      </w:r>
      <w:r>
        <w:rPr>
          <w:color w:val="000000" w:themeColor="text1"/>
          <w:szCs w:val="21"/>
          <w:highlight w:val="none"/>
          <w14:textFill>
            <w14:solidFill>
              <w14:schemeClr w14:val="tx1"/>
            </w14:solidFill>
          </w14:textFill>
        </w:rPr>
        <w:t>（公章）</w:t>
      </w:r>
    </w:p>
    <w:p w14:paraId="1777AA4D">
      <w:pPr>
        <w:overflowPunct/>
        <w:bidi w:val="0"/>
        <w:spacing w:line="480" w:lineRule="auto"/>
        <w:ind w:firstLine="2520" w:firstLineChars="1200"/>
        <w:jc w:val="left"/>
        <w:outlineLvl w:val="9"/>
        <w:rPr>
          <w:color w:val="000000" w:themeColor="text1"/>
          <w:szCs w:val="21"/>
          <w:highlight w:val="none"/>
          <w14:textFill>
            <w14:solidFill>
              <w14:schemeClr w14:val="tx1"/>
            </w14:solidFill>
          </w14:textFill>
        </w:rPr>
      </w:pPr>
      <w:r>
        <w:rPr>
          <w:color w:val="000000" w:themeColor="text1"/>
          <w:szCs w:val="21"/>
          <w:highlight w:val="none"/>
          <w14:textFill>
            <w14:solidFill>
              <w14:schemeClr w14:val="tx1"/>
            </w14:solidFill>
          </w14:textFill>
        </w:rPr>
        <w:t>法定代表人</w:t>
      </w:r>
      <w:r>
        <w:rPr>
          <w:rFonts w:hint="eastAsia"/>
          <w:color w:val="000000" w:themeColor="text1"/>
          <w:szCs w:val="21"/>
          <w:highlight w:val="none"/>
          <w14:textFill>
            <w14:solidFill>
              <w14:schemeClr w14:val="tx1"/>
            </w14:solidFill>
          </w14:textFill>
        </w:rPr>
        <w:t>或</w:t>
      </w:r>
      <w:r>
        <w:rPr>
          <w:color w:val="000000" w:themeColor="text1"/>
          <w:szCs w:val="21"/>
          <w:highlight w:val="none"/>
          <w14:textFill>
            <w14:solidFill>
              <w14:schemeClr w14:val="tx1"/>
            </w14:solidFill>
          </w14:textFill>
        </w:rPr>
        <w:t>委托代理人：</w:t>
      </w:r>
      <w:r>
        <w:rPr>
          <w:color w:val="000000" w:themeColor="text1"/>
          <w:szCs w:val="21"/>
          <w:highlight w:val="none"/>
          <w:u w:val="single"/>
          <w14:textFill>
            <w14:solidFill>
              <w14:schemeClr w14:val="tx1"/>
            </w14:solidFill>
          </w14:textFill>
        </w:rPr>
        <w:t xml:space="preserve">                </w:t>
      </w:r>
      <w:r>
        <w:rPr>
          <w:color w:val="000000" w:themeColor="text1"/>
          <w:szCs w:val="21"/>
          <w:highlight w:val="none"/>
          <w14:textFill>
            <w14:solidFill>
              <w14:schemeClr w14:val="tx1"/>
            </w14:solidFill>
          </w14:textFill>
        </w:rPr>
        <w:t>（签字</w:t>
      </w:r>
      <w:r>
        <w:rPr>
          <w:rFonts w:hint="eastAsia"/>
          <w:color w:val="000000" w:themeColor="text1"/>
          <w:szCs w:val="21"/>
          <w:highlight w:val="none"/>
          <w14:textFill>
            <w14:solidFill>
              <w14:schemeClr w14:val="tx1"/>
            </w14:solidFill>
          </w14:textFill>
        </w:rPr>
        <w:t>或</w:t>
      </w:r>
      <w:r>
        <w:rPr>
          <w:color w:val="000000" w:themeColor="text1"/>
          <w:szCs w:val="21"/>
          <w:highlight w:val="none"/>
          <w14:textFill>
            <w14:solidFill>
              <w14:schemeClr w14:val="tx1"/>
            </w14:solidFill>
          </w14:textFill>
        </w:rPr>
        <w:t>盖章）</w:t>
      </w:r>
    </w:p>
    <w:p w14:paraId="7395F46C">
      <w:pPr>
        <w:overflowPunct/>
        <w:bidi w:val="0"/>
        <w:spacing w:line="440" w:lineRule="exact"/>
        <w:ind w:firstLine="2530" w:firstLineChars="1205"/>
        <w:outlineLvl w:val="9"/>
        <w:rPr>
          <w:color w:val="000000" w:themeColor="text1"/>
          <w:highlight w:val="none"/>
          <w14:textFill>
            <w14:solidFill>
              <w14:schemeClr w14:val="tx1"/>
            </w14:solidFill>
          </w14:textFill>
        </w:rPr>
      </w:pPr>
      <w:r>
        <w:rPr>
          <w:color w:val="000000" w:themeColor="text1"/>
          <w:szCs w:val="21"/>
          <w:highlight w:val="none"/>
          <w14:textFill>
            <w14:solidFill>
              <w14:schemeClr w14:val="tx1"/>
            </w14:solidFill>
          </w14:textFill>
        </w:rPr>
        <w:t>日    期：    年    月    日</w:t>
      </w:r>
    </w:p>
    <w:p w14:paraId="0E82DF9D">
      <w:pPr>
        <w:overflowPunct/>
        <w:bidi w:val="0"/>
        <w:spacing w:line="440" w:lineRule="exact"/>
        <w:ind w:firstLine="1028"/>
        <w:jc w:val="right"/>
        <w:outlineLvl w:val="9"/>
        <w:rPr>
          <w:color w:val="000000" w:themeColor="text1"/>
          <w:highlight w:val="none"/>
          <w:u w:val="single"/>
          <w14:textFill>
            <w14:solidFill>
              <w14:schemeClr w14:val="tx1"/>
            </w14:solidFill>
          </w14:textFill>
        </w:rPr>
      </w:pPr>
    </w:p>
    <w:p w14:paraId="3CC48A3D">
      <w:pPr>
        <w:overflowPunct/>
        <w:bidi w:val="0"/>
        <w:spacing w:line="440" w:lineRule="exact"/>
        <w:ind w:firstLine="1028"/>
        <w:outlineLvl w:val="9"/>
        <w:rPr>
          <w:color w:val="000000" w:themeColor="text1"/>
          <w:highlight w:val="none"/>
          <w14:textFill>
            <w14:solidFill>
              <w14:schemeClr w14:val="tx1"/>
            </w14:solidFill>
          </w14:textFill>
        </w:rPr>
      </w:pPr>
    </w:p>
    <w:p w14:paraId="4789E15D">
      <w:pPr>
        <w:pStyle w:val="16"/>
        <w:overflowPunct/>
        <w:bidi w:val="0"/>
        <w:outlineLvl w:val="9"/>
        <w:rPr>
          <w:color w:val="000000" w:themeColor="text1"/>
          <w:highlight w:val="none"/>
          <w14:textFill>
            <w14:solidFill>
              <w14:schemeClr w14:val="tx1"/>
            </w14:solidFill>
          </w14:textFill>
        </w:rPr>
      </w:pPr>
    </w:p>
    <w:p w14:paraId="71E569B3">
      <w:pPr>
        <w:overflowPunct/>
        <w:bidi w:val="0"/>
        <w:outlineLvl w:val="9"/>
        <w:rPr>
          <w:color w:val="000000" w:themeColor="text1"/>
          <w:highlight w:val="none"/>
          <w14:textFill>
            <w14:solidFill>
              <w14:schemeClr w14:val="tx1"/>
            </w14:solidFill>
          </w14:textFill>
        </w:rPr>
      </w:pPr>
    </w:p>
    <w:p w14:paraId="51BDBED5">
      <w:pPr>
        <w:pStyle w:val="16"/>
        <w:overflowPunct/>
        <w:bidi w:val="0"/>
        <w:outlineLvl w:val="9"/>
        <w:rPr>
          <w:color w:val="000000" w:themeColor="text1"/>
          <w:highlight w:val="none"/>
          <w14:textFill>
            <w14:solidFill>
              <w14:schemeClr w14:val="tx1"/>
            </w14:solidFill>
          </w14:textFill>
        </w:rPr>
      </w:pPr>
    </w:p>
    <w:p w14:paraId="304171C8">
      <w:pPr>
        <w:overflowPunct/>
        <w:bidi w:val="0"/>
        <w:outlineLvl w:val="9"/>
        <w:rPr>
          <w:color w:val="000000" w:themeColor="text1"/>
          <w:highlight w:val="none"/>
          <w14:textFill>
            <w14:solidFill>
              <w14:schemeClr w14:val="tx1"/>
            </w14:solidFill>
          </w14:textFill>
        </w:rPr>
      </w:pPr>
    </w:p>
    <w:p w14:paraId="330A09F2">
      <w:pPr>
        <w:pStyle w:val="16"/>
        <w:overflowPunct/>
        <w:bidi w:val="0"/>
        <w:outlineLvl w:val="9"/>
        <w:rPr>
          <w:color w:val="000000" w:themeColor="text1"/>
          <w:highlight w:val="none"/>
          <w14:textFill>
            <w14:solidFill>
              <w14:schemeClr w14:val="tx1"/>
            </w14:solidFill>
          </w14:textFill>
        </w:rPr>
      </w:pPr>
    </w:p>
    <w:p w14:paraId="6A00C969">
      <w:pPr>
        <w:overflowPunct/>
        <w:bidi w:val="0"/>
        <w:outlineLvl w:val="9"/>
        <w:rPr>
          <w:color w:val="000000" w:themeColor="text1"/>
          <w:highlight w:val="none"/>
          <w14:textFill>
            <w14:solidFill>
              <w14:schemeClr w14:val="tx1"/>
            </w14:solidFill>
          </w14:textFill>
        </w:rPr>
      </w:pPr>
    </w:p>
    <w:p w14:paraId="357BCF4A">
      <w:pPr>
        <w:pStyle w:val="16"/>
        <w:overflowPunct/>
        <w:bidi w:val="0"/>
        <w:outlineLvl w:val="9"/>
        <w:rPr>
          <w:color w:val="000000" w:themeColor="text1"/>
          <w:highlight w:val="none"/>
          <w14:textFill>
            <w14:solidFill>
              <w14:schemeClr w14:val="tx1"/>
            </w14:solidFill>
          </w14:textFill>
        </w:rPr>
      </w:pPr>
    </w:p>
    <w:p w14:paraId="2561F4E3">
      <w:pPr>
        <w:overflowPunct/>
        <w:bidi w:val="0"/>
        <w:outlineLvl w:val="9"/>
        <w:rPr>
          <w:color w:val="000000" w:themeColor="text1"/>
          <w:highlight w:val="none"/>
          <w14:textFill>
            <w14:solidFill>
              <w14:schemeClr w14:val="tx1"/>
            </w14:solidFill>
          </w14:textFill>
        </w:rPr>
      </w:pPr>
    </w:p>
    <w:p w14:paraId="55EADC61">
      <w:pPr>
        <w:pStyle w:val="16"/>
        <w:overflowPunct/>
        <w:bidi w:val="0"/>
        <w:outlineLvl w:val="9"/>
        <w:rPr>
          <w:color w:val="000000" w:themeColor="text1"/>
          <w:highlight w:val="none"/>
          <w14:textFill>
            <w14:solidFill>
              <w14:schemeClr w14:val="tx1"/>
            </w14:solidFill>
          </w14:textFill>
        </w:rPr>
      </w:pPr>
    </w:p>
    <w:p w14:paraId="7563F2B9">
      <w:pPr>
        <w:overflowPunct/>
        <w:bidi w:val="0"/>
        <w:outlineLvl w:val="9"/>
        <w:rPr>
          <w:color w:val="000000" w:themeColor="text1"/>
          <w:highlight w:val="none"/>
          <w14:textFill>
            <w14:solidFill>
              <w14:schemeClr w14:val="tx1"/>
            </w14:solidFill>
          </w14:textFill>
        </w:rPr>
      </w:pPr>
    </w:p>
    <w:p w14:paraId="28343AFF">
      <w:pPr>
        <w:pStyle w:val="16"/>
        <w:overflowPunct/>
        <w:bidi w:val="0"/>
        <w:outlineLvl w:val="9"/>
        <w:rPr>
          <w:color w:val="000000" w:themeColor="text1"/>
          <w:highlight w:val="none"/>
          <w14:textFill>
            <w14:solidFill>
              <w14:schemeClr w14:val="tx1"/>
            </w14:solidFill>
          </w14:textFill>
        </w:rPr>
      </w:pPr>
    </w:p>
    <w:p w14:paraId="6695072F">
      <w:pPr>
        <w:overflowPunct/>
        <w:bidi w:val="0"/>
        <w:outlineLvl w:val="9"/>
        <w:rPr>
          <w:color w:val="000000" w:themeColor="text1"/>
          <w:highlight w:val="none"/>
          <w14:textFill>
            <w14:solidFill>
              <w14:schemeClr w14:val="tx1"/>
            </w14:solidFill>
          </w14:textFill>
        </w:rPr>
      </w:pPr>
    </w:p>
    <w:p w14:paraId="6CF0B3A6">
      <w:pPr>
        <w:pStyle w:val="16"/>
        <w:overflowPunct/>
        <w:bidi w:val="0"/>
        <w:outlineLvl w:val="9"/>
        <w:rPr>
          <w:color w:val="000000" w:themeColor="text1"/>
          <w:highlight w:val="none"/>
          <w14:textFill>
            <w14:solidFill>
              <w14:schemeClr w14:val="tx1"/>
            </w14:solidFill>
          </w14:textFill>
        </w:rPr>
      </w:pPr>
    </w:p>
    <w:p w14:paraId="72511C1E">
      <w:pPr>
        <w:overflowPunct/>
        <w:bidi w:val="0"/>
        <w:outlineLvl w:val="9"/>
        <w:rPr>
          <w:color w:val="000000" w:themeColor="text1"/>
          <w:highlight w:val="none"/>
          <w14:textFill>
            <w14:solidFill>
              <w14:schemeClr w14:val="tx1"/>
            </w14:solidFill>
          </w14:textFill>
        </w:rPr>
      </w:pPr>
    </w:p>
    <w:p w14:paraId="0C54A2DD">
      <w:pPr>
        <w:pStyle w:val="16"/>
        <w:overflowPunct/>
        <w:bidi w:val="0"/>
        <w:outlineLvl w:val="9"/>
        <w:rPr>
          <w:color w:val="000000" w:themeColor="text1"/>
          <w:highlight w:val="none"/>
          <w14:textFill>
            <w14:solidFill>
              <w14:schemeClr w14:val="tx1"/>
            </w14:solidFill>
          </w14:textFill>
        </w:rPr>
      </w:pPr>
    </w:p>
    <w:p w14:paraId="1D79F0F8">
      <w:pPr>
        <w:overflowPunct/>
        <w:bidi w:val="0"/>
        <w:outlineLvl w:val="9"/>
        <w:rPr>
          <w:color w:val="000000" w:themeColor="text1"/>
          <w:highlight w:val="none"/>
          <w14:textFill>
            <w14:solidFill>
              <w14:schemeClr w14:val="tx1"/>
            </w14:solidFill>
          </w14:textFill>
        </w:rPr>
      </w:pPr>
    </w:p>
    <w:p w14:paraId="10B64D35">
      <w:pPr>
        <w:pStyle w:val="16"/>
        <w:overflowPunct/>
        <w:bidi w:val="0"/>
        <w:outlineLvl w:val="9"/>
        <w:rPr>
          <w:color w:val="000000" w:themeColor="text1"/>
          <w:highlight w:val="none"/>
          <w14:textFill>
            <w14:solidFill>
              <w14:schemeClr w14:val="tx1"/>
            </w14:solidFill>
          </w14:textFill>
        </w:rPr>
      </w:pPr>
    </w:p>
    <w:p w14:paraId="05B84EEC">
      <w:pPr>
        <w:overflowPunct/>
        <w:bidi w:val="0"/>
        <w:outlineLvl w:val="9"/>
        <w:rPr>
          <w:b/>
          <w:color w:val="000000" w:themeColor="text1"/>
          <w:sz w:val="32"/>
          <w:szCs w:val="32"/>
          <w:highlight w:val="none"/>
          <w14:textFill>
            <w14:solidFill>
              <w14:schemeClr w14:val="tx1"/>
            </w14:solidFill>
          </w14:textFill>
        </w:rPr>
      </w:pPr>
      <w:bookmarkStart w:id="59" w:name="_Toc65587252"/>
      <w:bookmarkStart w:id="60" w:name="_Toc361508760"/>
      <w:r>
        <w:rPr>
          <w:b/>
          <w:color w:val="000000" w:themeColor="text1"/>
          <w:sz w:val="32"/>
          <w:szCs w:val="32"/>
          <w:highlight w:val="none"/>
          <w14:textFill>
            <w14:solidFill>
              <w14:schemeClr w14:val="tx1"/>
            </w14:solidFill>
          </w14:textFill>
        </w:rPr>
        <w:br w:type="page"/>
      </w:r>
    </w:p>
    <w:p w14:paraId="1690CD3F">
      <w:pPr>
        <w:overflowPunct/>
        <w:autoSpaceDE w:val="0"/>
        <w:autoSpaceDN w:val="0"/>
        <w:bidi w:val="0"/>
        <w:jc w:val="center"/>
        <w:outlineLvl w:val="9"/>
        <w:rPr>
          <w:b/>
          <w:color w:val="000000" w:themeColor="text1"/>
          <w:sz w:val="32"/>
          <w:szCs w:val="32"/>
          <w:highlight w:val="none"/>
          <w14:textFill>
            <w14:solidFill>
              <w14:schemeClr w14:val="tx1"/>
            </w14:solidFill>
          </w14:textFill>
        </w:rPr>
      </w:pPr>
      <w:r>
        <w:rPr>
          <w:b/>
          <w:color w:val="000000" w:themeColor="text1"/>
          <w:sz w:val="32"/>
          <w:szCs w:val="32"/>
          <w:highlight w:val="none"/>
          <w14:textFill>
            <w14:solidFill>
              <w14:schemeClr w14:val="tx1"/>
            </w14:solidFill>
          </w14:textFill>
        </w:rPr>
        <w:t>六、</w:t>
      </w:r>
      <w:r>
        <w:rPr>
          <w:rFonts w:hint="eastAsia"/>
          <w:b/>
          <w:color w:val="000000" w:themeColor="text1"/>
          <w:sz w:val="32"/>
          <w:szCs w:val="32"/>
          <w:highlight w:val="none"/>
          <w14:textFill>
            <w14:solidFill>
              <w14:schemeClr w14:val="tx1"/>
            </w14:solidFill>
          </w14:textFill>
        </w:rPr>
        <w:t>磋商</w:t>
      </w:r>
      <w:r>
        <w:rPr>
          <w:b/>
          <w:color w:val="000000" w:themeColor="text1"/>
          <w:sz w:val="32"/>
          <w:szCs w:val="32"/>
          <w:highlight w:val="none"/>
          <w14:textFill>
            <w14:solidFill>
              <w14:schemeClr w14:val="tx1"/>
            </w14:solidFill>
          </w14:textFill>
        </w:rPr>
        <w:t>保证金</w:t>
      </w:r>
    </w:p>
    <w:p w14:paraId="046F47F8">
      <w:pPr>
        <w:overflowPunct/>
        <w:autoSpaceDE w:val="0"/>
        <w:autoSpaceDN w:val="0"/>
        <w:bidi w:val="0"/>
        <w:spacing w:line="360" w:lineRule="auto"/>
        <w:jc w:val="left"/>
        <w:outlineLvl w:val="9"/>
        <w:rPr>
          <w:color w:val="000000" w:themeColor="text1"/>
          <w:szCs w:val="18"/>
          <w:highlight w:val="none"/>
          <w:u w:val="single"/>
          <w:lang w:val="zh-CN"/>
          <w14:textFill>
            <w14:solidFill>
              <w14:schemeClr w14:val="tx1"/>
            </w14:solidFill>
          </w14:textFill>
        </w:rPr>
      </w:pPr>
    </w:p>
    <w:p w14:paraId="08E7B6EF">
      <w:pPr>
        <w:overflowPunct/>
        <w:bidi w:val="0"/>
        <w:ind w:right="108"/>
        <w:jc w:val="center"/>
        <w:outlineLvl w:val="9"/>
        <w:rPr>
          <w:color w:val="000000" w:themeColor="text1"/>
          <w:sz w:val="32"/>
          <w:szCs w:val="32"/>
          <w:highlight w:val="none"/>
          <w14:textFill>
            <w14:solidFill>
              <w14:schemeClr w14:val="tx1"/>
            </w14:solidFill>
          </w14:textFill>
        </w:rPr>
      </w:pPr>
      <w:r>
        <w:rPr>
          <w:rFonts w:hint="eastAsia"/>
          <w:b/>
          <w:color w:val="000000" w:themeColor="text1"/>
          <w:sz w:val="32"/>
          <w:szCs w:val="32"/>
          <w:highlight w:val="none"/>
          <w:lang w:val="en-US" w:eastAsia="zh-CN"/>
          <w14:textFill>
            <w14:solidFill>
              <w14:schemeClr w14:val="tx1"/>
            </w14:solidFill>
          </w14:textFill>
        </w:rPr>
        <w:t>不收取</w:t>
      </w:r>
      <w:r>
        <w:rPr>
          <w:b/>
          <w:color w:val="000000" w:themeColor="text1"/>
          <w:sz w:val="32"/>
          <w:szCs w:val="32"/>
          <w:highlight w:val="none"/>
          <w14:textFill>
            <w14:solidFill>
              <w14:schemeClr w14:val="tx1"/>
            </w14:solidFill>
          </w14:textFill>
        </w:rPr>
        <w:br w:type="page"/>
      </w:r>
      <w:bookmarkEnd w:id="59"/>
      <w:bookmarkEnd w:id="60"/>
      <w:r>
        <w:rPr>
          <w:rFonts w:hint="eastAsia"/>
          <w:b/>
          <w:bCs/>
          <w:color w:val="000000" w:themeColor="text1"/>
          <w:sz w:val="32"/>
          <w:szCs w:val="32"/>
          <w:highlight w:val="none"/>
          <w14:textFill>
            <w14:solidFill>
              <w14:schemeClr w14:val="tx1"/>
            </w14:solidFill>
          </w14:textFill>
        </w:rPr>
        <w:t>七</w:t>
      </w:r>
      <w:r>
        <w:rPr>
          <w:b/>
          <w:bCs/>
          <w:color w:val="000000" w:themeColor="text1"/>
          <w:sz w:val="32"/>
          <w:szCs w:val="32"/>
          <w:highlight w:val="none"/>
          <w14:textFill>
            <w14:solidFill>
              <w14:schemeClr w14:val="tx1"/>
            </w14:solidFill>
          </w14:textFill>
        </w:rPr>
        <w:t>、</w:t>
      </w:r>
      <w:bookmarkStart w:id="61" w:name="_Toc144974875"/>
      <w:bookmarkStart w:id="62" w:name="_Toc152042596"/>
      <w:bookmarkStart w:id="63" w:name="_Toc246996372"/>
      <w:bookmarkStart w:id="64" w:name="_Toc493241658"/>
      <w:bookmarkStart w:id="65" w:name="_Toc404237750"/>
      <w:bookmarkStart w:id="66" w:name="_Toc152045807"/>
      <w:bookmarkStart w:id="67" w:name="_Toc397416082"/>
      <w:bookmarkStart w:id="68" w:name="_Toc179632827"/>
      <w:bookmarkStart w:id="69" w:name="_Toc404237840"/>
      <w:bookmarkStart w:id="70" w:name="_Toc247085890"/>
      <w:bookmarkStart w:id="71" w:name="_Toc246997115"/>
      <w:r>
        <w:rPr>
          <w:b/>
          <w:bCs/>
          <w:color w:val="000000" w:themeColor="text1"/>
          <w:sz w:val="32"/>
          <w:szCs w:val="32"/>
          <w:highlight w:val="none"/>
          <w14:textFill>
            <w14:solidFill>
              <w14:schemeClr w14:val="tx1"/>
            </w14:solidFill>
          </w14:textFill>
        </w:rPr>
        <w:t>资格审查资料</w:t>
      </w:r>
      <w:bookmarkEnd w:id="61"/>
      <w:bookmarkEnd w:id="62"/>
      <w:bookmarkEnd w:id="63"/>
      <w:bookmarkEnd w:id="64"/>
      <w:bookmarkEnd w:id="65"/>
      <w:bookmarkEnd w:id="66"/>
      <w:bookmarkEnd w:id="67"/>
      <w:bookmarkEnd w:id="68"/>
      <w:bookmarkEnd w:id="69"/>
      <w:bookmarkEnd w:id="70"/>
      <w:bookmarkEnd w:id="71"/>
    </w:p>
    <w:p w14:paraId="3C99018B">
      <w:pPr>
        <w:overflowPunct/>
        <w:bidi w:val="0"/>
        <w:outlineLvl w:val="9"/>
        <w:rPr>
          <w:rFonts w:hint="eastAsia" w:ascii="宋体" w:hAnsi="宋体" w:cs="宋体"/>
          <w:color w:val="000000" w:themeColor="text1"/>
          <w:highlight w:val="none"/>
          <w14:textFill>
            <w14:solidFill>
              <w14:schemeClr w14:val="tx1"/>
            </w14:solidFill>
          </w14:textFill>
        </w:rPr>
      </w:pPr>
      <w:bookmarkStart w:id="72" w:name="_Toc266605566"/>
      <w:bookmarkStart w:id="73" w:name="_Toc201719206"/>
    </w:p>
    <w:p w14:paraId="6420A999">
      <w:pPr>
        <w:overflowPunct/>
        <w:bidi w:val="0"/>
        <w:jc w:val="center"/>
        <w:outlineLvl w:val="9"/>
        <w:rPr>
          <w:rFonts w:hint="eastAsia" w:ascii="宋体" w:hAnsi="宋体" w:cs="宋体"/>
          <w:b/>
          <w:color w:val="000000" w:themeColor="text1"/>
          <w:sz w:val="28"/>
          <w:szCs w:val="28"/>
          <w:highlight w:val="none"/>
          <w14:textFill>
            <w14:solidFill>
              <w14:schemeClr w14:val="tx1"/>
            </w14:solidFill>
          </w14:textFill>
        </w:rPr>
      </w:pPr>
      <w:r>
        <w:rPr>
          <w:rFonts w:hint="eastAsia" w:ascii="宋体" w:hAnsi="宋体" w:cs="宋体"/>
          <w:b/>
          <w:color w:val="000000" w:themeColor="text1"/>
          <w:sz w:val="28"/>
          <w:szCs w:val="28"/>
          <w:highlight w:val="none"/>
          <w14:textFill>
            <w14:solidFill>
              <w14:schemeClr w14:val="tx1"/>
            </w14:solidFill>
          </w14:textFill>
        </w:rPr>
        <w:t>营业执照</w:t>
      </w:r>
    </w:p>
    <w:p w14:paraId="1B03A9D5">
      <w:pPr>
        <w:overflowPunct/>
        <w:bidi w:val="0"/>
        <w:adjustRightInd w:val="0"/>
        <w:snapToGrid w:val="0"/>
        <w:spacing w:line="300" w:lineRule="auto"/>
        <w:jc w:val="center"/>
        <w:outlineLvl w:val="9"/>
        <w:rPr>
          <w:rFonts w:hint="eastAsia" w:ascii="宋体" w:hAnsi="宋体" w:cs="宋体"/>
          <w:bCs/>
          <w:color w:val="000000" w:themeColor="text1"/>
          <w:sz w:val="20"/>
          <w:highlight w:val="none"/>
          <w14:textFill>
            <w14:solidFill>
              <w14:schemeClr w14:val="tx1"/>
            </w14:solidFill>
          </w14:textFill>
        </w:rPr>
      </w:pPr>
      <w:r>
        <w:rPr>
          <w:rFonts w:hint="eastAsia" w:ascii="宋体" w:hAnsi="宋体" w:cs="宋体"/>
          <w:bCs/>
          <w:color w:val="000000" w:themeColor="text1"/>
          <w:sz w:val="20"/>
          <w:highlight w:val="none"/>
          <w14:textFill>
            <w14:solidFill>
              <w14:schemeClr w14:val="tx1"/>
            </w14:solidFill>
          </w14:textFill>
        </w:rPr>
        <w:t>（副本复印件加盖本单位公章）</w:t>
      </w:r>
    </w:p>
    <w:p w14:paraId="41EB90E9">
      <w:pPr>
        <w:overflowPunct/>
        <w:bidi w:val="0"/>
        <w:adjustRightInd w:val="0"/>
        <w:snapToGrid w:val="0"/>
        <w:spacing w:line="300" w:lineRule="auto"/>
        <w:jc w:val="center"/>
        <w:outlineLvl w:val="9"/>
        <w:rPr>
          <w:rFonts w:hint="eastAsia" w:ascii="宋体" w:hAnsi="宋体" w:cs="宋体"/>
          <w:bCs/>
          <w:color w:val="000000" w:themeColor="text1"/>
          <w:sz w:val="20"/>
          <w:highlight w:val="none"/>
          <w14:textFill>
            <w14:solidFill>
              <w14:schemeClr w14:val="tx1"/>
            </w14:solidFill>
          </w14:textFill>
        </w:rPr>
      </w:pPr>
    </w:p>
    <w:p w14:paraId="6F2F40FD">
      <w:pPr>
        <w:overflowPunct/>
        <w:bidi w:val="0"/>
        <w:adjustRightInd w:val="0"/>
        <w:snapToGrid w:val="0"/>
        <w:spacing w:line="300" w:lineRule="auto"/>
        <w:jc w:val="both"/>
        <w:outlineLvl w:val="9"/>
        <w:rPr>
          <w:rFonts w:hint="eastAsia" w:ascii="宋体" w:hAnsi="宋体" w:cs="宋体"/>
          <w:bCs/>
          <w:color w:val="000000" w:themeColor="text1"/>
          <w:sz w:val="20"/>
          <w:highlight w:val="none"/>
          <w14:textFill>
            <w14:solidFill>
              <w14:schemeClr w14:val="tx1"/>
            </w14:solidFill>
          </w14:textFill>
        </w:rPr>
      </w:pPr>
    </w:p>
    <w:p w14:paraId="2C5D7C90">
      <w:pPr>
        <w:overflowPunct/>
        <w:bidi w:val="0"/>
        <w:adjustRightInd w:val="0"/>
        <w:snapToGrid w:val="0"/>
        <w:spacing w:line="300" w:lineRule="auto"/>
        <w:jc w:val="center"/>
        <w:outlineLvl w:val="9"/>
        <w:rPr>
          <w:rFonts w:hint="eastAsia" w:ascii="宋体" w:hAnsi="宋体" w:cs="宋体"/>
          <w:bCs/>
          <w:color w:val="000000" w:themeColor="text1"/>
          <w:sz w:val="20"/>
          <w:highlight w:val="none"/>
          <w14:textFill>
            <w14:solidFill>
              <w14:schemeClr w14:val="tx1"/>
            </w14:solidFill>
          </w14:textFill>
        </w:rPr>
      </w:pPr>
    </w:p>
    <w:p w14:paraId="600AFDD8">
      <w:pPr>
        <w:overflowPunct/>
        <w:bidi w:val="0"/>
        <w:adjustRightInd w:val="0"/>
        <w:snapToGrid w:val="0"/>
        <w:spacing w:line="300" w:lineRule="auto"/>
        <w:jc w:val="center"/>
        <w:outlineLvl w:val="9"/>
        <w:rPr>
          <w:rFonts w:hint="eastAsia" w:ascii="宋体" w:hAnsi="宋体" w:cs="宋体"/>
          <w:bCs/>
          <w:color w:val="000000" w:themeColor="text1"/>
          <w:sz w:val="20"/>
          <w:highlight w:val="none"/>
          <w14:textFill>
            <w14:solidFill>
              <w14:schemeClr w14:val="tx1"/>
            </w14:solidFill>
          </w14:textFill>
        </w:rPr>
      </w:pPr>
    </w:p>
    <w:p w14:paraId="3740D0BD">
      <w:pPr>
        <w:overflowPunct/>
        <w:bidi w:val="0"/>
        <w:adjustRightInd w:val="0"/>
        <w:snapToGrid w:val="0"/>
        <w:spacing w:line="300" w:lineRule="auto"/>
        <w:jc w:val="center"/>
        <w:outlineLvl w:val="9"/>
        <w:rPr>
          <w:rFonts w:hint="eastAsia" w:ascii="宋体" w:hAnsi="宋体" w:eastAsia="宋体" w:cs="宋体"/>
          <w:b/>
          <w:color w:val="000000" w:themeColor="text1"/>
          <w:sz w:val="28"/>
          <w:szCs w:val="28"/>
          <w:highlight w:val="none"/>
          <w:lang w:val="en-US" w:eastAsia="zh-CN"/>
          <w14:textFill>
            <w14:solidFill>
              <w14:schemeClr w14:val="tx1"/>
            </w14:solidFill>
          </w14:textFill>
        </w:rPr>
      </w:pPr>
      <w:r>
        <w:rPr>
          <w:rFonts w:hint="eastAsia" w:ascii="宋体" w:hAnsi="宋体" w:cs="宋体"/>
          <w:b/>
          <w:color w:val="000000" w:themeColor="text1"/>
          <w:sz w:val="28"/>
          <w:szCs w:val="28"/>
          <w:highlight w:val="none"/>
          <w14:textFill>
            <w14:solidFill>
              <w14:schemeClr w14:val="tx1"/>
            </w14:solidFill>
          </w14:textFill>
        </w:rPr>
        <w:t>开户许可证或开户证明</w:t>
      </w:r>
      <w:r>
        <w:rPr>
          <w:rFonts w:hint="eastAsia" w:ascii="宋体" w:hAnsi="宋体" w:cs="宋体"/>
          <w:b/>
          <w:color w:val="000000" w:themeColor="text1"/>
          <w:sz w:val="28"/>
          <w:szCs w:val="28"/>
          <w:highlight w:val="none"/>
          <w:lang w:val="en-US" w:eastAsia="zh-CN"/>
          <w14:textFill>
            <w14:solidFill>
              <w14:schemeClr w14:val="tx1"/>
            </w14:solidFill>
          </w14:textFill>
        </w:rPr>
        <w:t>材料</w:t>
      </w:r>
    </w:p>
    <w:p w14:paraId="4B3CF5A6">
      <w:pPr>
        <w:overflowPunct/>
        <w:bidi w:val="0"/>
        <w:adjustRightInd w:val="0"/>
        <w:snapToGrid w:val="0"/>
        <w:spacing w:line="300" w:lineRule="auto"/>
        <w:jc w:val="center"/>
        <w:outlineLvl w:val="9"/>
        <w:rPr>
          <w:rFonts w:hint="eastAsia" w:ascii="宋体" w:hAnsi="宋体" w:cs="宋体"/>
          <w:bCs/>
          <w:color w:val="000000" w:themeColor="text1"/>
          <w:sz w:val="20"/>
          <w:highlight w:val="none"/>
          <w14:textFill>
            <w14:solidFill>
              <w14:schemeClr w14:val="tx1"/>
            </w14:solidFill>
          </w14:textFill>
        </w:rPr>
      </w:pPr>
      <w:r>
        <w:rPr>
          <w:rFonts w:hint="eastAsia" w:ascii="宋体" w:hAnsi="宋体" w:cs="宋体"/>
          <w:bCs/>
          <w:color w:val="000000" w:themeColor="text1"/>
          <w:sz w:val="20"/>
          <w:highlight w:val="none"/>
          <w14:textFill>
            <w14:solidFill>
              <w14:schemeClr w14:val="tx1"/>
            </w14:solidFill>
          </w14:textFill>
        </w:rPr>
        <w:t>（复印件加盖本单位公章）</w:t>
      </w:r>
    </w:p>
    <w:p w14:paraId="674E1336">
      <w:pPr>
        <w:overflowPunct/>
        <w:bidi w:val="0"/>
        <w:adjustRightInd w:val="0"/>
        <w:snapToGrid w:val="0"/>
        <w:spacing w:line="300" w:lineRule="auto"/>
        <w:jc w:val="center"/>
        <w:outlineLvl w:val="9"/>
        <w:rPr>
          <w:rFonts w:hint="eastAsia" w:ascii="宋体" w:hAnsi="宋体" w:cs="宋体"/>
          <w:bCs/>
          <w:color w:val="000000" w:themeColor="text1"/>
          <w:sz w:val="20"/>
          <w:highlight w:val="none"/>
          <w14:textFill>
            <w14:solidFill>
              <w14:schemeClr w14:val="tx1"/>
            </w14:solidFill>
          </w14:textFill>
        </w:rPr>
      </w:pPr>
    </w:p>
    <w:p w14:paraId="08DE9B87">
      <w:pPr>
        <w:overflowPunct/>
        <w:bidi w:val="0"/>
        <w:adjustRightInd w:val="0"/>
        <w:snapToGrid w:val="0"/>
        <w:spacing w:line="300" w:lineRule="auto"/>
        <w:jc w:val="center"/>
        <w:outlineLvl w:val="9"/>
        <w:rPr>
          <w:rFonts w:hint="eastAsia" w:ascii="宋体" w:hAnsi="宋体" w:cs="宋体"/>
          <w:bCs/>
          <w:color w:val="000000" w:themeColor="text1"/>
          <w:sz w:val="20"/>
          <w:highlight w:val="none"/>
          <w14:textFill>
            <w14:solidFill>
              <w14:schemeClr w14:val="tx1"/>
            </w14:solidFill>
          </w14:textFill>
        </w:rPr>
      </w:pPr>
    </w:p>
    <w:p w14:paraId="45940B0D">
      <w:pPr>
        <w:overflowPunct/>
        <w:bidi w:val="0"/>
        <w:adjustRightInd w:val="0"/>
        <w:snapToGrid w:val="0"/>
        <w:spacing w:line="300" w:lineRule="auto"/>
        <w:jc w:val="center"/>
        <w:outlineLvl w:val="9"/>
        <w:rPr>
          <w:rFonts w:hint="eastAsia" w:ascii="宋体" w:hAnsi="宋体" w:cs="宋体"/>
          <w:bCs/>
          <w:color w:val="000000" w:themeColor="text1"/>
          <w:sz w:val="20"/>
          <w:highlight w:val="none"/>
          <w14:textFill>
            <w14:solidFill>
              <w14:schemeClr w14:val="tx1"/>
            </w14:solidFill>
          </w14:textFill>
        </w:rPr>
      </w:pPr>
    </w:p>
    <w:p w14:paraId="12D15A79">
      <w:pPr>
        <w:overflowPunct/>
        <w:bidi w:val="0"/>
        <w:adjustRightInd w:val="0"/>
        <w:snapToGrid w:val="0"/>
        <w:spacing w:line="300" w:lineRule="auto"/>
        <w:jc w:val="center"/>
        <w:outlineLvl w:val="9"/>
        <w:rPr>
          <w:rFonts w:hint="eastAsia" w:ascii="宋体" w:hAnsi="宋体" w:eastAsia="宋体" w:cs="宋体"/>
          <w:b/>
          <w:color w:val="000000" w:themeColor="text1"/>
          <w:sz w:val="28"/>
          <w:szCs w:val="28"/>
          <w:highlight w:val="none"/>
          <w:lang w:eastAsia="zh-CN"/>
          <w14:textFill>
            <w14:solidFill>
              <w14:schemeClr w14:val="tx1"/>
            </w14:solidFill>
          </w14:textFill>
        </w:rPr>
      </w:pPr>
      <w:r>
        <w:rPr>
          <w:rFonts w:hint="eastAsia" w:ascii="宋体" w:hAnsi="宋体" w:eastAsia="宋体" w:cs="宋体"/>
          <w:b/>
          <w:color w:val="000000" w:themeColor="text1"/>
          <w:sz w:val="28"/>
          <w:szCs w:val="28"/>
          <w:highlight w:val="none"/>
          <w:lang w:eastAsia="zh-CN"/>
          <w14:textFill>
            <w14:solidFill>
              <w14:schemeClr w14:val="tx1"/>
            </w14:solidFill>
          </w14:textFill>
        </w:rPr>
        <w:t>资格证明</w:t>
      </w:r>
    </w:p>
    <w:p w14:paraId="69A33B60">
      <w:pPr>
        <w:overflowPunct/>
        <w:bidi w:val="0"/>
        <w:adjustRightInd w:val="0"/>
        <w:snapToGrid w:val="0"/>
        <w:spacing w:line="300" w:lineRule="auto"/>
        <w:jc w:val="center"/>
        <w:outlineLvl w:val="9"/>
        <w:rPr>
          <w:rFonts w:hint="eastAsia" w:ascii="宋体" w:hAnsi="宋体" w:cs="宋体"/>
          <w:bCs/>
          <w:color w:val="000000" w:themeColor="text1"/>
          <w:sz w:val="20"/>
          <w:highlight w:val="none"/>
          <w14:textFill>
            <w14:solidFill>
              <w14:schemeClr w14:val="tx1"/>
            </w14:solidFill>
          </w14:textFill>
        </w:rPr>
      </w:pPr>
      <w:r>
        <w:rPr>
          <w:rFonts w:hint="eastAsia" w:ascii="宋体" w:hAnsi="宋体" w:cs="宋体"/>
          <w:bCs/>
          <w:color w:val="000000" w:themeColor="text1"/>
          <w:sz w:val="20"/>
          <w:highlight w:val="none"/>
          <w14:textFill>
            <w14:solidFill>
              <w14:schemeClr w14:val="tx1"/>
            </w14:solidFill>
          </w14:textFill>
        </w:rPr>
        <w:t>（复印件加盖本单位公章）</w:t>
      </w:r>
    </w:p>
    <w:p w14:paraId="76372C75">
      <w:pPr>
        <w:overflowPunct/>
        <w:bidi w:val="0"/>
        <w:adjustRightInd w:val="0"/>
        <w:snapToGrid w:val="0"/>
        <w:spacing w:line="300" w:lineRule="auto"/>
        <w:jc w:val="center"/>
        <w:outlineLvl w:val="9"/>
        <w:rPr>
          <w:rFonts w:hint="eastAsia" w:ascii="宋体" w:hAnsi="宋体" w:cs="宋体"/>
          <w:bCs/>
          <w:color w:val="000000" w:themeColor="text1"/>
          <w:sz w:val="20"/>
          <w:highlight w:val="none"/>
          <w:lang w:eastAsia="zh-CN"/>
          <w14:textFill>
            <w14:solidFill>
              <w14:schemeClr w14:val="tx1"/>
            </w14:solidFill>
          </w14:textFill>
        </w:rPr>
      </w:pPr>
    </w:p>
    <w:p w14:paraId="403CD137">
      <w:pPr>
        <w:overflowPunct/>
        <w:bidi w:val="0"/>
        <w:adjustRightInd w:val="0"/>
        <w:snapToGrid w:val="0"/>
        <w:spacing w:line="300" w:lineRule="auto"/>
        <w:jc w:val="center"/>
        <w:outlineLvl w:val="9"/>
        <w:rPr>
          <w:rFonts w:hint="eastAsia" w:ascii="宋体" w:hAnsi="宋体" w:cs="宋体"/>
          <w:bCs/>
          <w:color w:val="000000" w:themeColor="text1"/>
          <w:sz w:val="20"/>
          <w:highlight w:val="none"/>
          <w:lang w:eastAsia="zh-CN"/>
          <w14:textFill>
            <w14:solidFill>
              <w14:schemeClr w14:val="tx1"/>
            </w14:solidFill>
          </w14:textFill>
        </w:rPr>
      </w:pPr>
    </w:p>
    <w:p w14:paraId="78D6669C">
      <w:pPr>
        <w:overflowPunct/>
        <w:bidi w:val="0"/>
        <w:adjustRightInd w:val="0"/>
        <w:snapToGrid w:val="0"/>
        <w:spacing w:line="300" w:lineRule="auto"/>
        <w:jc w:val="center"/>
        <w:outlineLvl w:val="9"/>
        <w:rPr>
          <w:rFonts w:hint="eastAsia" w:ascii="宋体" w:hAnsi="宋体" w:cs="宋体"/>
          <w:bCs/>
          <w:color w:val="000000" w:themeColor="text1"/>
          <w:sz w:val="20"/>
          <w:highlight w:val="none"/>
          <w:lang w:eastAsia="zh-CN"/>
          <w14:textFill>
            <w14:solidFill>
              <w14:schemeClr w14:val="tx1"/>
            </w14:solidFill>
          </w14:textFill>
        </w:rPr>
      </w:pPr>
    </w:p>
    <w:p w14:paraId="7F8154A7">
      <w:pPr>
        <w:overflowPunct/>
        <w:bidi w:val="0"/>
        <w:adjustRightInd w:val="0"/>
        <w:snapToGrid w:val="0"/>
        <w:spacing w:line="300" w:lineRule="auto"/>
        <w:jc w:val="center"/>
        <w:outlineLvl w:val="9"/>
        <w:rPr>
          <w:rFonts w:hint="eastAsia" w:ascii="宋体" w:hAnsi="宋体" w:cs="宋体"/>
          <w:bCs/>
          <w:color w:val="000000" w:themeColor="text1"/>
          <w:sz w:val="20"/>
          <w:highlight w:val="none"/>
          <w14:textFill>
            <w14:solidFill>
              <w14:schemeClr w14:val="tx1"/>
            </w14:solidFill>
          </w14:textFill>
        </w:rPr>
      </w:pPr>
    </w:p>
    <w:p w14:paraId="71B37686">
      <w:pPr>
        <w:overflowPunct/>
        <w:bidi w:val="0"/>
        <w:adjustRightInd w:val="0"/>
        <w:snapToGrid w:val="0"/>
        <w:spacing w:line="300" w:lineRule="auto"/>
        <w:jc w:val="center"/>
        <w:outlineLvl w:val="9"/>
        <w:rPr>
          <w:rFonts w:hint="eastAsia" w:ascii="宋体" w:hAnsi="宋体" w:cs="宋体"/>
          <w:bCs/>
          <w:color w:val="000000" w:themeColor="text1"/>
          <w:sz w:val="20"/>
          <w:highlight w:val="none"/>
          <w14:textFill>
            <w14:solidFill>
              <w14:schemeClr w14:val="tx1"/>
            </w14:solidFill>
          </w14:textFill>
        </w:rPr>
      </w:pPr>
    </w:p>
    <w:p w14:paraId="3CBE23C7">
      <w:pPr>
        <w:overflowPunct/>
        <w:bidi w:val="0"/>
        <w:adjustRightInd w:val="0"/>
        <w:snapToGrid w:val="0"/>
        <w:spacing w:line="300" w:lineRule="auto"/>
        <w:jc w:val="center"/>
        <w:outlineLvl w:val="9"/>
        <w:rPr>
          <w:rFonts w:hint="eastAsia" w:ascii="宋体" w:hAnsi="宋体" w:cs="宋体"/>
          <w:bCs/>
          <w:color w:val="000000" w:themeColor="text1"/>
          <w:sz w:val="20"/>
          <w:highlight w:val="none"/>
          <w14:textFill>
            <w14:solidFill>
              <w14:schemeClr w14:val="tx1"/>
            </w14:solidFill>
          </w14:textFill>
        </w:rPr>
      </w:pPr>
    </w:p>
    <w:p w14:paraId="3E915616">
      <w:pPr>
        <w:overflowPunct/>
        <w:bidi w:val="0"/>
        <w:adjustRightInd w:val="0"/>
        <w:snapToGrid w:val="0"/>
        <w:spacing w:line="300" w:lineRule="auto"/>
        <w:jc w:val="center"/>
        <w:outlineLvl w:val="9"/>
        <w:rPr>
          <w:rFonts w:hint="eastAsia" w:ascii="宋体" w:hAnsi="宋体" w:cs="宋体"/>
          <w:bCs/>
          <w:color w:val="000000" w:themeColor="text1"/>
          <w:sz w:val="20"/>
          <w:highlight w:val="none"/>
          <w14:textFill>
            <w14:solidFill>
              <w14:schemeClr w14:val="tx1"/>
            </w14:solidFill>
          </w14:textFill>
        </w:rPr>
      </w:pPr>
    </w:p>
    <w:p w14:paraId="08F20920">
      <w:pPr>
        <w:overflowPunct/>
        <w:bidi w:val="0"/>
        <w:adjustRightInd w:val="0"/>
        <w:snapToGrid w:val="0"/>
        <w:spacing w:line="300" w:lineRule="auto"/>
        <w:jc w:val="center"/>
        <w:outlineLvl w:val="9"/>
        <w:rPr>
          <w:rFonts w:hint="eastAsia" w:ascii="宋体" w:hAnsi="宋体" w:cs="宋体"/>
          <w:bCs/>
          <w:color w:val="000000" w:themeColor="text1"/>
          <w:sz w:val="20"/>
          <w:highlight w:val="none"/>
          <w14:textFill>
            <w14:solidFill>
              <w14:schemeClr w14:val="tx1"/>
            </w14:solidFill>
          </w14:textFill>
        </w:rPr>
      </w:pPr>
    </w:p>
    <w:p w14:paraId="6B117340">
      <w:pPr>
        <w:overflowPunct/>
        <w:bidi w:val="0"/>
        <w:adjustRightInd w:val="0"/>
        <w:snapToGrid w:val="0"/>
        <w:spacing w:line="300" w:lineRule="auto"/>
        <w:jc w:val="center"/>
        <w:outlineLvl w:val="9"/>
        <w:rPr>
          <w:rFonts w:hint="eastAsia" w:ascii="宋体" w:hAnsi="宋体" w:cs="宋体"/>
          <w:bCs/>
          <w:color w:val="000000" w:themeColor="text1"/>
          <w:sz w:val="20"/>
          <w:highlight w:val="none"/>
          <w14:textFill>
            <w14:solidFill>
              <w14:schemeClr w14:val="tx1"/>
            </w14:solidFill>
          </w14:textFill>
        </w:rPr>
      </w:pPr>
    </w:p>
    <w:p w14:paraId="75D24984">
      <w:pPr>
        <w:overflowPunct/>
        <w:bidi w:val="0"/>
        <w:adjustRightInd w:val="0"/>
        <w:snapToGrid w:val="0"/>
        <w:spacing w:line="300" w:lineRule="auto"/>
        <w:jc w:val="center"/>
        <w:outlineLvl w:val="9"/>
        <w:rPr>
          <w:rFonts w:hint="eastAsia" w:ascii="宋体" w:hAnsi="宋体" w:cs="宋体"/>
          <w:bCs/>
          <w:color w:val="000000" w:themeColor="text1"/>
          <w:sz w:val="20"/>
          <w:highlight w:val="none"/>
          <w14:textFill>
            <w14:solidFill>
              <w14:schemeClr w14:val="tx1"/>
            </w14:solidFill>
          </w14:textFill>
        </w:rPr>
        <w:sectPr>
          <w:footerReference r:id="rId10" w:type="default"/>
          <w:pgSz w:w="11906" w:h="16838"/>
          <w:pgMar w:top="1134" w:right="1418" w:bottom="1134" w:left="1418" w:header="851" w:footer="851" w:gutter="0"/>
          <w:pgBorders>
            <w:top w:val="none" w:sz="0" w:space="0"/>
            <w:left w:val="none" w:sz="0" w:space="0"/>
            <w:bottom w:val="none" w:sz="0" w:space="0"/>
            <w:right w:val="none" w:sz="0" w:space="0"/>
          </w:pgBorders>
          <w:pgNumType w:fmt="decimal"/>
          <w:cols w:space="720" w:num="1"/>
          <w:docGrid w:linePitch="312" w:charSpace="0"/>
        </w:sectPr>
      </w:pPr>
    </w:p>
    <w:p w14:paraId="3D715A38">
      <w:pPr>
        <w:overflowPunct/>
        <w:bidi w:val="0"/>
        <w:spacing w:line="363" w:lineRule="exact"/>
        <w:ind w:left="217" w:right="175"/>
        <w:jc w:val="center"/>
        <w:outlineLvl w:val="9"/>
        <w:rPr>
          <w:rFonts w:hint="default" w:ascii="宋体" w:hAnsi="宋体" w:eastAsia="宋体" w:cs="宋体"/>
          <w:b/>
          <w:bCs/>
          <w:color w:val="000000" w:themeColor="text1"/>
          <w:highlight w:val="none"/>
          <w:lang w:val="en-US" w:eastAsia="zh-CN"/>
          <w14:textFill>
            <w14:solidFill>
              <w14:schemeClr w14:val="tx1"/>
            </w14:solidFill>
          </w14:textFill>
        </w:rPr>
      </w:pPr>
      <w:r>
        <w:rPr>
          <w:rFonts w:hint="eastAsia" w:ascii="宋体" w:hAnsi="宋体" w:cs="宋体"/>
          <w:b/>
          <w:bCs/>
          <w:color w:val="000000" w:themeColor="text1"/>
          <w:highlight w:val="none"/>
          <w:lang w:eastAsia="zh-CN"/>
          <w14:textFill>
            <w14:solidFill>
              <w14:schemeClr w14:val="tx1"/>
            </w14:solidFill>
          </w14:textFill>
        </w:rPr>
        <w:t>资格条件承诺函</w:t>
      </w:r>
    </w:p>
    <w:p w14:paraId="6CB34028">
      <w:pPr>
        <w:keepNext/>
        <w:keepLines/>
        <w:pageBreakBefore w:val="0"/>
        <w:widowControl w:val="0"/>
        <w:kinsoku/>
        <w:wordWrap/>
        <w:overflowPunct/>
        <w:topLinePunct w:val="0"/>
        <w:autoSpaceDE/>
        <w:autoSpaceDN/>
        <w:bidi w:val="0"/>
        <w:adjustRightInd w:val="0"/>
        <w:snapToGrid w:val="0"/>
        <w:spacing w:before="0" w:after="0" w:line="360" w:lineRule="auto"/>
        <w:jc w:val="left"/>
        <w:textAlignment w:val="auto"/>
        <w:outlineLvl w:val="9"/>
        <w:rPr>
          <w:rFonts w:hint="eastAsia" w:ascii="宋体" w:hAnsi="宋体" w:eastAsia="宋体" w:cs="宋体"/>
          <w:b w:val="0"/>
          <w:bCs w:val="0"/>
          <w:color w:val="000000" w:themeColor="text1"/>
          <w:sz w:val="21"/>
          <w:szCs w:val="21"/>
          <w:highlight w:val="none"/>
          <w:lang w:eastAsia="zh-CN"/>
          <w14:textFill>
            <w14:solidFill>
              <w14:schemeClr w14:val="tx1"/>
            </w14:solidFill>
          </w14:textFill>
        </w:rPr>
      </w:pPr>
      <w:r>
        <w:rPr>
          <w:rFonts w:hint="eastAsia" w:ascii="宋体" w:hAnsi="宋体" w:cs="宋体"/>
          <w:b w:val="0"/>
          <w:bCs w:val="0"/>
          <w:color w:val="000000" w:themeColor="text1"/>
          <w:sz w:val="21"/>
          <w:szCs w:val="21"/>
          <w:highlight w:val="none"/>
          <w14:textFill>
            <w14:solidFill>
              <w14:schemeClr w14:val="tx1"/>
            </w14:solidFill>
          </w14:textFill>
        </w:rPr>
        <w:t>致：</w:t>
      </w:r>
      <w:r>
        <w:rPr>
          <w:rFonts w:hint="eastAsia" w:ascii="宋体" w:hAnsi="宋体" w:cs="宋体"/>
          <w:b w:val="0"/>
          <w:bCs w:val="0"/>
          <w:color w:val="000000" w:themeColor="text1"/>
          <w:sz w:val="21"/>
          <w:szCs w:val="21"/>
          <w:highlight w:val="none"/>
          <w:u w:val="single"/>
          <w:lang w:val="en-US" w:eastAsia="zh-CN"/>
          <w14:textFill>
            <w14:solidFill>
              <w14:schemeClr w14:val="tx1"/>
            </w14:solidFill>
          </w14:textFill>
        </w:rPr>
        <w:t xml:space="preserve">                </w:t>
      </w:r>
      <w:r>
        <w:rPr>
          <w:rFonts w:hint="eastAsia" w:ascii="宋体" w:hAnsi="宋体" w:cs="宋体"/>
          <w:b w:val="0"/>
          <w:bCs w:val="0"/>
          <w:color w:val="000000" w:themeColor="text1"/>
          <w:sz w:val="21"/>
          <w:szCs w:val="21"/>
          <w:highlight w:val="none"/>
          <w:u w:val="single"/>
          <w14:textFill>
            <w14:solidFill>
              <w14:schemeClr w14:val="tx1"/>
            </w14:solidFill>
          </w14:textFill>
        </w:rPr>
        <w:t>（采购人、采购代理机构）</w:t>
      </w:r>
      <w:r>
        <w:rPr>
          <w:rFonts w:hint="eastAsia" w:ascii="宋体" w:hAnsi="宋体" w:cs="宋体"/>
          <w:b w:val="0"/>
          <w:bCs w:val="0"/>
          <w:color w:val="000000" w:themeColor="text1"/>
          <w:sz w:val="21"/>
          <w:szCs w:val="21"/>
          <w:highlight w:val="none"/>
          <w:u w:val="none"/>
          <w:lang w:eastAsia="zh-CN"/>
          <w14:textFill>
            <w14:solidFill>
              <w14:schemeClr w14:val="tx1"/>
            </w14:solidFill>
          </w14:textFill>
        </w:rPr>
        <w:t>：</w:t>
      </w:r>
    </w:p>
    <w:p w14:paraId="01F2B4EF">
      <w:pPr>
        <w:keepNext/>
        <w:keepLines/>
        <w:pageBreakBefore w:val="0"/>
        <w:widowControl w:val="0"/>
        <w:kinsoku/>
        <w:wordWrap/>
        <w:overflowPunct/>
        <w:topLinePunct w:val="0"/>
        <w:autoSpaceDE/>
        <w:autoSpaceDN/>
        <w:bidi w:val="0"/>
        <w:adjustRightInd w:val="0"/>
        <w:snapToGrid w:val="0"/>
        <w:spacing w:before="0" w:after="0" w:line="360" w:lineRule="auto"/>
        <w:ind w:firstLine="420" w:firstLineChars="200"/>
        <w:jc w:val="left"/>
        <w:textAlignment w:val="auto"/>
        <w:outlineLvl w:val="9"/>
        <w:rPr>
          <w:rFonts w:hint="eastAsia" w:ascii="宋体" w:hAnsi="宋体" w:cs="宋体"/>
          <w:b w:val="0"/>
          <w:bCs w:val="0"/>
          <w:color w:val="000000" w:themeColor="text1"/>
          <w:sz w:val="21"/>
          <w:szCs w:val="21"/>
          <w:highlight w:val="none"/>
          <w14:textFill>
            <w14:solidFill>
              <w14:schemeClr w14:val="tx1"/>
            </w14:solidFill>
          </w14:textFill>
        </w:rPr>
      </w:pPr>
      <w:r>
        <w:rPr>
          <w:rFonts w:hint="eastAsia" w:ascii="宋体" w:hAnsi="宋体" w:cs="宋体"/>
          <w:b w:val="0"/>
          <w:bCs w:val="0"/>
          <w:color w:val="000000" w:themeColor="text1"/>
          <w:sz w:val="21"/>
          <w:szCs w:val="21"/>
          <w:highlight w:val="none"/>
          <w14:textFill>
            <w14:solidFill>
              <w14:schemeClr w14:val="tx1"/>
            </w14:solidFill>
          </w14:textFill>
        </w:rPr>
        <w:t>我单位（公司）参与</w:t>
      </w:r>
      <w:r>
        <w:rPr>
          <w:rFonts w:hint="eastAsia" w:ascii="宋体" w:hAnsi="宋体" w:cs="宋体"/>
          <w:b w:val="0"/>
          <w:bCs w:val="0"/>
          <w:color w:val="000000" w:themeColor="text1"/>
          <w:sz w:val="21"/>
          <w:szCs w:val="21"/>
          <w:highlight w:val="none"/>
          <w:u w:val="single"/>
          <w:lang w:val="en-US" w:eastAsia="zh-CN"/>
          <w14:textFill>
            <w14:solidFill>
              <w14:schemeClr w14:val="tx1"/>
            </w14:solidFill>
          </w14:textFill>
        </w:rPr>
        <w:t xml:space="preserve">                      </w:t>
      </w:r>
      <w:r>
        <w:rPr>
          <w:rFonts w:hint="eastAsia" w:ascii="宋体" w:hAnsi="宋体" w:cs="宋体"/>
          <w:b w:val="0"/>
          <w:bCs w:val="0"/>
          <w:color w:val="000000" w:themeColor="text1"/>
          <w:sz w:val="21"/>
          <w:szCs w:val="21"/>
          <w:highlight w:val="none"/>
          <w:u w:val="single"/>
          <w14:textFill>
            <w14:solidFill>
              <w14:schemeClr w14:val="tx1"/>
            </w14:solidFill>
          </w14:textFill>
        </w:rPr>
        <w:t>（项目名称 项目编号）</w:t>
      </w:r>
      <w:r>
        <w:rPr>
          <w:rFonts w:hint="eastAsia" w:ascii="宋体" w:hAnsi="宋体" w:cs="宋体"/>
          <w:b w:val="0"/>
          <w:bCs w:val="0"/>
          <w:color w:val="000000" w:themeColor="text1"/>
          <w:sz w:val="21"/>
          <w:szCs w:val="21"/>
          <w:highlight w:val="none"/>
          <w14:textFill>
            <w14:solidFill>
              <w14:schemeClr w14:val="tx1"/>
            </w14:solidFill>
          </w14:textFill>
        </w:rPr>
        <w:t>采购项目的政府采购活动，现承诺如下：</w:t>
      </w:r>
    </w:p>
    <w:p w14:paraId="12558700">
      <w:pPr>
        <w:keepNext/>
        <w:keepLines/>
        <w:pageBreakBefore w:val="0"/>
        <w:widowControl w:val="0"/>
        <w:kinsoku/>
        <w:wordWrap/>
        <w:overflowPunct/>
        <w:topLinePunct w:val="0"/>
        <w:autoSpaceDE/>
        <w:autoSpaceDN/>
        <w:bidi w:val="0"/>
        <w:adjustRightInd w:val="0"/>
        <w:snapToGrid w:val="0"/>
        <w:spacing w:before="0" w:after="0" w:line="360" w:lineRule="auto"/>
        <w:ind w:left="0" w:leftChars="0" w:firstLine="367" w:firstLineChars="175"/>
        <w:jc w:val="left"/>
        <w:textAlignment w:val="auto"/>
        <w:outlineLvl w:val="9"/>
        <w:rPr>
          <w:rFonts w:hint="eastAsia" w:ascii="宋体" w:hAnsi="宋体" w:cs="宋体"/>
          <w:b w:val="0"/>
          <w:bCs w:val="0"/>
          <w:color w:val="000000" w:themeColor="text1"/>
          <w:sz w:val="21"/>
          <w:szCs w:val="21"/>
          <w:highlight w:val="none"/>
          <w14:textFill>
            <w14:solidFill>
              <w14:schemeClr w14:val="tx1"/>
            </w14:solidFill>
          </w14:textFill>
        </w:rPr>
      </w:pPr>
      <w:r>
        <w:rPr>
          <w:rFonts w:hint="eastAsia" w:ascii="宋体" w:hAnsi="宋体" w:cs="宋体"/>
          <w:b w:val="0"/>
          <w:bCs w:val="0"/>
          <w:color w:val="000000" w:themeColor="text1"/>
          <w:sz w:val="21"/>
          <w:szCs w:val="21"/>
          <w:highlight w:val="none"/>
          <w14:textFill>
            <w14:solidFill>
              <w14:schemeClr w14:val="tx1"/>
            </w14:solidFill>
          </w14:textFill>
        </w:rPr>
        <w:t>1.具有良好的商业信誉和健全的财务会计制度；</w:t>
      </w:r>
    </w:p>
    <w:p w14:paraId="084FCA10">
      <w:pPr>
        <w:keepNext/>
        <w:keepLines/>
        <w:pageBreakBefore w:val="0"/>
        <w:widowControl w:val="0"/>
        <w:kinsoku/>
        <w:wordWrap/>
        <w:overflowPunct/>
        <w:topLinePunct w:val="0"/>
        <w:autoSpaceDE/>
        <w:autoSpaceDN/>
        <w:bidi w:val="0"/>
        <w:adjustRightInd w:val="0"/>
        <w:snapToGrid w:val="0"/>
        <w:spacing w:before="0" w:after="0" w:line="360" w:lineRule="auto"/>
        <w:ind w:left="0" w:leftChars="0" w:firstLine="367" w:firstLineChars="175"/>
        <w:jc w:val="left"/>
        <w:textAlignment w:val="auto"/>
        <w:outlineLvl w:val="9"/>
        <w:rPr>
          <w:rFonts w:hint="eastAsia" w:ascii="宋体" w:hAnsi="宋体" w:cs="宋体"/>
          <w:b w:val="0"/>
          <w:bCs w:val="0"/>
          <w:color w:val="000000" w:themeColor="text1"/>
          <w:sz w:val="21"/>
          <w:szCs w:val="21"/>
          <w:highlight w:val="none"/>
          <w14:textFill>
            <w14:solidFill>
              <w14:schemeClr w14:val="tx1"/>
            </w14:solidFill>
          </w14:textFill>
        </w:rPr>
      </w:pPr>
      <w:r>
        <w:rPr>
          <w:rFonts w:hint="eastAsia" w:ascii="宋体" w:hAnsi="宋体" w:cs="宋体"/>
          <w:b w:val="0"/>
          <w:bCs w:val="0"/>
          <w:color w:val="000000" w:themeColor="text1"/>
          <w:sz w:val="21"/>
          <w:szCs w:val="21"/>
          <w:highlight w:val="none"/>
          <w14:textFill>
            <w14:solidFill>
              <w14:schemeClr w14:val="tx1"/>
            </w14:solidFill>
          </w14:textFill>
        </w:rPr>
        <w:t>2.具有依法缴纳税收的良好记录；</w:t>
      </w:r>
    </w:p>
    <w:p w14:paraId="17385426">
      <w:pPr>
        <w:keepNext/>
        <w:keepLines/>
        <w:pageBreakBefore w:val="0"/>
        <w:widowControl w:val="0"/>
        <w:kinsoku/>
        <w:wordWrap/>
        <w:overflowPunct/>
        <w:topLinePunct w:val="0"/>
        <w:autoSpaceDE/>
        <w:autoSpaceDN/>
        <w:bidi w:val="0"/>
        <w:adjustRightInd w:val="0"/>
        <w:snapToGrid w:val="0"/>
        <w:spacing w:before="0" w:after="0" w:line="360" w:lineRule="auto"/>
        <w:ind w:left="0" w:leftChars="0" w:firstLine="367" w:firstLineChars="175"/>
        <w:jc w:val="left"/>
        <w:textAlignment w:val="auto"/>
        <w:outlineLvl w:val="9"/>
        <w:rPr>
          <w:rFonts w:hint="eastAsia" w:ascii="宋体" w:hAnsi="宋体" w:cs="宋体"/>
          <w:b w:val="0"/>
          <w:bCs w:val="0"/>
          <w:color w:val="000000" w:themeColor="text1"/>
          <w:sz w:val="21"/>
          <w:szCs w:val="21"/>
          <w:highlight w:val="none"/>
          <w14:textFill>
            <w14:solidFill>
              <w14:schemeClr w14:val="tx1"/>
            </w14:solidFill>
          </w14:textFill>
        </w:rPr>
      </w:pPr>
      <w:r>
        <w:rPr>
          <w:rFonts w:hint="eastAsia" w:ascii="宋体" w:hAnsi="宋体" w:cs="宋体"/>
          <w:b w:val="0"/>
          <w:bCs w:val="0"/>
          <w:color w:val="000000" w:themeColor="text1"/>
          <w:sz w:val="21"/>
          <w:szCs w:val="21"/>
          <w:highlight w:val="none"/>
          <w14:textFill>
            <w14:solidFill>
              <w14:schemeClr w14:val="tx1"/>
            </w14:solidFill>
          </w14:textFill>
        </w:rPr>
        <w:t>3.具有依法缴纳社会保障金的良好记录。</w:t>
      </w:r>
    </w:p>
    <w:p w14:paraId="60BCB137">
      <w:pPr>
        <w:keepNext/>
        <w:keepLines/>
        <w:pageBreakBefore w:val="0"/>
        <w:widowControl w:val="0"/>
        <w:kinsoku/>
        <w:wordWrap/>
        <w:overflowPunct/>
        <w:topLinePunct w:val="0"/>
        <w:autoSpaceDE/>
        <w:autoSpaceDN/>
        <w:bidi w:val="0"/>
        <w:adjustRightInd w:val="0"/>
        <w:snapToGrid w:val="0"/>
        <w:spacing w:before="0" w:after="0" w:line="360" w:lineRule="auto"/>
        <w:ind w:firstLine="420" w:firstLineChars="200"/>
        <w:jc w:val="left"/>
        <w:textAlignment w:val="auto"/>
        <w:outlineLvl w:val="9"/>
        <w:rPr>
          <w:rFonts w:hint="eastAsia" w:ascii="宋体" w:hAnsi="宋体" w:cs="宋体"/>
          <w:b w:val="0"/>
          <w:bCs w:val="0"/>
          <w:color w:val="000000" w:themeColor="text1"/>
          <w:sz w:val="21"/>
          <w:szCs w:val="21"/>
          <w:highlight w:val="none"/>
          <w14:textFill>
            <w14:solidFill>
              <w14:schemeClr w14:val="tx1"/>
            </w14:solidFill>
          </w14:textFill>
        </w:rPr>
      </w:pPr>
      <w:r>
        <w:rPr>
          <w:rFonts w:hint="eastAsia" w:ascii="宋体" w:hAnsi="宋体" w:cs="宋体"/>
          <w:b w:val="0"/>
          <w:bCs w:val="0"/>
          <w:color w:val="000000" w:themeColor="text1"/>
          <w:sz w:val="21"/>
          <w:szCs w:val="21"/>
          <w:highlight w:val="none"/>
          <w14:textFill>
            <w14:solidFill>
              <w14:schemeClr w14:val="tx1"/>
            </w14:solidFill>
          </w14:textFill>
        </w:rPr>
        <w:t>我方在采购项目评审(评标)环节结束后，随时接受采购人、采购代理机构的检查验证，配合提供相关证明材料，证明符合《中华人民共和国政府采购法》规定的供应商基本资格条件。</w:t>
      </w:r>
    </w:p>
    <w:p w14:paraId="76AD28AF">
      <w:pPr>
        <w:keepNext/>
        <w:keepLines/>
        <w:pageBreakBefore w:val="0"/>
        <w:widowControl w:val="0"/>
        <w:kinsoku/>
        <w:wordWrap/>
        <w:overflowPunct/>
        <w:topLinePunct w:val="0"/>
        <w:autoSpaceDE/>
        <w:autoSpaceDN/>
        <w:bidi w:val="0"/>
        <w:adjustRightInd w:val="0"/>
        <w:snapToGrid w:val="0"/>
        <w:spacing w:before="0" w:after="0" w:line="360" w:lineRule="auto"/>
        <w:ind w:firstLine="420" w:firstLineChars="200"/>
        <w:jc w:val="left"/>
        <w:textAlignment w:val="auto"/>
        <w:outlineLvl w:val="9"/>
        <w:rPr>
          <w:rFonts w:hint="eastAsia" w:ascii="宋体" w:hAnsi="宋体" w:cs="宋体"/>
          <w:b w:val="0"/>
          <w:bCs w:val="0"/>
          <w:color w:val="000000" w:themeColor="text1"/>
          <w:sz w:val="21"/>
          <w:szCs w:val="21"/>
          <w:highlight w:val="none"/>
          <w14:textFill>
            <w14:solidFill>
              <w14:schemeClr w14:val="tx1"/>
            </w14:solidFill>
          </w14:textFill>
        </w:rPr>
      </w:pPr>
      <w:r>
        <w:rPr>
          <w:rFonts w:hint="eastAsia" w:ascii="宋体" w:hAnsi="宋体" w:cs="宋体"/>
          <w:b w:val="0"/>
          <w:bCs w:val="0"/>
          <w:color w:val="000000" w:themeColor="text1"/>
          <w:sz w:val="21"/>
          <w:szCs w:val="21"/>
          <w:highlight w:val="none"/>
          <w14:textFill>
            <w14:solidFill>
              <w14:schemeClr w14:val="tx1"/>
            </w14:solidFill>
          </w14:textFill>
        </w:rPr>
        <w:t>我单位（公司）对上述承诺的真实性负责。如有虚假，将依法承担相应责任。</w:t>
      </w:r>
    </w:p>
    <w:p w14:paraId="158C7DDC">
      <w:pPr>
        <w:keepNext/>
        <w:keepLines/>
        <w:pageBreakBefore w:val="0"/>
        <w:widowControl w:val="0"/>
        <w:kinsoku/>
        <w:wordWrap/>
        <w:overflowPunct/>
        <w:topLinePunct w:val="0"/>
        <w:autoSpaceDE/>
        <w:autoSpaceDN/>
        <w:bidi w:val="0"/>
        <w:adjustRightInd w:val="0"/>
        <w:snapToGrid w:val="0"/>
        <w:spacing w:before="0" w:after="0" w:line="360" w:lineRule="auto"/>
        <w:ind w:firstLine="420" w:firstLineChars="200"/>
        <w:jc w:val="left"/>
        <w:textAlignment w:val="auto"/>
        <w:outlineLvl w:val="9"/>
        <w:rPr>
          <w:rFonts w:hint="eastAsia" w:ascii="宋体" w:hAnsi="宋体" w:cs="宋体"/>
          <w:b w:val="0"/>
          <w:bCs w:val="0"/>
          <w:color w:val="000000" w:themeColor="text1"/>
          <w:sz w:val="21"/>
          <w:szCs w:val="21"/>
          <w:highlight w:val="none"/>
          <w14:textFill>
            <w14:solidFill>
              <w14:schemeClr w14:val="tx1"/>
            </w14:solidFill>
          </w14:textFill>
        </w:rPr>
      </w:pPr>
      <w:r>
        <w:rPr>
          <w:rFonts w:hint="eastAsia" w:ascii="宋体" w:hAnsi="宋体" w:cs="宋体"/>
          <w:b w:val="0"/>
          <w:bCs w:val="0"/>
          <w:color w:val="000000" w:themeColor="text1"/>
          <w:sz w:val="21"/>
          <w:szCs w:val="21"/>
          <w:highlight w:val="none"/>
          <w14:textFill>
            <w14:solidFill>
              <w14:schemeClr w14:val="tx1"/>
            </w14:solidFill>
          </w14:textFill>
        </w:rPr>
        <w:t>特此承诺。</w:t>
      </w:r>
    </w:p>
    <w:p w14:paraId="61F01142">
      <w:pPr>
        <w:overflowPunct/>
        <w:bidi w:val="0"/>
        <w:spacing w:line="363" w:lineRule="exact"/>
        <w:ind w:left="0" w:leftChars="0" w:firstLine="4777" w:firstLineChars="2275"/>
        <w:jc w:val="left"/>
        <w:outlineLvl w:val="9"/>
        <w:rPr>
          <w:rFonts w:hint="eastAsia" w:ascii="宋体" w:hAnsi="宋体" w:cs="宋体"/>
          <w:b w:val="0"/>
          <w:bCs w:val="0"/>
          <w:color w:val="000000" w:themeColor="text1"/>
          <w:sz w:val="21"/>
          <w:szCs w:val="21"/>
          <w:highlight w:val="none"/>
          <w14:textFill>
            <w14:solidFill>
              <w14:schemeClr w14:val="tx1"/>
            </w14:solidFill>
          </w14:textFill>
        </w:rPr>
      </w:pPr>
    </w:p>
    <w:p w14:paraId="65391AC6">
      <w:pPr>
        <w:overflowPunct/>
        <w:bidi w:val="0"/>
        <w:spacing w:line="363" w:lineRule="exact"/>
        <w:ind w:left="0" w:leftChars="0" w:firstLine="4777" w:firstLineChars="2275"/>
        <w:jc w:val="left"/>
        <w:outlineLvl w:val="9"/>
        <w:rPr>
          <w:rFonts w:hint="eastAsia" w:ascii="宋体" w:hAnsi="宋体" w:cs="宋体"/>
          <w:b w:val="0"/>
          <w:bCs w:val="0"/>
          <w:color w:val="000000" w:themeColor="text1"/>
          <w:sz w:val="21"/>
          <w:szCs w:val="21"/>
          <w:highlight w:val="none"/>
          <w14:textFill>
            <w14:solidFill>
              <w14:schemeClr w14:val="tx1"/>
            </w14:solidFill>
          </w14:textFill>
        </w:rPr>
      </w:pPr>
      <w:r>
        <w:rPr>
          <w:rFonts w:hint="eastAsia" w:ascii="宋体" w:hAnsi="宋体" w:cs="宋体"/>
          <w:b w:val="0"/>
          <w:bCs w:val="0"/>
          <w:color w:val="000000" w:themeColor="text1"/>
          <w:sz w:val="21"/>
          <w:szCs w:val="21"/>
          <w:highlight w:val="none"/>
          <w14:textFill>
            <w14:solidFill>
              <w14:schemeClr w14:val="tx1"/>
            </w14:solidFill>
          </w14:textFill>
        </w:rPr>
        <w:t>盖章：</w:t>
      </w:r>
    </w:p>
    <w:p w14:paraId="55D7C4B0">
      <w:pPr>
        <w:overflowPunct/>
        <w:bidi w:val="0"/>
        <w:spacing w:line="363" w:lineRule="exact"/>
        <w:ind w:left="0" w:leftChars="0" w:firstLine="4777" w:firstLineChars="2275"/>
        <w:jc w:val="left"/>
        <w:outlineLvl w:val="9"/>
        <w:rPr>
          <w:rFonts w:hint="eastAsia" w:ascii="宋体" w:hAnsi="宋体" w:cs="宋体"/>
          <w:b w:val="0"/>
          <w:bCs w:val="0"/>
          <w:color w:val="000000" w:themeColor="text1"/>
          <w:sz w:val="21"/>
          <w:szCs w:val="21"/>
          <w:highlight w:val="none"/>
          <w14:textFill>
            <w14:solidFill>
              <w14:schemeClr w14:val="tx1"/>
            </w14:solidFill>
          </w14:textFill>
        </w:rPr>
      </w:pPr>
      <w:r>
        <w:rPr>
          <w:rFonts w:hint="eastAsia" w:ascii="宋体" w:hAnsi="宋体" w:cs="宋体"/>
          <w:b w:val="0"/>
          <w:bCs w:val="0"/>
          <w:color w:val="000000" w:themeColor="text1"/>
          <w:sz w:val="21"/>
          <w:szCs w:val="21"/>
          <w:highlight w:val="none"/>
          <w14:textFill>
            <w14:solidFill>
              <w14:schemeClr w14:val="tx1"/>
            </w14:solidFill>
          </w14:textFill>
        </w:rPr>
        <w:t>签字：</w:t>
      </w:r>
    </w:p>
    <w:p w14:paraId="71594641">
      <w:pPr>
        <w:overflowPunct/>
        <w:bidi w:val="0"/>
        <w:spacing w:line="363" w:lineRule="exact"/>
        <w:ind w:left="0" w:leftChars="0" w:firstLine="4777" w:firstLineChars="2275"/>
        <w:jc w:val="left"/>
        <w:outlineLvl w:val="9"/>
        <w:rPr>
          <w:rFonts w:hint="eastAsia" w:ascii="宋体" w:hAnsi="宋体" w:cs="宋体"/>
          <w:b w:val="0"/>
          <w:bCs w:val="0"/>
          <w:color w:val="000000" w:themeColor="text1"/>
          <w:sz w:val="21"/>
          <w:szCs w:val="21"/>
          <w:highlight w:val="none"/>
          <w14:textFill>
            <w14:solidFill>
              <w14:schemeClr w14:val="tx1"/>
            </w14:solidFill>
          </w14:textFill>
        </w:rPr>
      </w:pPr>
      <w:r>
        <w:rPr>
          <w:rFonts w:hint="eastAsia" w:ascii="宋体" w:hAnsi="宋体" w:cs="宋体"/>
          <w:b w:val="0"/>
          <w:bCs w:val="0"/>
          <w:color w:val="000000" w:themeColor="text1"/>
          <w:sz w:val="21"/>
          <w:szCs w:val="21"/>
          <w:highlight w:val="none"/>
          <w14:textFill>
            <w14:solidFill>
              <w14:schemeClr w14:val="tx1"/>
            </w14:solidFill>
          </w14:textFill>
        </w:rPr>
        <w:t>日期：</w:t>
      </w:r>
    </w:p>
    <w:p w14:paraId="740F5442">
      <w:pPr>
        <w:pStyle w:val="35"/>
        <w:overflowPunct/>
        <w:bidi w:val="0"/>
        <w:outlineLvl w:val="9"/>
        <w:rPr>
          <w:rFonts w:hint="eastAsia"/>
          <w:color w:val="000000" w:themeColor="text1"/>
          <w:sz w:val="21"/>
          <w:szCs w:val="21"/>
          <w:highlight w:val="none"/>
          <w14:textFill>
            <w14:solidFill>
              <w14:schemeClr w14:val="tx1"/>
            </w14:solidFill>
          </w14:textFill>
        </w:rPr>
        <w:sectPr>
          <w:pgSz w:w="11906" w:h="16838"/>
          <w:pgMar w:top="1134" w:right="1418" w:bottom="1134" w:left="1418" w:header="851" w:footer="851" w:gutter="0"/>
          <w:pgBorders>
            <w:top w:val="none" w:sz="0" w:space="0"/>
            <w:left w:val="none" w:sz="0" w:space="0"/>
            <w:bottom w:val="none" w:sz="0" w:space="0"/>
            <w:right w:val="none" w:sz="0" w:space="0"/>
          </w:pgBorders>
          <w:pgNumType w:fmt="decimal"/>
          <w:cols w:space="720" w:num="1"/>
          <w:docGrid w:linePitch="312" w:charSpace="0"/>
        </w:sectPr>
      </w:pPr>
    </w:p>
    <w:bookmarkEnd w:id="72"/>
    <w:bookmarkEnd w:id="73"/>
    <w:p w14:paraId="06948283">
      <w:pPr>
        <w:overflowPunct/>
        <w:bidi w:val="0"/>
        <w:adjustRightInd w:val="0"/>
        <w:snapToGrid w:val="0"/>
        <w:spacing w:line="300" w:lineRule="auto"/>
        <w:jc w:val="center"/>
        <w:outlineLvl w:val="9"/>
        <w:rPr>
          <w:rFonts w:ascii="宋体" w:hAnsi="宋体" w:cs="宋体"/>
          <w:b/>
          <w:color w:val="000000" w:themeColor="text1"/>
          <w:sz w:val="28"/>
          <w:szCs w:val="28"/>
          <w:highlight w:val="none"/>
          <w14:textFill>
            <w14:solidFill>
              <w14:schemeClr w14:val="tx1"/>
            </w14:solidFill>
          </w14:textFill>
        </w:rPr>
      </w:pPr>
      <w:bookmarkStart w:id="74" w:name="_Toc404237845"/>
      <w:bookmarkStart w:id="75" w:name="_Toc247514302"/>
      <w:bookmarkStart w:id="76" w:name="_Toc152042599"/>
      <w:bookmarkStart w:id="77" w:name="_Toc404237755"/>
      <w:bookmarkStart w:id="78" w:name="_Toc144974878"/>
      <w:bookmarkStart w:id="79" w:name="_Toc397416087"/>
      <w:bookmarkStart w:id="80" w:name="_Toc152045810"/>
      <w:bookmarkStart w:id="81" w:name="_Toc265953296"/>
      <w:bookmarkStart w:id="82" w:name="_Toc247527850"/>
      <w:r>
        <w:rPr>
          <w:rFonts w:ascii="宋体" w:hAnsi="宋体" w:cs="宋体"/>
          <w:b/>
          <w:color w:val="000000" w:themeColor="text1"/>
          <w:sz w:val="28"/>
          <w:szCs w:val="28"/>
          <w:highlight w:val="none"/>
          <w14:textFill>
            <w14:solidFill>
              <w14:schemeClr w14:val="tx1"/>
            </w14:solidFill>
          </w14:textFill>
        </w:rPr>
        <w:t>近年完成的类似项目情况表</w:t>
      </w:r>
      <w:bookmarkEnd w:id="74"/>
      <w:bookmarkEnd w:id="75"/>
      <w:bookmarkEnd w:id="76"/>
      <w:bookmarkEnd w:id="77"/>
      <w:bookmarkEnd w:id="78"/>
      <w:bookmarkEnd w:id="79"/>
      <w:bookmarkEnd w:id="80"/>
      <w:bookmarkEnd w:id="81"/>
      <w:bookmarkEnd w:id="82"/>
    </w:p>
    <w:p w14:paraId="0DF1F4CC">
      <w:pPr>
        <w:pStyle w:val="12"/>
        <w:overflowPunct/>
        <w:bidi w:val="0"/>
        <w:ind w:firstLine="640"/>
        <w:jc w:val="center"/>
        <w:outlineLvl w:val="9"/>
        <w:rPr>
          <w:color w:val="000000" w:themeColor="text1"/>
          <w:kern w:val="0"/>
          <w:sz w:val="32"/>
          <w:szCs w:val="32"/>
          <w:highlight w:val="none"/>
          <w14:textFill>
            <w14:solidFill>
              <w14:schemeClr w14:val="tx1"/>
            </w14:solidFill>
          </w14:textFill>
        </w:rPr>
      </w:pPr>
    </w:p>
    <w:tbl>
      <w:tblPr>
        <w:tblStyle w:val="38"/>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525"/>
        <w:gridCol w:w="6959"/>
      </w:tblGrid>
      <w:tr w14:paraId="759CC38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jc w:val="center"/>
        </w:trPr>
        <w:tc>
          <w:tcPr>
            <w:tcW w:w="2525" w:type="dxa"/>
            <w:tcBorders>
              <w:top w:val="single" w:color="auto" w:sz="4" w:space="0"/>
              <w:left w:val="single" w:color="auto" w:sz="4" w:space="0"/>
              <w:bottom w:val="single" w:color="auto" w:sz="4" w:space="0"/>
              <w:right w:val="single" w:color="auto" w:sz="4" w:space="0"/>
            </w:tcBorders>
            <w:noWrap w:val="0"/>
            <w:vAlign w:val="center"/>
          </w:tcPr>
          <w:p w14:paraId="405C39BD">
            <w:pPr>
              <w:overflowPunct/>
              <w:topLinePunct/>
              <w:bidi w:val="0"/>
              <w:jc w:val="center"/>
              <w:outlineLvl w:val="9"/>
              <w:rPr>
                <w:color w:val="000000" w:themeColor="text1"/>
                <w:szCs w:val="21"/>
                <w:highlight w:val="none"/>
                <w14:textFill>
                  <w14:solidFill>
                    <w14:schemeClr w14:val="tx1"/>
                  </w14:solidFill>
                </w14:textFill>
              </w:rPr>
            </w:pPr>
            <w:r>
              <w:rPr>
                <w:color w:val="000000" w:themeColor="text1"/>
                <w:szCs w:val="21"/>
                <w:highlight w:val="none"/>
                <w14:textFill>
                  <w14:solidFill>
                    <w14:schemeClr w14:val="tx1"/>
                  </w14:solidFill>
                </w14:textFill>
              </w:rPr>
              <w:t>项目名称</w:t>
            </w:r>
          </w:p>
        </w:tc>
        <w:tc>
          <w:tcPr>
            <w:tcW w:w="6959" w:type="dxa"/>
            <w:tcBorders>
              <w:top w:val="single" w:color="auto" w:sz="4" w:space="0"/>
              <w:left w:val="single" w:color="auto" w:sz="4" w:space="0"/>
              <w:bottom w:val="single" w:color="auto" w:sz="4" w:space="0"/>
              <w:right w:val="single" w:color="auto" w:sz="4" w:space="0"/>
            </w:tcBorders>
            <w:noWrap w:val="0"/>
            <w:vAlign w:val="center"/>
          </w:tcPr>
          <w:p w14:paraId="642BB81B">
            <w:pPr>
              <w:overflowPunct/>
              <w:topLinePunct/>
              <w:bidi w:val="0"/>
              <w:jc w:val="center"/>
              <w:outlineLvl w:val="9"/>
              <w:rPr>
                <w:color w:val="000000" w:themeColor="text1"/>
                <w:szCs w:val="21"/>
                <w:highlight w:val="none"/>
                <w14:textFill>
                  <w14:solidFill>
                    <w14:schemeClr w14:val="tx1"/>
                  </w14:solidFill>
                </w14:textFill>
              </w:rPr>
            </w:pPr>
          </w:p>
        </w:tc>
      </w:tr>
      <w:tr w14:paraId="729C582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jc w:val="center"/>
        </w:trPr>
        <w:tc>
          <w:tcPr>
            <w:tcW w:w="2525" w:type="dxa"/>
            <w:tcBorders>
              <w:top w:val="single" w:color="auto" w:sz="4" w:space="0"/>
              <w:left w:val="single" w:color="auto" w:sz="4" w:space="0"/>
              <w:bottom w:val="single" w:color="auto" w:sz="4" w:space="0"/>
              <w:right w:val="single" w:color="auto" w:sz="4" w:space="0"/>
            </w:tcBorders>
            <w:noWrap w:val="0"/>
            <w:vAlign w:val="center"/>
          </w:tcPr>
          <w:p w14:paraId="2103773E">
            <w:pPr>
              <w:overflowPunct/>
              <w:topLinePunct/>
              <w:bidi w:val="0"/>
              <w:jc w:val="center"/>
              <w:outlineLvl w:val="9"/>
              <w:rPr>
                <w:color w:val="000000" w:themeColor="text1"/>
                <w:szCs w:val="21"/>
                <w:highlight w:val="none"/>
                <w14:textFill>
                  <w14:solidFill>
                    <w14:schemeClr w14:val="tx1"/>
                  </w14:solidFill>
                </w14:textFill>
              </w:rPr>
            </w:pPr>
            <w:r>
              <w:rPr>
                <w:color w:val="000000" w:themeColor="text1"/>
                <w:szCs w:val="21"/>
                <w:highlight w:val="none"/>
                <w14:textFill>
                  <w14:solidFill>
                    <w14:schemeClr w14:val="tx1"/>
                  </w14:solidFill>
                </w14:textFill>
              </w:rPr>
              <w:t>项目所在地</w:t>
            </w:r>
          </w:p>
        </w:tc>
        <w:tc>
          <w:tcPr>
            <w:tcW w:w="6959" w:type="dxa"/>
            <w:tcBorders>
              <w:top w:val="single" w:color="auto" w:sz="4" w:space="0"/>
              <w:left w:val="single" w:color="auto" w:sz="4" w:space="0"/>
              <w:bottom w:val="single" w:color="auto" w:sz="4" w:space="0"/>
              <w:right w:val="single" w:color="auto" w:sz="4" w:space="0"/>
            </w:tcBorders>
            <w:noWrap w:val="0"/>
            <w:vAlign w:val="center"/>
          </w:tcPr>
          <w:p w14:paraId="648055A6">
            <w:pPr>
              <w:overflowPunct/>
              <w:topLinePunct/>
              <w:bidi w:val="0"/>
              <w:jc w:val="center"/>
              <w:outlineLvl w:val="9"/>
              <w:rPr>
                <w:color w:val="000000" w:themeColor="text1"/>
                <w:szCs w:val="21"/>
                <w:highlight w:val="none"/>
                <w14:textFill>
                  <w14:solidFill>
                    <w14:schemeClr w14:val="tx1"/>
                  </w14:solidFill>
                </w14:textFill>
              </w:rPr>
            </w:pPr>
          </w:p>
        </w:tc>
      </w:tr>
      <w:tr w14:paraId="628A8A0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jc w:val="center"/>
        </w:trPr>
        <w:tc>
          <w:tcPr>
            <w:tcW w:w="2525" w:type="dxa"/>
            <w:tcBorders>
              <w:top w:val="single" w:color="auto" w:sz="4" w:space="0"/>
              <w:left w:val="single" w:color="auto" w:sz="4" w:space="0"/>
              <w:bottom w:val="single" w:color="auto" w:sz="4" w:space="0"/>
              <w:right w:val="single" w:color="auto" w:sz="4" w:space="0"/>
            </w:tcBorders>
            <w:noWrap w:val="0"/>
            <w:vAlign w:val="center"/>
          </w:tcPr>
          <w:p w14:paraId="7717675C">
            <w:pPr>
              <w:overflowPunct/>
              <w:topLinePunct/>
              <w:bidi w:val="0"/>
              <w:jc w:val="center"/>
              <w:outlineLvl w:val="9"/>
              <w:rPr>
                <w:color w:val="000000" w:themeColor="text1"/>
                <w:szCs w:val="21"/>
                <w:highlight w:val="none"/>
                <w14:textFill>
                  <w14:solidFill>
                    <w14:schemeClr w14:val="tx1"/>
                  </w14:solidFill>
                </w14:textFill>
              </w:rPr>
            </w:pPr>
            <w:r>
              <w:rPr>
                <w:color w:val="000000" w:themeColor="text1"/>
                <w:szCs w:val="21"/>
                <w:highlight w:val="none"/>
                <w14:textFill>
                  <w14:solidFill>
                    <w14:schemeClr w14:val="tx1"/>
                  </w14:solidFill>
                </w14:textFill>
              </w:rPr>
              <w:t>发包人名称</w:t>
            </w:r>
          </w:p>
        </w:tc>
        <w:tc>
          <w:tcPr>
            <w:tcW w:w="6959" w:type="dxa"/>
            <w:tcBorders>
              <w:top w:val="single" w:color="auto" w:sz="4" w:space="0"/>
              <w:left w:val="single" w:color="auto" w:sz="4" w:space="0"/>
              <w:bottom w:val="single" w:color="auto" w:sz="4" w:space="0"/>
              <w:right w:val="single" w:color="auto" w:sz="4" w:space="0"/>
            </w:tcBorders>
            <w:noWrap w:val="0"/>
            <w:vAlign w:val="center"/>
          </w:tcPr>
          <w:p w14:paraId="2FA0BB3C">
            <w:pPr>
              <w:overflowPunct/>
              <w:topLinePunct/>
              <w:bidi w:val="0"/>
              <w:jc w:val="center"/>
              <w:outlineLvl w:val="9"/>
              <w:rPr>
                <w:color w:val="000000" w:themeColor="text1"/>
                <w:szCs w:val="21"/>
                <w:highlight w:val="none"/>
                <w14:textFill>
                  <w14:solidFill>
                    <w14:schemeClr w14:val="tx1"/>
                  </w14:solidFill>
                </w14:textFill>
              </w:rPr>
            </w:pPr>
          </w:p>
        </w:tc>
      </w:tr>
      <w:tr w14:paraId="4555AEE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jc w:val="center"/>
        </w:trPr>
        <w:tc>
          <w:tcPr>
            <w:tcW w:w="2525" w:type="dxa"/>
            <w:tcBorders>
              <w:top w:val="single" w:color="auto" w:sz="4" w:space="0"/>
              <w:left w:val="single" w:color="auto" w:sz="4" w:space="0"/>
              <w:bottom w:val="single" w:color="auto" w:sz="4" w:space="0"/>
              <w:right w:val="single" w:color="auto" w:sz="4" w:space="0"/>
            </w:tcBorders>
            <w:noWrap w:val="0"/>
            <w:vAlign w:val="center"/>
          </w:tcPr>
          <w:p w14:paraId="79C63DF1">
            <w:pPr>
              <w:overflowPunct/>
              <w:topLinePunct/>
              <w:bidi w:val="0"/>
              <w:jc w:val="center"/>
              <w:outlineLvl w:val="9"/>
              <w:rPr>
                <w:color w:val="000000" w:themeColor="text1"/>
                <w:szCs w:val="21"/>
                <w:highlight w:val="none"/>
                <w14:textFill>
                  <w14:solidFill>
                    <w14:schemeClr w14:val="tx1"/>
                  </w14:solidFill>
                </w14:textFill>
              </w:rPr>
            </w:pPr>
            <w:r>
              <w:rPr>
                <w:color w:val="000000" w:themeColor="text1"/>
                <w:szCs w:val="21"/>
                <w:highlight w:val="none"/>
                <w14:textFill>
                  <w14:solidFill>
                    <w14:schemeClr w14:val="tx1"/>
                  </w14:solidFill>
                </w14:textFill>
              </w:rPr>
              <w:t>发包人地址</w:t>
            </w:r>
          </w:p>
        </w:tc>
        <w:tc>
          <w:tcPr>
            <w:tcW w:w="6959" w:type="dxa"/>
            <w:tcBorders>
              <w:top w:val="single" w:color="auto" w:sz="4" w:space="0"/>
              <w:left w:val="single" w:color="auto" w:sz="4" w:space="0"/>
              <w:bottom w:val="single" w:color="auto" w:sz="4" w:space="0"/>
              <w:right w:val="single" w:color="auto" w:sz="4" w:space="0"/>
            </w:tcBorders>
            <w:noWrap w:val="0"/>
            <w:vAlign w:val="center"/>
          </w:tcPr>
          <w:p w14:paraId="2378EC15">
            <w:pPr>
              <w:overflowPunct/>
              <w:topLinePunct/>
              <w:bidi w:val="0"/>
              <w:jc w:val="center"/>
              <w:outlineLvl w:val="9"/>
              <w:rPr>
                <w:color w:val="000000" w:themeColor="text1"/>
                <w:szCs w:val="21"/>
                <w:highlight w:val="none"/>
                <w14:textFill>
                  <w14:solidFill>
                    <w14:schemeClr w14:val="tx1"/>
                  </w14:solidFill>
                </w14:textFill>
              </w:rPr>
            </w:pPr>
          </w:p>
        </w:tc>
      </w:tr>
      <w:tr w14:paraId="6220D60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jc w:val="center"/>
        </w:trPr>
        <w:tc>
          <w:tcPr>
            <w:tcW w:w="2525" w:type="dxa"/>
            <w:tcBorders>
              <w:top w:val="single" w:color="auto" w:sz="4" w:space="0"/>
              <w:left w:val="single" w:color="auto" w:sz="4" w:space="0"/>
              <w:bottom w:val="single" w:color="auto" w:sz="4" w:space="0"/>
              <w:right w:val="single" w:color="auto" w:sz="4" w:space="0"/>
            </w:tcBorders>
            <w:noWrap w:val="0"/>
            <w:vAlign w:val="center"/>
          </w:tcPr>
          <w:p w14:paraId="4A9D86A2">
            <w:pPr>
              <w:overflowPunct/>
              <w:topLinePunct/>
              <w:bidi w:val="0"/>
              <w:jc w:val="center"/>
              <w:outlineLvl w:val="9"/>
              <w:rPr>
                <w:color w:val="000000" w:themeColor="text1"/>
                <w:szCs w:val="21"/>
                <w:highlight w:val="none"/>
                <w14:textFill>
                  <w14:solidFill>
                    <w14:schemeClr w14:val="tx1"/>
                  </w14:solidFill>
                </w14:textFill>
              </w:rPr>
            </w:pPr>
            <w:r>
              <w:rPr>
                <w:color w:val="000000" w:themeColor="text1"/>
                <w:szCs w:val="21"/>
                <w:highlight w:val="none"/>
                <w14:textFill>
                  <w14:solidFill>
                    <w14:schemeClr w14:val="tx1"/>
                  </w14:solidFill>
                </w14:textFill>
              </w:rPr>
              <w:t>发包人电话</w:t>
            </w:r>
          </w:p>
        </w:tc>
        <w:tc>
          <w:tcPr>
            <w:tcW w:w="6959" w:type="dxa"/>
            <w:tcBorders>
              <w:top w:val="single" w:color="auto" w:sz="4" w:space="0"/>
              <w:left w:val="single" w:color="auto" w:sz="4" w:space="0"/>
              <w:bottom w:val="single" w:color="auto" w:sz="4" w:space="0"/>
              <w:right w:val="single" w:color="auto" w:sz="4" w:space="0"/>
            </w:tcBorders>
            <w:noWrap w:val="0"/>
            <w:vAlign w:val="center"/>
          </w:tcPr>
          <w:p w14:paraId="483AF927">
            <w:pPr>
              <w:overflowPunct/>
              <w:topLinePunct/>
              <w:bidi w:val="0"/>
              <w:jc w:val="center"/>
              <w:outlineLvl w:val="9"/>
              <w:rPr>
                <w:color w:val="000000" w:themeColor="text1"/>
                <w:szCs w:val="21"/>
                <w:highlight w:val="none"/>
                <w14:textFill>
                  <w14:solidFill>
                    <w14:schemeClr w14:val="tx1"/>
                  </w14:solidFill>
                </w14:textFill>
              </w:rPr>
            </w:pPr>
          </w:p>
        </w:tc>
      </w:tr>
      <w:tr w14:paraId="7C13525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jc w:val="center"/>
        </w:trPr>
        <w:tc>
          <w:tcPr>
            <w:tcW w:w="2525" w:type="dxa"/>
            <w:tcBorders>
              <w:top w:val="single" w:color="auto" w:sz="4" w:space="0"/>
              <w:left w:val="single" w:color="auto" w:sz="4" w:space="0"/>
              <w:bottom w:val="single" w:color="auto" w:sz="4" w:space="0"/>
              <w:right w:val="single" w:color="auto" w:sz="4" w:space="0"/>
            </w:tcBorders>
            <w:noWrap w:val="0"/>
            <w:vAlign w:val="center"/>
          </w:tcPr>
          <w:p w14:paraId="4DF4CE6C">
            <w:pPr>
              <w:overflowPunct/>
              <w:topLinePunct/>
              <w:bidi w:val="0"/>
              <w:jc w:val="center"/>
              <w:outlineLvl w:val="9"/>
              <w:rPr>
                <w:color w:val="000000" w:themeColor="text1"/>
                <w:szCs w:val="21"/>
                <w:highlight w:val="none"/>
                <w14:textFill>
                  <w14:solidFill>
                    <w14:schemeClr w14:val="tx1"/>
                  </w14:solidFill>
                </w14:textFill>
              </w:rPr>
            </w:pPr>
            <w:r>
              <w:rPr>
                <w:color w:val="000000" w:themeColor="text1"/>
                <w:szCs w:val="21"/>
                <w:highlight w:val="none"/>
                <w14:textFill>
                  <w14:solidFill>
                    <w14:schemeClr w14:val="tx1"/>
                  </w14:solidFill>
                </w14:textFill>
              </w:rPr>
              <w:t>合同价格</w:t>
            </w:r>
          </w:p>
        </w:tc>
        <w:tc>
          <w:tcPr>
            <w:tcW w:w="6959" w:type="dxa"/>
            <w:tcBorders>
              <w:top w:val="single" w:color="auto" w:sz="4" w:space="0"/>
              <w:left w:val="single" w:color="auto" w:sz="4" w:space="0"/>
              <w:bottom w:val="single" w:color="auto" w:sz="4" w:space="0"/>
              <w:right w:val="single" w:color="auto" w:sz="4" w:space="0"/>
            </w:tcBorders>
            <w:noWrap w:val="0"/>
            <w:vAlign w:val="center"/>
          </w:tcPr>
          <w:p w14:paraId="466413CA">
            <w:pPr>
              <w:overflowPunct/>
              <w:topLinePunct/>
              <w:bidi w:val="0"/>
              <w:jc w:val="center"/>
              <w:outlineLvl w:val="9"/>
              <w:rPr>
                <w:color w:val="000000" w:themeColor="text1"/>
                <w:szCs w:val="21"/>
                <w:highlight w:val="none"/>
                <w14:textFill>
                  <w14:solidFill>
                    <w14:schemeClr w14:val="tx1"/>
                  </w14:solidFill>
                </w14:textFill>
              </w:rPr>
            </w:pPr>
          </w:p>
        </w:tc>
      </w:tr>
      <w:tr w14:paraId="5192E85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jc w:val="center"/>
        </w:trPr>
        <w:tc>
          <w:tcPr>
            <w:tcW w:w="2525" w:type="dxa"/>
            <w:tcBorders>
              <w:top w:val="single" w:color="auto" w:sz="4" w:space="0"/>
              <w:left w:val="single" w:color="auto" w:sz="4" w:space="0"/>
              <w:bottom w:val="single" w:color="auto" w:sz="4" w:space="0"/>
              <w:right w:val="single" w:color="auto" w:sz="4" w:space="0"/>
            </w:tcBorders>
            <w:noWrap w:val="0"/>
            <w:vAlign w:val="center"/>
          </w:tcPr>
          <w:p w14:paraId="5232CA90">
            <w:pPr>
              <w:overflowPunct/>
              <w:topLinePunct/>
              <w:bidi w:val="0"/>
              <w:jc w:val="center"/>
              <w:outlineLvl w:val="9"/>
              <w:rPr>
                <w:rFonts w:hint="eastAsia"/>
                <w:color w:val="000000" w:themeColor="text1"/>
                <w:szCs w:val="21"/>
                <w:highlight w:val="none"/>
                <w14:textFill>
                  <w14:solidFill>
                    <w14:schemeClr w14:val="tx1"/>
                  </w14:solidFill>
                </w14:textFill>
              </w:rPr>
            </w:pPr>
            <w:r>
              <w:rPr>
                <w:rFonts w:hint="eastAsia"/>
                <w:color w:val="000000" w:themeColor="text1"/>
                <w:szCs w:val="21"/>
                <w:highlight w:val="none"/>
                <w14:textFill>
                  <w14:solidFill>
                    <w14:schemeClr w14:val="tx1"/>
                  </w14:solidFill>
                </w14:textFill>
              </w:rPr>
              <w:t>供货期限</w:t>
            </w:r>
          </w:p>
        </w:tc>
        <w:tc>
          <w:tcPr>
            <w:tcW w:w="6959" w:type="dxa"/>
            <w:tcBorders>
              <w:top w:val="single" w:color="auto" w:sz="4" w:space="0"/>
              <w:left w:val="single" w:color="auto" w:sz="4" w:space="0"/>
              <w:bottom w:val="single" w:color="auto" w:sz="4" w:space="0"/>
              <w:right w:val="single" w:color="auto" w:sz="4" w:space="0"/>
            </w:tcBorders>
            <w:noWrap w:val="0"/>
            <w:vAlign w:val="center"/>
          </w:tcPr>
          <w:p w14:paraId="20E8FB45">
            <w:pPr>
              <w:overflowPunct/>
              <w:topLinePunct/>
              <w:bidi w:val="0"/>
              <w:jc w:val="center"/>
              <w:outlineLvl w:val="9"/>
              <w:rPr>
                <w:color w:val="000000" w:themeColor="text1"/>
                <w:szCs w:val="21"/>
                <w:highlight w:val="none"/>
                <w14:textFill>
                  <w14:solidFill>
                    <w14:schemeClr w14:val="tx1"/>
                  </w14:solidFill>
                </w14:textFill>
              </w:rPr>
            </w:pPr>
          </w:p>
        </w:tc>
      </w:tr>
      <w:tr w14:paraId="5F5F4E9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jc w:val="center"/>
        </w:trPr>
        <w:tc>
          <w:tcPr>
            <w:tcW w:w="2525" w:type="dxa"/>
            <w:tcBorders>
              <w:top w:val="single" w:color="auto" w:sz="4" w:space="0"/>
              <w:left w:val="single" w:color="auto" w:sz="4" w:space="0"/>
              <w:bottom w:val="single" w:color="auto" w:sz="4" w:space="0"/>
              <w:right w:val="single" w:color="auto" w:sz="4" w:space="0"/>
            </w:tcBorders>
            <w:noWrap w:val="0"/>
            <w:vAlign w:val="center"/>
          </w:tcPr>
          <w:p w14:paraId="53263E31">
            <w:pPr>
              <w:overflowPunct/>
              <w:topLinePunct/>
              <w:bidi w:val="0"/>
              <w:jc w:val="center"/>
              <w:outlineLvl w:val="9"/>
              <w:rPr>
                <w:color w:val="000000" w:themeColor="text1"/>
                <w:szCs w:val="21"/>
                <w:highlight w:val="none"/>
                <w14:textFill>
                  <w14:solidFill>
                    <w14:schemeClr w14:val="tx1"/>
                  </w14:solidFill>
                </w14:textFill>
              </w:rPr>
            </w:pPr>
            <w:r>
              <w:rPr>
                <w:color w:val="000000" w:themeColor="text1"/>
                <w:szCs w:val="21"/>
                <w:highlight w:val="none"/>
                <w14:textFill>
                  <w14:solidFill>
                    <w14:schemeClr w14:val="tx1"/>
                  </w14:solidFill>
                </w14:textFill>
              </w:rPr>
              <w:t>服务内容</w:t>
            </w:r>
          </w:p>
        </w:tc>
        <w:tc>
          <w:tcPr>
            <w:tcW w:w="6959" w:type="dxa"/>
            <w:tcBorders>
              <w:top w:val="single" w:color="auto" w:sz="4" w:space="0"/>
              <w:left w:val="single" w:color="auto" w:sz="4" w:space="0"/>
              <w:bottom w:val="single" w:color="auto" w:sz="4" w:space="0"/>
              <w:right w:val="single" w:color="auto" w:sz="4" w:space="0"/>
            </w:tcBorders>
            <w:noWrap w:val="0"/>
            <w:vAlign w:val="center"/>
          </w:tcPr>
          <w:p w14:paraId="360E9855">
            <w:pPr>
              <w:overflowPunct/>
              <w:topLinePunct/>
              <w:bidi w:val="0"/>
              <w:jc w:val="center"/>
              <w:outlineLvl w:val="9"/>
              <w:rPr>
                <w:color w:val="000000" w:themeColor="text1"/>
                <w:szCs w:val="21"/>
                <w:highlight w:val="none"/>
                <w14:textFill>
                  <w14:solidFill>
                    <w14:schemeClr w14:val="tx1"/>
                  </w14:solidFill>
                </w14:textFill>
              </w:rPr>
            </w:pPr>
          </w:p>
        </w:tc>
      </w:tr>
      <w:tr w14:paraId="77FB1B5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jc w:val="center"/>
        </w:trPr>
        <w:tc>
          <w:tcPr>
            <w:tcW w:w="2525" w:type="dxa"/>
            <w:tcBorders>
              <w:top w:val="single" w:color="auto" w:sz="4" w:space="0"/>
              <w:left w:val="single" w:color="auto" w:sz="4" w:space="0"/>
              <w:bottom w:val="single" w:color="auto" w:sz="4" w:space="0"/>
              <w:right w:val="single" w:color="auto" w:sz="4" w:space="0"/>
            </w:tcBorders>
            <w:noWrap w:val="0"/>
            <w:vAlign w:val="center"/>
          </w:tcPr>
          <w:p w14:paraId="143B2AF3">
            <w:pPr>
              <w:overflowPunct/>
              <w:topLinePunct/>
              <w:bidi w:val="0"/>
              <w:jc w:val="center"/>
              <w:outlineLvl w:val="9"/>
              <w:rPr>
                <w:color w:val="000000" w:themeColor="text1"/>
                <w:szCs w:val="21"/>
                <w:highlight w:val="none"/>
                <w14:textFill>
                  <w14:solidFill>
                    <w14:schemeClr w14:val="tx1"/>
                  </w14:solidFill>
                </w14:textFill>
              </w:rPr>
            </w:pPr>
            <w:r>
              <w:rPr>
                <w:color w:val="000000" w:themeColor="text1"/>
                <w:szCs w:val="21"/>
                <w:highlight w:val="none"/>
                <w14:textFill>
                  <w14:solidFill>
                    <w14:schemeClr w14:val="tx1"/>
                  </w14:solidFill>
                </w14:textFill>
              </w:rPr>
              <w:t>项目负责人</w:t>
            </w:r>
          </w:p>
        </w:tc>
        <w:tc>
          <w:tcPr>
            <w:tcW w:w="6959" w:type="dxa"/>
            <w:tcBorders>
              <w:top w:val="single" w:color="auto" w:sz="4" w:space="0"/>
              <w:left w:val="single" w:color="auto" w:sz="4" w:space="0"/>
              <w:bottom w:val="single" w:color="auto" w:sz="4" w:space="0"/>
              <w:right w:val="single" w:color="auto" w:sz="4" w:space="0"/>
            </w:tcBorders>
            <w:noWrap w:val="0"/>
            <w:vAlign w:val="center"/>
          </w:tcPr>
          <w:p w14:paraId="583AA8EF">
            <w:pPr>
              <w:overflowPunct/>
              <w:topLinePunct/>
              <w:bidi w:val="0"/>
              <w:jc w:val="center"/>
              <w:outlineLvl w:val="9"/>
              <w:rPr>
                <w:color w:val="000000" w:themeColor="text1"/>
                <w:szCs w:val="21"/>
                <w:highlight w:val="none"/>
                <w14:textFill>
                  <w14:solidFill>
                    <w14:schemeClr w14:val="tx1"/>
                  </w14:solidFill>
                </w14:textFill>
              </w:rPr>
            </w:pPr>
          </w:p>
        </w:tc>
      </w:tr>
      <w:tr w14:paraId="507C33D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jc w:val="center"/>
        </w:trPr>
        <w:tc>
          <w:tcPr>
            <w:tcW w:w="2525" w:type="dxa"/>
            <w:tcBorders>
              <w:top w:val="single" w:color="auto" w:sz="4" w:space="0"/>
              <w:left w:val="single" w:color="auto" w:sz="4" w:space="0"/>
              <w:bottom w:val="single" w:color="auto" w:sz="4" w:space="0"/>
              <w:right w:val="single" w:color="auto" w:sz="4" w:space="0"/>
            </w:tcBorders>
            <w:noWrap w:val="0"/>
            <w:vAlign w:val="center"/>
          </w:tcPr>
          <w:p w14:paraId="598D750A">
            <w:pPr>
              <w:overflowPunct/>
              <w:topLinePunct/>
              <w:bidi w:val="0"/>
              <w:jc w:val="center"/>
              <w:outlineLvl w:val="9"/>
              <w:rPr>
                <w:color w:val="000000" w:themeColor="text1"/>
                <w:szCs w:val="21"/>
                <w:highlight w:val="none"/>
                <w14:textFill>
                  <w14:solidFill>
                    <w14:schemeClr w14:val="tx1"/>
                  </w14:solidFill>
                </w14:textFill>
              </w:rPr>
            </w:pPr>
            <w:r>
              <w:rPr>
                <w:color w:val="000000" w:themeColor="text1"/>
                <w:szCs w:val="21"/>
                <w:highlight w:val="none"/>
                <w14:textFill>
                  <w14:solidFill>
                    <w14:schemeClr w14:val="tx1"/>
                  </w14:solidFill>
                </w14:textFill>
              </w:rPr>
              <w:t>项目描述</w:t>
            </w:r>
          </w:p>
        </w:tc>
        <w:tc>
          <w:tcPr>
            <w:tcW w:w="6959" w:type="dxa"/>
            <w:tcBorders>
              <w:top w:val="single" w:color="auto" w:sz="4" w:space="0"/>
              <w:left w:val="single" w:color="auto" w:sz="4" w:space="0"/>
              <w:bottom w:val="single" w:color="auto" w:sz="4" w:space="0"/>
              <w:right w:val="single" w:color="auto" w:sz="4" w:space="0"/>
            </w:tcBorders>
            <w:noWrap w:val="0"/>
            <w:vAlign w:val="center"/>
          </w:tcPr>
          <w:p w14:paraId="2D2D4313">
            <w:pPr>
              <w:overflowPunct/>
              <w:topLinePunct/>
              <w:bidi w:val="0"/>
              <w:jc w:val="center"/>
              <w:outlineLvl w:val="9"/>
              <w:rPr>
                <w:color w:val="000000" w:themeColor="text1"/>
                <w:szCs w:val="21"/>
                <w:highlight w:val="none"/>
                <w14:textFill>
                  <w14:solidFill>
                    <w14:schemeClr w14:val="tx1"/>
                  </w14:solidFill>
                </w14:textFill>
              </w:rPr>
            </w:pPr>
          </w:p>
        </w:tc>
      </w:tr>
      <w:tr w14:paraId="5598CD2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690" w:hRule="atLeast"/>
          <w:jc w:val="center"/>
        </w:trPr>
        <w:tc>
          <w:tcPr>
            <w:tcW w:w="2525" w:type="dxa"/>
            <w:tcBorders>
              <w:top w:val="single" w:color="auto" w:sz="4" w:space="0"/>
              <w:left w:val="single" w:color="auto" w:sz="4" w:space="0"/>
              <w:bottom w:val="single" w:color="auto" w:sz="4" w:space="0"/>
              <w:right w:val="single" w:color="auto" w:sz="4" w:space="0"/>
            </w:tcBorders>
            <w:noWrap w:val="0"/>
            <w:vAlign w:val="center"/>
          </w:tcPr>
          <w:p w14:paraId="62212D93">
            <w:pPr>
              <w:overflowPunct/>
              <w:topLinePunct/>
              <w:bidi w:val="0"/>
              <w:jc w:val="center"/>
              <w:outlineLvl w:val="9"/>
              <w:rPr>
                <w:color w:val="000000" w:themeColor="text1"/>
                <w:szCs w:val="21"/>
                <w:highlight w:val="none"/>
                <w14:textFill>
                  <w14:solidFill>
                    <w14:schemeClr w14:val="tx1"/>
                  </w14:solidFill>
                </w14:textFill>
              </w:rPr>
            </w:pPr>
            <w:r>
              <w:rPr>
                <w:color w:val="000000" w:themeColor="text1"/>
                <w:szCs w:val="21"/>
                <w:highlight w:val="none"/>
                <w14:textFill>
                  <w14:solidFill>
                    <w14:schemeClr w14:val="tx1"/>
                  </w14:solidFill>
                </w14:textFill>
              </w:rPr>
              <w:t>备注</w:t>
            </w:r>
          </w:p>
        </w:tc>
        <w:tc>
          <w:tcPr>
            <w:tcW w:w="6959" w:type="dxa"/>
            <w:tcBorders>
              <w:top w:val="single" w:color="auto" w:sz="4" w:space="0"/>
              <w:left w:val="single" w:color="auto" w:sz="4" w:space="0"/>
              <w:bottom w:val="single" w:color="auto" w:sz="4" w:space="0"/>
              <w:right w:val="single" w:color="auto" w:sz="4" w:space="0"/>
            </w:tcBorders>
            <w:noWrap w:val="0"/>
            <w:vAlign w:val="center"/>
          </w:tcPr>
          <w:p w14:paraId="1A3A42CC">
            <w:pPr>
              <w:overflowPunct/>
              <w:topLinePunct/>
              <w:bidi w:val="0"/>
              <w:jc w:val="center"/>
              <w:outlineLvl w:val="9"/>
              <w:rPr>
                <w:color w:val="000000" w:themeColor="text1"/>
                <w:szCs w:val="21"/>
                <w:highlight w:val="none"/>
                <w14:textFill>
                  <w14:solidFill>
                    <w14:schemeClr w14:val="tx1"/>
                  </w14:solidFill>
                </w14:textFill>
              </w:rPr>
            </w:pPr>
          </w:p>
        </w:tc>
      </w:tr>
    </w:tbl>
    <w:p w14:paraId="5F1D0783">
      <w:pPr>
        <w:pStyle w:val="47"/>
        <w:overflowPunct/>
        <w:bidi w:val="0"/>
        <w:spacing w:line="360" w:lineRule="auto"/>
        <w:ind w:right="-313" w:rightChars="-149" w:firstLine="420" w:firstLineChars="200"/>
        <w:jc w:val="both"/>
        <w:outlineLvl w:val="9"/>
        <w:rPr>
          <w:rFonts w:ascii="Times New Roman" w:hAnsi="Times New Roman" w:cs="Times New Roman"/>
          <w:color w:val="000000" w:themeColor="text1"/>
          <w:sz w:val="23"/>
          <w:szCs w:val="23"/>
          <w:highlight w:val="none"/>
          <w14:textFill>
            <w14:solidFill>
              <w14:schemeClr w14:val="tx1"/>
            </w14:solidFill>
          </w14:textFill>
        </w:rPr>
      </w:pPr>
      <w:r>
        <w:rPr>
          <w:rFonts w:ascii="Times New Roman" w:hAnsi="Times New Roman" w:cs="Times New Roman"/>
          <w:color w:val="000000" w:themeColor="text1"/>
          <w:sz w:val="21"/>
          <w:szCs w:val="21"/>
          <w:highlight w:val="none"/>
          <w14:textFill>
            <w14:solidFill>
              <w14:schemeClr w14:val="tx1"/>
            </w14:solidFill>
          </w14:textFill>
        </w:rPr>
        <w:t>注：</w:t>
      </w:r>
      <w:r>
        <w:rPr>
          <w:rFonts w:hint="eastAsia" w:ascii="Times New Roman" w:cs="Times New Roman"/>
          <w:color w:val="000000" w:themeColor="text1"/>
          <w:sz w:val="21"/>
          <w:szCs w:val="21"/>
          <w:highlight w:val="none"/>
          <w:lang w:eastAsia="zh-CN"/>
          <w14:textFill>
            <w14:solidFill>
              <w14:schemeClr w14:val="tx1"/>
            </w14:solidFill>
          </w14:textFill>
        </w:rPr>
        <w:t>供应商</w:t>
      </w:r>
      <w:r>
        <w:rPr>
          <w:rFonts w:hint="eastAsia" w:ascii="Times New Roman" w:hAnsi="Times New Roman" w:cs="Times New Roman"/>
          <w:color w:val="000000" w:themeColor="text1"/>
          <w:sz w:val="21"/>
          <w:szCs w:val="21"/>
          <w:highlight w:val="none"/>
          <w:lang w:val="en-US" w:eastAsia="zh-CN"/>
          <w14:textFill>
            <w14:solidFill>
              <w14:schemeClr w14:val="tx1"/>
            </w14:solidFill>
          </w14:textFill>
        </w:rPr>
        <w:t>如有</w:t>
      </w:r>
      <w:r>
        <w:rPr>
          <w:rFonts w:ascii="Times New Roman" w:hAnsi="Times New Roman" w:cs="Times New Roman"/>
          <w:color w:val="000000" w:themeColor="text1"/>
          <w:sz w:val="21"/>
          <w:szCs w:val="21"/>
          <w:highlight w:val="none"/>
          <w14:textFill>
            <w14:solidFill>
              <w14:schemeClr w14:val="tx1"/>
            </w14:solidFill>
          </w14:textFill>
        </w:rPr>
        <w:t>类似业绩，提供中标</w:t>
      </w:r>
      <w:r>
        <w:rPr>
          <w:rFonts w:hint="eastAsia" w:ascii="Times New Roman" w:hAnsi="Times New Roman" w:cs="Times New Roman"/>
          <w:color w:val="000000" w:themeColor="text1"/>
          <w:sz w:val="21"/>
          <w:szCs w:val="21"/>
          <w:highlight w:val="none"/>
          <w14:textFill>
            <w14:solidFill>
              <w14:schemeClr w14:val="tx1"/>
            </w14:solidFill>
          </w14:textFill>
        </w:rPr>
        <w:t>/成交</w:t>
      </w:r>
      <w:r>
        <w:rPr>
          <w:rFonts w:ascii="Times New Roman" w:hAnsi="Times New Roman" w:cs="Times New Roman"/>
          <w:color w:val="000000" w:themeColor="text1"/>
          <w:sz w:val="21"/>
          <w:szCs w:val="21"/>
          <w:highlight w:val="none"/>
          <w14:textFill>
            <w14:solidFill>
              <w14:schemeClr w14:val="tx1"/>
            </w14:solidFill>
          </w14:textFill>
        </w:rPr>
        <w:t>通知书或合同协议书</w:t>
      </w:r>
      <w:r>
        <w:rPr>
          <w:rFonts w:hint="eastAsia" w:ascii="Times New Roman" w:hAnsi="Times New Roman" w:cs="Times New Roman"/>
          <w:color w:val="000000" w:themeColor="text1"/>
          <w:sz w:val="21"/>
          <w:szCs w:val="21"/>
          <w:highlight w:val="none"/>
          <w:lang w:val="en-US" w:eastAsia="zh-CN"/>
          <w14:textFill>
            <w14:solidFill>
              <w14:schemeClr w14:val="tx1"/>
            </w14:solidFill>
          </w14:textFill>
        </w:rPr>
        <w:t>复印件加盖公章</w:t>
      </w:r>
      <w:r>
        <w:rPr>
          <w:rFonts w:ascii="Times New Roman" w:hAnsi="Times New Roman" w:cs="Times New Roman"/>
          <w:color w:val="000000" w:themeColor="text1"/>
          <w:sz w:val="21"/>
          <w:szCs w:val="21"/>
          <w:highlight w:val="none"/>
          <w14:textFill>
            <w14:solidFill>
              <w14:schemeClr w14:val="tx1"/>
            </w14:solidFill>
          </w14:textFill>
        </w:rPr>
        <w:t>，所有复印件必须要清晰、字迹清楚，否则不得分。</w:t>
      </w:r>
    </w:p>
    <w:p w14:paraId="06DDAC5E">
      <w:pPr>
        <w:overflowPunct/>
        <w:bidi w:val="0"/>
        <w:spacing w:line="240" w:lineRule="auto"/>
        <w:jc w:val="center"/>
        <w:outlineLvl w:val="9"/>
        <w:rPr>
          <w:rFonts w:ascii="宋体" w:hAnsi="宋体" w:eastAsia="宋体"/>
          <w:b w:val="0"/>
          <w:color w:val="000000" w:themeColor="text1"/>
          <w:highlight w:val="none"/>
          <w14:textFill>
            <w14:solidFill>
              <w14:schemeClr w14:val="tx1"/>
            </w14:solidFill>
          </w14:textFill>
        </w:rPr>
      </w:pPr>
      <w:r>
        <w:rPr>
          <w:rFonts w:ascii="Times New Roman" w:hAnsi="Times New Roman" w:eastAsia="宋体"/>
          <w:color w:val="000000" w:themeColor="text1"/>
          <w:highlight w:val="none"/>
          <w14:textFill>
            <w14:solidFill>
              <w14:schemeClr w14:val="tx1"/>
            </w14:solidFill>
          </w14:textFill>
        </w:rPr>
        <w:br w:type="page"/>
      </w:r>
      <w:r>
        <w:rPr>
          <w:rFonts w:hint="eastAsia" w:eastAsia="宋体"/>
          <w:b w:val="0"/>
          <w:bCs w:val="0"/>
          <w:color w:val="000000" w:themeColor="text1"/>
          <w:sz w:val="32"/>
          <w:highlight w:val="none"/>
          <w14:textFill>
            <w14:solidFill>
              <w14:schemeClr w14:val="tx1"/>
            </w14:solidFill>
          </w14:textFill>
        </w:rPr>
        <w:t xml:space="preserve"> </w:t>
      </w:r>
      <w:r>
        <w:rPr>
          <w:rFonts w:hint="eastAsia" w:ascii="宋体" w:hAnsi="宋体" w:eastAsia="宋体"/>
          <w:color w:val="000000" w:themeColor="text1"/>
          <w:highlight w:val="none"/>
          <w14:textFill>
            <w14:solidFill>
              <w14:schemeClr w14:val="tx1"/>
            </w14:solidFill>
          </w14:textFill>
        </w:rPr>
        <w:t>商务条款偏离表(格式)</w:t>
      </w:r>
    </w:p>
    <w:p w14:paraId="2EA0D87D">
      <w:pPr>
        <w:overflowPunct/>
        <w:bidi w:val="0"/>
        <w:ind w:hanging="119"/>
        <w:outlineLvl w:val="9"/>
        <w:rPr>
          <w:rFonts w:ascii="宋体" w:hAnsi="宋体"/>
          <w:color w:val="000000" w:themeColor="text1"/>
          <w:sz w:val="24"/>
          <w:highlight w:val="none"/>
          <w14:textFill>
            <w14:solidFill>
              <w14:schemeClr w14:val="tx1"/>
            </w14:solidFill>
          </w14:textFill>
        </w:rPr>
      </w:pPr>
    </w:p>
    <w:p w14:paraId="5B183C28">
      <w:pPr>
        <w:overflowPunct/>
        <w:bidi w:val="0"/>
        <w:spacing w:after="240"/>
        <w:ind w:hanging="119"/>
        <w:outlineLvl w:val="9"/>
        <w:rPr>
          <w:rFonts w:ascii="宋体" w:hAnsi="宋体"/>
          <w:color w:val="000000" w:themeColor="text1"/>
          <w:sz w:val="24"/>
          <w:highlight w:val="none"/>
          <w:u w:val="single"/>
          <w14:textFill>
            <w14:solidFill>
              <w14:schemeClr w14:val="tx1"/>
            </w14:solidFill>
          </w14:textFill>
        </w:rPr>
      </w:pPr>
      <w:r>
        <w:rPr>
          <w:rFonts w:hint="eastAsia" w:ascii="宋体" w:hAnsi="宋体"/>
          <w:color w:val="000000" w:themeColor="text1"/>
          <w:sz w:val="24"/>
          <w:highlight w:val="none"/>
          <w:lang w:eastAsia="zh-CN"/>
          <w14:textFill>
            <w14:solidFill>
              <w14:schemeClr w14:val="tx1"/>
            </w14:solidFill>
          </w14:textFill>
        </w:rPr>
        <w:t>供应商</w:t>
      </w:r>
      <w:r>
        <w:rPr>
          <w:rFonts w:hint="eastAsia" w:ascii="宋体" w:hAnsi="宋体"/>
          <w:color w:val="000000" w:themeColor="text1"/>
          <w:sz w:val="24"/>
          <w:highlight w:val="none"/>
          <w14:textFill>
            <w14:solidFill>
              <w14:schemeClr w14:val="tx1"/>
            </w14:solidFill>
          </w14:textFill>
        </w:rPr>
        <w:t>名称：</w:t>
      </w:r>
      <w:r>
        <w:rPr>
          <w:rFonts w:hint="eastAsia" w:ascii="宋体" w:hAnsi="宋体"/>
          <w:color w:val="000000" w:themeColor="text1"/>
          <w:sz w:val="24"/>
          <w:highlight w:val="none"/>
          <w:u w:val="single"/>
          <w14:textFill>
            <w14:solidFill>
              <w14:schemeClr w14:val="tx1"/>
            </w14:solidFill>
          </w14:textFill>
        </w:rPr>
        <w:t xml:space="preserve">           </w:t>
      </w:r>
      <w:r>
        <w:rPr>
          <w:rFonts w:ascii="宋体" w:hAnsi="宋体"/>
          <w:color w:val="000000" w:themeColor="text1"/>
          <w:sz w:val="24"/>
          <w:highlight w:val="none"/>
          <w:u w:val="single"/>
          <w14:textFill>
            <w14:solidFill>
              <w14:schemeClr w14:val="tx1"/>
            </w14:solidFill>
          </w14:textFill>
        </w:rPr>
        <w:t xml:space="preserve">                    </w:t>
      </w:r>
      <w:r>
        <w:rPr>
          <w:rFonts w:hint="eastAsia" w:ascii="宋体" w:hAnsi="宋体"/>
          <w:color w:val="000000" w:themeColor="text1"/>
          <w:sz w:val="24"/>
          <w:highlight w:val="none"/>
          <w:u w:val="single"/>
          <w14:textFill>
            <w14:solidFill>
              <w14:schemeClr w14:val="tx1"/>
            </w14:solidFill>
          </w14:textFill>
        </w:rPr>
        <w:t xml:space="preserve">  </w:t>
      </w:r>
      <w:r>
        <w:rPr>
          <w:rFonts w:hint="eastAsia" w:ascii="宋体" w:hAnsi="宋体"/>
          <w:color w:val="000000" w:themeColor="text1"/>
          <w:sz w:val="24"/>
          <w:highlight w:val="none"/>
          <w14:textFill>
            <w14:solidFill>
              <w14:schemeClr w14:val="tx1"/>
            </w14:solidFill>
          </w14:textFill>
        </w:rPr>
        <w:t xml:space="preserve">   </w:t>
      </w:r>
      <w:r>
        <w:rPr>
          <w:rFonts w:ascii="宋体" w:hAnsi="宋体"/>
          <w:color w:val="000000" w:themeColor="text1"/>
          <w:sz w:val="24"/>
          <w:highlight w:val="none"/>
          <w14:textFill>
            <w14:solidFill>
              <w14:schemeClr w14:val="tx1"/>
            </w14:solidFill>
          </w14:textFill>
        </w:rPr>
        <w:t xml:space="preserve"> </w:t>
      </w:r>
      <w:r>
        <w:rPr>
          <w:rFonts w:hint="eastAsia" w:ascii="宋体" w:hAnsi="宋体"/>
          <w:color w:val="000000" w:themeColor="text1"/>
          <w:sz w:val="24"/>
          <w:highlight w:val="none"/>
          <w14:textFill>
            <w14:solidFill>
              <w14:schemeClr w14:val="tx1"/>
            </w14:solidFill>
          </w14:textFill>
        </w:rPr>
        <w:t>项目编号：</w:t>
      </w:r>
      <w:r>
        <w:rPr>
          <w:rFonts w:hint="eastAsia" w:ascii="宋体" w:hAnsi="宋体"/>
          <w:color w:val="000000" w:themeColor="text1"/>
          <w:sz w:val="24"/>
          <w:highlight w:val="none"/>
          <w:u w:val="single"/>
          <w14:textFill>
            <w14:solidFill>
              <w14:schemeClr w14:val="tx1"/>
            </w14:solidFill>
          </w14:textFill>
        </w:rPr>
        <w:t xml:space="preserve">   </w:t>
      </w:r>
      <w:r>
        <w:rPr>
          <w:rFonts w:ascii="宋体" w:hAnsi="宋体"/>
          <w:color w:val="000000" w:themeColor="text1"/>
          <w:sz w:val="24"/>
          <w:highlight w:val="none"/>
          <w:u w:val="single"/>
          <w14:textFill>
            <w14:solidFill>
              <w14:schemeClr w14:val="tx1"/>
            </w14:solidFill>
          </w14:textFill>
        </w:rPr>
        <w:t xml:space="preserve">    </w:t>
      </w:r>
      <w:r>
        <w:rPr>
          <w:rFonts w:hint="eastAsia" w:ascii="宋体" w:hAnsi="宋体"/>
          <w:color w:val="000000" w:themeColor="text1"/>
          <w:sz w:val="24"/>
          <w:highlight w:val="none"/>
          <w:u w:val="single"/>
          <w14:textFill>
            <w14:solidFill>
              <w14:schemeClr w14:val="tx1"/>
            </w14:solidFill>
          </w14:textFill>
        </w:rPr>
        <w:t xml:space="preserve">         </w:t>
      </w:r>
    </w:p>
    <w:tbl>
      <w:tblPr>
        <w:tblStyle w:val="38"/>
        <w:tblW w:w="8559" w:type="dxa"/>
        <w:tblInd w:w="0" w:type="dxa"/>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Layout w:type="fixed"/>
        <w:tblCellMar>
          <w:top w:w="0" w:type="dxa"/>
          <w:left w:w="108" w:type="dxa"/>
          <w:bottom w:w="0" w:type="dxa"/>
          <w:right w:w="108" w:type="dxa"/>
        </w:tblCellMar>
      </w:tblPr>
      <w:tblGrid>
        <w:gridCol w:w="828"/>
        <w:gridCol w:w="1980"/>
        <w:gridCol w:w="1791"/>
        <w:gridCol w:w="2145"/>
        <w:gridCol w:w="1815"/>
      </w:tblGrid>
      <w:tr w14:paraId="671006B7">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c>
          <w:tcPr>
            <w:tcW w:w="828" w:type="dxa"/>
            <w:noWrap w:val="0"/>
            <w:vAlign w:val="top"/>
          </w:tcPr>
          <w:p w14:paraId="0931167B">
            <w:pPr>
              <w:overflowPunct/>
              <w:bidi w:val="0"/>
              <w:spacing w:before="240" w:after="240"/>
              <w:jc w:val="center"/>
              <w:outlineLvl w:val="9"/>
              <w:rPr>
                <w:rFonts w:ascii="宋体" w:hAnsi="宋体"/>
                <w:color w:val="000000" w:themeColor="text1"/>
                <w:sz w:val="24"/>
                <w:highlight w:val="none"/>
                <w14:textFill>
                  <w14:solidFill>
                    <w14:schemeClr w14:val="tx1"/>
                  </w14:solidFill>
                </w14:textFill>
              </w:rPr>
            </w:pPr>
            <w:r>
              <w:rPr>
                <w:rFonts w:hint="eastAsia" w:ascii="宋体" w:hAnsi="宋体"/>
                <w:color w:val="000000" w:themeColor="text1"/>
                <w:sz w:val="24"/>
                <w:highlight w:val="none"/>
                <w14:textFill>
                  <w14:solidFill>
                    <w14:schemeClr w14:val="tx1"/>
                  </w14:solidFill>
                </w14:textFill>
              </w:rPr>
              <w:t>序号</w:t>
            </w:r>
          </w:p>
        </w:tc>
        <w:tc>
          <w:tcPr>
            <w:tcW w:w="1980" w:type="dxa"/>
            <w:noWrap w:val="0"/>
            <w:vAlign w:val="top"/>
          </w:tcPr>
          <w:p w14:paraId="2BFDC88A">
            <w:pPr>
              <w:overflowPunct/>
              <w:bidi w:val="0"/>
              <w:spacing w:before="240" w:after="240"/>
              <w:jc w:val="center"/>
              <w:outlineLvl w:val="9"/>
              <w:rPr>
                <w:rFonts w:ascii="宋体" w:hAnsi="宋体"/>
                <w:color w:val="000000" w:themeColor="text1"/>
                <w:sz w:val="24"/>
                <w:highlight w:val="none"/>
                <w14:textFill>
                  <w14:solidFill>
                    <w14:schemeClr w14:val="tx1"/>
                  </w14:solidFill>
                </w14:textFill>
              </w:rPr>
            </w:pPr>
            <w:r>
              <w:rPr>
                <w:rFonts w:hint="eastAsia" w:ascii="宋体" w:hAnsi="宋体"/>
                <w:color w:val="000000" w:themeColor="text1"/>
                <w:sz w:val="24"/>
                <w:highlight w:val="none"/>
                <w14:textFill>
                  <w14:solidFill>
                    <w14:schemeClr w14:val="tx1"/>
                  </w14:solidFill>
                </w14:textFill>
              </w:rPr>
              <w:t>磋商文件条目号</w:t>
            </w:r>
          </w:p>
        </w:tc>
        <w:tc>
          <w:tcPr>
            <w:tcW w:w="1791" w:type="dxa"/>
            <w:noWrap w:val="0"/>
            <w:vAlign w:val="top"/>
          </w:tcPr>
          <w:p w14:paraId="06A860BF">
            <w:pPr>
              <w:overflowPunct/>
              <w:bidi w:val="0"/>
              <w:spacing w:before="240" w:after="240"/>
              <w:jc w:val="center"/>
              <w:outlineLvl w:val="9"/>
              <w:rPr>
                <w:rFonts w:ascii="宋体" w:hAnsi="宋体"/>
                <w:color w:val="000000" w:themeColor="text1"/>
                <w:sz w:val="24"/>
                <w:highlight w:val="none"/>
                <w14:textFill>
                  <w14:solidFill>
                    <w14:schemeClr w14:val="tx1"/>
                  </w14:solidFill>
                </w14:textFill>
              </w:rPr>
            </w:pPr>
            <w:r>
              <w:rPr>
                <w:rFonts w:hint="eastAsia" w:ascii="宋体" w:hAnsi="宋体"/>
                <w:color w:val="000000" w:themeColor="text1"/>
                <w:sz w:val="24"/>
                <w:highlight w:val="none"/>
                <w14:textFill>
                  <w14:solidFill>
                    <w14:schemeClr w14:val="tx1"/>
                  </w14:solidFill>
                </w14:textFill>
              </w:rPr>
              <w:t>磋商文件的商务条款</w:t>
            </w:r>
          </w:p>
        </w:tc>
        <w:tc>
          <w:tcPr>
            <w:tcW w:w="2145" w:type="dxa"/>
            <w:noWrap w:val="0"/>
            <w:vAlign w:val="top"/>
          </w:tcPr>
          <w:p w14:paraId="762BF5CF">
            <w:pPr>
              <w:overflowPunct/>
              <w:bidi w:val="0"/>
              <w:spacing w:before="240" w:after="240"/>
              <w:jc w:val="center"/>
              <w:outlineLvl w:val="9"/>
              <w:rPr>
                <w:rFonts w:ascii="宋体" w:hAnsi="宋体"/>
                <w:color w:val="000000" w:themeColor="text1"/>
                <w:sz w:val="24"/>
                <w:highlight w:val="none"/>
                <w14:textFill>
                  <w14:solidFill>
                    <w14:schemeClr w14:val="tx1"/>
                  </w14:solidFill>
                </w14:textFill>
              </w:rPr>
            </w:pPr>
            <w:r>
              <w:rPr>
                <w:rFonts w:hint="eastAsia" w:ascii="宋体" w:hAnsi="宋体"/>
                <w:color w:val="000000" w:themeColor="text1"/>
                <w:sz w:val="24"/>
                <w:highlight w:val="none"/>
                <w14:textFill>
                  <w14:solidFill>
                    <w14:schemeClr w14:val="tx1"/>
                  </w14:solidFill>
                </w14:textFill>
              </w:rPr>
              <w:t>响应文件的商务条款</w:t>
            </w:r>
          </w:p>
        </w:tc>
        <w:tc>
          <w:tcPr>
            <w:tcW w:w="1815" w:type="dxa"/>
            <w:noWrap w:val="0"/>
            <w:vAlign w:val="top"/>
          </w:tcPr>
          <w:p w14:paraId="65378924">
            <w:pPr>
              <w:overflowPunct/>
              <w:bidi w:val="0"/>
              <w:spacing w:before="240" w:after="240"/>
              <w:jc w:val="center"/>
              <w:outlineLvl w:val="9"/>
              <w:rPr>
                <w:rFonts w:ascii="宋体" w:hAnsi="宋体"/>
                <w:color w:val="000000" w:themeColor="text1"/>
                <w:sz w:val="24"/>
                <w:highlight w:val="none"/>
                <w14:textFill>
                  <w14:solidFill>
                    <w14:schemeClr w14:val="tx1"/>
                  </w14:solidFill>
                </w14:textFill>
              </w:rPr>
            </w:pPr>
            <w:r>
              <w:rPr>
                <w:rFonts w:hint="eastAsia" w:ascii="宋体" w:hAnsi="宋体"/>
                <w:color w:val="000000" w:themeColor="text1"/>
                <w:sz w:val="24"/>
                <w:highlight w:val="none"/>
                <w14:textFill>
                  <w14:solidFill>
                    <w14:schemeClr w14:val="tx1"/>
                  </w14:solidFill>
                </w14:textFill>
              </w:rPr>
              <w:t>是否偏离</w:t>
            </w:r>
          </w:p>
        </w:tc>
      </w:tr>
      <w:tr w14:paraId="0E4BF64C">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c>
          <w:tcPr>
            <w:tcW w:w="828" w:type="dxa"/>
            <w:noWrap w:val="0"/>
            <w:vAlign w:val="top"/>
          </w:tcPr>
          <w:p w14:paraId="1CA75137">
            <w:pPr>
              <w:overflowPunct/>
              <w:bidi w:val="0"/>
              <w:spacing w:before="240" w:after="240"/>
              <w:outlineLvl w:val="9"/>
              <w:rPr>
                <w:rFonts w:ascii="宋体" w:hAnsi="宋体"/>
                <w:color w:val="000000" w:themeColor="text1"/>
                <w:sz w:val="24"/>
                <w:highlight w:val="none"/>
                <w14:textFill>
                  <w14:solidFill>
                    <w14:schemeClr w14:val="tx1"/>
                  </w14:solidFill>
                </w14:textFill>
              </w:rPr>
            </w:pPr>
          </w:p>
        </w:tc>
        <w:tc>
          <w:tcPr>
            <w:tcW w:w="1980" w:type="dxa"/>
            <w:noWrap w:val="0"/>
            <w:vAlign w:val="top"/>
          </w:tcPr>
          <w:p w14:paraId="220F70EA">
            <w:pPr>
              <w:overflowPunct/>
              <w:bidi w:val="0"/>
              <w:spacing w:before="240" w:after="240"/>
              <w:outlineLvl w:val="9"/>
              <w:rPr>
                <w:rFonts w:ascii="宋体" w:hAnsi="宋体"/>
                <w:color w:val="000000" w:themeColor="text1"/>
                <w:sz w:val="24"/>
                <w:highlight w:val="none"/>
                <w14:textFill>
                  <w14:solidFill>
                    <w14:schemeClr w14:val="tx1"/>
                  </w14:solidFill>
                </w14:textFill>
              </w:rPr>
            </w:pPr>
          </w:p>
        </w:tc>
        <w:tc>
          <w:tcPr>
            <w:tcW w:w="1791" w:type="dxa"/>
            <w:noWrap w:val="0"/>
            <w:vAlign w:val="top"/>
          </w:tcPr>
          <w:p w14:paraId="2C201A24">
            <w:pPr>
              <w:overflowPunct/>
              <w:bidi w:val="0"/>
              <w:spacing w:before="240" w:after="240"/>
              <w:outlineLvl w:val="9"/>
              <w:rPr>
                <w:rFonts w:ascii="宋体" w:hAnsi="宋体"/>
                <w:color w:val="000000" w:themeColor="text1"/>
                <w:sz w:val="24"/>
                <w:highlight w:val="none"/>
                <w14:textFill>
                  <w14:solidFill>
                    <w14:schemeClr w14:val="tx1"/>
                  </w14:solidFill>
                </w14:textFill>
              </w:rPr>
            </w:pPr>
          </w:p>
        </w:tc>
        <w:tc>
          <w:tcPr>
            <w:tcW w:w="2145" w:type="dxa"/>
            <w:noWrap w:val="0"/>
            <w:vAlign w:val="top"/>
          </w:tcPr>
          <w:p w14:paraId="26DCEB43">
            <w:pPr>
              <w:overflowPunct/>
              <w:bidi w:val="0"/>
              <w:spacing w:before="240" w:after="240"/>
              <w:outlineLvl w:val="9"/>
              <w:rPr>
                <w:rFonts w:ascii="宋体" w:hAnsi="宋体"/>
                <w:color w:val="000000" w:themeColor="text1"/>
                <w:sz w:val="24"/>
                <w:highlight w:val="none"/>
                <w14:textFill>
                  <w14:solidFill>
                    <w14:schemeClr w14:val="tx1"/>
                  </w14:solidFill>
                </w14:textFill>
              </w:rPr>
            </w:pPr>
          </w:p>
        </w:tc>
        <w:tc>
          <w:tcPr>
            <w:tcW w:w="1815" w:type="dxa"/>
            <w:noWrap w:val="0"/>
            <w:vAlign w:val="top"/>
          </w:tcPr>
          <w:p w14:paraId="0A258DDD">
            <w:pPr>
              <w:overflowPunct/>
              <w:bidi w:val="0"/>
              <w:spacing w:before="240" w:after="240"/>
              <w:outlineLvl w:val="9"/>
              <w:rPr>
                <w:rFonts w:ascii="宋体" w:hAnsi="宋体"/>
                <w:color w:val="000000" w:themeColor="text1"/>
                <w:sz w:val="24"/>
                <w:highlight w:val="none"/>
                <w14:textFill>
                  <w14:solidFill>
                    <w14:schemeClr w14:val="tx1"/>
                  </w14:solidFill>
                </w14:textFill>
              </w:rPr>
            </w:pPr>
          </w:p>
        </w:tc>
      </w:tr>
      <w:tr w14:paraId="47D2A7EC">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c>
          <w:tcPr>
            <w:tcW w:w="828" w:type="dxa"/>
            <w:noWrap w:val="0"/>
            <w:vAlign w:val="top"/>
          </w:tcPr>
          <w:p w14:paraId="0E50F911">
            <w:pPr>
              <w:overflowPunct/>
              <w:bidi w:val="0"/>
              <w:spacing w:before="240" w:after="240"/>
              <w:outlineLvl w:val="9"/>
              <w:rPr>
                <w:rFonts w:ascii="宋体" w:hAnsi="宋体"/>
                <w:color w:val="000000" w:themeColor="text1"/>
                <w:sz w:val="24"/>
                <w:highlight w:val="none"/>
                <w14:textFill>
                  <w14:solidFill>
                    <w14:schemeClr w14:val="tx1"/>
                  </w14:solidFill>
                </w14:textFill>
              </w:rPr>
            </w:pPr>
          </w:p>
        </w:tc>
        <w:tc>
          <w:tcPr>
            <w:tcW w:w="1980" w:type="dxa"/>
            <w:noWrap w:val="0"/>
            <w:vAlign w:val="top"/>
          </w:tcPr>
          <w:p w14:paraId="41684732">
            <w:pPr>
              <w:overflowPunct/>
              <w:bidi w:val="0"/>
              <w:spacing w:before="240" w:after="240"/>
              <w:outlineLvl w:val="9"/>
              <w:rPr>
                <w:rFonts w:ascii="宋体" w:hAnsi="宋体"/>
                <w:color w:val="000000" w:themeColor="text1"/>
                <w:sz w:val="24"/>
                <w:highlight w:val="none"/>
                <w14:textFill>
                  <w14:solidFill>
                    <w14:schemeClr w14:val="tx1"/>
                  </w14:solidFill>
                </w14:textFill>
              </w:rPr>
            </w:pPr>
          </w:p>
        </w:tc>
        <w:tc>
          <w:tcPr>
            <w:tcW w:w="1791" w:type="dxa"/>
            <w:noWrap w:val="0"/>
            <w:vAlign w:val="top"/>
          </w:tcPr>
          <w:p w14:paraId="4E175A79">
            <w:pPr>
              <w:overflowPunct/>
              <w:bidi w:val="0"/>
              <w:spacing w:before="240" w:after="240"/>
              <w:outlineLvl w:val="9"/>
              <w:rPr>
                <w:rFonts w:ascii="宋体" w:hAnsi="宋体"/>
                <w:color w:val="000000" w:themeColor="text1"/>
                <w:sz w:val="24"/>
                <w:highlight w:val="none"/>
                <w14:textFill>
                  <w14:solidFill>
                    <w14:schemeClr w14:val="tx1"/>
                  </w14:solidFill>
                </w14:textFill>
              </w:rPr>
            </w:pPr>
          </w:p>
        </w:tc>
        <w:tc>
          <w:tcPr>
            <w:tcW w:w="2145" w:type="dxa"/>
            <w:noWrap w:val="0"/>
            <w:vAlign w:val="top"/>
          </w:tcPr>
          <w:p w14:paraId="4282260A">
            <w:pPr>
              <w:overflowPunct/>
              <w:bidi w:val="0"/>
              <w:spacing w:before="240" w:after="240"/>
              <w:outlineLvl w:val="9"/>
              <w:rPr>
                <w:rFonts w:ascii="宋体" w:hAnsi="宋体"/>
                <w:color w:val="000000" w:themeColor="text1"/>
                <w:sz w:val="24"/>
                <w:highlight w:val="none"/>
                <w14:textFill>
                  <w14:solidFill>
                    <w14:schemeClr w14:val="tx1"/>
                  </w14:solidFill>
                </w14:textFill>
              </w:rPr>
            </w:pPr>
          </w:p>
        </w:tc>
        <w:tc>
          <w:tcPr>
            <w:tcW w:w="1815" w:type="dxa"/>
            <w:noWrap w:val="0"/>
            <w:vAlign w:val="top"/>
          </w:tcPr>
          <w:p w14:paraId="4FEA0B6C">
            <w:pPr>
              <w:overflowPunct/>
              <w:bidi w:val="0"/>
              <w:spacing w:before="240" w:after="240"/>
              <w:outlineLvl w:val="9"/>
              <w:rPr>
                <w:rFonts w:ascii="宋体" w:hAnsi="宋体"/>
                <w:color w:val="000000" w:themeColor="text1"/>
                <w:sz w:val="24"/>
                <w:highlight w:val="none"/>
                <w14:textFill>
                  <w14:solidFill>
                    <w14:schemeClr w14:val="tx1"/>
                  </w14:solidFill>
                </w14:textFill>
              </w:rPr>
            </w:pPr>
          </w:p>
        </w:tc>
      </w:tr>
      <w:tr w14:paraId="383706EF">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c>
          <w:tcPr>
            <w:tcW w:w="828" w:type="dxa"/>
            <w:noWrap w:val="0"/>
            <w:vAlign w:val="top"/>
          </w:tcPr>
          <w:p w14:paraId="737D311E">
            <w:pPr>
              <w:overflowPunct/>
              <w:bidi w:val="0"/>
              <w:spacing w:before="240" w:after="240"/>
              <w:outlineLvl w:val="9"/>
              <w:rPr>
                <w:rFonts w:ascii="宋体" w:hAnsi="宋体"/>
                <w:color w:val="000000" w:themeColor="text1"/>
                <w:sz w:val="24"/>
                <w:highlight w:val="none"/>
                <w14:textFill>
                  <w14:solidFill>
                    <w14:schemeClr w14:val="tx1"/>
                  </w14:solidFill>
                </w14:textFill>
              </w:rPr>
            </w:pPr>
          </w:p>
        </w:tc>
        <w:tc>
          <w:tcPr>
            <w:tcW w:w="1980" w:type="dxa"/>
            <w:noWrap w:val="0"/>
            <w:vAlign w:val="top"/>
          </w:tcPr>
          <w:p w14:paraId="645415C4">
            <w:pPr>
              <w:overflowPunct/>
              <w:bidi w:val="0"/>
              <w:spacing w:before="240" w:after="240"/>
              <w:outlineLvl w:val="9"/>
              <w:rPr>
                <w:rFonts w:ascii="宋体" w:hAnsi="宋体"/>
                <w:color w:val="000000" w:themeColor="text1"/>
                <w:sz w:val="24"/>
                <w:highlight w:val="none"/>
                <w14:textFill>
                  <w14:solidFill>
                    <w14:schemeClr w14:val="tx1"/>
                  </w14:solidFill>
                </w14:textFill>
              </w:rPr>
            </w:pPr>
          </w:p>
        </w:tc>
        <w:tc>
          <w:tcPr>
            <w:tcW w:w="1791" w:type="dxa"/>
            <w:noWrap w:val="0"/>
            <w:vAlign w:val="top"/>
          </w:tcPr>
          <w:p w14:paraId="505DE259">
            <w:pPr>
              <w:overflowPunct/>
              <w:bidi w:val="0"/>
              <w:spacing w:before="240" w:after="240"/>
              <w:outlineLvl w:val="9"/>
              <w:rPr>
                <w:rFonts w:ascii="宋体" w:hAnsi="宋体"/>
                <w:color w:val="000000" w:themeColor="text1"/>
                <w:sz w:val="24"/>
                <w:highlight w:val="none"/>
                <w14:textFill>
                  <w14:solidFill>
                    <w14:schemeClr w14:val="tx1"/>
                  </w14:solidFill>
                </w14:textFill>
              </w:rPr>
            </w:pPr>
          </w:p>
        </w:tc>
        <w:tc>
          <w:tcPr>
            <w:tcW w:w="2145" w:type="dxa"/>
            <w:noWrap w:val="0"/>
            <w:vAlign w:val="top"/>
          </w:tcPr>
          <w:p w14:paraId="681CED17">
            <w:pPr>
              <w:overflowPunct/>
              <w:bidi w:val="0"/>
              <w:spacing w:before="240" w:after="240"/>
              <w:outlineLvl w:val="9"/>
              <w:rPr>
                <w:rFonts w:ascii="宋体" w:hAnsi="宋体"/>
                <w:color w:val="000000" w:themeColor="text1"/>
                <w:sz w:val="24"/>
                <w:highlight w:val="none"/>
                <w14:textFill>
                  <w14:solidFill>
                    <w14:schemeClr w14:val="tx1"/>
                  </w14:solidFill>
                </w14:textFill>
              </w:rPr>
            </w:pPr>
          </w:p>
        </w:tc>
        <w:tc>
          <w:tcPr>
            <w:tcW w:w="1815" w:type="dxa"/>
            <w:noWrap w:val="0"/>
            <w:vAlign w:val="top"/>
          </w:tcPr>
          <w:p w14:paraId="2367E908">
            <w:pPr>
              <w:overflowPunct/>
              <w:bidi w:val="0"/>
              <w:spacing w:before="240" w:after="240"/>
              <w:outlineLvl w:val="9"/>
              <w:rPr>
                <w:rFonts w:ascii="宋体" w:hAnsi="宋体"/>
                <w:color w:val="000000" w:themeColor="text1"/>
                <w:sz w:val="24"/>
                <w:highlight w:val="none"/>
                <w14:textFill>
                  <w14:solidFill>
                    <w14:schemeClr w14:val="tx1"/>
                  </w14:solidFill>
                </w14:textFill>
              </w:rPr>
            </w:pPr>
          </w:p>
        </w:tc>
      </w:tr>
      <w:tr w14:paraId="54012E42">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c>
          <w:tcPr>
            <w:tcW w:w="828" w:type="dxa"/>
            <w:noWrap w:val="0"/>
            <w:vAlign w:val="top"/>
          </w:tcPr>
          <w:p w14:paraId="78CE84E1">
            <w:pPr>
              <w:overflowPunct/>
              <w:bidi w:val="0"/>
              <w:spacing w:before="240" w:after="240"/>
              <w:outlineLvl w:val="9"/>
              <w:rPr>
                <w:rFonts w:ascii="宋体" w:hAnsi="宋体"/>
                <w:color w:val="000000" w:themeColor="text1"/>
                <w:sz w:val="24"/>
                <w:highlight w:val="none"/>
                <w14:textFill>
                  <w14:solidFill>
                    <w14:schemeClr w14:val="tx1"/>
                  </w14:solidFill>
                </w14:textFill>
              </w:rPr>
            </w:pPr>
          </w:p>
        </w:tc>
        <w:tc>
          <w:tcPr>
            <w:tcW w:w="1980" w:type="dxa"/>
            <w:noWrap w:val="0"/>
            <w:vAlign w:val="top"/>
          </w:tcPr>
          <w:p w14:paraId="17CCB851">
            <w:pPr>
              <w:overflowPunct/>
              <w:bidi w:val="0"/>
              <w:spacing w:before="240" w:after="240"/>
              <w:outlineLvl w:val="9"/>
              <w:rPr>
                <w:rFonts w:ascii="宋体" w:hAnsi="宋体"/>
                <w:color w:val="000000" w:themeColor="text1"/>
                <w:sz w:val="24"/>
                <w:highlight w:val="none"/>
                <w14:textFill>
                  <w14:solidFill>
                    <w14:schemeClr w14:val="tx1"/>
                  </w14:solidFill>
                </w14:textFill>
              </w:rPr>
            </w:pPr>
          </w:p>
        </w:tc>
        <w:tc>
          <w:tcPr>
            <w:tcW w:w="1791" w:type="dxa"/>
            <w:noWrap w:val="0"/>
            <w:vAlign w:val="top"/>
          </w:tcPr>
          <w:p w14:paraId="7AA53CF7">
            <w:pPr>
              <w:overflowPunct/>
              <w:bidi w:val="0"/>
              <w:spacing w:before="240" w:after="240"/>
              <w:outlineLvl w:val="9"/>
              <w:rPr>
                <w:rFonts w:ascii="宋体" w:hAnsi="宋体"/>
                <w:color w:val="000000" w:themeColor="text1"/>
                <w:sz w:val="24"/>
                <w:highlight w:val="none"/>
                <w14:textFill>
                  <w14:solidFill>
                    <w14:schemeClr w14:val="tx1"/>
                  </w14:solidFill>
                </w14:textFill>
              </w:rPr>
            </w:pPr>
          </w:p>
        </w:tc>
        <w:tc>
          <w:tcPr>
            <w:tcW w:w="2145" w:type="dxa"/>
            <w:noWrap w:val="0"/>
            <w:vAlign w:val="top"/>
          </w:tcPr>
          <w:p w14:paraId="5AE6A736">
            <w:pPr>
              <w:overflowPunct/>
              <w:bidi w:val="0"/>
              <w:spacing w:before="240" w:after="240"/>
              <w:outlineLvl w:val="9"/>
              <w:rPr>
                <w:rFonts w:ascii="宋体" w:hAnsi="宋体"/>
                <w:color w:val="000000" w:themeColor="text1"/>
                <w:sz w:val="24"/>
                <w:highlight w:val="none"/>
                <w14:textFill>
                  <w14:solidFill>
                    <w14:schemeClr w14:val="tx1"/>
                  </w14:solidFill>
                </w14:textFill>
              </w:rPr>
            </w:pPr>
          </w:p>
        </w:tc>
        <w:tc>
          <w:tcPr>
            <w:tcW w:w="1815" w:type="dxa"/>
            <w:noWrap w:val="0"/>
            <w:vAlign w:val="top"/>
          </w:tcPr>
          <w:p w14:paraId="79A20D03">
            <w:pPr>
              <w:overflowPunct/>
              <w:bidi w:val="0"/>
              <w:spacing w:before="240" w:after="240"/>
              <w:outlineLvl w:val="9"/>
              <w:rPr>
                <w:rFonts w:ascii="宋体" w:hAnsi="宋体"/>
                <w:color w:val="000000" w:themeColor="text1"/>
                <w:sz w:val="24"/>
                <w:highlight w:val="none"/>
                <w14:textFill>
                  <w14:solidFill>
                    <w14:schemeClr w14:val="tx1"/>
                  </w14:solidFill>
                </w14:textFill>
              </w:rPr>
            </w:pPr>
          </w:p>
        </w:tc>
      </w:tr>
      <w:tr w14:paraId="6F61CC2C">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c>
          <w:tcPr>
            <w:tcW w:w="828" w:type="dxa"/>
            <w:noWrap w:val="0"/>
            <w:vAlign w:val="top"/>
          </w:tcPr>
          <w:p w14:paraId="68228489">
            <w:pPr>
              <w:overflowPunct/>
              <w:bidi w:val="0"/>
              <w:spacing w:before="240" w:after="240"/>
              <w:outlineLvl w:val="9"/>
              <w:rPr>
                <w:rFonts w:ascii="宋体" w:hAnsi="宋体"/>
                <w:color w:val="000000" w:themeColor="text1"/>
                <w:sz w:val="24"/>
                <w:highlight w:val="none"/>
                <w14:textFill>
                  <w14:solidFill>
                    <w14:schemeClr w14:val="tx1"/>
                  </w14:solidFill>
                </w14:textFill>
              </w:rPr>
            </w:pPr>
          </w:p>
        </w:tc>
        <w:tc>
          <w:tcPr>
            <w:tcW w:w="1980" w:type="dxa"/>
            <w:noWrap w:val="0"/>
            <w:vAlign w:val="top"/>
          </w:tcPr>
          <w:p w14:paraId="2267289D">
            <w:pPr>
              <w:overflowPunct/>
              <w:bidi w:val="0"/>
              <w:spacing w:before="240" w:after="240"/>
              <w:outlineLvl w:val="9"/>
              <w:rPr>
                <w:rFonts w:ascii="宋体" w:hAnsi="宋体"/>
                <w:color w:val="000000" w:themeColor="text1"/>
                <w:sz w:val="24"/>
                <w:highlight w:val="none"/>
                <w14:textFill>
                  <w14:solidFill>
                    <w14:schemeClr w14:val="tx1"/>
                  </w14:solidFill>
                </w14:textFill>
              </w:rPr>
            </w:pPr>
          </w:p>
        </w:tc>
        <w:tc>
          <w:tcPr>
            <w:tcW w:w="1791" w:type="dxa"/>
            <w:noWrap w:val="0"/>
            <w:vAlign w:val="top"/>
          </w:tcPr>
          <w:p w14:paraId="1F6EA147">
            <w:pPr>
              <w:overflowPunct/>
              <w:bidi w:val="0"/>
              <w:spacing w:before="240" w:after="240"/>
              <w:outlineLvl w:val="9"/>
              <w:rPr>
                <w:rFonts w:ascii="宋体" w:hAnsi="宋体"/>
                <w:color w:val="000000" w:themeColor="text1"/>
                <w:sz w:val="24"/>
                <w:highlight w:val="none"/>
                <w14:textFill>
                  <w14:solidFill>
                    <w14:schemeClr w14:val="tx1"/>
                  </w14:solidFill>
                </w14:textFill>
              </w:rPr>
            </w:pPr>
          </w:p>
        </w:tc>
        <w:tc>
          <w:tcPr>
            <w:tcW w:w="2145" w:type="dxa"/>
            <w:noWrap w:val="0"/>
            <w:vAlign w:val="top"/>
          </w:tcPr>
          <w:p w14:paraId="301051A7">
            <w:pPr>
              <w:overflowPunct/>
              <w:bidi w:val="0"/>
              <w:spacing w:before="240" w:after="240"/>
              <w:outlineLvl w:val="9"/>
              <w:rPr>
                <w:rFonts w:ascii="宋体" w:hAnsi="宋体"/>
                <w:color w:val="000000" w:themeColor="text1"/>
                <w:sz w:val="24"/>
                <w:highlight w:val="none"/>
                <w14:textFill>
                  <w14:solidFill>
                    <w14:schemeClr w14:val="tx1"/>
                  </w14:solidFill>
                </w14:textFill>
              </w:rPr>
            </w:pPr>
          </w:p>
        </w:tc>
        <w:tc>
          <w:tcPr>
            <w:tcW w:w="1815" w:type="dxa"/>
            <w:noWrap w:val="0"/>
            <w:vAlign w:val="top"/>
          </w:tcPr>
          <w:p w14:paraId="4E85A76D">
            <w:pPr>
              <w:overflowPunct/>
              <w:bidi w:val="0"/>
              <w:spacing w:before="240" w:after="240"/>
              <w:outlineLvl w:val="9"/>
              <w:rPr>
                <w:rFonts w:ascii="宋体" w:hAnsi="宋体"/>
                <w:color w:val="000000" w:themeColor="text1"/>
                <w:sz w:val="24"/>
                <w:highlight w:val="none"/>
                <w14:textFill>
                  <w14:solidFill>
                    <w14:schemeClr w14:val="tx1"/>
                  </w14:solidFill>
                </w14:textFill>
              </w:rPr>
            </w:pPr>
          </w:p>
        </w:tc>
      </w:tr>
      <w:tr w14:paraId="57228801">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c>
          <w:tcPr>
            <w:tcW w:w="828" w:type="dxa"/>
            <w:noWrap w:val="0"/>
            <w:vAlign w:val="top"/>
          </w:tcPr>
          <w:p w14:paraId="53DBBA3C">
            <w:pPr>
              <w:overflowPunct/>
              <w:bidi w:val="0"/>
              <w:spacing w:before="240" w:after="240"/>
              <w:outlineLvl w:val="9"/>
              <w:rPr>
                <w:rFonts w:ascii="宋体" w:hAnsi="宋体"/>
                <w:color w:val="000000" w:themeColor="text1"/>
                <w:sz w:val="24"/>
                <w:highlight w:val="none"/>
                <w14:textFill>
                  <w14:solidFill>
                    <w14:schemeClr w14:val="tx1"/>
                  </w14:solidFill>
                </w14:textFill>
              </w:rPr>
            </w:pPr>
          </w:p>
        </w:tc>
        <w:tc>
          <w:tcPr>
            <w:tcW w:w="1980" w:type="dxa"/>
            <w:noWrap w:val="0"/>
            <w:vAlign w:val="top"/>
          </w:tcPr>
          <w:p w14:paraId="3B7DBEBD">
            <w:pPr>
              <w:overflowPunct/>
              <w:bidi w:val="0"/>
              <w:spacing w:before="240" w:after="240"/>
              <w:outlineLvl w:val="9"/>
              <w:rPr>
                <w:rFonts w:ascii="宋体" w:hAnsi="宋体"/>
                <w:color w:val="000000" w:themeColor="text1"/>
                <w:sz w:val="24"/>
                <w:highlight w:val="none"/>
                <w14:textFill>
                  <w14:solidFill>
                    <w14:schemeClr w14:val="tx1"/>
                  </w14:solidFill>
                </w14:textFill>
              </w:rPr>
            </w:pPr>
          </w:p>
        </w:tc>
        <w:tc>
          <w:tcPr>
            <w:tcW w:w="1791" w:type="dxa"/>
            <w:noWrap w:val="0"/>
            <w:vAlign w:val="top"/>
          </w:tcPr>
          <w:p w14:paraId="3F2EA7A3">
            <w:pPr>
              <w:overflowPunct/>
              <w:bidi w:val="0"/>
              <w:spacing w:before="240" w:after="240"/>
              <w:outlineLvl w:val="9"/>
              <w:rPr>
                <w:rFonts w:ascii="宋体" w:hAnsi="宋体"/>
                <w:color w:val="000000" w:themeColor="text1"/>
                <w:sz w:val="24"/>
                <w:highlight w:val="none"/>
                <w14:textFill>
                  <w14:solidFill>
                    <w14:schemeClr w14:val="tx1"/>
                  </w14:solidFill>
                </w14:textFill>
              </w:rPr>
            </w:pPr>
          </w:p>
        </w:tc>
        <w:tc>
          <w:tcPr>
            <w:tcW w:w="2145" w:type="dxa"/>
            <w:noWrap w:val="0"/>
            <w:vAlign w:val="top"/>
          </w:tcPr>
          <w:p w14:paraId="09AC37CB">
            <w:pPr>
              <w:overflowPunct/>
              <w:bidi w:val="0"/>
              <w:spacing w:before="240" w:after="240"/>
              <w:outlineLvl w:val="9"/>
              <w:rPr>
                <w:rFonts w:ascii="宋体" w:hAnsi="宋体"/>
                <w:color w:val="000000" w:themeColor="text1"/>
                <w:sz w:val="24"/>
                <w:highlight w:val="none"/>
                <w14:textFill>
                  <w14:solidFill>
                    <w14:schemeClr w14:val="tx1"/>
                  </w14:solidFill>
                </w14:textFill>
              </w:rPr>
            </w:pPr>
          </w:p>
        </w:tc>
        <w:tc>
          <w:tcPr>
            <w:tcW w:w="1815" w:type="dxa"/>
            <w:noWrap w:val="0"/>
            <w:vAlign w:val="top"/>
          </w:tcPr>
          <w:p w14:paraId="7F90567A">
            <w:pPr>
              <w:overflowPunct/>
              <w:bidi w:val="0"/>
              <w:spacing w:before="240" w:after="240"/>
              <w:outlineLvl w:val="9"/>
              <w:rPr>
                <w:rFonts w:ascii="宋体" w:hAnsi="宋体"/>
                <w:color w:val="000000" w:themeColor="text1"/>
                <w:sz w:val="24"/>
                <w:highlight w:val="none"/>
                <w14:textFill>
                  <w14:solidFill>
                    <w14:schemeClr w14:val="tx1"/>
                  </w14:solidFill>
                </w14:textFill>
              </w:rPr>
            </w:pPr>
          </w:p>
        </w:tc>
      </w:tr>
      <w:tr w14:paraId="4451BB41">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c>
          <w:tcPr>
            <w:tcW w:w="828" w:type="dxa"/>
            <w:noWrap w:val="0"/>
            <w:vAlign w:val="top"/>
          </w:tcPr>
          <w:p w14:paraId="3EB2F176">
            <w:pPr>
              <w:overflowPunct/>
              <w:bidi w:val="0"/>
              <w:spacing w:before="240" w:after="240"/>
              <w:outlineLvl w:val="9"/>
              <w:rPr>
                <w:rFonts w:ascii="宋体" w:hAnsi="宋体"/>
                <w:color w:val="000000" w:themeColor="text1"/>
                <w:sz w:val="24"/>
                <w:highlight w:val="none"/>
                <w14:textFill>
                  <w14:solidFill>
                    <w14:schemeClr w14:val="tx1"/>
                  </w14:solidFill>
                </w14:textFill>
              </w:rPr>
            </w:pPr>
          </w:p>
        </w:tc>
        <w:tc>
          <w:tcPr>
            <w:tcW w:w="1980" w:type="dxa"/>
            <w:noWrap w:val="0"/>
            <w:vAlign w:val="top"/>
          </w:tcPr>
          <w:p w14:paraId="039EFAFE">
            <w:pPr>
              <w:overflowPunct/>
              <w:bidi w:val="0"/>
              <w:spacing w:before="240" w:after="240"/>
              <w:outlineLvl w:val="9"/>
              <w:rPr>
                <w:rFonts w:ascii="宋体" w:hAnsi="宋体"/>
                <w:color w:val="000000" w:themeColor="text1"/>
                <w:sz w:val="24"/>
                <w:highlight w:val="none"/>
                <w14:textFill>
                  <w14:solidFill>
                    <w14:schemeClr w14:val="tx1"/>
                  </w14:solidFill>
                </w14:textFill>
              </w:rPr>
            </w:pPr>
          </w:p>
        </w:tc>
        <w:tc>
          <w:tcPr>
            <w:tcW w:w="1791" w:type="dxa"/>
            <w:noWrap w:val="0"/>
            <w:vAlign w:val="top"/>
          </w:tcPr>
          <w:p w14:paraId="3422547B">
            <w:pPr>
              <w:overflowPunct/>
              <w:bidi w:val="0"/>
              <w:spacing w:before="240" w:after="240"/>
              <w:outlineLvl w:val="9"/>
              <w:rPr>
                <w:rFonts w:ascii="宋体" w:hAnsi="宋体"/>
                <w:color w:val="000000" w:themeColor="text1"/>
                <w:sz w:val="24"/>
                <w:highlight w:val="none"/>
                <w14:textFill>
                  <w14:solidFill>
                    <w14:schemeClr w14:val="tx1"/>
                  </w14:solidFill>
                </w14:textFill>
              </w:rPr>
            </w:pPr>
          </w:p>
        </w:tc>
        <w:tc>
          <w:tcPr>
            <w:tcW w:w="2145" w:type="dxa"/>
            <w:noWrap w:val="0"/>
            <w:vAlign w:val="top"/>
          </w:tcPr>
          <w:p w14:paraId="3EBBB1F1">
            <w:pPr>
              <w:overflowPunct/>
              <w:bidi w:val="0"/>
              <w:spacing w:before="240" w:after="240"/>
              <w:outlineLvl w:val="9"/>
              <w:rPr>
                <w:rFonts w:ascii="宋体" w:hAnsi="宋体"/>
                <w:color w:val="000000" w:themeColor="text1"/>
                <w:sz w:val="24"/>
                <w:highlight w:val="none"/>
                <w14:textFill>
                  <w14:solidFill>
                    <w14:schemeClr w14:val="tx1"/>
                  </w14:solidFill>
                </w14:textFill>
              </w:rPr>
            </w:pPr>
          </w:p>
        </w:tc>
        <w:tc>
          <w:tcPr>
            <w:tcW w:w="1815" w:type="dxa"/>
            <w:noWrap w:val="0"/>
            <w:vAlign w:val="top"/>
          </w:tcPr>
          <w:p w14:paraId="128D6115">
            <w:pPr>
              <w:overflowPunct/>
              <w:bidi w:val="0"/>
              <w:spacing w:before="240" w:after="240"/>
              <w:outlineLvl w:val="9"/>
              <w:rPr>
                <w:rFonts w:ascii="宋体" w:hAnsi="宋体"/>
                <w:color w:val="000000" w:themeColor="text1"/>
                <w:sz w:val="24"/>
                <w:highlight w:val="none"/>
                <w14:textFill>
                  <w14:solidFill>
                    <w14:schemeClr w14:val="tx1"/>
                  </w14:solidFill>
                </w14:textFill>
              </w:rPr>
            </w:pPr>
          </w:p>
        </w:tc>
      </w:tr>
      <w:tr w14:paraId="3E9436E3">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c>
          <w:tcPr>
            <w:tcW w:w="828" w:type="dxa"/>
            <w:noWrap w:val="0"/>
            <w:vAlign w:val="top"/>
          </w:tcPr>
          <w:p w14:paraId="6AA22C0A">
            <w:pPr>
              <w:overflowPunct/>
              <w:bidi w:val="0"/>
              <w:spacing w:before="240" w:after="240"/>
              <w:outlineLvl w:val="9"/>
              <w:rPr>
                <w:rFonts w:ascii="宋体" w:hAnsi="宋体"/>
                <w:color w:val="000000" w:themeColor="text1"/>
                <w:sz w:val="24"/>
                <w:highlight w:val="none"/>
                <w14:textFill>
                  <w14:solidFill>
                    <w14:schemeClr w14:val="tx1"/>
                  </w14:solidFill>
                </w14:textFill>
              </w:rPr>
            </w:pPr>
          </w:p>
        </w:tc>
        <w:tc>
          <w:tcPr>
            <w:tcW w:w="1980" w:type="dxa"/>
            <w:noWrap w:val="0"/>
            <w:vAlign w:val="top"/>
          </w:tcPr>
          <w:p w14:paraId="598B94C9">
            <w:pPr>
              <w:overflowPunct/>
              <w:bidi w:val="0"/>
              <w:spacing w:before="240" w:after="240"/>
              <w:outlineLvl w:val="9"/>
              <w:rPr>
                <w:rFonts w:ascii="宋体" w:hAnsi="宋体"/>
                <w:color w:val="000000" w:themeColor="text1"/>
                <w:sz w:val="24"/>
                <w:highlight w:val="none"/>
                <w14:textFill>
                  <w14:solidFill>
                    <w14:schemeClr w14:val="tx1"/>
                  </w14:solidFill>
                </w14:textFill>
              </w:rPr>
            </w:pPr>
          </w:p>
        </w:tc>
        <w:tc>
          <w:tcPr>
            <w:tcW w:w="1791" w:type="dxa"/>
            <w:noWrap w:val="0"/>
            <w:vAlign w:val="top"/>
          </w:tcPr>
          <w:p w14:paraId="5A66F8C5">
            <w:pPr>
              <w:overflowPunct/>
              <w:bidi w:val="0"/>
              <w:spacing w:before="240" w:after="240"/>
              <w:outlineLvl w:val="9"/>
              <w:rPr>
                <w:rFonts w:ascii="宋体" w:hAnsi="宋体"/>
                <w:color w:val="000000" w:themeColor="text1"/>
                <w:sz w:val="24"/>
                <w:highlight w:val="none"/>
                <w14:textFill>
                  <w14:solidFill>
                    <w14:schemeClr w14:val="tx1"/>
                  </w14:solidFill>
                </w14:textFill>
              </w:rPr>
            </w:pPr>
          </w:p>
        </w:tc>
        <w:tc>
          <w:tcPr>
            <w:tcW w:w="2145" w:type="dxa"/>
            <w:noWrap w:val="0"/>
            <w:vAlign w:val="top"/>
          </w:tcPr>
          <w:p w14:paraId="61FE8D57">
            <w:pPr>
              <w:overflowPunct/>
              <w:bidi w:val="0"/>
              <w:spacing w:before="240" w:after="240"/>
              <w:outlineLvl w:val="9"/>
              <w:rPr>
                <w:rFonts w:ascii="宋体" w:hAnsi="宋体"/>
                <w:color w:val="000000" w:themeColor="text1"/>
                <w:sz w:val="24"/>
                <w:highlight w:val="none"/>
                <w14:textFill>
                  <w14:solidFill>
                    <w14:schemeClr w14:val="tx1"/>
                  </w14:solidFill>
                </w14:textFill>
              </w:rPr>
            </w:pPr>
          </w:p>
        </w:tc>
        <w:tc>
          <w:tcPr>
            <w:tcW w:w="1815" w:type="dxa"/>
            <w:noWrap w:val="0"/>
            <w:vAlign w:val="top"/>
          </w:tcPr>
          <w:p w14:paraId="44862E5C">
            <w:pPr>
              <w:overflowPunct/>
              <w:bidi w:val="0"/>
              <w:spacing w:before="240" w:after="240"/>
              <w:outlineLvl w:val="9"/>
              <w:rPr>
                <w:rFonts w:ascii="宋体" w:hAnsi="宋体"/>
                <w:color w:val="000000" w:themeColor="text1"/>
                <w:sz w:val="24"/>
                <w:highlight w:val="none"/>
                <w14:textFill>
                  <w14:solidFill>
                    <w14:schemeClr w14:val="tx1"/>
                  </w14:solidFill>
                </w14:textFill>
              </w:rPr>
            </w:pPr>
          </w:p>
        </w:tc>
      </w:tr>
    </w:tbl>
    <w:p w14:paraId="357873B4">
      <w:pPr>
        <w:overflowPunct/>
        <w:bidi w:val="0"/>
        <w:outlineLvl w:val="9"/>
        <w:rPr>
          <w:rFonts w:ascii="宋体" w:hAnsi="宋体"/>
          <w:color w:val="000000" w:themeColor="text1"/>
          <w:sz w:val="24"/>
          <w:highlight w:val="none"/>
          <w14:textFill>
            <w14:solidFill>
              <w14:schemeClr w14:val="tx1"/>
            </w14:solidFill>
          </w14:textFill>
        </w:rPr>
      </w:pPr>
      <w:r>
        <w:rPr>
          <w:rFonts w:hint="eastAsia" w:ascii="宋体" w:hAnsi="宋体"/>
          <w:color w:val="000000" w:themeColor="text1"/>
          <w:sz w:val="24"/>
          <w:highlight w:val="none"/>
          <w14:textFill>
            <w14:solidFill>
              <w14:schemeClr w14:val="tx1"/>
            </w14:solidFill>
          </w14:textFill>
        </w:rPr>
        <w:t>注：</w:t>
      </w:r>
      <w:r>
        <w:rPr>
          <w:rFonts w:hint="eastAsia" w:ascii="宋体" w:hAnsi="宋体"/>
          <w:color w:val="000000" w:themeColor="text1"/>
          <w:sz w:val="24"/>
          <w:highlight w:val="none"/>
          <w:lang w:eastAsia="zh-CN"/>
          <w14:textFill>
            <w14:solidFill>
              <w14:schemeClr w14:val="tx1"/>
            </w14:solidFill>
          </w14:textFill>
        </w:rPr>
        <w:t>供应商</w:t>
      </w:r>
      <w:r>
        <w:rPr>
          <w:rFonts w:hint="eastAsia" w:ascii="宋体" w:hAnsi="宋体"/>
          <w:color w:val="000000" w:themeColor="text1"/>
          <w:sz w:val="24"/>
          <w:highlight w:val="none"/>
          <w14:textFill>
            <w14:solidFill>
              <w14:schemeClr w14:val="tx1"/>
            </w14:solidFill>
          </w14:textFill>
        </w:rPr>
        <w:t>所提供的文件与磋商文件中的要求如有任何偏差，都应在“偏离表”中列出。若未在“偏离表”中列出，即使在响应文件其他地方写明与磋商文件要求有所不同，采购人也认同符合磋商文件最佳值的要求。</w:t>
      </w:r>
      <w:r>
        <w:rPr>
          <w:rFonts w:hint="eastAsia" w:ascii="宋体" w:hAnsi="宋体"/>
          <w:color w:val="000000" w:themeColor="text1"/>
          <w:sz w:val="24"/>
          <w:highlight w:val="none"/>
          <w:lang w:eastAsia="zh-CN"/>
          <w14:textFill>
            <w14:solidFill>
              <w14:schemeClr w14:val="tx1"/>
            </w14:solidFill>
          </w14:textFill>
        </w:rPr>
        <w:t>供应商</w:t>
      </w:r>
      <w:r>
        <w:rPr>
          <w:rFonts w:hint="eastAsia" w:ascii="宋体" w:hAnsi="宋体"/>
          <w:color w:val="000000" w:themeColor="text1"/>
          <w:sz w:val="24"/>
          <w:highlight w:val="none"/>
          <w14:textFill>
            <w14:solidFill>
              <w14:schemeClr w14:val="tx1"/>
            </w14:solidFill>
          </w14:textFill>
        </w:rPr>
        <w:t>成交后如据此提出疑义，不履行签订合同等下一步工作，采购人有权没收其磋商保证金。</w:t>
      </w:r>
    </w:p>
    <w:p w14:paraId="413E9CBF">
      <w:pPr>
        <w:overflowPunct/>
        <w:autoSpaceDE w:val="0"/>
        <w:autoSpaceDN w:val="0"/>
        <w:bidi w:val="0"/>
        <w:adjustRightInd w:val="0"/>
        <w:outlineLvl w:val="9"/>
        <w:rPr>
          <w:rFonts w:ascii="宋体" w:hAnsi="宋体"/>
          <w:color w:val="000000" w:themeColor="text1"/>
          <w:sz w:val="24"/>
          <w:highlight w:val="none"/>
          <w14:textFill>
            <w14:solidFill>
              <w14:schemeClr w14:val="tx1"/>
            </w14:solidFill>
          </w14:textFill>
        </w:rPr>
      </w:pPr>
    </w:p>
    <w:p w14:paraId="7CFA317E">
      <w:pPr>
        <w:overflowPunct/>
        <w:bidi w:val="0"/>
        <w:outlineLvl w:val="9"/>
        <w:rPr>
          <w:rFonts w:hint="eastAsia" w:ascii="宋体" w:hAnsi="宋体" w:eastAsia="宋体" w:cs="Times New Roman"/>
          <w:color w:val="000000" w:themeColor="text1"/>
          <w:sz w:val="24"/>
          <w:highlight w:val="none"/>
          <w14:textFill>
            <w14:solidFill>
              <w14:schemeClr w14:val="tx1"/>
            </w14:solidFill>
          </w14:textFill>
        </w:rPr>
      </w:pPr>
      <w:r>
        <w:rPr>
          <w:rFonts w:hint="eastAsia" w:ascii="宋体" w:hAnsi="宋体" w:eastAsia="宋体" w:cs="Times New Roman"/>
          <w:color w:val="000000" w:themeColor="text1"/>
          <w:sz w:val="24"/>
          <w:highlight w:val="none"/>
          <w:lang w:eastAsia="zh-CN"/>
          <w14:textFill>
            <w14:solidFill>
              <w14:schemeClr w14:val="tx1"/>
            </w14:solidFill>
          </w14:textFill>
        </w:rPr>
        <w:t>供应商</w:t>
      </w:r>
      <w:r>
        <w:rPr>
          <w:rFonts w:hint="eastAsia" w:ascii="宋体" w:hAnsi="宋体" w:eastAsia="宋体" w:cs="Times New Roman"/>
          <w:color w:val="000000" w:themeColor="text1"/>
          <w:sz w:val="24"/>
          <w:highlight w:val="none"/>
          <w14:textFill>
            <w14:solidFill>
              <w14:schemeClr w14:val="tx1"/>
            </w14:solidFill>
          </w14:textFill>
        </w:rPr>
        <w:t>：                    （公章）</w:t>
      </w:r>
    </w:p>
    <w:p w14:paraId="5529E718">
      <w:pPr>
        <w:overflowPunct/>
        <w:bidi w:val="0"/>
        <w:outlineLvl w:val="9"/>
        <w:rPr>
          <w:rFonts w:hint="eastAsia" w:ascii="宋体" w:hAnsi="宋体" w:eastAsia="宋体" w:cs="Times New Roman"/>
          <w:color w:val="000000" w:themeColor="text1"/>
          <w:sz w:val="24"/>
          <w:highlight w:val="none"/>
          <w14:textFill>
            <w14:solidFill>
              <w14:schemeClr w14:val="tx1"/>
            </w14:solidFill>
          </w14:textFill>
        </w:rPr>
      </w:pPr>
      <w:r>
        <w:rPr>
          <w:rFonts w:hint="eastAsia" w:ascii="宋体" w:hAnsi="宋体" w:eastAsia="宋体" w:cs="Times New Roman"/>
          <w:color w:val="000000" w:themeColor="text1"/>
          <w:sz w:val="24"/>
          <w:highlight w:val="none"/>
          <w14:textFill>
            <w14:solidFill>
              <w14:schemeClr w14:val="tx1"/>
            </w14:solidFill>
          </w14:textFill>
        </w:rPr>
        <w:t>法定代表人或委托代理人：                （签字或盖章）</w:t>
      </w:r>
    </w:p>
    <w:p w14:paraId="774A45E6">
      <w:pPr>
        <w:overflowPunct/>
        <w:bidi w:val="0"/>
        <w:outlineLvl w:val="9"/>
        <w:rPr>
          <w:rFonts w:hint="eastAsia" w:ascii="宋体" w:hAnsi="宋体" w:eastAsia="宋体" w:cs="Times New Roman"/>
          <w:color w:val="000000" w:themeColor="text1"/>
          <w:sz w:val="24"/>
          <w:highlight w:val="none"/>
          <w14:textFill>
            <w14:solidFill>
              <w14:schemeClr w14:val="tx1"/>
            </w14:solidFill>
          </w14:textFill>
        </w:rPr>
      </w:pPr>
      <w:r>
        <w:rPr>
          <w:rFonts w:hint="eastAsia" w:ascii="宋体" w:hAnsi="宋体" w:eastAsia="宋体" w:cs="Times New Roman"/>
          <w:color w:val="000000" w:themeColor="text1"/>
          <w:sz w:val="24"/>
          <w:highlight w:val="none"/>
          <w14:textFill>
            <w14:solidFill>
              <w14:schemeClr w14:val="tx1"/>
            </w14:solidFill>
          </w14:textFill>
        </w:rPr>
        <w:t>日    期：    年    月    日</w:t>
      </w:r>
    </w:p>
    <w:p w14:paraId="428A0B2F">
      <w:pPr>
        <w:overflowPunct/>
        <w:bidi w:val="0"/>
        <w:outlineLvl w:val="9"/>
        <w:rPr>
          <w:rFonts w:hint="eastAsia" w:ascii="宋体" w:hAnsi="宋体" w:eastAsia="宋体" w:cs="Times New Roman"/>
          <w:color w:val="000000" w:themeColor="text1"/>
          <w:sz w:val="24"/>
          <w:highlight w:val="none"/>
          <w14:textFill>
            <w14:solidFill>
              <w14:schemeClr w14:val="tx1"/>
            </w14:solidFill>
          </w14:textFill>
        </w:rPr>
      </w:pPr>
    </w:p>
    <w:p w14:paraId="20976E04">
      <w:pPr>
        <w:pStyle w:val="37"/>
        <w:overflowPunct/>
        <w:bidi w:val="0"/>
        <w:ind w:left="0" w:leftChars="0" w:firstLine="0" w:firstLineChars="0"/>
        <w:outlineLvl w:val="9"/>
        <w:rPr>
          <w:rFonts w:hint="eastAsia"/>
          <w:color w:val="000000" w:themeColor="text1"/>
          <w:highlight w:val="none"/>
          <w14:textFill>
            <w14:solidFill>
              <w14:schemeClr w14:val="tx1"/>
            </w14:solidFill>
          </w14:textFill>
        </w:rPr>
      </w:pPr>
    </w:p>
    <w:p w14:paraId="07D85991">
      <w:pPr>
        <w:overflowPunct/>
        <w:bidi w:val="0"/>
        <w:outlineLvl w:val="9"/>
        <w:rPr>
          <w:rFonts w:hint="eastAsia" w:ascii="宋体" w:hAnsi="宋体" w:eastAsia="宋体"/>
          <w:color w:val="000000" w:themeColor="text1"/>
          <w:highlight w:val="none"/>
          <w14:textFill>
            <w14:solidFill>
              <w14:schemeClr w14:val="tx1"/>
            </w14:solidFill>
          </w14:textFill>
        </w:rPr>
      </w:pPr>
      <w:r>
        <w:rPr>
          <w:rFonts w:hint="eastAsia" w:ascii="宋体" w:hAnsi="宋体" w:eastAsia="宋体"/>
          <w:color w:val="000000" w:themeColor="text1"/>
          <w:highlight w:val="none"/>
          <w14:textFill>
            <w14:solidFill>
              <w14:schemeClr w14:val="tx1"/>
            </w14:solidFill>
          </w14:textFill>
        </w:rPr>
        <w:br w:type="page"/>
      </w:r>
    </w:p>
    <w:p w14:paraId="3285C0AD">
      <w:pPr>
        <w:widowControl/>
        <w:overflowPunct/>
        <w:bidi w:val="0"/>
        <w:spacing w:before="400" w:after="120" w:line="360" w:lineRule="auto"/>
        <w:jc w:val="center"/>
        <w:outlineLvl w:val="9"/>
        <w:rPr>
          <w:rFonts w:hint="eastAsia" w:ascii="宋体" w:hAnsi="宋体" w:eastAsia="宋体"/>
          <w:color w:val="000000" w:themeColor="text1"/>
          <w:highlight w:val="none"/>
          <w14:textFill>
            <w14:solidFill>
              <w14:schemeClr w14:val="tx1"/>
            </w14:solidFill>
          </w14:textFill>
        </w:rPr>
      </w:pPr>
      <w:r>
        <w:rPr>
          <w:rFonts w:hint="eastAsia" w:ascii="宋体" w:hAnsi="宋体" w:eastAsia="宋体"/>
          <w:color w:val="000000" w:themeColor="text1"/>
          <w:highlight w:val="none"/>
          <w14:textFill>
            <w14:solidFill>
              <w14:schemeClr w14:val="tx1"/>
            </w14:solidFill>
          </w14:textFill>
        </w:rPr>
        <w:t>技术偏离表(格式)</w:t>
      </w:r>
    </w:p>
    <w:p w14:paraId="6FECBD27">
      <w:pPr>
        <w:overflowPunct/>
        <w:bidi w:val="0"/>
        <w:spacing w:line="360" w:lineRule="auto"/>
        <w:outlineLvl w:val="9"/>
        <w:rPr>
          <w:rFonts w:ascii="宋体" w:hAnsi="宋体"/>
          <w:b/>
          <w:color w:val="000000" w:themeColor="text1"/>
          <w:sz w:val="28"/>
          <w:highlight w:val="none"/>
          <w14:textFill>
            <w14:solidFill>
              <w14:schemeClr w14:val="tx1"/>
            </w14:solidFill>
          </w14:textFill>
        </w:rPr>
      </w:pPr>
      <w:r>
        <w:rPr>
          <w:rFonts w:hint="eastAsia" w:ascii="宋体" w:hAnsi="宋体"/>
          <w:color w:val="000000" w:themeColor="text1"/>
          <w:sz w:val="24"/>
          <w:highlight w:val="none"/>
          <w:lang w:eastAsia="zh-CN"/>
          <w14:textFill>
            <w14:solidFill>
              <w14:schemeClr w14:val="tx1"/>
            </w14:solidFill>
          </w14:textFill>
        </w:rPr>
        <w:t>供应商</w:t>
      </w:r>
      <w:r>
        <w:rPr>
          <w:rFonts w:hint="eastAsia" w:ascii="宋体" w:hAnsi="宋体"/>
          <w:color w:val="000000" w:themeColor="text1"/>
          <w:sz w:val="24"/>
          <w:highlight w:val="none"/>
          <w14:textFill>
            <w14:solidFill>
              <w14:schemeClr w14:val="tx1"/>
            </w14:solidFill>
          </w14:textFill>
        </w:rPr>
        <w:t>名称：</w:t>
      </w:r>
      <w:r>
        <w:rPr>
          <w:rFonts w:hint="eastAsia" w:ascii="宋体" w:hAnsi="宋体"/>
          <w:color w:val="000000" w:themeColor="text1"/>
          <w:sz w:val="24"/>
          <w:highlight w:val="none"/>
          <w:u w:val="single"/>
          <w14:textFill>
            <w14:solidFill>
              <w14:schemeClr w14:val="tx1"/>
            </w14:solidFill>
          </w14:textFill>
        </w:rPr>
        <w:t xml:space="preserve">           </w:t>
      </w:r>
      <w:r>
        <w:rPr>
          <w:rFonts w:ascii="宋体" w:hAnsi="宋体"/>
          <w:color w:val="000000" w:themeColor="text1"/>
          <w:sz w:val="24"/>
          <w:highlight w:val="none"/>
          <w:u w:val="single"/>
          <w14:textFill>
            <w14:solidFill>
              <w14:schemeClr w14:val="tx1"/>
            </w14:solidFill>
          </w14:textFill>
        </w:rPr>
        <w:t xml:space="preserve">       </w:t>
      </w:r>
      <w:r>
        <w:rPr>
          <w:rFonts w:hint="eastAsia" w:ascii="宋体" w:hAnsi="宋体"/>
          <w:color w:val="000000" w:themeColor="text1"/>
          <w:sz w:val="24"/>
          <w:highlight w:val="none"/>
          <w14:textFill>
            <w14:solidFill>
              <w14:schemeClr w14:val="tx1"/>
            </w14:solidFill>
          </w14:textFill>
        </w:rPr>
        <w:t xml:space="preserve">   </w:t>
      </w:r>
      <w:r>
        <w:rPr>
          <w:rFonts w:ascii="宋体" w:hAnsi="宋体"/>
          <w:color w:val="000000" w:themeColor="text1"/>
          <w:sz w:val="24"/>
          <w:highlight w:val="none"/>
          <w14:textFill>
            <w14:solidFill>
              <w14:schemeClr w14:val="tx1"/>
            </w14:solidFill>
          </w14:textFill>
        </w:rPr>
        <w:t xml:space="preserve"> </w:t>
      </w:r>
      <w:r>
        <w:rPr>
          <w:rFonts w:hint="eastAsia" w:ascii="宋体" w:hAnsi="宋体"/>
          <w:color w:val="000000" w:themeColor="text1"/>
          <w:sz w:val="24"/>
          <w:highlight w:val="none"/>
          <w14:textFill>
            <w14:solidFill>
              <w14:schemeClr w14:val="tx1"/>
            </w14:solidFill>
          </w14:textFill>
        </w:rPr>
        <w:t xml:space="preserve">            项目编号：</w:t>
      </w:r>
      <w:r>
        <w:rPr>
          <w:rFonts w:hint="eastAsia" w:ascii="宋体" w:hAnsi="宋体"/>
          <w:color w:val="000000" w:themeColor="text1"/>
          <w:sz w:val="24"/>
          <w:highlight w:val="none"/>
          <w:u w:val="single"/>
          <w14:textFill>
            <w14:solidFill>
              <w14:schemeClr w14:val="tx1"/>
            </w14:solidFill>
          </w14:textFill>
        </w:rPr>
        <w:t xml:space="preserve">   </w:t>
      </w:r>
      <w:r>
        <w:rPr>
          <w:rFonts w:ascii="宋体" w:hAnsi="宋体"/>
          <w:color w:val="000000" w:themeColor="text1"/>
          <w:sz w:val="24"/>
          <w:highlight w:val="none"/>
          <w:u w:val="single"/>
          <w14:textFill>
            <w14:solidFill>
              <w14:schemeClr w14:val="tx1"/>
            </w14:solidFill>
          </w14:textFill>
        </w:rPr>
        <w:t xml:space="preserve">    </w:t>
      </w:r>
      <w:r>
        <w:rPr>
          <w:rFonts w:hint="eastAsia" w:ascii="宋体" w:hAnsi="宋体"/>
          <w:color w:val="000000" w:themeColor="text1"/>
          <w:sz w:val="24"/>
          <w:highlight w:val="none"/>
          <w:u w:val="single"/>
          <w14:textFill>
            <w14:solidFill>
              <w14:schemeClr w14:val="tx1"/>
            </w14:solidFill>
          </w14:textFill>
        </w:rPr>
        <w:t xml:space="preserve">        </w:t>
      </w:r>
    </w:p>
    <w:tbl>
      <w:tblPr>
        <w:tblStyle w:val="38"/>
        <w:tblW w:w="8390" w:type="dxa"/>
        <w:tblInd w:w="94"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23"/>
        <w:gridCol w:w="1181"/>
        <w:gridCol w:w="1709"/>
        <w:gridCol w:w="1482"/>
        <w:gridCol w:w="1810"/>
        <w:gridCol w:w="1485"/>
      </w:tblGrid>
      <w:tr w14:paraId="13C4475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Pr>
        <w:tc>
          <w:tcPr>
            <w:tcW w:w="723" w:type="dxa"/>
            <w:vMerge w:val="restart"/>
            <w:noWrap w:val="0"/>
            <w:vAlign w:val="top"/>
          </w:tcPr>
          <w:p w14:paraId="10AA49F1">
            <w:pPr>
              <w:overflowPunct/>
              <w:bidi w:val="0"/>
              <w:spacing w:before="120" w:line="360" w:lineRule="auto"/>
              <w:jc w:val="center"/>
              <w:outlineLvl w:val="9"/>
              <w:rPr>
                <w:rFonts w:ascii="宋体" w:hAnsi="宋体"/>
                <w:color w:val="000000" w:themeColor="text1"/>
                <w:sz w:val="24"/>
                <w:highlight w:val="none"/>
                <w14:textFill>
                  <w14:solidFill>
                    <w14:schemeClr w14:val="tx1"/>
                  </w14:solidFill>
                </w14:textFill>
              </w:rPr>
            </w:pPr>
            <w:r>
              <w:rPr>
                <w:rFonts w:hint="eastAsia" w:ascii="宋体" w:hAnsi="宋体"/>
                <w:color w:val="000000" w:themeColor="text1"/>
                <w:sz w:val="24"/>
                <w:highlight w:val="none"/>
                <w14:textFill>
                  <w14:solidFill>
                    <w14:schemeClr w14:val="tx1"/>
                  </w14:solidFill>
                </w14:textFill>
              </w:rPr>
              <w:t>序号</w:t>
            </w:r>
          </w:p>
        </w:tc>
        <w:tc>
          <w:tcPr>
            <w:tcW w:w="2890" w:type="dxa"/>
            <w:gridSpan w:val="2"/>
            <w:noWrap w:val="0"/>
            <w:vAlign w:val="top"/>
          </w:tcPr>
          <w:p w14:paraId="6508A996">
            <w:pPr>
              <w:overflowPunct/>
              <w:bidi w:val="0"/>
              <w:spacing w:before="120" w:after="120" w:line="360" w:lineRule="auto"/>
              <w:jc w:val="center"/>
              <w:outlineLvl w:val="9"/>
              <w:rPr>
                <w:rFonts w:ascii="宋体" w:hAnsi="宋体"/>
                <w:color w:val="000000" w:themeColor="text1"/>
                <w:sz w:val="24"/>
                <w:highlight w:val="none"/>
                <w14:textFill>
                  <w14:solidFill>
                    <w14:schemeClr w14:val="tx1"/>
                  </w14:solidFill>
                </w14:textFill>
              </w:rPr>
            </w:pPr>
            <w:r>
              <w:rPr>
                <w:rFonts w:hint="eastAsia" w:ascii="宋体" w:hAnsi="宋体"/>
                <w:color w:val="000000" w:themeColor="text1"/>
                <w:sz w:val="24"/>
                <w:highlight w:val="none"/>
                <w14:textFill>
                  <w14:solidFill>
                    <w14:schemeClr w14:val="tx1"/>
                  </w14:solidFill>
                </w14:textFill>
              </w:rPr>
              <w:t>磋商文件要求</w:t>
            </w:r>
          </w:p>
        </w:tc>
        <w:tc>
          <w:tcPr>
            <w:tcW w:w="3292" w:type="dxa"/>
            <w:gridSpan w:val="2"/>
            <w:noWrap w:val="0"/>
            <w:vAlign w:val="top"/>
          </w:tcPr>
          <w:p w14:paraId="6E91D9C1">
            <w:pPr>
              <w:overflowPunct/>
              <w:bidi w:val="0"/>
              <w:spacing w:before="120" w:after="120" w:line="360" w:lineRule="auto"/>
              <w:jc w:val="center"/>
              <w:outlineLvl w:val="9"/>
              <w:rPr>
                <w:rFonts w:ascii="宋体" w:hAnsi="宋体"/>
                <w:color w:val="000000" w:themeColor="text1"/>
                <w:sz w:val="24"/>
                <w:highlight w:val="none"/>
                <w14:textFill>
                  <w14:solidFill>
                    <w14:schemeClr w14:val="tx1"/>
                  </w14:solidFill>
                </w14:textFill>
              </w:rPr>
            </w:pPr>
            <w:r>
              <w:rPr>
                <w:rFonts w:hint="eastAsia" w:ascii="宋体" w:hAnsi="宋体"/>
                <w:color w:val="000000" w:themeColor="text1"/>
                <w:sz w:val="24"/>
                <w:highlight w:val="none"/>
                <w14:textFill>
                  <w14:solidFill>
                    <w14:schemeClr w14:val="tx1"/>
                  </w14:solidFill>
                </w14:textFill>
              </w:rPr>
              <w:t>响应文件内容达到</w:t>
            </w:r>
          </w:p>
        </w:tc>
        <w:tc>
          <w:tcPr>
            <w:tcW w:w="1485" w:type="dxa"/>
            <w:vMerge w:val="restart"/>
            <w:noWrap w:val="0"/>
            <w:vAlign w:val="center"/>
          </w:tcPr>
          <w:p w14:paraId="061D8CCF">
            <w:pPr>
              <w:overflowPunct/>
              <w:bidi w:val="0"/>
              <w:spacing w:before="120" w:line="360" w:lineRule="auto"/>
              <w:jc w:val="center"/>
              <w:outlineLvl w:val="9"/>
              <w:rPr>
                <w:rFonts w:hint="eastAsia" w:ascii="宋体" w:hAnsi="宋体"/>
                <w:color w:val="000000" w:themeColor="text1"/>
                <w:sz w:val="24"/>
                <w:highlight w:val="none"/>
                <w14:textFill>
                  <w14:solidFill>
                    <w14:schemeClr w14:val="tx1"/>
                  </w14:solidFill>
                </w14:textFill>
              </w:rPr>
            </w:pPr>
            <w:r>
              <w:rPr>
                <w:rFonts w:hint="eastAsia" w:ascii="宋体" w:hAnsi="宋体"/>
                <w:color w:val="000000" w:themeColor="text1"/>
                <w:sz w:val="24"/>
                <w:highlight w:val="none"/>
                <w14:textFill>
                  <w14:solidFill>
                    <w14:schemeClr w14:val="tx1"/>
                  </w14:solidFill>
                </w14:textFill>
              </w:rPr>
              <w:t>是否偏离</w:t>
            </w:r>
          </w:p>
        </w:tc>
      </w:tr>
      <w:tr w14:paraId="38DB082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Pr>
        <w:tc>
          <w:tcPr>
            <w:tcW w:w="723" w:type="dxa"/>
            <w:vMerge w:val="continue"/>
            <w:noWrap w:val="0"/>
            <w:vAlign w:val="top"/>
          </w:tcPr>
          <w:p w14:paraId="5229B40B">
            <w:pPr>
              <w:overflowPunct/>
              <w:bidi w:val="0"/>
              <w:spacing w:line="360" w:lineRule="auto"/>
              <w:jc w:val="center"/>
              <w:outlineLvl w:val="9"/>
              <w:rPr>
                <w:rFonts w:ascii="宋体" w:hAnsi="宋体"/>
                <w:color w:val="000000" w:themeColor="text1"/>
                <w:sz w:val="24"/>
                <w:highlight w:val="none"/>
                <w14:textFill>
                  <w14:solidFill>
                    <w14:schemeClr w14:val="tx1"/>
                  </w14:solidFill>
                </w14:textFill>
              </w:rPr>
            </w:pPr>
          </w:p>
        </w:tc>
        <w:tc>
          <w:tcPr>
            <w:tcW w:w="1181" w:type="dxa"/>
            <w:noWrap w:val="0"/>
            <w:vAlign w:val="top"/>
          </w:tcPr>
          <w:p w14:paraId="707FB745">
            <w:pPr>
              <w:overflowPunct/>
              <w:bidi w:val="0"/>
              <w:spacing w:before="120" w:after="120" w:line="360" w:lineRule="auto"/>
              <w:jc w:val="center"/>
              <w:outlineLvl w:val="9"/>
              <w:rPr>
                <w:rFonts w:ascii="宋体" w:hAnsi="宋体"/>
                <w:color w:val="000000" w:themeColor="text1"/>
                <w:sz w:val="24"/>
                <w:highlight w:val="none"/>
                <w14:textFill>
                  <w14:solidFill>
                    <w14:schemeClr w14:val="tx1"/>
                  </w14:solidFill>
                </w14:textFill>
              </w:rPr>
            </w:pPr>
            <w:r>
              <w:rPr>
                <w:rFonts w:hint="eastAsia" w:ascii="宋体" w:hAnsi="宋体"/>
                <w:color w:val="000000" w:themeColor="text1"/>
                <w:sz w:val="24"/>
                <w:highlight w:val="none"/>
                <w14:textFill>
                  <w14:solidFill>
                    <w14:schemeClr w14:val="tx1"/>
                  </w14:solidFill>
                </w14:textFill>
              </w:rPr>
              <w:t>名称</w:t>
            </w:r>
          </w:p>
        </w:tc>
        <w:tc>
          <w:tcPr>
            <w:tcW w:w="1709" w:type="dxa"/>
            <w:noWrap w:val="0"/>
            <w:vAlign w:val="top"/>
          </w:tcPr>
          <w:p w14:paraId="44B22FA8">
            <w:pPr>
              <w:overflowPunct/>
              <w:bidi w:val="0"/>
              <w:spacing w:before="120" w:after="120" w:line="360" w:lineRule="auto"/>
              <w:jc w:val="center"/>
              <w:outlineLvl w:val="9"/>
              <w:rPr>
                <w:rFonts w:ascii="宋体" w:hAnsi="宋体"/>
                <w:color w:val="000000" w:themeColor="text1"/>
                <w:sz w:val="24"/>
                <w:highlight w:val="none"/>
                <w14:textFill>
                  <w14:solidFill>
                    <w14:schemeClr w14:val="tx1"/>
                  </w14:solidFill>
                </w14:textFill>
              </w:rPr>
            </w:pPr>
            <w:r>
              <w:rPr>
                <w:rFonts w:hint="eastAsia" w:ascii="宋体" w:hAnsi="宋体"/>
                <w:color w:val="000000" w:themeColor="text1"/>
                <w:sz w:val="24"/>
                <w:highlight w:val="none"/>
                <w14:textFill>
                  <w14:solidFill>
                    <w14:schemeClr w14:val="tx1"/>
                  </w14:solidFill>
                </w14:textFill>
              </w:rPr>
              <w:t>指标</w:t>
            </w:r>
          </w:p>
        </w:tc>
        <w:tc>
          <w:tcPr>
            <w:tcW w:w="1482" w:type="dxa"/>
            <w:noWrap w:val="0"/>
            <w:vAlign w:val="top"/>
          </w:tcPr>
          <w:p w14:paraId="32B91341">
            <w:pPr>
              <w:overflowPunct/>
              <w:bidi w:val="0"/>
              <w:spacing w:before="120" w:after="120" w:line="360" w:lineRule="auto"/>
              <w:jc w:val="center"/>
              <w:outlineLvl w:val="9"/>
              <w:rPr>
                <w:rFonts w:ascii="宋体" w:hAnsi="宋体"/>
                <w:color w:val="000000" w:themeColor="text1"/>
                <w:sz w:val="24"/>
                <w:highlight w:val="none"/>
                <w14:textFill>
                  <w14:solidFill>
                    <w14:schemeClr w14:val="tx1"/>
                  </w14:solidFill>
                </w14:textFill>
              </w:rPr>
            </w:pPr>
            <w:r>
              <w:rPr>
                <w:rFonts w:hint="eastAsia" w:ascii="宋体" w:hAnsi="宋体"/>
                <w:color w:val="000000" w:themeColor="text1"/>
                <w:sz w:val="24"/>
                <w:highlight w:val="none"/>
                <w14:textFill>
                  <w14:solidFill>
                    <w14:schemeClr w14:val="tx1"/>
                  </w14:solidFill>
                </w14:textFill>
              </w:rPr>
              <w:t>名称</w:t>
            </w:r>
          </w:p>
        </w:tc>
        <w:tc>
          <w:tcPr>
            <w:tcW w:w="1810" w:type="dxa"/>
            <w:noWrap w:val="0"/>
            <w:vAlign w:val="top"/>
          </w:tcPr>
          <w:p w14:paraId="79155185">
            <w:pPr>
              <w:overflowPunct/>
              <w:bidi w:val="0"/>
              <w:spacing w:before="120" w:after="120" w:line="360" w:lineRule="auto"/>
              <w:jc w:val="center"/>
              <w:outlineLvl w:val="9"/>
              <w:rPr>
                <w:rFonts w:ascii="宋体" w:hAnsi="宋体"/>
                <w:color w:val="000000" w:themeColor="text1"/>
                <w:sz w:val="24"/>
                <w:highlight w:val="none"/>
                <w14:textFill>
                  <w14:solidFill>
                    <w14:schemeClr w14:val="tx1"/>
                  </w14:solidFill>
                </w14:textFill>
              </w:rPr>
            </w:pPr>
            <w:r>
              <w:rPr>
                <w:rFonts w:hint="eastAsia" w:ascii="宋体" w:hAnsi="宋体"/>
                <w:color w:val="000000" w:themeColor="text1"/>
                <w:sz w:val="24"/>
                <w:highlight w:val="none"/>
                <w14:textFill>
                  <w14:solidFill>
                    <w14:schemeClr w14:val="tx1"/>
                  </w14:solidFill>
                </w14:textFill>
              </w:rPr>
              <w:t>指标</w:t>
            </w:r>
          </w:p>
        </w:tc>
        <w:tc>
          <w:tcPr>
            <w:tcW w:w="1485" w:type="dxa"/>
            <w:vMerge w:val="continue"/>
            <w:noWrap w:val="0"/>
            <w:vAlign w:val="top"/>
          </w:tcPr>
          <w:p w14:paraId="3E53C200">
            <w:pPr>
              <w:overflowPunct/>
              <w:bidi w:val="0"/>
              <w:spacing w:line="360" w:lineRule="auto"/>
              <w:jc w:val="center"/>
              <w:outlineLvl w:val="9"/>
              <w:rPr>
                <w:rFonts w:ascii="宋体" w:hAnsi="宋体"/>
                <w:color w:val="000000" w:themeColor="text1"/>
                <w:sz w:val="24"/>
                <w:highlight w:val="none"/>
                <w14:textFill>
                  <w14:solidFill>
                    <w14:schemeClr w14:val="tx1"/>
                  </w14:solidFill>
                </w14:textFill>
              </w:rPr>
            </w:pPr>
          </w:p>
        </w:tc>
      </w:tr>
      <w:tr w14:paraId="1361CEB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23" w:type="dxa"/>
            <w:noWrap w:val="0"/>
            <w:vAlign w:val="center"/>
          </w:tcPr>
          <w:p w14:paraId="55F83CF2">
            <w:pPr>
              <w:overflowPunct/>
              <w:bidi w:val="0"/>
              <w:jc w:val="center"/>
              <w:outlineLvl w:val="9"/>
              <w:rPr>
                <w:rFonts w:ascii="宋体" w:hAnsi="宋体" w:cs="宋体"/>
                <w:color w:val="000000" w:themeColor="text1"/>
                <w:highlight w:val="none"/>
                <w14:textFill>
                  <w14:solidFill>
                    <w14:schemeClr w14:val="tx1"/>
                  </w14:solidFill>
                </w14:textFill>
              </w:rPr>
            </w:pPr>
            <w:r>
              <w:rPr>
                <w:rFonts w:hint="eastAsia" w:ascii="宋体" w:hAnsi="宋体" w:cs="宋体"/>
                <w:color w:val="000000" w:themeColor="text1"/>
                <w:highlight w:val="none"/>
                <w14:textFill>
                  <w14:solidFill>
                    <w14:schemeClr w14:val="tx1"/>
                  </w14:solidFill>
                </w14:textFill>
              </w:rPr>
              <w:t>1</w:t>
            </w:r>
          </w:p>
        </w:tc>
        <w:tc>
          <w:tcPr>
            <w:tcW w:w="1181" w:type="dxa"/>
            <w:noWrap w:val="0"/>
            <w:vAlign w:val="center"/>
          </w:tcPr>
          <w:p w14:paraId="7B54F67E">
            <w:pPr>
              <w:overflowPunct/>
              <w:bidi w:val="0"/>
              <w:jc w:val="center"/>
              <w:outlineLvl w:val="9"/>
              <w:rPr>
                <w:rFonts w:ascii="宋体" w:hAnsi="宋体" w:cs="宋体"/>
                <w:color w:val="000000" w:themeColor="text1"/>
                <w:highlight w:val="none"/>
                <w14:textFill>
                  <w14:solidFill>
                    <w14:schemeClr w14:val="tx1"/>
                  </w14:solidFill>
                </w14:textFill>
              </w:rPr>
            </w:pPr>
          </w:p>
        </w:tc>
        <w:tc>
          <w:tcPr>
            <w:tcW w:w="1709" w:type="dxa"/>
            <w:noWrap w:val="0"/>
            <w:vAlign w:val="top"/>
          </w:tcPr>
          <w:p w14:paraId="6AC8C269">
            <w:pPr>
              <w:overflowPunct/>
              <w:bidi w:val="0"/>
              <w:spacing w:before="120" w:after="120" w:line="360" w:lineRule="auto"/>
              <w:jc w:val="center"/>
              <w:outlineLvl w:val="9"/>
              <w:rPr>
                <w:rFonts w:ascii="宋体" w:hAnsi="宋体"/>
                <w:color w:val="000000" w:themeColor="text1"/>
                <w:sz w:val="32"/>
                <w:highlight w:val="none"/>
                <w14:textFill>
                  <w14:solidFill>
                    <w14:schemeClr w14:val="tx1"/>
                  </w14:solidFill>
                </w14:textFill>
              </w:rPr>
            </w:pPr>
          </w:p>
        </w:tc>
        <w:tc>
          <w:tcPr>
            <w:tcW w:w="1482" w:type="dxa"/>
            <w:noWrap w:val="0"/>
            <w:vAlign w:val="top"/>
          </w:tcPr>
          <w:p w14:paraId="57DD7AEB">
            <w:pPr>
              <w:overflowPunct/>
              <w:bidi w:val="0"/>
              <w:spacing w:before="120" w:after="120" w:line="360" w:lineRule="auto"/>
              <w:jc w:val="center"/>
              <w:outlineLvl w:val="9"/>
              <w:rPr>
                <w:rFonts w:ascii="宋体" w:hAnsi="宋体"/>
                <w:color w:val="000000" w:themeColor="text1"/>
                <w:sz w:val="32"/>
                <w:highlight w:val="none"/>
                <w14:textFill>
                  <w14:solidFill>
                    <w14:schemeClr w14:val="tx1"/>
                  </w14:solidFill>
                </w14:textFill>
              </w:rPr>
            </w:pPr>
          </w:p>
        </w:tc>
        <w:tc>
          <w:tcPr>
            <w:tcW w:w="1810" w:type="dxa"/>
            <w:noWrap w:val="0"/>
            <w:vAlign w:val="top"/>
          </w:tcPr>
          <w:p w14:paraId="55F6AB89">
            <w:pPr>
              <w:overflowPunct/>
              <w:bidi w:val="0"/>
              <w:spacing w:before="120" w:after="120" w:line="360" w:lineRule="auto"/>
              <w:jc w:val="center"/>
              <w:outlineLvl w:val="9"/>
              <w:rPr>
                <w:rFonts w:ascii="宋体" w:hAnsi="宋体"/>
                <w:color w:val="000000" w:themeColor="text1"/>
                <w:sz w:val="32"/>
                <w:highlight w:val="none"/>
                <w14:textFill>
                  <w14:solidFill>
                    <w14:schemeClr w14:val="tx1"/>
                  </w14:solidFill>
                </w14:textFill>
              </w:rPr>
            </w:pPr>
          </w:p>
        </w:tc>
        <w:tc>
          <w:tcPr>
            <w:tcW w:w="1485" w:type="dxa"/>
            <w:noWrap w:val="0"/>
            <w:vAlign w:val="top"/>
          </w:tcPr>
          <w:p w14:paraId="0E4E24A8">
            <w:pPr>
              <w:overflowPunct/>
              <w:bidi w:val="0"/>
              <w:spacing w:before="120" w:after="120" w:line="360" w:lineRule="auto"/>
              <w:jc w:val="center"/>
              <w:outlineLvl w:val="9"/>
              <w:rPr>
                <w:rFonts w:ascii="宋体" w:hAnsi="宋体"/>
                <w:color w:val="000000" w:themeColor="text1"/>
                <w:sz w:val="32"/>
                <w:highlight w:val="none"/>
                <w14:textFill>
                  <w14:solidFill>
                    <w14:schemeClr w14:val="tx1"/>
                  </w14:solidFill>
                </w14:textFill>
              </w:rPr>
            </w:pPr>
          </w:p>
        </w:tc>
      </w:tr>
      <w:tr w14:paraId="0B6E755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23" w:type="dxa"/>
            <w:noWrap w:val="0"/>
            <w:vAlign w:val="center"/>
          </w:tcPr>
          <w:p w14:paraId="4D98CAC8">
            <w:pPr>
              <w:overflowPunct/>
              <w:bidi w:val="0"/>
              <w:jc w:val="center"/>
              <w:outlineLvl w:val="9"/>
              <w:rPr>
                <w:rFonts w:ascii="宋体" w:hAnsi="宋体" w:cs="宋体"/>
                <w:color w:val="000000" w:themeColor="text1"/>
                <w:highlight w:val="none"/>
                <w14:textFill>
                  <w14:solidFill>
                    <w14:schemeClr w14:val="tx1"/>
                  </w14:solidFill>
                </w14:textFill>
              </w:rPr>
            </w:pPr>
            <w:r>
              <w:rPr>
                <w:rFonts w:hint="eastAsia" w:ascii="宋体" w:hAnsi="宋体" w:cs="宋体"/>
                <w:color w:val="000000" w:themeColor="text1"/>
                <w:highlight w:val="none"/>
                <w14:textFill>
                  <w14:solidFill>
                    <w14:schemeClr w14:val="tx1"/>
                  </w14:solidFill>
                </w14:textFill>
              </w:rPr>
              <w:t>2</w:t>
            </w:r>
          </w:p>
        </w:tc>
        <w:tc>
          <w:tcPr>
            <w:tcW w:w="1181" w:type="dxa"/>
            <w:noWrap w:val="0"/>
            <w:vAlign w:val="center"/>
          </w:tcPr>
          <w:p w14:paraId="27ECC319">
            <w:pPr>
              <w:overflowPunct/>
              <w:bidi w:val="0"/>
              <w:jc w:val="center"/>
              <w:outlineLvl w:val="9"/>
              <w:rPr>
                <w:rFonts w:ascii="宋体" w:hAnsi="宋体" w:cs="宋体"/>
                <w:color w:val="000000" w:themeColor="text1"/>
                <w:highlight w:val="none"/>
                <w14:textFill>
                  <w14:solidFill>
                    <w14:schemeClr w14:val="tx1"/>
                  </w14:solidFill>
                </w14:textFill>
              </w:rPr>
            </w:pPr>
          </w:p>
        </w:tc>
        <w:tc>
          <w:tcPr>
            <w:tcW w:w="1709" w:type="dxa"/>
            <w:noWrap w:val="0"/>
            <w:vAlign w:val="top"/>
          </w:tcPr>
          <w:p w14:paraId="7FDC5DFE">
            <w:pPr>
              <w:overflowPunct/>
              <w:bidi w:val="0"/>
              <w:spacing w:before="120" w:after="120" w:line="360" w:lineRule="auto"/>
              <w:jc w:val="center"/>
              <w:outlineLvl w:val="9"/>
              <w:rPr>
                <w:rFonts w:ascii="宋体" w:hAnsi="宋体"/>
                <w:color w:val="000000" w:themeColor="text1"/>
                <w:sz w:val="32"/>
                <w:highlight w:val="none"/>
                <w14:textFill>
                  <w14:solidFill>
                    <w14:schemeClr w14:val="tx1"/>
                  </w14:solidFill>
                </w14:textFill>
              </w:rPr>
            </w:pPr>
          </w:p>
        </w:tc>
        <w:tc>
          <w:tcPr>
            <w:tcW w:w="1482" w:type="dxa"/>
            <w:noWrap w:val="0"/>
            <w:vAlign w:val="top"/>
          </w:tcPr>
          <w:p w14:paraId="5B87DEA1">
            <w:pPr>
              <w:overflowPunct/>
              <w:bidi w:val="0"/>
              <w:spacing w:before="120" w:after="120" w:line="360" w:lineRule="auto"/>
              <w:jc w:val="center"/>
              <w:outlineLvl w:val="9"/>
              <w:rPr>
                <w:rFonts w:ascii="宋体" w:hAnsi="宋体"/>
                <w:color w:val="000000" w:themeColor="text1"/>
                <w:sz w:val="32"/>
                <w:highlight w:val="none"/>
                <w14:textFill>
                  <w14:solidFill>
                    <w14:schemeClr w14:val="tx1"/>
                  </w14:solidFill>
                </w14:textFill>
              </w:rPr>
            </w:pPr>
          </w:p>
        </w:tc>
        <w:tc>
          <w:tcPr>
            <w:tcW w:w="1810" w:type="dxa"/>
            <w:noWrap w:val="0"/>
            <w:vAlign w:val="top"/>
          </w:tcPr>
          <w:p w14:paraId="2A599B2D">
            <w:pPr>
              <w:overflowPunct/>
              <w:bidi w:val="0"/>
              <w:spacing w:before="120" w:after="120" w:line="360" w:lineRule="auto"/>
              <w:jc w:val="center"/>
              <w:outlineLvl w:val="9"/>
              <w:rPr>
                <w:rFonts w:ascii="宋体" w:hAnsi="宋体"/>
                <w:color w:val="000000" w:themeColor="text1"/>
                <w:sz w:val="32"/>
                <w:highlight w:val="none"/>
                <w14:textFill>
                  <w14:solidFill>
                    <w14:schemeClr w14:val="tx1"/>
                  </w14:solidFill>
                </w14:textFill>
              </w:rPr>
            </w:pPr>
          </w:p>
        </w:tc>
        <w:tc>
          <w:tcPr>
            <w:tcW w:w="1485" w:type="dxa"/>
            <w:noWrap w:val="0"/>
            <w:vAlign w:val="top"/>
          </w:tcPr>
          <w:p w14:paraId="6AD92F7E">
            <w:pPr>
              <w:overflowPunct/>
              <w:bidi w:val="0"/>
              <w:spacing w:before="120" w:after="120" w:line="360" w:lineRule="auto"/>
              <w:jc w:val="center"/>
              <w:outlineLvl w:val="9"/>
              <w:rPr>
                <w:rFonts w:ascii="宋体" w:hAnsi="宋体"/>
                <w:color w:val="000000" w:themeColor="text1"/>
                <w:sz w:val="32"/>
                <w:highlight w:val="none"/>
                <w14:textFill>
                  <w14:solidFill>
                    <w14:schemeClr w14:val="tx1"/>
                  </w14:solidFill>
                </w14:textFill>
              </w:rPr>
            </w:pPr>
          </w:p>
        </w:tc>
      </w:tr>
      <w:tr w14:paraId="3C3A480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23" w:type="dxa"/>
            <w:noWrap w:val="0"/>
            <w:vAlign w:val="center"/>
          </w:tcPr>
          <w:p w14:paraId="75D30860">
            <w:pPr>
              <w:overflowPunct/>
              <w:bidi w:val="0"/>
              <w:jc w:val="center"/>
              <w:outlineLvl w:val="9"/>
              <w:rPr>
                <w:rFonts w:ascii="宋体" w:hAnsi="宋体" w:cs="宋体"/>
                <w:color w:val="000000" w:themeColor="text1"/>
                <w:highlight w:val="none"/>
                <w14:textFill>
                  <w14:solidFill>
                    <w14:schemeClr w14:val="tx1"/>
                  </w14:solidFill>
                </w14:textFill>
              </w:rPr>
            </w:pPr>
            <w:r>
              <w:rPr>
                <w:rFonts w:hint="eastAsia" w:ascii="宋体" w:hAnsi="宋体" w:cs="宋体"/>
                <w:color w:val="000000" w:themeColor="text1"/>
                <w:highlight w:val="none"/>
                <w14:textFill>
                  <w14:solidFill>
                    <w14:schemeClr w14:val="tx1"/>
                  </w14:solidFill>
                </w14:textFill>
              </w:rPr>
              <w:t>3</w:t>
            </w:r>
          </w:p>
        </w:tc>
        <w:tc>
          <w:tcPr>
            <w:tcW w:w="1181" w:type="dxa"/>
            <w:noWrap w:val="0"/>
            <w:vAlign w:val="center"/>
          </w:tcPr>
          <w:p w14:paraId="5BBCF8D9">
            <w:pPr>
              <w:overflowPunct/>
              <w:bidi w:val="0"/>
              <w:jc w:val="center"/>
              <w:outlineLvl w:val="9"/>
              <w:rPr>
                <w:rFonts w:ascii="宋体" w:hAnsi="宋体" w:cs="宋体"/>
                <w:color w:val="000000" w:themeColor="text1"/>
                <w:highlight w:val="none"/>
                <w14:textFill>
                  <w14:solidFill>
                    <w14:schemeClr w14:val="tx1"/>
                  </w14:solidFill>
                </w14:textFill>
              </w:rPr>
            </w:pPr>
          </w:p>
        </w:tc>
        <w:tc>
          <w:tcPr>
            <w:tcW w:w="1709" w:type="dxa"/>
            <w:noWrap w:val="0"/>
            <w:vAlign w:val="top"/>
          </w:tcPr>
          <w:p w14:paraId="0B9BD8DE">
            <w:pPr>
              <w:overflowPunct/>
              <w:bidi w:val="0"/>
              <w:spacing w:before="120" w:after="120" w:line="360" w:lineRule="auto"/>
              <w:jc w:val="center"/>
              <w:outlineLvl w:val="9"/>
              <w:rPr>
                <w:rFonts w:ascii="宋体" w:hAnsi="宋体"/>
                <w:color w:val="000000" w:themeColor="text1"/>
                <w:sz w:val="32"/>
                <w:highlight w:val="none"/>
                <w14:textFill>
                  <w14:solidFill>
                    <w14:schemeClr w14:val="tx1"/>
                  </w14:solidFill>
                </w14:textFill>
              </w:rPr>
            </w:pPr>
          </w:p>
        </w:tc>
        <w:tc>
          <w:tcPr>
            <w:tcW w:w="1482" w:type="dxa"/>
            <w:noWrap w:val="0"/>
            <w:vAlign w:val="top"/>
          </w:tcPr>
          <w:p w14:paraId="3399C97A">
            <w:pPr>
              <w:overflowPunct/>
              <w:bidi w:val="0"/>
              <w:spacing w:before="120" w:after="120" w:line="360" w:lineRule="auto"/>
              <w:jc w:val="center"/>
              <w:outlineLvl w:val="9"/>
              <w:rPr>
                <w:rFonts w:ascii="宋体" w:hAnsi="宋体"/>
                <w:color w:val="000000" w:themeColor="text1"/>
                <w:sz w:val="32"/>
                <w:highlight w:val="none"/>
                <w14:textFill>
                  <w14:solidFill>
                    <w14:schemeClr w14:val="tx1"/>
                  </w14:solidFill>
                </w14:textFill>
              </w:rPr>
            </w:pPr>
          </w:p>
        </w:tc>
        <w:tc>
          <w:tcPr>
            <w:tcW w:w="1810" w:type="dxa"/>
            <w:noWrap w:val="0"/>
            <w:vAlign w:val="top"/>
          </w:tcPr>
          <w:p w14:paraId="0C3761D9">
            <w:pPr>
              <w:overflowPunct/>
              <w:bidi w:val="0"/>
              <w:spacing w:before="120" w:after="120" w:line="360" w:lineRule="auto"/>
              <w:jc w:val="center"/>
              <w:outlineLvl w:val="9"/>
              <w:rPr>
                <w:rFonts w:ascii="宋体" w:hAnsi="宋体"/>
                <w:color w:val="000000" w:themeColor="text1"/>
                <w:sz w:val="32"/>
                <w:highlight w:val="none"/>
                <w14:textFill>
                  <w14:solidFill>
                    <w14:schemeClr w14:val="tx1"/>
                  </w14:solidFill>
                </w14:textFill>
              </w:rPr>
            </w:pPr>
          </w:p>
        </w:tc>
        <w:tc>
          <w:tcPr>
            <w:tcW w:w="1485" w:type="dxa"/>
            <w:noWrap w:val="0"/>
            <w:vAlign w:val="top"/>
          </w:tcPr>
          <w:p w14:paraId="662B0E44">
            <w:pPr>
              <w:overflowPunct/>
              <w:bidi w:val="0"/>
              <w:spacing w:before="120" w:after="120" w:line="360" w:lineRule="auto"/>
              <w:jc w:val="center"/>
              <w:outlineLvl w:val="9"/>
              <w:rPr>
                <w:rFonts w:ascii="宋体" w:hAnsi="宋体"/>
                <w:color w:val="000000" w:themeColor="text1"/>
                <w:sz w:val="32"/>
                <w:highlight w:val="none"/>
                <w14:textFill>
                  <w14:solidFill>
                    <w14:schemeClr w14:val="tx1"/>
                  </w14:solidFill>
                </w14:textFill>
              </w:rPr>
            </w:pPr>
          </w:p>
        </w:tc>
      </w:tr>
      <w:tr w14:paraId="06A5AAB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23" w:type="dxa"/>
            <w:noWrap w:val="0"/>
            <w:vAlign w:val="center"/>
          </w:tcPr>
          <w:p w14:paraId="227A1415">
            <w:pPr>
              <w:overflowPunct/>
              <w:bidi w:val="0"/>
              <w:jc w:val="center"/>
              <w:outlineLvl w:val="9"/>
              <w:rPr>
                <w:rFonts w:ascii="宋体" w:hAnsi="宋体" w:cs="宋体"/>
                <w:color w:val="000000" w:themeColor="text1"/>
                <w:highlight w:val="none"/>
                <w14:textFill>
                  <w14:solidFill>
                    <w14:schemeClr w14:val="tx1"/>
                  </w14:solidFill>
                </w14:textFill>
              </w:rPr>
            </w:pPr>
            <w:r>
              <w:rPr>
                <w:rFonts w:hint="eastAsia" w:ascii="宋体" w:hAnsi="宋体" w:cs="宋体"/>
                <w:color w:val="000000" w:themeColor="text1"/>
                <w:highlight w:val="none"/>
                <w14:textFill>
                  <w14:solidFill>
                    <w14:schemeClr w14:val="tx1"/>
                  </w14:solidFill>
                </w14:textFill>
              </w:rPr>
              <w:t>4</w:t>
            </w:r>
          </w:p>
        </w:tc>
        <w:tc>
          <w:tcPr>
            <w:tcW w:w="1181" w:type="dxa"/>
            <w:noWrap w:val="0"/>
            <w:vAlign w:val="center"/>
          </w:tcPr>
          <w:p w14:paraId="0BDE8A85">
            <w:pPr>
              <w:overflowPunct/>
              <w:bidi w:val="0"/>
              <w:jc w:val="center"/>
              <w:outlineLvl w:val="9"/>
              <w:rPr>
                <w:rFonts w:ascii="宋体" w:hAnsi="宋体" w:cs="宋体"/>
                <w:color w:val="000000" w:themeColor="text1"/>
                <w:highlight w:val="none"/>
                <w14:textFill>
                  <w14:solidFill>
                    <w14:schemeClr w14:val="tx1"/>
                  </w14:solidFill>
                </w14:textFill>
              </w:rPr>
            </w:pPr>
          </w:p>
        </w:tc>
        <w:tc>
          <w:tcPr>
            <w:tcW w:w="1709" w:type="dxa"/>
            <w:noWrap w:val="0"/>
            <w:vAlign w:val="top"/>
          </w:tcPr>
          <w:p w14:paraId="682935A3">
            <w:pPr>
              <w:overflowPunct/>
              <w:bidi w:val="0"/>
              <w:spacing w:before="120" w:after="120" w:line="360" w:lineRule="auto"/>
              <w:jc w:val="center"/>
              <w:outlineLvl w:val="9"/>
              <w:rPr>
                <w:rFonts w:ascii="宋体" w:hAnsi="宋体"/>
                <w:color w:val="000000" w:themeColor="text1"/>
                <w:sz w:val="32"/>
                <w:highlight w:val="none"/>
                <w14:textFill>
                  <w14:solidFill>
                    <w14:schemeClr w14:val="tx1"/>
                  </w14:solidFill>
                </w14:textFill>
              </w:rPr>
            </w:pPr>
          </w:p>
        </w:tc>
        <w:tc>
          <w:tcPr>
            <w:tcW w:w="1482" w:type="dxa"/>
            <w:noWrap w:val="0"/>
            <w:vAlign w:val="top"/>
          </w:tcPr>
          <w:p w14:paraId="14469B3B">
            <w:pPr>
              <w:overflowPunct/>
              <w:bidi w:val="0"/>
              <w:spacing w:before="120" w:after="120" w:line="360" w:lineRule="auto"/>
              <w:jc w:val="center"/>
              <w:outlineLvl w:val="9"/>
              <w:rPr>
                <w:rFonts w:ascii="宋体" w:hAnsi="宋体"/>
                <w:color w:val="000000" w:themeColor="text1"/>
                <w:sz w:val="32"/>
                <w:highlight w:val="none"/>
                <w14:textFill>
                  <w14:solidFill>
                    <w14:schemeClr w14:val="tx1"/>
                  </w14:solidFill>
                </w14:textFill>
              </w:rPr>
            </w:pPr>
          </w:p>
        </w:tc>
        <w:tc>
          <w:tcPr>
            <w:tcW w:w="1810" w:type="dxa"/>
            <w:noWrap w:val="0"/>
            <w:vAlign w:val="top"/>
          </w:tcPr>
          <w:p w14:paraId="19E44EEF">
            <w:pPr>
              <w:overflowPunct/>
              <w:bidi w:val="0"/>
              <w:spacing w:before="120" w:after="120" w:line="360" w:lineRule="auto"/>
              <w:jc w:val="center"/>
              <w:outlineLvl w:val="9"/>
              <w:rPr>
                <w:rFonts w:ascii="宋体" w:hAnsi="宋体"/>
                <w:color w:val="000000" w:themeColor="text1"/>
                <w:sz w:val="32"/>
                <w:highlight w:val="none"/>
                <w14:textFill>
                  <w14:solidFill>
                    <w14:schemeClr w14:val="tx1"/>
                  </w14:solidFill>
                </w14:textFill>
              </w:rPr>
            </w:pPr>
          </w:p>
        </w:tc>
        <w:tc>
          <w:tcPr>
            <w:tcW w:w="1485" w:type="dxa"/>
            <w:noWrap w:val="0"/>
            <w:vAlign w:val="top"/>
          </w:tcPr>
          <w:p w14:paraId="33775074">
            <w:pPr>
              <w:overflowPunct/>
              <w:bidi w:val="0"/>
              <w:spacing w:before="120" w:after="120" w:line="360" w:lineRule="auto"/>
              <w:jc w:val="center"/>
              <w:outlineLvl w:val="9"/>
              <w:rPr>
                <w:rFonts w:ascii="宋体" w:hAnsi="宋体"/>
                <w:color w:val="000000" w:themeColor="text1"/>
                <w:sz w:val="32"/>
                <w:highlight w:val="none"/>
                <w14:textFill>
                  <w14:solidFill>
                    <w14:schemeClr w14:val="tx1"/>
                  </w14:solidFill>
                </w14:textFill>
              </w:rPr>
            </w:pPr>
          </w:p>
        </w:tc>
      </w:tr>
      <w:tr w14:paraId="234899A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23" w:type="dxa"/>
            <w:noWrap w:val="0"/>
            <w:vAlign w:val="center"/>
          </w:tcPr>
          <w:p w14:paraId="462BF49A">
            <w:pPr>
              <w:overflowPunct/>
              <w:bidi w:val="0"/>
              <w:jc w:val="center"/>
              <w:outlineLvl w:val="9"/>
              <w:rPr>
                <w:rFonts w:ascii="宋体" w:hAnsi="宋体" w:cs="宋体"/>
                <w:color w:val="000000" w:themeColor="text1"/>
                <w:highlight w:val="none"/>
                <w14:textFill>
                  <w14:solidFill>
                    <w14:schemeClr w14:val="tx1"/>
                  </w14:solidFill>
                </w14:textFill>
              </w:rPr>
            </w:pPr>
            <w:r>
              <w:rPr>
                <w:rFonts w:hint="eastAsia" w:ascii="宋体" w:hAnsi="宋体" w:cs="宋体"/>
                <w:color w:val="000000" w:themeColor="text1"/>
                <w:highlight w:val="none"/>
                <w14:textFill>
                  <w14:solidFill>
                    <w14:schemeClr w14:val="tx1"/>
                  </w14:solidFill>
                </w14:textFill>
              </w:rPr>
              <w:t>5</w:t>
            </w:r>
          </w:p>
        </w:tc>
        <w:tc>
          <w:tcPr>
            <w:tcW w:w="1181" w:type="dxa"/>
            <w:noWrap w:val="0"/>
            <w:vAlign w:val="center"/>
          </w:tcPr>
          <w:p w14:paraId="6B047D7A">
            <w:pPr>
              <w:overflowPunct/>
              <w:bidi w:val="0"/>
              <w:jc w:val="center"/>
              <w:outlineLvl w:val="9"/>
              <w:rPr>
                <w:rFonts w:ascii="宋体" w:hAnsi="宋体" w:cs="宋体"/>
                <w:color w:val="000000" w:themeColor="text1"/>
                <w:highlight w:val="none"/>
                <w14:textFill>
                  <w14:solidFill>
                    <w14:schemeClr w14:val="tx1"/>
                  </w14:solidFill>
                </w14:textFill>
              </w:rPr>
            </w:pPr>
          </w:p>
        </w:tc>
        <w:tc>
          <w:tcPr>
            <w:tcW w:w="1709" w:type="dxa"/>
            <w:noWrap w:val="0"/>
            <w:vAlign w:val="top"/>
          </w:tcPr>
          <w:p w14:paraId="629B6EA8">
            <w:pPr>
              <w:overflowPunct/>
              <w:bidi w:val="0"/>
              <w:spacing w:before="120" w:after="120" w:line="360" w:lineRule="auto"/>
              <w:jc w:val="center"/>
              <w:outlineLvl w:val="9"/>
              <w:rPr>
                <w:rFonts w:ascii="宋体" w:hAnsi="宋体"/>
                <w:color w:val="000000" w:themeColor="text1"/>
                <w:sz w:val="32"/>
                <w:highlight w:val="none"/>
                <w14:textFill>
                  <w14:solidFill>
                    <w14:schemeClr w14:val="tx1"/>
                  </w14:solidFill>
                </w14:textFill>
              </w:rPr>
            </w:pPr>
          </w:p>
        </w:tc>
        <w:tc>
          <w:tcPr>
            <w:tcW w:w="1482" w:type="dxa"/>
            <w:noWrap w:val="0"/>
            <w:vAlign w:val="top"/>
          </w:tcPr>
          <w:p w14:paraId="381200A0">
            <w:pPr>
              <w:overflowPunct/>
              <w:bidi w:val="0"/>
              <w:spacing w:before="120" w:after="120" w:line="360" w:lineRule="auto"/>
              <w:jc w:val="center"/>
              <w:outlineLvl w:val="9"/>
              <w:rPr>
                <w:rFonts w:ascii="宋体" w:hAnsi="宋体"/>
                <w:color w:val="000000" w:themeColor="text1"/>
                <w:sz w:val="32"/>
                <w:highlight w:val="none"/>
                <w14:textFill>
                  <w14:solidFill>
                    <w14:schemeClr w14:val="tx1"/>
                  </w14:solidFill>
                </w14:textFill>
              </w:rPr>
            </w:pPr>
          </w:p>
        </w:tc>
        <w:tc>
          <w:tcPr>
            <w:tcW w:w="1810" w:type="dxa"/>
            <w:noWrap w:val="0"/>
            <w:vAlign w:val="top"/>
          </w:tcPr>
          <w:p w14:paraId="0A95860B">
            <w:pPr>
              <w:overflowPunct/>
              <w:bidi w:val="0"/>
              <w:spacing w:before="120" w:after="120" w:line="360" w:lineRule="auto"/>
              <w:jc w:val="center"/>
              <w:outlineLvl w:val="9"/>
              <w:rPr>
                <w:rFonts w:ascii="宋体" w:hAnsi="宋体"/>
                <w:color w:val="000000" w:themeColor="text1"/>
                <w:sz w:val="32"/>
                <w:highlight w:val="none"/>
                <w14:textFill>
                  <w14:solidFill>
                    <w14:schemeClr w14:val="tx1"/>
                  </w14:solidFill>
                </w14:textFill>
              </w:rPr>
            </w:pPr>
          </w:p>
        </w:tc>
        <w:tc>
          <w:tcPr>
            <w:tcW w:w="1485" w:type="dxa"/>
            <w:noWrap w:val="0"/>
            <w:vAlign w:val="top"/>
          </w:tcPr>
          <w:p w14:paraId="114A03FD">
            <w:pPr>
              <w:overflowPunct/>
              <w:bidi w:val="0"/>
              <w:spacing w:before="120" w:after="120" w:line="360" w:lineRule="auto"/>
              <w:jc w:val="center"/>
              <w:outlineLvl w:val="9"/>
              <w:rPr>
                <w:rFonts w:ascii="宋体" w:hAnsi="宋体"/>
                <w:color w:val="000000" w:themeColor="text1"/>
                <w:sz w:val="32"/>
                <w:highlight w:val="none"/>
                <w14:textFill>
                  <w14:solidFill>
                    <w14:schemeClr w14:val="tx1"/>
                  </w14:solidFill>
                </w14:textFill>
              </w:rPr>
            </w:pPr>
          </w:p>
        </w:tc>
      </w:tr>
    </w:tbl>
    <w:p w14:paraId="7BE551B4">
      <w:pPr>
        <w:overflowPunct/>
        <w:bidi w:val="0"/>
        <w:outlineLvl w:val="9"/>
        <w:rPr>
          <w:rFonts w:ascii="宋体" w:hAnsi="宋体"/>
          <w:color w:val="000000" w:themeColor="text1"/>
          <w:sz w:val="24"/>
          <w:highlight w:val="none"/>
          <w14:textFill>
            <w14:solidFill>
              <w14:schemeClr w14:val="tx1"/>
            </w14:solidFill>
          </w14:textFill>
        </w:rPr>
      </w:pPr>
      <w:r>
        <w:rPr>
          <w:rFonts w:hint="eastAsia" w:ascii="宋体" w:hAnsi="宋体"/>
          <w:color w:val="000000" w:themeColor="text1"/>
          <w:sz w:val="24"/>
          <w:highlight w:val="none"/>
          <w14:textFill>
            <w14:solidFill>
              <w14:schemeClr w14:val="tx1"/>
            </w14:solidFill>
          </w14:textFill>
        </w:rPr>
        <w:t>注：</w:t>
      </w:r>
      <w:r>
        <w:rPr>
          <w:rFonts w:hint="eastAsia" w:ascii="宋体" w:hAnsi="宋体"/>
          <w:color w:val="000000" w:themeColor="text1"/>
          <w:sz w:val="24"/>
          <w:highlight w:val="none"/>
          <w:lang w:eastAsia="zh-CN"/>
          <w14:textFill>
            <w14:solidFill>
              <w14:schemeClr w14:val="tx1"/>
            </w14:solidFill>
          </w14:textFill>
        </w:rPr>
        <w:t>供应商</w:t>
      </w:r>
      <w:r>
        <w:rPr>
          <w:rFonts w:hint="eastAsia" w:ascii="宋体" w:hAnsi="宋体"/>
          <w:color w:val="000000" w:themeColor="text1"/>
          <w:sz w:val="24"/>
          <w:highlight w:val="none"/>
          <w14:textFill>
            <w14:solidFill>
              <w14:schemeClr w14:val="tx1"/>
            </w14:solidFill>
          </w14:textFill>
        </w:rPr>
        <w:t>所提供的文件与磋商文件中的要求如有任何偏差，都应在“偏离表”中列出。若未在“偏离表”中列出，即使在响应文件其他地方写明与磋商文件要求有所不同，采购人也认同符合磋商文件最佳值的要求。</w:t>
      </w:r>
      <w:r>
        <w:rPr>
          <w:rFonts w:hint="eastAsia" w:ascii="宋体" w:hAnsi="宋体"/>
          <w:color w:val="000000" w:themeColor="text1"/>
          <w:sz w:val="24"/>
          <w:highlight w:val="none"/>
          <w:lang w:eastAsia="zh-CN"/>
          <w14:textFill>
            <w14:solidFill>
              <w14:schemeClr w14:val="tx1"/>
            </w14:solidFill>
          </w14:textFill>
        </w:rPr>
        <w:t>供应商</w:t>
      </w:r>
      <w:r>
        <w:rPr>
          <w:rFonts w:hint="eastAsia" w:ascii="宋体" w:hAnsi="宋体"/>
          <w:color w:val="000000" w:themeColor="text1"/>
          <w:sz w:val="24"/>
          <w:highlight w:val="none"/>
          <w14:textFill>
            <w14:solidFill>
              <w14:schemeClr w14:val="tx1"/>
            </w14:solidFill>
          </w14:textFill>
        </w:rPr>
        <w:t>成交后如据此提出疑义，不履行签订合同等下一步工作，采购人有权没收其磋商保证金。</w:t>
      </w:r>
    </w:p>
    <w:p w14:paraId="47F63D37">
      <w:pPr>
        <w:overflowPunct/>
        <w:bidi w:val="0"/>
        <w:outlineLvl w:val="9"/>
        <w:rPr>
          <w:rFonts w:hint="eastAsia" w:ascii="宋体" w:hAnsi="宋体" w:eastAsia="宋体" w:cs="Times New Roman"/>
          <w:color w:val="000000" w:themeColor="text1"/>
          <w:sz w:val="24"/>
          <w:highlight w:val="none"/>
          <w:lang w:eastAsia="zh-CN"/>
          <w14:textFill>
            <w14:solidFill>
              <w14:schemeClr w14:val="tx1"/>
            </w14:solidFill>
          </w14:textFill>
        </w:rPr>
      </w:pPr>
    </w:p>
    <w:p w14:paraId="1FA99911">
      <w:pPr>
        <w:overflowPunct/>
        <w:bidi w:val="0"/>
        <w:outlineLvl w:val="9"/>
        <w:rPr>
          <w:rFonts w:hint="eastAsia" w:ascii="宋体" w:hAnsi="宋体" w:eastAsia="宋体" w:cs="Times New Roman"/>
          <w:color w:val="000000" w:themeColor="text1"/>
          <w:sz w:val="24"/>
          <w:highlight w:val="none"/>
          <w:lang w:eastAsia="zh-CN"/>
          <w14:textFill>
            <w14:solidFill>
              <w14:schemeClr w14:val="tx1"/>
            </w14:solidFill>
          </w14:textFill>
        </w:rPr>
      </w:pPr>
    </w:p>
    <w:p w14:paraId="6A0689BD">
      <w:pPr>
        <w:overflowPunct/>
        <w:bidi w:val="0"/>
        <w:outlineLvl w:val="9"/>
        <w:rPr>
          <w:rFonts w:hint="eastAsia" w:ascii="宋体" w:hAnsi="宋体" w:eastAsia="宋体" w:cs="Times New Roman"/>
          <w:color w:val="000000" w:themeColor="text1"/>
          <w:sz w:val="24"/>
          <w:highlight w:val="none"/>
          <w:lang w:eastAsia="zh-CN"/>
          <w14:textFill>
            <w14:solidFill>
              <w14:schemeClr w14:val="tx1"/>
            </w14:solidFill>
          </w14:textFill>
        </w:rPr>
      </w:pPr>
    </w:p>
    <w:p w14:paraId="6BBE2BDC">
      <w:pPr>
        <w:overflowPunct/>
        <w:bidi w:val="0"/>
        <w:outlineLvl w:val="9"/>
        <w:rPr>
          <w:rFonts w:hint="eastAsia" w:ascii="宋体" w:hAnsi="宋体" w:eastAsia="宋体" w:cs="Times New Roman"/>
          <w:color w:val="000000" w:themeColor="text1"/>
          <w:sz w:val="24"/>
          <w:highlight w:val="none"/>
          <w:lang w:eastAsia="zh-CN"/>
          <w14:textFill>
            <w14:solidFill>
              <w14:schemeClr w14:val="tx1"/>
            </w14:solidFill>
          </w14:textFill>
        </w:rPr>
      </w:pPr>
    </w:p>
    <w:p w14:paraId="29E171ED">
      <w:pPr>
        <w:overflowPunct/>
        <w:bidi w:val="0"/>
        <w:outlineLvl w:val="9"/>
        <w:rPr>
          <w:rFonts w:hint="eastAsia" w:ascii="宋体" w:hAnsi="宋体" w:eastAsia="宋体" w:cs="Times New Roman"/>
          <w:color w:val="000000" w:themeColor="text1"/>
          <w:sz w:val="24"/>
          <w:highlight w:val="none"/>
          <w:lang w:eastAsia="zh-CN"/>
          <w14:textFill>
            <w14:solidFill>
              <w14:schemeClr w14:val="tx1"/>
            </w14:solidFill>
          </w14:textFill>
        </w:rPr>
      </w:pPr>
      <w:r>
        <w:rPr>
          <w:rFonts w:hint="eastAsia" w:ascii="宋体" w:hAnsi="宋体" w:eastAsia="宋体" w:cs="Times New Roman"/>
          <w:color w:val="000000" w:themeColor="text1"/>
          <w:sz w:val="24"/>
          <w:highlight w:val="none"/>
          <w:lang w:eastAsia="zh-CN"/>
          <w14:textFill>
            <w14:solidFill>
              <w14:schemeClr w14:val="tx1"/>
            </w14:solidFill>
          </w14:textFill>
        </w:rPr>
        <w:t>供应商：                    （公章）</w:t>
      </w:r>
    </w:p>
    <w:p w14:paraId="44F70502">
      <w:pPr>
        <w:overflowPunct/>
        <w:bidi w:val="0"/>
        <w:outlineLvl w:val="9"/>
        <w:rPr>
          <w:rFonts w:hint="eastAsia" w:ascii="宋体" w:hAnsi="宋体" w:eastAsia="宋体" w:cs="Times New Roman"/>
          <w:color w:val="000000" w:themeColor="text1"/>
          <w:sz w:val="24"/>
          <w:highlight w:val="none"/>
          <w:lang w:eastAsia="zh-CN"/>
          <w14:textFill>
            <w14:solidFill>
              <w14:schemeClr w14:val="tx1"/>
            </w14:solidFill>
          </w14:textFill>
        </w:rPr>
      </w:pPr>
      <w:r>
        <w:rPr>
          <w:rFonts w:hint="eastAsia" w:ascii="宋体" w:hAnsi="宋体" w:eastAsia="宋体" w:cs="Times New Roman"/>
          <w:color w:val="000000" w:themeColor="text1"/>
          <w:sz w:val="24"/>
          <w:highlight w:val="none"/>
          <w:lang w:eastAsia="zh-CN"/>
          <w14:textFill>
            <w14:solidFill>
              <w14:schemeClr w14:val="tx1"/>
            </w14:solidFill>
          </w14:textFill>
        </w:rPr>
        <w:t>法定代表人或委托代理人：                （签字或盖章）</w:t>
      </w:r>
    </w:p>
    <w:p w14:paraId="642E94FC">
      <w:pPr>
        <w:overflowPunct/>
        <w:bidi w:val="0"/>
        <w:outlineLvl w:val="9"/>
        <w:rPr>
          <w:rFonts w:hint="eastAsia" w:ascii="宋体" w:hAnsi="宋体" w:eastAsia="宋体" w:cs="Times New Roman"/>
          <w:color w:val="000000" w:themeColor="text1"/>
          <w:sz w:val="24"/>
          <w:highlight w:val="none"/>
          <w:lang w:eastAsia="zh-CN"/>
          <w14:textFill>
            <w14:solidFill>
              <w14:schemeClr w14:val="tx1"/>
            </w14:solidFill>
          </w14:textFill>
        </w:rPr>
      </w:pPr>
      <w:r>
        <w:rPr>
          <w:rFonts w:hint="eastAsia" w:ascii="宋体" w:hAnsi="宋体" w:eastAsia="宋体" w:cs="Times New Roman"/>
          <w:color w:val="000000" w:themeColor="text1"/>
          <w:sz w:val="24"/>
          <w:highlight w:val="none"/>
          <w:lang w:eastAsia="zh-CN"/>
          <w14:textFill>
            <w14:solidFill>
              <w14:schemeClr w14:val="tx1"/>
            </w14:solidFill>
          </w14:textFill>
        </w:rPr>
        <w:t>日    期：    年    月    日</w:t>
      </w:r>
    </w:p>
    <w:p w14:paraId="7F14F143">
      <w:pPr>
        <w:overflowPunct/>
        <w:bidi w:val="0"/>
        <w:outlineLvl w:val="9"/>
        <w:rPr>
          <w:rFonts w:hint="eastAsia" w:ascii="宋体" w:hAnsi="宋体" w:eastAsia="宋体" w:cs="Times New Roman"/>
          <w:color w:val="000000" w:themeColor="text1"/>
          <w:sz w:val="24"/>
          <w:highlight w:val="none"/>
          <w:lang w:eastAsia="zh-CN"/>
          <w14:textFill>
            <w14:solidFill>
              <w14:schemeClr w14:val="tx1"/>
            </w14:solidFill>
          </w14:textFill>
        </w:rPr>
      </w:pPr>
      <w:r>
        <w:rPr>
          <w:rFonts w:hint="eastAsia" w:ascii="宋体" w:hAnsi="宋体" w:eastAsia="宋体" w:cs="Times New Roman"/>
          <w:color w:val="000000" w:themeColor="text1"/>
          <w:sz w:val="24"/>
          <w:highlight w:val="none"/>
          <w:lang w:eastAsia="zh-CN"/>
          <w14:textFill>
            <w14:solidFill>
              <w14:schemeClr w14:val="tx1"/>
            </w14:solidFill>
          </w14:textFill>
        </w:rPr>
        <w:br w:type="page"/>
      </w:r>
    </w:p>
    <w:p w14:paraId="6B69CAFC">
      <w:pPr>
        <w:overflowPunct/>
        <w:bidi w:val="0"/>
        <w:spacing w:beforeLines="100" w:afterLines="50"/>
        <w:jc w:val="center"/>
        <w:outlineLvl w:val="9"/>
        <w:rPr>
          <w:rFonts w:ascii="宋体" w:hAnsi="宋体"/>
          <w:b/>
          <w:color w:val="000000" w:themeColor="text1"/>
          <w:sz w:val="32"/>
          <w:szCs w:val="32"/>
          <w:highlight w:val="none"/>
          <w14:textFill>
            <w14:solidFill>
              <w14:schemeClr w14:val="tx1"/>
            </w14:solidFill>
          </w14:textFill>
        </w:rPr>
      </w:pPr>
      <w:r>
        <w:rPr>
          <w:rFonts w:hint="eastAsia" w:ascii="宋体" w:hAnsi="宋体"/>
          <w:b/>
          <w:color w:val="000000" w:themeColor="text1"/>
          <w:sz w:val="32"/>
          <w:szCs w:val="32"/>
          <w:highlight w:val="none"/>
          <w:lang w:val="en-US" w:eastAsia="zh-CN"/>
          <w14:textFill>
            <w14:solidFill>
              <w14:schemeClr w14:val="tx1"/>
            </w14:solidFill>
          </w14:textFill>
        </w:rPr>
        <w:t>八</w:t>
      </w:r>
      <w:r>
        <w:rPr>
          <w:rFonts w:hint="eastAsia" w:ascii="宋体" w:hAnsi="宋体"/>
          <w:b/>
          <w:color w:val="000000" w:themeColor="text1"/>
          <w:sz w:val="32"/>
          <w:szCs w:val="32"/>
          <w:highlight w:val="none"/>
          <w14:textFill>
            <w14:solidFill>
              <w14:schemeClr w14:val="tx1"/>
            </w14:solidFill>
          </w14:textFill>
        </w:rPr>
        <w:t>、技术部分</w:t>
      </w:r>
    </w:p>
    <w:p w14:paraId="6F90CCFA">
      <w:pPr>
        <w:widowControl/>
        <w:overflowPunct/>
        <w:bidi w:val="0"/>
        <w:jc w:val="center"/>
        <w:outlineLvl w:val="9"/>
        <w:rPr>
          <w:rFonts w:ascii="宋体" w:hAnsi="宋体"/>
          <w:color w:val="000000" w:themeColor="text1"/>
          <w:sz w:val="21"/>
          <w:szCs w:val="21"/>
          <w:highlight w:val="none"/>
          <w14:textFill>
            <w14:solidFill>
              <w14:schemeClr w14:val="tx1"/>
            </w14:solidFill>
          </w14:textFill>
        </w:rPr>
        <w:sectPr>
          <w:pgSz w:w="11906" w:h="16838"/>
          <w:pgMar w:top="1440" w:right="1080" w:bottom="1440" w:left="1080" w:header="851" w:footer="992" w:gutter="0"/>
          <w:pgNumType w:fmt="decimal"/>
          <w:cols w:space="0" w:num="1"/>
          <w:docGrid w:type="lines" w:linePitch="312" w:charSpace="0"/>
        </w:sectPr>
      </w:pPr>
      <w:r>
        <w:rPr>
          <w:rFonts w:hint="eastAsia" w:ascii="宋体" w:hAnsi="宋体"/>
          <w:color w:val="000000" w:themeColor="text1"/>
          <w:sz w:val="21"/>
          <w:szCs w:val="21"/>
          <w:highlight w:val="none"/>
          <w14:textFill>
            <w14:solidFill>
              <w14:schemeClr w14:val="tx1"/>
            </w14:solidFill>
          </w14:textFill>
        </w:rPr>
        <w:t>供应商根据“评标办法”自行编写</w:t>
      </w:r>
      <w:r>
        <w:rPr>
          <w:rFonts w:ascii="宋体" w:hAnsi="宋体"/>
          <w:color w:val="000000" w:themeColor="text1"/>
          <w:sz w:val="21"/>
          <w:szCs w:val="21"/>
          <w:highlight w:val="none"/>
          <w14:textFill>
            <w14:solidFill>
              <w14:schemeClr w14:val="tx1"/>
            </w14:solidFill>
          </w14:textFill>
        </w:rPr>
        <w:br w:type="page"/>
      </w:r>
    </w:p>
    <w:p w14:paraId="553C1739">
      <w:pPr>
        <w:keepNext w:val="0"/>
        <w:keepLines w:val="0"/>
        <w:pageBreakBefore w:val="0"/>
        <w:widowControl w:val="0"/>
        <w:kinsoku/>
        <w:wordWrap/>
        <w:overflowPunct/>
        <w:topLinePunct w:val="0"/>
        <w:autoSpaceDE/>
        <w:autoSpaceDN/>
        <w:bidi w:val="0"/>
        <w:adjustRightInd/>
        <w:snapToGrid/>
        <w:jc w:val="center"/>
        <w:textAlignment w:val="auto"/>
        <w:outlineLvl w:val="9"/>
        <w:rPr>
          <w:rFonts w:hint="eastAsia" w:ascii="宋体" w:hAnsi="宋体" w:eastAsia="宋体" w:cs="Times New Roman"/>
          <w:b/>
          <w:color w:val="000000" w:themeColor="text1"/>
          <w:sz w:val="32"/>
          <w:szCs w:val="32"/>
          <w:highlight w:val="none"/>
          <w:lang w:val="en-US" w:eastAsia="zh-CN"/>
          <w14:textFill>
            <w14:solidFill>
              <w14:schemeClr w14:val="tx1"/>
            </w14:solidFill>
          </w14:textFill>
        </w:rPr>
      </w:pPr>
      <w:r>
        <w:rPr>
          <w:rFonts w:hint="eastAsia" w:ascii="宋体" w:hAnsi="宋体" w:eastAsia="宋体" w:cs="Times New Roman"/>
          <w:b/>
          <w:color w:val="000000" w:themeColor="text1"/>
          <w:sz w:val="32"/>
          <w:szCs w:val="32"/>
          <w:highlight w:val="none"/>
          <w:lang w:val="en-US" w:eastAsia="zh-CN"/>
          <w14:textFill>
            <w14:solidFill>
              <w14:schemeClr w14:val="tx1"/>
            </w14:solidFill>
          </w14:textFill>
        </w:rPr>
        <w:t xml:space="preserve"> 九、其他材料</w:t>
      </w:r>
    </w:p>
    <w:p w14:paraId="58E5C490">
      <w:pPr>
        <w:overflowPunct/>
        <w:bidi w:val="0"/>
        <w:spacing w:beforeLines="100" w:line="440" w:lineRule="exact"/>
        <w:ind w:firstLine="420" w:firstLineChars="200"/>
        <w:outlineLvl w:val="9"/>
        <w:rPr>
          <w:rFonts w:hint="eastAsia" w:ascii="宋体" w:hAnsi="宋体"/>
          <w:color w:val="000000" w:themeColor="text1"/>
          <w:szCs w:val="21"/>
          <w:highlight w:val="none"/>
          <w14:textFill>
            <w14:solidFill>
              <w14:schemeClr w14:val="tx1"/>
            </w14:solidFill>
          </w14:textFill>
        </w:rPr>
      </w:pPr>
      <w:r>
        <w:rPr>
          <w:rFonts w:hint="eastAsia" w:ascii="宋体" w:hAnsi="宋体"/>
          <w:color w:val="000000" w:themeColor="text1"/>
          <w:szCs w:val="21"/>
          <w:highlight w:val="none"/>
          <w14:textFill>
            <w14:solidFill>
              <w14:schemeClr w14:val="tx1"/>
            </w14:solidFill>
          </w14:textFill>
        </w:rPr>
        <w:t>（</w:t>
      </w:r>
      <w:r>
        <w:rPr>
          <w:rFonts w:hint="eastAsia" w:ascii="宋体" w:hAnsi="宋体"/>
          <w:color w:val="000000" w:themeColor="text1"/>
          <w:szCs w:val="21"/>
          <w:highlight w:val="none"/>
          <w:lang w:val="en-US" w:eastAsia="zh-CN"/>
          <w14:textFill>
            <w14:solidFill>
              <w14:schemeClr w14:val="tx1"/>
            </w14:solidFill>
          </w14:textFill>
        </w:rPr>
        <w:t>一</w:t>
      </w:r>
      <w:r>
        <w:rPr>
          <w:rFonts w:hint="eastAsia" w:ascii="宋体" w:hAnsi="宋体"/>
          <w:color w:val="000000" w:themeColor="text1"/>
          <w:szCs w:val="21"/>
          <w:highlight w:val="none"/>
          <w14:textFill>
            <w14:solidFill>
              <w14:schemeClr w14:val="tx1"/>
            </w14:solidFill>
          </w14:textFill>
        </w:rPr>
        <w:t>）</w:t>
      </w:r>
      <w:r>
        <w:rPr>
          <w:rFonts w:hint="eastAsia" w:ascii="宋体" w:hAnsi="宋体"/>
          <w:color w:val="000000" w:themeColor="text1"/>
          <w:szCs w:val="21"/>
          <w:highlight w:val="none"/>
          <w:lang w:eastAsia="zh-CN"/>
          <w14:textFill>
            <w14:solidFill>
              <w14:schemeClr w14:val="tx1"/>
            </w14:solidFill>
          </w14:textFill>
        </w:rPr>
        <w:t>供应商</w:t>
      </w:r>
      <w:r>
        <w:rPr>
          <w:rFonts w:hint="eastAsia" w:ascii="宋体" w:hAnsi="宋体"/>
          <w:color w:val="000000" w:themeColor="text1"/>
          <w:szCs w:val="21"/>
          <w:highlight w:val="none"/>
          <w14:textFill>
            <w14:solidFill>
              <w14:schemeClr w14:val="tx1"/>
            </w14:solidFill>
          </w14:textFill>
        </w:rPr>
        <w:t>须知中要求应提供的优惠条件、各类承诺等相关材料，格式自拟</w:t>
      </w:r>
    </w:p>
    <w:p w14:paraId="239576AC">
      <w:pPr>
        <w:overflowPunct/>
        <w:bidi w:val="0"/>
        <w:spacing w:beforeLines="100" w:line="440" w:lineRule="exact"/>
        <w:ind w:firstLine="420" w:firstLineChars="200"/>
        <w:outlineLvl w:val="9"/>
        <w:rPr>
          <w:rFonts w:ascii="宋体" w:hAnsi="宋体"/>
          <w:color w:val="000000" w:themeColor="text1"/>
          <w:szCs w:val="21"/>
          <w:highlight w:val="none"/>
          <w14:textFill>
            <w14:solidFill>
              <w14:schemeClr w14:val="tx1"/>
            </w14:solidFill>
          </w14:textFill>
        </w:rPr>
      </w:pPr>
      <w:r>
        <w:rPr>
          <w:rFonts w:hint="eastAsia" w:ascii="宋体" w:hAnsi="宋体"/>
          <w:color w:val="000000" w:themeColor="text1"/>
          <w:szCs w:val="21"/>
          <w:highlight w:val="none"/>
          <w:lang w:eastAsia="zh-CN"/>
          <w14:textFill>
            <w14:solidFill>
              <w14:schemeClr w14:val="tx1"/>
            </w14:solidFill>
          </w14:textFill>
        </w:rPr>
        <w:t>（</w:t>
      </w:r>
      <w:r>
        <w:rPr>
          <w:rFonts w:hint="eastAsia" w:ascii="宋体" w:hAnsi="宋体"/>
          <w:color w:val="000000" w:themeColor="text1"/>
          <w:szCs w:val="21"/>
          <w:highlight w:val="none"/>
          <w:lang w:val="en-US" w:eastAsia="zh-CN"/>
          <w14:textFill>
            <w14:solidFill>
              <w14:schemeClr w14:val="tx1"/>
            </w14:solidFill>
          </w14:textFill>
        </w:rPr>
        <w:t>二</w:t>
      </w:r>
      <w:r>
        <w:rPr>
          <w:rFonts w:hint="eastAsia" w:ascii="宋体" w:hAnsi="宋体"/>
          <w:color w:val="000000" w:themeColor="text1"/>
          <w:szCs w:val="21"/>
          <w:highlight w:val="none"/>
          <w:lang w:eastAsia="zh-CN"/>
          <w14:textFill>
            <w14:solidFill>
              <w14:schemeClr w14:val="tx1"/>
            </w14:solidFill>
          </w14:textFill>
        </w:rPr>
        <w:t>）供应商</w:t>
      </w:r>
      <w:r>
        <w:rPr>
          <w:rFonts w:hint="eastAsia" w:ascii="宋体" w:hAnsi="宋体"/>
          <w:color w:val="000000" w:themeColor="text1"/>
          <w:szCs w:val="21"/>
          <w:highlight w:val="none"/>
          <w14:textFill>
            <w14:solidFill>
              <w14:schemeClr w14:val="tx1"/>
            </w14:solidFill>
          </w14:textFill>
        </w:rPr>
        <w:t>认为需要提供的其他资料</w:t>
      </w:r>
    </w:p>
    <w:p w14:paraId="7D12ED9E">
      <w:pPr>
        <w:widowControl/>
        <w:overflowPunct/>
        <w:bidi w:val="0"/>
        <w:jc w:val="left"/>
        <w:outlineLvl w:val="9"/>
        <w:rPr>
          <w:rFonts w:ascii="宋体" w:hAnsi="宋体"/>
          <w:color w:val="000000" w:themeColor="text1"/>
          <w:szCs w:val="21"/>
          <w:highlight w:val="none"/>
          <w14:textFill>
            <w14:solidFill>
              <w14:schemeClr w14:val="tx1"/>
            </w14:solidFill>
          </w14:textFill>
        </w:rPr>
      </w:pPr>
      <w:r>
        <w:rPr>
          <w:rFonts w:ascii="宋体" w:hAnsi="宋体"/>
          <w:color w:val="000000" w:themeColor="text1"/>
          <w:szCs w:val="21"/>
          <w:highlight w:val="none"/>
          <w14:textFill>
            <w14:solidFill>
              <w14:schemeClr w14:val="tx1"/>
            </w14:solidFill>
          </w14:textFill>
        </w:rPr>
        <w:br w:type="page"/>
      </w:r>
    </w:p>
    <w:p w14:paraId="34A49E96">
      <w:pPr>
        <w:widowControl/>
        <w:overflowPunct/>
        <w:bidi w:val="0"/>
        <w:jc w:val="both"/>
        <w:outlineLvl w:val="9"/>
        <w:rPr>
          <w:rFonts w:hint="eastAsia" w:ascii="宋体" w:hAnsi="宋体"/>
          <w:color w:val="000000" w:themeColor="text1"/>
          <w:sz w:val="32"/>
          <w:szCs w:val="32"/>
          <w:highlight w:val="none"/>
          <w:lang w:val="en-US" w:eastAsia="zh-CN"/>
          <w14:textFill>
            <w14:solidFill>
              <w14:schemeClr w14:val="tx1"/>
            </w14:solidFill>
          </w14:textFill>
        </w:rPr>
        <w:sectPr>
          <w:pgSz w:w="11906" w:h="16838"/>
          <w:pgMar w:top="1440" w:right="1080" w:bottom="1440" w:left="1080" w:header="851" w:footer="992" w:gutter="0"/>
          <w:pgNumType w:fmt="decimal"/>
          <w:cols w:space="0" w:num="1"/>
          <w:docGrid w:type="lines" w:linePitch="312" w:charSpace="0"/>
        </w:sectPr>
      </w:pPr>
    </w:p>
    <w:p w14:paraId="13EBC76E">
      <w:pPr>
        <w:overflowPunct/>
        <w:bidi w:val="0"/>
        <w:snapToGrid/>
        <w:spacing w:before="0" w:beforeAutospacing="0" w:after="0" w:afterAutospacing="0" w:line="240" w:lineRule="auto"/>
        <w:jc w:val="both"/>
        <w:textAlignment w:val="baseline"/>
        <w:outlineLvl w:val="9"/>
        <w:rPr>
          <w:rFonts w:hint="eastAsia" w:ascii="宋体" w:hAnsi="宋体" w:eastAsia="宋体" w:cs="宋体"/>
          <w:b/>
          <w:bCs/>
          <w:i w:val="0"/>
          <w:caps w:val="0"/>
          <w:color w:val="000000" w:themeColor="text1"/>
          <w:spacing w:val="0"/>
          <w:w w:val="100"/>
          <w:sz w:val="32"/>
          <w:szCs w:val="32"/>
          <w:highlight w:val="none"/>
          <w:lang w:eastAsia="zh-CN"/>
          <w14:textFill>
            <w14:solidFill>
              <w14:schemeClr w14:val="tx1"/>
            </w14:solidFill>
          </w14:textFill>
        </w:rPr>
      </w:pPr>
      <w:r>
        <w:rPr>
          <w:rFonts w:hint="eastAsia" w:ascii="宋体" w:hAnsi="宋体" w:eastAsia="宋体" w:cs="宋体"/>
          <w:color w:val="000000" w:themeColor="text1"/>
          <w:highlight w:val="none"/>
          <w:lang w:val="en-US" w:eastAsia="zh-CN"/>
          <w14:textFill>
            <w14:solidFill>
              <w14:schemeClr w14:val="tx1"/>
            </w14:solidFill>
          </w14:textFill>
        </w:rPr>
        <w:t>附件1中小企业声明函</w:t>
      </w:r>
    </w:p>
    <w:p w14:paraId="1D638ECB">
      <w:pPr>
        <w:numPr>
          <w:ilvl w:val="0"/>
          <w:numId w:val="0"/>
        </w:numPr>
        <w:overflowPunct/>
        <w:bidi w:val="0"/>
        <w:outlineLvl w:val="9"/>
        <w:rPr>
          <w:rFonts w:hint="eastAsia" w:ascii="宋体" w:hAnsi="宋体" w:eastAsia="宋体" w:cs="宋体"/>
          <w:color w:val="000000" w:themeColor="text1"/>
          <w:highlight w:val="none"/>
          <w:lang w:val="en-US" w:eastAsia="zh-CN"/>
          <w14:textFill>
            <w14:solidFill>
              <w14:schemeClr w14:val="tx1"/>
            </w14:solidFill>
          </w14:textFill>
        </w:rPr>
      </w:pPr>
    </w:p>
    <w:p w14:paraId="423194A6">
      <w:pPr>
        <w:overflowPunct/>
        <w:bidi w:val="0"/>
        <w:snapToGrid/>
        <w:spacing w:before="0" w:beforeAutospacing="0" w:after="0" w:afterAutospacing="0" w:line="240" w:lineRule="auto"/>
        <w:jc w:val="center"/>
        <w:textAlignment w:val="baseline"/>
        <w:outlineLvl w:val="9"/>
        <w:rPr>
          <w:rFonts w:hint="eastAsia" w:ascii="宋体" w:hAnsi="宋体" w:eastAsia="宋体" w:cs="宋体"/>
          <w:b/>
          <w:bCs/>
          <w:i w:val="0"/>
          <w:caps w:val="0"/>
          <w:color w:val="000000" w:themeColor="text1"/>
          <w:spacing w:val="0"/>
          <w:w w:val="100"/>
          <w:sz w:val="32"/>
          <w:szCs w:val="32"/>
          <w:highlight w:val="none"/>
          <w:lang w:eastAsia="zh-CN"/>
          <w14:textFill>
            <w14:solidFill>
              <w14:schemeClr w14:val="tx1"/>
            </w14:solidFill>
          </w14:textFill>
        </w:rPr>
      </w:pPr>
      <w:r>
        <w:rPr>
          <w:rFonts w:hint="eastAsia" w:ascii="宋体" w:hAnsi="宋体" w:eastAsia="宋体" w:cs="宋体"/>
          <w:b/>
          <w:bCs/>
          <w:i w:val="0"/>
          <w:caps w:val="0"/>
          <w:color w:val="000000" w:themeColor="text1"/>
          <w:spacing w:val="0"/>
          <w:w w:val="100"/>
          <w:sz w:val="32"/>
          <w:szCs w:val="32"/>
          <w:highlight w:val="none"/>
          <w:lang w:eastAsia="zh-CN"/>
          <w14:textFill>
            <w14:solidFill>
              <w14:schemeClr w14:val="tx1"/>
            </w14:solidFill>
          </w14:textFill>
        </w:rPr>
        <w:t>中小企业声明函</w:t>
      </w:r>
    </w:p>
    <w:p w14:paraId="1BBDD140">
      <w:pPr>
        <w:pStyle w:val="16"/>
        <w:overflowPunct/>
        <w:bidi w:val="0"/>
        <w:snapToGrid/>
        <w:spacing w:before="0" w:beforeAutospacing="0" w:after="120" w:afterAutospacing="0" w:line="360" w:lineRule="auto"/>
        <w:ind w:left="0" w:right="0" w:firstLine="420" w:firstLineChars="200"/>
        <w:jc w:val="both"/>
        <w:textAlignment w:val="baseline"/>
        <w:outlineLvl w:val="9"/>
        <w:rPr>
          <w:rFonts w:hint="eastAsia" w:ascii="宋体" w:hAnsi="宋体" w:eastAsia="宋体" w:cs="宋体"/>
          <w:b w:val="0"/>
          <w:i w:val="0"/>
          <w:caps w:val="0"/>
          <w:color w:val="000000" w:themeColor="text1"/>
          <w:spacing w:val="0"/>
          <w:w w:val="100"/>
          <w:sz w:val="21"/>
          <w:highlight w:val="none"/>
          <w14:textFill>
            <w14:solidFill>
              <w14:schemeClr w14:val="tx1"/>
            </w14:solidFill>
          </w14:textFill>
        </w:rPr>
      </w:pPr>
    </w:p>
    <w:p w14:paraId="0D69824D">
      <w:pPr>
        <w:keepNext w:val="0"/>
        <w:keepLines w:val="0"/>
        <w:pageBreakBefore w:val="0"/>
        <w:widowControl/>
        <w:suppressLineNumbers w:val="0"/>
        <w:suppressAutoHyphens w:val="0"/>
        <w:kinsoku w:val="0"/>
        <w:wordWrap/>
        <w:overflowPunct/>
        <w:topLinePunct w:val="0"/>
        <w:autoSpaceDE w:val="0"/>
        <w:autoSpaceDN w:val="0"/>
        <w:bidi w:val="0"/>
        <w:adjustRightInd w:val="0"/>
        <w:snapToGrid w:val="0"/>
        <w:spacing w:before="74" w:beforeAutospacing="0" w:after="0" w:afterAutospacing="0" w:line="240" w:lineRule="auto"/>
        <w:ind w:left="481" w:right="0" w:firstLine="0"/>
        <w:jc w:val="left"/>
        <w:textAlignment w:val="baseline"/>
        <w:outlineLvl w:val="9"/>
        <w:rPr>
          <w:rFonts w:hint="eastAsia" w:ascii="宋体" w:hAnsi="宋体" w:eastAsia="宋体" w:cs="宋体"/>
          <w:caps w:val="0"/>
          <w:color w:val="000000" w:themeColor="text1"/>
          <w:kern w:val="0"/>
          <w:sz w:val="24"/>
          <w:szCs w:val="24"/>
          <w:highlight w:val="none"/>
          <w:vertAlign w:val="baseline"/>
          <w14:textFill>
            <w14:solidFill>
              <w14:schemeClr w14:val="tx1"/>
            </w14:solidFill>
          </w14:textFill>
        </w:rPr>
      </w:pPr>
      <w:r>
        <w:rPr>
          <w:rFonts w:hint="eastAsia" w:ascii="宋体" w:hAnsi="宋体" w:eastAsia="宋体" w:cs="宋体"/>
          <w:b w:val="0"/>
          <w:bCs w:val="0"/>
          <w:caps w:val="0"/>
          <w:color w:val="000000" w:themeColor="text1"/>
          <w:spacing w:val="6"/>
          <w:kern w:val="0"/>
          <w:sz w:val="24"/>
          <w:szCs w:val="24"/>
          <w:highlight w:val="none"/>
          <w:vertAlign w:val="baseline"/>
          <w:lang w:val="en-US" w:eastAsia="zh-CN" w:bidi="ar"/>
          <w14:textFill>
            <w14:solidFill>
              <w14:schemeClr w14:val="tx1"/>
            </w14:solidFill>
          </w14:textFill>
        </w:rPr>
        <w:t>本公司 (联合体) 郑重声明，根据《政府采购促进中小企业发展管理办法》 (财</w:t>
      </w:r>
      <w:r>
        <w:rPr>
          <w:rFonts w:hint="eastAsia" w:ascii="宋体" w:hAnsi="宋体" w:eastAsia="宋体" w:cs="宋体"/>
          <w:b w:val="0"/>
          <w:bCs w:val="0"/>
          <w:caps w:val="0"/>
          <w:color w:val="000000" w:themeColor="text1"/>
          <w:kern w:val="0"/>
          <w:sz w:val="24"/>
          <w:szCs w:val="24"/>
          <w:highlight w:val="none"/>
          <w:vertAlign w:val="baseline"/>
          <w:lang w:val="en-US" w:eastAsia="zh-CN" w:bidi="ar"/>
          <w14:textFill>
            <w14:solidFill>
              <w14:schemeClr w14:val="tx1"/>
            </w14:solidFill>
          </w14:textFill>
        </w:rPr>
        <w:t>库</w:t>
      </w:r>
    </w:p>
    <w:p w14:paraId="7E8F2AB9">
      <w:pPr>
        <w:keepNext w:val="0"/>
        <w:keepLines w:val="0"/>
        <w:pageBreakBefore w:val="0"/>
        <w:widowControl/>
        <w:suppressLineNumbers w:val="0"/>
        <w:suppressAutoHyphens w:val="0"/>
        <w:kinsoku w:val="0"/>
        <w:wordWrap/>
        <w:overflowPunct/>
        <w:topLinePunct w:val="0"/>
        <w:autoSpaceDE w:val="0"/>
        <w:autoSpaceDN w:val="0"/>
        <w:bidi w:val="0"/>
        <w:adjustRightInd w:val="0"/>
        <w:snapToGrid w:val="0"/>
        <w:spacing w:before="186" w:beforeAutospacing="0" w:after="0" w:afterAutospacing="0" w:line="372" w:lineRule="auto"/>
        <w:ind w:left="1" w:right="56" w:firstLine="74"/>
        <w:jc w:val="left"/>
        <w:textAlignment w:val="baseline"/>
        <w:outlineLvl w:val="9"/>
        <w:rPr>
          <w:rFonts w:hint="eastAsia" w:ascii="宋体" w:hAnsi="宋体" w:eastAsia="宋体" w:cs="宋体"/>
          <w:caps w:val="0"/>
          <w:color w:val="000000" w:themeColor="text1"/>
          <w:kern w:val="0"/>
          <w:sz w:val="24"/>
          <w:szCs w:val="24"/>
          <w:highlight w:val="none"/>
          <w:vertAlign w:val="baseline"/>
          <w14:textFill>
            <w14:solidFill>
              <w14:schemeClr w14:val="tx1"/>
            </w14:solidFill>
          </w14:textFill>
        </w:rPr>
      </w:pPr>
      <w:r>
        <w:rPr>
          <w:rFonts w:hint="eastAsia" w:ascii="宋体" w:hAnsi="宋体" w:eastAsia="宋体" w:cs="宋体"/>
          <w:b w:val="0"/>
          <w:bCs w:val="0"/>
          <w:caps w:val="0"/>
          <w:color w:val="000000" w:themeColor="text1"/>
          <w:spacing w:val="-4"/>
          <w:kern w:val="0"/>
          <w:sz w:val="24"/>
          <w:szCs w:val="24"/>
          <w:highlight w:val="none"/>
          <w:vertAlign w:val="baseline"/>
          <w:lang w:val="en-US" w:eastAsia="zh-CN" w:bidi="ar"/>
          <w14:textFill>
            <w14:solidFill>
              <w14:schemeClr w14:val="tx1"/>
            </w14:solidFill>
          </w14:textFill>
        </w:rPr>
        <w:t>﹝ 2020 ﹞ 46 号) 的规定，本公司 (联合体) 参加 (单位名称) 的 (项目名称) 采购活动，</w:t>
      </w:r>
      <w:r>
        <w:rPr>
          <w:rFonts w:hint="eastAsia" w:ascii="宋体" w:hAnsi="宋体" w:eastAsia="宋体" w:cs="宋体"/>
          <w:b w:val="0"/>
          <w:bCs w:val="0"/>
          <w:caps w:val="0"/>
          <w:color w:val="000000" w:themeColor="text1"/>
          <w:kern w:val="0"/>
          <w:sz w:val="24"/>
          <w:szCs w:val="24"/>
          <w:highlight w:val="none"/>
          <w:vertAlign w:val="baseline"/>
          <w:lang w:val="en-US" w:eastAsia="zh-CN" w:bidi="ar"/>
          <w14:textFill>
            <w14:solidFill>
              <w14:schemeClr w14:val="tx1"/>
            </w14:solidFill>
          </w14:textFill>
        </w:rPr>
        <w:t xml:space="preserve"> </w:t>
      </w:r>
      <w:r>
        <w:rPr>
          <w:rFonts w:hint="eastAsia" w:ascii="宋体" w:hAnsi="宋体" w:eastAsia="宋体" w:cs="宋体"/>
          <w:b w:val="0"/>
          <w:bCs w:val="0"/>
          <w:caps w:val="0"/>
          <w:color w:val="000000" w:themeColor="text1"/>
          <w:spacing w:val="12"/>
          <w:kern w:val="0"/>
          <w:sz w:val="24"/>
          <w:szCs w:val="24"/>
          <w:highlight w:val="none"/>
          <w:vertAlign w:val="baseline"/>
          <w:lang w:val="en-US" w:eastAsia="zh-CN" w:bidi="ar"/>
          <w14:textFill>
            <w14:solidFill>
              <w14:schemeClr w14:val="tx1"/>
            </w14:solidFill>
          </w14:textFill>
        </w:rPr>
        <w:t>提供的</w:t>
      </w:r>
      <w:r>
        <w:rPr>
          <w:rFonts w:hint="eastAsia" w:ascii="宋体" w:hAnsi="宋体" w:eastAsia="宋体" w:cs="宋体"/>
          <w:b w:val="0"/>
          <w:bCs w:val="0"/>
          <w:caps w:val="0"/>
          <w:color w:val="000000" w:themeColor="text1"/>
          <w:spacing w:val="7"/>
          <w:kern w:val="0"/>
          <w:sz w:val="24"/>
          <w:szCs w:val="24"/>
          <w:highlight w:val="none"/>
          <w:vertAlign w:val="baseline"/>
          <w:lang w:val="en-US" w:eastAsia="zh-CN" w:bidi="ar"/>
          <w14:textFill>
            <w14:solidFill>
              <w14:schemeClr w14:val="tx1"/>
            </w14:solidFill>
          </w14:textFill>
        </w:rPr>
        <w:t>货</w:t>
      </w:r>
      <w:r>
        <w:rPr>
          <w:rFonts w:hint="eastAsia" w:ascii="宋体" w:hAnsi="宋体" w:eastAsia="宋体" w:cs="宋体"/>
          <w:b w:val="0"/>
          <w:bCs w:val="0"/>
          <w:caps w:val="0"/>
          <w:color w:val="000000" w:themeColor="text1"/>
          <w:spacing w:val="6"/>
          <w:kern w:val="0"/>
          <w:sz w:val="24"/>
          <w:szCs w:val="24"/>
          <w:highlight w:val="none"/>
          <w:vertAlign w:val="baseline"/>
          <w:lang w:val="en-US" w:eastAsia="zh-CN" w:bidi="ar"/>
          <w14:textFill>
            <w14:solidFill>
              <w14:schemeClr w14:val="tx1"/>
            </w14:solidFill>
          </w14:textFill>
        </w:rPr>
        <w:t>物全部由符合政策要求的中小企业制造。相关企业 (含联合体中的中小企业、签</w:t>
      </w:r>
      <w:r>
        <w:rPr>
          <w:rFonts w:hint="eastAsia" w:ascii="宋体" w:hAnsi="宋体" w:eastAsia="宋体" w:cs="宋体"/>
          <w:b w:val="0"/>
          <w:bCs w:val="0"/>
          <w:caps w:val="0"/>
          <w:color w:val="000000" w:themeColor="text1"/>
          <w:kern w:val="0"/>
          <w:sz w:val="24"/>
          <w:szCs w:val="24"/>
          <w:highlight w:val="none"/>
          <w:vertAlign w:val="baseline"/>
          <w:lang w:val="en-US" w:eastAsia="zh-CN" w:bidi="ar"/>
          <w14:textFill>
            <w14:solidFill>
              <w14:schemeClr w14:val="tx1"/>
            </w14:solidFill>
          </w14:textFill>
        </w:rPr>
        <w:t xml:space="preserve"> </w:t>
      </w:r>
      <w:r>
        <w:rPr>
          <w:rFonts w:hint="eastAsia" w:ascii="宋体" w:hAnsi="宋体" w:eastAsia="宋体" w:cs="宋体"/>
          <w:b w:val="0"/>
          <w:bCs w:val="0"/>
          <w:caps w:val="0"/>
          <w:color w:val="000000" w:themeColor="text1"/>
          <w:spacing w:val="16"/>
          <w:kern w:val="0"/>
          <w:sz w:val="24"/>
          <w:szCs w:val="24"/>
          <w:highlight w:val="none"/>
          <w:vertAlign w:val="baseline"/>
          <w:lang w:val="en-US" w:eastAsia="zh-CN" w:bidi="ar"/>
          <w14:textFill>
            <w14:solidFill>
              <w14:schemeClr w14:val="tx1"/>
            </w14:solidFill>
          </w14:textFill>
        </w:rPr>
        <w:t>订</w:t>
      </w:r>
      <w:r>
        <w:rPr>
          <w:rFonts w:hint="eastAsia" w:ascii="宋体" w:hAnsi="宋体" w:eastAsia="宋体" w:cs="宋体"/>
          <w:b w:val="0"/>
          <w:bCs w:val="0"/>
          <w:caps w:val="0"/>
          <w:color w:val="000000" w:themeColor="text1"/>
          <w:spacing w:val="13"/>
          <w:kern w:val="0"/>
          <w:sz w:val="24"/>
          <w:szCs w:val="24"/>
          <w:highlight w:val="none"/>
          <w:vertAlign w:val="baseline"/>
          <w:lang w:val="en-US" w:eastAsia="zh-CN" w:bidi="ar"/>
          <w14:textFill>
            <w14:solidFill>
              <w14:schemeClr w14:val="tx1"/>
            </w14:solidFill>
          </w14:textFill>
        </w:rPr>
        <w:t>分</w:t>
      </w:r>
      <w:r>
        <w:rPr>
          <w:rFonts w:hint="eastAsia" w:ascii="宋体" w:hAnsi="宋体" w:eastAsia="宋体" w:cs="宋体"/>
          <w:b w:val="0"/>
          <w:bCs w:val="0"/>
          <w:caps w:val="0"/>
          <w:color w:val="000000" w:themeColor="text1"/>
          <w:spacing w:val="8"/>
          <w:kern w:val="0"/>
          <w:sz w:val="24"/>
          <w:szCs w:val="24"/>
          <w:highlight w:val="none"/>
          <w:vertAlign w:val="baseline"/>
          <w:lang w:val="en-US" w:eastAsia="zh-CN" w:bidi="ar"/>
          <w14:textFill>
            <w14:solidFill>
              <w14:schemeClr w14:val="tx1"/>
            </w14:solidFill>
          </w14:textFill>
        </w:rPr>
        <w:t>包意向协议的中小企业) 的具体情况如下：</w:t>
      </w:r>
    </w:p>
    <w:p w14:paraId="37F085AF">
      <w:pPr>
        <w:keepNext w:val="0"/>
        <w:keepLines w:val="0"/>
        <w:pageBreakBefore w:val="0"/>
        <w:widowControl/>
        <w:suppressLineNumbers w:val="0"/>
        <w:suppressAutoHyphens w:val="0"/>
        <w:kinsoku w:val="0"/>
        <w:wordWrap/>
        <w:overflowPunct/>
        <w:topLinePunct w:val="0"/>
        <w:autoSpaceDE w:val="0"/>
        <w:autoSpaceDN w:val="0"/>
        <w:bidi w:val="0"/>
        <w:adjustRightInd w:val="0"/>
        <w:snapToGrid w:val="0"/>
        <w:spacing w:before="2" w:beforeAutospacing="0" w:after="0" w:afterAutospacing="0" w:line="324" w:lineRule="auto"/>
        <w:ind w:left="0" w:right="119" w:firstLine="18"/>
        <w:jc w:val="left"/>
        <w:textAlignment w:val="baseline"/>
        <w:outlineLvl w:val="9"/>
        <w:rPr>
          <w:rFonts w:hint="eastAsia" w:ascii="宋体" w:hAnsi="宋体" w:eastAsia="宋体" w:cs="宋体"/>
          <w:caps w:val="0"/>
          <w:color w:val="000000" w:themeColor="text1"/>
          <w:kern w:val="0"/>
          <w:sz w:val="24"/>
          <w:szCs w:val="24"/>
          <w:highlight w:val="none"/>
          <w:vertAlign w:val="baseline"/>
          <w14:textFill>
            <w14:solidFill>
              <w14:schemeClr w14:val="tx1"/>
            </w14:solidFill>
          </w14:textFill>
        </w:rPr>
      </w:pPr>
      <w:r>
        <w:rPr>
          <w:rFonts w:hint="eastAsia" w:ascii="宋体" w:hAnsi="宋体" w:eastAsia="宋体" w:cs="宋体"/>
          <w:b w:val="0"/>
          <w:bCs w:val="0"/>
          <w:caps w:val="0"/>
          <w:color w:val="000000" w:themeColor="text1"/>
          <w:spacing w:val="8"/>
          <w:kern w:val="0"/>
          <w:sz w:val="24"/>
          <w:szCs w:val="24"/>
          <w:highlight w:val="none"/>
          <w:vertAlign w:val="baseline"/>
          <w:lang w:val="en-US" w:eastAsia="zh-CN" w:bidi="ar"/>
          <w14:textFill>
            <w14:solidFill>
              <w14:schemeClr w14:val="tx1"/>
            </w14:solidFill>
          </w14:textFill>
        </w:rPr>
        <w:t xml:space="preserve">1. </w:t>
      </w:r>
      <w:r>
        <w:rPr>
          <w:rFonts w:hint="eastAsia" w:ascii="宋体" w:hAnsi="宋体" w:eastAsia="宋体" w:cs="宋体"/>
          <w:b w:val="0"/>
          <w:bCs w:val="0"/>
          <w:caps w:val="0"/>
          <w:color w:val="000000" w:themeColor="text1"/>
          <w:spacing w:val="8"/>
          <w:kern w:val="0"/>
          <w:sz w:val="24"/>
          <w:szCs w:val="24"/>
          <w:highlight w:val="none"/>
          <w:u w:val="single"/>
          <w:vertAlign w:val="baseline"/>
          <w:lang w:val="en-US" w:eastAsia="zh-CN" w:bidi="ar"/>
          <w14:textFill>
            <w14:solidFill>
              <w14:schemeClr w14:val="tx1"/>
            </w14:solidFill>
          </w14:textFill>
        </w:rPr>
        <w:t xml:space="preserve">    (标</w:t>
      </w:r>
      <w:r>
        <w:rPr>
          <w:rFonts w:hint="eastAsia" w:ascii="宋体" w:hAnsi="宋体" w:eastAsia="宋体" w:cs="宋体"/>
          <w:b w:val="0"/>
          <w:bCs w:val="0"/>
          <w:caps w:val="0"/>
          <w:color w:val="000000" w:themeColor="text1"/>
          <w:spacing w:val="6"/>
          <w:kern w:val="0"/>
          <w:sz w:val="24"/>
          <w:szCs w:val="24"/>
          <w:highlight w:val="none"/>
          <w:u w:val="single"/>
          <w:vertAlign w:val="baseline"/>
          <w:lang w:val="en-US" w:eastAsia="zh-CN" w:bidi="ar"/>
          <w14:textFill>
            <w14:solidFill>
              <w14:schemeClr w14:val="tx1"/>
            </w14:solidFill>
          </w14:textFill>
        </w:rPr>
        <w:t>的</w:t>
      </w:r>
      <w:r>
        <w:rPr>
          <w:rFonts w:hint="eastAsia" w:ascii="宋体" w:hAnsi="宋体" w:eastAsia="宋体" w:cs="宋体"/>
          <w:b w:val="0"/>
          <w:bCs w:val="0"/>
          <w:caps w:val="0"/>
          <w:color w:val="000000" w:themeColor="text1"/>
          <w:spacing w:val="4"/>
          <w:kern w:val="0"/>
          <w:sz w:val="24"/>
          <w:szCs w:val="24"/>
          <w:highlight w:val="none"/>
          <w:u w:val="single"/>
          <w:vertAlign w:val="baseline"/>
          <w:lang w:val="en-US" w:eastAsia="zh-CN" w:bidi="ar"/>
          <w14:textFill>
            <w14:solidFill>
              <w14:schemeClr w14:val="tx1"/>
            </w14:solidFill>
          </w14:textFill>
        </w:rPr>
        <w:t xml:space="preserve">名称) </w:t>
      </w:r>
      <w:r>
        <w:rPr>
          <w:rFonts w:hint="eastAsia" w:ascii="宋体" w:hAnsi="宋体" w:eastAsia="宋体" w:cs="宋体"/>
          <w:b w:val="0"/>
          <w:bCs w:val="0"/>
          <w:caps w:val="0"/>
          <w:color w:val="000000" w:themeColor="text1"/>
          <w:spacing w:val="4"/>
          <w:kern w:val="0"/>
          <w:sz w:val="24"/>
          <w:szCs w:val="24"/>
          <w:highlight w:val="none"/>
          <w:vertAlign w:val="baseline"/>
          <w:lang w:val="en-US" w:eastAsia="zh-CN" w:bidi="ar"/>
          <w14:textFill>
            <w14:solidFill>
              <w14:schemeClr w14:val="tx1"/>
            </w14:solidFill>
          </w14:textFill>
        </w:rPr>
        <w:t>，属于</w:t>
      </w:r>
      <w:r>
        <w:rPr>
          <w:rFonts w:hint="eastAsia" w:ascii="宋体" w:hAnsi="宋体" w:eastAsia="宋体" w:cs="宋体"/>
          <w:b w:val="0"/>
          <w:bCs w:val="0"/>
          <w:caps w:val="0"/>
          <w:color w:val="000000" w:themeColor="text1"/>
          <w:spacing w:val="4"/>
          <w:kern w:val="0"/>
          <w:sz w:val="24"/>
          <w:szCs w:val="24"/>
          <w:highlight w:val="none"/>
          <w:u w:val="single"/>
          <w:vertAlign w:val="baseline"/>
          <w:lang w:val="en-US" w:eastAsia="zh-CN" w:bidi="ar"/>
          <w14:textFill>
            <w14:solidFill>
              <w14:schemeClr w14:val="tx1"/>
            </w14:solidFill>
          </w14:textFill>
        </w:rPr>
        <w:t xml:space="preserve">    (采购文件中明确的所属行业) </w:t>
      </w:r>
      <w:r>
        <w:rPr>
          <w:rFonts w:hint="eastAsia" w:ascii="宋体" w:hAnsi="宋体" w:eastAsia="宋体" w:cs="宋体"/>
          <w:b w:val="0"/>
          <w:bCs w:val="0"/>
          <w:caps w:val="0"/>
          <w:color w:val="000000" w:themeColor="text1"/>
          <w:spacing w:val="4"/>
          <w:kern w:val="0"/>
          <w:sz w:val="24"/>
          <w:szCs w:val="24"/>
          <w:highlight w:val="none"/>
          <w:vertAlign w:val="baseline"/>
          <w:lang w:val="en-US" w:eastAsia="zh-CN" w:bidi="ar"/>
          <w14:textFill>
            <w14:solidFill>
              <w14:schemeClr w14:val="tx1"/>
            </w14:solidFill>
          </w14:textFill>
        </w:rPr>
        <w:t xml:space="preserve">行业；制造商为 </w:t>
      </w:r>
      <w:r>
        <w:rPr>
          <w:rFonts w:hint="eastAsia" w:ascii="宋体" w:hAnsi="宋体" w:eastAsia="宋体" w:cs="宋体"/>
          <w:b w:val="0"/>
          <w:bCs w:val="0"/>
          <w:caps w:val="0"/>
          <w:color w:val="000000" w:themeColor="text1"/>
          <w:spacing w:val="4"/>
          <w:kern w:val="0"/>
          <w:sz w:val="24"/>
          <w:szCs w:val="24"/>
          <w:highlight w:val="none"/>
          <w:u w:val="single"/>
          <w:vertAlign w:val="baseline"/>
          <w:lang w:val="en-US" w:eastAsia="zh-CN" w:bidi="ar"/>
          <w14:textFill>
            <w14:solidFill>
              <w14:schemeClr w14:val="tx1"/>
            </w14:solidFill>
          </w14:textFill>
        </w:rPr>
        <w:t xml:space="preserve">  (企</w:t>
      </w:r>
      <w:r>
        <w:rPr>
          <w:rFonts w:hint="eastAsia" w:ascii="宋体" w:hAnsi="宋体" w:eastAsia="宋体" w:cs="宋体"/>
          <w:b w:val="0"/>
          <w:bCs w:val="0"/>
          <w:caps w:val="0"/>
          <w:color w:val="000000" w:themeColor="text1"/>
          <w:kern w:val="0"/>
          <w:sz w:val="24"/>
          <w:szCs w:val="24"/>
          <w:highlight w:val="none"/>
          <w:vertAlign w:val="baseline"/>
          <w:lang w:val="en-US" w:eastAsia="zh-CN" w:bidi="ar"/>
          <w14:textFill>
            <w14:solidFill>
              <w14:schemeClr w14:val="tx1"/>
            </w14:solidFill>
          </w14:textFill>
        </w:rPr>
        <w:t xml:space="preserve"> </w:t>
      </w:r>
      <w:r>
        <w:rPr>
          <w:rFonts w:hint="eastAsia" w:ascii="宋体" w:hAnsi="宋体" w:eastAsia="宋体" w:cs="宋体"/>
          <w:b w:val="0"/>
          <w:bCs w:val="0"/>
          <w:caps w:val="0"/>
          <w:color w:val="000000" w:themeColor="text1"/>
          <w:spacing w:val="16"/>
          <w:kern w:val="0"/>
          <w:sz w:val="24"/>
          <w:szCs w:val="24"/>
          <w:highlight w:val="none"/>
          <w:u w:val="single"/>
          <w:vertAlign w:val="baseline"/>
          <w:lang w:val="en-US" w:eastAsia="zh-CN" w:bidi="ar"/>
          <w14:textFill>
            <w14:solidFill>
              <w14:schemeClr w14:val="tx1"/>
            </w14:solidFill>
          </w14:textFill>
        </w:rPr>
        <w:t>业</w:t>
      </w:r>
      <w:r>
        <w:rPr>
          <w:rFonts w:hint="eastAsia" w:ascii="宋体" w:hAnsi="宋体" w:eastAsia="宋体" w:cs="宋体"/>
          <w:b w:val="0"/>
          <w:bCs w:val="0"/>
          <w:caps w:val="0"/>
          <w:color w:val="000000" w:themeColor="text1"/>
          <w:spacing w:val="8"/>
          <w:kern w:val="0"/>
          <w:sz w:val="24"/>
          <w:szCs w:val="24"/>
          <w:highlight w:val="none"/>
          <w:u w:val="single"/>
          <w:vertAlign w:val="baseline"/>
          <w:lang w:val="en-US" w:eastAsia="zh-CN" w:bidi="ar"/>
          <w14:textFill>
            <w14:solidFill>
              <w14:schemeClr w14:val="tx1"/>
            </w14:solidFill>
          </w14:textFill>
        </w:rPr>
        <w:t xml:space="preserve">名称) </w:t>
      </w:r>
      <w:r>
        <w:rPr>
          <w:rFonts w:hint="eastAsia" w:ascii="宋体" w:hAnsi="宋体" w:eastAsia="宋体" w:cs="宋体"/>
          <w:b w:val="0"/>
          <w:bCs w:val="0"/>
          <w:caps w:val="0"/>
          <w:color w:val="000000" w:themeColor="text1"/>
          <w:spacing w:val="8"/>
          <w:kern w:val="0"/>
          <w:sz w:val="24"/>
          <w:szCs w:val="24"/>
          <w:highlight w:val="none"/>
          <w:vertAlign w:val="baseline"/>
          <w:lang w:val="en-US" w:eastAsia="zh-CN" w:bidi="ar"/>
          <w14:textFill>
            <w14:solidFill>
              <w14:schemeClr w14:val="tx1"/>
            </w14:solidFill>
          </w14:textFill>
        </w:rPr>
        <w:t>，从业人员</w:t>
      </w:r>
      <w:r>
        <w:rPr>
          <w:rFonts w:hint="eastAsia" w:ascii="宋体" w:hAnsi="宋体" w:eastAsia="宋体" w:cs="宋体"/>
          <w:b w:val="0"/>
          <w:bCs w:val="0"/>
          <w:caps w:val="0"/>
          <w:color w:val="000000" w:themeColor="text1"/>
          <w:spacing w:val="8"/>
          <w:kern w:val="0"/>
          <w:sz w:val="24"/>
          <w:szCs w:val="24"/>
          <w:highlight w:val="none"/>
          <w:u w:val="single"/>
          <w:vertAlign w:val="baseline"/>
          <w:lang w:val="en-US" w:eastAsia="zh-CN" w:bidi="ar"/>
          <w14:textFill>
            <w14:solidFill>
              <w14:schemeClr w14:val="tx1"/>
            </w14:solidFill>
          </w14:textFill>
        </w:rPr>
        <w:t xml:space="preserve">   人</w:t>
      </w:r>
      <w:r>
        <w:rPr>
          <w:rFonts w:hint="eastAsia" w:ascii="宋体" w:hAnsi="宋体" w:eastAsia="宋体" w:cs="宋体"/>
          <w:b w:val="0"/>
          <w:bCs w:val="0"/>
          <w:caps w:val="0"/>
          <w:color w:val="000000" w:themeColor="text1"/>
          <w:spacing w:val="8"/>
          <w:kern w:val="0"/>
          <w:sz w:val="24"/>
          <w:szCs w:val="24"/>
          <w:highlight w:val="none"/>
          <w:vertAlign w:val="baseline"/>
          <w:lang w:val="en-US" w:eastAsia="zh-CN" w:bidi="ar"/>
          <w14:textFill>
            <w14:solidFill>
              <w14:schemeClr w14:val="tx1"/>
            </w14:solidFill>
          </w14:textFill>
        </w:rPr>
        <w:t>，营业收入为</w:t>
      </w:r>
      <w:r>
        <w:rPr>
          <w:rFonts w:hint="eastAsia" w:ascii="宋体" w:hAnsi="宋体" w:eastAsia="宋体" w:cs="宋体"/>
          <w:b w:val="0"/>
          <w:bCs w:val="0"/>
          <w:caps w:val="0"/>
          <w:color w:val="000000" w:themeColor="text1"/>
          <w:spacing w:val="8"/>
          <w:kern w:val="0"/>
          <w:sz w:val="24"/>
          <w:szCs w:val="24"/>
          <w:highlight w:val="none"/>
          <w:u w:val="single"/>
          <w:vertAlign w:val="baseline"/>
          <w:lang w:val="en-US" w:eastAsia="zh-CN" w:bidi="ar"/>
          <w14:textFill>
            <w14:solidFill>
              <w14:schemeClr w14:val="tx1"/>
            </w14:solidFill>
          </w14:textFill>
        </w:rPr>
        <w:t xml:space="preserve">    万元</w:t>
      </w:r>
      <w:r>
        <w:rPr>
          <w:rFonts w:hint="eastAsia" w:ascii="宋体" w:hAnsi="宋体" w:eastAsia="宋体" w:cs="宋体"/>
          <w:b w:val="0"/>
          <w:bCs w:val="0"/>
          <w:caps w:val="0"/>
          <w:color w:val="000000" w:themeColor="text1"/>
          <w:spacing w:val="8"/>
          <w:kern w:val="0"/>
          <w:sz w:val="24"/>
          <w:szCs w:val="24"/>
          <w:highlight w:val="none"/>
          <w:vertAlign w:val="baseline"/>
          <w:lang w:val="en-US" w:eastAsia="zh-CN" w:bidi="ar"/>
          <w14:textFill>
            <w14:solidFill>
              <w14:schemeClr w14:val="tx1"/>
            </w14:solidFill>
          </w14:textFill>
        </w:rPr>
        <w:t>，资产总额为</w:t>
      </w:r>
      <w:r>
        <w:rPr>
          <w:rFonts w:hint="eastAsia" w:ascii="宋体" w:hAnsi="宋体" w:eastAsia="宋体" w:cs="宋体"/>
          <w:b w:val="0"/>
          <w:bCs w:val="0"/>
          <w:caps w:val="0"/>
          <w:color w:val="000000" w:themeColor="text1"/>
          <w:spacing w:val="8"/>
          <w:kern w:val="0"/>
          <w:sz w:val="24"/>
          <w:szCs w:val="24"/>
          <w:highlight w:val="none"/>
          <w:u w:val="single"/>
          <w:vertAlign w:val="baseline"/>
          <w:lang w:val="en-US" w:eastAsia="zh-CN" w:bidi="ar"/>
          <w14:textFill>
            <w14:solidFill>
              <w14:schemeClr w14:val="tx1"/>
            </w14:solidFill>
          </w14:textFill>
        </w:rPr>
        <w:t xml:space="preserve">    万元</w:t>
      </w:r>
      <w:r>
        <w:rPr>
          <w:rFonts w:hint="eastAsia" w:ascii="宋体" w:hAnsi="宋体" w:eastAsia="宋体" w:cs="宋体"/>
          <w:b w:val="0"/>
          <w:bCs w:val="0"/>
          <w:caps w:val="0"/>
          <w:color w:val="000000" w:themeColor="text1"/>
          <w:spacing w:val="8"/>
          <w:kern w:val="0"/>
          <w:sz w:val="24"/>
          <w:szCs w:val="24"/>
          <w:highlight w:val="none"/>
          <w:vertAlign w:val="baseline"/>
          <w:lang w:val="en-US" w:eastAsia="zh-CN" w:bidi="ar"/>
          <w14:textFill>
            <w14:solidFill>
              <w14:schemeClr w14:val="tx1"/>
            </w14:solidFill>
          </w14:textFill>
        </w:rPr>
        <w:t>，属于</w:t>
      </w:r>
      <w:r>
        <w:rPr>
          <w:rFonts w:hint="eastAsia" w:ascii="宋体" w:hAnsi="宋体" w:eastAsia="宋体" w:cs="宋体"/>
          <w:b w:val="0"/>
          <w:bCs w:val="0"/>
          <w:caps w:val="0"/>
          <w:color w:val="000000" w:themeColor="text1"/>
          <w:spacing w:val="8"/>
          <w:kern w:val="0"/>
          <w:sz w:val="24"/>
          <w:szCs w:val="24"/>
          <w:highlight w:val="none"/>
          <w:u w:val="single"/>
          <w:vertAlign w:val="baseline"/>
          <w:lang w:val="en-US" w:eastAsia="zh-CN" w:bidi="ar"/>
          <w14:textFill>
            <w14:solidFill>
              <w14:schemeClr w14:val="tx1"/>
            </w14:solidFill>
          </w14:textFill>
        </w:rPr>
        <w:t xml:space="preserve"> (中型企</w:t>
      </w:r>
      <w:r>
        <w:rPr>
          <w:rFonts w:hint="eastAsia" w:ascii="宋体" w:hAnsi="宋体" w:eastAsia="宋体" w:cs="宋体"/>
          <w:b w:val="0"/>
          <w:bCs w:val="0"/>
          <w:caps w:val="0"/>
          <w:color w:val="000000" w:themeColor="text1"/>
          <w:kern w:val="0"/>
          <w:sz w:val="24"/>
          <w:szCs w:val="24"/>
          <w:highlight w:val="none"/>
          <w:vertAlign w:val="baseline"/>
          <w:lang w:val="en-US" w:eastAsia="zh-CN" w:bidi="ar"/>
          <w14:textFill>
            <w14:solidFill>
              <w14:schemeClr w14:val="tx1"/>
            </w14:solidFill>
          </w14:textFill>
        </w:rPr>
        <w:t xml:space="preserve"> </w:t>
      </w:r>
      <w:r>
        <w:rPr>
          <w:rFonts w:hint="eastAsia" w:ascii="宋体" w:hAnsi="宋体" w:eastAsia="宋体" w:cs="宋体"/>
          <w:b w:val="0"/>
          <w:bCs w:val="0"/>
          <w:caps w:val="0"/>
          <w:color w:val="000000" w:themeColor="text1"/>
          <w:spacing w:val="8"/>
          <w:kern w:val="0"/>
          <w:sz w:val="24"/>
          <w:szCs w:val="24"/>
          <w:highlight w:val="none"/>
          <w:u w:val="single"/>
          <w:vertAlign w:val="baseline"/>
          <w:lang w:val="en-US" w:eastAsia="zh-CN" w:bidi="ar"/>
          <w14:textFill>
            <w14:solidFill>
              <w14:schemeClr w14:val="tx1"/>
            </w14:solidFill>
          </w14:textFill>
        </w:rPr>
        <w:t>业、小型企业、微型企业</w:t>
      </w:r>
      <w:r>
        <w:rPr>
          <w:rFonts w:hint="eastAsia" w:ascii="宋体" w:hAnsi="宋体" w:eastAsia="宋体" w:cs="宋体"/>
          <w:b w:val="0"/>
          <w:bCs w:val="0"/>
          <w:caps w:val="0"/>
          <w:color w:val="000000" w:themeColor="text1"/>
          <w:spacing w:val="8"/>
          <w:kern w:val="0"/>
          <w:sz w:val="24"/>
          <w:szCs w:val="24"/>
          <w:highlight w:val="none"/>
          <w:vertAlign w:val="baseline"/>
          <w:lang w:val="en-US" w:eastAsia="zh-CN" w:bidi="ar"/>
          <w14:textFill>
            <w14:solidFill>
              <w14:schemeClr w14:val="tx1"/>
            </w14:solidFill>
          </w14:textFill>
        </w:rPr>
        <w:t>) ；</w:t>
      </w:r>
    </w:p>
    <w:p w14:paraId="1B4DFBB8">
      <w:pPr>
        <w:keepNext w:val="0"/>
        <w:keepLines w:val="0"/>
        <w:pageBreakBefore w:val="0"/>
        <w:widowControl/>
        <w:suppressLineNumbers w:val="0"/>
        <w:suppressAutoHyphens w:val="0"/>
        <w:kinsoku w:val="0"/>
        <w:wordWrap/>
        <w:overflowPunct/>
        <w:topLinePunct w:val="0"/>
        <w:autoSpaceDE w:val="0"/>
        <w:autoSpaceDN w:val="0"/>
        <w:bidi w:val="0"/>
        <w:adjustRightInd w:val="0"/>
        <w:snapToGrid w:val="0"/>
        <w:spacing w:before="179" w:beforeAutospacing="0" w:after="0" w:afterAutospacing="0" w:line="326" w:lineRule="auto"/>
        <w:ind w:left="0" w:right="119" w:firstLine="3"/>
        <w:jc w:val="left"/>
        <w:textAlignment w:val="baseline"/>
        <w:outlineLvl w:val="9"/>
        <w:rPr>
          <w:rFonts w:hint="eastAsia" w:ascii="宋体" w:hAnsi="宋体" w:eastAsia="宋体" w:cs="宋体"/>
          <w:caps w:val="0"/>
          <w:color w:val="000000" w:themeColor="text1"/>
          <w:kern w:val="0"/>
          <w:sz w:val="24"/>
          <w:szCs w:val="24"/>
          <w:highlight w:val="none"/>
          <w:vertAlign w:val="baseline"/>
          <w14:textFill>
            <w14:solidFill>
              <w14:schemeClr w14:val="tx1"/>
            </w14:solidFill>
          </w14:textFill>
        </w:rPr>
      </w:pPr>
      <w:r>
        <w:rPr>
          <w:rFonts w:hint="eastAsia" w:ascii="宋体" w:hAnsi="宋体" w:eastAsia="宋体" w:cs="宋体"/>
          <w:b w:val="0"/>
          <w:bCs w:val="0"/>
          <w:caps w:val="0"/>
          <w:color w:val="000000" w:themeColor="text1"/>
          <w:spacing w:val="7"/>
          <w:kern w:val="0"/>
          <w:sz w:val="24"/>
          <w:szCs w:val="24"/>
          <w:highlight w:val="none"/>
          <w:vertAlign w:val="baseline"/>
          <w:lang w:val="en-US" w:eastAsia="zh-CN" w:bidi="ar"/>
          <w14:textFill>
            <w14:solidFill>
              <w14:schemeClr w14:val="tx1"/>
            </w14:solidFill>
          </w14:textFill>
        </w:rPr>
        <w:t>2</w:t>
      </w:r>
      <w:r>
        <w:rPr>
          <w:rFonts w:hint="eastAsia" w:ascii="宋体" w:hAnsi="宋体" w:eastAsia="宋体" w:cs="宋体"/>
          <w:b w:val="0"/>
          <w:bCs w:val="0"/>
          <w:caps w:val="0"/>
          <w:color w:val="000000" w:themeColor="text1"/>
          <w:spacing w:val="5"/>
          <w:kern w:val="0"/>
          <w:sz w:val="24"/>
          <w:szCs w:val="24"/>
          <w:highlight w:val="none"/>
          <w:vertAlign w:val="baseline"/>
          <w:lang w:val="en-US" w:eastAsia="zh-CN" w:bidi="ar"/>
          <w14:textFill>
            <w14:solidFill>
              <w14:schemeClr w14:val="tx1"/>
            </w14:solidFill>
          </w14:textFill>
        </w:rPr>
        <w:t xml:space="preserve">. </w:t>
      </w:r>
      <w:r>
        <w:rPr>
          <w:rFonts w:hint="eastAsia" w:ascii="宋体" w:hAnsi="宋体" w:eastAsia="宋体" w:cs="宋体"/>
          <w:b w:val="0"/>
          <w:bCs w:val="0"/>
          <w:caps w:val="0"/>
          <w:color w:val="000000" w:themeColor="text1"/>
          <w:spacing w:val="5"/>
          <w:kern w:val="0"/>
          <w:sz w:val="24"/>
          <w:szCs w:val="24"/>
          <w:highlight w:val="none"/>
          <w:u w:val="single"/>
          <w:vertAlign w:val="baseline"/>
          <w:lang w:val="en-US" w:eastAsia="zh-CN" w:bidi="ar"/>
          <w14:textFill>
            <w14:solidFill>
              <w14:schemeClr w14:val="tx1"/>
            </w14:solidFill>
          </w14:textFill>
        </w:rPr>
        <w:t xml:space="preserve">   (标的名称) </w:t>
      </w:r>
      <w:r>
        <w:rPr>
          <w:rFonts w:hint="eastAsia" w:ascii="宋体" w:hAnsi="宋体" w:eastAsia="宋体" w:cs="宋体"/>
          <w:b w:val="0"/>
          <w:bCs w:val="0"/>
          <w:caps w:val="0"/>
          <w:color w:val="000000" w:themeColor="text1"/>
          <w:spacing w:val="5"/>
          <w:kern w:val="0"/>
          <w:sz w:val="24"/>
          <w:szCs w:val="24"/>
          <w:highlight w:val="none"/>
          <w:vertAlign w:val="baseline"/>
          <w:lang w:val="en-US" w:eastAsia="zh-CN" w:bidi="ar"/>
          <w14:textFill>
            <w14:solidFill>
              <w14:schemeClr w14:val="tx1"/>
            </w14:solidFill>
          </w14:textFill>
        </w:rPr>
        <w:t xml:space="preserve">，属于 </w:t>
      </w:r>
      <w:r>
        <w:rPr>
          <w:rFonts w:hint="eastAsia" w:ascii="宋体" w:hAnsi="宋体" w:eastAsia="宋体" w:cs="宋体"/>
          <w:b w:val="0"/>
          <w:bCs w:val="0"/>
          <w:caps w:val="0"/>
          <w:color w:val="000000" w:themeColor="text1"/>
          <w:spacing w:val="5"/>
          <w:kern w:val="0"/>
          <w:sz w:val="24"/>
          <w:szCs w:val="24"/>
          <w:highlight w:val="none"/>
          <w:u w:val="single"/>
          <w:vertAlign w:val="baseline"/>
          <w:lang w:val="en-US" w:eastAsia="zh-CN" w:bidi="ar"/>
          <w14:textFill>
            <w14:solidFill>
              <w14:schemeClr w14:val="tx1"/>
            </w14:solidFill>
          </w14:textFill>
        </w:rPr>
        <w:t xml:space="preserve">     (采购文件中明确的所属行业) </w:t>
      </w:r>
      <w:r>
        <w:rPr>
          <w:rFonts w:hint="eastAsia" w:ascii="宋体" w:hAnsi="宋体" w:eastAsia="宋体" w:cs="宋体"/>
          <w:b w:val="0"/>
          <w:bCs w:val="0"/>
          <w:caps w:val="0"/>
          <w:color w:val="000000" w:themeColor="text1"/>
          <w:spacing w:val="5"/>
          <w:kern w:val="0"/>
          <w:sz w:val="24"/>
          <w:szCs w:val="24"/>
          <w:highlight w:val="none"/>
          <w:vertAlign w:val="baseline"/>
          <w:lang w:val="en-US" w:eastAsia="zh-CN" w:bidi="ar"/>
          <w14:textFill>
            <w14:solidFill>
              <w14:schemeClr w14:val="tx1"/>
            </w14:solidFill>
          </w14:textFill>
        </w:rPr>
        <w:t>行业；制造商为</w:t>
      </w:r>
      <w:r>
        <w:rPr>
          <w:rFonts w:hint="eastAsia" w:ascii="宋体" w:hAnsi="宋体" w:eastAsia="宋体" w:cs="宋体"/>
          <w:b w:val="0"/>
          <w:bCs w:val="0"/>
          <w:caps w:val="0"/>
          <w:color w:val="000000" w:themeColor="text1"/>
          <w:spacing w:val="5"/>
          <w:kern w:val="0"/>
          <w:sz w:val="24"/>
          <w:szCs w:val="24"/>
          <w:highlight w:val="none"/>
          <w:u w:val="single"/>
          <w:vertAlign w:val="baseline"/>
          <w:lang w:val="en-US" w:eastAsia="zh-CN" w:bidi="ar"/>
          <w14:textFill>
            <w14:solidFill>
              <w14:schemeClr w14:val="tx1"/>
            </w14:solidFill>
          </w14:textFill>
        </w:rPr>
        <w:t xml:space="preserve">     (企</w:t>
      </w:r>
      <w:r>
        <w:rPr>
          <w:rFonts w:hint="eastAsia" w:ascii="宋体" w:hAnsi="宋体" w:eastAsia="宋体" w:cs="宋体"/>
          <w:b w:val="0"/>
          <w:bCs w:val="0"/>
          <w:caps w:val="0"/>
          <w:color w:val="000000" w:themeColor="text1"/>
          <w:kern w:val="0"/>
          <w:sz w:val="24"/>
          <w:szCs w:val="24"/>
          <w:highlight w:val="none"/>
          <w:vertAlign w:val="baseline"/>
          <w:lang w:val="en-US" w:eastAsia="zh-CN" w:bidi="ar"/>
          <w14:textFill>
            <w14:solidFill>
              <w14:schemeClr w14:val="tx1"/>
            </w14:solidFill>
          </w14:textFill>
        </w:rPr>
        <w:t xml:space="preserve"> </w:t>
      </w:r>
      <w:r>
        <w:rPr>
          <w:rFonts w:hint="eastAsia" w:ascii="宋体" w:hAnsi="宋体" w:eastAsia="宋体" w:cs="宋体"/>
          <w:b w:val="0"/>
          <w:bCs w:val="0"/>
          <w:caps w:val="0"/>
          <w:color w:val="000000" w:themeColor="text1"/>
          <w:spacing w:val="8"/>
          <w:kern w:val="0"/>
          <w:sz w:val="24"/>
          <w:szCs w:val="24"/>
          <w:highlight w:val="none"/>
          <w:u w:val="single"/>
          <w:vertAlign w:val="baseline"/>
          <w:lang w:val="en-US" w:eastAsia="zh-CN" w:bidi="ar"/>
          <w14:textFill>
            <w14:solidFill>
              <w14:schemeClr w14:val="tx1"/>
            </w14:solidFill>
          </w14:textFill>
        </w:rPr>
        <w:t xml:space="preserve">业名称) </w:t>
      </w:r>
      <w:r>
        <w:rPr>
          <w:rFonts w:hint="eastAsia" w:ascii="宋体" w:hAnsi="宋体" w:eastAsia="宋体" w:cs="宋体"/>
          <w:b w:val="0"/>
          <w:bCs w:val="0"/>
          <w:caps w:val="0"/>
          <w:color w:val="000000" w:themeColor="text1"/>
          <w:spacing w:val="8"/>
          <w:kern w:val="0"/>
          <w:sz w:val="24"/>
          <w:szCs w:val="24"/>
          <w:highlight w:val="none"/>
          <w:vertAlign w:val="baseline"/>
          <w:lang w:val="en-US" w:eastAsia="zh-CN" w:bidi="ar"/>
          <w14:textFill>
            <w14:solidFill>
              <w14:schemeClr w14:val="tx1"/>
            </w14:solidFill>
          </w14:textFill>
        </w:rPr>
        <w:t>，从业人员</w:t>
      </w:r>
      <w:r>
        <w:rPr>
          <w:rFonts w:hint="eastAsia" w:ascii="宋体" w:hAnsi="宋体" w:eastAsia="宋体" w:cs="宋体"/>
          <w:b w:val="0"/>
          <w:bCs w:val="0"/>
          <w:caps w:val="0"/>
          <w:color w:val="000000" w:themeColor="text1"/>
          <w:spacing w:val="8"/>
          <w:kern w:val="0"/>
          <w:sz w:val="24"/>
          <w:szCs w:val="24"/>
          <w:highlight w:val="none"/>
          <w:u w:val="single"/>
          <w:vertAlign w:val="baseline"/>
          <w:lang w:val="en-US" w:eastAsia="zh-CN" w:bidi="ar"/>
          <w14:textFill>
            <w14:solidFill>
              <w14:schemeClr w14:val="tx1"/>
            </w14:solidFill>
          </w14:textFill>
        </w:rPr>
        <w:t xml:space="preserve">    人</w:t>
      </w:r>
      <w:r>
        <w:rPr>
          <w:rFonts w:hint="eastAsia" w:ascii="宋体" w:hAnsi="宋体" w:eastAsia="宋体" w:cs="宋体"/>
          <w:b w:val="0"/>
          <w:bCs w:val="0"/>
          <w:caps w:val="0"/>
          <w:color w:val="000000" w:themeColor="text1"/>
          <w:spacing w:val="8"/>
          <w:kern w:val="0"/>
          <w:sz w:val="24"/>
          <w:szCs w:val="24"/>
          <w:highlight w:val="none"/>
          <w:vertAlign w:val="baseline"/>
          <w:lang w:val="en-US" w:eastAsia="zh-CN" w:bidi="ar"/>
          <w14:textFill>
            <w14:solidFill>
              <w14:schemeClr w14:val="tx1"/>
            </w14:solidFill>
          </w14:textFill>
        </w:rPr>
        <w:t>，营业收入为</w:t>
      </w:r>
      <w:r>
        <w:rPr>
          <w:rFonts w:hint="eastAsia" w:ascii="宋体" w:hAnsi="宋体" w:eastAsia="宋体" w:cs="宋体"/>
          <w:b w:val="0"/>
          <w:bCs w:val="0"/>
          <w:caps w:val="0"/>
          <w:color w:val="000000" w:themeColor="text1"/>
          <w:spacing w:val="8"/>
          <w:kern w:val="0"/>
          <w:sz w:val="24"/>
          <w:szCs w:val="24"/>
          <w:highlight w:val="none"/>
          <w:u w:val="single"/>
          <w:vertAlign w:val="baseline"/>
          <w:lang w:val="en-US" w:eastAsia="zh-CN" w:bidi="ar"/>
          <w14:textFill>
            <w14:solidFill>
              <w14:schemeClr w14:val="tx1"/>
            </w14:solidFill>
          </w14:textFill>
        </w:rPr>
        <w:t xml:space="preserve">   万元</w:t>
      </w:r>
      <w:r>
        <w:rPr>
          <w:rFonts w:hint="eastAsia" w:ascii="宋体" w:hAnsi="宋体" w:eastAsia="宋体" w:cs="宋体"/>
          <w:b w:val="0"/>
          <w:bCs w:val="0"/>
          <w:caps w:val="0"/>
          <w:color w:val="000000" w:themeColor="text1"/>
          <w:spacing w:val="8"/>
          <w:kern w:val="0"/>
          <w:sz w:val="24"/>
          <w:szCs w:val="24"/>
          <w:highlight w:val="none"/>
          <w:vertAlign w:val="baseline"/>
          <w:lang w:val="en-US" w:eastAsia="zh-CN" w:bidi="ar"/>
          <w14:textFill>
            <w14:solidFill>
              <w14:schemeClr w14:val="tx1"/>
            </w14:solidFill>
          </w14:textFill>
        </w:rPr>
        <w:t xml:space="preserve">，资产总额为 </w:t>
      </w:r>
      <w:r>
        <w:rPr>
          <w:rFonts w:hint="eastAsia" w:ascii="宋体" w:hAnsi="宋体" w:eastAsia="宋体" w:cs="宋体"/>
          <w:b w:val="0"/>
          <w:bCs w:val="0"/>
          <w:caps w:val="0"/>
          <w:color w:val="000000" w:themeColor="text1"/>
          <w:spacing w:val="8"/>
          <w:kern w:val="0"/>
          <w:sz w:val="24"/>
          <w:szCs w:val="24"/>
          <w:highlight w:val="none"/>
          <w:u w:val="single"/>
          <w:vertAlign w:val="baseline"/>
          <w:lang w:val="en-US" w:eastAsia="zh-CN" w:bidi="ar"/>
          <w14:textFill>
            <w14:solidFill>
              <w14:schemeClr w14:val="tx1"/>
            </w14:solidFill>
          </w14:textFill>
        </w:rPr>
        <w:t xml:space="preserve">  万元</w:t>
      </w:r>
      <w:r>
        <w:rPr>
          <w:rFonts w:hint="eastAsia" w:ascii="宋体" w:hAnsi="宋体" w:eastAsia="宋体" w:cs="宋体"/>
          <w:b w:val="0"/>
          <w:bCs w:val="0"/>
          <w:caps w:val="0"/>
          <w:color w:val="000000" w:themeColor="text1"/>
          <w:spacing w:val="8"/>
          <w:kern w:val="0"/>
          <w:sz w:val="24"/>
          <w:szCs w:val="24"/>
          <w:highlight w:val="none"/>
          <w:vertAlign w:val="baseline"/>
          <w:lang w:val="en-US" w:eastAsia="zh-CN" w:bidi="ar"/>
          <w14:textFill>
            <w14:solidFill>
              <w14:schemeClr w14:val="tx1"/>
            </w14:solidFill>
          </w14:textFill>
        </w:rPr>
        <w:t>，属于</w:t>
      </w:r>
      <w:r>
        <w:rPr>
          <w:rFonts w:hint="eastAsia" w:ascii="宋体" w:hAnsi="宋体" w:eastAsia="宋体" w:cs="宋体"/>
          <w:b w:val="0"/>
          <w:bCs w:val="0"/>
          <w:caps w:val="0"/>
          <w:color w:val="000000" w:themeColor="text1"/>
          <w:spacing w:val="8"/>
          <w:kern w:val="0"/>
          <w:sz w:val="24"/>
          <w:szCs w:val="24"/>
          <w:highlight w:val="none"/>
          <w:u w:val="single"/>
          <w:vertAlign w:val="baseline"/>
          <w:lang w:val="en-US" w:eastAsia="zh-CN" w:bidi="ar"/>
          <w14:textFill>
            <w14:solidFill>
              <w14:schemeClr w14:val="tx1"/>
            </w14:solidFill>
          </w14:textFill>
        </w:rPr>
        <w:t xml:space="preserve">    (中型</w:t>
      </w:r>
      <w:r>
        <w:rPr>
          <w:rFonts w:hint="eastAsia" w:ascii="宋体" w:hAnsi="宋体" w:eastAsia="宋体" w:cs="宋体"/>
          <w:b w:val="0"/>
          <w:bCs w:val="0"/>
          <w:caps w:val="0"/>
          <w:color w:val="000000" w:themeColor="text1"/>
          <w:kern w:val="0"/>
          <w:sz w:val="24"/>
          <w:szCs w:val="24"/>
          <w:highlight w:val="none"/>
          <w:vertAlign w:val="baseline"/>
          <w:lang w:val="en-US" w:eastAsia="zh-CN" w:bidi="ar"/>
          <w14:textFill>
            <w14:solidFill>
              <w14:schemeClr w14:val="tx1"/>
            </w14:solidFill>
          </w14:textFill>
        </w:rPr>
        <w:t xml:space="preserve"> </w:t>
      </w:r>
      <w:r>
        <w:rPr>
          <w:rFonts w:hint="eastAsia" w:ascii="宋体" w:hAnsi="宋体" w:eastAsia="宋体" w:cs="宋体"/>
          <w:b w:val="0"/>
          <w:bCs w:val="0"/>
          <w:caps w:val="0"/>
          <w:color w:val="000000" w:themeColor="text1"/>
          <w:spacing w:val="10"/>
          <w:kern w:val="0"/>
          <w:sz w:val="24"/>
          <w:szCs w:val="24"/>
          <w:highlight w:val="none"/>
          <w:u w:val="single"/>
          <w:vertAlign w:val="baseline"/>
          <w:lang w:val="en-US" w:eastAsia="zh-CN" w:bidi="ar"/>
          <w14:textFill>
            <w14:solidFill>
              <w14:schemeClr w14:val="tx1"/>
            </w14:solidFill>
          </w14:textFill>
        </w:rPr>
        <w:t>企</w:t>
      </w:r>
      <w:r>
        <w:rPr>
          <w:rFonts w:hint="eastAsia" w:ascii="宋体" w:hAnsi="宋体" w:eastAsia="宋体" w:cs="宋体"/>
          <w:b w:val="0"/>
          <w:bCs w:val="0"/>
          <w:caps w:val="0"/>
          <w:color w:val="000000" w:themeColor="text1"/>
          <w:spacing w:val="8"/>
          <w:kern w:val="0"/>
          <w:sz w:val="24"/>
          <w:szCs w:val="24"/>
          <w:highlight w:val="none"/>
          <w:u w:val="single"/>
          <w:vertAlign w:val="baseline"/>
          <w:lang w:val="en-US" w:eastAsia="zh-CN" w:bidi="ar"/>
          <w14:textFill>
            <w14:solidFill>
              <w14:schemeClr w14:val="tx1"/>
            </w14:solidFill>
          </w14:textFill>
        </w:rPr>
        <w:t xml:space="preserve">业、小型企业、微型企业) </w:t>
      </w:r>
      <w:r>
        <w:rPr>
          <w:rFonts w:hint="eastAsia" w:ascii="宋体" w:hAnsi="宋体" w:eastAsia="宋体" w:cs="宋体"/>
          <w:b w:val="0"/>
          <w:bCs w:val="0"/>
          <w:caps w:val="0"/>
          <w:color w:val="000000" w:themeColor="text1"/>
          <w:spacing w:val="8"/>
          <w:kern w:val="0"/>
          <w:sz w:val="24"/>
          <w:szCs w:val="24"/>
          <w:highlight w:val="none"/>
          <w:vertAlign w:val="baseline"/>
          <w:lang w:val="en-US" w:eastAsia="zh-CN" w:bidi="ar"/>
          <w14:textFill>
            <w14:solidFill>
              <w14:schemeClr w14:val="tx1"/>
            </w14:solidFill>
          </w14:textFill>
        </w:rPr>
        <w:t>；</w:t>
      </w:r>
    </w:p>
    <w:p w14:paraId="1BA50FCF">
      <w:pPr>
        <w:keepNext w:val="0"/>
        <w:keepLines w:val="0"/>
        <w:pageBreakBefore w:val="0"/>
        <w:widowControl/>
        <w:suppressLineNumbers w:val="0"/>
        <w:suppressAutoHyphens w:val="0"/>
        <w:kinsoku w:val="0"/>
        <w:wordWrap/>
        <w:overflowPunct/>
        <w:topLinePunct w:val="0"/>
        <w:autoSpaceDE w:val="0"/>
        <w:autoSpaceDN w:val="0"/>
        <w:bidi w:val="0"/>
        <w:adjustRightInd w:val="0"/>
        <w:snapToGrid w:val="0"/>
        <w:spacing w:before="179" w:beforeAutospacing="0" w:after="0" w:afterAutospacing="0" w:line="371" w:lineRule="exact"/>
        <w:ind w:left="3136" w:right="0" w:firstLine="0"/>
        <w:jc w:val="left"/>
        <w:textAlignment w:val="baseline"/>
        <w:outlineLvl w:val="9"/>
        <w:rPr>
          <w:rFonts w:hint="eastAsia" w:ascii="宋体" w:hAnsi="宋体" w:eastAsia="宋体" w:cs="宋体"/>
          <w:caps w:val="0"/>
          <w:color w:val="000000" w:themeColor="text1"/>
          <w:kern w:val="0"/>
          <w:sz w:val="24"/>
          <w:szCs w:val="24"/>
          <w:highlight w:val="none"/>
          <w:vertAlign w:val="baseline"/>
          <w14:textFill>
            <w14:solidFill>
              <w14:schemeClr w14:val="tx1"/>
            </w14:solidFill>
          </w14:textFill>
        </w:rPr>
      </w:pPr>
      <w:r>
        <w:rPr>
          <w:rFonts w:hint="eastAsia" w:ascii="宋体" w:hAnsi="宋体" w:eastAsia="宋体" w:cs="宋体"/>
          <w:b w:val="0"/>
          <w:bCs w:val="0"/>
          <w:caps w:val="0"/>
          <w:color w:val="000000" w:themeColor="text1"/>
          <w:spacing w:val="5"/>
          <w:kern w:val="0"/>
          <w:position w:val="3"/>
          <w:sz w:val="24"/>
          <w:szCs w:val="24"/>
          <w:highlight w:val="none"/>
          <w:vertAlign w:val="baseline"/>
          <w:lang w:val="en-US" w:eastAsia="zh-CN" w:bidi="ar"/>
          <w14:textFill>
            <w14:solidFill>
              <w14:schemeClr w14:val="tx1"/>
            </w14:solidFill>
          </w14:textFill>
        </w:rPr>
        <w:t>……</w:t>
      </w:r>
    </w:p>
    <w:p w14:paraId="4823AA89">
      <w:pPr>
        <w:keepNext w:val="0"/>
        <w:keepLines w:val="0"/>
        <w:pageBreakBefore w:val="0"/>
        <w:widowControl/>
        <w:suppressLineNumbers w:val="0"/>
        <w:suppressAutoHyphens w:val="0"/>
        <w:kinsoku w:val="0"/>
        <w:wordWrap/>
        <w:overflowPunct/>
        <w:topLinePunct w:val="0"/>
        <w:autoSpaceDE w:val="0"/>
        <w:autoSpaceDN w:val="0"/>
        <w:bidi w:val="0"/>
        <w:adjustRightInd w:val="0"/>
        <w:snapToGrid w:val="0"/>
        <w:spacing w:before="96" w:beforeAutospacing="0" w:after="0" w:afterAutospacing="0" w:line="372" w:lineRule="auto"/>
        <w:ind w:left="0" w:right="119" w:firstLine="28"/>
        <w:jc w:val="left"/>
        <w:textAlignment w:val="baseline"/>
        <w:outlineLvl w:val="9"/>
        <w:rPr>
          <w:rFonts w:hint="eastAsia" w:ascii="宋体" w:hAnsi="宋体" w:eastAsia="宋体" w:cs="宋体"/>
          <w:caps w:val="0"/>
          <w:color w:val="000000" w:themeColor="text1"/>
          <w:kern w:val="0"/>
          <w:sz w:val="24"/>
          <w:szCs w:val="24"/>
          <w:highlight w:val="none"/>
          <w:vertAlign w:val="baseline"/>
          <w14:textFill>
            <w14:solidFill>
              <w14:schemeClr w14:val="tx1"/>
            </w14:solidFill>
          </w14:textFill>
        </w:rPr>
      </w:pPr>
      <w:r>
        <w:rPr>
          <w:rFonts w:hint="eastAsia" w:ascii="宋体" w:hAnsi="宋体" w:eastAsia="宋体" w:cs="宋体"/>
          <w:b w:val="0"/>
          <w:bCs w:val="0"/>
          <w:caps w:val="0"/>
          <w:color w:val="000000" w:themeColor="text1"/>
          <w:spacing w:val="6"/>
          <w:kern w:val="0"/>
          <w:sz w:val="24"/>
          <w:szCs w:val="24"/>
          <w:highlight w:val="none"/>
          <w:vertAlign w:val="baseline"/>
          <w:lang w:val="en-US" w:eastAsia="zh-CN" w:bidi="ar"/>
          <w14:textFill>
            <w14:solidFill>
              <w14:schemeClr w14:val="tx1"/>
            </w14:solidFill>
          </w14:textFill>
        </w:rPr>
        <w:t>以上企业，不属于大企业的分支机构，不存在控股股东为大企业的情形，也不存在与大</w:t>
      </w:r>
      <w:r>
        <w:rPr>
          <w:rFonts w:hint="eastAsia" w:ascii="宋体" w:hAnsi="宋体" w:eastAsia="宋体" w:cs="宋体"/>
          <w:b w:val="0"/>
          <w:bCs w:val="0"/>
          <w:caps w:val="0"/>
          <w:color w:val="000000" w:themeColor="text1"/>
          <w:spacing w:val="5"/>
          <w:kern w:val="0"/>
          <w:sz w:val="24"/>
          <w:szCs w:val="24"/>
          <w:highlight w:val="none"/>
          <w:vertAlign w:val="baseline"/>
          <w:lang w:val="en-US" w:eastAsia="zh-CN" w:bidi="ar"/>
          <w14:textFill>
            <w14:solidFill>
              <w14:schemeClr w14:val="tx1"/>
            </w14:solidFill>
          </w14:textFill>
        </w:rPr>
        <w:t>企</w:t>
      </w:r>
      <w:r>
        <w:rPr>
          <w:rFonts w:hint="eastAsia" w:ascii="宋体" w:hAnsi="宋体" w:eastAsia="宋体" w:cs="宋体"/>
          <w:b w:val="0"/>
          <w:bCs w:val="0"/>
          <w:caps w:val="0"/>
          <w:color w:val="000000" w:themeColor="text1"/>
          <w:kern w:val="0"/>
          <w:sz w:val="24"/>
          <w:szCs w:val="24"/>
          <w:highlight w:val="none"/>
          <w:vertAlign w:val="baseline"/>
          <w:lang w:val="en-US" w:eastAsia="zh-CN" w:bidi="ar"/>
          <w14:textFill>
            <w14:solidFill>
              <w14:schemeClr w14:val="tx1"/>
            </w14:solidFill>
          </w14:textFill>
        </w:rPr>
        <w:t xml:space="preserve"> </w:t>
      </w:r>
      <w:r>
        <w:rPr>
          <w:rFonts w:hint="eastAsia" w:ascii="宋体" w:hAnsi="宋体" w:eastAsia="宋体" w:cs="宋体"/>
          <w:b w:val="0"/>
          <w:bCs w:val="0"/>
          <w:caps w:val="0"/>
          <w:color w:val="000000" w:themeColor="text1"/>
          <w:spacing w:val="15"/>
          <w:kern w:val="0"/>
          <w:sz w:val="24"/>
          <w:szCs w:val="24"/>
          <w:highlight w:val="none"/>
          <w:vertAlign w:val="baseline"/>
          <w:lang w:val="en-US" w:eastAsia="zh-CN" w:bidi="ar"/>
          <w14:textFill>
            <w14:solidFill>
              <w14:schemeClr w14:val="tx1"/>
            </w14:solidFill>
          </w14:textFill>
        </w:rPr>
        <w:t>业</w:t>
      </w:r>
      <w:r>
        <w:rPr>
          <w:rFonts w:hint="eastAsia" w:ascii="宋体" w:hAnsi="宋体" w:eastAsia="宋体" w:cs="宋体"/>
          <w:b w:val="0"/>
          <w:bCs w:val="0"/>
          <w:caps w:val="0"/>
          <w:color w:val="000000" w:themeColor="text1"/>
          <w:spacing w:val="8"/>
          <w:kern w:val="0"/>
          <w:sz w:val="24"/>
          <w:szCs w:val="24"/>
          <w:highlight w:val="none"/>
          <w:vertAlign w:val="baseline"/>
          <w:lang w:val="en-US" w:eastAsia="zh-CN" w:bidi="ar"/>
          <w14:textFill>
            <w14:solidFill>
              <w14:schemeClr w14:val="tx1"/>
            </w14:solidFill>
          </w14:textFill>
        </w:rPr>
        <w:t>的负责人为同一人的情形。</w:t>
      </w:r>
    </w:p>
    <w:p w14:paraId="5CC16FE0">
      <w:pPr>
        <w:keepNext w:val="0"/>
        <w:keepLines w:val="0"/>
        <w:pageBreakBefore w:val="0"/>
        <w:widowControl/>
        <w:suppressLineNumbers w:val="0"/>
        <w:suppressAutoHyphens w:val="0"/>
        <w:kinsoku w:val="0"/>
        <w:wordWrap/>
        <w:overflowPunct/>
        <w:topLinePunct w:val="0"/>
        <w:autoSpaceDE w:val="0"/>
        <w:autoSpaceDN w:val="0"/>
        <w:bidi w:val="0"/>
        <w:adjustRightInd w:val="0"/>
        <w:snapToGrid w:val="0"/>
        <w:spacing w:before="1" w:beforeAutospacing="0" w:after="0" w:afterAutospacing="0" w:line="240" w:lineRule="auto"/>
        <w:ind w:left="1" w:right="0" w:firstLine="0"/>
        <w:jc w:val="left"/>
        <w:textAlignment w:val="baseline"/>
        <w:outlineLvl w:val="9"/>
        <w:rPr>
          <w:rFonts w:hint="eastAsia" w:ascii="宋体" w:hAnsi="宋体" w:eastAsia="宋体" w:cs="宋体"/>
          <w:caps w:val="0"/>
          <w:color w:val="000000" w:themeColor="text1"/>
          <w:kern w:val="0"/>
          <w:sz w:val="24"/>
          <w:szCs w:val="24"/>
          <w:highlight w:val="none"/>
          <w:vertAlign w:val="baseline"/>
          <w14:textFill>
            <w14:solidFill>
              <w14:schemeClr w14:val="tx1"/>
            </w14:solidFill>
          </w14:textFill>
        </w:rPr>
      </w:pPr>
      <w:r>
        <w:rPr>
          <w:rFonts w:hint="eastAsia" w:ascii="宋体" w:hAnsi="宋体" w:eastAsia="宋体" w:cs="宋体"/>
          <w:b w:val="0"/>
          <w:bCs w:val="0"/>
          <w:caps w:val="0"/>
          <w:color w:val="000000" w:themeColor="text1"/>
          <w:spacing w:val="18"/>
          <w:kern w:val="0"/>
          <w:sz w:val="24"/>
          <w:szCs w:val="24"/>
          <w:highlight w:val="none"/>
          <w:vertAlign w:val="baseline"/>
          <w:lang w:val="en-US" w:eastAsia="zh-CN" w:bidi="ar"/>
          <w14:textFill>
            <w14:solidFill>
              <w14:schemeClr w14:val="tx1"/>
            </w14:solidFill>
          </w14:textFill>
        </w:rPr>
        <w:t>本</w:t>
      </w:r>
      <w:r>
        <w:rPr>
          <w:rFonts w:hint="eastAsia" w:ascii="宋体" w:hAnsi="宋体" w:eastAsia="宋体" w:cs="宋体"/>
          <w:b w:val="0"/>
          <w:bCs w:val="0"/>
          <w:caps w:val="0"/>
          <w:color w:val="000000" w:themeColor="text1"/>
          <w:spacing w:val="11"/>
          <w:kern w:val="0"/>
          <w:sz w:val="24"/>
          <w:szCs w:val="24"/>
          <w:highlight w:val="none"/>
          <w:vertAlign w:val="baseline"/>
          <w:lang w:val="en-US" w:eastAsia="zh-CN" w:bidi="ar"/>
          <w14:textFill>
            <w14:solidFill>
              <w14:schemeClr w14:val="tx1"/>
            </w14:solidFill>
          </w14:textFill>
        </w:rPr>
        <w:t>企</w:t>
      </w:r>
      <w:r>
        <w:rPr>
          <w:rFonts w:hint="eastAsia" w:ascii="宋体" w:hAnsi="宋体" w:eastAsia="宋体" w:cs="宋体"/>
          <w:b w:val="0"/>
          <w:bCs w:val="0"/>
          <w:caps w:val="0"/>
          <w:color w:val="000000" w:themeColor="text1"/>
          <w:spacing w:val="9"/>
          <w:kern w:val="0"/>
          <w:sz w:val="24"/>
          <w:szCs w:val="24"/>
          <w:highlight w:val="none"/>
          <w:vertAlign w:val="baseline"/>
          <w:lang w:val="en-US" w:eastAsia="zh-CN" w:bidi="ar"/>
          <w14:textFill>
            <w14:solidFill>
              <w14:schemeClr w14:val="tx1"/>
            </w14:solidFill>
          </w14:textFill>
        </w:rPr>
        <w:t>业对上述声明内容的真实性负责。如有虚假，将依法承担相应责任。</w:t>
      </w:r>
    </w:p>
    <w:p w14:paraId="147D0AAF">
      <w:pPr>
        <w:keepNext w:val="0"/>
        <w:keepLines w:val="0"/>
        <w:pageBreakBefore w:val="0"/>
        <w:widowControl/>
        <w:suppressLineNumbers w:val="0"/>
        <w:suppressAutoHyphens w:val="0"/>
        <w:kinsoku w:val="0"/>
        <w:wordWrap/>
        <w:overflowPunct/>
        <w:topLinePunct w:val="0"/>
        <w:autoSpaceDE w:val="0"/>
        <w:autoSpaceDN w:val="0"/>
        <w:bidi w:val="0"/>
        <w:adjustRightInd w:val="0"/>
        <w:snapToGrid w:val="0"/>
        <w:spacing w:before="0" w:beforeAutospacing="0" w:after="0" w:afterAutospacing="0" w:line="285" w:lineRule="auto"/>
        <w:ind w:left="0" w:right="0" w:firstLine="0"/>
        <w:jc w:val="left"/>
        <w:textAlignment w:val="baseline"/>
        <w:outlineLvl w:val="9"/>
        <w:rPr>
          <w:rFonts w:hint="eastAsia" w:ascii="宋体" w:hAnsi="宋体" w:eastAsia="宋体" w:cs="宋体"/>
          <w:caps w:val="0"/>
          <w:color w:val="000000" w:themeColor="text1"/>
          <w:kern w:val="0"/>
          <w:sz w:val="24"/>
          <w:szCs w:val="24"/>
          <w:highlight w:val="none"/>
          <w:vertAlign w:val="baseline"/>
          <w14:textFill>
            <w14:solidFill>
              <w14:schemeClr w14:val="tx1"/>
            </w14:solidFill>
          </w14:textFill>
        </w:rPr>
      </w:pPr>
    </w:p>
    <w:p w14:paraId="17C47D1A">
      <w:pPr>
        <w:keepNext w:val="0"/>
        <w:keepLines w:val="0"/>
        <w:pageBreakBefore w:val="0"/>
        <w:widowControl/>
        <w:suppressLineNumbers w:val="0"/>
        <w:suppressAutoHyphens w:val="0"/>
        <w:kinsoku w:val="0"/>
        <w:wordWrap/>
        <w:overflowPunct/>
        <w:topLinePunct w:val="0"/>
        <w:autoSpaceDE w:val="0"/>
        <w:autoSpaceDN w:val="0"/>
        <w:bidi w:val="0"/>
        <w:adjustRightInd w:val="0"/>
        <w:snapToGrid w:val="0"/>
        <w:spacing w:before="0" w:beforeAutospacing="0" w:after="0" w:afterAutospacing="0" w:line="285" w:lineRule="auto"/>
        <w:ind w:left="0" w:right="0" w:firstLine="0"/>
        <w:jc w:val="left"/>
        <w:textAlignment w:val="baseline"/>
        <w:outlineLvl w:val="9"/>
        <w:rPr>
          <w:rFonts w:hint="eastAsia" w:ascii="宋体" w:hAnsi="宋体" w:eastAsia="宋体" w:cs="宋体"/>
          <w:caps w:val="0"/>
          <w:color w:val="000000" w:themeColor="text1"/>
          <w:kern w:val="0"/>
          <w:sz w:val="24"/>
          <w:szCs w:val="24"/>
          <w:highlight w:val="none"/>
          <w:vertAlign w:val="baseline"/>
          <w14:textFill>
            <w14:solidFill>
              <w14:schemeClr w14:val="tx1"/>
            </w14:solidFill>
          </w14:textFill>
        </w:rPr>
      </w:pPr>
    </w:p>
    <w:p w14:paraId="12F74F5E">
      <w:pPr>
        <w:keepNext w:val="0"/>
        <w:keepLines w:val="0"/>
        <w:pageBreakBefore w:val="0"/>
        <w:widowControl/>
        <w:suppressLineNumbers w:val="0"/>
        <w:suppressAutoHyphens w:val="0"/>
        <w:kinsoku w:val="0"/>
        <w:wordWrap/>
        <w:overflowPunct/>
        <w:topLinePunct w:val="0"/>
        <w:autoSpaceDE w:val="0"/>
        <w:autoSpaceDN w:val="0"/>
        <w:bidi w:val="0"/>
        <w:adjustRightInd w:val="0"/>
        <w:snapToGrid w:val="0"/>
        <w:spacing w:before="75" w:beforeAutospacing="0" w:after="0" w:afterAutospacing="0" w:line="381" w:lineRule="auto"/>
        <w:ind w:left="5680" w:right="1620" w:hanging="37"/>
        <w:jc w:val="left"/>
        <w:textAlignment w:val="baseline"/>
        <w:outlineLvl w:val="9"/>
        <w:rPr>
          <w:rFonts w:hint="eastAsia" w:ascii="宋体" w:hAnsi="宋体" w:eastAsia="宋体" w:cs="宋体"/>
          <w:b w:val="0"/>
          <w:bCs w:val="0"/>
          <w:caps w:val="0"/>
          <w:color w:val="000000" w:themeColor="text1"/>
          <w:kern w:val="0"/>
          <w:sz w:val="24"/>
          <w:szCs w:val="24"/>
          <w:highlight w:val="none"/>
          <w:vertAlign w:val="baseline"/>
          <w:lang w:val="en-US" w:eastAsia="zh-CN" w:bidi="ar"/>
          <w14:textFill>
            <w14:solidFill>
              <w14:schemeClr w14:val="tx1"/>
            </w14:solidFill>
          </w14:textFill>
        </w:rPr>
      </w:pPr>
      <w:r>
        <w:rPr>
          <w:rFonts w:hint="eastAsia" w:ascii="宋体" w:hAnsi="宋体" w:eastAsia="宋体" w:cs="宋体"/>
          <w:b w:val="0"/>
          <w:bCs w:val="0"/>
          <w:caps w:val="0"/>
          <w:color w:val="000000" w:themeColor="text1"/>
          <w:spacing w:val="2"/>
          <w:kern w:val="0"/>
          <w:sz w:val="24"/>
          <w:szCs w:val="24"/>
          <w:highlight w:val="none"/>
          <w:vertAlign w:val="baseline"/>
          <w:lang w:val="en-US" w:eastAsia="zh-CN" w:bidi="ar"/>
          <w14:textFill>
            <w14:solidFill>
              <w14:schemeClr w14:val="tx1"/>
            </w14:solidFill>
          </w14:textFill>
        </w:rPr>
        <w:t xml:space="preserve">企业名称 </w:t>
      </w:r>
      <w:r>
        <w:rPr>
          <w:rFonts w:hint="eastAsia" w:ascii="宋体" w:hAnsi="宋体" w:eastAsia="宋体" w:cs="宋体"/>
          <w:b w:val="0"/>
          <w:bCs w:val="0"/>
          <w:caps w:val="0"/>
          <w:color w:val="000000" w:themeColor="text1"/>
          <w:spacing w:val="1"/>
          <w:kern w:val="0"/>
          <w:sz w:val="24"/>
          <w:szCs w:val="24"/>
          <w:highlight w:val="none"/>
          <w:vertAlign w:val="baseline"/>
          <w:lang w:val="en-US" w:eastAsia="zh-CN" w:bidi="ar"/>
          <w14:textFill>
            <w14:solidFill>
              <w14:schemeClr w14:val="tx1"/>
            </w14:solidFill>
          </w14:textFill>
        </w:rPr>
        <w:t>(盖章) ：</w:t>
      </w:r>
      <w:r>
        <w:rPr>
          <w:rFonts w:hint="eastAsia" w:ascii="宋体" w:hAnsi="宋体" w:eastAsia="宋体" w:cs="宋体"/>
          <w:b w:val="0"/>
          <w:bCs w:val="0"/>
          <w:caps w:val="0"/>
          <w:color w:val="000000" w:themeColor="text1"/>
          <w:kern w:val="0"/>
          <w:sz w:val="24"/>
          <w:szCs w:val="24"/>
          <w:highlight w:val="none"/>
          <w:vertAlign w:val="baseline"/>
          <w:lang w:val="en-US" w:eastAsia="zh-CN" w:bidi="ar"/>
          <w14:textFill>
            <w14:solidFill>
              <w14:schemeClr w14:val="tx1"/>
            </w14:solidFill>
          </w14:textFill>
        </w:rPr>
        <w:t xml:space="preserve"> </w:t>
      </w:r>
    </w:p>
    <w:p w14:paraId="239AC6C4">
      <w:pPr>
        <w:keepNext w:val="0"/>
        <w:keepLines w:val="0"/>
        <w:pageBreakBefore w:val="0"/>
        <w:widowControl/>
        <w:suppressLineNumbers w:val="0"/>
        <w:suppressAutoHyphens w:val="0"/>
        <w:kinsoku w:val="0"/>
        <w:wordWrap/>
        <w:overflowPunct/>
        <w:topLinePunct w:val="0"/>
        <w:autoSpaceDE w:val="0"/>
        <w:autoSpaceDN w:val="0"/>
        <w:bidi w:val="0"/>
        <w:adjustRightInd w:val="0"/>
        <w:snapToGrid w:val="0"/>
        <w:spacing w:before="75" w:beforeAutospacing="0" w:after="0" w:afterAutospacing="0" w:line="381" w:lineRule="auto"/>
        <w:ind w:left="5680" w:right="1620" w:hanging="37"/>
        <w:jc w:val="left"/>
        <w:textAlignment w:val="baseline"/>
        <w:outlineLvl w:val="9"/>
        <w:rPr>
          <w:rFonts w:hint="eastAsia" w:ascii="宋体" w:hAnsi="宋体" w:eastAsia="宋体" w:cs="宋体"/>
          <w:caps w:val="0"/>
          <w:color w:val="000000" w:themeColor="text1"/>
          <w:kern w:val="0"/>
          <w:sz w:val="24"/>
          <w:szCs w:val="24"/>
          <w:highlight w:val="none"/>
          <w:vertAlign w:val="baseline"/>
          <w14:textFill>
            <w14:solidFill>
              <w14:schemeClr w14:val="tx1"/>
            </w14:solidFill>
          </w14:textFill>
        </w:rPr>
      </w:pPr>
      <w:r>
        <w:rPr>
          <w:rFonts w:hint="eastAsia" w:ascii="宋体" w:hAnsi="宋体" w:eastAsia="宋体" w:cs="宋体"/>
          <w:b w:val="0"/>
          <w:bCs w:val="0"/>
          <w:caps w:val="0"/>
          <w:color w:val="000000" w:themeColor="text1"/>
          <w:spacing w:val="-11"/>
          <w:kern w:val="0"/>
          <w:sz w:val="24"/>
          <w:szCs w:val="24"/>
          <w:highlight w:val="none"/>
          <w:vertAlign w:val="baseline"/>
          <w:lang w:val="en-US" w:eastAsia="zh-CN" w:bidi="ar"/>
          <w14:textFill>
            <w14:solidFill>
              <w14:schemeClr w14:val="tx1"/>
            </w14:solidFill>
          </w14:textFill>
        </w:rPr>
        <w:t>日</w:t>
      </w:r>
      <w:r>
        <w:rPr>
          <w:rFonts w:hint="eastAsia" w:ascii="宋体" w:hAnsi="宋体" w:eastAsia="宋体" w:cs="宋体"/>
          <w:b w:val="0"/>
          <w:bCs w:val="0"/>
          <w:caps w:val="0"/>
          <w:color w:val="000000" w:themeColor="text1"/>
          <w:spacing w:val="-10"/>
          <w:kern w:val="0"/>
          <w:sz w:val="24"/>
          <w:szCs w:val="24"/>
          <w:highlight w:val="none"/>
          <w:vertAlign w:val="baseline"/>
          <w:lang w:val="en-US" w:eastAsia="zh-CN" w:bidi="ar"/>
          <w14:textFill>
            <w14:solidFill>
              <w14:schemeClr w14:val="tx1"/>
            </w14:solidFill>
          </w14:textFill>
        </w:rPr>
        <w:t>期：</w:t>
      </w:r>
    </w:p>
    <w:p w14:paraId="5BB5E817">
      <w:pPr>
        <w:keepNext w:val="0"/>
        <w:keepLines w:val="0"/>
        <w:pageBreakBefore w:val="0"/>
        <w:widowControl/>
        <w:suppressLineNumbers w:val="0"/>
        <w:suppressAutoHyphens w:val="0"/>
        <w:kinsoku w:val="0"/>
        <w:wordWrap/>
        <w:overflowPunct/>
        <w:topLinePunct w:val="0"/>
        <w:autoSpaceDE w:val="0"/>
        <w:autoSpaceDN w:val="0"/>
        <w:bidi w:val="0"/>
        <w:adjustRightInd w:val="0"/>
        <w:snapToGrid w:val="0"/>
        <w:spacing w:before="75" w:beforeAutospacing="0" w:after="0" w:afterAutospacing="0" w:line="240" w:lineRule="auto"/>
        <w:ind w:left="0" w:right="0" w:firstLine="0"/>
        <w:jc w:val="left"/>
        <w:textAlignment w:val="baseline"/>
        <w:outlineLvl w:val="9"/>
        <w:rPr>
          <w:rFonts w:hint="eastAsia" w:ascii="宋体" w:hAnsi="宋体" w:eastAsia="宋体" w:cs="宋体"/>
          <w:caps w:val="0"/>
          <w:color w:val="000000" w:themeColor="text1"/>
          <w:kern w:val="0"/>
          <w:sz w:val="24"/>
          <w:szCs w:val="24"/>
          <w:highlight w:val="none"/>
          <w:vertAlign w:val="baseline"/>
          <w14:textFill>
            <w14:solidFill>
              <w14:schemeClr w14:val="tx1"/>
            </w14:solidFill>
          </w14:textFill>
        </w:rPr>
      </w:pPr>
      <w:r>
        <w:rPr>
          <w:rFonts w:hint="eastAsia" w:ascii="宋体" w:hAnsi="宋体" w:eastAsia="宋体" w:cs="宋体"/>
          <w:b w:val="0"/>
          <w:bCs w:val="0"/>
          <w:caps w:val="0"/>
          <w:color w:val="000000" w:themeColor="text1"/>
          <w:kern w:val="0"/>
          <w:sz w:val="24"/>
          <w:szCs w:val="24"/>
          <w:highlight w:val="none"/>
          <w:vertAlign w:val="baseline"/>
          <w:lang w:val="en-US" w:eastAsia="zh-CN" w:bidi="ar"/>
          <w14:textFill>
            <w14:solidFill>
              <w14:schemeClr w14:val="tx1"/>
            </w14:solidFill>
          </w14:textFill>
        </w:rPr>
        <w:t>注：</w:t>
      </w:r>
    </w:p>
    <w:p w14:paraId="537B5C03">
      <w:pPr>
        <w:keepNext w:val="0"/>
        <w:keepLines w:val="0"/>
        <w:pageBreakBefore w:val="0"/>
        <w:widowControl/>
        <w:suppressLineNumbers w:val="0"/>
        <w:suppressAutoHyphens w:val="0"/>
        <w:kinsoku w:val="0"/>
        <w:wordWrap/>
        <w:overflowPunct/>
        <w:topLinePunct w:val="0"/>
        <w:autoSpaceDE w:val="0"/>
        <w:autoSpaceDN w:val="0"/>
        <w:bidi w:val="0"/>
        <w:adjustRightInd w:val="0"/>
        <w:snapToGrid w:val="0"/>
        <w:spacing w:before="182" w:beforeAutospacing="0" w:after="0" w:afterAutospacing="0" w:line="297" w:lineRule="auto"/>
        <w:ind w:left="4" w:right="167" w:firstLine="13"/>
        <w:jc w:val="left"/>
        <w:textAlignment w:val="baseline"/>
        <w:outlineLvl w:val="9"/>
        <w:rPr>
          <w:rFonts w:hint="eastAsia" w:ascii="宋体" w:hAnsi="宋体" w:eastAsia="宋体" w:cs="宋体"/>
          <w:caps w:val="0"/>
          <w:color w:val="000000" w:themeColor="text1"/>
          <w:kern w:val="0"/>
          <w:sz w:val="24"/>
          <w:szCs w:val="24"/>
          <w:highlight w:val="none"/>
          <w:vertAlign w:val="baseline"/>
          <w14:textFill>
            <w14:solidFill>
              <w14:schemeClr w14:val="tx1"/>
            </w14:solidFill>
          </w14:textFill>
        </w:rPr>
      </w:pPr>
      <w:r>
        <w:rPr>
          <w:rFonts w:hint="eastAsia" w:ascii="宋体" w:hAnsi="宋体" w:eastAsia="宋体" w:cs="宋体"/>
          <w:b w:val="0"/>
          <w:bCs w:val="0"/>
          <w:caps w:val="0"/>
          <w:color w:val="000000" w:themeColor="text1"/>
          <w:spacing w:val="14"/>
          <w:kern w:val="0"/>
          <w:sz w:val="24"/>
          <w:szCs w:val="24"/>
          <w:highlight w:val="none"/>
          <w:vertAlign w:val="baseline"/>
          <w:lang w:val="en-US" w:eastAsia="zh-CN" w:bidi="ar"/>
          <w14:textFill>
            <w14:solidFill>
              <w14:schemeClr w14:val="tx1"/>
            </w14:solidFill>
          </w14:textFill>
        </w:rPr>
        <w:t>1. 从</w:t>
      </w:r>
      <w:r>
        <w:rPr>
          <w:rFonts w:hint="eastAsia" w:ascii="宋体" w:hAnsi="宋体" w:eastAsia="宋体" w:cs="宋体"/>
          <w:b w:val="0"/>
          <w:bCs w:val="0"/>
          <w:caps w:val="0"/>
          <w:color w:val="000000" w:themeColor="text1"/>
          <w:spacing w:val="8"/>
          <w:kern w:val="0"/>
          <w:sz w:val="24"/>
          <w:szCs w:val="24"/>
          <w:highlight w:val="none"/>
          <w:vertAlign w:val="baseline"/>
          <w:lang w:val="en-US" w:eastAsia="zh-CN" w:bidi="ar"/>
          <w14:textFill>
            <w14:solidFill>
              <w14:schemeClr w14:val="tx1"/>
            </w14:solidFill>
          </w14:textFill>
        </w:rPr>
        <w:t>业</w:t>
      </w:r>
      <w:r>
        <w:rPr>
          <w:rFonts w:hint="eastAsia" w:ascii="宋体" w:hAnsi="宋体" w:eastAsia="宋体" w:cs="宋体"/>
          <w:b w:val="0"/>
          <w:bCs w:val="0"/>
          <w:caps w:val="0"/>
          <w:color w:val="000000" w:themeColor="text1"/>
          <w:spacing w:val="7"/>
          <w:kern w:val="0"/>
          <w:sz w:val="24"/>
          <w:szCs w:val="24"/>
          <w:highlight w:val="none"/>
          <w:vertAlign w:val="baseline"/>
          <w:lang w:val="en-US" w:eastAsia="zh-CN" w:bidi="ar"/>
          <w14:textFill>
            <w14:solidFill>
              <w14:schemeClr w14:val="tx1"/>
            </w14:solidFill>
          </w14:textFill>
        </w:rPr>
        <w:t>人员、营业收入、资产总额填报上一年度数据，无上一年度数据的新成立企业可</w:t>
      </w:r>
      <w:r>
        <w:rPr>
          <w:rFonts w:hint="eastAsia" w:ascii="宋体" w:hAnsi="宋体" w:eastAsia="宋体" w:cs="宋体"/>
          <w:b w:val="0"/>
          <w:bCs w:val="0"/>
          <w:caps w:val="0"/>
          <w:color w:val="000000" w:themeColor="text1"/>
          <w:kern w:val="0"/>
          <w:sz w:val="24"/>
          <w:szCs w:val="24"/>
          <w:highlight w:val="none"/>
          <w:vertAlign w:val="baseline"/>
          <w:lang w:val="en-US" w:eastAsia="zh-CN" w:bidi="ar"/>
          <w14:textFill>
            <w14:solidFill>
              <w14:schemeClr w14:val="tx1"/>
            </w14:solidFill>
          </w14:textFill>
        </w:rPr>
        <w:t xml:space="preserve"> </w:t>
      </w:r>
      <w:r>
        <w:rPr>
          <w:rFonts w:hint="eastAsia" w:ascii="宋体" w:hAnsi="宋体" w:eastAsia="宋体" w:cs="宋体"/>
          <w:b w:val="0"/>
          <w:bCs w:val="0"/>
          <w:caps w:val="0"/>
          <w:color w:val="000000" w:themeColor="text1"/>
          <w:spacing w:val="4"/>
          <w:kern w:val="0"/>
          <w:sz w:val="24"/>
          <w:szCs w:val="24"/>
          <w:highlight w:val="none"/>
          <w:vertAlign w:val="baseline"/>
          <w:lang w:val="en-US" w:eastAsia="zh-CN" w:bidi="ar"/>
          <w14:textFill>
            <w14:solidFill>
              <w14:schemeClr w14:val="tx1"/>
            </w14:solidFill>
          </w14:textFill>
        </w:rPr>
        <w:t>不填报。</w:t>
      </w:r>
    </w:p>
    <w:p w14:paraId="68B9CFD5">
      <w:pPr>
        <w:pStyle w:val="16"/>
        <w:keepNext w:val="0"/>
        <w:keepLines w:val="0"/>
        <w:pageBreakBefore w:val="0"/>
        <w:widowControl w:val="0"/>
        <w:kinsoku/>
        <w:wordWrap/>
        <w:overflowPunct/>
        <w:topLinePunct w:val="0"/>
        <w:autoSpaceDE/>
        <w:autoSpaceDN/>
        <w:bidi w:val="0"/>
        <w:adjustRightInd/>
        <w:snapToGrid w:val="0"/>
        <w:spacing w:before="0" w:beforeAutospacing="0" w:afterAutospacing="0" w:line="480" w:lineRule="auto"/>
        <w:ind w:left="0" w:right="0" w:firstLine="422" w:firstLineChars="200"/>
        <w:jc w:val="both"/>
        <w:textAlignment w:val="baseline"/>
        <w:outlineLvl w:val="9"/>
        <w:rPr>
          <w:rFonts w:hint="eastAsia" w:ascii="宋体" w:hAnsi="宋体" w:eastAsia="宋体" w:cs="宋体"/>
          <w:b/>
          <w:i w:val="0"/>
          <w:caps w:val="0"/>
          <w:color w:val="000000" w:themeColor="text1"/>
          <w:spacing w:val="0"/>
          <w:w w:val="100"/>
          <w:sz w:val="21"/>
          <w:szCs w:val="21"/>
          <w:highlight w:val="none"/>
          <w14:textFill>
            <w14:solidFill>
              <w14:schemeClr w14:val="tx1"/>
            </w14:solidFill>
          </w14:textFill>
        </w:rPr>
      </w:pPr>
      <w:r>
        <w:rPr>
          <w:rFonts w:hint="eastAsia" w:ascii="宋体" w:hAnsi="宋体" w:eastAsia="宋体" w:cs="宋体"/>
          <w:b/>
          <w:i w:val="0"/>
          <w:caps w:val="0"/>
          <w:color w:val="000000" w:themeColor="text1"/>
          <w:spacing w:val="0"/>
          <w:w w:val="100"/>
          <w:sz w:val="21"/>
          <w:szCs w:val="21"/>
          <w:highlight w:val="none"/>
          <w14:textFill>
            <w14:solidFill>
              <w14:schemeClr w14:val="tx1"/>
            </w14:solidFill>
          </w14:textFill>
        </w:rPr>
        <w:t>注：1</w:t>
      </w:r>
      <w:r>
        <w:rPr>
          <w:rFonts w:hint="eastAsia" w:ascii="宋体" w:hAnsi="宋体" w:eastAsia="宋体" w:cs="宋体"/>
          <w:b/>
          <w:i w:val="0"/>
          <w:caps w:val="0"/>
          <w:color w:val="000000" w:themeColor="text1"/>
          <w:spacing w:val="0"/>
          <w:w w:val="100"/>
          <w:sz w:val="21"/>
          <w:szCs w:val="21"/>
          <w:highlight w:val="none"/>
          <w:lang w:eastAsia="zh-CN"/>
          <w14:textFill>
            <w14:solidFill>
              <w14:schemeClr w14:val="tx1"/>
            </w14:solidFill>
          </w14:textFill>
        </w:rPr>
        <w:t>、</w:t>
      </w:r>
      <w:r>
        <w:rPr>
          <w:rFonts w:hint="eastAsia" w:ascii="宋体" w:hAnsi="宋体" w:eastAsia="宋体" w:cs="宋体"/>
          <w:b/>
          <w:i w:val="0"/>
          <w:caps w:val="0"/>
          <w:color w:val="000000" w:themeColor="text1"/>
          <w:spacing w:val="0"/>
          <w:w w:val="100"/>
          <w:sz w:val="21"/>
          <w:szCs w:val="21"/>
          <w:highlight w:val="none"/>
          <w14:textFill>
            <w14:solidFill>
              <w14:schemeClr w14:val="tx1"/>
            </w14:solidFill>
          </w14:textFill>
        </w:rPr>
        <w:t>本次采购项目采购标的对应的中小企业划分标准所属行业为</w:t>
      </w:r>
      <w:r>
        <w:rPr>
          <w:rFonts w:hint="eastAsia" w:ascii="宋体" w:hAnsi="宋体" w:cs="宋体"/>
          <w:b/>
          <w:i w:val="0"/>
          <w:caps w:val="0"/>
          <w:color w:val="000000" w:themeColor="text1"/>
          <w:spacing w:val="0"/>
          <w:w w:val="100"/>
          <w:sz w:val="21"/>
          <w:szCs w:val="21"/>
          <w:highlight w:val="none"/>
          <w:lang w:val="en-US" w:eastAsia="zh-CN"/>
          <w14:textFill>
            <w14:solidFill>
              <w14:schemeClr w14:val="tx1"/>
            </w14:solidFill>
          </w14:textFill>
        </w:rPr>
        <w:t>工</w:t>
      </w:r>
      <w:r>
        <w:rPr>
          <w:rFonts w:hint="eastAsia" w:ascii="宋体" w:hAnsi="宋体" w:eastAsia="宋体" w:cs="宋体"/>
          <w:b/>
          <w:i w:val="0"/>
          <w:caps w:val="0"/>
          <w:color w:val="000000" w:themeColor="text1"/>
          <w:spacing w:val="0"/>
          <w:w w:val="100"/>
          <w:sz w:val="21"/>
          <w:szCs w:val="21"/>
          <w:highlight w:val="none"/>
          <w:lang w:val="en-US" w:eastAsia="zh-CN"/>
          <w14:textFill>
            <w14:solidFill>
              <w14:schemeClr w14:val="tx1"/>
            </w14:solidFill>
          </w14:textFill>
        </w:rPr>
        <w:t>业</w:t>
      </w:r>
      <w:r>
        <w:rPr>
          <w:rFonts w:hint="eastAsia" w:ascii="宋体" w:hAnsi="宋体" w:eastAsia="宋体" w:cs="宋体"/>
          <w:b/>
          <w:i w:val="0"/>
          <w:caps w:val="0"/>
          <w:color w:val="000000" w:themeColor="text1"/>
          <w:spacing w:val="0"/>
          <w:w w:val="100"/>
          <w:sz w:val="21"/>
          <w:szCs w:val="21"/>
          <w:highlight w:val="none"/>
          <w14:textFill>
            <w14:solidFill>
              <w14:schemeClr w14:val="tx1"/>
            </w14:solidFill>
          </w14:textFill>
        </w:rPr>
        <w:t>。</w:t>
      </w:r>
    </w:p>
    <w:p w14:paraId="4C0E711A">
      <w:pPr>
        <w:pStyle w:val="16"/>
        <w:keepNext w:val="0"/>
        <w:keepLines w:val="0"/>
        <w:pageBreakBefore w:val="0"/>
        <w:widowControl w:val="0"/>
        <w:kinsoku/>
        <w:wordWrap/>
        <w:overflowPunct/>
        <w:topLinePunct w:val="0"/>
        <w:autoSpaceDE/>
        <w:autoSpaceDN/>
        <w:bidi w:val="0"/>
        <w:adjustRightInd/>
        <w:snapToGrid w:val="0"/>
        <w:spacing w:before="0" w:beforeAutospacing="0" w:afterAutospacing="0" w:line="480" w:lineRule="auto"/>
        <w:ind w:left="0" w:right="0" w:firstLine="422" w:firstLineChars="200"/>
        <w:jc w:val="both"/>
        <w:textAlignment w:val="baseline"/>
        <w:outlineLvl w:val="9"/>
        <w:rPr>
          <w:rFonts w:hint="eastAsia" w:ascii="宋体" w:hAnsi="宋体" w:eastAsia="宋体" w:cs="宋体"/>
          <w:b/>
          <w:i w:val="0"/>
          <w:caps w:val="0"/>
          <w:color w:val="000000" w:themeColor="text1"/>
          <w:spacing w:val="0"/>
          <w:w w:val="100"/>
          <w:sz w:val="21"/>
          <w:szCs w:val="21"/>
          <w:highlight w:val="none"/>
          <w14:textFill>
            <w14:solidFill>
              <w14:schemeClr w14:val="tx1"/>
            </w14:solidFill>
          </w14:textFill>
        </w:rPr>
      </w:pPr>
      <w:r>
        <w:rPr>
          <w:rFonts w:hint="eastAsia" w:ascii="宋体" w:hAnsi="宋体" w:eastAsia="宋体" w:cs="宋体"/>
          <w:b/>
          <w:i w:val="0"/>
          <w:caps w:val="0"/>
          <w:color w:val="000000" w:themeColor="text1"/>
          <w:spacing w:val="0"/>
          <w:w w:val="100"/>
          <w:sz w:val="21"/>
          <w:szCs w:val="21"/>
          <w:highlight w:val="none"/>
          <w:lang w:val="en-US" w:eastAsia="zh-CN"/>
          <w14:textFill>
            <w14:solidFill>
              <w14:schemeClr w14:val="tx1"/>
            </w14:solidFill>
          </w14:textFill>
        </w:rPr>
        <w:t>2</w:t>
      </w:r>
      <w:r>
        <w:rPr>
          <w:rFonts w:hint="eastAsia" w:ascii="宋体" w:hAnsi="宋体" w:eastAsia="宋体" w:cs="宋体"/>
          <w:b/>
          <w:i w:val="0"/>
          <w:caps w:val="0"/>
          <w:color w:val="000000" w:themeColor="text1"/>
          <w:spacing w:val="0"/>
          <w:w w:val="100"/>
          <w:sz w:val="21"/>
          <w:szCs w:val="21"/>
          <w:highlight w:val="none"/>
          <w:lang w:eastAsia="zh-CN"/>
          <w14:textFill>
            <w14:solidFill>
              <w14:schemeClr w14:val="tx1"/>
            </w14:solidFill>
          </w14:textFill>
        </w:rPr>
        <w:t>、</w:t>
      </w:r>
      <w:r>
        <w:rPr>
          <w:rFonts w:hint="eastAsia" w:ascii="宋体" w:hAnsi="宋体" w:eastAsia="宋体" w:cs="宋体"/>
          <w:b/>
          <w:i w:val="0"/>
          <w:caps w:val="0"/>
          <w:color w:val="000000" w:themeColor="text1"/>
          <w:spacing w:val="0"/>
          <w:w w:val="100"/>
          <w:sz w:val="21"/>
          <w:szCs w:val="21"/>
          <w:highlight w:val="none"/>
          <w14:textFill>
            <w14:solidFill>
              <w14:schemeClr w14:val="tx1"/>
            </w14:solidFill>
          </w14:textFill>
        </w:rPr>
        <w:t>从业人员、营业收入、资产总额填报上一年度数据，无上一年度数据的新成立企业可不填报。</w:t>
      </w:r>
    </w:p>
    <w:p w14:paraId="1A622FB4">
      <w:pPr>
        <w:overflowPunct/>
        <w:bidi w:val="0"/>
        <w:adjustRightInd w:val="0"/>
        <w:snapToGrid w:val="0"/>
        <w:spacing w:line="360" w:lineRule="auto"/>
        <w:ind w:firstLine="420" w:firstLineChars="200"/>
        <w:outlineLvl w:val="9"/>
        <w:rPr>
          <w:rFonts w:hint="eastAsia" w:ascii="宋体" w:hAnsi="宋体" w:eastAsia="宋体" w:cs="宋体"/>
          <w:bCs/>
          <w:color w:val="000000" w:themeColor="text1"/>
          <w:szCs w:val="21"/>
          <w:highlight w:val="none"/>
          <w14:textFill>
            <w14:solidFill>
              <w14:schemeClr w14:val="tx1"/>
            </w14:solidFill>
          </w14:textFill>
        </w:rPr>
      </w:pPr>
    </w:p>
    <w:p w14:paraId="02A1603E">
      <w:pPr>
        <w:overflowPunct/>
        <w:autoSpaceDE w:val="0"/>
        <w:autoSpaceDN w:val="0"/>
        <w:bidi w:val="0"/>
        <w:adjustRightInd w:val="0"/>
        <w:spacing w:line="600" w:lineRule="exact"/>
        <w:outlineLvl w:val="9"/>
        <w:rPr>
          <w:rFonts w:hint="eastAsia" w:ascii="宋体" w:hAnsi="宋体" w:eastAsia="宋体" w:cs="宋体"/>
          <w:b/>
          <w:bCs/>
          <w:color w:val="000000" w:themeColor="text1"/>
          <w:szCs w:val="21"/>
          <w:highlight w:val="none"/>
          <w14:textFill>
            <w14:solidFill>
              <w14:schemeClr w14:val="tx1"/>
            </w14:solidFill>
          </w14:textFill>
        </w:rPr>
        <w:sectPr>
          <w:pgSz w:w="11850" w:h="16783"/>
          <w:pgMar w:top="1440" w:right="1080" w:bottom="1440" w:left="1080" w:header="720" w:footer="720" w:gutter="0"/>
          <w:pgNumType w:fmt="decimal"/>
          <w:cols w:space="720" w:num="1"/>
        </w:sectPr>
      </w:pPr>
    </w:p>
    <w:p w14:paraId="777666CB">
      <w:pPr>
        <w:pStyle w:val="37"/>
        <w:overflowPunct/>
        <w:bidi w:val="0"/>
        <w:ind w:left="0" w:leftChars="0" w:firstLine="0" w:firstLineChars="0"/>
        <w:outlineLvl w:val="9"/>
        <w:rPr>
          <w:rFonts w:hint="eastAsia" w:ascii="宋体" w:hAnsi="宋体" w:eastAsia="宋体" w:cs="宋体"/>
          <w:color w:val="000000" w:themeColor="text1"/>
          <w:kern w:val="2"/>
          <w:sz w:val="21"/>
          <w:szCs w:val="24"/>
          <w:highlight w:val="none"/>
          <w:lang w:val="en-US" w:eastAsia="zh-CN" w:bidi="ar-SA"/>
          <w14:textFill>
            <w14:solidFill>
              <w14:schemeClr w14:val="tx1"/>
            </w14:solidFill>
          </w14:textFill>
        </w:rPr>
      </w:pPr>
      <w:r>
        <w:rPr>
          <w:rFonts w:hint="eastAsia" w:ascii="宋体" w:hAnsi="宋体" w:eastAsia="宋体" w:cs="宋体"/>
          <w:color w:val="000000" w:themeColor="text1"/>
          <w:kern w:val="2"/>
          <w:sz w:val="21"/>
          <w:szCs w:val="24"/>
          <w:highlight w:val="none"/>
          <w:lang w:val="en-US" w:eastAsia="zh-CN" w:bidi="ar-SA"/>
          <w14:textFill>
            <w14:solidFill>
              <w14:schemeClr w14:val="tx1"/>
            </w14:solidFill>
          </w14:textFill>
        </w:rPr>
        <w:t>附2 残疾人福利性单位声明</w:t>
      </w:r>
    </w:p>
    <w:p w14:paraId="56C43173">
      <w:pPr>
        <w:overflowPunct/>
        <w:bidi w:val="0"/>
        <w:spacing w:line="588" w:lineRule="exact"/>
        <w:jc w:val="center"/>
        <w:outlineLvl w:val="9"/>
        <w:rPr>
          <w:rFonts w:hint="eastAsia" w:ascii="宋体" w:hAnsi="宋体" w:eastAsia="宋体" w:cs="宋体"/>
          <w:b/>
          <w:color w:val="000000" w:themeColor="text1"/>
          <w:spacing w:val="6"/>
          <w:sz w:val="32"/>
          <w:szCs w:val="32"/>
          <w:highlight w:val="none"/>
          <w14:textFill>
            <w14:solidFill>
              <w14:schemeClr w14:val="tx1"/>
            </w14:solidFill>
          </w14:textFill>
        </w:rPr>
      </w:pPr>
      <w:bookmarkStart w:id="83" w:name="OLE_LINK13"/>
      <w:bookmarkStart w:id="84" w:name="OLE_LINK14"/>
      <w:r>
        <w:rPr>
          <w:rFonts w:hint="eastAsia" w:ascii="宋体" w:hAnsi="宋体" w:eastAsia="宋体" w:cs="宋体"/>
          <w:b/>
          <w:color w:val="000000" w:themeColor="text1"/>
          <w:spacing w:val="6"/>
          <w:sz w:val="32"/>
          <w:szCs w:val="32"/>
          <w:highlight w:val="none"/>
          <w14:textFill>
            <w14:solidFill>
              <w14:schemeClr w14:val="tx1"/>
            </w14:solidFill>
          </w14:textFill>
        </w:rPr>
        <w:t>残疾人福利性单位声明函</w:t>
      </w:r>
    </w:p>
    <w:bookmarkEnd w:id="83"/>
    <w:bookmarkEnd w:id="84"/>
    <w:p w14:paraId="71D8944E">
      <w:pPr>
        <w:overflowPunct/>
        <w:bidi w:val="0"/>
        <w:jc w:val="center"/>
        <w:outlineLvl w:val="9"/>
        <w:rPr>
          <w:rFonts w:hint="eastAsia" w:ascii="宋体" w:hAnsi="宋体" w:eastAsia="宋体" w:cs="宋体"/>
          <w:color w:val="000000" w:themeColor="text1"/>
          <w:szCs w:val="21"/>
          <w:highlight w:val="none"/>
          <w:u w:val="single"/>
          <w14:textFill>
            <w14:solidFill>
              <w14:schemeClr w14:val="tx1"/>
            </w14:solidFill>
          </w14:textFill>
        </w:rPr>
      </w:pPr>
    </w:p>
    <w:p w14:paraId="59A79013">
      <w:pPr>
        <w:overflowPunct/>
        <w:bidi w:val="0"/>
        <w:jc w:val="center"/>
        <w:outlineLvl w:val="9"/>
        <w:rPr>
          <w:rFonts w:hint="eastAsia" w:ascii="宋体" w:hAnsi="宋体" w:eastAsia="宋体" w:cs="宋体"/>
          <w:color w:val="000000" w:themeColor="text1"/>
          <w:szCs w:val="21"/>
          <w:highlight w:val="none"/>
          <w:u w:val="single"/>
          <w14:textFill>
            <w14:solidFill>
              <w14:schemeClr w14:val="tx1"/>
            </w14:solidFill>
          </w14:textFill>
        </w:rPr>
      </w:pPr>
      <w:r>
        <w:rPr>
          <w:rFonts w:hint="eastAsia" w:ascii="宋体" w:hAnsi="宋体" w:eastAsia="宋体" w:cs="宋体"/>
          <w:color w:val="000000" w:themeColor="text1"/>
          <w:szCs w:val="21"/>
          <w:highlight w:val="none"/>
          <w:u w:val="single"/>
          <w14:textFill>
            <w14:solidFill>
              <w14:schemeClr w14:val="tx1"/>
            </w14:solidFill>
          </w14:textFill>
        </w:rPr>
        <w:t>【不属于残疾人福利性单位的无需填写】</w:t>
      </w:r>
    </w:p>
    <w:p w14:paraId="15252602">
      <w:pPr>
        <w:overflowPunct/>
        <w:bidi w:val="0"/>
        <w:spacing w:line="588" w:lineRule="exact"/>
        <w:outlineLvl w:val="9"/>
        <w:rPr>
          <w:rFonts w:hint="eastAsia" w:ascii="宋体" w:hAnsi="宋体" w:eastAsia="宋体" w:cs="宋体"/>
          <w:b/>
          <w:color w:val="000000" w:themeColor="text1"/>
          <w:spacing w:val="6"/>
          <w:sz w:val="30"/>
          <w:szCs w:val="30"/>
          <w:highlight w:val="none"/>
          <w14:textFill>
            <w14:solidFill>
              <w14:schemeClr w14:val="tx1"/>
            </w14:solidFill>
          </w14:textFill>
        </w:rPr>
      </w:pPr>
    </w:p>
    <w:p w14:paraId="0F396D47">
      <w:pPr>
        <w:overflowPunct/>
        <w:bidi w:val="0"/>
        <w:spacing w:line="588" w:lineRule="exact"/>
        <w:ind w:firstLine="504" w:firstLineChars="200"/>
        <w:outlineLvl w:val="9"/>
        <w:rPr>
          <w:rFonts w:hint="eastAsia" w:ascii="宋体" w:hAnsi="宋体" w:eastAsia="宋体" w:cs="宋体"/>
          <w:color w:val="000000" w:themeColor="text1"/>
          <w:spacing w:val="6"/>
          <w:sz w:val="24"/>
          <w:szCs w:val="24"/>
          <w:highlight w:val="none"/>
          <w14:textFill>
            <w14:solidFill>
              <w14:schemeClr w14:val="tx1"/>
            </w14:solidFill>
          </w14:textFill>
        </w:rPr>
      </w:pPr>
      <w:r>
        <w:rPr>
          <w:rFonts w:hint="eastAsia" w:ascii="宋体" w:hAnsi="宋体" w:eastAsia="宋体" w:cs="宋体"/>
          <w:color w:val="000000" w:themeColor="text1"/>
          <w:spacing w:val="6"/>
          <w:sz w:val="24"/>
          <w:szCs w:val="24"/>
          <w:highlight w:val="none"/>
          <w14:textFill>
            <w14:solidFill>
              <w14:schemeClr w14:val="tx1"/>
            </w14:solidFill>
          </w14:textFill>
        </w:rPr>
        <w:t>本单位郑重声明，根据《财政部 民政部 中国残疾人联合会关于促进残疾人就业政府采购政策的通知》（财库</w:t>
      </w:r>
      <w:r>
        <w:rPr>
          <w:rFonts w:hint="eastAsia" w:ascii="宋体" w:hAnsi="宋体" w:eastAsia="宋体" w:cs="宋体"/>
          <w:color w:val="000000" w:themeColor="text1"/>
          <w:sz w:val="24"/>
          <w:szCs w:val="24"/>
          <w:highlight w:val="none"/>
          <w14:textFill>
            <w14:solidFill>
              <w14:schemeClr w14:val="tx1"/>
            </w14:solidFill>
          </w14:textFill>
        </w:rPr>
        <w:t>〔2017〕 141</w:t>
      </w:r>
      <w:r>
        <w:rPr>
          <w:rFonts w:hint="eastAsia" w:ascii="宋体" w:hAnsi="宋体" w:eastAsia="宋体" w:cs="宋体"/>
          <w:color w:val="000000" w:themeColor="text1"/>
          <w:spacing w:val="6"/>
          <w:sz w:val="24"/>
          <w:szCs w:val="24"/>
          <w:highlight w:val="none"/>
          <w14:textFill>
            <w14:solidFill>
              <w14:schemeClr w14:val="tx1"/>
            </w14:solidFill>
          </w14:textFill>
        </w:rPr>
        <w:t>号）的规定，本单位为符合条件的残疾人福利性单位，且本单位参加______单位的______项目采购活动提供本单位制造的货物（由本单位承担工程/提供服务），或者提供其他残疾人福利性单位制造的货物（不包括使用非残疾人福利性单位注册商标的货物）。</w:t>
      </w:r>
    </w:p>
    <w:p w14:paraId="7A6383C9">
      <w:pPr>
        <w:overflowPunct/>
        <w:bidi w:val="0"/>
        <w:spacing w:line="588" w:lineRule="exact"/>
        <w:ind w:firstLine="504" w:firstLineChars="200"/>
        <w:outlineLvl w:val="9"/>
        <w:rPr>
          <w:rFonts w:hint="eastAsia" w:ascii="宋体" w:hAnsi="宋体" w:eastAsia="宋体" w:cs="宋体"/>
          <w:color w:val="000000" w:themeColor="text1"/>
          <w:spacing w:val="6"/>
          <w:sz w:val="24"/>
          <w:szCs w:val="24"/>
          <w:highlight w:val="none"/>
          <w14:textFill>
            <w14:solidFill>
              <w14:schemeClr w14:val="tx1"/>
            </w14:solidFill>
          </w14:textFill>
        </w:rPr>
      </w:pPr>
      <w:r>
        <w:rPr>
          <w:rFonts w:hint="eastAsia" w:ascii="宋体" w:hAnsi="宋体" w:eastAsia="宋体" w:cs="宋体"/>
          <w:color w:val="000000" w:themeColor="text1"/>
          <w:spacing w:val="6"/>
          <w:sz w:val="24"/>
          <w:szCs w:val="24"/>
          <w:highlight w:val="none"/>
          <w14:textFill>
            <w14:solidFill>
              <w14:schemeClr w14:val="tx1"/>
            </w14:solidFill>
          </w14:textFill>
        </w:rPr>
        <w:t>本单位对上述声明的真实性负责。如有虚假，将依法承担相应责任。</w:t>
      </w:r>
    </w:p>
    <w:p w14:paraId="3C590013">
      <w:pPr>
        <w:overflowPunct/>
        <w:bidi w:val="0"/>
        <w:spacing w:line="588" w:lineRule="exact"/>
        <w:ind w:firstLine="504" w:firstLineChars="200"/>
        <w:outlineLvl w:val="9"/>
        <w:rPr>
          <w:rFonts w:hint="eastAsia" w:ascii="宋体" w:hAnsi="宋体" w:eastAsia="宋体" w:cs="宋体"/>
          <w:color w:val="000000" w:themeColor="text1"/>
          <w:spacing w:val="6"/>
          <w:sz w:val="24"/>
          <w:szCs w:val="24"/>
          <w:highlight w:val="none"/>
          <w14:textFill>
            <w14:solidFill>
              <w14:schemeClr w14:val="tx1"/>
            </w14:solidFill>
          </w14:textFill>
        </w:rPr>
      </w:pPr>
    </w:p>
    <w:p w14:paraId="2F0BE9A7">
      <w:pPr>
        <w:overflowPunct/>
        <w:bidi w:val="0"/>
        <w:spacing w:line="588" w:lineRule="exact"/>
        <w:ind w:firstLine="504" w:firstLineChars="200"/>
        <w:outlineLvl w:val="9"/>
        <w:rPr>
          <w:rFonts w:hint="eastAsia" w:ascii="宋体" w:hAnsi="宋体" w:eastAsia="宋体" w:cs="宋体"/>
          <w:color w:val="000000" w:themeColor="text1"/>
          <w:spacing w:val="6"/>
          <w:sz w:val="24"/>
          <w:szCs w:val="24"/>
          <w:highlight w:val="none"/>
          <w14:textFill>
            <w14:solidFill>
              <w14:schemeClr w14:val="tx1"/>
            </w14:solidFill>
          </w14:textFill>
        </w:rPr>
      </w:pPr>
    </w:p>
    <w:p w14:paraId="377ABD72">
      <w:pPr>
        <w:tabs>
          <w:tab w:val="left" w:pos="4860"/>
        </w:tabs>
        <w:overflowPunct/>
        <w:bidi w:val="0"/>
        <w:spacing w:line="588" w:lineRule="exact"/>
        <w:ind w:right="1560" w:firstLine="504" w:firstLineChars="200"/>
        <w:jc w:val="center"/>
        <w:outlineLvl w:val="9"/>
        <w:rPr>
          <w:rFonts w:hint="eastAsia" w:ascii="宋体" w:hAnsi="宋体" w:eastAsia="宋体" w:cs="宋体"/>
          <w:color w:val="000000" w:themeColor="text1"/>
          <w:spacing w:val="6"/>
          <w:sz w:val="24"/>
          <w:szCs w:val="24"/>
          <w:highlight w:val="none"/>
          <w14:textFill>
            <w14:solidFill>
              <w14:schemeClr w14:val="tx1"/>
            </w14:solidFill>
          </w14:textFill>
        </w:rPr>
      </w:pPr>
      <w:r>
        <w:rPr>
          <w:rFonts w:hint="eastAsia" w:ascii="宋体" w:hAnsi="宋体" w:eastAsia="宋体" w:cs="宋体"/>
          <w:color w:val="000000" w:themeColor="text1"/>
          <w:spacing w:val="6"/>
          <w:sz w:val="24"/>
          <w:szCs w:val="24"/>
          <w:highlight w:val="none"/>
          <w14:textFill>
            <w14:solidFill>
              <w14:schemeClr w14:val="tx1"/>
            </w14:solidFill>
          </w14:textFill>
        </w:rPr>
        <w:t xml:space="preserve">               </w:t>
      </w:r>
      <w:bookmarkStart w:id="85" w:name="_Toc16061_WPSOffice_Level1"/>
      <w:r>
        <w:rPr>
          <w:rFonts w:hint="eastAsia" w:ascii="宋体" w:hAnsi="宋体" w:eastAsia="宋体" w:cs="宋体"/>
          <w:color w:val="000000" w:themeColor="text1"/>
          <w:spacing w:val="6"/>
          <w:sz w:val="24"/>
          <w:szCs w:val="24"/>
          <w:highlight w:val="none"/>
          <w14:textFill>
            <w14:solidFill>
              <w14:schemeClr w14:val="tx1"/>
            </w14:solidFill>
          </w14:textFill>
        </w:rPr>
        <w:t>单位名称（盖章）：</w:t>
      </w:r>
      <w:bookmarkEnd w:id="85"/>
    </w:p>
    <w:p w14:paraId="0DAD8BE9">
      <w:pPr>
        <w:tabs>
          <w:tab w:val="left" w:pos="4860"/>
        </w:tabs>
        <w:overflowPunct/>
        <w:bidi w:val="0"/>
        <w:spacing w:line="588" w:lineRule="exact"/>
        <w:ind w:right="1560" w:firstLine="504" w:firstLineChars="200"/>
        <w:jc w:val="center"/>
        <w:outlineLvl w:val="9"/>
        <w:rPr>
          <w:rFonts w:hint="eastAsia" w:ascii="宋体" w:hAnsi="宋体" w:eastAsia="宋体" w:cs="宋体"/>
          <w:color w:val="000000" w:themeColor="text1"/>
          <w:spacing w:val="6"/>
          <w:sz w:val="24"/>
          <w:szCs w:val="24"/>
          <w:highlight w:val="none"/>
          <w14:textFill>
            <w14:solidFill>
              <w14:schemeClr w14:val="tx1"/>
            </w14:solidFill>
          </w14:textFill>
        </w:rPr>
      </w:pPr>
      <w:r>
        <w:rPr>
          <w:rFonts w:hint="eastAsia" w:ascii="宋体" w:hAnsi="宋体" w:eastAsia="宋体" w:cs="宋体"/>
          <w:color w:val="000000" w:themeColor="text1"/>
          <w:spacing w:val="6"/>
          <w:sz w:val="24"/>
          <w:szCs w:val="24"/>
          <w:highlight w:val="none"/>
          <w14:textFill>
            <w14:solidFill>
              <w14:schemeClr w14:val="tx1"/>
            </w14:solidFill>
          </w14:textFill>
        </w:rPr>
        <w:t xml:space="preserve">       </w:t>
      </w:r>
      <w:bookmarkStart w:id="86" w:name="_Toc32569_WPSOffice_Level1"/>
      <w:r>
        <w:rPr>
          <w:rFonts w:hint="eastAsia" w:ascii="宋体" w:hAnsi="宋体" w:eastAsia="宋体" w:cs="宋体"/>
          <w:color w:val="000000" w:themeColor="text1"/>
          <w:spacing w:val="6"/>
          <w:sz w:val="24"/>
          <w:szCs w:val="24"/>
          <w:highlight w:val="none"/>
          <w14:textFill>
            <w14:solidFill>
              <w14:schemeClr w14:val="tx1"/>
            </w14:solidFill>
          </w14:textFill>
        </w:rPr>
        <w:t>日  期：</w:t>
      </w:r>
      <w:bookmarkEnd w:id="86"/>
    </w:p>
    <w:p w14:paraId="0819A339">
      <w:pPr>
        <w:overflowPunct/>
        <w:bidi w:val="0"/>
        <w:outlineLvl w:val="9"/>
        <w:rPr>
          <w:rFonts w:hint="eastAsia" w:ascii="宋体" w:hAnsi="宋体" w:eastAsia="宋体" w:cs="宋体"/>
          <w:color w:val="000000" w:themeColor="text1"/>
          <w:sz w:val="24"/>
          <w:szCs w:val="24"/>
          <w:highlight w:val="none"/>
          <w14:textFill>
            <w14:solidFill>
              <w14:schemeClr w14:val="tx1"/>
            </w14:solidFill>
          </w14:textFill>
        </w:rPr>
        <w:sectPr>
          <w:pgSz w:w="11850" w:h="16783"/>
          <w:pgMar w:top="1440" w:right="1080" w:bottom="1440" w:left="1080" w:header="720" w:footer="720" w:gutter="0"/>
          <w:pgNumType w:fmt="decimal"/>
          <w:cols w:space="720" w:num="1"/>
        </w:sectPr>
      </w:pPr>
    </w:p>
    <w:p w14:paraId="48C35908">
      <w:pPr>
        <w:pStyle w:val="37"/>
        <w:overflowPunct/>
        <w:bidi w:val="0"/>
        <w:ind w:left="0" w:leftChars="0" w:firstLine="0" w:firstLineChars="0"/>
        <w:outlineLvl w:val="9"/>
        <w:rPr>
          <w:rFonts w:hint="eastAsia" w:ascii="宋体" w:hAnsi="宋体" w:eastAsia="宋体" w:cs="宋体"/>
          <w:color w:val="000000" w:themeColor="text1"/>
          <w:kern w:val="2"/>
          <w:sz w:val="21"/>
          <w:szCs w:val="24"/>
          <w:highlight w:val="none"/>
          <w:lang w:val="en-US" w:eastAsia="zh-CN" w:bidi="ar-SA"/>
          <w14:textFill>
            <w14:solidFill>
              <w14:schemeClr w14:val="tx1"/>
            </w14:solidFill>
          </w14:textFill>
        </w:rPr>
      </w:pPr>
      <w:r>
        <w:rPr>
          <w:rFonts w:hint="eastAsia" w:ascii="宋体" w:hAnsi="宋体" w:eastAsia="宋体" w:cs="宋体"/>
          <w:color w:val="000000" w:themeColor="text1"/>
          <w:kern w:val="2"/>
          <w:sz w:val="21"/>
          <w:szCs w:val="24"/>
          <w:highlight w:val="none"/>
          <w:lang w:val="en-US" w:eastAsia="zh-CN" w:bidi="ar-SA"/>
          <w14:textFill>
            <w14:solidFill>
              <w14:schemeClr w14:val="tx1"/>
            </w14:solidFill>
          </w14:textFill>
        </w:rPr>
        <w:t>附3 监狱企业的证明文件</w:t>
      </w:r>
    </w:p>
    <w:p w14:paraId="6BC41C75">
      <w:pPr>
        <w:overflowPunct/>
        <w:bidi w:val="0"/>
        <w:snapToGrid/>
        <w:spacing w:before="0" w:beforeAutospacing="0" w:after="0" w:afterAutospacing="0" w:line="240" w:lineRule="auto"/>
        <w:jc w:val="both"/>
        <w:textAlignment w:val="baseline"/>
        <w:outlineLvl w:val="9"/>
        <w:rPr>
          <w:rFonts w:hint="eastAsia" w:ascii="宋体" w:hAnsi="宋体" w:eastAsia="宋体" w:cs="宋体"/>
          <w:b w:val="0"/>
          <w:i w:val="0"/>
          <w:caps w:val="0"/>
          <w:color w:val="000000" w:themeColor="text1"/>
          <w:spacing w:val="0"/>
          <w:w w:val="100"/>
          <w:sz w:val="20"/>
          <w:highlight w:val="none"/>
          <w14:textFill>
            <w14:solidFill>
              <w14:schemeClr w14:val="tx1"/>
            </w14:solidFill>
          </w14:textFill>
        </w:rPr>
      </w:pPr>
    </w:p>
    <w:p w14:paraId="3A046727">
      <w:pPr>
        <w:overflowPunct/>
        <w:bidi w:val="0"/>
        <w:snapToGrid/>
        <w:spacing w:before="312" w:beforeAutospacing="0" w:after="312" w:afterAutospacing="0" w:line="360" w:lineRule="auto"/>
        <w:jc w:val="center"/>
        <w:textAlignment w:val="baseline"/>
        <w:outlineLvl w:val="9"/>
        <w:rPr>
          <w:rFonts w:hint="eastAsia" w:ascii="宋体" w:hAnsi="宋体" w:eastAsia="宋体" w:cs="宋体"/>
          <w:b/>
          <w:i w:val="0"/>
          <w:caps w:val="0"/>
          <w:color w:val="000000" w:themeColor="text1"/>
          <w:spacing w:val="20"/>
          <w:w w:val="100"/>
          <w:sz w:val="30"/>
          <w:szCs w:val="30"/>
          <w:highlight w:val="none"/>
          <w14:textFill>
            <w14:solidFill>
              <w14:schemeClr w14:val="tx1"/>
            </w14:solidFill>
          </w14:textFill>
        </w:rPr>
      </w:pPr>
      <w:r>
        <w:rPr>
          <w:rFonts w:hint="eastAsia" w:ascii="宋体" w:hAnsi="宋体" w:eastAsia="宋体" w:cs="宋体"/>
          <w:b/>
          <w:i w:val="0"/>
          <w:caps w:val="0"/>
          <w:color w:val="000000" w:themeColor="text1"/>
          <w:spacing w:val="20"/>
          <w:w w:val="100"/>
          <w:sz w:val="30"/>
          <w:szCs w:val="30"/>
          <w:highlight w:val="none"/>
          <w14:textFill>
            <w14:solidFill>
              <w14:schemeClr w14:val="tx1"/>
            </w14:solidFill>
          </w14:textFill>
        </w:rPr>
        <w:t>（如适用填写，不适用无须填写，只填写不适用即可）</w:t>
      </w:r>
    </w:p>
    <w:p w14:paraId="2138629B">
      <w:pPr>
        <w:overflowPunct/>
        <w:bidi w:val="0"/>
        <w:snapToGrid/>
        <w:spacing w:before="312" w:beforeAutospacing="0" w:after="312" w:afterAutospacing="0" w:line="360" w:lineRule="auto"/>
        <w:jc w:val="center"/>
        <w:textAlignment w:val="baseline"/>
        <w:outlineLvl w:val="9"/>
        <w:rPr>
          <w:rFonts w:hint="eastAsia" w:ascii="宋体" w:hAnsi="宋体" w:eastAsia="宋体" w:cs="宋体"/>
          <w:b/>
          <w:i w:val="0"/>
          <w:caps w:val="0"/>
          <w:color w:val="000000" w:themeColor="text1"/>
          <w:spacing w:val="20"/>
          <w:w w:val="100"/>
          <w:sz w:val="30"/>
          <w:szCs w:val="30"/>
          <w:highlight w:val="none"/>
          <w14:textFill>
            <w14:solidFill>
              <w14:schemeClr w14:val="tx1"/>
            </w14:solidFill>
          </w14:textFill>
        </w:rPr>
      </w:pPr>
      <w:r>
        <w:rPr>
          <w:rFonts w:hint="eastAsia" w:ascii="宋体" w:hAnsi="宋体" w:eastAsia="宋体" w:cs="宋体"/>
          <w:b/>
          <w:i w:val="0"/>
          <w:caps w:val="0"/>
          <w:color w:val="000000" w:themeColor="text1"/>
          <w:spacing w:val="20"/>
          <w:w w:val="100"/>
          <w:sz w:val="30"/>
          <w:szCs w:val="30"/>
          <w:highlight w:val="none"/>
          <w14:textFill>
            <w14:solidFill>
              <w14:schemeClr w14:val="tx1"/>
            </w14:solidFill>
          </w14:textFill>
        </w:rPr>
        <w:t>监狱企业的证明文件</w:t>
      </w:r>
    </w:p>
    <w:p w14:paraId="48455E8E">
      <w:pPr>
        <w:overflowPunct/>
        <w:bidi w:val="0"/>
        <w:outlineLvl w:val="9"/>
        <w:rPr>
          <w:rFonts w:hint="eastAsia" w:ascii="宋体" w:hAnsi="宋体" w:eastAsia="宋体" w:cs="宋体"/>
          <w:b/>
          <w:i w:val="0"/>
          <w:caps w:val="0"/>
          <w:color w:val="000000" w:themeColor="text1"/>
          <w:spacing w:val="20"/>
          <w:w w:val="100"/>
          <w:sz w:val="30"/>
          <w:szCs w:val="30"/>
          <w:highlight w:val="none"/>
          <w14:textFill>
            <w14:solidFill>
              <w14:schemeClr w14:val="tx1"/>
            </w14:solidFill>
          </w14:textFill>
        </w:rPr>
      </w:pPr>
    </w:p>
    <w:p w14:paraId="692178C8">
      <w:pPr>
        <w:overflowPunct/>
        <w:bidi w:val="0"/>
        <w:outlineLvl w:val="9"/>
        <w:rPr>
          <w:rFonts w:hint="eastAsia" w:ascii="宋体" w:hAnsi="宋体" w:eastAsia="宋体" w:cs="宋体"/>
          <w:b/>
          <w:i w:val="0"/>
          <w:caps w:val="0"/>
          <w:color w:val="000000" w:themeColor="text1"/>
          <w:spacing w:val="20"/>
          <w:w w:val="100"/>
          <w:sz w:val="30"/>
          <w:szCs w:val="30"/>
          <w:highlight w:val="none"/>
          <w14:textFill>
            <w14:solidFill>
              <w14:schemeClr w14:val="tx1"/>
            </w14:solidFill>
          </w14:textFill>
        </w:rPr>
      </w:pPr>
    </w:p>
    <w:p w14:paraId="5956F3AD">
      <w:pPr>
        <w:overflowPunct/>
        <w:bidi w:val="0"/>
        <w:outlineLvl w:val="9"/>
        <w:rPr>
          <w:rFonts w:hint="eastAsia" w:ascii="宋体" w:hAnsi="宋体" w:eastAsia="宋体" w:cs="宋体"/>
          <w:b/>
          <w:i w:val="0"/>
          <w:caps w:val="0"/>
          <w:color w:val="000000" w:themeColor="text1"/>
          <w:spacing w:val="20"/>
          <w:w w:val="100"/>
          <w:sz w:val="30"/>
          <w:szCs w:val="30"/>
          <w:highlight w:val="none"/>
          <w14:textFill>
            <w14:solidFill>
              <w14:schemeClr w14:val="tx1"/>
            </w14:solidFill>
          </w14:textFill>
        </w:rPr>
      </w:pPr>
    </w:p>
    <w:p w14:paraId="1348F6BC">
      <w:pPr>
        <w:overflowPunct/>
        <w:bidi w:val="0"/>
        <w:outlineLvl w:val="9"/>
        <w:rPr>
          <w:rFonts w:hint="eastAsia" w:ascii="宋体" w:hAnsi="宋体" w:eastAsia="宋体" w:cs="宋体"/>
          <w:b/>
          <w:i w:val="0"/>
          <w:caps w:val="0"/>
          <w:color w:val="000000" w:themeColor="text1"/>
          <w:spacing w:val="20"/>
          <w:w w:val="100"/>
          <w:sz w:val="30"/>
          <w:szCs w:val="30"/>
          <w:highlight w:val="none"/>
          <w14:textFill>
            <w14:solidFill>
              <w14:schemeClr w14:val="tx1"/>
            </w14:solidFill>
          </w14:textFill>
        </w:rPr>
      </w:pPr>
    </w:p>
    <w:p w14:paraId="693659EB">
      <w:pPr>
        <w:overflowPunct/>
        <w:bidi w:val="0"/>
        <w:outlineLvl w:val="9"/>
        <w:rPr>
          <w:rFonts w:hint="eastAsia" w:ascii="宋体" w:hAnsi="宋体" w:eastAsia="宋体" w:cs="宋体"/>
          <w:color w:val="000000" w:themeColor="text1"/>
          <w:highlight w:val="none"/>
          <w14:textFill>
            <w14:solidFill>
              <w14:schemeClr w14:val="tx1"/>
            </w14:solidFill>
          </w14:textFill>
        </w:rPr>
      </w:pPr>
    </w:p>
    <w:p w14:paraId="71B2CD19">
      <w:pPr>
        <w:overflowPunct/>
        <w:bidi w:val="0"/>
        <w:snapToGrid/>
        <w:spacing w:before="0" w:beforeAutospacing="0" w:after="0" w:afterAutospacing="0" w:line="440" w:lineRule="exact"/>
        <w:jc w:val="both"/>
        <w:textAlignment w:val="baseline"/>
        <w:outlineLvl w:val="9"/>
        <w:rPr>
          <w:rFonts w:hint="eastAsia" w:ascii="宋体" w:hAnsi="宋体" w:eastAsia="宋体" w:cs="宋体"/>
          <w:b w:val="0"/>
          <w:bCs w:val="0"/>
          <w:i w:val="0"/>
          <w:caps w:val="0"/>
          <w:color w:val="000000" w:themeColor="text1"/>
          <w:spacing w:val="0"/>
          <w:w w:val="100"/>
          <w:sz w:val="24"/>
          <w:szCs w:val="24"/>
          <w:highlight w:val="none"/>
          <w14:textFill>
            <w14:solidFill>
              <w14:schemeClr w14:val="tx1"/>
            </w14:solidFill>
          </w14:textFill>
        </w:rPr>
      </w:pPr>
      <w:r>
        <w:rPr>
          <w:rFonts w:hint="eastAsia" w:ascii="宋体" w:hAnsi="宋体" w:eastAsia="宋体" w:cs="宋体"/>
          <w:b w:val="0"/>
          <w:bCs w:val="0"/>
          <w:i w:val="0"/>
          <w:caps w:val="0"/>
          <w:color w:val="000000" w:themeColor="text1"/>
          <w:spacing w:val="0"/>
          <w:w w:val="100"/>
          <w:sz w:val="24"/>
          <w:szCs w:val="24"/>
          <w:highlight w:val="none"/>
          <w14:textFill>
            <w14:solidFill>
              <w14:schemeClr w14:val="tx1"/>
            </w14:solidFill>
          </w14:textFill>
        </w:rPr>
        <w:t>说明：监狱企业参加政府采购活动时，应当提供由省级以上监狱管理局、戒毒管理局（含新疆生产建设兵团）出具的属于监狱企业的证明文件并加盖单位公章。</w:t>
      </w:r>
    </w:p>
    <w:p w14:paraId="69D295A2">
      <w:pPr>
        <w:overflowPunct/>
        <w:bidi w:val="0"/>
        <w:outlineLvl w:val="9"/>
        <w:rPr>
          <w:rFonts w:hint="eastAsia" w:ascii="宋体" w:hAnsi="宋体" w:eastAsia="宋体" w:cs="宋体"/>
          <w:b w:val="0"/>
          <w:bCs w:val="0"/>
          <w:color w:val="000000" w:themeColor="text1"/>
          <w:sz w:val="24"/>
          <w:szCs w:val="24"/>
          <w:highlight w:val="none"/>
          <w14:textFill>
            <w14:solidFill>
              <w14:schemeClr w14:val="tx1"/>
            </w14:solidFill>
          </w14:textFill>
        </w:rPr>
        <w:sectPr>
          <w:pgSz w:w="11850" w:h="16783"/>
          <w:pgMar w:top="1440" w:right="1080" w:bottom="1440" w:left="1080" w:header="720" w:footer="720" w:gutter="0"/>
          <w:pgNumType w:fmt="decimal"/>
          <w:cols w:space="720" w:num="1"/>
        </w:sectPr>
      </w:pPr>
    </w:p>
    <w:p w14:paraId="4A46CD26">
      <w:pPr>
        <w:keepLines w:val="0"/>
        <w:pageBreakBefore/>
        <w:overflowPunct/>
        <w:bidi w:val="0"/>
        <w:spacing w:line="415" w:lineRule="auto"/>
        <w:jc w:val="left"/>
        <w:textAlignment w:val="baseline"/>
        <w:outlineLvl w:val="9"/>
        <w:rPr>
          <w:rStyle w:val="41"/>
          <w:rFonts w:hint="eastAsia" w:ascii="宋体" w:hAnsi="宋体" w:eastAsia="宋体" w:cs="宋体"/>
          <w:b/>
          <w:bCs w:val="0"/>
          <w:color w:val="000000" w:themeColor="text1"/>
          <w:spacing w:val="12"/>
          <w:sz w:val="24"/>
          <w:szCs w:val="24"/>
          <w:highlight w:val="none"/>
          <w14:textFill>
            <w14:solidFill>
              <w14:schemeClr w14:val="tx1"/>
            </w14:solidFill>
          </w14:textFill>
        </w:rPr>
      </w:pPr>
      <w:bookmarkStart w:id="87" w:name="_Toc11517"/>
      <w:r>
        <w:rPr>
          <w:rStyle w:val="41"/>
          <w:rFonts w:hint="eastAsia" w:ascii="宋体" w:hAnsi="宋体" w:eastAsia="宋体" w:cs="宋体"/>
          <w:b/>
          <w:bCs w:val="0"/>
          <w:color w:val="000000" w:themeColor="text1"/>
          <w:spacing w:val="12"/>
          <w:sz w:val="24"/>
          <w:szCs w:val="24"/>
          <w:highlight w:val="none"/>
          <w14:textFill>
            <w14:solidFill>
              <w14:schemeClr w14:val="tx1"/>
            </w14:solidFill>
          </w14:textFill>
        </w:rPr>
        <w:t>中小企业划型标准规定</w:t>
      </w:r>
      <w:bookmarkEnd w:id="87"/>
    </w:p>
    <w:p w14:paraId="4564D883">
      <w:pPr>
        <w:overflowPunct/>
        <w:bidi w:val="0"/>
        <w:outlineLvl w:val="9"/>
        <w:rPr>
          <w:rFonts w:hint="eastAsia" w:ascii="宋体" w:hAnsi="宋体" w:eastAsia="宋体" w:cs="宋体"/>
          <w:color w:val="000000" w:themeColor="text1"/>
          <w:szCs w:val="21"/>
          <w:highlight w:val="none"/>
          <w14:textFill>
            <w14:solidFill>
              <w14:schemeClr w14:val="tx1"/>
            </w14:solidFill>
          </w14:textFill>
        </w:rPr>
      </w:pPr>
      <w:r>
        <w:rPr>
          <w:rFonts w:hint="eastAsia" w:ascii="宋体" w:hAnsi="宋体" w:eastAsia="宋体" w:cs="宋体"/>
          <w:color w:val="000000" w:themeColor="text1"/>
          <w:szCs w:val="21"/>
          <w:highlight w:val="none"/>
          <w:shd w:val="clear" w:color="auto" w:fill="FFFFFF"/>
          <w14:textFill>
            <w14:solidFill>
              <w14:schemeClr w14:val="tx1"/>
            </w14:solidFill>
          </w14:textFill>
        </w:rPr>
        <w:t xml:space="preserve">      </w:t>
      </w:r>
      <w:r>
        <w:rPr>
          <w:rFonts w:hint="eastAsia" w:ascii="宋体" w:hAnsi="宋体" w:eastAsia="宋体" w:cs="宋体"/>
          <w:color w:val="000000" w:themeColor="text1"/>
          <w:szCs w:val="21"/>
          <w:highlight w:val="none"/>
          <w:shd w:val="clear" w:color="auto" w:fill="FFFFFF"/>
          <w14:textFill>
            <w14:solidFill>
              <w14:schemeClr w14:val="tx1"/>
            </w14:solidFill>
          </w14:textFill>
        </w:rPr>
        <w:drawing>
          <wp:inline distT="0" distB="0" distL="114300" distR="114300">
            <wp:extent cx="4286250" cy="1905000"/>
            <wp:effectExtent l="0" t="0" r="0" b="0"/>
            <wp:docPr id="1" name="图片 1" descr="IMG_25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1" descr="IMG_257"/>
                    <pic:cNvPicPr>
                      <a:picLocks noChangeAspect="1"/>
                    </pic:cNvPicPr>
                  </pic:nvPicPr>
                  <pic:blipFill>
                    <a:blip r:embed="rId12"/>
                    <a:stretch>
                      <a:fillRect/>
                    </a:stretch>
                  </pic:blipFill>
                  <pic:spPr>
                    <a:xfrm>
                      <a:off x="0" y="0"/>
                      <a:ext cx="4286250" cy="1905000"/>
                    </a:xfrm>
                    <a:prstGeom prst="rect">
                      <a:avLst/>
                    </a:prstGeom>
                    <a:noFill/>
                    <a:ln>
                      <a:noFill/>
                    </a:ln>
                  </pic:spPr>
                </pic:pic>
              </a:graphicData>
            </a:graphic>
          </wp:inline>
        </w:drawing>
      </w:r>
    </w:p>
    <w:p w14:paraId="01178A73">
      <w:pPr>
        <w:overflowPunct/>
        <w:bidi w:val="0"/>
        <w:outlineLvl w:val="9"/>
        <w:rPr>
          <w:rFonts w:hint="eastAsia" w:ascii="宋体" w:hAnsi="宋体" w:eastAsia="宋体" w:cs="宋体"/>
          <w:color w:val="000000" w:themeColor="text1"/>
          <w:highlight w:val="none"/>
          <w14:textFill>
            <w14:solidFill>
              <w14:schemeClr w14:val="tx1"/>
            </w14:solidFill>
          </w14:textFill>
        </w:rPr>
      </w:pPr>
      <w:r>
        <w:rPr>
          <w:rFonts w:hint="eastAsia" w:ascii="宋体" w:hAnsi="宋体" w:eastAsia="宋体" w:cs="宋体"/>
          <w:color w:val="000000" w:themeColor="text1"/>
          <w:highlight w:val="none"/>
          <w14:textFill>
            <w14:solidFill>
              <w14:schemeClr w14:val="tx1"/>
            </w14:solidFill>
          </w14:textFill>
        </w:rPr>
        <w:t>工信部联企业〔2011〕300号</w:t>
      </w:r>
    </w:p>
    <w:p w14:paraId="4CBB4417">
      <w:pPr>
        <w:widowControl/>
        <w:pBdr>
          <w:top w:val="single" w:color="FF0000" w:sz="18" w:space="30"/>
        </w:pBdr>
        <w:shd w:val="clear" w:color="auto" w:fill="FFFFFF"/>
        <w:overflowPunct/>
        <w:bidi w:val="0"/>
        <w:spacing w:before="100" w:beforeAutospacing="1" w:after="100" w:afterAutospacing="1" w:line="420" w:lineRule="atLeast"/>
        <w:ind w:left="150"/>
        <w:jc w:val="center"/>
        <w:outlineLvl w:val="9"/>
        <w:rPr>
          <w:rFonts w:hint="eastAsia"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shd w:val="clear" w:color="auto" w:fill="FFFFFF"/>
          <w:lang w:bidi="ar"/>
          <w14:textFill>
            <w14:solidFill>
              <w14:schemeClr w14:val="tx1"/>
            </w14:solidFill>
          </w14:textFill>
        </w:rPr>
        <w:t>关于印发中小企业划型标准规定的通知</w:t>
      </w:r>
    </w:p>
    <w:p w14:paraId="0B78FF0A">
      <w:pPr>
        <w:pStyle w:val="34"/>
        <w:overflowPunct/>
        <w:bidi w:val="0"/>
        <w:spacing w:before="452" w:after="150" w:line="560" w:lineRule="atLeast"/>
        <w:ind w:left="150"/>
        <w:outlineLvl w:val="9"/>
        <w:rPr>
          <w:rFonts w:hint="eastAsia" w:ascii="宋体" w:hAnsi="宋体" w:eastAsia="宋体" w:cs="宋体"/>
          <w:color w:val="000000" w:themeColor="text1"/>
          <w:highlight w:val="none"/>
          <w:shd w:val="clear" w:color="auto" w:fill="FFFFFF"/>
          <w:lang w:eastAsia="zh-CN"/>
          <w14:textFill>
            <w14:solidFill>
              <w14:schemeClr w14:val="tx1"/>
            </w14:solidFill>
          </w14:textFill>
        </w:rPr>
      </w:pPr>
      <w:r>
        <w:rPr>
          <w:rFonts w:hint="eastAsia" w:ascii="宋体" w:hAnsi="宋体" w:eastAsia="宋体" w:cs="宋体"/>
          <w:color w:val="000000" w:themeColor="text1"/>
          <w:highlight w:val="none"/>
          <w:shd w:val="clear" w:color="auto" w:fill="FFFFFF"/>
          <w14:textFill>
            <w14:solidFill>
              <w14:schemeClr w14:val="tx1"/>
            </w14:solidFill>
          </w14:textFill>
        </w:rPr>
        <w:t>各省、自治区、直辖市人民政府，国务院各部委、各直属机构及有关单位：</w:t>
      </w:r>
    </w:p>
    <w:p w14:paraId="0D90C188">
      <w:pPr>
        <w:pStyle w:val="34"/>
        <w:overflowPunct/>
        <w:bidi w:val="0"/>
        <w:spacing w:before="452" w:after="150" w:line="560" w:lineRule="atLeast"/>
        <w:ind w:left="150"/>
        <w:outlineLvl w:val="9"/>
        <w:rPr>
          <w:rFonts w:hint="eastAsia" w:ascii="宋体" w:hAnsi="宋体" w:eastAsia="宋体" w:cs="宋体"/>
          <w:color w:val="000000" w:themeColor="text1"/>
          <w:highlight w:val="none"/>
          <w14:textFill>
            <w14:solidFill>
              <w14:schemeClr w14:val="tx1"/>
            </w14:solidFill>
          </w14:textFill>
        </w:rPr>
      </w:pPr>
      <w:r>
        <w:rPr>
          <w:rFonts w:hint="eastAsia" w:ascii="宋体" w:hAnsi="宋体" w:eastAsia="宋体" w:cs="宋体"/>
          <w:color w:val="000000" w:themeColor="text1"/>
          <w:highlight w:val="none"/>
          <w:shd w:val="clear" w:color="auto" w:fill="FFFFFF"/>
          <w14:textFill>
            <w14:solidFill>
              <w14:schemeClr w14:val="tx1"/>
            </w14:solidFill>
          </w14:textFill>
        </w:rPr>
        <w:t>　　为贯彻落实《中华人民共和国中小企业促进法》和《国务院关于进一步促进中小企业发展的若干意见》（国发〔2009〕36号），工业和信息化部、国家统计局、发展改革委、财政部研究制定了《中小企业划型标准规定》。经国务院同意，现印发给你们，请遵照执行。</w:t>
      </w:r>
    </w:p>
    <w:p w14:paraId="4E67ACE3">
      <w:pPr>
        <w:pStyle w:val="34"/>
        <w:overflowPunct/>
        <w:bidi w:val="0"/>
        <w:spacing w:before="452" w:after="150" w:line="560" w:lineRule="atLeast"/>
        <w:ind w:left="150"/>
        <w:jc w:val="right"/>
        <w:outlineLvl w:val="9"/>
        <w:rPr>
          <w:rFonts w:hint="eastAsia" w:ascii="宋体" w:hAnsi="宋体" w:eastAsia="宋体" w:cs="宋体"/>
          <w:color w:val="000000" w:themeColor="text1"/>
          <w:highlight w:val="none"/>
          <w:shd w:val="clear" w:color="auto" w:fill="FFFFFF"/>
          <w:lang w:eastAsia="zh-CN"/>
          <w14:textFill>
            <w14:solidFill>
              <w14:schemeClr w14:val="tx1"/>
            </w14:solidFill>
          </w14:textFill>
        </w:rPr>
      </w:pPr>
      <w:r>
        <w:rPr>
          <w:rFonts w:hint="eastAsia" w:ascii="宋体" w:hAnsi="宋体" w:eastAsia="宋体" w:cs="宋体"/>
          <w:color w:val="000000" w:themeColor="text1"/>
          <w:highlight w:val="none"/>
          <w:shd w:val="clear" w:color="auto" w:fill="FFFFFF"/>
          <w14:textFill>
            <w14:solidFill>
              <w14:schemeClr w14:val="tx1"/>
            </w14:solidFill>
          </w14:textFill>
        </w:rPr>
        <w:t>工业和信息化部</w:t>
      </w:r>
    </w:p>
    <w:p w14:paraId="5453B21F">
      <w:pPr>
        <w:pStyle w:val="34"/>
        <w:overflowPunct/>
        <w:bidi w:val="0"/>
        <w:spacing w:before="452" w:after="150" w:line="560" w:lineRule="atLeast"/>
        <w:ind w:left="150"/>
        <w:jc w:val="right"/>
        <w:outlineLvl w:val="9"/>
        <w:rPr>
          <w:rFonts w:hint="eastAsia" w:ascii="宋体" w:hAnsi="宋体" w:eastAsia="宋体" w:cs="宋体"/>
          <w:color w:val="000000" w:themeColor="text1"/>
          <w:highlight w:val="none"/>
          <w:shd w:val="clear" w:color="auto" w:fill="FFFFFF"/>
          <w:lang w:eastAsia="zh-CN"/>
          <w14:textFill>
            <w14:solidFill>
              <w14:schemeClr w14:val="tx1"/>
            </w14:solidFill>
          </w14:textFill>
        </w:rPr>
      </w:pPr>
      <w:r>
        <w:rPr>
          <w:rFonts w:hint="eastAsia" w:ascii="宋体" w:hAnsi="宋体" w:eastAsia="宋体" w:cs="宋体"/>
          <w:color w:val="000000" w:themeColor="text1"/>
          <w:highlight w:val="none"/>
          <w:shd w:val="clear" w:color="auto" w:fill="FFFFFF"/>
          <w14:textFill>
            <w14:solidFill>
              <w14:schemeClr w14:val="tx1"/>
            </w14:solidFill>
          </w14:textFill>
        </w:rPr>
        <w:t>国家统计局</w:t>
      </w:r>
    </w:p>
    <w:p w14:paraId="75C8EE8A">
      <w:pPr>
        <w:pStyle w:val="34"/>
        <w:overflowPunct/>
        <w:bidi w:val="0"/>
        <w:spacing w:before="452" w:after="150" w:line="560" w:lineRule="atLeast"/>
        <w:ind w:left="150"/>
        <w:jc w:val="right"/>
        <w:outlineLvl w:val="9"/>
        <w:rPr>
          <w:rFonts w:hint="eastAsia" w:ascii="宋体" w:hAnsi="宋体" w:eastAsia="宋体" w:cs="宋体"/>
          <w:color w:val="000000" w:themeColor="text1"/>
          <w:highlight w:val="none"/>
          <w:shd w:val="clear" w:color="auto" w:fill="FFFFFF"/>
          <w:lang w:eastAsia="zh-CN"/>
          <w14:textFill>
            <w14:solidFill>
              <w14:schemeClr w14:val="tx1"/>
            </w14:solidFill>
          </w14:textFill>
        </w:rPr>
      </w:pPr>
      <w:r>
        <w:rPr>
          <w:rFonts w:hint="eastAsia" w:ascii="宋体" w:hAnsi="宋体" w:eastAsia="宋体" w:cs="宋体"/>
          <w:color w:val="000000" w:themeColor="text1"/>
          <w:highlight w:val="none"/>
          <w:shd w:val="clear" w:color="auto" w:fill="FFFFFF"/>
          <w14:textFill>
            <w14:solidFill>
              <w14:schemeClr w14:val="tx1"/>
            </w14:solidFill>
          </w14:textFill>
        </w:rPr>
        <w:t>国家发展和改革委员会</w:t>
      </w:r>
    </w:p>
    <w:p w14:paraId="652ECBE0">
      <w:pPr>
        <w:pStyle w:val="34"/>
        <w:overflowPunct/>
        <w:bidi w:val="0"/>
        <w:spacing w:before="452" w:after="150" w:line="560" w:lineRule="atLeast"/>
        <w:ind w:left="150"/>
        <w:jc w:val="right"/>
        <w:outlineLvl w:val="9"/>
        <w:rPr>
          <w:rFonts w:hint="eastAsia" w:ascii="宋体" w:hAnsi="宋体" w:eastAsia="宋体" w:cs="宋体"/>
          <w:color w:val="000000" w:themeColor="text1"/>
          <w:highlight w:val="none"/>
          <w:shd w:val="clear" w:color="auto" w:fill="FFFFFF"/>
          <w:lang w:eastAsia="zh-CN"/>
          <w14:textFill>
            <w14:solidFill>
              <w14:schemeClr w14:val="tx1"/>
            </w14:solidFill>
          </w14:textFill>
        </w:rPr>
      </w:pPr>
      <w:r>
        <w:rPr>
          <w:rFonts w:hint="eastAsia" w:ascii="宋体" w:hAnsi="宋体" w:eastAsia="宋体" w:cs="宋体"/>
          <w:color w:val="000000" w:themeColor="text1"/>
          <w:highlight w:val="none"/>
          <w:shd w:val="clear" w:color="auto" w:fill="FFFFFF"/>
          <w14:textFill>
            <w14:solidFill>
              <w14:schemeClr w14:val="tx1"/>
            </w14:solidFill>
          </w14:textFill>
        </w:rPr>
        <w:t>财政部</w:t>
      </w:r>
    </w:p>
    <w:p w14:paraId="49137072">
      <w:pPr>
        <w:pStyle w:val="34"/>
        <w:overflowPunct/>
        <w:bidi w:val="0"/>
        <w:spacing w:before="452" w:after="150" w:line="560" w:lineRule="atLeast"/>
        <w:ind w:left="150"/>
        <w:jc w:val="right"/>
        <w:outlineLvl w:val="9"/>
        <w:rPr>
          <w:rFonts w:hint="eastAsia" w:ascii="宋体" w:hAnsi="宋体" w:eastAsia="宋体" w:cs="宋体"/>
          <w:color w:val="000000" w:themeColor="text1"/>
          <w:highlight w:val="none"/>
          <w14:textFill>
            <w14:solidFill>
              <w14:schemeClr w14:val="tx1"/>
            </w14:solidFill>
          </w14:textFill>
        </w:rPr>
      </w:pPr>
      <w:r>
        <w:rPr>
          <w:rFonts w:hint="eastAsia" w:ascii="宋体" w:hAnsi="宋体" w:eastAsia="宋体" w:cs="宋体"/>
          <w:color w:val="000000" w:themeColor="text1"/>
          <w:highlight w:val="none"/>
          <w:shd w:val="clear" w:color="auto" w:fill="FFFFFF"/>
          <w14:textFill>
            <w14:solidFill>
              <w14:schemeClr w14:val="tx1"/>
            </w14:solidFill>
          </w14:textFill>
        </w:rPr>
        <w:t>二○一一年六月十八日</w:t>
      </w:r>
    </w:p>
    <w:p w14:paraId="65341D98">
      <w:pPr>
        <w:pStyle w:val="34"/>
        <w:shd w:val="clear" w:color="auto" w:fill="FFFFFF"/>
        <w:overflowPunct/>
        <w:bidi w:val="0"/>
        <w:jc w:val="center"/>
        <w:outlineLvl w:val="9"/>
        <w:rPr>
          <w:rStyle w:val="41"/>
          <w:rFonts w:hint="eastAsia" w:ascii="宋体" w:hAnsi="宋体" w:eastAsia="宋体" w:cs="宋体"/>
          <w:color w:val="000000" w:themeColor="text1"/>
          <w:sz w:val="21"/>
          <w:szCs w:val="21"/>
          <w:highlight w:val="none"/>
          <w:shd w:val="clear" w:color="auto" w:fill="FFFFFF"/>
          <w:lang w:eastAsia="zh-CN"/>
          <w14:textFill>
            <w14:solidFill>
              <w14:schemeClr w14:val="tx1"/>
            </w14:solidFill>
          </w14:textFill>
        </w:rPr>
      </w:pPr>
      <w:r>
        <w:rPr>
          <w:rStyle w:val="41"/>
          <w:rFonts w:hint="eastAsia" w:ascii="宋体" w:hAnsi="宋体" w:eastAsia="宋体" w:cs="宋体"/>
          <w:color w:val="000000" w:themeColor="text1"/>
          <w:highlight w:val="none"/>
          <w:shd w:val="clear" w:color="auto" w:fill="FFFFFF"/>
          <w14:textFill>
            <w14:solidFill>
              <w14:schemeClr w14:val="tx1"/>
            </w14:solidFill>
          </w14:textFill>
        </w:rPr>
        <w:br w:type="page"/>
      </w:r>
      <w:r>
        <w:rPr>
          <w:rStyle w:val="41"/>
          <w:rFonts w:hint="eastAsia" w:ascii="宋体" w:hAnsi="宋体" w:eastAsia="宋体" w:cs="宋体"/>
          <w:color w:val="000000" w:themeColor="text1"/>
          <w:sz w:val="21"/>
          <w:szCs w:val="21"/>
          <w:highlight w:val="none"/>
          <w:shd w:val="clear" w:color="auto" w:fill="FFFFFF"/>
          <w14:textFill>
            <w14:solidFill>
              <w14:schemeClr w14:val="tx1"/>
            </w14:solidFill>
          </w14:textFill>
        </w:rPr>
        <w:t>关于印发中小企业划型标准规定的通知</w:t>
      </w:r>
    </w:p>
    <w:p w14:paraId="79DB08CD">
      <w:pPr>
        <w:pStyle w:val="34"/>
        <w:shd w:val="clear" w:color="auto" w:fill="FFFFFF"/>
        <w:overflowPunct/>
        <w:bidi w:val="0"/>
        <w:jc w:val="center"/>
        <w:outlineLvl w:val="9"/>
        <w:rPr>
          <w:rFonts w:hint="eastAsia"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color w:val="000000" w:themeColor="text1"/>
          <w:sz w:val="21"/>
          <w:szCs w:val="21"/>
          <w:highlight w:val="none"/>
          <w:shd w:val="clear" w:color="auto" w:fill="FFFFFF"/>
          <w14:textFill>
            <w14:solidFill>
              <w14:schemeClr w14:val="tx1"/>
            </w14:solidFill>
          </w14:textFill>
        </w:rPr>
        <w:t>工信部联企业〔2011〕300号</w:t>
      </w:r>
    </w:p>
    <w:p w14:paraId="26218055">
      <w:pPr>
        <w:pStyle w:val="34"/>
        <w:shd w:val="clear" w:color="auto" w:fill="FFFFFF"/>
        <w:overflowPunct/>
        <w:bidi w:val="0"/>
        <w:outlineLvl w:val="9"/>
        <w:rPr>
          <w:rFonts w:hint="eastAsia" w:ascii="宋体" w:hAnsi="宋体" w:eastAsia="宋体" w:cs="宋体"/>
          <w:color w:val="000000" w:themeColor="text1"/>
          <w:sz w:val="21"/>
          <w:szCs w:val="21"/>
          <w:highlight w:val="none"/>
          <w:shd w:val="clear" w:color="auto" w:fill="FFFFFF"/>
          <w:lang w:eastAsia="zh-CN"/>
          <w14:textFill>
            <w14:solidFill>
              <w14:schemeClr w14:val="tx1"/>
            </w14:solidFill>
          </w14:textFill>
        </w:rPr>
      </w:pPr>
      <w:r>
        <w:rPr>
          <w:rFonts w:hint="eastAsia" w:ascii="宋体" w:hAnsi="宋体" w:eastAsia="宋体" w:cs="宋体"/>
          <w:color w:val="000000" w:themeColor="text1"/>
          <w:sz w:val="21"/>
          <w:szCs w:val="21"/>
          <w:highlight w:val="none"/>
          <w:shd w:val="clear" w:color="auto" w:fill="FFFFFF"/>
          <w14:textFill>
            <w14:solidFill>
              <w14:schemeClr w14:val="tx1"/>
            </w14:solidFill>
          </w14:textFill>
        </w:rPr>
        <w:t>各省、自治区、直辖市人民政府，国务院各部委、各直属机构及有关单位：</w:t>
      </w:r>
    </w:p>
    <w:p w14:paraId="21CDDB70">
      <w:pPr>
        <w:pStyle w:val="34"/>
        <w:shd w:val="clear" w:color="auto" w:fill="FFFFFF"/>
        <w:overflowPunct/>
        <w:bidi w:val="0"/>
        <w:outlineLvl w:val="9"/>
        <w:rPr>
          <w:rFonts w:hint="eastAsia" w:ascii="宋体" w:hAnsi="宋体" w:eastAsia="宋体" w:cs="宋体"/>
          <w:color w:val="000000" w:themeColor="text1"/>
          <w:sz w:val="21"/>
          <w:szCs w:val="21"/>
          <w:highlight w:val="none"/>
          <w:shd w:val="clear" w:color="auto" w:fill="FFFFFF"/>
          <w:lang w:eastAsia="zh-CN"/>
          <w14:textFill>
            <w14:solidFill>
              <w14:schemeClr w14:val="tx1"/>
            </w14:solidFill>
          </w14:textFill>
        </w:rPr>
      </w:pPr>
      <w:r>
        <w:rPr>
          <w:rFonts w:hint="eastAsia" w:ascii="宋体" w:hAnsi="宋体" w:eastAsia="宋体" w:cs="宋体"/>
          <w:color w:val="000000" w:themeColor="text1"/>
          <w:sz w:val="21"/>
          <w:szCs w:val="21"/>
          <w:highlight w:val="none"/>
          <w:shd w:val="clear" w:color="auto" w:fill="FFFFFF"/>
          <w14:textFill>
            <w14:solidFill>
              <w14:schemeClr w14:val="tx1"/>
            </w14:solidFill>
          </w14:textFill>
        </w:rPr>
        <w:t>　　为贯彻落实《中华人民共和国中小企业促进法》和《国务院关于进一步促进中小企业发展的若干意见》（国发〔2009〕36号），工业和信息化部、国家统计局、发展改革委、财政部研究制定了《中小企业划型标准规定》。经国务院同意，现印发给你们，请遵照执行。</w:t>
      </w:r>
    </w:p>
    <w:p w14:paraId="5BC63B83">
      <w:pPr>
        <w:pStyle w:val="34"/>
        <w:shd w:val="clear" w:color="auto" w:fill="FFFFFF"/>
        <w:overflowPunct/>
        <w:bidi w:val="0"/>
        <w:outlineLvl w:val="9"/>
        <w:rPr>
          <w:rFonts w:hint="eastAsia" w:ascii="宋体" w:hAnsi="宋体" w:eastAsia="宋体" w:cs="宋体"/>
          <w:color w:val="000000" w:themeColor="text1"/>
          <w:sz w:val="21"/>
          <w:szCs w:val="21"/>
          <w:highlight w:val="none"/>
          <w:shd w:val="clear" w:color="auto" w:fill="FFFFFF"/>
          <w:lang w:eastAsia="zh-CN"/>
          <w14:textFill>
            <w14:solidFill>
              <w14:schemeClr w14:val="tx1"/>
            </w14:solidFill>
          </w14:textFill>
        </w:rPr>
      </w:pPr>
      <w:r>
        <w:rPr>
          <w:rFonts w:hint="eastAsia" w:ascii="宋体" w:hAnsi="宋体" w:eastAsia="宋体" w:cs="宋体"/>
          <w:color w:val="000000" w:themeColor="text1"/>
          <w:sz w:val="21"/>
          <w:szCs w:val="21"/>
          <w:highlight w:val="none"/>
          <w:shd w:val="clear" w:color="auto" w:fill="FFFFFF"/>
          <w14:textFill>
            <w14:solidFill>
              <w14:schemeClr w14:val="tx1"/>
            </w14:solidFill>
          </w14:textFill>
        </w:rPr>
        <w:t>　　　　　　　　　　　　　　　　　　　　　　 工业和信息化部　国家统计局</w:t>
      </w:r>
    </w:p>
    <w:p w14:paraId="0D91A2EF">
      <w:pPr>
        <w:pStyle w:val="34"/>
        <w:shd w:val="clear" w:color="auto" w:fill="FFFFFF"/>
        <w:overflowPunct/>
        <w:bidi w:val="0"/>
        <w:outlineLvl w:val="9"/>
        <w:rPr>
          <w:rFonts w:hint="eastAsia" w:ascii="宋体" w:hAnsi="宋体" w:eastAsia="宋体" w:cs="宋体"/>
          <w:color w:val="000000" w:themeColor="text1"/>
          <w:sz w:val="21"/>
          <w:szCs w:val="21"/>
          <w:highlight w:val="none"/>
          <w:shd w:val="clear" w:color="auto" w:fill="FFFFFF"/>
          <w:lang w:eastAsia="zh-CN"/>
          <w14:textFill>
            <w14:solidFill>
              <w14:schemeClr w14:val="tx1"/>
            </w14:solidFill>
          </w14:textFill>
        </w:rPr>
      </w:pPr>
      <w:r>
        <w:rPr>
          <w:rFonts w:hint="eastAsia" w:ascii="宋体" w:hAnsi="宋体" w:eastAsia="宋体" w:cs="宋体"/>
          <w:color w:val="000000" w:themeColor="text1"/>
          <w:sz w:val="21"/>
          <w:szCs w:val="21"/>
          <w:highlight w:val="none"/>
          <w:shd w:val="clear" w:color="auto" w:fill="FFFFFF"/>
          <w14:textFill>
            <w14:solidFill>
              <w14:schemeClr w14:val="tx1"/>
            </w14:solidFill>
          </w14:textFill>
        </w:rPr>
        <w:t>　　　　　　　　　　　　　　　　　　　　　　国家发展和改革委员会　财政部</w:t>
      </w:r>
    </w:p>
    <w:p w14:paraId="7FE90A5B">
      <w:pPr>
        <w:pStyle w:val="34"/>
        <w:shd w:val="clear" w:color="auto" w:fill="FFFFFF"/>
        <w:overflowPunct/>
        <w:bidi w:val="0"/>
        <w:outlineLvl w:val="9"/>
        <w:rPr>
          <w:rFonts w:hint="eastAsia"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color w:val="000000" w:themeColor="text1"/>
          <w:sz w:val="21"/>
          <w:szCs w:val="21"/>
          <w:highlight w:val="none"/>
          <w:shd w:val="clear" w:color="auto" w:fill="FFFFFF"/>
          <w14:textFill>
            <w14:solidFill>
              <w14:schemeClr w14:val="tx1"/>
            </w14:solidFill>
          </w14:textFill>
        </w:rPr>
        <w:t>　　　　　　　　　　　　　　　　　　　　　　　　二○一一年六月十八日</w:t>
      </w:r>
    </w:p>
    <w:p w14:paraId="1DE2CE1C">
      <w:pPr>
        <w:pStyle w:val="34"/>
        <w:shd w:val="clear" w:color="auto" w:fill="FFFFFF"/>
        <w:overflowPunct/>
        <w:bidi w:val="0"/>
        <w:jc w:val="center"/>
        <w:outlineLvl w:val="9"/>
        <w:rPr>
          <w:rFonts w:hint="eastAsia" w:ascii="宋体" w:hAnsi="宋体" w:eastAsia="宋体" w:cs="宋体"/>
          <w:color w:val="000000" w:themeColor="text1"/>
          <w:sz w:val="21"/>
          <w:szCs w:val="21"/>
          <w:highlight w:val="none"/>
          <w14:textFill>
            <w14:solidFill>
              <w14:schemeClr w14:val="tx1"/>
            </w14:solidFill>
          </w14:textFill>
        </w:rPr>
      </w:pPr>
      <w:r>
        <w:rPr>
          <w:rStyle w:val="41"/>
          <w:rFonts w:hint="eastAsia" w:ascii="宋体" w:hAnsi="宋体" w:eastAsia="宋体" w:cs="宋体"/>
          <w:color w:val="000000" w:themeColor="text1"/>
          <w:sz w:val="21"/>
          <w:szCs w:val="21"/>
          <w:highlight w:val="none"/>
          <w:shd w:val="clear" w:color="auto" w:fill="FFFFFF"/>
          <w14:textFill>
            <w14:solidFill>
              <w14:schemeClr w14:val="tx1"/>
            </w14:solidFill>
          </w14:textFill>
        </w:rPr>
        <w:t>中小企业划型标准规定</w:t>
      </w:r>
    </w:p>
    <w:p w14:paraId="188FD0F3">
      <w:pPr>
        <w:pStyle w:val="34"/>
        <w:shd w:val="clear" w:color="auto" w:fill="FFFFFF"/>
        <w:overflowPunct/>
        <w:bidi w:val="0"/>
        <w:outlineLvl w:val="9"/>
        <w:rPr>
          <w:rFonts w:hint="eastAsia" w:ascii="宋体" w:hAnsi="宋体" w:eastAsia="宋体" w:cs="宋体"/>
          <w:color w:val="000000" w:themeColor="text1"/>
          <w:sz w:val="21"/>
          <w:szCs w:val="21"/>
          <w:highlight w:val="none"/>
          <w:shd w:val="clear" w:color="auto" w:fill="FFFFFF"/>
          <w:lang w:eastAsia="zh-CN"/>
          <w14:textFill>
            <w14:solidFill>
              <w14:schemeClr w14:val="tx1"/>
            </w14:solidFill>
          </w14:textFill>
        </w:rPr>
      </w:pPr>
      <w:r>
        <w:rPr>
          <w:rFonts w:hint="eastAsia" w:ascii="宋体" w:hAnsi="宋体" w:eastAsia="宋体" w:cs="宋体"/>
          <w:color w:val="000000" w:themeColor="text1"/>
          <w:sz w:val="21"/>
          <w:szCs w:val="21"/>
          <w:highlight w:val="none"/>
          <w:shd w:val="clear" w:color="auto" w:fill="FFFFFF"/>
          <w14:textFill>
            <w14:solidFill>
              <w14:schemeClr w14:val="tx1"/>
            </w14:solidFill>
          </w14:textFill>
        </w:rPr>
        <w:t>　　一、根据《中华人民共和国中小企业促进法》和《国务院关于进一步促进中小企业发展的若干意见》(国发〔2009〕36号)，制定本规定。</w:t>
      </w:r>
    </w:p>
    <w:p w14:paraId="083E803C">
      <w:pPr>
        <w:pStyle w:val="34"/>
        <w:shd w:val="clear" w:color="auto" w:fill="FFFFFF"/>
        <w:overflowPunct/>
        <w:bidi w:val="0"/>
        <w:outlineLvl w:val="9"/>
        <w:rPr>
          <w:rFonts w:hint="eastAsia" w:ascii="宋体" w:hAnsi="宋体" w:eastAsia="宋体" w:cs="宋体"/>
          <w:color w:val="000000" w:themeColor="text1"/>
          <w:sz w:val="21"/>
          <w:szCs w:val="21"/>
          <w:highlight w:val="none"/>
          <w:shd w:val="clear" w:color="auto" w:fill="FFFFFF"/>
          <w:lang w:eastAsia="zh-CN"/>
          <w14:textFill>
            <w14:solidFill>
              <w14:schemeClr w14:val="tx1"/>
            </w14:solidFill>
          </w14:textFill>
        </w:rPr>
      </w:pPr>
      <w:r>
        <w:rPr>
          <w:rFonts w:hint="eastAsia" w:ascii="宋体" w:hAnsi="宋体" w:eastAsia="宋体" w:cs="宋体"/>
          <w:color w:val="000000" w:themeColor="text1"/>
          <w:sz w:val="21"/>
          <w:szCs w:val="21"/>
          <w:highlight w:val="none"/>
          <w:shd w:val="clear" w:color="auto" w:fill="FFFFFF"/>
          <w14:textFill>
            <w14:solidFill>
              <w14:schemeClr w14:val="tx1"/>
            </w14:solidFill>
          </w14:textFill>
        </w:rPr>
        <w:t>　　二、中小企业划分为中型、小型、微型三种类型，具体标准根据企业从业人员、营业收入、资产总额等指标，结合行业特点制定。</w:t>
      </w:r>
    </w:p>
    <w:p w14:paraId="1D8291CF">
      <w:pPr>
        <w:pStyle w:val="34"/>
        <w:shd w:val="clear" w:color="auto" w:fill="FFFFFF"/>
        <w:overflowPunct/>
        <w:bidi w:val="0"/>
        <w:outlineLvl w:val="9"/>
        <w:rPr>
          <w:rFonts w:hint="eastAsia" w:ascii="宋体" w:hAnsi="宋体" w:eastAsia="宋体" w:cs="宋体"/>
          <w:color w:val="000000" w:themeColor="text1"/>
          <w:sz w:val="21"/>
          <w:szCs w:val="21"/>
          <w:highlight w:val="none"/>
          <w:shd w:val="clear" w:color="auto" w:fill="FFFFFF"/>
          <w:lang w:eastAsia="zh-CN"/>
          <w14:textFill>
            <w14:solidFill>
              <w14:schemeClr w14:val="tx1"/>
            </w14:solidFill>
          </w14:textFill>
        </w:rPr>
      </w:pPr>
      <w:r>
        <w:rPr>
          <w:rFonts w:hint="eastAsia" w:ascii="宋体" w:hAnsi="宋体" w:eastAsia="宋体" w:cs="宋体"/>
          <w:color w:val="000000" w:themeColor="text1"/>
          <w:sz w:val="21"/>
          <w:szCs w:val="21"/>
          <w:highlight w:val="none"/>
          <w:shd w:val="clear" w:color="auto" w:fill="FFFFFF"/>
          <w14:textFill>
            <w14:solidFill>
              <w14:schemeClr w14:val="tx1"/>
            </w14:solidFill>
          </w14:textFill>
        </w:rPr>
        <w:t>　　三、本规定适用的行业包括：农、林、牧、渔业，工业（包括采矿业，制造业，电力、热力、燃气及水生产和供应业），建筑业，批发业，零售业，交通运输业（不含铁路运输业），仓储业，邮政业，住宿业，餐饮业，信息传输业（包括电信、互联网和相关服务），软件和信息技术服务业，房地产开发经营，物业管理，租赁和商务服务业，其他未列明行业（包括科学研究和技术服务业，水利、环境和公共设施管理业，居民服务、修理和其他服务业，社会工作，文化、体育和娱乐业等）。</w:t>
      </w:r>
    </w:p>
    <w:p w14:paraId="19A8F431">
      <w:pPr>
        <w:pStyle w:val="34"/>
        <w:shd w:val="clear" w:color="auto" w:fill="FFFFFF"/>
        <w:overflowPunct/>
        <w:bidi w:val="0"/>
        <w:outlineLvl w:val="9"/>
        <w:rPr>
          <w:rFonts w:hint="eastAsia" w:ascii="宋体" w:hAnsi="宋体" w:eastAsia="宋体" w:cs="宋体"/>
          <w:color w:val="000000" w:themeColor="text1"/>
          <w:sz w:val="21"/>
          <w:szCs w:val="21"/>
          <w:highlight w:val="none"/>
          <w:shd w:val="clear" w:color="auto" w:fill="FFFFFF"/>
          <w:lang w:eastAsia="zh-CN"/>
          <w14:textFill>
            <w14:solidFill>
              <w14:schemeClr w14:val="tx1"/>
            </w14:solidFill>
          </w14:textFill>
        </w:rPr>
      </w:pPr>
      <w:r>
        <w:rPr>
          <w:rFonts w:hint="eastAsia" w:ascii="宋体" w:hAnsi="宋体" w:eastAsia="宋体" w:cs="宋体"/>
          <w:color w:val="000000" w:themeColor="text1"/>
          <w:sz w:val="21"/>
          <w:szCs w:val="21"/>
          <w:highlight w:val="none"/>
          <w:shd w:val="clear" w:color="auto" w:fill="FFFFFF"/>
          <w14:textFill>
            <w14:solidFill>
              <w14:schemeClr w14:val="tx1"/>
            </w14:solidFill>
          </w14:textFill>
        </w:rPr>
        <w:t>　　四、各行业划型标准为：</w:t>
      </w:r>
    </w:p>
    <w:p w14:paraId="12E1B7BB">
      <w:pPr>
        <w:pStyle w:val="34"/>
        <w:shd w:val="clear" w:color="auto" w:fill="FFFFFF"/>
        <w:overflowPunct/>
        <w:bidi w:val="0"/>
        <w:outlineLvl w:val="9"/>
        <w:rPr>
          <w:rFonts w:hint="eastAsia" w:ascii="宋体" w:hAnsi="宋体" w:eastAsia="宋体" w:cs="宋体"/>
          <w:color w:val="000000" w:themeColor="text1"/>
          <w:sz w:val="21"/>
          <w:szCs w:val="21"/>
          <w:highlight w:val="none"/>
          <w:shd w:val="clear" w:color="auto" w:fill="FFFFFF"/>
          <w:lang w:eastAsia="zh-CN"/>
          <w14:textFill>
            <w14:solidFill>
              <w14:schemeClr w14:val="tx1"/>
            </w14:solidFill>
          </w14:textFill>
        </w:rPr>
      </w:pPr>
      <w:r>
        <w:rPr>
          <w:rFonts w:hint="eastAsia" w:ascii="宋体" w:hAnsi="宋体" w:eastAsia="宋体" w:cs="宋体"/>
          <w:color w:val="000000" w:themeColor="text1"/>
          <w:sz w:val="21"/>
          <w:szCs w:val="21"/>
          <w:highlight w:val="none"/>
          <w:shd w:val="clear" w:color="auto" w:fill="FFFFFF"/>
          <w14:textFill>
            <w14:solidFill>
              <w14:schemeClr w14:val="tx1"/>
            </w14:solidFill>
          </w14:textFill>
        </w:rPr>
        <w:t>　　（一）农、林、牧、渔业。营业收入20000万元以下的为中小微型企业。其中，营业收入500万元及以上的为中型企业，营业收入50万元及以上的为小型企业，营业收入50万元以下的为微型企业。</w:t>
      </w:r>
    </w:p>
    <w:p w14:paraId="5202531C">
      <w:pPr>
        <w:pStyle w:val="34"/>
        <w:shd w:val="clear" w:color="auto" w:fill="FFFFFF"/>
        <w:overflowPunct/>
        <w:bidi w:val="0"/>
        <w:outlineLvl w:val="9"/>
        <w:rPr>
          <w:rFonts w:hint="eastAsia" w:ascii="宋体" w:hAnsi="宋体" w:eastAsia="宋体" w:cs="宋体"/>
          <w:color w:val="000000" w:themeColor="text1"/>
          <w:sz w:val="21"/>
          <w:szCs w:val="21"/>
          <w:highlight w:val="none"/>
          <w:shd w:val="clear" w:color="auto" w:fill="FFFFFF"/>
          <w:lang w:eastAsia="zh-CN"/>
          <w14:textFill>
            <w14:solidFill>
              <w14:schemeClr w14:val="tx1"/>
            </w14:solidFill>
          </w14:textFill>
        </w:rPr>
      </w:pPr>
      <w:r>
        <w:rPr>
          <w:rFonts w:hint="eastAsia" w:ascii="宋体" w:hAnsi="宋体" w:eastAsia="宋体" w:cs="宋体"/>
          <w:color w:val="000000" w:themeColor="text1"/>
          <w:sz w:val="21"/>
          <w:szCs w:val="21"/>
          <w:highlight w:val="none"/>
          <w:shd w:val="clear" w:color="auto" w:fill="FFFFFF"/>
          <w14:textFill>
            <w14:solidFill>
              <w14:schemeClr w14:val="tx1"/>
            </w14:solidFill>
          </w14:textFill>
        </w:rPr>
        <w:t>　　（二）工业。从业人员1000人以下或营业收入40000万元以下的为中小微型企业。其中，从业人员300人及以上，且营业收入2000万元及以上的为中型企业；从业人员20人及以上，且营业收入300万元及以上的为小型企业；从业人员20人以下或营业收入300万元以下的为微型企业。</w:t>
      </w:r>
    </w:p>
    <w:p w14:paraId="6DD5A0F8">
      <w:pPr>
        <w:pStyle w:val="34"/>
        <w:shd w:val="clear" w:color="auto" w:fill="FFFFFF"/>
        <w:overflowPunct/>
        <w:bidi w:val="0"/>
        <w:outlineLvl w:val="9"/>
        <w:rPr>
          <w:rFonts w:hint="eastAsia" w:ascii="宋体" w:hAnsi="宋体" w:eastAsia="宋体" w:cs="宋体"/>
          <w:color w:val="000000" w:themeColor="text1"/>
          <w:sz w:val="21"/>
          <w:szCs w:val="21"/>
          <w:highlight w:val="none"/>
          <w:shd w:val="clear" w:color="auto" w:fill="FFFFFF"/>
          <w:lang w:eastAsia="zh-CN"/>
          <w14:textFill>
            <w14:solidFill>
              <w14:schemeClr w14:val="tx1"/>
            </w14:solidFill>
          </w14:textFill>
        </w:rPr>
      </w:pPr>
      <w:r>
        <w:rPr>
          <w:rFonts w:hint="eastAsia" w:ascii="宋体" w:hAnsi="宋体" w:eastAsia="宋体" w:cs="宋体"/>
          <w:color w:val="000000" w:themeColor="text1"/>
          <w:sz w:val="21"/>
          <w:szCs w:val="21"/>
          <w:highlight w:val="none"/>
          <w:shd w:val="clear" w:color="auto" w:fill="FFFFFF"/>
          <w14:textFill>
            <w14:solidFill>
              <w14:schemeClr w14:val="tx1"/>
            </w14:solidFill>
          </w14:textFill>
        </w:rPr>
        <w:t>　　（三）建筑业。营业收入80000万元以下或资产总额80000万元以下的为中小微型企业。其中，营业收入6000万元及以上，且资产总额5000万元及以上的为中型企业；营业收入300万元及以上，且资产总额300万元及以上的为小型企业；营业收入300万元以下或资产总额300万元以下的为微型企业。</w:t>
      </w:r>
    </w:p>
    <w:p w14:paraId="4EF19B09">
      <w:pPr>
        <w:pStyle w:val="34"/>
        <w:shd w:val="clear" w:color="auto" w:fill="FFFFFF"/>
        <w:overflowPunct/>
        <w:bidi w:val="0"/>
        <w:outlineLvl w:val="9"/>
        <w:rPr>
          <w:rFonts w:hint="eastAsia" w:ascii="宋体" w:hAnsi="宋体" w:eastAsia="宋体" w:cs="宋体"/>
          <w:color w:val="000000" w:themeColor="text1"/>
          <w:sz w:val="21"/>
          <w:szCs w:val="21"/>
          <w:highlight w:val="none"/>
          <w:shd w:val="clear" w:color="auto" w:fill="FFFFFF"/>
          <w:lang w:eastAsia="zh-CN"/>
          <w14:textFill>
            <w14:solidFill>
              <w14:schemeClr w14:val="tx1"/>
            </w14:solidFill>
          </w14:textFill>
        </w:rPr>
      </w:pPr>
      <w:r>
        <w:rPr>
          <w:rFonts w:hint="eastAsia" w:ascii="宋体" w:hAnsi="宋体" w:eastAsia="宋体" w:cs="宋体"/>
          <w:color w:val="000000" w:themeColor="text1"/>
          <w:sz w:val="21"/>
          <w:szCs w:val="21"/>
          <w:highlight w:val="none"/>
          <w:shd w:val="clear" w:color="auto" w:fill="FFFFFF"/>
          <w14:textFill>
            <w14:solidFill>
              <w14:schemeClr w14:val="tx1"/>
            </w14:solidFill>
          </w14:textFill>
        </w:rPr>
        <w:t>　　（四）批发业。从业人员200人以下或营业收入40000万元以下的为中小微型企业。其中，从业人员20人及以上，且营业收入5000万元及以上的为中型企业；从业人员5人及以上，且营业收入1000万元及以上的为小型企业；从业人员5人以下或营业收入1000万元以下的为微型企业。</w:t>
      </w:r>
    </w:p>
    <w:p w14:paraId="0B3EA8DE">
      <w:pPr>
        <w:pStyle w:val="34"/>
        <w:shd w:val="clear" w:color="auto" w:fill="FFFFFF"/>
        <w:overflowPunct/>
        <w:bidi w:val="0"/>
        <w:outlineLvl w:val="9"/>
        <w:rPr>
          <w:rFonts w:hint="eastAsia" w:ascii="宋体" w:hAnsi="宋体" w:eastAsia="宋体" w:cs="宋体"/>
          <w:color w:val="000000" w:themeColor="text1"/>
          <w:sz w:val="21"/>
          <w:szCs w:val="21"/>
          <w:highlight w:val="none"/>
          <w:shd w:val="clear" w:color="auto" w:fill="FFFFFF"/>
          <w:lang w:eastAsia="zh-CN"/>
          <w14:textFill>
            <w14:solidFill>
              <w14:schemeClr w14:val="tx1"/>
            </w14:solidFill>
          </w14:textFill>
        </w:rPr>
      </w:pPr>
      <w:r>
        <w:rPr>
          <w:rFonts w:hint="eastAsia" w:ascii="宋体" w:hAnsi="宋体" w:eastAsia="宋体" w:cs="宋体"/>
          <w:color w:val="000000" w:themeColor="text1"/>
          <w:sz w:val="21"/>
          <w:szCs w:val="21"/>
          <w:highlight w:val="none"/>
          <w:shd w:val="clear" w:color="auto" w:fill="FFFFFF"/>
          <w14:textFill>
            <w14:solidFill>
              <w14:schemeClr w14:val="tx1"/>
            </w14:solidFill>
          </w14:textFill>
        </w:rPr>
        <w:t>　　（五）零售业。从业人员300人以下或营业收入20000万元以下的为中小微型企业。其中，从业人员50人及以上，且营业收入500万元及以上的为中型企业；从业人员10人及以上，且营业收入100万元及以上的为小型企业；从业人员10人以下或营业收入100万元以下的为微型企业。</w:t>
      </w:r>
    </w:p>
    <w:p w14:paraId="783B5645">
      <w:pPr>
        <w:pStyle w:val="34"/>
        <w:shd w:val="clear" w:color="auto" w:fill="FFFFFF"/>
        <w:overflowPunct/>
        <w:bidi w:val="0"/>
        <w:outlineLvl w:val="9"/>
        <w:rPr>
          <w:rFonts w:hint="eastAsia" w:ascii="宋体" w:hAnsi="宋体" w:eastAsia="宋体" w:cs="宋体"/>
          <w:color w:val="000000" w:themeColor="text1"/>
          <w:sz w:val="21"/>
          <w:szCs w:val="21"/>
          <w:highlight w:val="none"/>
          <w:shd w:val="clear" w:color="auto" w:fill="FFFFFF"/>
          <w:lang w:eastAsia="zh-CN"/>
          <w14:textFill>
            <w14:solidFill>
              <w14:schemeClr w14:val="tx1"/>
            </w14:solidFill>
          </w14:textFill>
        </w:rPr>
      </w:pPr>
      <w:r>
        <w:rPr>
          <w:rFonts w:hint="eastAsia" w:ascii="宋体" w:hAnsi="宋体" w:eastAsia="宋体" w:cs="宋体"/>
          <w:color w:val="000000" w:themeColor="text1"/>
          <w:sz w:val="21"/>
          <w:szCs w:val="21"/>
          <w:highlight w:val="none"/>
          <w:shd w:val="clear" w:color="auto" w:fill="FFFFFF"/>
          <w14:textFill>
            <w14:solidFill>
              <w14:schemeClr w14:val="tx1"/>
            </w14:solidFill>
          </w14:textFill>
        </w:rPr>
        <w:t>　　（六）交通运输业。从业人员1000人以下或营业收入30000万元以下的为中小微型企业。其中，从业人员300人及以上，且营业收入3000万元及以上的为中型企业；从业人员20人及以上，且营业收入200万元及以上的为小型企业；从业人员20人以下或营业收入200万元以下的为微型企业。</w:t>
      </w:r>
    </w:p>
    <w:p w14:paraId="6B1A03F1">
      <w:pPr>
        <w:pStyle w:val="34"/>
        <w:shd w:val="clear" w:color="auto" w:fill="FFFFFF"/>
        <w:overflowPunct/>
        <w:bidi w:val="0"/>
        <w:outlineLvl w:val="9"/>
        <w:rPr>
          <w:rFonts w:hint="eastAsia" w:ascii="宋体" w:hAnsi="宋体" w:eastAsia="宋体" w:cs="宋体"/>
          <w:color w:val="000000" w:themeColor="text1"/>
          <w:sz w:val="21"/>
          <w:szCs w:val="21"/>
          <w:highlight w:val="none"/>
          <w:shd w:val="clear" w:color="auto" w:fill="FFFFFF"/>
          <w:lang w:eastAsia="zh-CN"/>
          <w14:textFill>
            <w14:solidFill>
              <w14:schemeClr w14:val="tx1"/>
            </w14:solidFill>
          </w14:textFill>
        </w:rPr>
      </w:pPr>
      <w:r>
        <w:rPr>
          <w:rFonts w:hint="eastAsia" w:ascii="宋体" w:hAnsi="宋体" w:eastAsia="宋体" w:cs="宋体"/>
          <w:color w:val="000000" w:themeColor="text1"/>
          <w:sz w:val="21"/>
          <w:szCs w:val="21"/>
          <w:highlight w:val="none"/>
          <w:shd w:val="clear" w:color="auto" w:fill="FFFFFF"/>
          <w14:textFill>
            <w14:solidFill>
              <w14:schemeClr w14:val="tx1"/>
            </w14:solidFill>
          </w14:textFill>
        </w:rPr>
        <w:t>　　（七）仓储业。从业人员200人以下或营业收入30000万元以下的为中小微型企业。其中，从业人员100人及以上，且营业收入1000万元及以上的为中型企业；从业人员20人及以上，且营业收入100万元及以上的为小型企业；从业人员20人以下或营业收入100万元以下的为微型企业。</w:t>
      </w:r>
    </w:p>
    <w:p w14:paraId="69A9DF3D">
      <w:pPr>
        <w:pStyle w:val="34"/>
        <w:shd w:val="clear" w:color="auto" w:fill="FFFFFF"/>
        <w:overflowPunct/>
        <w:bidi w:val="0"/>
        <w:outlineLvl w:val="9"/>
        <w:rPr>
          <w:rFonts w:hint="eastAsia" w:ascii="宋体" w:hAnsi="宋体" w:eastAsia="宋体" w:cs="宋体"/>
          <w:color w:val="000000" w:themeColor="text1"/>
          <w:sz w:val="21"/>
          <w:szCs w:val="21"/>
          <w:highlight w:val="none"/>
          <w:shd w:val="clear" w:color="auto" w:fill="FFFFFF"/>
          <w:lang w:eastAsia="zh-CN"/>
          <w14:textFill>
            <w14:solidFill>
              <w14:schemeClr w14:val="tx1"/>
            </w14:solidFill>
          </w14:textFill>
        </w:rPr>
      </w:pPr>
      <w:r>
        <w:rPr>
          <w:rFonts w:hint="eastAsia" w:ascii="宋体" w:hAnsi="宋体" w:eastAsia="宋体" w:cs="宋体"/>
          <w:color w:val="000000" w:themeColor="text1"/>
          <w:sz w:val="21"/>
          <w:szCs w:val="21"/>
          <w:highlight w:val="none"/>
          <w:shd w:val="clear" w:color="auto" w:fill="FFFFFF"/>
          <w14:textFill>
            <w14:solidFill>
              <w14:schemeClr w14:val="tx1"/>
            </w14:solidFill>
          </w14:textFill>
        </w:rPr>
        <w:t>　　（八）邮政业。从业人员1000人以下或营业收入30000万元以下的为中小微型企业。其中，从业人员300人及以上，且营业收入2000万元及以上的为中型企业；从业人员20人及以上，且营业收入100万元及以上的为小型企业；从业人员20人以下或营业收入100万元以下的为微型企业。</w:t>
      </w:r>
    </w:p>
    <w:p w14:paraId="368F8A52">
      <w:pPr>
        <w:pStyle w:val="34"/>
        <w:shd w:val="clear" w:color="auto" w:fill="FFFFFF"/>
        <w:overflowPunct/>
        <w:bidi w:val="0"/>
        <w:outlineLvl w:val="9"/>
        <w:rPr>
          <w:rFonts w:hint="eastAsia" w:ascii="宋体" w:hAnsi="宋体" w:eastAsia="宋体" w:cs="宋体"/>
          <w:color w:val="000000" w:themeColor="text1"/>
          <w:sz w:val="21"/>
          <w:szCs w:val="21"/>
          <w:highlight w:val="none"/>
          <w:shd w:val="clear" w:color="auto" w:fill="FFFFFF"/>
          <w:lang w:eastAsia="zh-CN"/>
          <w14:textFill>
            <w14:solidFill>
              <w14:schemeClr w14:val="tx1"/>
            </w14:solidFill>
          </w14:textFill>
        </w:rPr>
      </w:pPr>
      <w:r>
        <w:rPr>
          <w:rFonts w:hint="eastAsia" w:ascii="宋体" w:hAnsi="宋体" w:eastAsia="宋体" w:cs="宋体"/>
          <w:color w:val="000000" w:themeColor="text1"/>
          <w:sz w:val="21"/>
          <w:szCs w:val="21"/>
          <w:highlight w:val="none"/>
          <w:shd w:val="clear" w:color="auto" w:fill="FFFFFF"/>
          <w14:textFill>
            <w14:solidFill>
              <w14:schemeClr w14:val="tx1"/>
            </w14:solidFill>
          </w14:textFill>
        </w:rPr>
        <w:t>　　（九）住宿业。从业人员300人以下或营业收入10000万元以下的为中小微型企业。其中，从业人员100人及以上，且营业收入2000万元及以上的为中型企业；从业人员10人及以上，且营业收入100万元及以上的为小型企业；从业人员10人以下或营业收入100万元以下的为微型企业。</w:t>
      </w:r>
    </w:p>
    <w:p w14:paraId="07E37EEB">
      <w:pPr>
        <w:pStyle w:val="34"/>
        <w:shd w:val="clear" w:color="auto" w:fill="FFFFFF"/>
        <w:overflowPunct/>
        <w:bidi w:val="0"/>
        <w:outlineLvl w:val="9"/>
        <w:rPr>
          <w:rFonts w:hint="eastAsia" w:ascii="宋体" w:hAnsi="宋体" w:eastAsia="宋体" w:cs="宋体"/>
          <w:color w:val="000000" w:themeColor="text1"/>
          <w:sz w:val="21"/>
          <w:szCs w:val="21"/>
          <w:highlight w:val="none"/>
          <w:shd w:val="clear" w:color="auto" w:fill="FFFFFF"/>
          <w:lang w:eastAsia="zh-CN"/>
          <w14:textFill>
            <w14:solidFill>
              <w14:schemeClr w14:val="tx1"/>
            </w14:solidFill>
          </w14:textFill>
        </w:rPr>
      </w:pPr>
      <w:r>
        <w:rPr>
          <w:rFonts w:hint="eastAsia" w:ascii="宋体" w:hAnsi="宋体" w:eastAsia="宋体" w:cs="宋体"/>
          <w:color w:val="000000" w:themeColor="text1"/>
          <w:sz w:val="21"/>
          <w:szCs w:val="21"/>
          <w:highlight w:val="none"/>
          <w:shd w:val="clear" w:color="auto" w:fill="FFFFFF"/>
          <w14:textFill>
            <w14:solidFill>
              <w14:schemeClr w14:val="tx1"/>
            </w14:solidFill>
          </w14:textFill>
        </w:rPr>
        <w:t>　　（十）餐饮业。从业人员300人以下或营业收入10000万元以下的为中小微型企业。其中，从业人员100人及以上，且营业收入2000万元及以上的为中型企业；从业人员10人及以上，且营业收入100万元及以上的为小型企业；从业人员10人以下或营业收入100万元以下的为微型企业。</w:t>
      </w:r>
    </w:p>
    <w:p w14:paraId="3951A24B">
      <w:pPr>
        <w:pStyle w:val="34"/>
        <w:shd w:val="clear" w:color="auto" w:fill="FFFFFF"/>
        <w:overflowPunct/>
        <w:bidi w:val="0"/>
        <w:outlineLvl w:val="9"/>
        <w:rPr>
          <w:rFonts w:hint="eastAsia" w:ascii="宋体" w:hAnsi="宋体" w:eastAsia="宋体" w:cs="宋体"/>
          <w:color w:val="000000" w:themeColor="text1"/>
          <w:sz w:val="21"/>
          <w:szCs w:val="21"/>
          <w:highlight w:val="none"/>
          <w:shd w:val="clear" w:color="auto" w:fill="FFFFFF"/>
          <w:lang w:eastAsia="zh-CN"/>
          <w14:textFill>
            <w14:solidFill>
              <w14:schemeClr w14:val="tx1"/>
            </w14:solidFill>
          </w14:textFill>
        </w:rPr>
      </w:pPr>
      <w:r>
        <w:rPr>
          <w:rFonts w:hint="eastAsia" w:ascii="宋体" w:hAnsi="宋体" w:eastAsia="宋体" w:cs="宋体"/>
          <w:color w:val="000000" w:themeColor="text1"/>
          <w:sz w:val="21"/>
          <w:szCs w:val="21"/>
          <w:highlight w:val="none"/>
          <w:shd w:val="clear" w:color="auto" w:fill="FFFFFF"/>
          <w14:textFill>
            <w14:solidFill>
              <w14:schemeClr w14:val="tx1"/>
            </w14:solidFill>
          </w14:textFill>
        </w:rPr>
        <w:t>　　（十一）信息传输业。从业人员2000人以下或营业收入100000万元以下的为中小微型企业。其中，从业人员100人及以上，且营业收入1000万元及以上的为中型企业；从业人员10人及以上，且营业收入100万元及以上的为小型企业；从业人员10人以下或营业收入100万元以下的为微型企业。</w:t>
      </w:r>
    </w:p>
    <w:p w14:paraId="1FBE2E47">
      <w:pPr>
        <w:pStyle w:val="34"/>
        <w:shd w:val="clear" w:color="auto" w:fill="FFFFFF"/>
        <w:overflowPunct/>
        <w:bidi w:val="0"/>
        <w:outlineLvl w:val="9"/>
        <w:rPr>
          <w:rFonts w:hint="eastAsia" w:ascii="宋体" w:hAnsi="宋体" w:eastAsia="宋体" w:cs="宋体"/>
          <w:color w:val="000000" w:themeColor="text1"/>
          <w:sz w:val="21"/>
          <w:szCs w:val="21"/>
          <w:highlight w:val="none"/>
          <w:shd w:val="clear" w:color="auto" w:fill="FFFFFF"/>
          <w:lang w:eastAsia="zh-CN"/>
          <w14:textFill>
            <w14:solidFill>
              <w14:schemeClr w14:val="tx1"/>
            </w14:solidFill>
          </w14:textFill>
        </w:rPr>
      </w:pPr>
      <w:r>
        <w:rPr>
          <w:rFonts w:hint="eastAsia" w:ascii="宋体" w:hAnsi="宋体" w:eastAsia="宋体" w:cs="宋体"/>
          <w:color w:val="000000" w:themeColor="text1"/>
          <w:sz w:val="21"/>
          <w:szCs w:val="21"/>
          <w:highlight w:val="none"/>
          <w:shd w:val="clear" w:color="auto" w:fill="FFFFFF"/>
          <w14:textFill>
            <w14:solidFill>
              <w14:schemeClr w14:val="tx1"/>
            </w14:solidFill>
          </w14:textFill>
        </w:rPr>
        <w:t>　　（十二）软件和信息技术服务业。从业人员300人以下或营业收入10000万元以下的为中小微型企业。其中，从业人员100人及以上，且营业收入1000万元及以上的为中型企业；从业人员10人及以上，且营业收入50万元及以上的为小型企业；从业人员10人以下或营业收入50万元以下的为微型企业。</w:t>
      </w:r>
    </w:p>
    <w:p w14:paraId="5D080017">
      <w:pPr>
        <w:pStyle w:val="34"/>
        <w:shd w:val="clear" w:color="auto" w:fill="FFFFFF"/>
        <w:overflowPunct/>
        <w:bidi w:val="0"/>
        <w:outlineLvl w:val="9"/>
        <w:rPr>
          <w:rFonts w:hint="eastAsia" w:ascii="宋体" w:hAnsi="宋体" w:eastAsia="宋体" w:cs="宋体"/>
          <w:color w:val="000000" w:themeColor="text1"/>
          <w:sz w:val="21"/>
          <w:szCs w:val="21"/>
          <w:highlight w:val="none"/>
          <w:shd w:val="clear" w:color="auto" w:fill="FFFFFF"/>
          <w:lang w:eastAsia="zh-CN"/>
          <w14:textFill>
            <w14:solidFill>
              <w14:schemeClr w14:val="tx1"/>
            </w14:solidFill>
          </w14:textFill>
        </w:rPr>
      </w:pPr>
      <w:r>
        <w:rPr>
          <w:rFonts w:hint="eastAsia" w:ascii="宋体" w:hAnsi="宋体" w:eastAsia="宋体" w:cs="宋体"/>
          <w:color w:val="000000" w:themeColor="text1"/>
          <w:sz w:val="21"/>
          <w:szCs w:val="21"/>
          <w:highlight w:val="none"/>
          <w:shd w:val="clear" w:color="auto" w:fill="FFFFFF"/>
          <w14:textFill>
            <w14:solidFill>
              <w14:schemeClr w14:val="tx1"/>
            </w14:solidFill>
          </w14:textFill>
        </w:rPr>
        <w:t>　　（十三）房地产开发经营。营业收入200000万元以下或资产总额10000万元以下的为中小微型企业。其中，营业收入1000万元及以上，且资产总额5000万元及以上的为中型企业；营业收入100万元及以上，且资产总额2000万元及以上的为小型企业；营业收入100万元以下或资产总额2000万元以下的为微型企业。</w:t>
      </w:r>
    </w:p>
    <w:p w14:paraId="3712979C">
      <w:pPr>
        <w:pStyle w:val="34"/>
        <w:shd w:val="clear" w:color="auto" w:fill="FFFFFF"/>
        <w:overflowPunct/>
        <w:bidi w:val="0"/>
        <w:outlineLvl w:val="9"/>
        <w:rPr>
          <w:rFonts w:hint="eastAsia" w:ascii="宋体" w:hAnsi="宋体" w:eastAsia="宋体" w:cs="宋体"/>
          <w:color w:val="000000" w:themeColor="text1"/>
          <w:sz w:val="21"/>
          <w:szCs w:val="21"/>
          <w:highlight w:val="none"/>
          <w:shd w:val="clear" w:color="auto" w:fill="FFFFFF"/>
          <w:lang w:eastAsia="zh-CN"/>
          <w14:textFill>
            <w14:solidFill>
              <w14:schemeClr w14:val="tx1"/>
            </w14:solidFill>
          </w14:textFill>
        </w:rPr>
      </w:pPr>
      <w:r>
        <w:rPr>
          <w:rFonts w:hint="eastAsia" w:ascii="宋体" w:hAnsi="宋体" w:eastAsia="宋体" w:cs="宋体"/>
          <w:color w:val="000000" w:themeColor="text1"/>
          <w:sz w:val="21"/>
          <w:szCs w:val="21"/>
          <w:highlight w:val="none"/>
          <w:shd w:val="clear" w:color="auto" w:fill="FFFFFF"/>
          <w14:textFill>
            <w14:solidFill>
              <w14:schemeClr w14:val="tx1"/>
            </w14:solidFill>
          </w14:textFill>
        </w:rPr>
        <w:t>　　（十四）物业管理。从业人员1000人以下或营业收入5000万元以下的为中小微型企业。其中，从业人员300人及以上，且营业收入1000万元及以上的为中型企业；从业人员100人及以上，且营业收入500万元及以上的为小型企业；从业人员100人以下或营业收入500万元以下的为微型企业。</w:t>
      </w:r>
    </w:p>
    <w:p w14:paraId="648A8E69">
      <w:pPr>
        <w:pStyle w:val="34"/>
        <w:shd w:val="clear" w:color="auto" w:fill="FFFFFF"/>
        <w:overflowPunct/>
        <w:bidi w:val="0"/>
        <w:outlineLvl w:val="9"/>
        <w:rPr>
          <w:rFonts w:hint="eastAsia" w:ascii="宋体" w:hAnsi="宋体" w:eastAsia="宋体" w:cs="宋体"/>
          <w:color w:val="000000" w:themeColor="text1"/>
          <w:sz w:val="21"/>
          <w:szCs w:val="21"/>
          <w:highlight w:val="none"/>
          <w:shd w:val="clear" w:color="auto" w:fill="FFFFFF"/>
          <w:lang w:eastAsia="zh-CN"/>
          <w14:textFill>
            <w14:solidFill>
              <w14:schemeClr w14:val="tx1"/>
            </w14:solidFill>
          </w14:textFill>
        </w:rPr>
      </w:pPr>
      <w:r>
        <w:rPr>
          <w:rFonts w:hint="eastAsia" w:ascii="宋体" w:hAnsi="宋体" w:eastAsia="宋体" w:cs="宋体"/>
          <w:color w:val="000000" w:themeColor="text1"/>
          <w:sz w:val="21"/>
          <w:szCs w:val="21"/>
          <w:highlight w:val="none"/>
          <w:shd w:val="clear" w:color="auto" w:fill="FFFFFF"/>
          <w14:textFill>
            <w14:solidFill>
              <w14:schemeClr w14:val="tx1"/>
            </w14:solidFill>
          </w14:textFill>
        </w:rPr>
        <w:t>　　（十五）租赁和商务服务业。从业人员300人以下或资产总额120000万元以下的为中小微型企业。其中，从业人员100人及以上，且资产总额8000万元及以上的为中型企业；从业人员10人及以上，且资产总额100万元及以上的为小型企业；从业人员10人以下或资产总额100万元以下的为微型企业。</w:t>
      </w:r>
    </w:p>
    <w:p w14:paraId="1AB194A7">
      <w:pPr>
        <w:pStyle w:val="34"/>
        <w:shd w:val="clear" w:color="auto" w:fill="FFFFFF"/>
        <w:overflowPunct/>
        <w:bidi w:val="0"/>
        <w:outlineLvl w:val="9"/>
        <w:rPr>
          <w:rFonts w:hint="eastAsia" w:ascii="宋体" w:hAnsi="宋体" w:eastAsia="宋体" w:cs="宋体"/>
          <w:color w:val="000000" w:themeColor="text1"/>
          <w:sz w:val="21"/>
          <w:szCs w:val="21"/>
          <w:highlight w:val="none"/>
          <w:shd w:val="clear" w:color="auto" w:fill="FFFFFF"/>
          <w:lang w:eastAsia="zh-CN"/>
          <w14:textFill>
            <w14:solidFill>
              <w14:schemeClr w14:val="tx1"/>
            </w14:solidFill>
          </w14:textFill>
        </w:rPr>
      </w:pPr>
      <w:r>
        <w:rPr>
          <w:rFonts w:hint="eastAsia" w:ascii="宋体" w:hAnsi="宋体" w:eastAsia="宋体" w:cs="宋体"/>
          <w:color w:val="000000" w:themeColor="text1"/>
          <w:sz w:val="21"/>
          <w:szCs w:val="21"/>
          <w:highlight w:val="none"/>
          <w:shd w:val="clear" w:color="auto" w:fill="FFFFFF"/>
          <w14:textFill>
            <w14:solidFill>
              <w14:schemeClr w14:val="tx1"/>
            </w14:solidFill>
          </w14:textFill>
        </w:rPr>
        <w:t>　　（十六）其他未列明行业。从业人员300人以下的为中小微型企业。其中，从业人员100人及以上的为中型企业；从业人员10人及以上的为小型企业；从业人员10人以下的为微型企业。</w:t>
      </w:r>
    </w:p>
    <w:p w14:paraId="29FE2040">
      <w:pPr>
        <w:pStyle w:val="34"/>
        <w:shd w:val="clear" w:color="auto" w:fill="FFFFFF"/>
        <w:overflowPunct/>
        <w:bidi w:val="0"/>
        <w:outlineLvl w:val="9"/>
        <w:rPr>
          <w:rFonts w:hint="eastAsia" w:ascii="宋体" w:hAnsi="宋体" w:eastAsia="宋体" w:cs="宋体"/>
          <w:color w:val="000000" w:themeColor="text1"/>
          <w:sz w:val="21"/>
          <w:szCs w:val="21"/>
          <w:highlight w:val="none"/>
          <w:shd w:val="clear" w:color="auto" w:fill="FFFFFF"/>
          <w:lang w:eastAsia="zh-CN"/>
          <w14:textFill>
            <w14:solidFill>
              <w14:schemeClr w14:val="tx1"/>
            </w14:solidFill>
          </w14:textFill>
        </w:rPr>
      </w:pPr>
      <w:r>
        <w:rPr>
          <w:rFonts w:hint="eastAsia" w:ascii="宋体" w:hAnsi="宋体" w:eastAsia="宋体" w:cs="宋体"/>
          <w:color w:val="000000" w:themeColor="text1"/>
          <w:sz w:val="21"/>
          <w:szCs w:val="21"/>
          <w:highlight w:val="none"/>
          <w:shd w:val="clear" w:color="auto" w:fill="FFFFFF"/>
          <w14:textFill>
            <w14:solidFill>
              <w14:schemeClr w14:val="tx1"/>
            </w14:solidFill>
          </w14:textFill>
        </w:rPr>
        <w:t>　　五、企业类型的划分以统计部门的统计数据为依据。</w:t>
      </w:r>
    </w:p>
    <w:p w14:paraId="3CF6C253">
      <w:pPr>
        <w:pStyle w:val="34"/>
        <w:shd w:val="clear" w:color="auto" w:fill="FFFFFF"/>
        <w:overflowPunct/>
        <w:bidi w:val="0"/>
        <w:outlineLvl w:val="9"/>
        <w:rPr>
          <w:rFonts w:hint="eastAsia" w:ascii="宋体" w:hAnsi="宋体" w:eastAsia="宋体" w:cs="宋体"/>
          <w:color w:val="000000" w:themeColor="text1"/>
          <w:sz w:val="21"/>
          <w:szCs w:val="21"/>
          <w:highlight w:val="none"/>
          <w:shd w:val="clear" w:color="auto" w:fill="FFFFFF"/>
          <w:lang w:eastAsia="zh-CN"/>
          <w14:textFill>
            <w14:solidFill>
              <w14:schemeClr w14:val="tx1"/>
            </w14:solidFill>
          </w14:textFill>
        </w:rPr>
      </w:pPr>
      <w:r>
        <w:rPr>
          <w:rFonts w:hint="eastAsia" w:ascii="宋体" w:hAnsi="宋体" w:eastAsia="宋体" w:cs="宋体"/>
          <w:color w:val="000000" w:themeColor="text1"/>
          <w:sz w:val="21"/>
          <w:szCs w:val="21"/>
          <w:highlight w:val="none"/>
          <w:shd w:val="clear" w:color="auto" w:fill="FFFFFF"/>
          <w14:textFill>
            <w14:solidFill>
              <w14:schemeClr w14:val="tx1"/>
            </w14:solidFill>
          </w14:textFill>
        </w:rPr>
        <w:t>　　六、本规定适用于在中华人民共和国境内依法设立的各类所有制和各种组织形式的企业。个体工商户和本规定以外的行业，参照本规定进行划型。</w:t>
      </w:r>
    </w:p>
    <w:p w14:paraId="4E0391DF">
      <w:pPr>
        <w:pStyle w:val="34"/>
        <w:shd w:val="clear" w:color="auto" w:fill="FFFFFF"/>
        <w:overflowPunct/>
        <w:bidi w:val="0"/>
        <w:outlineLvl w:val="9"/>
        <w:rPr>
          <w:rFonts w:hint="eastAsia" w:ascii="宋体" w:hAnsi="宋体" w:eastAsia="宋体" w:cs="宋体"/>
          <w:color w:val="000000" w:themeColor="text1"/>
          <w:sz w:val="21"/>
          <w:szCs w:val="21"/>
          <w:highlight w:val="none"/>
          <w:shd w:val="clear" w:color="auto" w:fill="FFFFFF"/>
          <w:lang w:eastAsia="zh-CN"/>
          <w14:textFill>
            <w14:solidFill>
              <w14:schemeClr w14:val="tx1"/>
            </w14:solidFill>
          </w14:textFill>
        </w:rPr>
      </w:pPr>
      <w:r>
        <w:rPr>
          <w:rFonts w:hint="eastAsia" w:ascii="宋体" w:hAnsi="宋体" w:eastAsia="宋体" w:cs="宋体"/>
          <w:color w:val="000000" w:themeColor="text1"/>
          <w:sz w:val="21"/>
          <w:szCs w:val="21"/>
          <w:highlight w:val="none"/>
          <w:shd w:val="clear" w:color="auto" w:fill="FFFFFF"/>
          <w14:textFill>
            <w14:solidFill>
              <w14:schemeClr w14:val="tx1"/>
            </w14:solidFill>
          </w14:textFill>
        </w:rPr>
        <w:t>　　七、本规定的中型企业标准上限即为大型企业标准的下限，国家统计部门据此制定大中小微型企业的统计分类。国务院有关部门据此进行相关数据分析，不得制定与本规定不一致的企业划型标准。</w:t>
      </w:r>
    </w:p>
    <w:p w14:paraId="608C7DD3">
      <w:pPr>
        <w:pStyle w:val="34"/>
        <w:shd w:val="clear" w:color="auto" w:fill="FFFFFF"/>
        <w:overflowPunct/>
        <w:bidi w:val="0"/>
        <w:outlineLvl w:val="9"/>
        <w:rPr>
          <w:rFonts w:hint="eastAsia" w:ascii="宋体" w:hAnsi="宋体" w:eastAsia="宋体" w:cs="宋体"/>
          <w:color w:val="000000" w:themeColor="text1"/>
          <w:sz w:val="21"/>
          <w:szCs w:val="21"/>
          <w:highlight w:val="none"/>
          <w:shd w:val="clear" w:color="auto" w:fill="FFFFFF"/>
          <w:lang w:eastAsia="zh-CN"/>
          <w14:textFill>
            <w14:solidFill>
              <w14:schemeClr w14:val="tx1"/>
            </w14:solidFill>
          </w14:textFill>
        </w:rPr>
      </w:pPr>
      <w:r>
        <w:rPr>
          <w:rFonts w:hint="eastAsia" w:ascii="宋体" w:hAnsi="宋体" w:eastAsia="宋体" w:cs="宋体"/>
          <w:color w:val="000000" w:themeColor="text1"/>
          <w:sz w:val="21"/>
          <w:szCs w:val="21"/>
          <w:highlight w:val="none"/>
          <w:shd w:val="clear" w:color="auto" w:fill="FFFFFF"/>
          <w14:textFill>
            <w14:solidFill>
              <w14:schemeClr w14:val="tx1"/>
            </w14:solidFill>
          </w14:textFill>
        </w:rPr>
        <w:t>　　八、本规定由工业和信息化部、国家统计局会同有关部门根据《国民经济行业分类》修订情况和企业发展变化情况适时修订。</w:t>
      </w:r>
    </w:p>
    <w:p w14:paraId="3CC385A8">
      <w:pPr>
        <w:pStyle w:val="34"/>
        <w:shd w:val="clear" w:color="auto" w:fill="FFFFFF"/>
        <w:overflowPunct/>
        <w:bidi w:val="0"/>
        <w:outlineLvl w:val="9"/>
        <w:rPr>
          <w:rFonts w:hint="eastAsia" w:ascii="宋体" w:hAnsi="宋体" w:eastAsia="宋体" w:cs="宋体"/>
          <w:color w:val="000000" w:themeColor="text1"/>
          <w:sz w:val="21"/>
          <w:szCs w:val="21"/>
          <w:highlight w:val="none"/>
          <w:shd w:val="clear" w:color="auto" w:fill="FFFFFF"/>
          <w:lang w:eastAsia="zh-CN"/>
          <w14:textFill>
            <w14:solidFill>
              <w14:schemeClr w14:val="tx1"/>
            </w14:solidFill>
          </w14:textFill>
        </w:rPr>
      </w:pPr>
      <w:r>
        <w:rPr>
          <w:rFonts w:hint="eastAsia" w:ascii="宋体" w:hAnsi="宋体" w:eastAsia="宋体" w:cs="宋体"/>
          <w:color w:val="000000" w:themeColor="text1"/>
          <w:sz w:val="21"/>
          <w:szCs w:val="21"/>
          <w:highlight w:val="none"/>
          <w:shd w:val="clear" w:color="auto" w:fill="FFFFFF"/>
          <w14:textFill>
            <w14:solidFill>
              <w14:schemeClr w14:val="tx1"/>
            </w14:solidFill>
          </w14:textFill>
        </w:rPr>
        <w:t>　　九、本规定由工业和信息化部、国家统计局会同有关部门负责解释。</w:t>
      </w:r>
    </w:p>
    <w:p w14:paraId="63BEA8A1">
      <w:pPr>
        <w:pStyle w:val="34"/>
        <w:shd w:val="clear" w:color="auto" w:fill="FFFFFF"/>
        <w:overflowPunct/>
        <w:bidi w:val="0"/>
        <w:outlineLvl w:val="9"/>
        <w:rPr>
          <w:rFonts w:hint="eastAsia"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color w:val="000000" w:themeColor="text1"/>
          <w:sz w:val="21"/>
          <w:szCs w:val="21"/>
          <w:highlight w:val="none"/>
          <w:shd w:val="clear" w:color="auto" w:fill="FFFFFF"/>
          <w14:textFill>
            <w14:solidFill>
              <w14:schemeClr w14:val="tx1"/>
            </w14:solidFill>
          </w14:textFill>
        </w:rPr>
        <w:t>　　十、本规定自发布之日起执行，原国家经贸委、原国家计委、财政部和国家统计局2003年颁布的《中小企业标准暂行规定》同时废止。</w:t>
      </w:r>
    </w:p>
    <w:p w14:paraId="3B5CD332">
      <w:pPr>
        <w:overflowPunct/>
        <w:bidi w:val="0"/>
        <w:outlineLvl w:val="9"/>
        <w:rPr>
          <w:rFonts w:hint="eastAsia" w:ascii="宋体" w:hAnsi="宋体" w:eastAsia="宋体" w:cs="宋体"/>
          <w:color w:val="000000" w:themeColor="text1"/>
          <w:highlight w:val="none"/>
          <w14:textFill>
            <w14:solidFill>
              <w14:schemeClr w14:val="tx1"/>
            </w14:solidFill>
          </w14:textFill>
        </w:rPr>
        <w:sectPr>
          <w:pgSz w:w="11906" w:h="16838"/>
          <w:pgMar w:top="1440" w:right="1080" w:bottom="1440" w:left="1080" w:header="851" w:footer="992" w:gutter="0"/>
          <w:pgNumType w:fmt="decimal"/>
          <w:cols w:space="0" w:num="1"/>
          <w:docGrid w:type="lines" w:linePitch="312" w:charSpace="0"/>
        </w:sectPr>
      </w:pPr>
    </w:p>
    <w:p w14:paraId="2B348400">
      <w:pPr>
        <w:pStyle w:val="34"/>
        <w:overflowPunct/>
        <w:bidi w:val="0"/>
        <w:spacing w:line="340" w:lineRule="exact"/>
        <w:jc w:val="center"/>
        <w:textAlignment w:val="baseline"/>
        <w:outlineLvl w:val="9"/>
        <w:rPr>
          <w:rFonts w:hint="eastAsia" w:ascii="宋体" w:hAnsi="宋体" w:eastAsia="宋体" w:cs="宋体"/>
          <w:b/>
          <w:color w:val="000000" w:themeColor="text1"/>
          <w:sz w:val="21"/>
          <w:szCs w:val="21"/>
          <w:highlight w:val="none"/>
          <w14:textFill>
            <w14:solidFill>
              <w14:schemeClr w14:val="tx1"/>
            </w14:solidFill>
          </w14:textFill>
        </w:rPr>
      </w:pPr>
      <w:r>
        <w:rPr>
          <w:rFonts w:hint="eastAsia" w:ascii="宋体" w:hAnsi="宋体" w:eastAsia="宋体" w:cs="宋体"/>
          <w:b/>
          <w:color w:val="000000" w:themeColor="text1"/>
          <w:sz w:val="28"/>
          <w:szCs w:val="28"/>
          <w:highlight w:val="none"/>
          <w14:textFill>
            <w14:solidFill>
              <w14:schemeClr w14:val="tx1"/>
            </w14:solidFill>
          </w14:textFill>
        </w:rPr>
        <w:t>《统计上大中小微型企业划分办法（2017）》修订说明</w:t>
      </w:r>
    </w:p>
    <w:p w14:paraId="23E41D13">
      <w:pPr>
        <w:overflowPunct/>
        <w:bidi w:val="0"/>
        <w:spacing w:line="400" w:lineRule="exact"/>
        <w:ind w:firstLine="420" w:firstLineChars="200"/>
        <w:outlineLvl w:val="9"/>
        <w:rPr>
          <w:rFonts w:hint="eastAsia"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color w:val="000000" w:themeColor="text1"/>
          <w:sz w:val="21"/>
          <w:szCs w:val="21"/>
          <w:highlight w:val="none"/>
          <w14:textFill>
            <w14:solidFill>
              <w14:schemeClr w14:val="tx1"/>
            </w14:solidFill>
          </w14:textFill>
        </w:rPr>
        <w:t>一、修订背景</w:t>
      </w:r>
    </w:p>
    <w:p w14:paraId="4FC07DCC">
      <w:pPr>
        <w:overflowPunct/>
        <w:bidi w:val="0"/>
        <w:spacing w:line="400" w:lineRule="exact"/>
        <w:ind w:firstLine="420" w:firstLineChars="200"/>
        <w:outlineLvl w:val="9"/>
        <w:rPr>
          <w:rFonts w:hint="eastAsia"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color w:val="000000" w:themeColor="text1"/>
          <w:sz w:val="21"/>
          <w:szCs w:val="21"/>
          <w:highlight w:val="none"/>
          <w14:textFill>
            <w14:solidFill>
              <w14:schemeClr w14:val="tx1"/>
            </w14:solidFill>
          </w14:textFill>
        </w:rPr>
        <w:t>目前执行的《统计上大中小微型企业划分办法》是2011年国家统计局根据工业和信息化部、国家统计局、国家发展改革委、财政部《关于印发中小企业划型标准规定的通知》（工信部联企业〔2011〕300号），同时依据《国民经济行业分类》（GB/T 4754—2011），制定并颁布的。</w:t>
      </w:r>
    </w:p>
    <w:p w14:paraId="3265F458">
      <w:pPr>
        <w:overflowPunct/>
        <w:bidi w:val="0"/>
        <w:spacing w:line="400" w:lineRule="exact"/>
        <w:ind w:firstLine="420" w:firstLineChars="200"/>
        <w:outlineLvl w:val="9"/>
        <w:rPr>
          <w:rFonts w:hint="eastAsia"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color w:val="000000" w:themeColor="text1"/>
          <w:sz w:val="21"/>
          <w:szCs w:val="21"/>
          <w:highlight w:val="none"/>
          <w14:textFill>
            <w14:solidFill>
              <w14:schemeClr w14:val="tx1"/>
            </w14:solidFill>
          </w14:textFill>
        </w:rPr>
        <w:t>2017年6月30日，《国民经济行业分类》（GB/T 4754—2017）正式颁布。8月29日，国家统计局印发《关于执行新国民经济行业分类国家标准的通知》（国统字〔2017〕142号），规定从2017年统计年报和2018年定期统计报表起统一使用新分类标准。为此，我们对2011年印发的《统计上大中小微型企业划分办法》进行修订。</w:t>
      </w:r>
    </w:p>
    <w:p w14:paraId="4E43B75A">
      <w:pPr>
        <w:overflowPunct/>
        <w:bidi w:val="0"/>
        <w:spacing w:line="400" w:lineRule="exact"/>
        <w:ind w:firstLine="420" w:firstLineChars="200"/>
        <w:outlineLvl w:val="9"/>
        <w:rPr>
          <w:rFonts w:hint="eastAsia"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color w:val="000000" w:themeColor="text1"/>
          <w:sz w:val="21"/>
          <w:szCs w:val="21"/>
          <w:highlight w:val="none"/>
          <w14:textFill>
            <w14:solidFill>
              <w14:schemeClr w14:val="tx1"/>
            </w14:solidFill>
          </w14:textFill>
        </w:rPr>
        <w:t>二、修订主要内容</w:t>
      </w:r>
    </w:p>
    <w:p w14:paraId="66D68832">
      <w:pPr>
        <w:overflowPunct/>
        <w:bidi w:val="0"/>
        <w:spacing w:line="400" w:lineRule="exact"/>
        <w:ind w:firstLine="420" w:firstLineChars="200"/>
        <w:outlineLvl w:val="9"/>
        <w:rPr>
          <w:rFonts w:hint="eastAsia"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color w:val="000000" w:themeColor="text1"/>
          <w:sz w:val="21"/>
          <w:szCs w:val="21"/>
          <w:highlight w:val="none"/>
          <w14:textFill>
            <w14:solidFill>
              <w14:schemeClr w14:val="tx1"/>
            </w14:solidFill>
          </w14:textFill>
        </w:rPr>
        <w:t>本次修订是在2011年《统计上大中小微型企业划分办法》基础上进行的，修订延续原有的分类原则、方法和结构框架，在保持适用范围不变的情况下,依据标准由《国民经济行业分类》（GB/T 4754—2011）修改为《国民经济行业分类》（GB/T 4754—2017），并根据新旧国民经济行业的对应关系，进行了行业所包含类别的对应调整。</w:t>
      </w:r>
    </w:p>
    <w:p w14:paraId="2BD21949">
      <w:pPr>
        <w:overflowPunct/>
        <w:bidi w:val="0"/>
        <w:spacing w:line="400" w:lineRule="exact"/>
        <w:ind w:firstLine="420" w:firstLineChars="200"/>
        <w:outlineLvl w:val="9"/>
        <w:rPr>
          <w:rFonts w:hint="eastAsia"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color w:val="000000" w:themeColor="text1"/>
          <w:sz w:val="21"/>
          <w:szCs w:val="21"/>
          <w:highlight w:val="none"/>
          <w14:textFill>
            <w14:solidFill>
              <w14:schemeClr w14:val="tx1"/>
            </w14:solidFill>
          </w14:textFill>
        </w:rPr>
        <w:t>将交通运输业中包括的“装卸搬运和运输代理业”修改为“多式联运和运输代理业、装卸搬运”。</w:t>
      </w:r>
    </w:p>
    <w:p w14:paraId="6E10B23E">
      <w:pPr>
        <w:overflowPunct/>
        <w:bidi w:val="0"/>
        <w:spacing w:line="400" w:lineRule="exact"/>
        <w:ind w:firstLine="452" w:firstLineChars="200"/>
        <w:outlineLvl w:val="9"/>
        <w:rPr>
          <w:rFonts w:hint="eastAsia" w:ascii="宋体" w:hAnsi="宋体" w:eastAsia="宋体" w:cs="宋体"/>
          <w:color w:val="000000" w:themeColor="text1"/>
          <w:spacing w:val="8"/>
          <w:sz w:val="21"/>
          <w:szCs w:val="21"/>
          <w:highlight w:val="none"/>
          <w14:textFill>
            <w14:solidFill>
              <w14:schemeClr w14:val="tx1"/>
            </w14:solidFill>
          </w14:textFill>
        </w:rPr>
      </w:pPr>
      <w:r>
        <w:rPr>
          <w:rFonts w:hint="eastAsia" w:ascii="宋体" w:hAnsi="宋体" w:eastAsia="宋体" w:cs="宋体"/>
          <w:color w:val="000000" w:themeColor="text1"/>
          <w:spacing w:val="8"/>
          <w:sz w:val="21"/>
          <w:szCs w:val="21"/>
          <w:highlight w:val="none"/>
          <w14:textFill>
            <w14:solidFill>
              <w14:schemeClr w14:val="tx1"/>
            </w14:solidFill>
          </w14:textFill>
        </w:rPr>
        <w:t>仓储业所包括的行业中类，根据《国民经济行业分类》</w:t>
      </w:r>
      <w:r>
        <w:rPr>
          <w:rFonts w:hint="eastAsia" w:ascii="宋体" w:hAnsi="宋体" w:eastAsia="宋体" w:cs="宋体"/>
          <w:color w:val="000000" w:themeColor="text1"/>
          <w:sz w:val="21"/>
          <w:szCs w:val="21"/>
          <w:highlight w:val="none"/>
          <w14:textFill>
            <w14:solidFill>
              <w14:schemeClr w14:val="tx1"/>
            </w14:solidFill>
          </w14:textFill>
        </w:rPr>
        <w:t>（GB/T 4754—2017）</w:t>
      </w:r>
      <w:r>
        <w:rPr>
          <w:rFonts w:hint="eastAsia" w:ascii="宋体" w:hAnsi="宋体" w:eastAsia="宋体" w:cs="宋体"/>
          <w:color w:val="000000" w:themeColor="text1"/>
          <w:spacing w:val="8"/>
          <w:sz w:val="21"/>
          <w:szCs w:val="21"/>
          <w:highlight w:val="none"/>
          <w14:textFill>
            <w14:solidFill>
              <w14:schemeClr w14:val="tx1"/>
            </w14:solidFill>
          </w14:textFill>
        </w:rPr>
        <w:t>调整为“通用仓储，低温仓储，危险品仓储，谷物、棉花等农产品仓储，中药材仓储和其他仓储业”。</w:t>
      </w:r>
    </w:p>
    <w:p w14:paraId="659BAF1D">
      <w:pPr>
        <w:overflowPunct/>
        <w:bidi w:val="0"/>
        <w:spacing w:line="400" w:lineRule="exact"/>
        <w:outlineLvl w:val="9"/>
        <w:rPr>
          <w:rFonts w:hint="eastAsia"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color w:val="000000" w:themeColor="text1"/>
          <w:sz w:val="21"/>
          <w:szCs w:val="21"/>
          <w:highlight w:val="none"/>
          <w14:textFill>
            <w14:solidFill>
              <w14:schemeClr w14:val="tx1"/>
            </w14:solidFill>
          </w14:textFill>
        </w:rPr>
        <w:t>附表</w:t>
      </w:r>
    </w:p>
    <w:p w14:paraId="5A8FF73B">
      <w:pPr>
        <w:overflowPunct/>
        <w:bidi w:val="0"/>
        <w:spacing w:line="400" w:lineRule="exact"/>
        <w:outlineLvl w:val="9"/>
        <w:rPr>
          <w:rFonts w:hint="eastAsia"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color w:val="000000" w:themeColor="text1"/>
          <w:sz w:val="21"/>
          <w:szCs w:val="21"/>
          <w:highlight w:val="none"/>
          <w14:textFill>
            <w14:solidFill>
              <w14:schemeClr w14:val="tx1"/>
            </w14:solidFill>
          </w14:textFill>
        </w:rPr>
        <w:t>统计上大中小微型企业划分标准</w:t>
      </w:r>
    </w:p>
    <w:tbl>
      <w:tblPr>
        <w:tblStyle w:val="38"/>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113"/>
        <w:gridCol w:w="1369"/>
        <w:gridCol w:w="709"/>
        <w:gridCol w:w="1125"/>
        <w:gridCol w:w="1701"/>
        <w:gridCol w:w="1426"/>
        <w:gridCol w:w="992"/>
      </w:tblGrid>
      <w:tr w14:paraId="4976883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2" w:hRule="exact"/>
          <w:jc w:val="center"/>
        </w:trPr>
        <w:tc>
          <w:tcPr>
            <w:tcW w:w="2113" w:type="dxa"/>
            <w:vAlign w:val="center"/>
          </w:tcPr>
          <w:p w14:paraId="444DA1EE">
            <w:pPr>
              <w:overflowPunct/>
              <w:bidi w:val="0"/>
              <w:spacing w:line="240" w:lineRule="exact"/>
              <w:jc w:val="center"/>
              <w:outlineLvl w:val="9"/>
              <w:rPr>
                <w:rFonts w:hint="eastAsia" w:ascii="宋体" w:hAnsi="宋体" w:eastAsia="宋体" w:cs="宋体"/>
                <w:b/>
                <w:bCs/>
                <w:color w:val="000000" w:themeColor="text1"/>
                <w:sz w:val="18"/>
                <w:szCs w:val="21"/>
                <w:highlight w:val="none"/>
                <w14:textFill>
                  <w14:solidFill>
                    <w14:schemeClr w14:val="tx1"/>
                  </w14:solidFill>
                </w14:textFill>
              </w:rPr>
            </w:pPr>
            <w:r>
              <w:rPr>
                <w:rFonts w:hint="eastAsia" w:ascii="宋体" w:hAnsi="宋体" w:eastAsia="宋体" w:cs="宋体"/>
                <w:b/>
                <w:bCs/>
                <w:color w:val="000000" w:themeColor="text1"/>
                <w:sz w:val="18"/>
                <w:szCs w:val="21"/>
                <w:highlight w:val="none"/>
                <w14:textFill>
                  <w14:solidFill>
                    <w14:schemeClr w14:val="tx1"/>
                  </w14:solidFill>
                </w14:textFill>
              </w:rPr>
              <w:t>行业名称</w:t>
            </w:r>
          </w:p>
        </w:tc>
        <w:tc>
          <w:tcPr>
            <w:tcW w:w="1369" w:type="dxa"/>
            <w:vAlign w:val="center"/>
          </w:tcPr>
          <w:p w14:paraId="2ACA4CC5">
            <w:pPr>
              <w:overflowPunct/>
              <w:bidi w:val="0"/>
              <w:outlineLvl w:val="9"/>
              <w:rPr>
                <w:rFonts w:hint="eastAsia" w:ascii="宋体" w:hAnsi="宋体" w:eastAsia="宋体" w:cs="宋体"/>
                <w:b/>
                <w:bCs/>
                <w:color w:val="000000" w:themeColor="text1"/>
                <w:sz w:val="18"/>
                <w:szCs w:val="18"/>
                <w:highlight w:val="none"/>
                <w14:textFill>
                  <w14:solidFill>
                    <w14:schemeClr w14:val="tx1"/>
                  </w14:solidFill>
                </w14:textFill>
              </w:rPr>
            </w:pPr>
            <w:r>
              <w:rPr>
                <w:rFonts w:hint="eastAsia" w:ascii="宋体" w:hAnsi="宋体" w:eastAsia="宋体" w:cs="宋体"/>
                <w:b/>
                <w:bCs/>
                <w:color w:val="000000" w:themeColor="text1"/>
                <w:sz w:val="18"/>
                <w:szCs w:val="18"/>
                <w:highlight w:val="none"/>
                <w14:textFill>
                  <w14:solidFill>
                    <w14:schemeClr w14:val="tx1"/>
                  </w14:solidFill>
                </w14:textFill>
              </w:rPr>
              <w:t>指标名称</w:t>
            </w:r>
          </w:p>
        </w:tc>
        <w:tc>
          <w:tcPr>
            <w:tcW w:w="709" w:type="dxa"/>
            <w:vAlign w:val="center"/>
          </w:tcPr>
          <w:p w14:paraId="25D8575E">
            <w:pPr>
              <w:overflowPunct/>
              <w:bidi w:val="0"/>
              <w:outlineLvl w:val="9"/>
              <w:rPr>
                <w:rFonts w:hint="eastAsia" w:ascii="宋体" w:hAnsi="宋体" w:eastAsia="宋体" w:cs="宋体"/>
                <w:b/>
                <w:bCs/>
                <w:color w:val="000000" w:themeColor="text1"/>
                <w:sz w:val="18"/>
                <w:szCs w:val="18"/>
                <w:highlight w:val="none"/>
                <w:lang w:eastAsia="zh-CN"/>
                <w14:textFill>
                  <w14:solidFill>
                    <w14:schemeClr w14:val="tx1"/>
                  </w14:solidFill>
                </w14:textFill>
              </w:rPr>
            </w:pPr>
            <w:r>
              <w:rPr>
                <w:rFonts w:hint="eastAsia" w:ascii="宋体" w:hAnsi="宋体" w:eastAsia="宋体" w:cs="宋体"/>
                <w:b/>
                <w:bCs/>
                <w:color w:val="000000" w:themeColor="text1"/>
                <w:sz w:val="18"/>
                <w:szCs w:val="18"/>
                <w:highlight w:val="none"/>
                <w14:textFill>
                  <w14:solidFill>
                    <w14:schemeClr w14:val="tx1"/>
                  </w14:solidFill>
                </w14:textFill>
              </w:rPr>
              <w:t>计量</w:t>
            </w:r>
          </w:p>
          <w:p w14:paraId="2B053219">
            <w:pPr>
              <w:overflowPunct/>
              <w:bidi w:val="0"/>
              <w:outlineLvl w:val="9"/>
              <w:rPr>
                <w:rFonts w:hint="eastAsia" w:ascii="宋体" w:hAnsi="宋体" w:eastAsia="宋体" w:cs="宋体"/>
                <w:b/>
                <w:bCs/>
                <w:color w:val="000000" w:themeColor="text1"/>
                <w:sz w:val="18"/>
                <w:szCs w:val="18"/>
                <w:highlight w:val="none"/>
                <w14:textFill>
                  <w14:solidFill>
                    <w14:schemeClr w14:val="tx1"/>
                  </w14:solidFill>
                </w14:textFill>
              </w:rPr>
            </w:pPr>
            <w:r>
              <w:rPr>
                <w:rFonts w:hint="eastAsia" w:ascii="宋体" w:hAnsi="宋体" w:eastAsia="宋体" w:cs="宋体"/>
                <w:b/>
                <w:bCs/>
                <w:color w:val="000000" w:themeColor="text1"/>
                <w:sz w:val="18"/>
                <w:szCs w:val="18"/>
                <w:highlight w:val="none"/>
                <w14:textFill>
                  <w14:solidFill>
                    <w14:schemeClr w14:val="tx1"/>
                  </w14:solidFill>
                </w14:textFill>
              </w:rPr>
              <w:t>单位</w:t>
            </w:r>
          </w:p>
        </w:tc>
        <w:tc>
          <w:tcPr>
            <w:tcW w:w="1125" w:type="dxa"/>
            <w:vAlign w:val="center"/>
          </w:tcPr>
          <w:p w14:paraId="5192C99C">
            <w:pPr>
              <w:overflowPunct/>
              <w:bidi w:val="0"/>
              <w:outlineLvl w:val="9"/>
              <w:rPr>
                <w:rFonts w:hint="eastAsia" w:ascii="宋体" w:hAnsi="宋体" w:eastAsia="宋体" w:cs="宋体"/>
                <w:b/>
                <w:bCs/>
                <w:color w:val="000000" w:themeColor="text1"/>
                <w:sz w:val="18"/>
                <w:szCs w:val="18"/>
                <w:highlight w:val="none"/>
                <w14:textFill>
                  <w14:solidFill>
                    <w14:schemeClr w14:val="tx1"/>
                  </w14:solidFill>
                </w14:textFill>
              </w:rPr>
            </w:pPr>
            <w:r>
              <w:rPr>
                <w:rFonts w:hint="eastAsia" w:ascii="宋体" w:hAnsi="宋体" w:eastAsia="宋体" w:cs="宋体"/>
                <w:b/>
                <w:bCs/>
                <w:color w:val="000000" w:themeColor="text1"/>
                <w:sz w:val="18"/>
                <w:szCs w:val="18"/>
                <w:highlight w:val="none"/>
                <w14:textFill>
                  <w14:solidFill>
                    <w14:schemeClr w14:val="tx1"/>
                  </w14:solidFill>
                </w14:textFill>
              </w:rPr>
              <w:t>大型</w:t>
            </w:r>
          </w:p>
        </w:tc>
        <w:tc>
          <w:tcPr>
            <w:tcW w:w="1701" w:type="dxa"/>
            <w:vAlign w:val="center"/>
          </w:tcPr>
          <w:p w14:paraId="4661CAEF">
            <w:pPr>
              <w:overflowPunct/>
              <w:bidi w:val="0"/>
              <w:outlineLvl w:val="9"/>
              <w:rPr>
                <w:rFonts w:hint="eastAsia" w:ascii="宋体" w:hAnsi="宋体" w:eastAsia="宋体" w:cs="宋体"/>
                <w:b/>
                <w:bCs/>
                <w:color w:val="000000" w:themeColor="text1"/>
                <w:sz w:val="18"/>
                <w:szCs w:val="18"/>
                <w:highlight w:val="none"/>
                <w14:textFill>
                  <w14:solidFill>
                    <w14:schemeClr w14:val="tx1"/>
                  </w14:solidFill>
                </w14:textFill>
              </w:rPr>
            </w:pPr>
            <w:r>
              <w:rPr>
                <w:rFonts w:hint="eastAsia" w:ascii="宋体" w:hAnsi="宋体" w:eastAsia="宋体" w:cs="宋体"/>
                <w:b/>
                <w:bCs/>
                <w:color w:val="000000" w:themeColor="text1"/>
                <w:sz w:val="18"/>
                <w:szCs w:val="18"/>
                <w:highlight w:val="none"/>
                <w14:textFill>
                  <w14:solidFill>
                    <w14:schemeClr w14:val="tx1"/>
                  </w14:solidFill>
                </w14:textFill>
              </w:rPr>
              <w:t>中型</w:t>
            </w:r>
          </w:p>
        </w:tc>
        <w:tc>
          <w:tcPr>
            <w:tcW w:w="1426" w:type="dxa"/>
            <w:vAlign w:val="center"/>
          </w:tcPr>
          <w:p w14:paraId="41377E6C">
            <w:pPr>
              <w:overflowPunct/>
              <w:bidi w:val="0"/>
              <w:outlineLvl w:val="9"/>
              <w:rPr>
                <w:rFonts w:hint="eastAsia" w:ascii="宋体" w:hAnsi="宋体" w:eastAsia="宋体" w:cs="宋体"/>
                <w:b/>
                <w:bCs/>
                <w:color w:val="000000" w:themeColor="text1"/>
                <w:sz w:val="18"/>
                <w:szCs w:val="18"/>
                <w:highlight w:val="none"/>
                <w14:textFill>
                  <w14:solidFill>
                    <w14:schemeClr w14:val="tx1"/>
                  </w14:solidFill>
                </w14:textFill>
              </w:rPr>
            </w:pPr>
            <w:r>
              <w:rPr>
                <w:rFonts w:hint="eastAsia" w:ascii="宋体" w:hAnsi="宋体" w:eastAsia="宋体" w:cs="宋体"/>
                <w:b/>
                <w:bCs/>
                <w:color w:val="000000" w:themeColor="text1"/>
                <w:sz w:val="18"/>
                <w:szCs w:val="18"/>
                <w:highlight w:val="none"/>
                <w14:textFill>
                  <w14:solidFill>
                    <w14:schemeClr w14:val="tx1"/>
                  </w14:solidFill>
                </w14:textFill>
              </w:rPr>
              <w:t>小型</w:t>
            </w:r>
          </w:p>
        </w:tc>
        <w:tc>
          <w:tcPr>
            <w:tcW w:w="992" w:type="dxa"/>
            <w:vAlign w:val="center"/>
          </w:tcPr>
          <w:p w14:paraId="6FC1E197">
            <w:pPr>
              <w:overflowPunct/>
              <w:bidi w:val="0"/>
              <w:outlineLvl w:val="9"/>
              <w:rPr>
                <w:rFonts w:hint="eastAsia" w:ascii="宋体" w:hAnsi="宋体" w:eastAsia="宋体" w:cs="宋体"/>
                <w:b/>
                <w:bCs/>
                <w:color w:val="000000" w:themeColor="text1"/>
                <w:sz w:val="18"/>
                <w:szCs w:val="18"/>
                <w:highlight w:val="none"/>
                <w14:textFill>
                  <w14:solidFill>
                    <w14:schemeClr w14:val="tx1"/>
                  </w14:solidFill>
                </w14:textFill>
              </w:rPr>
            </w:pPr>
            <w:r>
              <w:rPr>
                <w:rFonts w:hint="eastAsia" w:ascii="宋体" w:hAnsi="宋体" w:eastAsia="宋体" w:cs="宋体"/>
                <w:b/>
                <w:bCs/>
                <w:color w:val="000000" w:themeColor="text1"/>
                <w:sz w:val="18"/>
                <w:szCs w:val="18"/>
                <w:highlight w:val="none"/>
                <w14:textFill>
                  <w14:solidFill>
                    <w14:schemeClr w14:val="tx1"/>
                  </w14:solidFill>
                </w14:textFill>
              </w:rPr>
              <w:t>微型</w:t>
            </w:r>
          </w:p>
        </w:tc>
      </w:tr>
      <w:tr w14:paraId="4B7E087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exact"/>
          <w:jc w:val="center"/>
        </w:trPr>
        <w:tc>
          <w:tcPr>
            <w:tcW w:w="2113" w:type="dxa"/>
            <w:vAlign w:val="center"/>
          </w:tcPr>
          <w:p w14:paraId="01903A94">
            <w:pPr>
              <w:overflowPunct/>
              <w:bidi w:val="0"/>
              <w:spacing w:line="240" w:lineRule="exact"/>
              <w:jc w:val="center"/>
              <w:outlineLvl w:val="9"/>
              <w:rPr>
                <w:rFonts w:hint="eastAsia" w:ascii="宋体" w:hAnsi="宋体" w:eastAsia="宋体" w:cs="宋体"/>
                <w:b/>
                <w:color w:val="000000" w:themeColor="text1"/>
                <w:sz w:val="18"/>
                <w:szCs w:val="18"/>
                <w:highlight w:val="none"/>
                <w14:textFill>
                  <w14:solidFill>
                    <w14:schemeClr w14:val="tx1"/>
                  </w14:solidFill>
                </w14:textFill>
              </w:rPr>
            </w:pPr>
            <w:r>
              <w:rPr>
                <w:rFonts w:hint="eastAsia" w:ascii="宋体" w:hAnsi="宋体" w:eastAsia="宋体" w:cs="宋体"/>
                <w:b/>
                <w:color w:val="000000" w:themeColor="text1"/>
                <w:sz w:val="18"/>
                <w:szCs w:val="18"/>
                <w:highlight w:val="none"/>
                <w14:textFill>
                  <w14:solidFill>
                    <w14:schemeClr w14:val="tx1"/>
                  </w14:solidFill>
                </w14:textFill>
              </w:rPr>
              <w:t>农、林、牧、渔业</w:t>
            </w:r>
          </w:p>
        </w:tc>
        <w:tc>
          <w:tcPr>
            <w:tcW w:w="1369" w:type="dxa"/>
            <w:vAlign w:val="center"/>
          </w:tcPr>
          <w:p w14:paraId="275D7234">
            <w:pPr>
              <w:overflowPunct/>
              <w:bidi w:val="0"/>
              <w:outlineLvl w:val="9"/>
              <w:rPr>
                <w:rFonts w:hint="eastAsia" w:ascii="宋体" w:hAnsi="宋体" w:eastAsia="宋体" w:cs="宋体"/>
                <w:b/>
                <w:color w:val="000000" w:themeColor="text1"/>
                <w:sz w:val="18"/>
                <w:szCs w:val="18"/>
                <w:highlight w:val="none"/>
                <w14:textFill>
                  <w14:solidFill>
                    <w14:schemeClr w14:val="tx1"/>
                  </w14:solidFill>
                </w14:textFill>
              </w:rPr>
            </w:pPr>
            <w:r>
              <w:rPr>
                <w:rFonts w:hint="eastAsia" w:ascii="宋体" w:hAnsi="宋体" w:eastAsia="宋体" w:cs="宋体"/>
                <w:b/>
                <w:color w:val="000000" w:themeColor="text1"/>
                <w:sz w:val="18"/>
                <w:szCs w:val="18"/>
                <w:highlight w:val="none"/>
                <w14:textFill>
                  <w14:solidFill>
                    <w14:schemeClr w14:val="tx1"/>
                  </w14:solidFill>
                </w14:textFill>
              </w:rPr>
              <w:t>营业收入(Y)</w:t>
            </w:r>
          </w:p>
        </w:tc>
        <w:tc>
          <w:tcPr>
            <w:tcW w:w="709" w:type="dxa"/>
            <w:vAlign w:val="center"/>
          </w:tcPr>
          <w:p w14:paraId="4B05899B">
            <w:pPr>
              <w:overflowPunct/>
              <w:bidi w:val="0"/>
              <w:outlineLvl w:val="9"/>
              <w:rPr>
                <w:rFonts w:hint="eastAsia" w:ascii="宋体" w:hAnsi="宋体" w:eastAsia="宋体" w:cs="宋体"/>
                <w:b/>
                <w:color w:val="000000" w:themeColor="text1"/>
                <w:sz w:val="18"/>
                <w:szCs w:val="18"/>
                <w:highlight w:val="none"/>
                <w14:textFill>
                  <w14:solidFill>
                    <w14:schemeClr w14:val="tx1"/>
                  </w14:solidFill>
                </w14:textFill>
              </w:rPr>
            </w:pPr>
            <w:r>
              <w:rPr>
                <w:rFonts w:hint="eastAsia" w:ascii="宋体" w:hAnsi="宋体" w:eastAsia="宋体" w:cs="宋体"/>
                <w:b/>
                <w:color w:val="000000" w:themeColor="text1"/>
                <w:sz w:val="18"/>
                <w:szCs w:val="18"/>
                <w:highlight w:val="none"/>
                <w14:textFill>
                  <w14:solidFill>
                    <w14:schemeClr w14:val="tx1"/>
                  </w14:solidFill>
                </w14:textFill>
              </w:rPr>
              <w:t>万元</w:t>
            </w:r>
          </w:p>
        </w:tc>
        <w:tc>
          <w:tcPr>
            <w:tcW w:w="1125" w:type="dxa"/>
            <w:vAlign w:val="center"/>
          </w:tcPr>
          <w:p w14:paraId="00AD2D01">
            <w:pPr>
              <w:overflowPunct/>
              <w:bidi w:val="0"/>
              <w:outlineLvl w:val="9"/>
              <w:rPr>
                <w:rFonts w:hint="eastAsia" w:ascii="宋体" w:hAnsi="宋体" w:eastAsia="宋体" w:cs="宋体"/>
                <w:b/>
                <w:color w:val="000000" w:themeColor="text1"/>
                <w:sz w:val="18"/>
                <w:szCs w:val="18"/>
                <w:highlight w:val="none"/>
                <w14:textFill>
                  <w14:solidFill>
                    <w14:schemeClr w14:val="tx1"/>
                  </w14:solidFill>
                </w14:textFill>
              </w:rPr>
            </w:pPr>
            <w:r>
              <w:rPr>
                <w:rFonts w:hint="eastAsia" w:ascii="宋体" w:hAnsi="宋体" w:eastAsia="宋体" w:cs="宋体"/>
                <w:b/>
                <w:color w:val="000000" w:themeColor="text1"/>
                <w:sz w:val="18"/>
                <w:szCs w:val="18"/>
                <w:highlight w:val="none"/>
                <w14:textFill>
                  <w14:solidFill>
                    <w14:schemeClr w14:val="tx1"/>
                  </w14:solidFill>
                </w14:textFill>
              </w:rPr>
              <w:t>Y≥20000</w:t>
            </w:r>
          </w:p>
        </w:tc>
        <w:tc>
          <w:tcPr>
            <w:tcW w:w="1701" w:type="dxa"/>
            <w:vAlign w:val="center"/>
          </w:tcPr>
          <w:p w14:paraId="7286B24B">
            <w:pPr>
              <w:overflowPunct/>
              <w:bidi w:val="0"/>
              <w:outlineLvl w:val="9"/>
              <w:rPr>
                <w:rFonts w:hint="eastAsia" w:ascii="宋体" w:hAnsi="宋体" w:eastAsia="宋体" w:cs="宋体"/>
                <w:b/>
                <w:color w:val="000000" w:themeColor="text1"/>
                <w:sz w:val="18"/>
                <w:szCs w:val="18"/>
                <w:highlight w:val="none"/>
                <w14:textFill>
                  <w14:solidFill>
                    <w14:schemeClr w14:val="tx1"/>
                  </w14:solidFill>
                </w14:textFill>
              </w:rPr>
            </w:pPr>
            <w:r>
              <w:rPr>
                <w:rFonts w:hint="eastAsia" w:ascii="宋体" w:hAnsi="宋体" w:eastAsia="宋体" w:cs="宋体"/>
                <w:b/>
                <w:color w:val="000000" w:themeColor="text1"/>
                <w:sz w:val="18"/>
                <w:szCs w:val="18"/>
                <w:highlight w:val="none"/>
                <w14:textFill>
                  <w14:solidFill>
                    <w14:schemeClr w14:val="tx1"/>
                  </w14:solidFill>
                </w14:textFill>
              </w:rPr>
              <w:t xml:space="preserve"> 500≤Y＜20000</w:t>
            </w:r>
          </w:p>
        </w:tc>
        <w:tc>
          <w:tcPr>
            <w:tcW w:w="1426" w:type="dxa"/>
            <w:vAlign w:val="center"/>
          </w:tcPr>
          <w:p w14:paraId="16BBF0C4">
            <w:pPr>
              <w:overflowPunct/>
              <w:bidi w:val="0"/>
              <w:outlineLvl w:val="9"/>
              <w:rPr>
                <w:rFonts w:hint="eastAsia" w:ascii="宋体" w:hAnsi="宋体" w:eastAsia="宋体" w:cs="宋体"/>
                <w:b/>
                <w:color w:val="000000" w:themeColor="text1"/>
                <w:sz w:val="18"/>
                <w:szCs w:val="18"/>
                <w:highlight w:val="none"/>
                <w14:textFill>
                  <w14:solidFill>
                    <w14:schemeClr w14:val="tx1"/>
                  </w14:solidFill>
                </w14:textFill>
              </w:rPr>
            </w:pPr>
            <w:r>
              <w:rPr>
                <w:rFonts w:hint="eastAsia" w:ascii="宋体" w:hAnsi="宋体" w:eastAsia="宋体" w:cs="宋体"/>
                <w:b/>
                <w:color w:val="000000" w:themeColor="text1"/>
                <w:sz w:val="18"/>
                <w:szCs w:val="18"/>
                <w:highlight w:val="none"/>
                <w14:textFill>
                  <w14:solidFill>
                    <w14:schemeClr w14:val="tx1"/>
                  </w14:solidFill>
                </w14:textFill>
              </w:rPr>
              <w:t xml:space="preserve"> 50≤Y＜500</w:t>
            </w:r>
          </w:p>
        </w:tc>
        <w:tc>
          <w:tcPr>
            <w:tcW w:w="992" w:type="dxa"/>
            <w:vAlign w:val="center"/>
          </w:tcPr>
          <w:p w14:paraId="5980FA55">
            <w:pPr>
              <w:overflowPunct/>
              <w:bidi w:val="0"/>
              <w:outlineLvl w:val="9"/>
              <w:rPr>
                <w:rFonts w:hint="eastAsia" w:ascii="宋体" w:hAnsi="宋体" w:eastAsia="宋体" w:cs="宋体"/>
                <w:b/>
                <w:color w:val="000000" w:themeColor="text1"/>
                <w:sz w:val="18"/>
                <w:szCs w:val="18"/>
                <w:highlight w:val="none"/>
                <w14:textFill>
                  <w14:solidFill>
                    <w14:schemeClr w14:val="tx1"/>
                  </w14:solidFill>
                </w14:textFill>
              </w:rPr>
            </w:pPr>
            <w:r>
              <w:rPr>
                <w:rFonts w:hint="eastAsia" w:ascii="宋体" w:hAnsi="宋体" w:eastAsia="宋体" w:cs="宋体"/>
                <w:b/>
                <w:color w:val="000000" w:themeColor="text1"/>
                <w:sz w:val="18"/>
                <w:szCs w:val="18"/>
                <w:highlight w:val="none"/>
                <w14:textFill>
                  <w14:solidFill>
                    <w14:schemeClr w14:val="tx1"/>
                  </w14:solidFill>
                </w14:textFill>
              </w:rPr>
              <w:t>Y＜50</w:t>
            </w:r>
          </w:p>
        </w:tc>
      </w:tr>
      <w:tr w14:paraId="4E3408E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exact"/>
          <w:jc w:val="center"/>
        </w:trPr>
        <w:tc>
          <w:tcPr>
            <w:tcW w:w="2113" w:type="dxa"/>
            <w:vMerge w:val="restart"/>
            <w:vAlign w:val="center"/>
          </w:tcPr>
          <w:p w14:paraId="1423DEF5">
            <w:pPr>
              <w:overflowPunct/>
              <w:bidi w:val="0"/>
              <w:spacing w:line="240" w:lineRule="exact"/>
              <w:jc w:val="center"/>
              <w:outlineLvl w:val="9"/>
              <w:rPr>
                <w:rFonts w:hint="eastAsia" w:ascii="宋体" w:hAnsi="宋体" w:eastAsia="宋体" w:cs="宋体"/>
                <w:b/>
                <w:color w:val="000000" w:themeColor="text1"/>
                <w:sz w:val="18"/>
                <w:szCs w:val="18"/>
                <w:highlight w:val="none"/>
                <w14:textFill>
                  <w14:solidFill>
                    <w14:schemeClr w14:val="tx1"/>
                  </w14:solidFill>
                </w14:textFill>
              </w:rPr>
            </w:pPr>
            <w:r>
              <w:rPr>
                <w:rFonts w:hint="eastAsia" w:ascii="宋体" w:hAnsi="宋体" w:eastAsia="宋体" w:cs="宋体"/>
                <w:b/>
                <w:color w:val="000000" w:themeColor="text1"/>
                <w:sz w:val="18"/>
                <w:szCs w:val="18"/>
                <w:highlight w:val="none"/>
                <w14:textFill>
                  <w14:solidFill>
                    <w14:schemeClr w14:val="tx1"/>
                  </w14:solidFill>
                </w14:textFill>
              </w:rPr>
              <w:t>工业 *</w:t>
            </w:r>
          </w:p>
        </w:tc>
        <w:tc>
          <w:tcPr>
            <w:tcW w:w="1369" w:type="dxa"/>
            <w:vAlign w:val="center"/>
          </w:tcPr>
          <w:p w14:paraId="468A5F3F">
            <w:pPr>
              <w:overflowPunct/>
              <w:bidi w:val="0"/>
              <w:outlineLvl w:val="9"/>
              <w:rPr>
                <w:rFonts w:hint="eastAsia" w:ascii="宋体" w:hAnsi="宋体" w:eastAsia="宋体" w:cs="宋体"/>
                <w:b/>
                <w:color w:val="000000" w:themeColor="text1"/>
                <w:sz w:val="18"/>
                <w:szCs w:val="18"/>
                <w:highlight w:val="none"/>
                <w14:textFill>
                  <w14:solidFill>
                    <w14:schemeClr w14:val="tx1"/>
                  </w14:solidFill>
                </w14:textFill>
              </w:rPr>
            </w:pPr>
            <w:r>
              <w:rPr>
                <w:rFonts w:hint="eastAsia" w:ascii="宋体" w:hAnsi="宋体" w:eastAsia="宋体" w:cs="宋体"/>
                <w:b/>
                <w:color w:val="000000" w:themeColor="text1"/>
                <w:sz w:val="18"/>
                <w:szCs w:val="18"/>
                <w:highlight w:val="none"/>
                <w14:textFill>
                  <w14:solidFill>
                    <w14:schemeClr w14:val="tx1"/>
                  </w14:solidFill>
                </w14:textFill>
              </w:rPr>
              <w:t>从业人员(X)</w:t>
            </w:r>
          </w:p>
        </w:tc>
        <w:tc>
          <w:tcPr>
            <w:tcW w:w="709" w:type="dxa"/>
            <w:vAlign w:val="center"/>
          </w:tcPr>
          <w:p w14:paraId="6030E84E">
            <w:pPr>
              <w:overflowPunct/>
              <w:bidi w:val="0"/>
              <w:outlineLvl w:val="9"/>
              <w:rPr>
                <w:rFonts w:hint="eastAsia" w:ascii="宋体" w:hAnsi="宋体" w:eastAsia="宋体" w:cs="宋体"/>
                <w:b/>
                <w:color w:val="000000" w:themeColor="text1"/>
                <w:sz w:val="18"/>
                <w:szCs w:val="18"/>
                <w:highlight w:val="none"/>
                <w14:textFill>
                  <w14:solidFill>
                    <w14:schemeClr w14:val="tx1"/>
                  </w14:solidFill>
                </w14:textFill>
              </w:rPr>
            </w:pPr>
            <w:r>
              <w:rPr>
                <w:rFonts w:hint="eastAsia" w:ascii="宋体" w:hAnsi="宋体" w:eastAsia="宋体" w:cs="宋体"/>
                <w:b/>
                <w:color w:val="000000" w:themeColor="text1"/>
                <w:sz w:val="18"/>
                <w:szCs w:val="18"/>
                <w:highlight w:val="none"/>
                <w14:textFill>
                  <w14:solidFill>
                    <w14:schemeClr w14:val="tx1"/>
                  </w14:solidFill>
                </w14:textFill>
              </w:rPr>
              <w:t>人</w:t>
            </w:r>
          </w:p>
        </w:tc>
        <w:tc>
          <w:tcPr>
            <w:tcW w:w="1125" w:type="dxa"/>
            <w:vAlign w:val="center"/>
          </w:tcPr>
          <w:p w14:paraId="5A1F1DD2">
            <w:pPr>
              <w:overflowPunct/>
              <w:bidi w:val="0"/>
              <w:outlineLvl w:val="9"/>
              <w:rPr>
                <w:rFonts w:hint="eastAsia" w:ascii="宋体" w:hAnsi="宋体" w:eastAsia="宋体" w:cs="宋体"/>
                <w:b/>
                <w:color w:val="000000" w:themeColor="text1"/>
                <w:sz w:val="18"/>
                <w:szCs w:val="18"/>
                <w:highlight w:val="none"/>
                <w14:textFill>
                  <w14:solidFill>
                    <w14:schemeClr w14:val="tx1"/>
                  </w14:solidFill>
                </w14:textFill>
              </w:rPr>
            </w:pPr>
            <w:r>
              <w:rPr>
                <w:rFonts w:hint="eastAsia" w:ascii="宋体" w:hAnsi="宋体" w:eastAsia="宋体" w:cs="宋体"/>
                <w:b/>
                <w:color w:val="000000" w:themeColor="text1"/>
                <w:sz w:val="18"/>
                <w:szCs w:val="18"/>
                <w:highlight w:val="none"/>
                <w14:textFill>
                  <w14:solidFill>
                    <w14:schemeClr w14:val="tx1"/>
                  </w14:solidFill>
                </w14:textFill>
              </w:rPr>
              <w:t>X≥1000</w:t>
            </w:r>
          </w:p>
        </w:tc>
        <w:tc>
          <w:tcPr>
            <w:tcW w:w="1701" w:type="dxa"/>
            <w:vAlign w:val="center"/>
          </w:tcPr>
          <w:p w14:paraId="07C41C82">
            <w:pPr>
              <w:overflowPunct/>
              <w:bidi w:val="0"/>
              <w:outlineLvl w:val="9"/>
              <w:rPr>
                <w:rFonts w:hint="eastAsia" w:ascii="宋体" w:hAnsi="宋体" w:eastAsia="宋体" w:cs="宋体"/>
                <w:b/>
                <w:color w:val="000000" w:themeColor="text1"/>
                <w:sz w:val="18"/>
                <w:szCs w:val="18"/>
                <w:highlight w:val="none"/>
                <w14:textFill>
                  <w14:solidFill>
                    <w14:schemeClr w14:val="tx1"/>
                  </w14:solidFill>
                </w14:textFill>
              </w:rPr>
            </w:pPr>
            <w:r>
              <w:rPr>
                <w:rFonts w:hint="eastAsia" w:ascii="宋体" w:hAnsi="宋体" w:eastAsia="宋体" w:cs="宋体"/>
                <w:b/>
                <w:color w:val="000000" w:themeColor="text1"/>
                <w:sz w:val="18"/>
                <w:szCs w:val="18"/>
                <w:highlight w:val="none"/>
                <w14:textFill>
                  <w14:solidFill>
                    <w14:schemeClr w14:val="tx1"/>
                  </w14:solidFill>
                </w14:textFill>
              </w:rPr>
              <w:t>300≤X＜1000</w:t>
            </w:r>
          </w:p>
        </w:tc>
        <w:tc>
          <w:tcPr>
            <w:tcW w:w="1426" w:type="dxa"/>
            <w:vAlign w:val="center"/>
          </w:tcPr>
          <w:p w14:paraId="7B8ABA8E">
            <w:pPr>
              <w:overflowPunct/>
              <w:bidi w:val="0"/>
              <w:outlineLvl w:val="9"/>
              <w:rPr>
                <w:rFonts w:hint="eastAsia" w:ascii="宋体" w:hAnsi="宋体" w:eastAsia="宋体" w:cs="宋体"/>
                <w:b/>
                <w:color w:val="000000" w:themeColor="text1"/>
                <w:sz w:val="18"/>
                <w:szCs w:val="18"/>
                <w:highlight w:val="none"/>
                <w14:textFill>
                  <w14:solidFill>
                    <w14:schemeClr w14:val="tx1"/>
                  </w14:solidFill>
                </w14:textFill>
              </w:rPr>
            </w:pPr>
            <w:r>
              <w:rPr>
                <w:rFonts w:hint="eastAsia" w:ascii="宋体" w:hAnsi="宋体" w:eastAsia="宋体" w:cs="宋体"/>
                <w:b/>
                <w:color w:val="000000" w:themeColor="text1"/>
                <w:sz w:val="18"/>
                <w:szCs w:val="18"/>
                <w:highlight w:val="none"/>
                <w14:textFill>
                  <w14:solidFill>
                    <w14:schemeClr w14:val="tx1"/>
                  </w14:solidFill>
                </w14:textFill>
              </w:rPr>
              <w:t xml:space="preserve"> 20≤X＜300</w:t>
            </w:r>
          </w:p>
        </w:tc>
        <w:tc>
          <w:tcPr>
            <w:tcW w:w="992" w:type="dxa"/>
            <w:vAlign w:val="center"/>
          </w:tcPr>
          <w:p w14:paraId="6F30810C">
            <w:pPr>
              <w:overflowPunct/>
              <w:bidi w:val="0"/>
              <w:outlineLvl w:val="9"/>
              <w:rPr>
                <w:rFonts w:hint="eastAsia" w:ascii="宋体" w:hAnsi="宋体" w:eastAsia="宋体" w:cs="宋体"/>
                <w:b/>
                <w:color w:val="000000" w:themeColor="text1"/>
                <w:sz w:val="18"/>
                <w:szCs w:val="18"/>
                <w:highlight w:val="none"/>
                <w14:textFill>
                  <w14:solidFill>
                    <w14:schemeClr w14:val="tx1"/>
                  </w14:solidFill>
                </w14:textFill>
              </w:rPr>
            </w:pPr>
            <w:r>
              <w:rPr>
                <w:rFonts w:hint="eastAsia" w:ascii="宋体" w:hAnsi="宋体" w:eastAsia="宋体" w:cs="宋体"/>
                <w:b/>
                <w:color w:val="000000" w:themeColor="text1"/>
                <w:sz w:val="18"/>
                <w:szCs w:val="18"/>
                <w:highlight w:val="none"/>
                <w14:textFill>
                  <w14:solidFill>
                    <w14:schemeClr w14:val="tx1"/>
                  </w14:solidFill>
                </w14:textFill>
              </w:rPr>
              <w:t>X＜20</w:t>
            </w:r>
          </w:p>
        </w:tc>
      </w:tr>
      <w:tr w14:paraId="5C01179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exact"/>
          <w:jc w:val="center"/>
        </w:trPr>
        <w:tc>
          <w:tcPr>
            <w:tcW w:w="2113" w:type="dxa"/>
            <w:vMerge w:val="continue"/>
            <w:vAlign w:val="center"/>
          </w:tcPr>
          <w:p w14:paraId="43C3F0D9">
            <w:pPr>
              <w:overflowPunct/>
              <w:bidi w:val="0"/>
              <w:jc w:val="center"/>
              <w:outlineLvl w:val="9"/>
              <w:rPr>
                <w:rFonts w:hint="eastAsia" w:ascii="宋体" w:hAnsi="宋体" w:eastAsia="宋体" w:cs="宋体"/>
                <w:b/>
                <w:color w:val="000000" w:themeColor="text1"/>
                <w:sz w:val="18"/>
                <w:szCs w:val="18"/>
                <w:highlight w:val="none"/>
                <w14:textFill>
                  <w14:solidFill>
                    <w14:schemeClr w14:val="tx1"/>
                  </w14:solidFill>
                </w14:textFill>
              </w:rPr>
            </w:pPr>
          </w:p>
        </w:tc>
        <w:tc>
          <w:tcPr>
            <w:tcW w:w="1369" w:type="dxa"/>
            <w:vAlign w:val="center"/>
          </w:tcPr>
          <w:p w14:paraId="20B2D383">
            <w:pPr>
              <w:overflowPunct/>
              <w:bidi w:val="0"/>
              <w:spacing w:line="240" w:lineRule="exact"/>
              <w:outlineLvl w:val="9"/>
              <w:rPr>
                <w:rFonts w:hint="eastAsia" w:ascii="宋体" w:hAnsi="宋体" w:eastAsia="宋体" w:cs="宋体"/>
                <w:b/>
                <w:color w:val="000000" w:themeColor="text1"/>
                <w:sz w:val="18"/>
                <w:szCs w:val="18"/>
                <w:highlight w:val="none"/>
                <w14:textFill>
                  <w14:solidFill>
                    <w14:schemeClr w14:val="tx1"/>
                  </w14:solidFill>
                </w14:textFill>
              </w:rPr>
            </w:pPr>
            <w:r>
              <w:rPr>
                <w:rFonts w:hint="eastAsia" w:ascii="宋体" w:hAnsi="宋体" w:eastAsia="宋体" w:cs="宋体"/>
                <w:b/>
                <w:color w:val="000000" w:themeColor="text1"/>
                <w:sz w:val="18"/>
                <w:szCs w:val="18"/>
                <w:highlight w:val="none"/>
                <w14:textFill>
                  <w14:solidFill>
                    <w14:schemeClr w14:val="tx1"/>
                  </w14:solidFill>
                </w14:textFill>
              </w:rPr>
              <w:t>营业收入(Y)</w:t>
            </w:r>
          </w:p>
        </w:tc>
        <w:tc>
          <w:tcPr>
            <w:tcW w:w="709" w:type="dxa"/>
            <w:vAlign w:val="center"/>
          </w:tcPr>
          <w:p w14:paraId="7CFBB40A">
            <w:pPr>
              <w:overflowPunct/>
              <w:bidi w:val="0"/>
              <w:outlineLvl w:val="9"/>
              <w:rPr>
                <w:rFonts w:hint="eastAsia" w:ascii="宋体" w:hAnsi="宋体" w:eastAsia="宋体" w:cs="宋体"/>
                <w:b/>
                <w:color w:val="000000" w:themeColor="text1"/>
                <w:sz w:val="18"/>
                <w:szCs w:val="18"/>
                <w:highlight w:val="none"/>
                <w14:textFill>
                  <w14:solidFill>
                    <w14:schemeClr w14:val="tx1"/>
                  </w14:solidFill>
                </w14:textFill>
              </w:rPr>
            </w:pPr>
            <w:r>
              <w:rPr>
                <w:rFonts w:hint="eastAsia" w:ascii="宋体" w:hAnsi="宋体" w:eastAsia="宋体" w:cs="宋体"/>
                <w:b/>
                <w:color w:val="000000" w:themeColor="text1"/>
                <w:sz w:val="18"/>
                <w:szCs w:val="18"/>
                <w:highlight w:val="none"/>
                <w14:textFill>
                  <w14:solidFill>
                    <w14:schemeClr w14:val="tx1"/>
                  </w14:solidFill>
                </w14:textFill>
              </w:rPr>
              <w:t>万元</w:t>
            </w:r>
          </w:p>
        </w:tc>
        <w:tc>
          <w:tcPr>
            <w:tcW w:w="1125" w:type="dxa"/>
            <w:vAlign w:val="center"/>
          </w:tcPr>
          <w:p w14:paraId="2514272F">
            <w:pPr>
              <w:overflowPunct/>
              <w:bidi w:val="0"/>
              <w:outlineLvl w:val="9"/>
              <w:rPr>
                <w:rFonts w:hint="eastAsia" w:ascii="宋体" w:hAnsi="宋体" w:eastAsia="宋体" w:cs="宋体"/>
                <w:b/>
                <w:color w:val="000000" w:themeColor="text1"/>
                <w:sz w:val="18"/>
                <w:szCs w:val="18"/>
                <w:highlight w:val="none"/>
                <w14:textFill>
                  <w14:solidFill>
                    <w14:schemeClr w14:val="tx1"/>
                  </w14:solidFill>
                </w14:textFill>
              </w:rPr>
            </w:pPr>
            <w:r>
              <w:rPr>
                <w:rFonts w:hint="eastAsia" w:ascii="宋体" w:hAnsi="宋体" w:eastAsia="宋体" w:cs="宋体"/>
                <w:b/>
                <w:color w:val="000000" w:themeColor="text1"/>
                <w:sz w:val="18"/>
                <w:szCs w:val="18"/>
                <w:highlight w:val="none"/>
                <w14:textFill>
                  <w14:solidFill>
                    <w14:schemeClr w14:val="tx1"/>
                  </w14:solidFill>
                </w14:textFill>
              </w:rPr>
              <w:t>Y≥40000</w:t>
            </w:r>
          </w:p>
        </w:tc>
        <w:tc>
          <w:tcPr>
            <w:tcW w:w="1701" w:type="dxa"/>
            <w:vAlign w:val="center"/>
          </w:tcPr>
          <w:p w14:paraId="33DD6711">
            <w:pPr>
              <w:overflowPunct/>
              <w:bidi w:val="0"/>
              <w:outlineLvl w:val="9"/>
              <w:rPr>
                <w:rFonts w:hint="eastAsia" w:ascii="宋体" w:hAnsi="宋体" w:eastAsia="宋体" w:cs="宋体"/>
                <w:b/>
                <w:color w:val="000000" w:themeColor="text1"/>
                <w:sz w:val="18"/>
                <w:szCs w:val="18"/>
                <w:highlight w:val="none"/>
                <w14:textFill>
                  <w14:solidFill>
                    <w14:schemeClr w14:val="tx1"/>
                  </w14:solidFill>
                </w14:textFill>
              </w:rPr>
            </w:pPr>
            <w:r>
              <w:rPr>
                <w:rFonts w:hint="eastAsia" w:ascii="宋体" w:hAnsi="宋体" w:eastAsia="宋体" w:cs="宋体"/>
                <w:b/>
                <w:color w:val="000000" w:themeColor="text1"/>
                <w:sz w:val="18"/>
                <w:szCs w:val="18"/>
                <w:highlight w:val="none"/>
                <w14:textFill>
                  <w14:solidFill>
                    <w14:schemeClr w14:val="tx1"/>
                  </w14:solidFill>
                </w14:textFill>
              </w:rPr>
              <w:t>2000≤Y＜40000</w:t>
            </w:r>
          </w:p>
        </w:tc>
        <w:tc>
          <w:tcPr>
            <w:tcW w:w="1426" w:type="dxa"/>
            <w:vAlign w:val="center"/>
          </w:tcPr>
          <w:p w14:paraId="39867EB8">
            <w:pPr>
              <w:overflowPunct/>
              <w:bidi w:val="0"/>
              <w:outlineLvl w:val="9"/>
              <w:rPr>
                <w:rFonts w:hint="eastAsia" w:ascii="宋体" w:hAnsi="宋体" w:eastAsia="宋体" w:cs="宋体"/>
                <w:b/>
                <w:color w:val="000000" w:themeColor="text1"/>
                <w:sz w:val="18"/>
                <w:szCs w:val="18"/>
                <w:highlight w:val="none"/>
                <w14:textFill>
                  <w14:solidFill>
                    <w14:schemeClr w14:val="tx1"/>
                  </w14:solidFill>
                </w14:textFill>
              </w:rPr>
            </w:pPr>
            <w:r>
              <w:rPr>
                <w:rFonts w:hint="eastAsia" w:ascii="宋体" w:hAnsi="宋体" w:eastAsia="宋体" w:cs="宋体"/>
                <w:b/>
                <w:color w:val="000000" w:themeColor="text1"/>
                <w:sz w:val="18"/>
                <w:szCs w:val="18"/>
                <w:highlight w:val="none"/>
                <w14:textFill>
                  <w14:solidFill>
                    <w14:schemeClr w14:val="tx1"/>
                  </w14:solidFill>
                </w14:textFill>
              </w:rPr>
              <w:t xml:space="preserve"> 300≤Y＜2000</w:t>
            </w:r>
          </w:p>
        </w:tc>
        <w:tc>
          <w:tcPr>
            <w:tcW w:w="992" w:type="dxa"/>
            <w:vAlign w:val="center"/>
          </w:tcPr>
          <w:p w14:paraId="1A95C12E">
            <w:pPr>
              <w:overflowPunct/>
              <w:bidi w:val="0"/>
              <w:outlineLvl w:val="9"/>
              <w:rPr>
                <w:rFonts w:hint="eastAsia" w:ascii="宋体" w:hAnsi="宋体" w:eastAsia="宋体" w:cs="宋体"/>
                <w:b/>
                <w:color w:val="000000" w:themeColor="text1"/>
                <w:sz w:val="18"/>
                <w:szCs w:val="18"/>
                <w:highlight w:val="none"/>
                <w14:textFill>
                  <w14:solidFill>
                    <w14:schemeClr w14:val="tx1"/>
                  </w14:solidFill>
                </w14:textFill>
              </w:rPr>
            </w:pPr>
            <w:r>
              <w:rPr>
                <w:rFonts w:hint="eastAsia" w:ascii="宋体" w:hAnsi="宋体" w:eastAsia="宋体" w:cs="宋体"/>
                <w:b/>
                <w:color w:val="000000" w:themeColor="text1"/>
                <w:sz w:val="18"/>
                <w:szCs w:val="18"/>
                <w:highlight w:val="none"/>
                <w14:textFill>
                  <w14:solidFill>
                    <w14:schemeClr w14:val="tx1"/>
                  </w14:solidFill>
                </w14:textFill>
              </w:rPr>
              <w:t>Y＜300</w:t>
            </w:r>
          </w:p>
        </w:tc>
      </w:tr>
      <w:tr w14:paraId="6D3DE95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exact"/>
          <w:jc w:val="center"/>
        </w:trPr>
        <w:tc>
          <w:tcPr>
            <w:tcW w:w="2113" w:type="dxa"/>
            <w:vMerge w:val="restart"/>
            <w:vAlign w:val="center"/>
          </w:tcPr>
          <w:p w14:paraId="7529AFF7">
            <w:pPr>
              <w:overflowPunct/>
              <w:bidi w:val="0"/>
              <w:spacing w:line="240" w:lineRule="exact"/>
              <w:jc w:val="center"/>
              <w:outlineLvl w:val="9"/>
              <w:rPr>
                <w:rFonts w:hint="eastAsia" w:ascii="宋体" w:hAnsi="宋体" w:eastAsia="宋体" w:cs="宋体"/>
                <w:b/>
                <w:color w:val="000000" w:themeColor="text1"/>
                <w:sz w:val="18"/>
                <w:szCs w:val="18"/>
                <w:highlight w:val="none"/>
                <w14:textFill>
                  <w14:solidFill>
                    <w14:schemeClr w14:val="tx1"/>
                  </w14:solidFill>
                </w14:textFill>
              </w:rPr>
            </w:pPr>
            <w:r>
              <w:rPr>
                <w:rFonts w:hint="eastAsia" w:ascii="宋体" w:hAnsi="宋体" w:eastAsia="宋体" w:cs="宋体"/>
                <w:b/>
                <w:color w:val="000000" w:themeColor="text1"/>
                <w:sz w:val="18"/>
                <w:szCs w:val="18"/>
                <w:highlight w:val="none"/>
                <w14:textFill>
                  <w14:solidFill>
                    <w14:schemeClr w14:val="tx1"/>
                  </w14:solidFill>
                </w14:textFill>
              </w:rPr>
              <w:t>建筑业</w:t>
            </w:r>
          </w:p>
        </w:tc>
        <w:tc>
          <w:tcPr>
            <w:tcW w:w="1369" w:type="dxa"/>
            <w:vAlign w:val="center"/>
          </w:tcPr>
          <w:p w14:paraId="71F2E41B">
            <w:pPr>
              <w:overflowPunct/>
              <w:bidi w:val="0"/>
              <w:outlineLvl w:val="9"/>
              <w:rPr>
                <w:rFonts w:hint="eastAsia" w:ascii="宋体" w:hAnsi="宋体" w:eastAsia="宋体" w:cs="宋体"/>
                <w:b/>
                <w:color w:val="000000" w:themeColor="text1"/>
                <w:sz w:val="18"/>
                <w:szCs w:val="18"/>
                <w:highlight w:val="none"/>
                <w14:textFill>
                  <w14:solidFill>
                    <w14:schemeClr w14:val="tx1"/>
                  </w14:solidFill>
                </w14:textFill>
              </w:rPr>
            </w:pPr>
            <w:r>
              <w:rPr>
                <w:rFonts w:hint="eastAsia" w:ascii="宋体" w:hAnsi="宋体" w:eastAsia="宋体" w:cs="宋体"/>
                <w:b/>
                <w:color w:val="000000" w:themeColor="text1"/>
                <w:sz w:val="18"/>
                <w:szCs w:val="18"/>
                <w:highlight w:val="none"/>
                <w14:textFill>
                  <w14:solidFill>
                    <w14:schemeClr w14:val="tx1"/>
                  </w14:solidFill>
                </w14:textFill>
              </w:rPr>
              <w:t>营业收入(Y)</w:t>
            </w:r>
          </w:p>
        </w:tc>
        <w:tc>
          <w:tcPr>
            <w:tcW w:w="709" w:type="dxa"/>
            <w:vAlign w:val="center"/>
          </w:tcPr>
          <w:p w14:paraId="6EDC546C">
            <w:pPr>
              <w:overflowPunct/>
              <w:bidi w:val="0"/>
              <w:outlineLvl w:val="9"/>
              <w:rPr>
                <w:rFonts w:hint="eastAsia" w:ascii="宋体" w:hAnsi="宋体" w:eastAsia="宋体" w:cs="宋体"/>
                <w:b/>
                <w:color w:val="000000" w:themeColor="text1"/>
                <w:sz w:val="18"/>
                <w:szCs w:val="18"/>
                <w:highlight w:val="none"/>
                <w14:textFill>
                  <w14:solidFill>
                    <w14:schemeClr w14:val="tx1"/>
                  </w14:solidFill>
                </w14:textFill>
              </w:rPr>
            </w:pPr>
            <w:r>
              <w:rPr>
                <w:rFonts w:hint="eastAsia" w:ascii="宋体" w:hAnsi="宋体" w:eastAsia="宋体" w:cs="宋体"/>
                <w:b/>
                <w:color w:val="000000" w:themeColor="text1"/>
                <w:sz w:val="18"/>
                <w:szCs w:val="18"/>
                <w:highlight w:val="none"/>
                <w14:textFill>
                  <w14:solidFill>
                    <w14:schemeClr w14:val="tx1"/>
                  </w14:solidFill>
                </w14:textFill>
              </w:rPr>
              <w:t>万元</w:t>
            </w:r>
          </w:p>
        </w:tc>
        <w:tc>
          <w:tcPr>
            <w:tcW w:w="1125" w:type="dxa"/>
            <w:vAlign w:val="center"/>
          </w:tcPr>
          <w:p w14:paraId="30AC820A">
            <w:pPr>
              <w:overflowPunct/>
              <w:bidi w:val="0"/>
              <w:outlineLvl w:val="9"/>
              <w:rPr>
                <w:rFonts w:hint="eastAsia" w:ascii="宋体" w:hAnsi="宋体" w:eastAsia="宋体" w:cs="宋体"/>
                <w:b/>
                <w:color w:val="000000" w:themeColor="text1"/>
                <w:sz w:val="18"/>
                <w:szCs w:val="18"/>
                <w:highlight w:val="none"/>
                <w14:textFill>
                  <w14:solidFill>
                    <w14:schemeClr w14:val="tx1"/>
                  </w14:solidFill>
                </w14:textFill>
              </w:rPr>
            </w:pPr>
            <w:r>
              <w:rPr>
                <w:rFonts w:hint="eastAsia" w:ascii="宋体" w:hAnsi="宋体" w:eastAsia="宋体" w:cs="宋体"/>
                <w:b/>
                <w:color w:val="000000" w:themeColor="text1"/>
                <w:sz w:val="18"/>
                <w:szCs w:val="18"/>
                <w:highlight w:val="none"/>
                <w14:textFill>
                  <w14:solidFill>
                    <w14:schemeClr w14:val="tx1"/>
                  </w14:solidFill>
                </w14:textFill>
              </w:rPr>
              <w:t>Y≥80000</w:t>
            </w:r>
          </w:p>
        </w:tc>
        <w:tc>
          <w:tcPr>
            <w:tcW w:w="1701" w:type="dxa"/>
            <w:vAlign w:val="center"/>
          </w:tcPr>
          <w:p w14:paraId="58ABF878">
            <w:pPr>
              <w:overflowPunct/>
              <w:bidi w:val="0"/>
              <w:outlineLvl w:val="9"/>
              <w:rPr>
                <w:rFonts w:hint="eastAsia" w:ascii="宋体" w:hAnsi="宋体" w:eastAsia="宋体" w:cs="宋体"/>
                <w:b/>
                <w:color w:val="000000" w:themeColor="text1"/>
                <w:sz w:val="18"/>
                <w:szCs w:val="18"/>
                <w:highlight w:val="none"/>
                <w14:textFill>
                  <w14:solidFill>
                    <w14:schemeClr w14:val="tx1"/>
                  </w14:solidFill>
                </w14:textFill>
              </w:rPr>
            </w:pPr>
            <w:r>
              <w:rPr>
                <w:rFonts w:hint="eastAsia" w:ascii="宋体" w:hAnsi="宋体" w:eastAsia="宋体" w:cs="宋体"/>
                <w:b/>
                <w:color w:val="000000" w:themeColor="text1"/>
                <w:sz w:val="18"/>
                <w:szCs w:val="18"/>
                <w:highlight w:val="none"/>
                <w14:textFill>
                  <w14:solidFill>
                    <w14:schemeClr w14:val="tx1"/>
                  </w14:solidFill>
                </w14:textFill>
              </w:rPr>
              <w:t>6000≤Y＜80000</w:t>
            </w:r>
          </w:p>
        </w:tc>
        <w:tc>
          <w:tcPr>
            <w:tcW w:w="1426" w:type="dxa"/>
            <w:vAlign w:val="center"/>
          </w:tcPr>
          <w:p w14:paraId="6F83B0E5">
            <w:pPr>
              <w:overflowPunct/>
              <w:bidi w:val="0"/>
              <w:outlineLvl w:val="9"/>
              <w:rPr>
                <w:rFonts w:hint="eastAsia" w:ascii="宋体" w:hAnsi="宋体" w:eastAsia="宋体" w:cs="宋体"/>
                <w:b/>
                <w:color w:val="000000" w:themeColor="text1"/>
                <w:sz w:val="18"/>
                <w:szCs w:val="18"/>
                <w:highlight w:val="none"/>
                <w14:textFill>
                  <w14:solidFill>
                    <w14:schemeClr w14:val="tx1"/>
                  </w14:solidFill>
                </w14:textFill>
              </w:rPr>
            </w:pPr>
            <w:r>
              <w:rPr>
                <w:rFonts w:hint="eastAsia" w:ascii="宋体" w:hAnsi="宋体" w:eastAsia="宋体" w:cs="宋体"/>
                <w:b/>
                <w:color w:val="000000" w:themeColor="text1"/>
                <w:sz w:val="18"/>
                <w:szCs w:val="18"/>
                <w:highlight w:val="none"/>
                <w14:textFill>
                  <w14:solidFill>
                    <w14:schemeClr w14:val="tx1"/>
                  </w14:solidFill>
                </w14:textFill>
              </w:rPr>
              <w:t xml:space="preserve"> 300≤Y＜6000</w:t>
            </w:r>
          </w:p>
        </w:tc>
        <w:tc>
          <w:tcPr>
            <w:tcW w:w="992" w:type="dxa"/>
            <w:vAlign w:val="center"/>
          </w:tcPr>
          <w:p w14:paraId="6DF44678">
            <w:pPr>
              <w:overflowPunct/>
              <w:bidi w:val="0"/>
              <w:outlineLvl w:val="9"/>
              <w:rPr>
                <w:rFonts w:hint="eastAsia" w:ascii="宋体" w:hAnsi="宋体" w:eastAsia="宋体" w:cs="宋体"/>
                <w:b/>
                <w:color w:val="000000" w:themeColor="text1"/>
                <w:sz w:val="18"/>
                <w:szCs w:val="18"/>
                <w:highlight w:val="none"/>
                <w14:textFill>
                  <w14:solidFill>
                    <w14:schemeClr w14:val="tx1"/>
                  </w14:solidFill>
                </w14:textFill>
              </w:rPr>
            </w:pPr>
            <w:r>
              <w:rPr>
                <w:rFonts w:hint="eastAsia" w:ascii="宋体" w:hAnsi="宋体" w:eastAsia="宋体" w:cs="宋体"/>
                <w:b/>
                <w:color w:val="000000" w:themeColor="text1"/>
                <w:sz w:val="18"/>
                <w:szCs w:val="18"/>
                <w:highlight w:val="none"/>
                <w14:textFill>
                  <w14:solidFill>
                    <w14:schemeClr w14:val="tx1"/>
                  </w14:solidFill>
                </w14:textFill>
              </w:rPr>
              <w:t>Y＜300</w:t>
            </w:r>
          </w:p>
        </w:tc>
      </w:tr>
      <w:tr w14:paraId="16FEB23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exact"/>
          <w:jc w:val="center"/>
        </w:trPr>
        <w:tc>
          <w:tcPr>
            <w:tcW w:w="2113" w:type="dxa"/>
            <w:vMerge w:val="continue"/>
            <w:vAlign w:val="center"/>
          </w:tcPr>
          <w:p w14:paraId="3268EF6D">
            <w:pPr>
              <w:overflowPunct/>
              <w:bidi w:val="0"/>
              <w:jc w:val="center"/>
              <w:outlineLvl w:val="9"/>
              <w:rPr>
                <w:rFonts w:hint="eastAsia" w:ascii="宋体" w:hAnsi="宋体" w:eastAsia="宋体" w:cs="宋体"/>
                <w:b/>
                <w:color w:val="000000" w:themeColor="text1"/>
                <w:sz w:val="18"/>
                <w:szCs w:val="18"/>
                <w:highlight w:val="none"/>
                <w14:textFill>
                  <w14:solidFill>
                    <w14:schemeClr w14:val="tx1"/>
                  </w14:solidFill>
                </w14:textFill>
              </w:rPr>
            </w:pPr>
          </w:p>
        </w:tc>
        <w:tc>
          <w:tcPr>
            <w:tcW w:w="1369" w:type="dxa"/>
            <w:vAlign w:val="center"/>
          </w:tcPr>
          <w:p w14:paraId="441E2098">
            <w:pPr>
              <w:overflowPunct/>
              <w:bidi w:val="0"/>
              <w:spacing w:line="240" w:lineRule="exact"/>
              <w:outlineLvl w:val="9"/>
              <w:rPr>
                <w:rFonts w:hint="eastAsia" w:ascii="宋体" w:hAnsi="宋体" w:eastAsia="宋体" w:cs="宋体"/>
                <w:b/>
                <w:color w:val="000000" w:themeColor="text1"/>
                <w:sz w:val="18"/>
                <w:szCs w:val="18"/>
                <w:highlight w:val="none"/>
                <w14:textFill>
                  <w14:solidFill>
                    <w14:schemeClr w14:val="tx1"/>
                  </w14:solidFill>
                </w14:textFill>
              </w:rPr>
            </w:pPr>
            <w:r>
              <w:rPr>
                <w:rFonts w:hint="eastAsia" w:ascii="宋体" w:hAnsi="宋体" w:eastAsia="宋体" w:cs="宋体"/>
                <w:b/>
                <w:color w:val="000000" w:themeColor="text1"/>
                <w:sz w:val="18"/>
                <w:szCs w:val="18"/>
                <w:highlight w:val="none"/>
                <w14:textFill>
                  <w14:solidFill>
                    <w14:schemeClr w14:val="tx1"/>
                  </w14:solidFill>
                </w14:textFill>
              </w:rPr>
              <w:t>资产总额(Z)</w:t>
            </w:r>
          </w:p>
        </w:tc>
        <w:tc>
          <w:tcPr>
            <w:tcW w:w="709" w:type="dxa"/>
            <w:vAlign w:val="center"/>
          </w:tcPr>
          <w:p w14:paraId="164599B7">
            <w:pPr>
              <w:overflowPunct/>
              <w:bidi w:val="0"/>
              <w:outlineLvl w:val="9"/>
              <w:rPr>
                <w:rFonts w:hint="eastAsia" w:ascii="宋体" w:hAnsi="宋体" w:eastAsia="宋体" w:cs="宋体"/>
                <w:b/>
                <w:color w:val="000000" w:themeColor="text1"/>
                <w:sz w:val="18"/>
                <w:szCs w:val="18"/>
                <w:highlight w:val="none"/>
                <w14:textFill>
                  <w14:solidFill>
                    <w14:schemeClr w14:val="tx1"/>
                  </w14:solidFill>
                </w14:textFill>
              </w:rPr>
            </w:pPr>
            <w:r>
              <w:rPr>
                <w:rFonts w:hint="eastAsia" w:ascii="宋体" w:hAnsi="宋体" w:eastAsia="宋体" w:cs="宋体"/>
                <w:b/>
                <w:color w:val="000000" w:themeColor="text1"/>
                <w:sz w:val="18"/>
                <w:szCs w:val="18"/>
                <w:highlight w:val="none"/>
                <w14:textFill>
                  <w14:solidFill>
                    <w14:schemeClr w14:val="tx1"/>
                  </w14:solidFill>
                </w14:textFill>
              </w:rPr>
              <w:t>万元</w:t>
            </w:r>
          </w:p>
        </w:tc>
        <w:tc>
          <w:tcPr>
            <w:tcW w:w="1125" w:type="dxa"/>
            <w:vAlign w:val="center"/>
          </w:tcPr>
          <w:p w14:paraId="6172C89E">
            <w:pPr>
              <w:overflowPunct/>
              <w:bidi w:val="0"/>
              <w:outlineLvl w:val="9"/>
              <w:rPr>
                <w:rFonts w:hint="eastAsia" w:ascii="宋体" w:hAnsi="宋体" w:eastAsia="宋体" w:cs="宋体"/>
                <w:b/>
                <w:color w:val="000000" w:themeColor="text1"/>
                <w:sz w:val="18"/>
                <w:szCs w:val="18"/>
                <w:highlight w:val="none"/>
                <w14:textFill>
                  <w14:solidFill>
                    <w14:schemeClr w14:val="tx1"/>
                  </w14:solidFill>
                </w14:textFill>
              </w:rPr>
            </w:pPr>
            <w:r>
              <w:rPr>
                <w:rFonts w:hint="eastAsia" w:ascii="宋体" w:hAnsi="宋体" w:eastAsia="宋体" w:cs="宋体"/>
                <w:b/>
                <w:color w:val="000000" w:themeColor="text1"/>
                <w:sz w:val="18"/>
                <w:szCs w:val="18"/>
                <w:highlight w:val="none"/>
                <w14:textFill>
                  <w14:solidFill>
                    <w14:schemeClr w14:val="tx1"/>
                  </w14:solidFill>
                </w14:textFill>
              </w:rPr>
              <w:t>Z≥80000</w:t>
            </w:r>
          </w:p>
        </w:tc>
        <w:tc>
          <w:tcPr>
            <w:tcW w:w="1701" w:type="dxa"/>
            <w:vAlign w:val="center"/>
          </w:tcPr>
          <w:p w14:paraId="561AD15B">
            <w:pPr>
              <w:overflowPunct/>
              <w:bidi w:val="0"/>
              <w:outlineLvl w:val="9"/>
              <w:rPr>
                <w:rFonts w:hint="eastAsia" w:ascii="宋体" w:hAnsi="宋体" w:eastAsia="宋体" w:cs="宋体"/>
                <w:b/>
                <w:color w:val="000000" w:themeColor="text1"/>
                <w:sz w:val="18"/>
                <w:szCs w:val="18"/>
                <w:highlight w:val="none"/>
                <w14:textFill>
                  <w14:solidFill>
                    <w14:schemeClr w14:val="tx1"/>
                  </w14:solidFill>
                </w14:textFill>
              </w:rPr>
            </w:pPr>
            <w:r>
              <w:rPr>
                <w:rFonts w:hint="eastAsia" w:ascii="宋体" w:hAnsi="宋体" w:eastAsia="宋体" w:cs="宋体"/>
                <w:b/>
                <w:color w:val="000000" w:themeColor="text1"/>
                <w:sz w:val="18"/>
                <w:szCs w:val="18"/>
                <w:highlight w:val="none"/>
                <w14:textFill>
                  <w14:solidFill>
                    <w14:schemeClr w14:val="tx1"/>
                  </w14:solidFill>
                </w14:textFill>
              </w:rPr>
              <w:t>5000≤Z＜80000</w:t>
            </w:r>
          </w:p>
        </w:tc>
        <w:tc>
          <w:tcPr>
            <w:tcW w:w="1426" w:type="dxa"/>
            <w:vAlign w:val="center"/>
          </w:tcPr>
          <w:p w14:paraId="390F5A6B">
            <w:pPr>
              <w:overflowPunct/>
              <w:bidi w:val="0"/>
              <w:outlineLvl w:val="9"/>
              <w:rPr>
                <w:rFonts w:hint="eastAsia" w:ascii="宋体" w:hAnsi="宋体" w:eastAsia="宋体" w:cs="宋体"/>
                <w:b/>
                <w:color w:val="000000" w:themeColor="text1"/>
                <w:sz w:val="18"/>
                <w:szCs w:val="18"/>
                <w:highlight w:val="none"/>
                <w14:textFill>
                  <w14:solidFill>
                    <w14:schemeClr w14:val="tx1"/>
                  </w14:solidFill>
                </w14:textFill>
              </w:rPr>
            </w:pPr>
            <w:r>
              <w:rPr>
                <w:rFonts w:hint="eastAsia" w:ascii="宋体" w:hAnsi="宋体" w:eastAsia="宋体" w:cs="宋体"/>
                <w:b/>
                <w:color w:val="000000" w:themeColor="text1"/>
                <w:sz w:val="18"/>
                <w:szCs w:val="18"/>
                <w:highlight w:val="none"/>
                <w14:textFill>
                  <w14:solidFill>
                    <w14:schemeClr w14:val="tx1"/>
                  </w14:solidFill>
                </w14:textFill>
              </w:rPr>
              <w:t xml:space="preserve"> 300≤Z＜5000</w:t>
            </w:r>
          </w:p>
        </w:tc>
        <w:tc>
          <w:tcPr>
            <w:tcW w:w="992" w:type="dxa"/>
            <w:vAlign w:val="center"/>
          </w:tcPr>
          <w:p w14:paraId="5D18131D">
            <w:pPr>
              <w:overflowPunct/>
              <w:bidi w:val="0"/>
              <w:outlineLvl w:val="9"/>
              <w:rPr>
                <w:rFonts w:hint="eastAsia" w:ascii="宋体" w:hAnsi="宋体" w:eastAsia="宋体" w:cs="宋体"/>
                <w:b/>
                <w:color w:val="000000" w:themeColor="text1"/>
                <w:sz w:val="18"/>
                <w:szCs w:val="18"/>
                <w:highlight w:val="none"/>
                <w14:textFill>
                  <w14:solidFill>
                    <w14:schemeClr w14:val="tx1"/>
                  </w14:solidFill>
                </w14:textFill>
              </w:rPr>
            </w:pPr>
            <w:r>
              <w:rPr>
                <w:rFonts w:hint="eastAsia" w:ascii="宋体" w:hAnsi="宋体" w:eastAsia="宋体" w:cs="宋体"/>
                <w:b/>
                <w:color w:val="000000" w:themeColor="text1"/>
                <w:sz w:val="18"/>
                <w:szCs w:val="18"/>
                <w:highlight w:val="none"/>
                <w14:textFill>
                  <w14:solidFill>
                    <w14:schemeClr w14:val="tx1"/>
                  </w14:solidFill>
                </w14:textFill>
              </w:rPr>
              <w:t>Z＜300</w:t>
            </w:r>
          </w:p>
        </w:tc>
      </w:tr>
      <w:tr w14:paraId="3C76F71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exact"/>
          <w:jc w:val="center"/>
        </w:trPr>
        <w:tc>
          <w:tcPr>
            <w:tcW w:w="2113" w:type="dxa"/>
            <w:vMerge w:val="restart"/>
            <w:vAlign w:val="center"/>
          </w:tcPr>
          <w:p w14:paraId="772B0BE8">
            <w:pPr>
              <w:overflowPunct/>
              <w:bidi w:val="0"/>
              <w:spacing w:line="240" w:lineRule="exact"/>
              <w:jc w:val="center"/>
              <w:outlineLvl w:val="9"/>
              <w:rPr>
                <w:rFonts w:hint="eastAsia" w:ascii="宋体" w:hAnsi="宋体" w:eastAsia="宋体" w:cs="宋体"/>
                <w:b/>
                <w:color w:val="000000" w:themeColor="text1"/>
                <w:sz w:val="18"/>
                <w:szCs w:val="18"/>
                <w:highlight w:val="none"/>
                <w14:textFill>
                  <w14:solidFill>
                    <w14:schemeClr w14:val="tx1"/>
                  </w14:solidFill>
                </w14:textFill>
              </w:rPr>
            </w:pPr>
            <w:r>
              <w:rPr>
                <w:rFonts w:hint="eastAsia" w:ascii="宋体" w:hAnsi="宋体" w:eastAsia="宋体" w:cs="宋体"/>
                <w:b/>
                <w:color w:val="000000" w:themeColor="text1"/>
                <w:sz w:val="18"/>
                <w:szCs w:val="18"/>
                <w:highlight w:val="none"/>
                <w14:textFill>
                  <w14:solidFill>
                    <w14:schemeClr w14:val="tx1"/>
                  </w14:solidFill>
                </w14:textFill>
              </w:rPr>
              <w:t>批发业</w:t>
            </w:r>
          </w:p>
        </w:tc>
        <w:tc>
          <w:tcPr>
            <w:tcW w:w="1369" w:type="dxa"/>
            <w:vAlign w:val="center"/>
          </w:tcPr>
          <w:p w14:paraId="531A36CC">
            <w:pPr>
              <w:overflowPunct/>
              <w:bidi w:val="0"/>
              <w:outlineLvl w:val="9"/>
              <w:rPr>
                <w:rFonts w:hint="eastAsia" w:ascii="宋体" w:hAnsi="宋体" w:eastAsia="宋体" w:cs="宋体"/>
                <w:b/>
                <w:color w:val="000000" w:themeColor="text1"/>
                <w:sz w:val="18"/>
                <w:szCs w:val="18"/>
                <w:highlight w:val="none"/>
                <w14:textFill>
                  <w14:solidFill>
                    <w14:schemeClr w14:val="tx1"/>
                  </w14:solidFill>
                </w14:textFill>
              </w:rPr>
            </w:pPr>
            <w:r>
              <w:rPr>
                <w:rFonts w:hint="eastAsia" w:ascii="宋体" w:hAnsi="宋体" w:eastAsia="宋体" w:cs="宋体"/>
                <w:b/>
                <w:color w:val="000000" w:themeColor="text1"/>
                <w:sz w:val="18"/>
                <w:szCs w:val="18"/>
                <w:highlight w:val="none"/>
                <w14:textFill>
                  <w14:solidFill>
                    <w14:schemeClr w14:val="tx1"/>
                  </w14:solidFill>
                </w14:textFill>
              </w:rPr>
              <w:t>从业人员(X)</w:t>
            </w:r>
          </w:p>
        </w:tc>
        <w:tc>
          <w:tcPr>
            <w:tcW w:w="709" w:type="dxa"/>
            <w:vAlign w:val="center"/>
          </w:tcPr>
          <w:p w14:paraId="46475F7E">
            <w:pPr>
              <w:overflowPunct/>
              <w:bidi w:val="0"/>
              <w:outlineLvl w:val="9"/>
              <w:rPr>
                <w:rFonts w:hint="eastAsia" w:ascii="宋体" w:hAnsi="宋体" w:eastAsia="宋体" w:cs="宋体"/>
                <w:b/>
                <w:color w:val="000000" w:themeColor="text1"/>
                <w:sz w:val="18"/>
                <w:szCs w:val="18"/>
                <w:highlight w:val="none"/>
                <w14:textFill>
                  <w14:solidFill>
                    <w14:schemeClr w14:val="tx1"/>
                  </w14:solidFill>
                </w14:textFill>
              </w:rPr>
            </w:pPr>
            <w:r>
              <w:rPr>
                <w:rFonts w:hint="eastAsia" w:ascii="宋体" w:hAnsi="宋体" w:eastAsia="宋体" w:cs="宋体"/>
                <w:b/>
                <w:color w:val="000000" w:themeColor="text1"/>
                <w:sz w:val="18"/>
                <w:szCs w:val="18"/>
                <w:highlight w:val="none"/>
                <w14:textFill>
                  <w14:solidFill>
                    <w14:schemeClr w14:val="tx1"/>
                  </w14:solidFill>
                </w14:textFill>
              </w:rPr>
              <w:t>人</w:t>
            </w:r>
          </w:p>
        </w:tc>
        <w:tc>
          <w:tcPr>
            <w:tcW w:w="1125" w:type="dxa"/>
            <w:vAlign w:val="center"/>
          </w:tcPr>
          <w:p w14:paraId="36A896E0">
            <w:pPr>
              <w:overflowPunct/>
              <w:bidi w:val="0"/>
              <w:outlineLvl w:val="9"/>
              <w:rPr>
                <w:rFonts w:hint="eastAsia" w:ascii="宋体" w:hAnsi="宋体" w:eastAsia="宋体" w:cs="宋体"/>
                <w:b/>
                <w:color w:val="000000" w:themeColor="text1"/>
                <w:sz w:val="18"/>
                <w:szCs w:val="18"/>
                <w:highlight w:val="none"/>
                <w14:textFill>
                  <w14:solidFill>
                    <w14:schemeClr w14:val="tx1"/>
                  </w14:solidFill>
                </w14:textFill>
              </w:rPr>
            </w:pPr>
            <w:r>
              <w:rPr>
                <w:rFonts w:hint="eastAsia" w:ascii="宋体" w:hAnsi="宋体" w:eastAsia="宋体" w:cs="宋体"/>
                <w:b/>
                <w:color w:val="000000" w:themeColor="text1"/>
                <w:sz w:val="18"/>
                <w:szCs w:val="18"/>
                <w:highlight w:val="none"/>
                <w14:textFill>
                  <w14:solidFill>
                    <w14:schemeClr w14:val="tx1"/>
                  </w14:solidFill>
                </w14:textFill>
              </w:rPr>
              <w:t>X≥200</w:t>
            </w:r>
          </w:p>
        </w:tc>
        <w:tc>
          <w:tcPr>
            <w:tcW w:w="1701" w:type="dxa"/>
            <w:vAlign w:val="center"/>
          </w:tcPr>
          <w:p w14:paraId="2DDC5542">
            <w:pPr>
              <w:overflowPunct/>
              <w:bidi w:val="0"/>
              <w:outlineLvl w:val="9"/>
              <w:rPr>
                <w:rFonts w:hint="eastAsia" w:ascii="宋体" w:hAnsi="宋体" w:eastAsia="宋体" w:cs="宋体"/>
                <w:b/>
                <w:color w:val="000000" w:themeColor="text1"/>
                <w:sz w:val="18"/>
                <w:szCs w:val="18"/>
                <w:highlight w:val="none"/>
                <w14:textFill>
                  <w14:solidFill>
                    <w14:schemeClr w14:val="tx1"/>
                  </w14:solidFill>
                </w14:textFill>
              </w:rPr>
            </w:pPr>
            <w:r>
              <w:rPr>
                <w:rFonts w:hint="eastAsia" w:ascii="宋体" w:hAnsi="宋体" w:eastAsia="宋体" w:cs="宋体"/>
                <w:b/>
                <w:color w:val="000000" w:themeColor="text1"/>
                <w:sz w:val="18"/>
                <w:szCs w:val="18"/>
                <w:highlight w:val="none"/>
                <w14:textFill>
                  <w14:solidFill>
                    <w14:schemeClr w14:val="tx1"/>
                  </w14:solidFill>
                </w14:textFill>
              </w:rPr>
              <w:t>20≤X＜200</w:t>
            </w:r>
          </w:p>
        </w:tc>
        <w:tc>
          <w:tcPr>
            <w:tcW w:w="1426" w:type="dxa"/>
            <w:vAlign w:val="center"/>
          </w:tcPr>
          <w:p w14:paraId="1EB03069">
            <w:pPr>
              <w:overflowPunct/>
              <w:bidi w:val="0"/>
              <w:outlineLvl w:val="9"/>
              <w:rPr>
                <w:rFonts w:hint="eastAsia" w:ascii="宋体" w:hAnsi="宋体" w:eastAsia="宋体" w:cs="宋体"/>
                <w:b/>
                <w:color w:val="000000" w:themeColor="text1"/>
                <w:sz w:val="18"/>
                <w:szCs w:val="18"/>
                <w:highlight w:val="none"/>
                <w14:textFill>
                  <w14:solidFill>
                    <w14:schemeClr w14:val="tx1"/>
                  </w14:solidFill>
                </w14:textFill>
              </w:rPr>
            </w:pPr>
            <w:r>
              <w:rPr>
                <w:rFonts w:hint="eastAsia" w:ascii="宋体" w:hAnsi="宋体" w:eastAsia="宋体" w:cs="宋体"/>
                <w:b/>
                <w:color w:val="000000" w:themeColor="text1"/>
                <w:sz w:val="18"/>
                <w:szCs w:val="18"/>
                <w:highlight w:val="none"/>
                <w14:textFill>
                  <w14:solidFill>
                    <w14:schemeClr w14:val="tx1"/>
                  </w14:solidFill>
                </w14:textFill>
              </w:rPr>
              <w:t xml:space="preserve"> 5≤X＜20</w:t>
            </w:r>
          </w:p>
        </w:tc>
        <w:tc>
          <w:tcPr>
            <w:tcW w:w="992" w:type="dxa"/>
            <w:vAlign w:val="center"/>
          </w:tcPr>
          <w:p w14:paraId="71B35A93">
            <w:pPr>
              <w:overflowPunct/>
              <w:bidi w:val="0"/>
              <w:outlineLvl w:val="9"/>
              <w:rPr>
                <w:rFonts w:hint="eastAsia" w:ascii="宋体" w:hAnsi="宋体" w:eastAsia="宋体" w:cs="宋体"/>
                <w:b/>
                <w:color w:val="000000" w:themeColor="text1"/>
                <w:sz w:val="18"/>
                <w:szCs w:val="18"/>
                <w:highlight w:val="none"/>
                <w14:textFill>
                  <w14:solidFill>
                    <w14:schemeClr w14:val="tx1"/>
                  </w14:solidFill>
                </w14:textFill>
              </w:rPr>
            </w:pPr>
            <w:r>
              <w:rPr>
                <w:rFonts w:hint="eastAsia" w:ascii="宋体" w:hAnsi="宋体" w:eastAsia="宋体" w:cs="宋体"/>
                <w:b/>
                <w:color w:val="000000" w:themeColor="text1"/>
                <w:sz w:val="18"/>
                <w:szCs w:val="18"/>
                <w:highlight w:val="none"/>
                <w14:textFill>
                  <w14:solidFill>
                    <w14:schemeClr w14:val="tx1"/>
                  </w14:solidFill>
                </w14:textFill>
              </w:rPr>
              <w:t>X＜5</w:t>
            </w:r>
          </w:p>
        </w:tc>
      </w:tr>
      <w:tr w14:paraId="628C535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exact"/>
          <w:jc w:val="center"/>
        </w:trPr>
        <w:tc>
          <w:tcPr>
            <w:tcW w:w="2113" w:type="dxa"/>
            <w:vMerge w:val="continue"/>
            <w:vAlign w:val="center"/>
          </w:tcPr>
          <w:p w14:paraId="5DB6CBDF">
            <w:pPr>
              <w:overflowPunct/>
              <w:bidi w:val="0"/>
              <w:jc w:val="center"/>
              <w:outlineLvl w:val="9"/>
              <w:rPr>
                <w:rFonts w:hint="eastAsia" w:ascii="宋体" w:hAnsi="宋体" w:eastAsia="宋体" w:cs="宋体"/>
                <w:b/>
                <w:color w:val="000000" w:themeColor="text1"/>
                <w:sz w:val="18"/>
                <w:szCs w:val="18"/>
                <w:highlight w:val="none"/>
                <w14:textFill>
                  <w14:solidFill>
                    <w14:schemeClr w14:val="tx1"/>
                  </w14:solidFill>
                </w14:textFill>
              </w:rPr>
            </w:pPr>
          </w:p>
        </w:tc>
        <w:tc>
          <w:tcPr>
            <w:tcW w:w="1369" w:type="dxa"/>
            <w:vAlign w:val="center"/>
          </w:tcPr>
          <w:p w14:paraId="7F19D883">
            <w:pPr>
              <w:overflowPunct/>
              <w:bidi w:val="0"/>
              <w:spacing w:line="240" w:lineRule="exact"/>
              <w:outlineLvl w:val="9"/>
              <w:rPr>
                <w:rFonts w:hint="eastAsia" w:ascii="宋体" w:hAnsi="宋体" w:eastAsia="宋体" w:cs="宋体"/>
                <w:b/>
                <w:color w:val="000000" w:themeColor="text1"/>
                <w:sz w:val="18"/>
                <w:szCs w:val="18"/>
                <w:highlight w:val="none"/>
                <w14:textFill>
                  <w14:solidFill>
                    <w14:schemeClr w14:val="tx1"/>
                  </w14:solidFill>
                </w14:textFill>
              </w:rPr>
            </w:pPr>
            <w:r>
              <w:rPr>
                <w:rFonts w:hint="eastAsia" w:ascii="宋体" w:hAnsi="宋体" w:eastAsia="宋体" w:cs="宋体"/>
                <w:b/>
                <w:color w:val="000000" w:themeColor="text1"/>
                <w:sz w:val="18"/>
                <w:szCs w:val="18"/>
                <w:highlight w:val="none"/>
                <w14:textFill>
                  <w14:solidFill>
                    <w14:schemeClr w14:val="tx1"/>
                  </w14:solidFill>
                </w14:textFill>
              </w:rPr>
              <w:t>营业收入(Y)</w:t>
            </w:r>
          </w:p>
        </w:tc>
        <w:tc>
          <w:tcPr>
            <w:tcW w:w="709" w:type="dxa"/>
            <w:vAlign w:val="center"/>
          </w:tcPr>
          <w:p w14:paraId="49B9867F">
            <w:pPr>
              <w:overflowPunct/>
              <w:bidi w:val="0"/>
              <w:outlineLvl w:val="9"/>
              <w:rPr>
                <w:rFonts w:hint="eastAsia" w:ascii="宋体" w:hAnsi="宋体" w:eastAsia="宋体" w:cs="宋体"/>
                <w:b/>
                <w:color w:val="000000" w:themeColor="text1"/>
                <w:sz w:val="18"/>
                <w:szCs w:val="18"/>
                <w:highlight w:val="none"/>
                <w14:textFill>
                  <w14:solidFill>
                    <w14:schemeClr w14:val="tx1"/>
                  </w14:solidFill>
                </w14:textFill>
              </w:rPr>
            </w:pPr>
            <w:r>
              <w:rPr>
                <w:rFonts w:hint="eastAsia" w:ascii="宋体" w:hAnsi="宋体" w:eastAsia="宋体" w:cs="宋体"/>
                <w:b/>
                <w:color w:val="000000" w:themeColor="text1"/>
                <w:sz w:val="18"/>
                <w:szCs w:val="18"/>
                <w:highlight w:val="none"/>
                <w14:textFill>
                  <w14:solidFill>
                    <w14:schemeClr w14:val="tx1"/>
                  </w14:solidFill>
                </w14:textFill>
              </w:rPr>
              <w:t>万元</w:t>
            </w:r>
          </w:p>
        </w:tc>
        <w:tc>
          <w:tcPr>
            <w:tcW w:w="1125" w:type="dxa"/>
            <w:vAlign w:val="center"/>
          </w:tcPr>
          <w:p w14:paraId="1383DFCD">
            <w:pPr>
              <w:overflowPunct/>
              <w:bidi w:val="0"/>
              <w:outlineLvl w:val="9"/>
              <w:rPr>
                <w:rFonts w:hint="eastAsia" w:ascii="宋体" w:hAnsi="宋体" w:eastAsia="宋体" w:cs="宋体"/>
                <w:b/>
                <w:color w:val="000000" w:themeColor="text1"/>
                <w:sz w:val="18"/>
                <w:szCs w:val="18"/>
                <w:highlight w:val="none"/>
                <w14:textFill>
                  <w14:solidFill>
                    <w14:schemeClr w14:val="tx1"/>
                  </w14:solidFill>
                </w14:textFill>
              </w:rPr>
            </w:pPr>
            <w:r>
              <w:rPr>
                <w:rFonts w:hint="eastAsia" w:ascii="宋体" w:hAnsi="宋体" w:eastAsia="宋体" w:cs="宋体"/>
                <w:b/>
                <w:color w:val="000000" w:themeColor="text1"/>
                <w:sz w:val="18"/>
                <w:szCs w:val="18"/>
                <w:highlight w:val="none"/>
                <w14:textFill>
                  <w14:solidFill>
                    <w14:schemeClr w14:val="tx1"/>
                  </w14:solidFill>
                </w14:textFill>
              </w:rPr>
              <w:t>Y≥40000</w:t>
            </w:r>
          </w:p>
        </w:tc>
        <w:tc>
          <w:tcPr>
            <w:tcW w:w="1701" w:type="dxa"/>
            <w:vAlign w:val="center"/>
          </w:tcPr>
          <w:p w14:paraId="65C38301">
            <w:pPr>
              <w:overflowPunct/>
              <w:bidi w:val="0"/>
              <w:outlineLvl w:val="9"/>
              <w:rPr>
                <w:rFonts w:hint="eastAsia" w:ascii="宋体" w:hAnsi="宋体" w:eastAsia="宋体" w:cs="宋体"/>
                <w:b/>
                <w:color w:val="000000" w:themeColor="text1"/>
                <w:sz w:val="18"/>
                <w:szCs w:val="18"/>
                <w:highlight w:val="none"/>
                <w14:textFill>
                  <w14:solidFill>
                    <w14:schemeClr w14:val="tx1"/>
                  </w14:solidFill>
                </w14:textFill>
              </w:rPr>
            </w:pPr>
            <w:r>
              <w:rPr>
                <w:rFonts w:hint="eastAsia" w:ascii="宋体" w:hAnsi="宋体" w:eastAsia="宋体" w:cs="宋体"/>
                <w:b/>
                <w:color w:val="000000" w:themeColor="text1"/>
                <w:sz w:val="18"/>
                <w:szCs w:val="18"/>
                <w:highlight w:val="none"/>
                <w14:textFill>
                  <w14:solidFill>
                    <w14:schemeClr w14:val="tx1"/>
                  </w14:solidFill>
                </w14:textFill>
              </w:rPr>
              <w:t>5000≤Y＜40000</w:t>
            </w:r>
          </w:p>
        </w:tc>
        <w:tc>
          <w:tcPr>
            <w:tcW w:w="1426" w:type="dxa"/>
            <w:vAlign w:val="center"/>
          </w:tcPr>
          <w:p w14:paraId="2D83E5C0">
            <w:pPr>
              <w:overflowPunct/>
              <w:bidi w:val="0"/>
              <w:ind w:left="-1" w:leftChars="-1" w:hanging="1"/>
              <w:outlineLvl w:val="9"/>
              <w:rPr>
                <w:rFonts w:hint="eastAsia" w:ascii="宋体" w:hAnsi="宋体" w:eastAsia="宋体" w:cs="宋体"/>
                <w:b/>
                <w:color w:val="000000" w:themeColor="text1"/>
                <w:sz w:val="18"/>
                <w:szCs w:val="18"/>
                <w:highlight w:val="none"/>
                <w14:textFill>
                  <w14:solidFill>
                    <w14:schemeClr w14:val="tx1"/>
                  </w14:solidFill>
                </w14:textFill>
              </w:rPr>
            </w:pPr>
            <w:r>
              <w:rPr>
                <w:rFonts w:hint="eastAsia" w:ascii="宋体" w:hAnsi="宋体" w:eastAsia="宋体" w:cs="宋体"/>
                <w:b/>
                <w:color w:val="000000" w:themeColor="text1"/>
                <w:sz w:val="18"/>
                <w:szCs w:val="18"/>
                <w:highlight w:val="none"/>
                <w14:textFill>
                  <w14:solidFill>
                    <w14:schemeClr w14:val="tx1"/>
                  </w14:solidFill>
                </w14:textFill>
              </w:rPr>
              <w:t>1000≤Y＜5000</w:t>
            </w:r>
          </w:p>
        </w:tc>
        <w:tc>
          <w:tcPr>
            <w:tcW w:w="992" w:type="dxa"/>
            <w:vAlign w:val="center"/>
          </w:tcPr>
          <w:p w14:paraId="044042E2">
            <w:pPr>
              <w:overflowPunct/>
              <w:bidi w:val="0"/>
              <w:outlineLvl w:val="9"/>
              <w:rPr>
                <w:rFonts w:hint="eastAsia" w:ascii="宋体" w:hAnsi="宋体" w:eastAsia="宋体" w:cs="宋体"/>
                <w:b/>
                <w:color w:val="000000" w:themeColor="text1"/>
                <w:sz w:val="18"/>
                <w:szCs w:val="18"/>
                <w:highlight w:val="none"/>
                <w14:textFill>
                  <w14:solidFill>
                    <w14:schemeClr w14:val="tx1"/>
                  </w14:solidFill>
                </w14:textFill>
              </w:rPr>
            </w:pPr>
            <w:r>
              <w:rPr>
                <w:rFonts w:hint="eastAsia" w:ascii="宋体" w:hAnsi="宋体" w:eastAsia="宋体" w:cs="宋体"/>
                <w:b/>
                <w:color w:val="000000" w:themeColor="text1"/>
                <w:sz w:val="18"/>
                <w:szCs w:val="18"/>
                <w:highlight w:val="none"/>
                <w14:textFill>
                  <w14:solidFill>
                    <w14:schemeClr w14:val="tx1"/>
                  </w14:solidFill>
                </w14:textFill>
              </w:rPr>
              <w:t>Y＜1000</w:t>
            </w:r>
          </w:p>
        </w:tc>
      </w:tr>
      <w:tr w14:paraId="30C740B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exact"/>
          <w:jc w:val="center"/>
        </w:trPr>
        <w:tc>
          <w:tcPr>
            <w:tcW w:w="2113" w:type="dxa"/>
            <w:vMerge w:val="restart"/>
            <w:vAlign w:val="center"/>
          </w:tcPr>
          <w:p w14:paraId="626E1594">
            <w:pPr>
              <w:overflowPunct/>
              <w:bidi w:val="0"/>
              <w:spacing w:line="240" w:lineRule="exact"/>
              <w:jc w:val="center"/>
              <w:outlineLvl w:val="9"/>
              <w:rPr>
                <w:rFonts w:hint="eastAsia" w:ascii="宋体" w:hAnsi="宋体" w:eastAsia="宋体" w:cs="宋体"/>
                <w:b/>
                <w:color w:val="000000" w:themeColor="text1"/>
                <w:sz w:val="18"/>
                <w:szCs w:val="18"/>
                <w:highlight w:val="none"/>
                <w14:textFill>
                  <w14:solidFill>
                    <w14:schemeClr w14:val="tx1"/>
                  </w14:solidFill>
                </w14:textFill>
              </w:rPr>
            </w:pPr>
            <w:r>
              <w:rPr>
                <w:rFonts w:hint="eastAsia" w:ascii="宋体" w:hAnsi="宋体" w:eastAsia="宋体" w:cs="宋体"/>
                <w:b/>
                <w:color w:val="000000" w:themeColor="text1"/>
                <w:sz w:val="18"/>
                <w:szCs w:val="18"/>
                <w:highlight w:val="none"/>
                <w14:textFill>
                  <w14:solidFill>
                    <w14:schemeClr w14:val="tx1"/>
                  </w14:solidFill>
                </w14:textFill>
              </w:rPr>
              <w:t>零售业</w:t>
            </w:r>
          </w:p>
        </w:tc>
        <w:tc>
          <w:tcPr>
            <w:tcW w:w="1369" w:type="dxa"/>
            <w:vAlign w:val="center"/>
          </w:tcPr>
          <w:p w14:paraId="3F966474">
            <w:pPr>
              <w:overflowPunct/>
              <w:bidi w:val="0"/>
              <w:outlineLvl w:val="9"/>
              <w:rPr>
                <w:rFonts w:hint="eastAsia" w:ascii="宋体" w:hAnsi="宋体" w:eastAsia="宋体" w:cs="宋体"/>
                <w:b/>
                <w:color w:val="000000" w:themeColor="text1"/>
                <w:sz w:val="18"/>
                <w:szCs w:val="18"/>
                <w:highlight w:val="none"/>
                <w14:textFill>
                  <w14:solidFill>
                    <w14:schemeClr w14:val="tx1"/>
                  </w14:solidFill>
                </w14:textFill>
              </w:rPr>
            </w:pPr>
            <w:r>
              <w:rPr>
                <w:rFonts w:hint="eastAsia" w:ascii="宋体" w:hAnsi="宋体" w:eastAsia="宋体" w:cs="宋体"/>
                <w:b/>
                <w:color w:val="000000" w:themeColor="text1"/>
                <w:sz w:val="18"/>
                <w:szCs w:val="18"/>
                <w:highlight w:val="none"/>
                <w14:textFill>
                  <w14:solidFill>
                    <w14:schemeClr w14:val="tx1"/>
                  </w14:solidFill>
                </w14:textFill>
              </w:rPr>
              <w:t>从业人员(X)</w:t>
            </w:r>
          </w:p>
        </w:tc>
        <w:tc>
          <w:tcPr>
            <w:tcW w:w="709" w:type="dxa"/>
            <w:vAlign w:val="center"/>
          </w:tcPr>
          <w:p w14:paraId="7906ABC8">
            <w:pPr>
              <w:overflowPunct/>
              <w:bidi w:val="0"/>
              <w:outlineLvl w:val="9"/>
              <w:rPr>
                <w:rFonts w:hint="eastAsia" w:ascii="宋体" w:hAnsi="宋体" w:eastAsia="宋体" w:cs="宋体"/>
                <w:b/>
                <w:color w:val="000000" w:themeColor="text1"/>
                <w:sz w:val="18"/>
                <w:szCs w:val="18"/>
                <w:highlight w:val="none"/>
                <w14:textFill>
                  <w14:solidFill>
                    <w14:schemeClr w14:val="tx1"/>
                  </w14:solidFill>
                </w14:textFill>
              </w:rPr>
            </w:pPr>
            <w:r>
              <w:rPr>
                <w:rFonts w:hint="eastAsia" w:ascii="宋体" w:hAnsi="宋体" w:eastAsia="宋体" w:cs="宋体"/>
                <w:b/>
                <w:color w:val="000000" w:themeColor="text1"/>
                <w:sz w:val="18"/>
                <w:szCs w:val="18"/>
                <w:highlight w:val="none"/>
                <w14:textFill>
                  <w14:solidFill>
                    <w14:schemeClr w14:val="tx1"/>
                  </w14:solidFill>
                </w14:textFill>
              </w:rPr>
              <w:t>人</w:t>
            </w:r>
          </w:p>
        </w:tc>
        <w:tc>
          <w:tcPr>
            <w:tcW w:w="1125" w:type="dxa"/>
            <w:vAlign w:val="center"/>
          </w:tcPr>
          <w:p w14:paraId="22E65C40">
            <w:pPr>
              <w:overflowPunct/>
              <w:bidi w:val="0"/>
              <w:outlineLvl w:val="9"/>
              <w:rPr>
                <w:rFonts w:hint="eastAsia" w:ascii="宋体" w:hAnsi="宋体" w:eastAsia="宋体" w:cs="宋体"/>
                <w:b/>
                <w:color w:val="000000" w:themeColor="text1"/>
                <w:sz w:val="18"/>
                <w:szCs w:val="18"/>
                <w:highlight w:val="none"/>
                <w14:textFill>
                  <w14:solidFill>
                    <w14:schemeClr w14:val="tx1"/>
                  </w14:solidFill>
                </w14:textFill>
              </w:rPr>
            </w:pPr>
            <w:r>
              <w:rPr>
                <w:rFonts w:hint="eastAsia" w:ascii="宋体" w:hAnsi="宋体" w:eastAsia="宋体" w:cs="宋体"/>
                <w:b/>
                <w:color w:val="000000" w:themeColor="text1"/>
                <w:sz w:val="18"/>
                <w:szCs w:val="18"/>
                <w:highlight w:val="none"/>
                <w14:textFill>
                  <w14:solidFill>
                    <w14:schemeClr w14:val="tx1"/>
                  </w14:solidFill>
                </w14:textFill>
              </w:rPr>
              <w:t>X≥300</w:t>
            </w:r>
          </w:p>
        </w:tc>
        <w:tc>
          <w:tcPr>
            <w:tcW w:w="1701" w:type="dxa"/>
            <w:vAlign w:val="center"/>
          </w:tcPr>
          <w:p w14:paraId="54C94539">
            <w:pPr>
              <w:overflowPunct/>
              <w:bidi w:val="0"/>
              <w:outlineLvl w:val="9"/>
              <w:rPr>
                <w:rFonts w:hint="eastAsia" w:ascii="宋体" w:hAnsi="宋体" w:eastAsia="宋体" w:cs="宋体"/>
                <w:b/>
                <w:color w:val="000000" w:themeColor="text1"/>
                <w:sz w:val="18"/>
                <w:szCs w:val="18"/>
                <w:highlight w:val="none"/>
                <w14:textFill>
                  <w14:solidFill>
                    <w14:schemeClr w14:val="tx1"/>
                  </w14:solidFill>
                </w14:textFill>
              </w:rPr>
            </w:pPr>
            <w:r>
              <w:rPr>
                <w:rFonts w:hint="eastAsia" w:ascii="宋体" w:hAnsi="宋体" w:eastAsia="宋体" w:cs="宋体"/>
                <w:b/>
                <w:color w:val="000000" w:themeColor="text1"/>
                <w:sz w:val="18"/>
                <w:szCs w:val="18"/>
                <w:highlight w:val="none"/>
                <w14:textFill>
                  <w14:solidFill>
                    <w14:schemeClr w14:val="tx1"/>
                  </w14:solidFill>
                </w14:textFill>
              </w:rPr>
              <w:t>50≤X＜300</w:t>
            </w:r>
          </w:p>
        </w:tc>
        <w:tc>
          <w:tcPr>
            <w:tcW w:w="1426" w:type="dxa"/>
            <w:vAlign w:val="center"/>
          </w:tcPr>
          <w:p w14:paraId="4CDB797F">
            <w:pPr>
              <w:overflowPunct/>
              <w:bidi w:val="0"/>
              <w:ind w:left="-1" w:leftChars="-1" w:hanging="1"/>
              <w:outlineLvl w:val="9"/>
              <w:rPr>
                <w:rFonts w:hint="eastAsia" w:ascii="宋体" w:hAnsi="宋体" w:eastAsia="宋体" w:cs="宋体"/>
                <w:b/>
                <w:color w:val="000000" w:themeColor="text1"/>
                <w:sz w:val="18"/>
                <w:szCs w:val="18"/>
                <w:highlight w:val="none"/>
                <w14:textFill>
                  <w14:solidFill>
                    <w14:schemeClr w14:val="tx1"/>
                  </w14:solidFill>
                </w14:textFill>
              </w:rPr>
            </w:pPr>
            <w:r>
              <w:rPr>
                <w:rFonts w:hint="eastAsia" w:ascii="宋体" w:hAnsi="宋体" w:eastAsia="宋体" w:cs="宋体"/>
                <w:b/>
                <w:color w:val="000000" w:themeColor="text1"/>
                <w:sz w:val="18"/>
                <w:szCs w:val="18"/>
                <w:highlight w:val="none"/>
                <w14:textFill>
                  <w14:solidFill>
                    <w14:schemeClr w14:val="tx1"/>
                  </w14:solidFill>
                </w14:textFill>
              </w:rPr>
              <w:t xml:space="preserve">10≤X＜50 </w:t>
            </w:r>
          </w:p>
        </w:tc>
        <w:tc>
          <w:tcPr>
            <w:tcW w:w="992" w:type="dxa"/>
            <w:vAlign w:val="center"/>
          </w:tcPr>
          <w:p w14:paraId="7CFBF626">
            <w:pPr>
              <w:overflowPunct/>
              <w:bidi w:val="0"/>
              <w:outlineLvl w:val="9"/>
              <w:rPr>
                <w:rFonts w:hint="eastAsia" w:ascii="宋体" w:hAnsi="宋体" w:eastAsia="宋体" w:cs="宋体"/>
                <w:b/>
                <w:color w:val="000000" w:themeColor="text1"/>
                <w:sz w:val="18"/>
                <w:szCs w:val="18"/>
                <w:highlight w:val="none"/>
                <w14:textFill>
                  <w14:solidFill>
                    <w14:schemeClr w14:val="tx1"/>
                  </w14:solidFill>
                </w14:textFill>
              </w:rPr>
            </w:pPr>
            <w:r>
              <w:rPr>
                <w:rFonts w:hint="eastAsia" w:ascii="宋体" w:hAnsi="宋体" w:eastAsia="宋体" w:cs="宋体"/>
                <w:b/>
                <w:color w:val="000000" w:themeColor="text1"/>
                <w:sz w:val="18"/>
                <w:szCs w:val="18"/>
                <w:highlight w:val="none"/>
                <w14:textFill>
                  <w14:solidFill>
                    <w14:schemeClr w14:val="tx1"/>
                  </w14:solidFill>
                </w14:textFill>
              </w:rPr>
              <w:t>X＜10</w:t>
            </w:r>
          </w:p>
        </w:tc>
      </w:tr>
      <w:tr w14:paraId="20E7158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exact"/>
          <w:jc w:val="center"/>
        </w:trPr>
        <w:tc>
          <w:tcPr>
            <w:tcW w:w="2113" w:type="dxa"/>
            <w:vMerge w:val="continue"/>
            <w:vAlign w:val="center"/>
          </w:tcPr>
          <w:p w14:paraId="38E02A41">
            <w:pPr>
              <w:overflowPunct/>
              <w:bidi w:val="0"/>
              <w:jc w:val="center"/>
              <w:outlineLvl w:val="9"/>
              <w:rPr>
                <w:rFonts w:hint="eastAsia" w:ascii="宋体" w:hAnsi="宋体" w:eastAsia="宋体" w:cs="宋体"/>
                <w:b/>
                <w:color w:val="000000" w:themeColor="text1"/>
                <w:sz w:val="18"/>
                <w:szCs w:val="18"/>
                <w:highlight w:val="none"/>
                <w14:textFill>
                  <w14:solidFill>
                    <w14:schemeClr w14:val="tx1"/>
                  </w14:solidFill>
                </w14:textFill>
              </w:rPr>
            </w:pPr>
          </w:p>
        </w:tc>
        <w:tc>
          <w:tcPr>
            <w:tcW w:w="1369" w:type="dxa"/>
            <w:vAlign w:val="center"/>
          </w:tcPr>
          <w:p w14:paraId="5B54BA9E">
            <w:pPr>
              <w:overflowPunct/>
              <w:bidi w:val="0"/>
              <w:spacing w:line="240" w:lineRule="exact"/>
              <w:outlineLvl w:val="9"/>
              <w:rPr>
                <w:rFonts w:hint="eastAsia" w:ascii="宋体" w:hAnsi="宋体" w:eastAsia="宋体" w:cs="宋体"/>
                <w:b/>
                <w:color w:val="000000" w:themeColor="text1"/>
                <w:sz w:val="18"/>
                <w:szCs w:val="18"/>
                <w:highlight w:val="none"/>
                <w14:textFill>
                  <w14:solidFill>
                    <w14:schemeClr w14:val="tx1"/>
                  </w14:solidFill>
                </w14:textFill>
              </w:rPr>
            </w:pPr>
            <w:r>
              <w:rPr>
                <w:rFonts w:hint="eastAsia" w:ascii="宋体" w:hAnsi="宋体" w:eastAsia="宋体" w:cs="宋体"/>
                <w:b/>
                <w:color w:val="000000" w:themeColor="text1"/>
                <w:sz w:val="18"/>
                <w:szCs w:val="18"/>
                <w:highlight w:val="none"/>
                <w14:textFill>
                  <w14:solidFill>
                    <w14:schemeClr w14:val="tx1"/>
                  </w14:solidFill>
                </w14:textFill>
              </w:rPr>
              <w:t>营业收入(Y)</w:t>
            </w:r>
          </w:p>
        </w:tc>
        <w:tc>
          <w:tcPr>
            <w:tcW w:w="709" w:type="dxa"/>
            <w:vAlign w:val="center"/>
          </w:tcPr>
          <w:p w14:paraId="7EFEDAEF">
            <w:pPr>
              <w:overflowPunct/>
              <w:bidi w:val="0"/>
              <w:outlineLvl w:val="9"/>
              <w:rPr>
                <w:rFonts w:hint="eastAsia" w:ascii="宋体" w:hAnsi="宋体" w:eastAsia="宋体" w:cs="宋体"/>
                <w:b/>
                <w:color w:val="000000" w:themeColor="text1"/>
                <w:sz w:val="18"/>
                <w:szCs w:val="18"/>
                <w:highlight w:val="none"/>
                <w14:textFill>
                  <w14:solidFill>
                    <w14:schemeClr w14:val="tx1"/>
                  </w14:solidFill>
                </w14:textFill>
              </w:rPr>
            </w:pPr>
            <w:r>
              <w:rPr>
                <w:rFonts w:hint="eastAsia" w:ascii="宋体" w:hAnsi="宋体" w:eastAsia="宋体" w:cs="宋体"/>
                <w:b/>
                <w:color w:val="000000" w:themeColor="text1"/>
                <w:sz w:val="18"/>
                <w:szCs w:val="18"/>
                <w:highlight w:val="none"/>
                <w14:textFill>
                  <w14:solidFill>
                    <w14:schemeClr w14:val="tx1"/>
                  </w14:solidFill>
                </w14:textFill>
              </w:rPr>
              <w:t>万元</w:t>
            </w:r>
          </w:p>
        </w:tc>
        <w:tc>
          <w:tcPr>
            <w:tcW w:w="1125" w:type="dxa"/>
            <w:vAlign w:val="center"/>
          </w:tcPr>
          <w:p w14:paraId="0DE5AC96">
            <w:pPr>
              <w:overflowPunct/>
              <w:bidi w:val="0"/>
              <w:outlineLvl w:val="9"/>
              <w:rPr>
                <w:rFonts w:hint="eastAsia" w:ascii="宋体" w:hAnsi="宋体" w:eastAsia="宋体" w:cs="宋体"/>
                <w:b/>
                <w:color w:val="000000" w:themeColor="text1"/>
                <w:sz w:val="18"/>
                <w:szCs w:val="18"/>
                <w:highlight w:val="none"/>
                <w14:textFill>
                  <w14:solidFill>
                    <w14:schemeClr w14:val="tx1"/>
                  </w14:solidFill>
                </w14:textFill>
              </w:rPr>
            </w:pPr>
            <w:r>
              <w:rPr>
                <w:rFonts w:hint="eastAsia" w:ascii="宋体" w:hAnsi="宋体" w:eastAsia="宋体" w:cs="宋体"/>
                <w:b/>
                <w:color w:val="000000" w:themeColor="text1"/>
                <w:sz w:val="18"/>
                <w:szCs w:val="18"/>
                <w:highlight w:val="none"/>
                <w14:textFill>
                  <w14:solidFill>
                    <w14:schemeClr w14:val="tx1"/>
                  </w14:solidFill>
                </w14:textFill>
              </w:rPr>
              <w:t>Y≥20000</w:t>
            </w:r>
          </w:p>
        </w:tc>
        <w:tc>
          <w:tcPr>
            <w:tcW w:w="1701" w:type="dxa"/>
            <w:vAlign w:val="center"/>
          </w:tcPr>
          <w:p w14:paraId="6354B535">
            <w:pPr>
              <w:overflowPunct/>
              <w:bidi w:val="0"/>
              <w:outlineLvl w:val="9"/>
              <w:rPr>
                <w:rFonts w:hint="eastAsia" w:ascii="宋体" w:hAnsi="宋体" w:eastAsia="宋体" w:cs="宋体"/>
                <w:b/>
                <w:color w:val="000000" w:themeColor="text1"/>
                <w:sz w:val="18"/>
                <w:szCs w:val="18"/>
                <w:highlight w:val="none"/>
                <w14:textFill>
                  <w14:solidFill>
                    <w14:schemeClr w14:val="tx1"/>
                  </w14:solidFill>
                </w14:textFill>
              </w:rPr>
            </w:pPr>
            <w:r>
              <w:rPr>
                <w:rFonts w:hint="eastAsia" w:ascii="宋体" w:hAnsi="宋体" w:eastAsia="宋体" w:cs="宋体"/>
                <w:b/>
                <w:color w:val="000000" w:themeColor="text1"/>
                <w:sz w:val="18"/>
                <w:szCs w:val="18"/>
                <w:highlight w:val="none"/>
                <w14:textFill>
                  <w14:solidFill>
                    <w14:schemeClr w14:val="tx1"/>
                  </w14:solidFill>
                </w14:textFill>
              </w:rPr>
              <w:t xml:space="preserve"> 500≤Y＜20000</w:t>
            </w:r>
          </w:p>
        </w:tc>
        <w:tc>
          <w:tcPr>
            <w:tcW w:w="1426" w:type="dxa"/>
            <w:vAlign w:val="center"/>
          </w:tcPr>
          <w:p w14:paraId="14375910">
            <w:pPr>
              <w:overflowPunct/>
              <w:bidi w:val="0"/>
              <w:ind w:left="-1" w:leftChars="-1" w:hanging="1"/>
              <w:outlineLvl w:val="9"/>
              <w:rPr>
                <w:rFonts w:hint="eastAsia" w:ascii="宋体" w:hAnsi="宋体" w:eastAsia="宋体" w:cs="宋体"/>
                <w:b/>
                <w:color w:val="000000" w:themeColor="text1"/>
                <w:sz w:val="18"/>
                <w:szCs w:val="18"/>
                <w:highlight w:val="none"/>
                <w14:textFill>
                  <w14:solidFill>
                    <w14:schemeClr w14:val="tx1"/>
                  </w14:solidFill>
                </w14:textFill>
              </w:rPr>
            </w:pPr>
            <w:r>
              <w:rPr>
                <w:rFonts w:hint="eastAsia" w:ascii="宋体" w:hAnsi="宋体" w:eastAsia="宋体" w:cs="宋体"/>
                <w:b/>
                <w:color w:val="000000" w:themeColor="text1"/>
                <w:sz w:val="18"/>
                <w:szCs w:val="18"/>
                <w:highlight w:val="none"/>
                <w14:textFill>
                  <w14:solidFill>
                    <w14:schemeClr w14:val="tx1"/>
                  </w14:solidFill>
                </w14:textFill>
              </w:rPr>
              <w:t xml:space="preserve">100≤Y＜500 </w:t>
            </w:r>
          </w:p>
        </w:tc>
        <w:tc>
          <w:tcPr>
            <w:tcW w:w="992" w:type="dxa"/>
            <w:vAlign w:val="center"/>
          </w:tcPr>
          <w:p w14:paraId="74FBF318">
            <w:pPr>
              <w:overflowPunct/>
              <w:bidi w:val="0"/>
              <w:outlineLvl w:val="9"/>
              <w:rPr>
                <w:rFonts w:hint="eastAsia" w:ascii="宋体" w:hAnsi="宋体" w:eastAsia="宋体" w:cs="宋体"/>
                <w:b/>
                <w:color w:val="000000" w:themeColor="text1"/>
                <w:sz w:val="18"/>
                <w:szCs w:val="18"/>
                <w:highlight w:val="none"/>
                <w14:textFill>
                  <w14:solidFill>
                    <w14:schemeClr w14:val="tx1"/>
                  </w14:solidFill>
                </w14:textFill>
              </w:rPr>
            </w:pPr>
            <w:r>
              <w:rPr>
                <w:rFonts w:hint="eastAsia" w:ascii="宋体" w:hAnsi="宋体" w:eastAsia="宋体" w:cs="宋体"/>
                <w:b/>
                <w:color w:val="000000" w:themeColor="text1"/>
                <w:sz w:val="18"/>
                <w:szCs w:val="18"/>
                <w:highlight w:val="none"/>
                <w14:textFill>
                  <w14:solidFill>
                    <w14:schemeClr w14:val="tx1"/>
                  </w14:solidFill>
                </w14:textFill>
              </w:rPr>
              <w:t>Y＜100</w:t>
            </w:r>
          </w:p>
        </w:tc>
      </w:tr>
      <w:tr w14:paraId="5FB7310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exact"/>
          <w:jc w:val="center"/>
        </w:trPr>
        <w:tc>
          <w:tcPr>
            <w:tcW w:w="2113" w:type="dxa"/>
            <w:vMerge w:val="restart"/>
            <w:vAlign w:val="center"/>
          </w:tcPr>
          <w:p w14:paraId="4BB5BDF3">
            <w:pPr>
              <w:overflowPunct/>
              <w:bidi w:val="0"/>
              <w:spacing w:line="240" w:lineRule="exact"/>
              <w:jc w:val="center"/>
              <w:outlineLvl w:val="9"/>
              <w:rPr>
                <w:rFonts w:hint="eastAsia" w:ascii="宋体" w:hAnsi="宋体" w:eastAsia="宋体" w:cs="宋体"/>
                <w:b/>
                <w:color w:val="000000" w:themeColor="text1"/>
                <w:sz w:val="18"/>
                <w:szCs w:val="18"/>
                <w:highlight w:val="none"/>
                <w14:textFill>
                  <w14:solidFill>
                    <w14:schemeClr w14:val="tx1"/>
                  </w14:solidFill>
                </w14:textFill>
              </w:rPr>
            </w:pPr>
            <w:r>
              <w:rPr>
                <w:rFonts w:hint="eastAsia" w:ascii="宋体" w:hAnsi="宋体" w:eastAsia="宋体" w:cs="宋体"/>
                <w:b/>
                <w:color w:val="000000" w:themeColor="text1"/>
                <w:sz w:val="18"/>
                <w:szCs w:val="18"/>
                <w:highlight w:val="none"/>
                <w14:textFill>
                  <w14:solidFill>
                    <w14:schemeClr w14:val="tx1"/>
                  </w14:solidFill>
                </w14:textFill>
              </w:rPr>
              <w:t>交通运输业 *</w:t>
            </w:r>
          </w:p>
        </w:tc>
        <w:tc>
          <w:tcPr>
            <w:tcW w:w="1369" w:type="dxa"/>
            <w:vAlign w:val="center"/>
          </w:tcPr>
          <w:p w14:paraId="16AACF52">
            <w:pPr>
              <w:overflowPunct/>
              <w:bidi w:val="0"/>
              <w:outlineLvl w:val="9"/>
              <w:rPr>
                <w:rFonts w:hint="eastAsia" w:ascii="宋体" w:hAnsi="宋体" w:eastAsia="宋体" w:cs="宋体"/>
                <w:b/>
                <w:color w:val="000000" w:themeColor="text1"/>
                <w:sz w:val="18"/>
                <w:szCs w:val="18"/>
                <w:highlight w:val="none"/>
                <w14:textFill>
                  <w14:solidFill>
                    <w14:schemeClr w14:val="tx1"/>
                  </w14:solidFill>
                </w14:textFill>
              </w:rPr>
            </w:pPr>
            <w:r>
              <w:rPr>
                <w:rFonts w:hint="eastAsia" w:ascii="宋体" w:hAnsi="宋体" w:eastAsia="宋体" w:cs="宋体"/>
                <w:b/>
                <w:color w:val="000000" w:themeColor="text1"/>
                <w:sz w:val="18"/>
                <w:szCs w:val="18"/>
                <w:highlight w:val="none"/>
                <w14:textFill>
                  <w14:solidFill>
                    <w14:schemeClr w14:val="tx1"/>
                  </w14:solidFill>
                </w14:textFill>
              </w:rPr>
              <w:t>从业人员(X)</w:t>
            </w:r>
          </w:p>
        </w:tc>
        <w:tc>
          <w:tcPr>
            <w:tcW w:w="709" w:type="dxa"/>
            <w:vAlign w:val="center"/>
          </w:tcPr>
          <w:p w14:paraId="0A049450">
            <w:pPr>
              <w:overflowPunct/>
              <w:bidi w:val="0"/>
              <w:outlineLvl w:val="9"/>
              <w:rPr>
                <w:rFonts w:hint="eastAsia" w:ascii="宋体" w:hAnsi="宋体" w:eastAsia="宋体" w:cs="宋体"/>
                <w:b/>
                <w:color w:val="000000" w:themeColor="text1"/>
                <w:sz w:val="18"/>
                <w:szCs w:val="18"/>
                <w:highlight w:val="none"/>
                <w14:textFill>
                  <w14:solidFill>
                    <w14:schemeClr w14:val="tx1"/>
                  </w14:solidFill>
                </w14:textFill>
              </w:rPr>
            </w:pPr>
            <w:r>
              <w:rPr>
                <w:rFonts w:hint="eastAsia" w:ascii="宋体" w:hAnsi="宋体" w:eastAsia="宋体" w:cs="宋体"/>
                <w:b/>
                <w:color w:val="000000" w:themeColor="text1"/>
                <w:sz w:val="18"/>
                <w:szCs w:val="18"/>
                <w:highlight w:val="none"/>
                <w14:textFill>
                  <w14:solidFill>
                    <w14:schemeClr w14:val="tx1"/>
                  </w14:solidFill>
                </w14:textFill>
              </w:rPr>
              <w:t>人</w:t>
            </w:r>
          </w:p>
        </w:tc>
        <w:tc>
          <w:tcPr>
            <w:tcW w:w="1125" w:type="dxa"/>
            <w:vAlign w:val="center"/>
          </w:tcPr>
          <w:p w14:paraId="63930544">
            <w:pPr>
              <w:overflowPunct/>
              <w:bidi w:val="0"/>
              <w:outlineLvl w:val="9"/>
              <w:rPr>
                <w:rFonts w:hint="eastAsia" w:ascii="宋体" w:hAnsi="宋体" w:eastAsia="宋体" w:cs="宋体"/>
                <w:b/>
                <w:color w:val="000000" w:themeColor="text1"/>
                <w:sz w:val="18"/>
                <w:szCs w:val="18"/>
                <w:highlight w:val="none"/>
                <w14:textFill>
                  <w14:solidFill>
                    <w14:schemeClr w14:val="tx1"/>
                  </w14:solidFill>
                </w14:textFill>
              </w:rPr>
            </w:pPr>
            <w:r>
              <w:rPr>
                <w:rFonts w:hint="eastAsia" w:ascii="宋体" w:hAnsi="宋体" w:eastAsia="宋体" w:cs="宋体"/>
                <w:b/>
                <w:color w:val="000000" w:themeColor="text1"/>
                <w:sz w:val="18"/>
                <w:szCs w:val="18"/>
                <w:highlight w:val="none"/>
                <w14:textFill>
                  <w14:solidFill>
                    <w14:schemeClr w14:val="tx1"/>
                  </w14:solidFill>
                </w14:textFill>
              </w:rPr>
              <w:t>X≥1000</w:t>
            </w:r>
          </w:p>
        </w:tc>
        <w:tc>
          <w:tcPr>
            <w:tcW w:w="1701" w:type="dxa"/>
            <w:vAlign w:val="center"/>
          </w:tcPr>
          <w:p w14:paraId="6DDD1498">
            <w:pPr>
              <w:overflowPunct/>
              <w:bidi w:val="0"/>
              <w:outlineLvl w:val="9"/>
              <w:rPr>
                <w:rFonts w:hint="eastAsia" w:ascii="宋体" w:hAnsi="宋体" w:eastAsia="宋体" w:cs="宋体"/>
                <w:b/>
                <w:color w:val="000000" w:themeColor="text1"/>
                <w:sz w:val="18"/>
                <w:szCs w:val="18"/>
                <w:highlight w:val="none"/>
                <w14:textFill>
                  <w14:solidFill>
                    <w14:schemeClr w14:val="tx1"/>
                  </w14:solidFill>
                </w14:textFill>
              </w:rPr>
            </w:pPr>
            <w:r>
              <w:rPr>
                <w:rFonts w:hint="eastAsia" w:ascii="宋体" w:hAnsi="宋体" w:eastAsia="宋体" w:cs="宋体"/>
                <w:b/>
                <w:color w:val="000000" w:themeColor="text1"/>
                <w:sz w:val="18"/>
                <w:szCs w:val="18"/>
                <w:highlight w:val="none"/>
                <w14:textFill>
                  <w14:solidFill>
                    <w14:schemeClr w14:val="tx1"/>
                  </w14:solidFill>
                </w14:textFill>
              </w:rPr>
              <w:t>300≤X＜1000</w:t>
            </w:r>
          </w:p>
        </w:tc>
        <w:tc>
          <w:tcPr>
            <w:tcW w:w="1426" w:type="dxa"/>
            <w:vAlign w:val="center"/>
          </w:tcPr>
          <w:p w14:paraId="7221F9A4">
            <w:pPr>
              <w:overflowPunct/>
              <w:bidi w:val="0"/>
              <w:outlineLvl w:val="9"/>
              <w:rPr>
                <w:rFonts w:hint="eastAsia" w:ascii="宋体" w:hAnsi="宋体" w:eastAsia="宋体" w:cs="宋体"/>
                <w:b/>
                <w:color w:val="000000" w:themeColor="text1"/>
                <w:sz w:val="18"/>
                <w:szCs w:val="18"/>
                <w:highlight w:val="none"/>
                <w14:textFill>
                  <w14:solidFill>
                    <w14:schemeClr w14:val="tx1"/>
                  </w14:solidFill>
                </w14:textFill>
              </w:rPr>
            </w:pPr>
            <w:r>
              <w:rPr>
                <w:rFonts w:hint="eastAsia" w:ascii="宋体" w:hAnsi="宋体" w:eastAsia="宋体" w:cs="宋体"/>
                <w:b/>
                <w:color w:val="000000" w:themeColor="text1"/>
                <w:sz w:val="18"/>
                <w:szCs w:val="18"/>
                <w:highlight w:val="none"/>
                <w14:textFill>
                  <w14:solidFill>
                    <w14:schemeClr w14:val="tx1"/>
                  </w14:solidFill>
                </w14:textFill>
              </w:rPr>
              <w:t xml:space="preserve"> 20≤X＜300</w:t>
            </w:r>
          </w:p>
        </w:tc>
        <w:tc>
          <w:tcPr>
            <w:tcW w:w="992" w:type="dxa"/>
            <w:vAlign w:val="center"/>
          </w:tcPr>
          <w:p w14:paraId="4BA3E983">
            <w:pPr>
              <w:overflowPunct/>
              <w:bidi w:val="0"/>
              <w:outlineLvl w:val="9"/>
              <w:rPr>
                <w:rFonts w:hint="eastAsia" w:ascii="宋体" w:hAnsi="宋体" w:eastAsia="宋体" w:cs="宋体"/>
                <w:b/>
                <w:color w:val="000000" w:themeColor="text1"/>
                <w:sz w:val="18"/>
                <w:szCs w:val="18"/>
                <w:highlight w:val="none"/>
                <w14:textFill>
                  <w14:solidFill>
                    <w14:schemeClr w14:val="tx1"/>
                  </w14:solidFill>
                </w14:textFill>
              </w:rPr>
            </w:pPr>
            <w:r>
              <w:rPr>
                <w:rFonts w:hint="eastAsia" w:ascii="宋体" w:hAnsi="宋体" w:eastAsia="宋体" w:cs="宋体"/>
                <w:b/>
                <w:color w:val="000000" w:themeColor="text1"/>
                <w:sz w:val="18"/>
                <w:szCs w:val="18"/>
                <w:highlight w:val="none"/>
                <w14:textFill>
                  <w14:solidFill>
                    <w14:schemeClr w14:val="tx1"/>
                  </w14:solidFill>
                </w14:textFill>
              </w:rPr>
              <w:t>X＜20</w:t>
            </w:r>
          </w:p>
        </w:tc>
      </w:tr>
      <w:tr w14:paraId="2297B79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exact"/>
          <w:jc w:val="center"/>
        </w:trPr>
        <w:tc>
          <w:tcPr>
            <w:tcW w:w="2113" w:type="dxa"/>
            <w:vMerge w:val="continue"/>
            <w:vAlign w:val="center"/>
          </w:tcPr>
          <w:p w14:paraId="5D9BDEF7">
            <w:pPr>
              <w:overflowPunct/>
              <w:bidi w:val="0"/>
              <w:jc w:val="center"/>
              <w:outlineLvl w:val="9"/>
              <w:rPr>
                <w:rFonts w:hint="eastAsia" w:ascii="宋体" w:hAnsi="宋体" w:eastAsia="宋体" w:cs="宋体"/>
                <w:b/>
                <w:color w:val="000000" w:themeColor="text1"/>
                <w:sz w:val="18"/>
                <w:szCs w:val="18"/>
                <w:highlight w:val="none"/>
                <w14:textFill>
                  <w14:solidFill>
                    <w14:schemeClr w14:val="tx1"/>
                  </w14:solidFill>
                </w14:textFill>
              </w:rPr>
            </w:pPr>
          </w:p>
        </w:tc>
        <w:tc>
          <w:tcPr>
            <w:tcW w:w="1369" w:type="dxa"/>
            <w:vAlign w:val="center"/>
          </w:tcPr>
          <w:p w14:paraId="211690DA">
            <w:pPr>
              <w:overflowPunct/>
              <w:bidi w:val="0"/>
              <w:spacing w:line="240" w:lineRule="exact"/>
              <w:outlineLvl w:val="9"/>
              <w:rPr>
                <w:rFonts w:hint="eastAsia" w:ascii="宋体" w:hAnsi="宋体" w:eastAsia="宋体" w:cs="宋体"/>
                <w:b/>
                <w:color w:val="000000" w:themeColor="text1"/>
                <w:sz w:val="18"/>
                <w:szCs w:val="18"/>
                <w:highlight w:val="none"/>
                <w14:textFill>
                  <w14:solidFill>
                    <w14:schemeClr w14:val="tx1"/>
                  </w14:solidFill>
                </w14:textFill>
              </w:rPr>
            </w:pPr>
            <w:r>
              <w:rPr>
                <w:rFonts w:hint="eastAsia" w:ascii="宋体" w:hAnsi="宋体" w:eastAsia="宋体" w:cs="宋体"/>
                <w:b/>
                <w:color w:val="000000" w:themeColor="text1"/>
                <w:sz w:val="18"/>
                <w:szCs w:val="18"/>
                <w:highlight w:val="none"/>
                <w14:textFill>
                  <w14:solidFill>
                    <w14:schemeClr w14:val="tx1"/>
                  </w14:solidFill>
                </w14:textFill>
              </w:rPr>
              <w:t>营业收入(Y)</w:t>
            </w:r>
          </w:p>
        </w:tc>
        <w:tc>
          <w:tcPr>
            <w:tcW w:w="709" w:type="dxa"/>
            <w:vAlign w:val="center"/>
          </w:tcPr>
          <w:p w14:paraId="6FB05BF4">
            <w:pPr>
              <w:overflowPunct/>
              <w:bidi w:val="0"/>
              <w:outlineLvl w:val="9"/>
              <w:rPr>
                <w:rFonts w:hint="eastAsia" w:ascii="宋体" w:hAnsi="宋体" w:eastAsia="宋体" w:cs="宋体"/>
                <w:b/>
                <w:color w:val="000000" w:themeColor="text1"/>
                <w:sz w:val="18"/>
                <w:szCs w:val="18"/>
                <w:highlight w:val="none"/>
                <w14:textFill>
                  <w14:solidFill>
                    <w14:schemeClr w14:val="tx1"/>
                  </w14:solidFill>
                </w14:textFill>
              </w:rPr>
            </w:pPr>
            <w:r>
              <w:rPr>
                <w:rFonts w:hint="eastAsia" w:ascii="宋体" w:hAnsi="宋体" w:eastAsia="宋体" w:cs="宋体"/>
                <w:b/>
                <w:color w:val="000000" w:themeColor="text1"/>
                <w:sz w:val="18"/>
                <w:szCs w:val="18"/>
                <w:highlight w:val="none"/>
                <w14:textFill>
                  <w14:solidFill>
                    <w14:schemeClr w14:val="tx1"/>
                  </w14:solidFill>
                </w14:textFill>
              </w:rPr>
              <w:t>万元</w:t>
            </w:r>
          </w:p>
        </w:tc>
        <w:tc>
          <w:tcPr>
            <w:tcW w:w="1125" w:type="dxa"/>
            <w:vAlign w:val="center"/>
          </w:tcPr>
          <w:p w14:paraId="5148A868">
            <w:pPr>
              <w:overflowPunct/>
              <w:bidi w:val="0"/>
              <w:outlineLvl w:val="9"/>
              <w:rPr>
                <w:rFonts w:hint="eastAsia" w:ascii="宋体" w:hAnsi="宋体" w:eastAsia="宋体" w:cs="宋体"/>
                <w:b/>
                <w:color w:val="000000" w:themeColor="text1"/>
                <w:sz w:val="18"/>
                <w:szCs w:val="18"/>
                <w:highlight w:val="none"/>
                <w14:textFill>
                  <w14:solidFill>
                    <w14:schemeClr w14:val="tx1"/>
                  </w14:solidFill>
                </w14:textFill>
              </w:rPr>
            </w:pPr>
            <w:r>
              <w:rPr>
                <w:rFonts w:hint="eastAsia" w:ascii="宋体" w:hAnsi="宋体" w:eastAsia="宋体" w:cs="宋体"/>
                <w:b/>
                <w:color w:val="000000" w:themeColor="text1"/>
                <w:sz w:val="18"/>
                <w:szCs w:val="18"/>
                <w:highlight w:val="none"/>
                <w14:textFill>
                  <w14:solidFill>
                    <w14:schemeClr w14:val="tx1"/>
                  </w14:solidFill>
                </w14:textFill>
              </w:rPr>
              <w:t>Y≥30000</w:t>
            </w:r>
          </w:p>
        </w:tc>
        <w:tc>
          <w:tcPr>
            <w:tcW w:w="1701" w:type="dxa"/>
            <w:vAlign w:val="center"/>
          </w:tcPr>
          <w:p w14:paraId="414AE388">
            <w:pPr>
              <w:overflowPunct/>
              <w:bidi w:val="0"/>
              <w:outlineLvl w:val="9"/>
              <w:rPr>
                <w:rFonts w:hint="eastAsia" w:ascii="宋体" w:hAnsi="宋体" w:eastAsia="宋体" w:cs="宋体"/>
                <w:b/>
                <w:color w:val="000000" w:themeColor="text1"/>
                <w:sz w:val="18"/>
                <w:szCs w:val="18"/>
                <w:highlight w:val="none"/>
                <w14:textFill>
                  <w14:solidFill>
                    <w14:schemeClr w14:val="tx1"/>
                  </w14:solidFill>
                </w14:textFill>
              </w:rPr>
            </w:pPr>
            <w:r>
              <w:rPr>
                <w:rFonts w:hint="eastAsia" w:ascii="宋体" w:hAnsi="宋体" w:eastAsia="宋体" w:cs="宋体"/>
                <w:b/>
                <w:color w:val="000000" w:themeColor="text1"/>
                <w:sz w:val="18"/>
                <w:szCs w:val="18"/>
                <w:highlight w:val="none"/>
                <w14:textFill>
                  <w14:solidFill>
                    <w14:schemeClr w14:val="tx1"/>
                  </w14:solidFill>
                </w14:textFill>
              </w:rPr>
              <w:t>3000≤Y＜30000</w:t>
            </w:r>
          </w:p>
        </w:tc>
        <w:tc>
          <w:tcPr>
            <w:tcW w:w="1426" w:type="dxa"/>
            <w:vAlign w:val="center"/>
          </w:tcPr>
          <w:p w14:paraId="29A76D38">
            <w:pPr>
              <w:overflowPunct/>
              <w:bidi w:val="0"/>
              <w:outlineLvl w:val="9"/>
              <w:rPr>
                <w:rFonts w:hint="eastAsia" w:ascii="宋体" w:hAnsi="宋体" w:eastAsia="宋体" w:cs="宋体"/>
                <w:b/>
                <w:color w:val="000000" w:themeColor="text1"/>
                <w:sz w:val="18"/>
                <w:szCs w:val="18"/>
                <w:highlight w:val="none"/>
                <w14:textFill>
                  <w14:solidFill>
                    <w14:schemeClr w14:val="tx1"/>
                  </w14:solidFill>
                </w14:textFill>
              </w:rPr>
            </w:pPr>
            <w:r>
              <w:rPr>
                <w:rFonts w:hint="eastAsia" w:ascii="宋体" w:hAnsi="宋体" w:eastAsia="宋体" w:cs="宋体"/>
                <w:b/>
                <w:color w:val="000000" w:themeColor="text1"/>
                <w:sz w:val="18"/>
                <w:szCs w:val="18"/>
                <w:highlight w:val="none"/>
                <w14:textFill>
                  <w14:solidFill>
                    <w14:schemeClr w14:val="tx1"/>
                  </w14:solidFill>
                </w14:textFill>
              </w:rPr>
              <w:t xml:space="preserve"> 200≤Y＜3000</w:t>
            </w:r>
          </w:p>
        </w:tc>
        <w:tc>
          <w:tcPr>
            <w:tcW w:w="992" w:type="dxa"/>
            <w:vAlign w:val="center"/>
          </w:tcPr>
          <w:p w14:paraId="740CEC92">
            <w:pPr>
              <w:overflowPunct/>
              <w:bidi w:val="0"/>
              <w:outlineLvl w:val="9"/>
              <w:rPr>
                <w:rFonts w:hint="eastAsia" w:ascii="宋体" w:hAnsi="宋体" w:eastAsia="宋体" w:cs="宋体"/>
                <w:b/>
                <w:color w:val="000000" w:themeColor="text1"/>
                <w:sz w:val="18"/>
                <w:szCs w:val="18"/>
                <w:highlight w:val="none"/>
                <w14:textFill>
                  <w14:solidFill>
                    <w14:schemeClr w14:val="tx1"/>
                  </w14:solidFill>
                </w14:textFill>
              </w:rPr>
            </w:pPr>
            <w:r>
              <w:rPr>
                <w:rFonts w:hint="eastAsia" w:ascii="宋体" w:hAnsi="宋体" w:eastAsia="宋体" w:cs="宋体"/>
                <w:b/>
                <w:color w:val="000000" w:themeColor="text1"/>
                <w:sz w:val="18"/>
                <w:szCs w:val="18"/>
                <w:highlight w:val="none"/>
                <w14:textFill>
                  <w14:solidFill>
                    <w14:schemeClr w14:val="tx1"/>
                  </w14:solidFill>
                </w14:textFill>
              </w:rPr>
              <w:t>Y＜200</w:t>
            </w:r>
          </w:p>
        </w:tc>
      </w:tr>
      <w:tr w14:paraId="15F1F79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exact"/>
          <w:jc w:val="center"/>
        </w:trPr>
        <w:tc>
          <w:tcPr>
            <w:tcW w:w="2113" w:type="dxa"/>
            <w:vMerge w:val="restart"/>
            <w:vAlign w:val="center"/>
          </w:tcPr>
          <w:p w14:paraId="2F626EEA">
            <w:pPr>
              <w:overflowPunct/>
              <w:bidi w:val="0"/>
              <w:spacing w:line="240" w:lineRule="exact"/>
              <w:jc w:val="center"/>
              <w:outlineLvl w:val="9"/>
              <w:rPr>
                <w:rFonts w:hint="eastAsia" w:ascii="宋体" w:hAnsi="宋体" w:eastAsia="宋体" w:cs="宋体"/>
                <w:b/>
                <w:color w:val="000000" w:themeColor="text1"/>
                <w:sz w:val="18"/>
                <w:szCs w:val="18"/>
                <w:highlight w:val="none"/>
                <w14:textFill>
                  <w14:solidFill>
                    <w14:schemeClr w14:val="tx1"/>
                  </w14:solidFill>
                </w14:textFill>
              </w:rPr>
            </w:pPr>
            <w:r>
              <w:rPr>
                <w:rFonts w:hint="eastAsia" w:ascii="宋体" w:hAnsi="宋体" w:eastAsia="宋体" w:cs="宋体"/>
                <w:b/>
                <w:color w:val="000000" w:themeColor="text1"/>
                <w:sz w:val="18"/>
                <w:szCs w:val="18"/>
                <w:highlight w:val="none"/>
                <w14:textFill>
                  <w14:solidFill>
                    <w14:schemeClr w14:val="tx1"/>
                  </w14:solidFill>
                </w14:textFill>
              </w:rPr>
              <w:t>仓储业*</w:t>
            </w:r>
          </w:p>
        </w:tc>
        <w:tc>
          <w:tcPr>
            <w:tcW w:w="1369" w:type="dxa"/>
            <w:vAlign w:val="center"/>
          </w:tcPr>
          <w:p w14:paraId="3F6802A3">
            <w:pPr>
              <w:overflowPunct/>
              <w:bidi w:val="0"/>
              <w:outlineLvl w:val="9"/>
              <w:rPr>
                <w:rFonts w:hint="eastAsia" w:ascii="宋体" w:hAnsi="宋体" w:eastAsia="宋体" w:cs="宋体"/>
                <w:b/>
                <w:color w:val="000000" w:themeColor="text1"/>
                <w:sz w:val="18"/>
                <w:szCs w:val="18"/>
                <w:highlight w:val="none"/>
                <w14:textFill>
                  <w14:solidFill>
                    <w14:schemeClr w14:val="tx1"/>
                  </w14:solidFill>
                </w14:textFill>
              </w:rPr>
            </w:pPr>
            <w:r>
              <w:rPr>
                <w:rFonts w:hint="eastAsia" w:ascii="宋体" w:hAnsi="宋体" w:eastAsia="宋体" w:cs="宋体"/>
                <w:b/>
                <w:color w:val="000000" w:themeColor="text1"/>
                <w:sz w:val="18"/>
                <w:szCs w:val="18"/>
                <w:highlight w:val="none"/>
                <w14:textFill>
                  <w14:solidFill>
                    <w14:schemeClr w14:val="tx1"/>
                  </w14:solidFill>
                </w14:textFill>
              </w:rPr>
              <w:t>从业人员(X)</w:t>
            </w:r>
          </w:p>
        </w:tc>
        <w:tc>
          <w:tcPr>
            <w:tcW w:w="709" w:type="dxa"/>
            <w:vAlign w:val="center"/>
          </w:tcPr>
          <w:p w14:paraId="76545044">
            <w:pPr>
              <w:overflowPunct/>
              <w:bidi w:val="0"/>
              <w:outlineLvl w:val="9"/>
              <w:rPr>
                <w:rFonts w:hint="eastAsia" w:ascii="宋体" w:hAnsi="宋体" w:eastAsia="宋体" w:cs="宋体"/>
                <w:b/>
                <w:color w:val="000000" w:themeColor="text1"/>
                <w:sz w:val="18"/>
                <w:szCs w:val="18"/>
                <w:highlight w:val="none"/>
                <w14:textFill>
                  <w14:solidFill>
                    <w14:schemeClr w14:val="tx1"/>
                  </w14:solidFill>
                </w14:textFill>
              </w:rPr>
            </w:pPr>
            <w:r>
              <w:rPr>
                <w:rFonts w:hint="eastAsia" w:ascii="宋体" w:hAnsi="宋体" w:eastAsia="宋体" w:cs="宋体"/>
                <w:b/>
                <w:color w:val="000000" w:themeColor="text1"/>
                <w:sz w:val="18"/>
                <w:szCs w:val="18"/>
                <w:highlight w:val="none"/>
                <w14:textFill>
                  <w14:solidFill>
                    <w14:schemeClr w14:val="tx1"/>
                  </w14:solidFill>
                </w14:textFill>
              </w:rPr>
              <w:t>人</w:t>
            </w:r>
          </w:p>
        </w:tc>
        <w:tc>
          <w:tcPr>
            <w:tcW w:w="1125" w:type="dxa"/>
            <w:vAlign w:val="center"/>
          </w:tcPr>
          <w:p w14:paraId="2B348118">
            <w:pPr>
              <w:overflowPunct/>
              <w:bidi w:val="0"/>
              <w:outlineLvl w:val="9"/>
              <w:rPr>
                <w:rFonts w:hint="eastAsia" w:ascii="宋体" w:hAnsi="宋体" w:eastAsia="宋体" w:cs="宋体"/>
                <w:b/>
                <w:color w:val="000000" w:themeColor="text1"/>
                <w:sz w:val="18"/>
                <w:szCs w:val="18"/>
                <w:highlight w:val="none"/>
                <w14:textFill>
                  <w14:solidFill>
                    <w14:schemeClr w14:val="tx1"/>
                  </w14:solidFill>
                </w14:textFill>
              </w:rPr>
            </w:pPr>
            <w:r>
              <w:rPr>
                <w:rFonts w:hint="eastAsia" w:ascii="宋体" w:hAnsi="宋体" w:eastAsia="宋体" w:cs="宋体"/>
                <w:b/>
                <w:color w:val="000000" w:themeColor="text1"/>
                <w:sz w:val="18"/>
                <w:szCs w:val="18"/>
                <w:highlight w:val="none"/>
                <w14:textFill>
                  <w14:solidFill>
                    <w14:schemeClr w14:val="tx1"/>
                  </w14:solidFill>
                </w14:textFill>
              </w:rPr>
              <w:t>X≥200</w:t>
            </w:r>
          </w:p>
        </w:tc>
        <w:tc>
          <w:tcPr>
            <w:tcW w:w="1701" w:type="dxa"/>
            <w:vAlign w:val="center"/>
          </w:tcPr>
          <w:p w14:paraId="39E0E2A9">
            <w:pPr>
              <w:overflowPunct/>
              <w:bidi w:val="0"/>
              <w:ind w:left="1" w:leftChars="-51" w:hanging="108" w:hangingChars="60"/>
              <w:outlineLvl w:val="9"/>
              <w:rPr>
                <w:rFonts w:hint="eastAsia" w:ascii="宋体" w:hAnsi="宋体" w:eastAsia="宋体" w:cs="宋体"/>
                <w:b/>
                <w:color w:val="000000" w:themeColor="text1"/>
                <w:sz w:val="18"/>
                <w:szCs w:val="18"/>
                <w:highlight w:val="none"/>
                <w14:textFill>
                  <w14:solidFill>
                    <w14:schemeClr w14:val="tx1"/>
                  </w14:solidFill>
                </w14:textFill>
              </w:rPr>
            </w:pPr>
            <w:r>
              <w:rPr>
                <w:rFonts w:hint="eastAsia" w:ascii="宋体" w:hAnsi="宋体" w:eastAsia="宋体" w:cs="宋体"/>
                <w:b/>
                <w:color w:val="000000" w:themeColor="text1"/>
                <w:sz w:val="18"/>
                <w:szCs w:val="18"/>
                <w:highlight w:val="none"/>
                <w14:textFill>
                  <w14:solidFill>
                    <w14:schemeClr w14:val="tx1"/>
                  </w14:solidFill>
                </w14:textFill>
              </w:rPr>
              <w:t>100≤X＜200</w:t>
            </w:r>
          </w:p>
        </w:tc>
        <w:tc>
          <w:tcPr>
            <w:tcW w:w="1426" w:type="dxa"/>
            <w:vAlign w:val="center"/>
          </w:tcPr>
          <w:p w14:paraId="747A02AD">
            <w:pPr>
              <w:overflowPunct/>
              <w:bidi w:val="0"/>
              <w:outlineLvl w:val="9"/>
              <w:rPr>
                <w:rFonts w:hint="eastAsia" w:ascii="宋体" w:hAnsi="宋体" w:eastAsia="宋体" w:cs="宋体"/>
                <w:b/>
                <w:color w:val="000000" w:themeColor="text1"/>
                <w:sz w:val="18"/>
                <w:szCs w:val="18"/>
                <w:highlight w:val="none"/>
                <w14:textFill>
                  <w14:solidFill>
                    <w14:schemeClr w14:val="tx1"/>
                  </w14:solidFill>
                </w14:textFill>
              </w:rPr>
            </w:pPr>
            <w:r>
              <w:rPr>
                <w:rFonts w:hint="eastAsia" w:ascii="宋体" w:hAnsi="宋体" w:eastAsia="宋体" w:cs="宋体"/>
                <w:b/>
                <w:color w:val="000000" w:themeColor="text1"/>
                <w:sz w:val="18"/>
                <w:szCs w:val="18"/>
                <w:highlight w:val="none"/>
                <w14:textFill>
                  <w14:solidFill>
                    <w14:schemeClr w14:val="tx1"/>
                  </w14:solidFill>
                </w14:textFill>
              </w:rPr>
              <w:t xml:space="preserve"> 20≤X＜100</w:t>
            </w:r>
          </w:p>
        </w:tc>
        <w:tc>
          <w:tcPr>
            <w:tcW w:w="992" w:type="dxa"/>
            <w:vAlign w:val="center"/>
          </w:tcPr>
          <w:p w14:paraId="44ACF774">
            <w:pPr>
              <w:overflowPunct/>
              <w:bidi w:val="0"/>
              <w:outlineLvl w:val="9"/>
              <w:rPr>
                <w:rFonts w:hint="eastAsia" w:ascii="宋体" w:hAnsi="宋体" w:eastAsia="宋体" w:cs="宋体"/>
                <w:b/>
                <w:color w:val="000000" w:themeColor="text1"/>
                <w:sz w:val="18"/>
                <w:szCs w:val="18"/>
                <w:highlight w:val="none"/>
                <w14:textFill>
                  <w14:solidFill>
                    <w14:schemeClr w14:val="tx1"/>
                  </w14:solidFill>
                </w14:textFill>
              </w:rPr>
            </w:pPr>
            <w:r>
              <w:rPr>
                <w:rFonts w:hint="eastAsia" w:ascii="宋体" w:hAnsi="宋体" w:eastAsia="宋体" w:cs="宋体"/>
                <w:b/>
                <w:color w:val="000000" w:themeColor="text1"/>
                <w:sz w:val="18"/>
                <w:szCs w:val="18"/>
                <w:highlight w:val="none"/>
                <w14:textFill>
                  <w14:solidFill>
                    <w14:schemeClr w14:val="tx1"/>
                  </w14:solidFill>
                </w14:textFill>
              </w:rPr>
              <w:t>X＜20</w:t>
            </w:r>
          </w:p>
        </w:tc>
      </w:tr>
      <w:tr w14:paraId="3041F28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exact"/>
          <w:jc w:val="center"/>
        </w:trPr>
        <w:tc>
          <w:tcPr>
            <w:tcW w:w="2113" w:type="dxa"/>
            <w:vMerge w:val="continue"/>
            <w:vAlign w:val="center"/>
          </w:tcPr>
          <w:p w14:paraId="710F55B3">
            <w:pPr>
              <w:overflowPunct/>
              <w:bidi w:val="0"/>
              <w:jc w:val="center"/>
              <w:outlineLvl w:val="9"/>
              <w:rPr>
                <w:rFonts w:hint="eastAsia" w:ascii="宋体" w:hAnsi="宋体" w:eastAsia="宋体" w:cs="宋体"/>
                <w:b/>
                <w:color w:val="000000" w:themeColor="text1"/>
                <w:sz w:val="18"/>
                <w:szCs w:val="18"/>
                <w:highlight w:val="none"/>
                <w14:textFill>
                  <w14:solidFill>
                    <w14:schemeClr w14:val="tx1"/>
                  </w14:solidFill>
                </w14:textFill>
              </w:rPr>
            </w:pPr>
          </w:p>
        </w:tc>
        <w:tc>
          <w:tcPr>
            <w:tcW w:w="1369" w:type="dxa"/>
            <w:vAlign w:val="center"/>
          </w:tcPr>
          <w:p w14:paraId="65B653B3">
            <w:pPr>
              <w:overflowPunct/>
              <w:bidi w:val="0"/>
              <w:spacing w:line="240" w:lineRule="exact"/>
              <w:outlineLvl w:val="9"/>
              <w:rPr>
                <w:rFonts w:hint="eastAsia" w:ascii="宋体" w:hAnsi="宋体" w:eastAsia="宋体" w:cs="宋体"/>
                <w:b/>
                <w:color w:val="000000" w:themeColor="text1"/>
                <w:sz w:val="18"/>
                <w:szCs w:val="18"/>
                <w:highlight w:val="none"/>
                <w14:textFill>
                  <w14:solidFill>
                    <w14:schemeClr w14:val="tx1"/>
                  </w14:solidFill>
                </w14:textFill>
              </w:rPr>
            </w:pPr>
            <w:r>
              <w:rPr>
                <w:rFonts w:hint="eastAsia" w:ascii="宋体" w:hAnsi="宋体" w:eastAsia="宋体" w:cs="宋体"/>
                <w:b/>
                <w:color w:val="000000" w:themeColor="text1"/>
                <w:sz w:val="18"/>
                <w:szCs w:val="18"/>
                <w:highlight w:val="none"/>
                <w14:textFill>
                  <w14:solidFill>
                    <w14:schemeClr w14:val="tx1"/>
                  </w14:solidFill>
                </w14:textFill>
              </w:rPr>
              <w:t>营业收入(Y)</w:t>
            </w:r>
          </w:p>
        </w:tc>
        <w:tc>
          <w:tcPr>
            <w:tcW w:w="709" w:type="dxa"/>
            <w:vAlign w:val="center"/>
          </w:tcPr>
          <w:p w14:paraId="22D3B835">
            <w:pPr>
              <w:overflowPunct/>
              <w:bidi w:val="0"/>
              <w:outlineLvl w:val="9"/>
              <w:rPr>
                <w:rFonts w:hint="eastAsia" w:ascii="宋体" w:hAnsi="宋体" w:eastAsia="宋体" w:cs="宋体"/>
                <w:b/>
                <w:color w:val="000000" w:themeColor="text1"/>
                <w:sz w:val="18"/>
                <w:szCs w:val="18"/>
                <w:highlight w:val="none"/>
                <w14:textFill>
                  <w14:solidFill>
                    <w14:schemeClr w14:val="tx1"/>
                  </w14:solidFill>
                </w14:textFill>
              </w:rPr>
            </w:pPr>
            <w:r>
              <w:rPr>
                <w:rFonts w:hint="eastAsia" w:ascii="宋体" w:hAnsi="宋体" w:eastAsia="宋体" w:cs="宋体"/>
                <w:b/>
                <w:color w:val="000000" w:themeColor="text1"/>
                <w:sz w:val="18"/>
                <w:szCs w:val="18"/>
                <w:highlight w:val="none"/>
                <w14:textFill>
                  <w14:solidFill>
                    <w14:schemeClr w14:val="tx1"/>
                  </w14:solidFill>
                </w14:textFill>
              </w:rPr>
              <w:t>万元</w:t>
            </w:r>
          </w:p>
        </w:tc>
        <w:tc>
          <w:tcPr>
            <w:tcW w:w="1125" w:type="dxa"/>
            <w:vAlign w:val="center"/>
          </w:tcPr>
          <w:p w14:paraId="0DADA216">
            <w:pPr>
              <w:overflowPunct/>
              <w:bidi w:val="0"/>
              <w:outlineLvl w:val="9"/>
              <w:rPr>
                <w:rFonts w:hint="eastAsia" w:ascii="宋体" w:hAnsi="宋体" w:eastAsia="宋体" w:cs="宋体"/>
                <w:b/>
                <w:color w:val="000000" w:themeColor="text1"/>
                <w:sz w:val="18"/>
                <w:szCs w:val="18"/>
                <w:highlight w:val="none"/>
                <w14:textFill>
                  <w14:solidFill>
                    <w14:schemeClr w14:val="tx1"/>
                  </w14:solidFill>
                </w14:textFill>
              </w:rPr>
            </w:pPr>
            <w:r>
              <w:rPr>
                <w:rFonts w:hint="eastAsia" w:ascii="宋体" w:hAnsi="宋体" w:eastAsia="宋体" w:cs="宋体"/>
                <w:b/>
                <w:color w:val="000000" w:themeColor="text1"/>
                <w:sz w:val="18"/>
                <w:szCs w:val="18"/>
                <w:highlight w:val="none"/>
                <w14:textFill>
                  <w14:solidFill>
                    <w14:schemeClr w14:val="tx1"/>
                  </w14:solidFill>
                </w14:textFill>
              </w:rPr>
              <w:t>Y≥30000</w:t>
            </w:r>
          </w:p>
        </w:tc>
        <w:tc>
          <w:tcPr>
            <w:tcW w:w="1701" w:type="dxa"/>
            <w:vAlign w:val="center"/>
          </w:tcPr>
          <w:p w14:paraId="345A3737">
            <w:pPr>
              <w:overflowPunct/>
              <w:bidi w:val="0"/>
              <w:outlineLvl w:val="9"/>
              <w:rPr>
                <w:rFonts w:hint="eastAsia" w:ascii="宋体" w:hAnsi="宋体" w:eastAsia="宋体" w:cs="宋体"/>
                <w:b/>
                <w:color w:val="000000" w:themeColor="text1"/>
                <w:sz w:val="18"/>
                <w:szCs w:val="18"/>
                <w:highlight w:val="none"/>
                <w14:textFill>
                  <w14:solidFill>
                    <w14:schemeClr w14:val="tx1"/>
                  </w14:solidFill>
                </w14:textFill>
              </w:rPr>
            </w:pPr>
            <w:r>
              <w:rPr>
                <w:rFonts w:hint="eastAsia" w:ascii="宋体" w:hAnsi="宋体" w:eastAsia="宋体" w:cs="宋体"/>
                <w:b/>
                <w:color w:val="000000" w:themeColor="text1"/>
                <w:sz w:val="18"/>
                <w:szCs w:val="18"/>
                <w:highlight w:val="none"/>
                <w14:textFill>
                  <w14:solidFill>
                    <w14:schemeClr w14:val="tx1"/>
                  </w14:solidFill>
                </w14:textFill>
              </w:rPr>
              <w:t>1000≤Y＜30000</w:t>
            </w:r>
          </w:p>
        </w:tc>
        <w:tc>
          <w:tcPr>
            <w:tcW w:w="1426" w:type="dxa"/>
            <w:vAlign w:val="center"/>
          </w:tcPr>
          <w:p w14:paraId="76650A1D">
            <w:pPr>
              <w:overflowPunct/>
              <w:bidi w:val="0"/>
              <w:outlineLvl w:val="9"/>
              <w:rPr>
                <w:rFonts w:hint="eastAsia" w:ascii="宋体" w:hAnsi="宋体" w:eastAsia="宋体" w:cs="宋体"/>
                <w:b/>
                <w:color w:val="000000" w:themeColor="text1"/>
                <w:sz w:val="18"/>
                <w:szCs w:val="18"/>
                <w:highlight w:val="none"/>
                <w14:textFill>
                  <w14:solidFill>
                    <w14:schemeClr w14:val="tx1"/>
                  </w14:solidFill>
                </w14:textFill>
              </w:rPr>
            </w:pPr>
            <w:r>
              <w:rPr>
                <w:rFonts w:hint="eastAsia" w:ascii="宋体" w:hAnsi="宋体" w:eastAsia="宋体" w:cs="宋体"/>
                <w:b/>
                <w:color w:val="000000" w:themeColor="text1"/>
                <w:sz w:val="18"/>
                <w:szCs w:val="18"/>
                <w:highlight w:val="none"/>
                <w14:textFill>
                  <w14:solidFill>
                    <w14:schemeClr w14:val="tx1"/>
                  </w14:solidFill>
                </w14:textFill>
              </w:rPr>
              <w:t xml:space="preserve"> 100≤Y＜1000</w:t>
            </w:r>
          </w:p>
        </w:tc>
        <w:tc>
          <w:tcPr>
            <w:tcW w:w="992" w:type="dxa"/>
            <w:vAlign w:val="center"/>
          </w:tcPr>
          <w:p w14:paraId="749D0C0F">
            <w:pPr>
              <w:overflowPunct/>
              <w:bidi w:val="0"/>
              <w:outlineLvl w:val="9"/>
              <w:rPr>
                <w:rFonts w:hint="eastAsia" w:ascii="宋体" w:hAnsi="宋体" w:eastAsia="宋体" w:cs="宋体"/>
                <w:b/>
                <w:color w:val="000000" w:themeColor="text1"/>
                <w:sz w:val="18"/>
                <w:szCs w:val="18"/>
                <w:highlight w:val="none"/>
                <w14:textFill>
                  <w14:solidFill>
                    <w14:schemeClr w14:val="tx1"/>
                  </w14:solidFill>
                </w14:textFill>
              </w:rPr>
            </w:pPr>
            <w:r>
              <w:rPr>
                <w:rFonts w:hint="eastAsia" w:ascii="宋体" w:hAnsi="宋体" w:eastAsia="宋体" w:cs="宋体"/>
                <w:b/>
                <w:color w:val="000000" w:themeColor="text1"/>
                <w:sz w:val="18"/>
                <w:szCs w:val="18"/>
                <w:highlight w:val="none"/>
                <w14:textFill>
                  <w14:solidFill>
                    <w14:schemeClr w14:val="tx1"/>
                  </w14:solidFill>
                </w14:textFill>
              </w:rPr>
              <w:t>Y＜100</w:t>
            </w:r>
          </w:p>
        </w:tc>
      </w:tr>
      <w:tr w14:paraId="3D54089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exact"/>
          <w:jc w:val="center"/>
        </w:trPr>
        <w:tc>
          <w:tcPr>
            <w:tcW w:w="2113" w:type="dxa"/>
            <w:vMerge w:val="restart"/>
            <w:vAlign w:val="center"/>
          </w:tcPr>
          <w:p w14:paraId="0BBEE6E8">
            <w:pPr>
              <w:overflowPunct/>
              <w:bidi w:val="0"/>
              <w:spacing w:line="240" w:lineRule="exact"/>
              <w:jc w:val="center"/>
              <w:outlineLvl w:val="9"/>
              <w:rPr>
                <w:rFonts w:hint="eastAsia" w:ascii="宋体" w:hAnsi="宋体" w:eastAsia="宋体" w:cs="宋体"/>
                <w:b/>
                <w:color w:val="000000" w:themeColor="text1"/>
                <w:sz w:val="18"/>
                <w:szCs w:val="18"/>
                <w:highlight w:val="none"/>
                <w14:textFill>
                  <w14:solidFill>
                    <w14:schemeClr w14:val="tx1"/>
                  </w14:solidFill>
                </w14:textFill>
              </w:rPr>
            </w:pPr>
            <w:r>
              <w:rPr>
                <w:rFonts w:hint="eastAsia" w:ascii="宋体" w:hAnsi="宋体" w:eastAsia="宋体" w:cs="宋体"/>
                <w:b/>
                <w:color w:val="000000" w:themeColor="text1"/>
                <w:sz w:val="18"/>
                <w:szCs w:val="18"/>
                <w:highlight w:val="none"/>
                <w14:textFill>
                  <w14:solidFill>
                    <w14:schemeClr w14:val="tx1"/>
                  </w14:solidFill>
                </w14:textFill>
              </w:rPr>
              <w:t>邮政业</w:t>
            </w:r>
          </w:p>
        </w:tc>
        <w:tc>
          <w:tcPr>
            <w:tcW w:w="1369" w:type="dxa"/>
            <w:vAlign w:val="center"/>
          </w:tcPr>
          <w:p w14:paraId="0A73A038">
            <w:pPr>
              <w:overflowPunct/>
              <w:bidi w:val="0"/>
              <w:outlineLvl w:val="9"/>
              <w:rPr>
                <w:rFonts w:hint="eastAsia" w:ascii="宋体" w:hAnsi="宋体" w:eastAsia="宋体" w:cs="宋体"/>
                <w:b/>
                <w:color w:val="000000" w:themeColor="text1"/>
                <w:sz w:val="18"/>
                <w:szCs w:val="18"/>
                <w:highlight w:val="none"/>
                <w14:textFill>
                  <w14:solidFill>
                    <w14:schemeClr w14:val="tx1"/>
                  </w14:solidFill>
                </w14:textFill>
              </w:rPr>
            </w:pPr>
            <w:r>
              <w:rPr>
                <w:rFonts w:hint="eastAsia" w:ascii="宋体" w:hAnsi="宋体" w:eastAsia="宋体" w:cs="宋体"/>
                <w:b/>
                <w:color w:val="000000" w:themeColor="text1"/>
                <w:sz w:val="18"/>
                <w:szCs w:val="18"/>
                <w:highlight w:val="none"/>
                <w14:textFill>
                  <w14:solidFill>
                    <w14:schemeClr w14:val="tx1"/>
                  </w14:solidFill>
                </w14:textFill>
              </w:rPr>
              <w:t>从业人员(X)</w:t>
            </w:r>
          </w:p>
        </w:tc>
        <w:tc>
          <w:tcPr>
            <w:tcW w:w="709" w:type="dxa"/>
            <w:vAlign w:val="center"/>
          </w:tcPr>
          <w:p w14:paraId="225FFEED">
            <w:pPr>
              <w:overflowPunct/>
              <w:bidi w:val="0"/>
              <w:outlineLvl w:val="9"/>
              <w:rPr>
                <w:rFonts w:hint="eastAsia" w:ascii="宋体" w:hAnsi="宋体" w:eastAsia="宋体" w:cs="宋体"/>
                <w:b/>
                <w:color w:val="000000" w:themeColor="text1"/>
                <w:sz w:val="18"/>
                <w:szCs w:val="18"/>
                <w:highlight w:val="none"/>
                <w14:textFill>
                  <w14:solidFill>
                    <w14:schemeClr w14:val="tx1"/>
                  </w14:solidFill>
                </w14:textFill>
              </w:rPr>
            </w:pPr>
            <w:r>
              <w:rPr>
                <w:rFonts w:hint="eastAsia" w:ascii="宋体" w:hAnsi="宋体" w:eastAsia="宋体" w:cs="宋体"/>
                <w:b/>
                <w:color w:val="000000" w:themeColor="text1"/>
                <w:sz w:val="18"/>
                <w:szCs w:val="18"/>
                <w:highlight w:val="none"/>
                <w14:textFill>
                  <w14:solidFill>
                    <w14:schemeClr w14:val="tx1"/>
                  </w14:solidFill>
                </w14:textFill>
              </w:rPr>
              <w:t>人</w:t>
            </w:r>
          </w:p>
        </w:tc>
        <w:tc>
          <w:tcPr>
            <w:tcW w:w="1125" w:type="dxa"/>
            <w:vAlign w:val="center"/>
          </w:tcPr>
          <w:p w14:paraId="7CAE5229">
            <w:pPr>
              <w:overflowPunct/>
              <w:bidi w:val="0"/>
              <w:outlineLvl w:val="9"/>
              <w:rPr>
                <w:rFonts w:hint="eastAsia" w:ascii="宋体" w:hAnsi="宋体" w:eastAsia="宋体" w:cs="宋体"/>
                <w:b/>
                <w:color w:val="000000" w:themeColor="text1"/>
                <w:sz w:val="18"/>
                <w:szCs w:val="18"/>
                <w:highlight w:val="none"/>
                <w14:textFill>
                  <w14:solidFill>
                    <w14:schemeClr w14:val="tx1"/>
                  </w14:solidFill>
                </w14:textFill>
              </w:rPr>
            </w:pPr>
            <w:r>
              <w:rPr>
                <w:rFonts w:hint="eastAsia" w:ascii="宋体" w:hAnsi="宋体" w:eastAsia="宋体" w:cs="宋体"/>
                <w:b/>
                <w:color w:val="000000" w:themeColor="text1"/>
                <w:sz w:val="18"/>
                <w:szCs w:val="18"/>
                <w:highlight w:val="none"/>
                <w14:textFill>
                  <w14:solidFill>
                    <w14:schemeClr w14:val="tx1"/>
                  </w14:solidFill>
                </w14:textFill>
              </w:rPr>
              <w:t>X≥1000</w:t>
            </w:r>
          </w:p>
        </w:tc>
        <w:tc>
          <w:tcPr>
            <w:tcW w:w="1701" w:type="dxa"/>
            <w:vAlign w:val="center"/>
          </w:tcPr>
          <w:p w14:paraId="7120E611">
            <w:pPr>
              <w:overflowPunct/>
              <w:bidi w:val="0"/>
              <w:outlineLvl w:val="9"/>
              <w:rPr>
                <w:rFonts w:hint="eastAsia" w:ascii="宋体" w:hAnsi="宋体" w:eastAsia="宋体" w:cs="宋体"/>
                <w:b/>
                <w:color w:val="000000" w:themeColor="text1"/>
                <w:sz w:val="18"/>
                <w:szCs w:val="18"/>
                <w:highlight w:val="none"/>
                <w14:textFill>
                  <w14:solidFill>
                    <w14:schemeClr w14:val="tx1"/>
                  </w14:solidFill>
                </w14:textFill>
              </w:rPr>
            </w:pPr>
            <w:r>
              <w:rPr>
                <w:rFonts w:hint="eastAsia" w:ascii="宋体" w:hAnsi="宋体" w:eastAsia="宋体" w:cs="宋体"/>
                <w:b/>
                <w:color w:val="000000" w:themeColor="text1"/>
                <w:sz w:val="18"/>
                <w:szCs w:val="18"/>
                <w:highlight w:val="none"/>
                <w14:textFill>
                  <w14:solidFill>
                    <w14:schemeClr w14:val="tx1"/>
                  </w14:solidFill>
                </w14:textFill>
              </w:rPr>
              <w:t>300≤X＜1000</w:t>
            </w:r>
          </w:p>
        </w:tc>
        <w:tc>
          <w:tcPr>
            <w:tcW w:w="1426" w:type="dxa"/>
            <w:vAlign w:val="center"/>
          </w:tcPr>
          <w:p w14:paraId="56F7411E">
            <w:pPr>
              <w:overflowPunct/>
              <w:bidi w:val="0"/>
              <w:outlineLvl w:val="9"/>
              <w:rPr>
                <w:rFonts w:hint="eastAsia" w:ascii="宋体" w:hAnsi="宋体" w:eastAsia="宋体" w:cs="宋体"/>
                <w:b/>
                <w:color w:val="000000" w:themeColor="text1"/>
                <w:sz w:val="18"/>
                <w:szCs w:val="18"/>
                <w:highlight w:val="none"/>
                <w14:textFill>
                  <w14:solidFill>
                    <w14:schemeClr w14:val="tx1"/>
                  </w14:solidFill>
                </w14:textFill>
              </w:rPr>
            </w:pPr>
            <w:r>
              <w:rPr>
                <w:rFonts w:hint="eastAsia" w:ascii="宋体" w:hAnsi="宋体" w:eastAsia="宋体" w:cs="宋体"/>
                <w:b/>
                <w:color w:val="000000" w:themeColor="text1"/>
                <w:sz w:val="18"/>
                <w:szCs w:val="18"/>
                <w:highlight w:val="none"/>
                <w14:textFill>
                  <w14:solidFill>
                    <w14:schemeClr w14:val="tx1"/>
                  </w14:solidFill>
                </w14:textFill>
              </w:rPr>
              <w:t xml:space="preserve"> 20≤X＜300</w:t>
            </w:r>
          </w:p>
        </w:tc>
        <w:tc>
          <w:tcPr>
            <w:tcW w:w="992" w:type="dxa"/>
            <w:vAlign w:val="center"/>
          </w:tcPr>
          <w:p w14:paraId="49919BE3">
            <w:pPr>
              <w:overflowPunct/>
              <w:bidi w:val="0"/>
              <w:outlineLvl w:val="9"/>
              <w:rPr>
                <w:rFonts w:hint="eastAsia" w:ascii="宋体" w:hAnsi="宋体" w:eastAsia="宋体" w:cs="宋体"/>
                <w:b/>
                <w:color w:val="000000" w:themeColor="text1"/>
                <w:sz w:val="18"/>
                <w:szCs w:val="18"/>
                <w:highlight w:val="none"/>
                <w14:textFill>
                  <w14:solidFill>
                    <w14:schemeClr w14:val="tx1"/>
                  </w14:solidFill>
                </w14:textFill>
              </w:rPr>
            </w:pPr>
            <w:r>
              <w:rPr>
                <w:rFonts w:hint="eastAsia" w:ascii="宋体" w:hAnsi="宋体" w:eastAsia="宋体" w:cs="宋体"/>
                <w:b/>
                <w:color w:val="000000" w:themeColor="text1"/>
                <w:sz w:val="18"/>
                <w:szCs w:val="18"/>
                <w:highlight w:val="none"/>
                <w14:textFill>
                  <w14:solidFill>
                    <w14:schemeClr w14:val="tx1"/>
                  </w14:solidFill>
                </w14:textFill>
              </w:rPr>
              <w:t>X＜20</w:t>
            </w:r>
          </w:p>
        </w:tc>
      </w:tr>
      <w:tr w14:paraId="6AF7B83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exact"/>
          <w:jc w:val="center"/>
        </w:trPr>
        <w:tc>
          <w:tcPr>
            <w:tcW w:w="2113" w:type="dxa"/>
            <w:vMerge w:val="continue"/>
            <w:vAlign w:val="center"/>
          </w:tcPr>
          <w:p w14:paraId="24125C23">
            <w:pPr>
              <w:overflowPunct/>
              <w:bidi w:val="0"/>
              <w:jc w:val="center"/>
              <w:outlineLvl w:val="9"/>
              <w:rPr>
                <w:rFonts w:hint="eastAsia" w:ascii="宋体" w:hAnsi="宋体" w:eastAsia="宋体" w:cs="宋体"/>
                <w:b/>
                <w:color w:val="000000" w:themeColor="text1"/>
                <w:sz w:val="18"/>
                <w:szCs w:val="18"/>
                <w:highlight w:val="none"/>
                <w14:textFill>
                  <w14:solidFill>
                    <w14:schemeClr w14:val="tx1"/>
                  </w14:solidFill>
                </w14:textFill>
              </w:rPr>
            </w:pPr>
          </w:p>
        </w:tc>
        <w:tc>
          <w:tcPr>
            <w:tcW w:w="1369" w:type="dxa"/>
            <w:vAlign w:val="center"/>
          </w:tcPr>
          <w:p w14:paraId="0A3DE48A">
            <w:pPr>
              <w:overflowPunct/>
              <w:bidi w:val="0"/>
              <w:spacing w:line="240" w:lineRule="exact"/>
              <w:outlineLvl w:val="9"/>
              <w:rPr>
                <w:rFonts w:hint="eastAsia" w:ascii="宋体" w:hAnsi="宋体" w:eastAsia="宋体" w:cs="宋体"/>
                <w:b/>
                <w:color w:val="000000" w:themeColor="text1"/>
                <w:sz w:val="18"/>
                <w:szCs w:val="18"/>
                <w:highlight w:val="none"/>
                <w14:textFill>
                  <w14:solidFill>
                    <w14:schemeClr w14:val="tx1"/>
                  </w14:solidFill>
                </w14:textFill>
              </w:rPr>
            </w:pPr>
            <w:r>
              <w:rPr>
                <w:rFonts w:hint="eastAsia" w:ascii="宋体" w:hAnsi="宋体" w:eastAsia="宋体" w:cs="宋体"/>
                <w:b/>
                <w:color w:val="000000" w:themeColor="text1"/>
                <w:sz w:val="18"/>
                <w:szCs w:val="18"/>
                <w:highlight w:val="none"/>
                <w14:textFill>
                  <w14:solidFill>
                    <w14:schemeClr w14:val="tx1"/>
                  </w14:solidFill>
                </w14:textFill>
              </w:rPr>
              <w:t>营业收入(Y)</w:t>
            </w:r>
          </w:p>
        </w:tc>
        <w:tc>
          <w:tcPr>
            <w:tcW w:w="709" w:type="dxa"/>
            <w:vAlign w:val="center"/>
          </w:tcPr>
          <w:p w14:paraId="00D16CAA">
            <w:pPr>
              <w:overflowPunct/>
              <w:bidi w:val="0"/>
              <w:outlineLvl w:val="9"/>
              <w:rPr>
                <w:rFonts w:hint="eastAsia" w:ascii="宋体" w:hAnsi="宋体" w:eastAsia="宋体" w:cs="宋体"/>
                <w:b/>
                <w:color w:val="000000" w:themeColor="text1"/>
                <w:sz w:val="18"/>
                <w:szCs w:val="18"/>
                <w:highlight w:val="none"/>
                <w14:textFill>
                  <w14:solidFill>
                    <w14:schemeClr w14:val="tx1"/>
                  </w14:solidFill>
                </w14:textFill>
              </w:rPr>
            </w:pPr>
            <w:r>
              <w:rPr>
                <w:rFonts w:hint="eastAsia" w:ascii="宋体" w:hAnsi="宋体" w:eastAsia="宋体" w:cs="宋体"/>
                <w:b/>
                <w:color w:val="000000" w:themeColor="text1"/>
                <w:sz w:val="18"/>
                <w:szCs w:val="18"/>
                <w:highlight w:val="none"/>
                <w14:textFill>
                  <w14:solidFill>
                    <w14:schemeClr w14:val="tx1"/>
                  </w14:solidFill>
                </w14:textFill>
              </w:rPr>
              <w:t>万元</w:t>
            </w:r>
          </w:p>
        </w:tc>
        <w:tc>
          <w:tcPr>
            <w:tcW w:w="1125" w:type="dxa"/>
            <w:vAlign w:val="center"/>
          </w:tcPr>
          <w:p w14:paraId="5F0B8165">
            <w:pPr>
              <w:overflowPunct/>
              <w:bidi w:val="0"/>
              <w:outlineLvl w:val="9"/>
              <w:rPr>
                <w:rFonts w:hint="eastAsia" w:ascii="宋体" w:hAnsi="宋体" w:eastAsia="宋体" w:cs="宋体"/>
                <w:b/>
                <w:color w:val="000000" w:themeColor="text1"/>
                <w:sz w:val="18"/>
                <w:szCs w:val="18"/>
                <w:highlight w:val="none"/>
                <w14:textFill>
                  <w14:solidFill>
                    <w14:schemeClr w14:val="tx1"/>
                  </w14:solidFill>
                </w14:textFill>
              </w:rPr>
            </w:pPr>
            <w:r>
              <w:rPr>
                <w:rFonts w:hint="eastAsia" w:ascii="宋体" w:hAnsi="宋体" w:eastAsia="宋体" w:cs="宋体"/>
                <w:b/>
                <w:color w:val="000000" w:themeColor="text1"/>
                <w:sz w:val="18"/>
                <w:szCs w:val="18"/>
                <w:highlight w:val="none"/>
                <w14:textFill>
                  <w14:solidFill>
                    <w14:schemeClr w14:val="tx1"/>
                  </w14:solidFill>
                </w14:textFill>
              </w:rPr>
              <w:t>Y≥30000</w:t>
            </w:r>
          </w:p>
        </w:tc>
        <w:tc>
          <w:tcPr>
            <w:tcW w:w="1701" w:type="dxa"/>
            <w:vAlign w:val="center"/>
          </w:tcPr>
          <w:p w14:paraId="675D731B">
            <w:pPr>
              <w:overflowPunct/>
              <w:bidi w:val="0"/>
              <w:outlineLvl w:val="9"/>
              <w:rPr>
                <w:rFonts w:hint="eastAsia" w:ascii="宋体" w:hAnsi="宋体" w:eastAsia="宋体" w:cs="宋体"/>
                <w:b/>
                <w:color w:val="000000" w:themeColor="text1"/>
                <w:sz w:val="18"/>
                <w:szCs w:val="18"/>
                <w:highlight w:val="none"/>
                <w14:textFill>
                  <w14:solidFill>
                    <w14:schemeClr w14:val="tx1"/>
                  </w14:solidFill>
                </w14:textFill>
              </w:rPr>
            </w:pPr>
            <w:r>
              <w:rPr>
                <w:rFonts w:hint="eastAsia" w:ascii="宋体" w:hAnsi="宋体" w:eastAsia="宋体" w:cs="宋体"/>
                <w:b/>
                <w:color w:val="000000" w:themeColor="text1"/>
                <w:sz w:val="18"/>
                <w:szCs w:val="18"/>
                <w:highlight w:val="none"/>
                <w14:textFill>
                  <w14:solidFill>
                    <w14:schemeClr w14:val="tx1"/>
                  </w14:solidFill>
                </w14:textFill>
              </w:rPr>
              <w:t>2000≤Y＜30000</w:t>
            </w:r>
          </w:p>
        </w:tc>
        <w:tc>
          <w:tcPr>
            <w:tcW w:w="1426" w:type="dxa"/>
            <w:vAlign w:val="center"/>
          </w:tcPr>
          <w:p w14:paraId="6CBD0AC6">
            <w:pPr>
              <w:overflowPunct/>
              <w:bidi w:val="0"/>
              <w:outlineLvl w:val="9"/>
              <w:rPr>
                <w:rFonts w:hint="eastAsia" w:ascii="宋体" w:hAnsi="宋体" w:eastAsia="宋体" w:cs="宋体"/>
                <w:b/>
                <w:color w:val="000000" w:themeColor="text1"/>
                <w:sz w:val="18"/>
                <w:szCs w:val="18"/>
                <w:highlight w:val="none"/>
                <w14:textFill>
                  <w14:solidFill>
                    <w14:schemeClr w14:val="tx1"/>
                  </w14:solidFill>
                </w14:textFill>
              </w:rPr>
            </w:pPr>
            <w:r>
              <w:rPr>
                <w:rFonts w:hint="eastAsia" w:ascii="宋体" w:hAnsi="宋体" w:eastAsia="宋体" w:cs="宋体"/>
                <w:b/>
                <w:color w:val="000000" w:themeColor="text1"/>
                <w:sz w:val="18"/>
                <w:szCs w:val="18"/>
                <w:highlight w:val="none"/>
                <w14:textFill>
                  <w14:solidFill>
                    <w14:schemeClr w14:val="tx1"/>
                  </w14:solidFill>
                </w14:textFill>
              </w:rPr>
              <w:t xml:space="preserve"> 100≤Y＜2000</w:t>
            </w:r>
          </w:p>
        </w:tc>
        <w:tc>
          <w:tcPr>
            <w:tcW w:w="992" w:type="dxa"/>
            <w:vAlign w:val="center"/>
          </w:tcPr>
          <w:p w14:paraId="77AA4ED6">
            <w:pPr>
              <w:overflowPunct/>
              <w:bidi w:val="0"/>
              <w:outlineLvl w:val="9"/>
              <w:rPr>
                <w:rFonts w:hint="eastAsia" w:ascii="宋体" w:hAnsi="宋体" w:eastAsia="宋体" w:cs="宋体"/>
                <w:b/>
                <w:color w:val="000000" w:themeColor="text1"/>
                <w:sz w:val="18"/>
                <w:szCs w:val="18"/>
                <w:highlight w:val="none"/>
                <w14:textFill>
                  <w14:solidFill>
                    <w14:schemeClr w14:val="tx1"/>
                  </w14:solidFill>
                </w14:textFill>
              </w:rPr>
            </w:pPr>
            <w:r>
              <w:rPr>
                <w:rFonts w:hint="eastAsia" w:ascii="宋体" w:hAnsi="宋体" w:eastAsia="宋体" w:cs="宋体"/>
                <w:b/>
                <w:color w:val="000000" w:themeColor="text1"/>
                <w:sz w:val="18"/>
                <w:szCs w:val="18"/>
                <w:highlight w:val="none"/>
                <w14:textFill>
                  <w14:solidFill>
                    <w14:schemeClr w14:val="tx1"/>
                  </w14:solidFill>
                </w14:textFill>
              </w:rPr>
              <w:t>Y＜100</w:t>
            </w:r>
          </w:p>
        </w:tc>
      </w:tr>
      <w:tr w14:paraId="1253996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exact"/>
          <w:jc w:val="center"/>
        </w:trPr>
        <w:tc>
          <w:tcPr>
            <w:tcW w:w="2113" w:type="dxa"/>
            <w:vMerge w:val="restart"/>
            <w:vAlign w:val="center"/>
          </w:tcPr>
          <w:p w14:paraId="748DC913">
            <w:pPr>
              <w:overflowPunct/>
              <w:bidi w:val="0"/>
              <w:spacing w:line="240" w:lineRule="exact"/>
              <w:jc w:val="center"/>
              <w:outlineLvl w:val="9"/>
              <w:rPr>
                <w:rFonts w:hint="eastAsia" w:ascii="宋体" w:hAnsi="宋体" w:eastAsia="宋体" w:cs="宋体"/>
                <w:b/>
                <w:color w:val="000000" w:themeColor="text1"/>
                <w:sz w:val="18"/>
                <w:szCs w:val="18"/>
                <w:highlight w:val="none"/>
                <w14:textFill>
                  <w14:solidFill>
                    <w14:schemeClr w14:val="tx1"/>
                  </w14:solidFill>
                </w14:textFill>
              </w:rPr>
            </w:pPr>
            <w:r>
              <w:rPr>
                <w:rFonts w:hint="eastAsia" w:ascii="宋体" w:hAnsi="宋体" w:eastAsia="宋体" w:cs="宋体"/>
                <w:b/>
                <w:color w:val="000000" w:themeColor="text1"/>
                <w:sz w:val="18"/>
                <w:szCs w:val="18"/>
                <w:highlight w:val="none"/>
                <w14:textFill>
                  <w14:solidFill>
                    <w14:schemeClr w14:val="tx1"/>
                  </w14:solidFill>
                </w14:textFill>
              </w:rPr>
              <w:t>住宿业</w:t>
            </w:r>
          </w:p>
        </w:tc>
        <w:tc>
          <w:tcPr>
            <w:tcW w:w="1369" w:type="dxa"/>
            <w:vAlign w:val="center"/>
          </w:tcPr>
          <w:p w14:paraId="1C781281">
            <w:pPr>
              <w:overflowPunct/>
              <w:bidi w:val="0"/>
              <w:outlineLvl w:val="9"/>
              <w:rPr>
                <w:rFonts w:hint="eastAsia" w:ascii="宋体" w:hAnsi="宋体" w:eastAsia="宋体" w:cs="宋体"/>
                <w:b/>
                <w:color w:val="000000" w:themeColor="text1"/>
                <w:sz w:val="18"/>
                <w:szCs w:val="18"/>
                <w:highlight w:val="none"/>
                <w14:textFill>
                  <w14:solidFill>
                    <w14:schemeClr w14:val="tx1"/>
                  </w14:solidFill>
                </w14:textFill>
              </w:rPr>
            </w:pPr>
            <w:r>
              <w:rPr>
                <w:rFonts w:hint="eastAsia" w:ascii="宋体" w:hAnsi="宋体" w:eastAsia="宋体" w:cs="宋体"/>
                <w:b/>
                <w:color w:val="000000" w:themeColor="text1"/>
                <w:sz w:val="18"/>
                <w:szCs w:val="18"/>
                <w:highlight w:val="none"/>
                <w14:textFill>
                  <w14:solidFill>
                    <w14:schemeClr w14:val="tx1"/>
                  </w14:solidFill>
                </w14:textFill>
              </w:rPr>
              <w:t>从业人员(X)</w:t>
            </w:r>
          </w:p>
        </w:tc>
        <w:tc>
          <w:tcPr>
            <w:tcW w:w="709" w:type="dxa"/>
            <w:vAlign w:val="center"/>
          </w:tcPr>
          <w:p w14:paraId="06B62BC3">
            <w:pPr>
              <w:overflowPunct/>
              <w:bidi w:val="0"/>
              <w:outlineLvl w:val="9"/>
              <w:rPr>
                <w:rFonts w:hint="eastAsia" w:ascii="宋体" w:hAnsi="宋体" w:eastAsia="宋体" w:cs="宋体"/>
                <w:b/>
                <w:color w:val="000000" w:themeColor="text1"/>
                <w:sz w:val="18"/>
                <w:szCs w:val="18"/>
                <w:highlight w:val="none"/>
                <w14:textFill>
                  <w14:solidFill>
                    <w14:schemeClr w14:val="tx1"/>
                  </w14:solidFill>
                </w14:textFill>
              </w:rPr>
            </w:pPr>
            <w:r>
              <w:rPr>
                <w:rFonts w:hint="eastAsia" w:ascii="宋体" w:hAnsi="宋体" w:eastAsia="宋体" w:cs="宋体"/>
                <w:b/>
                <w:color w:val="000000" w:themeColor="text1"/>
                <w:sz w:val="18"/>
                <w:szCs w:val="18"/>
                <w:highlight w:val="none"/>
                <w14:textFill>
                  <w14:solidFill>
                    <w14:schemeClr w14:val="tx1"/>
                  </w14:solidFill>
                </w14:textFill>
              </w:rPr>
              <w:t>人</w:t>
            </w:r>
          </w:p>
        </w:tc>
        <w:tc>
          <w:tcPr>
            <w:tcW w:w="1125" w:type="dxa"/>
            <w:vAlign w:val="center"/>
          </w:tcPr>
          <w:p w14:paraId="6CEC3EA7">
            <w:pPr>
              <w:overflowPunct/>
              <w:bidi w:val="0"/>
              <w:outlineLvl w:val="9"/>
              <w:rPr>
                <w:rFonts w:hint="eastAsia" w:ascii="宋体" w:hAnsi="宋体" w:eastAsia="宋体" w:cs="宋体"/>
                <w:b/>
                <w:color w:val="000000" w:themeColor="text1"/>
                <w:sz w:val="18"/>
                <w:szCs w:val="18"/>
                <w:highlight w:val="none"/>
                <w14:textFill>
                  <w14:solidFill>
                    <w14:schemeClr w14:val="tx1"/>
                  </w14:solidFill>
                </w14:textFill>
              </w:rPr>
            </w:pPr>
            <w:r>
              <w:rPr>
                <w:rFonts w:hint="eastAsia" w:ascii="宋体" w:hAnsi="宋体" w:eastAsia="宋体" w:cs="宋体"/>
                <w:b/>
                <w:color w:val="000000" w:themeColor="text1"/>
                <w:sz w:val="18"/>
                <w:szCs w:val="18"/>
                <w:highlight w:val="none"/>
                <w14:textFill>
                  <w14:solidFill>
                    <w14:schemeClr w14:val="tx1"/>
                  </w14:solidFill>
                </w14:textFill>
              </w:rPr>
              <w:t>X≥300</w:t>
            </w:r>
          </w:p>
        </w:tc>
        <w:tc>
          <w:tcPr>
            <w:tcW w:w="1701" w:type="dxa"/>
            <w:vAlign w:val="center"/>
          </w:tcPr>
          <w:p w14:paraId="1F118481">
            <w:pPr>
              <w:overflowPunct/>
              <w:bidi w:val="0"/>
              <w:ind w:left="1" w:leftChars="-51" w:hanging="108" w:hangingChars="60"/>
              <w:outlineLvl w:val="9"/>
              <w:rPr>
                <w:rFonts w:hint="eastAsia" w:ascii="宋体" w:hAnsi="宋体" w:eastAsia="宋体" w:cs="宋体"/>
                <w:b/>
                <w:color w:val="000000" w:themeColor="text1"/>
                <w:sz w:val="18"/>
                <w:szCs w:val="18"/>
                <w:highlight w:val="none"/>
                <w14:textFill>
                  <w14:solidFill>
                    <w14:schemeClr w14:val="tx1"/>
                  </w14:solidFill>
                </w14:textFill>
              </w:rPr>
            </w:pPr>
            <w:r>
              <w:rPr>
                <w:rFonts w:hint="eastAsia" w:ascii="宋体" w:hAnsi="宋体" w:eastAsia="宋体" w:cs="宋体"/>
                <w:b/>
                <w:color w:val="000000" w:themeColor="text1"/>
                <w:sz w:val="18"/>
                <w:szCs w:val="18"/>
                <w:highlight w:val="none"/>
                <w14:textFill>
                  <w14:solidFill>
                    <w14:schemeClr w14:val="tx1"/>
                  </w14:solidFill>
                </w14:textFill>
              </w:rPr>
              <w:t xml:space="preserve">100≤X＜300 </w:t>
            </w:r>
          </w:p>
        </w:tc>
        <w:tc>
          <w:tcPr>
            <w:tcW w:w="1426" w:type="dxa"/>
            <w:vAlign w:val="center"/>
          </w:tcPr>
          <w:p w14:paraId="7BCFCB09">
            <w:pPr>
              <w:overflowPunct/>
              <w:bidi w:val="0"/>
              <w:outlineLvl w:val="9"/>
              <w:rPr>
                <w:rFonts w:hint="eastAsia" w:ascii="宋体" w:hAnsi="宋体" w:eastAsia="宋体" w:cs="宋体"/>
                <w:b/>
                <w:color w:val="000000" w:themeColor="text1"/>
                <w:sz w:val="18"/>
                <w:szCs w:val="18"/>
                <w:highlight w:val="none"/>
                <w14:textFill>
                  <w14:solidFill>
                    <w14:schemeClr w14:val="tx1"/>
                  </w14:solidFill>
                </w14:textFill>
              </w:rPr>
            </w:pPr>
            <w:r>
              <w:rPr>
                <w:rFonts w:hint="eastAsia" w:ascii="宋体" w:hAnsi="宋体" w:eastAsia="宋体" w:cs="宋体"/>
                <w:b/>
                <w:color w:val="000000" w:themeColor="text1"/>
                <w:sz w:val="18"/>
                <w:szCs w:val="18"/>
                <w:highlight w:val="none"/>
                <w14:textFill>
                  <w14:solidFill>
                    <w14:schemeClr w14:val="tx1"/>
                  </w14:solidFill>
                </w14:textFill>
              </w:rPr>
              <w:t xml:space="preserve"> 10≤X＜100</w:t>
            </w:r>
          </w:p>
        </w:tc>
        <w:tc>
          <w:tcPr>
            <w:tcW w:w="992" w:type="dxa"/>
            <w:vAlign w:val="center"/>
          </w:tcPr>
          <w:p w14:paraId="62604191">
            <w:pPr>
              <w:overflowPunct/>
              <w:bidi w:val="0"/>
              <w:outlineLvl w:val="9"/>
              <w:rPr>
                <w:rFonts w:hint="eastAsia" w:ascii="宋体" w:hAnsi="宋体" w:eastAsia="宋体" w:cs="宋体"/>
                <w:b/>
                <w:color w:val="000000" w:themeColor="text1"/>
                <w:sz w:val="18"/>
                <w:szCs w:val="18"/>
                <w:highlight w:val="none"/>
                <w14:textFill>
                  <w14:solidFill>
                    <w14:schemeClr w14:val="tx1"/>
                  </w14:solidFill>
                </w14:textFill>
              </w:rPr>
            </w:pPr>
            <w:r>
              <w:rPr>
                <w:rFonts w:hint="eastAsia" w:ascii="宋体" w:hAnsi="宋体" w:eastAsia="宋体" w:cs="宋体"/>
                <w:b/>
                <w:color w:val="000000" w:themeColor="text1"/>
                <w:sz w:val="18"/>
                <w:szCs w:val="18"/>
                <w:highlight w:val="none"/>
                <w14:textFill>
                  <w14:solidFill>
                    <w14:schemeClr w14:val="tx1"/>
                  </w14:solidFill>
                </w14:textFill>
              </w:rPr>
              <w:t>X＜10</w:t>
            </w:r>
          </w:p>
        </w:tc>
      </w:tr>
      <w:tr w14:paraId="4CA41A4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exact"/>
          <w:jc w:val="center"/>
        </w:trPr>
        <w:tc>
          <w:tcPr>
            <w:tcW w:w="2113" w:type="dxa"/>
            <w:vMerge w:val="continue"/>
            <w:vAlign w:val="center"/>
          </w:tcPr>
          <w:p w14:paraId="2D710C0B">
            <w:pPr>
              <w:overflowPunct/>
              <w:bidi w:val="0"/>
              <w:jc w:val="center"/>
              <w:outlineLvl w:val="9"/>
              <w:rPr>
                <w:rFonts w:hint="eastAsia" w:ascii="宋体" w:hAnsi="宋体" w:eastAsia="宋体" w:cs="宋体"/>
                <w:b/>
                <w:color w:val="000000" w:themeColor="text1"/>
                <w:sz w:val="18"/>
                <w:szCs w:val="18"/>
                <w:highlight w:val="none"/>
                <w14:textFill>
                  <w14:solidFill>
                    <w14:schemeClr w14:val="tx1"/>
                  </w14:solidFill>
                </w14:textFill>
              </w:rPr>
            </w:pPr>
          </w:p>
        </w:tc>
        <w:tc>
          <w:tcPr>
            <w:tcW w:w="1369" w:type="dxa"/>
            <w:vAlign w:val="center"/>
          </w:tcPr>
          <w:p w14:paraId="45EA448E">
            <w:pPr>
              <w:overflowPunct/>
              <w:bidi w:val="0"/>
              <w:spacing w:line="240" w:lineRule="exact"/>
              <w:outlineLvl w:val="9"/>
              <w:rPr>
                <w:rFonts w:hint="eastAsia" w:ascii="宋体" w:hAnsi="宋体" w:eastAsia="宋体" w:cs="宋体"/>
                <w:b/>
                <w:color w:val="000000" w:themeColor="text1"/>
                <w:sz w:val="18"/>
                <w:szCs w:val="18"/>
                <w:highlight w:val="none"/>
                <w14:textFill>
                  <w14:solidFill>
                    <w14:schemeClr w14:val="tx1"/>
                  </w14:solidFill>
                </w14:textFill>
              </w:rPr>
            </w:pPr>
            <w:r>
              <w:rPr>
                <w:rFonts w:hint="eastAsia" w:ascii="宋体" w:hAnsi="宋体" w:eastAsia="宋体" w:cs="宋体"/>
                <w:b/>
                <w:color w:val="000000" w:themeColor="text1"/>
                <w:sz w:val="18"/>
                <w:szCs w:val="18"/>
                <w:highlight w:val="none"/>
                <w14:textFill>
                  <w14:solidFill>
                    <w14:schemeClr w14:val="tx1"/>
                  </w14:solidFill>
                </w14:textFill>
              </w:rPr>
              <w:t>营业收入(Y)</w:t>
            </w:r>
          </w:p>
        </w:tc>
        <w:tc>
          <w:tcPr>
            <w:tcW w:w="709" w:type="dxa"/>
            <w:vAlign w:val="center"/>
          </w:tcPr>
          <w:p w14:paraId="6DB5C828">
            <w:pPr>
              <w:overflowPunct/>
              <w:bidi w:val="0"/>
              <w:outlineLvl w:val="9"/>
              <w:rPr>
                <w:rFonts w:hint="eastAsia" w:ascii="宋体" w:hAnsi="宋体" w:eastAsia="宋体" w:cs="宋体"/>
                <w:b/>
                <w:color w:val="000000" w:themeColor="text1"/>
                <w:sz w:val="18"/>
                <w:szCs w:val="18"/>
                <w:highlight w:val="none"/>
                <w14:textFill>
                  <w14:solidFill>
                    <w14:schemeClr w14:val="tx1"/>
                  </w14:solidFill>
                </w14:textFill>
              </w:rPr>
            </w:pPr>
            <w:r>
              <w:rPr>
                <w:rFonts w:hint="eastAsia" w:ascii="宋体" w:hAnsi="宋体" w:eastAsia="宋体" w:cs="宋体"/>
                <w:b/>
                <w:color w:val="000000" w:themeColor="text1"/>
                <w:sz w:val="18"/>
                <w:szCs w:val="18"/>
                <w:highlight w:val="none"/>
                <w14:textFill>
                  <w14:solidFill>
                    <w14:schemeClr w14:val="tx1"/>
                  </w14:solidFill>
                </w14:textFill>
              </w:rPr>
              <w:t>万元</w:t>
            </w:r>
          </w:p>
        </w:tc>
        <w:tc>
          <w:tcPr>
            <w:tcW w:w="1125" w:type="dxa"/>
            <w:vAlign w:val="center"/>
          </w:tcPr>
          <w:p w14:paraId="17843ACD">
            <w:pPr>
              <w:overflowPunct/>
              <w:bidi w:val="0"/>
              <w:outlineLvl w:val="9"/>
              <w:rPr>
                <w:rFonts w:hint="eastAsia" w:ascii="宋体" w:hAnsi="宋体" w:eastAsia="宋体" w:cs="宋体"/>
                <w:b/>
                <w:color w:val="000000" w:themeColor="text1"/>
                <w:sz w:val="18"/>
                <w:szCs w:val="18"/>
                <w:highlight w:val="none"/>
                <w14:textFill>
                  <w14:solidFill>
                    <w14:schemeClr w14:val="tx1"/>
                  </w14:solidFill>
                </w14:textFill>
              </w:rPr>
            </w:pPr>
            <w:r>
              <w:rPr>
                <w:rFonts w:hint="eastAsia" w:ascii="宋体" w:hAnsi="宋体" w:eastAsia="宋体" w:cs="宋体"/>
                <w:b/>
                <w:color w:val="000000" w:themeColor="text1"/>
                <w:sz w:val="18"/>
                <w:szCs w:val="18"/>
                <w:highlight w:val="none"/>
                <w14:textFill>
                  <w14:solidFill>
                    <w14:schemeClr w14:val="tx1"/>
                  </w14:solidFill>
                </w14:textFill>
              </w:rPr>
              <w:t>Y≥10000</w:t>
            </w:r>
          </w:p>
        </w:tc>
        <w:tc>
          <w:tcPr>
            <w:tcW w:w="1701" w:type="dxa"/>
            <w:vAlign w:val="center"/>
          </w:tcPr>
          <w:p w14:paraId="0AC3477F">
            <w:pPr>
              <w:overflowPunct/>
              <w:bidi w:val="0"/>
              <w:outlineLvl w:val="9"/>
              <w:rPr>
                <w:rFonts w:hint="eastAsia" w:ascii="宋体" w:hAnsi="宋体" w:eastAsia="宋体" w:cs="宋体"/>
                <w:b/>
                <w:color w:val="000000" w:themeColor="text1"/>
                <w:sz w:val="18"/>
                <w:szCs w:val="18"/>
                <w:highlight w:val="none"/>
                <w14:textFill>
                  <w14:solidFill>
                    <w14:schemeClr w14:val="tx1"/>
                  </w14:solidFill>
                </w14:textFill>
              </w:rPr>
            </w:pPr>
            <w:r>
              <w:rPr>
                <w:rFonts w:hint="eastAsia" w:ascii="宋体" w:hAnsi="宋体" w:eastAsia="宋体" w:cs="宋体"/>
                <w:b/>
                <w:color w:val="000000" w:themeColor="text1"/>
                <w:sz w:val="18"/>
                <w:szCs w:val="18"/>
                <w:highlight w:val="none"/>
                <w14:textFill>
                  <w14:solidFill>
                    <w14:schemeClr w14:val="tx1"/>
                  </w14:solidFill>
                </w14:textFill>
              </w:rPr>
              <w:t>2000≤Y＜10000</w:t>
            </w:r>
          </w:p>
        </w:tc>
        <w:tc>
          <w:tcPr>
            <w:tcW w:w="1426" w:type="dxa"/>
            <w:vAlign w:val="center"/>
          </w:tcPr>
          <w:p w14:paraId="7AF8D97A">
            <w:pPr>
              <w:overflowPunct/>
              <w:bidi w:val="0"/>
              <w:outlineLvl w:val="9"/>
              <w:rPr>
                <w:rFonts w:hint="eastAsia" w:ascii="宋体" w:hAnsi="宋体" w:eastAsia="宋体" w:cs="宋体"/>
                <w:b/>
                <w:color w:val="000000" w:themeColor="text1"/>
                <w:sz w:val="18"/>
                <w:szCs w:val="18"/>
                <w:highlight w:val="none"/>
                <w14:textFill>
                  <w14:solidFill>
                    <w14:schemeClr w14:val="tx1"/>
                  </w14:solidFill>
                </w14:textFill>
              </w:rPr>
            </w:pPr>
            <w:r>
              <w:rPr>
                <w:rFonts w:hint="eastAsia" w:ascii="宋体" w:hAnsi="宋体" w:eastAsia="宋体" w:cs="宋体"/>
                <w:b/>
                <w:color w:val="000000" w:themeColor="text1"/>
                <w:sz w:val="18"/>
                <w:szCs w:val="18"/>
                <w:highlight w:val="none"/>
                <w14:textFill>
                  <w14:solidFill>
                    <w14:schemeClr w14:val="tx1"/>
                  </w14:solidFill>
                </w14:textFill>
              </w:rPr>
              <w:t xml:space="preserve"> 100≤Y＜2000</w:t>
            </w:r>
          </w:p>
        </w:tc>
        <w:tc>
          <w:tcPr>
            <w:tcW w:w="992" w:type="dxa"/>
            <w:vAlign w:val="center"/>
          </w:tcPr>
          <w:p w14:paraId="25E6EDCE">
            <w:pPr>
              <w:overflowPunct/>
              <w:bidi w:val="0"/>
              <w:outlineLvl w:val="9"/>
              <w:rPr>
                <w:rFonts w:hint="eastAsia" w:ascii="宋体" w:hAnsi="宋体" w:eastAsia="宋体" w:cs="宋体"/>
                <w:b/>
                <w:color w:val="000000" w:themeColor="text1"/>
                <w:sz w:val="18"/>
                <w:szCs w:val="18"/>
                <w:highlight w:val="none"/>
                <w14:textFill>
                  <w14:solidFill>
                    <w14:schemeClr w14:val="tx1"/>
                  </w14:solidFill>
                </w14:textFill>
              </w:rPr>
            </w:pPr>
            <w:r>
              <w:rPr>
                <w:rFonts w:hint="eastAsia" w:ascii="宋体" w:hAnsi="宋体" w:eastAsia="宋体" w:cs="宋体"/>
                <w:b/>
                <w:color w:val="000000" w:themeColor="text1"/>
                <w:sz w:val="18"/>
                <w:szCs w:val="18"/>
                <w:highlight w:val="none"/>
                <w14:textFill>
                  <w14:solidFill>
                    <w14:schemeClr w14:val="tx1"/>
                  </w14:solidFill>
                </w14:textFill>
              </w:rPr>
              <w:t>Y＜100</w:t>
            </w:r>
          </w:p>
        </w:tc>
      </w:tr>
      <w:tr w14:paraId="46402A9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exact"/>
          <w:jc w:val="center"/>
        </w:trPr>
        <w:tc>
          <w:tcPr>
            <w:tcW w:w="2113" w:type="dxa"/>
            <w:vMerge w:val="restart"/>
            <w:vAlign w:val="center"/>
          </w:tcPr>
          <w:p w14:paraId="6978DE97">
            <w:pPr>
              <w:overflowPunct/>
              <w:bidi w:val="0"/>
              <w:spacing w:line="240" w:lineRule="exact"/>
              <w:jc w:val="center"/>
              <w:outlineLvl w:val="9"/>
              <w:rPr>
                <w:rFonts w:hint="eastAsia" w:ascii="宋体" w:hAnsi="宋体" w:eastAsia="宋体" w:cs="宋体"/>
                <w:b/>
                <w:color w:val="000000" w:themeColor="text1"/>
                <w:sz w:val="18"/>
                <w:szCs w:val="18"/>
                <w:highlight w:val="none"/>
                <w14:textFill>
                  <w14:solidFill>
                    <w14:schemeClr w14:val="tx1"/>
                  </w14:solidFill>
                </w14:textFill>
              </w:rPr>
            </w:pPr>
            <w:r>
              <w:rPr>
                <w:rFonts w:hint="eastAsia" w:ascii="宋体" w:hAnsi="宋体" w:eastAsia="宋体" w:cs="宋体"/>
                <w:b/>
                <w:color w:val="000000" w:themeColor="text1"/>
                <w:sz w:val="18"/>
                <w:szCs w:val="18"/>
                <w:highlight w:val="none"/>
                <w14:textFill>
                  <w14:solidFill>
                    <w14:schemeClr w14:val="tx1"/>
                  </w14:solidFill>
                </w14:textFill>
              </w:rPr>
              <w:t>餐饮业</w:t>
            </w:r>
          </w:p>
        </w:tc>
        <w:tc>
          <w:tcPr>
            <w:tcW w:w="1369" w:type="dxa"/>
            <w:vAlign w:val="center"/>
          </w:tcPr>
          <w:p w14:paraId="116ED7D3">
            <w:pPr>
              <w:overflowPunct/>
              <w:bidi w:val="0"/>
              <w:outlineLvl w:val="9"/>
              <w:rPr>
                <w:rFonts w:hint="eastAsia" w:ascii="宋体" w:hAnsi="宋体" w:eastAsia="宋体" w:cs="宋体"/>
                <w:b/>
                <w:color w:val="000000" w:themeColor="text1"/>
                <w:sz w:val="18"/>
                <w:szCs w:val="18"/>
                <w:highlight w:val="none"/>
                <w14:textFill>
                  <w14:solidFill>
                    <w14:schemeClr w14:val="tx1"/>
                  </w14:solidFill>
                </w14:textFill>
              </w:rPr>
            </w:pPr>
            <w:r>
              <w:rPr>
                <w:rFonts w:hint="eastAsia" w:ascii="宋体" w:hAnsi="宋体" w:eastAsia="宋体" w:cs="宋体"/>
                <w:b/>
                <w:color w:val="000000" w:themeColor="text1"/>
                <w:sz w:val="18"/>
                <w:szCs w:val="18"/>
                <w:highlight w:val="none"/>
                <w14:textFill>
                  <w14:solidFill>
                    <w14:schemeClr w14:val="tx1"/>
                  </w14:solidFill>
                </w14:textFill>
              </w:rPr>
              <w:t>从业人员(X)</w:t>
            </w:r>
          </w:p>
        </w:tc>
        <w:tc>
          <w:tcPr>
            <w:tcW w:w="709" w:type="dxa"/>
            <w:vAlign w:val="center"/>
          </w:tcPr>
          <w:p w14:paraId="65C19D99">
            <w:pPr>
              <w:overflowPunct/>
              <w:bidi w:val="0"/>
              <w:outlineLvl w:val="9"/>
              <w:rPr>
                <w:rFonts w:hint="eastAsia" w:ascii="宋体" w:hAnsi="宋体" w:eastAsia="宋体" w:cs="宋体"/>
                <w:b/>
                <w:color w:val="000000" w:themeColor="text1"/>
                <w:sz w:val="18"/>
                <w:szCs w:val="18"/>
                <w:highlight w:val="none"/>
                <w14:textFill>
                  <w14:solidFill>
                    <w14:schemeClr w14:val="tx1"/>
                  </w14:solidFill>
                </w14:textFill>
              </w:rPr>
            </w:pPr>
            <w:r>
              <w:rPr>
                <w:rFonts w:hint="eastAsia" w:ascii="宋体" w:hAnsi="宋体" w:eastAsia="宋体" w:cs="宋体"/>
                <w:b/>
                <w:color w:val="000000" w:themeColor="text1"/>
                <w:sz w:val="18"/>
                <w:szCs w:val="18"/>
                <w:highlight w:val="none"/>
                <w14:textFill>
                  <w14:solidFill>
                    <w14:schemeClr w14:val="tx1"/>
                  </w14:solidFill>
                </w14:textFill>
              </w:rPr>
              <w:t>人</w:t>
            </w:r>
          </w:p>
        </w:tc>
        <w:tc>
          <w:tcPr>
            <w:tcW w:w="1125" w:type="dxa"/>
            <w:vAlign w:val="center"/>
          </w:tcPr>
          <w:p w14:paraId="7D5A784C">
            <w:pPr>
              <w:overflowPunct/>
              <w:bidi w:val="0"/>
              <w:outlineLvl w:val="9"/>
              <w:rPr>
                <w:rFonts w:hint="eastAsia" w:ascii="宋体" w:hAnsi="宋体" w:eastAsia="宋体" w:cs="宋体"/>
                <w:b/>
                <w:color w:val="000000" w:themeColor="text1"/>
                <w:sz w:val="18"/>
                <w:szCs w:val="18"/>
                <w:highlight w:val="none"/>
                <w14:textFill>
                  <w14:solidFill>
                    <w14:schemeClr w14:val="tx1"/>
                  </w14:solidFill>
                </w14:textFill>
              </w:rPr>
            </w:pPr>
            <w:r>
              <w:rPr>
                <w:rFonts w:hint="eastAsia" w:ascii="宋体" w:hAnsi="宋体" w:eastAsia="宋体" w:cs="宋体"/>
                <w:b/>
                <w:color w:val="000000" w:themeColor="text1"/>
                <w:sz w:val="18"/>
                <w:szCs w:val="18"/>
                <w:highlight w:val="none"/>
                <w14:textFill>
                  <w14:solidFill>
                    <w14:schemeClr w14:val="tx1"/>
                  </w14:solidFill>
                </w14:textFill>
              </w:rPr>
              <w:t>X≥300</w:t>
            </w:r>
          </w:p>
        </w:tc>
        <w:tc>
          <w:tcPr>
            <w:tcW w:w="1701" w:type="dxa"/>
            <w:vAlign w:val="center"/>
          </w:tcPr>
          <w:p w14:paraId="20C719B4">
            <w:pPr>
              <w:overflowPunct/>
              <w:bidi w:val="0"/>
              <w:ind w:left="1" w:leftChars="-51" w:hanging="108" w:hangingChars="60"/>
              <w:outlineLvl w:val="9"/>
              <w:rPr>
                <w:rFonts w:hint="eastAsia" w:ascii="宋体" w:hAnsi="宋体" w:eastAsia="宋体" w:cs="宋体"/>
                <w:b/>
                <w:color w:val="000000" w:themeColor="text1"/>
                <w:sz w:val="18"/>
                <w:szCs w:val="18"/>
                <w:highlight w:val="none"/>
                <w14:textFill>
                  <w14:solidFill>
                    <w14:schemeClr w14:val="tx1"/>
                  </w14:solidFill>
                </w14:textFill>
              </w:rPr>
            </w:pPr>
            <w:r>
              <w:rPr>
                <w:rFonts w:hint="eastAsia" w:ascii="宋体" w:hAnsi="宋体" w:eastAsia="宋体" w:cs="宋体"/>
                <w:b/>
                <w:color w:val="000000" w:themeColor="text1"/>
                <w:sz w:val="18"/>
                <w:szCs w:val="18"/>
                <w:highlight w:val="none"/>
                <w14:textFill>
                  <w14:solidFill>
                    <w14:schemeClr w14:val="tx1"/>
                  </w14:solidFill>
                </w14:textFill>
              </w:rPr>
              <w:t xml:space="preserve">100≤X＜300 </w:t>
            </w:r>
          </w:p>
        </w:tc>
        <w:tc>
          <w:tcPr>
            <w:tcW w:w="1426" w:type="dxa"/>
            <w:vAlign w:val="center"/>
          </w:tcPr>
          <w:p w14:paraId="34776AD1">
            <w:pPr>
              <w:overflowPunct/>
              <w:bidi w:val="0"/>
              <w:outlineLvl w:val="9"/>
              <w:rPr>
                <w:rFonts w:hint="eastAsia" w:ascii="宋体" w:hAnsi="宋体" w:eastAsia="宋体" w:cs="宋体"/>
                <w:b/>
                <w:color w:val="000000" w:themeColor="text1"/>
                <w:sz w:val="18"/>
                <w:szCs w:val="18"/>
                <w:highlight w:val="none"/>
                <w14:textFill>
                  <w14:solidFill>
                    <w14:schemeClr w14:val="tx1"/>
                  </w14:solidFill>
                </w14:textFill>
              </w:rPr>
            </w:pPr>
            <w:r>
              <w:rPr>
                <w:rFonts w:hint="eastAsia" w:ascii="宋体" w:hAnsi="宋体" w:eastAsia="宋体" w:cs="宋体"/>
                <w:b/>
                <w:color w:val="000000" w:themeColor="text1"/>
                <w:sz w:val="18"/>
                <w:szCs w:val="18"/>
                <w:highlight w:val="none"/>
                <w14:textFill>
                  <w14:solidFill>
                    <w14:schemeClr w14:val="tx1"/>
                  </w14:solidFill>
                </w14:textFill>
              </w:rPr>
              <w:t xml:space="preserve"> 10≤X＜100</w:t>
            </w:r>
          </w:p>
        </w:tc>
        <w:tc>
          <w:tcPr>
            <w:tcW w:w="992" w:type="dxa"/>
            <w:vAlign w:val="center"/>
          </w:tcPr>
          <w:p w14:paraId="0A4E3236">
            <w:pPr>
              <w:overflowPunct/>
              <w:bidi w:val="0"/>
              <w:outlineLvl w:val="9"/>
              <w:rPr>
                <w:rFonts w:hint="eastAsia" w:ascii="宋体" w:hAnsi="宋体" w:eastAsia="宋体" w:cs="宋体"/>
                <w:b/>
                <w:color w:val="000000" w:themeColor="text1"/>
                <w:sz w:val="18"/>
                <w:szCs w:val="18"/>
                <w:highlight w:val="none"/>
                <w14:textFill>
                  <w14:solidFill>
                    <w14:schemeClr w14:val="tx1"/>
                  </w14:solidFill>
                </w14:textFill>
              </w:rPr>
            </w:pPr>
            <w:r>
              <w:rPr>
                <w:rFonts w:hint="eastAsia" w:ascii="宋体" w:hAnsi="宋体" w:eastAsia="宋体" w:cs="宋体"/>
                <w:b/>
                <w:color w:val="000000" w:themeColor="text1"/>
                <w:sz w:val="18"/>
                <w:szCs w:val="18"/>
                <w:highlight w:val="none"/>
                <w14:textFill>
                  <w14:solidFill>
                    <w14:schemeClr w14:val="tx1"/>
                  </w14:solidFill>
                </w14:textFill>
              </w:rPr>
              <w:t>X＜10</w:t>
            </w:r>
          </w:p>
        </w:tc>
      </w:tr>
      <w:tr w14:paraId="7E2FB9A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exact"/>
          <w:jc w:val="center"/>
        </w:trPr>
        <w:tc>
          <w:tcPr>
            <w:tcW w:w="2113" w:type="dxa"/>
            <w:vMerge w:val="continue"/>
            <w:vAlign w:val="center"/>
          </w:tcPr>
          <w:p w14:paraId="5B1412A7">
            <w:pPr>
              <w:overflowPunct/>
              <w:bidi w:val="0"/>
              <w:jc w:val="center"/>
              <w:outlineLvl w:val="9"/>
              <w:rPr>
                <w:rFonts w:hint="eastAsia" w:ascii="宋体" w:hAnsi="宋体" w:eastAsia="宋体" w:cs="宋体"/>
                <w:b/>
                <w:color w:val="000000" w:themeColor="text1"/>
                <w:sz w:val="18"/>
                <w:szCs w:val="18"/>
                <w:highlight w:val="none"/>
                <w14:textFill>
                  <w14:solidFill>
                    <w14:schemeClr w14:val="tx1"/>
                  </w14:solidFill>
                </w14:textFill>
              </w:rPr>
            </w:pPr>
          </w:p>
        </w:tc>
        <w:tc>
          <w:tcPr>
            <w:tcW w:w="1369" w:type="dxa"/>
            <w:vAlign w:val="center"/>
          </w:tcPr>
          <w:p w14:paraId="0F70C1EA">
            <w:pPr>
              <w:overflowPunct/>
              <w:bidi w:val="0"/>
              <w:spacing w:line="240" w:lineRule="exact"/>
              <w:outlineLvl w:val="9"/>
              <w:rPr>
                <w:rFonts w:hint="eastAsia" w:ascii="宋体" w:hAnsi="宋体" w:eastAsia="宋体" w:cs="宋体"/>
                <w:b/>
                <w:color w:val="000000" w:themeColor="text1"/>
                <w:sz w:val="18"/>
                <w:szCs w:val="18"/>
                <w:highlight w:val="none"/>
                <w14:textFill>
                  <w14:solidFill>
                    <w14:schemeClr w14:val="tx1"/>
                  </w14:solidFill>
                </w14:textFill>
              </w:rPr>
            </w:pPr>
            <w:r>
              <w:rPr>
                <w:rFonts w:hint="eastAsia" w:ascii="宋体" w:hAnsi="宋体" w:eastAsia="宋体" w:cs="宋体"/>
                <w:b/>
                <w:color w:val="000000" w:themeColor="text1"/>
                <w:sz w:val="18"/>
                <w:szCs w:val="18"/>
                <w:highlight w:val="none"/>
                <w14:textFill>
                  <w14:solidFill>
                    <w14:schemeClr w14:val="tx1"/>
                  </w14:solidFill>
                </w14:textFill>
              </w:rPr>
              <w:t>营业收入(Y)</w:t>
            </w:r>
          </w:p>
        </w:tc>
        <w:tc>
          <w:tcPr>
            <w:tcW w:w="709" w:type="dxa"/>
            <w:vAlign w:val="center"/>
          </w:tcPr>
          <w:p w14:paraId="3F7E37CD">
            <w:pPr>
              <w:overflowPunct/>
              <w:bidi w:val="0"/>
              <w:outlineLvl w:val="9"/>
              <w:rPr>
                <w:rFonts w:hint="eastAsia" w:ascii="宋体" w:hAnsi="宋体" w:eastAsia="宋体" w:cs="宋体"/>
                <w:b/>
                <w:color w:val="000000" w:themeColor="text1"/>
                <w:sz w:val="18"/>
                <w:szCs w:val="18"/>
                <w:highlight w:val="none"/>
                <w14:textFill>
                  <w14:solidFill>
                    <w14:schemeClr w14:val="tx1"/>
                  </w14:solidFill>
                </w14:textFill>
              </w:rPr>
            </w:pPr>
            <w:r>
              <w:rPr>
                <w:rFonts w:hint="eastAsia" w:ascii="宋体" w:hAnsi="宋体" w:eastAsia="宋体" w:cs="宋体"/>
                <w:b/>
                <w:color w:val="000000" w:themeColor="text1"/>
                <w:sz w:val="18"/>
                <w:szCs w:val="18"/>
                <w:highlight w:val="none"/>
                <w14:textFill>
                  <w14:solidFill>
                    <w14:schemeClr w14:val="tx1"/>
                  </w14:solidFill>
                </w14:textFill>
              </w:rPr>
              <w:t>万元</w:t>
            </w:r>
          </w:p>
        </w:tc>
        <w:tc>
          <w:tcPr>
            <w:tcW w:w="1125" w:type="dxa"/>
            <w:vAlign w:val="center"/>
          </w:tcPr>
          <w:p w14:paraId="5439704F">
            <w:pPr>
              <w:overflowPunct/>
              <w:bidi w:val="0"/>
              <w:outlineLvl w:val="9"/>
              <w:rPr>
                <w:rFonts w:hint="eastAsia" w:ascii="宋体" w:hAnsi="宋体" w:eastAsia="宋体" w:cs="宋体"/>
                <w:b/>
                <w:color w:val="000000" w:themeColor="text1"/>
                <w:sz w:val="18"/>
                <w:szCs w:val="18"/>
                <w:highlight w:val="none"/>
                <w14:textFill>
                  <w14:solidFill>
                    <w14:schemeClr w14:val="tx1"/>
                  </w14:solidFill>
                </w14:textFill>
              </w:rPr>
            </w:pPr>
            <w:r>
              <w:rPr>
                <w:rFonts w:hint="eastAsia" w:ascii="宋体" w:hAnsi="宋体" w:eastAsia="宋体" w:cs="宋体"/>
                <w:b/>
                <w:color w:val="000000" w:themeColor="text1"/>
                <w:sz w:val="18"/>
                <w:szCs w:val="18"/>
                <w:highlight w:val="none"/>
                <w14:textFill>
                  <w14:solidFill>
                    <w14:schemeClr w14:val="tx1"/>
                  </w14:solidFill>
                </w14:textFill>
              </w:rPr>
              <w:t>Y≥10000</w:t>
            </w:r>
          </w:p>
        </w:tc>
        <w:tc>
          <w:tcPr>
            <w:tcW w:w="1701" w:type="dxa"/>
            <w:vAlign w:val="center"/>
          </w:tcPr>
          <w:p w14:paraId="217B7627">
            <w:pPr>
              <w:overflowPunct/>
              <w:bidi w:val="0"/>
              <w:outlineLvl w:val="9"/>
              <w:rPr>
                <w:rFonts w:hint="eastAsia" w:ascii="宋体" w:hAnsi="宋体" w:eastAsia="宋体" w:cs="宋体"/>
                <w:b/>
                <w:color w:val="000000" w:themeColor="text1"/>
                <w:sz w:val="18"/>
                <w:szCs w:val="18"/>
                <w:highlight w:val="none"/>
                <w14:textFill>
                  <w14:solidFill>
                    <w14:schemeClr w14:val="tx1"/>
                  </w14:solidFill>
                </w14:textFill>
              </w:rPr>
            </w:pPr>
            <w:r>
              <w:rPr>
                <w:rFonts w:hint="eastAsia" w:ascii="宋体" w:hAnsi="宋体" w:eastAsia="宋体" w:cs="宋体"/>
                <w:b/>
                <w:color w:val="000000" w:themeColor="text1"/>
                <w:sz w:val="18"/>
                <w:szCs w:val="18"/>
                <w:highlight w:val="none"/>
                <w14:textFill>
                  <w14:solidFill>
                    <w14:schemeClr w14:val="tx1"/>
                  </w14:solidFill>
                </w14:textFill>
              </w:rPr>
              <w:t>2000≤Y＜10000</w:t>
            </w:r>
          </w:p>
        </w:tc>
        <w:tc>
          <w:tcPr>
            <w:tcW w:w="1426" w:type="dxa"/>
            <w:vAlign w:val="center"/>
          </w:tcPr>
          <w:p w14:paraId="5B1F797E">
            <w:pPr>
              <w:overflowPunct/>
              <w:bidi w:val="0"/>
              <w:outlineLvl w:val="9"/>
              <w:rPr>
                <w:rFonts w:hint="eastAsia" w:ascii="宋体" w:hAnsi="宋体" w:eastAsia="宋体" w:cs="宋体"/>
                <w:b/>
                <w:color w:val="000000" w:themeColor="text1"/>
                <w:sz w:val="18"/>
                <w:szCs w:val="18"/>
                <w:highlight w:val="none"/>
                <w14:textFill>
                  <w14:solidFill>
                    <w14:schemeClr w14:val="tx1"/>
                  </w14:solidFill>
                </w14:textFill>
              </w:rPr>
            </w:pPr>
            <w:r>
              <w:rPr>
                <w:rFonts w:hint="eastAsia" w:ascii="宋体" w:hAnsi="宋体" w:eastAsia="宋体" w:cs="宋体"/>
                <w:b/>
                <w:color w:val="000000" w:themeColor="text1"/>
                <w:sz w:val="18"/>
                <w:szCs w:val="18"/>
                <w:highlight w:val="none"/>
                <w14:textFill>
                  <w14:solidFill>
                    <w14:schemeClr w14:val="tx1"/>
                  </w14:solidFill>
                </w14:textFill>
              </w:rPr>
              <w:t xml:space="preserve"> 100≤Y＜2000</w:t>
            </w:r>
          </w:p>
        </w:tc>
        <w:tc>
          <w:tcPr>
            <w:tcW w:w="992" w:type="dxa"/>
            <w:vAlign w:val="center"/>
          </w:tcPr>
          <w:p w14:paraId="0DE3FAE4">
            <w:pPr>
              <w:overflowPunct/>
              <w:bidi w:val="0"/>
              <w:outlineLvl w:val="9"/>
              <w:rPr>
                <w:rFonts w:hint="eastAsia" w:ascii="宋体" w:hAnsi="宋体" w:eastAsia="宋体" w:cs="宋体"/>
                <w:b/>
                <w:color w:val="000000" w:themeColor="text1"/>
                <w:sz w:val="18"/>
                <w:szCs w:val="18"/>
                <w:highlight w:val="none"/>
                <w14:textFill>
                  <w14:solidFill>
                    <w14:schemeClr w14:val="tx1"/>
                  </w14:solidFill>
                </w14:textFill>
              </w:rPr>
            </w:pPr>
            <w:r>
              <w:rPr>
                <w:rFonts w:hint="eastAsia" w:ascii="宋体" w:hAnsi="宋体" w:eastAsia="宋体" w:cs="宋体"/>
                <w:b/>
                <w:color w:val="000000" w:themeColor="text1"/>
                <w:sz w:val="18"/>
                <w:szCs w:val="18"/>
                <w:highlight w:val="none"/>
                <w14:textFill>
                  <w14:solidFill>
                    <w14:schemeClr w14:val="tx1"/>
                  </w14:solidFill>
                </w14:textFill>
              </w:rPr>
              <w:t>Y＜100</w:t>
            </w:r>
          </w:p>
        </w:tc>
      </w:tr>
      <w:tr w14:paraId="6F7BE92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exact"/>
          <w:jc w:val="center"/>
        </w:trPr>
        <w:tc>
          <w:tcPr>
            <w:tcW w:w="2113" w:type="dxa"/>
            <w:vMerge w:val="restart"/>
            <w:vAlign w:val="center"/>
          </w:tcPr>
          <w:p w14:paraId="27EFA81C">
            <w:pPr>
              <w:overflowPunct/>
              <w:bidi w:val="0"/>
              <w:spacing w:line="240" w:lineRule="exact"/>
              <w:jc w:val="center"/>
              <w:outlineLvl w:val="9"/>
              <w:rPr>
                <w:rFonts w:hint="eastAsia" w:ascii="宋体" w:hAnsi="宋体" w:eastAsia="宋体" w:cs="宋体"/>
                <w:b/>
                <w:color w:val="000000" w:themeColor="text1"/>
                <w:sz w:val="18"/>
                <w:szCs w:val="18"/>
                <w:highlight w:val="none"/>
                <w14:textFill>
                  <w14:solidFill>
                    <w14:schemeClr w14:val="tx1"/>
                  </w14:solidFill>
                </w14:textFill>
              </w:rPr>
            </w:pPr>
            <w:r>
              <w:rPr>
                <w:rFonts w:hint="eastAsia" w:ascii="宋体" w:hAnsi="宋体" w:eastAsia="宋体" w:cs="宋体"/>
                <w:b/>
                <w:color w:val="000000" w:themeColor="text1"/>
                <w:sz w:val="18"/>
                <w:szCs w:val="18"/>
                <w:highlight w:val="none"/>
                <w14:textFill>
                  <w14:solidFill>
                    <w14:schemeClr w14:val="tx1"/>
                  </w14:solidFill>
                </w14:textFill>
              </w:rPr>
              <w:t>信息传输业*</w:t>
            </w:r>
          </w:p>
        </w:tc>
        <w:tc>
          <w:tcPr>
            <w:tcW w:w="1369" w:type="dxa"/>
            <w:vAlign w:val="center"/>
          </w:tcPr>
          <w:p w14:paraId="3FCFE947">
            <w:pPr>
              <w:overflowPunct/>
              <w:bidi w:val="0"/>
              <w:outlineLvl w:val="9"/>
              <w:rPr>
                <w:rFonts w:hint="eastAsia" w:ascii="宋体" w:hAnsi="宋体" w:eastAsia="宋体" w:cs="宋体"/>
                <w:b/>
                <w:color w:val="000000" w:themeColor="text1"/>
                <w:sz w:val="18"/>
                <w:szCs w:val="18"/>
                <w:highlight w:val="none"/>
                <w14:textFill>
                  <w14:solidFill>
                    <w14:schemeClr w14:val="tx1"/>
                  </w14:solidFill>
                </w14:textFill>
              </w:rPr>
            </w:pPr>
            <w:r>
              <w:rPr>
                <w:rFonts w:hint="eastAsia" w:ascii="宋体" w:hAnsi="宋体" w:eastAsia="宋体" w:cs="宋体"/>
                <w:b/>
                <w:color w:val="000000" w:themeColor="text1"/>
                <w:sz w:val="18"/>
                <w:szCs w:val="18"/>
                <w:highlight w:val="none"/>
                <w14:textFill>
                  <w14:solidFill>
                    <w14:schemeClr w14:val="tx1"/>
                  </w14:solidFill>
                </w14:textFill>
              </w:rPr>
              <w:t>从业人员(X)</w:t>
            </w:r>
          </w:p>
        </w:tc>
        <w:tc>
          <w:tcPr>
            <w:tcW w:w="709" w:type="dxa"/>
            <w:vAlign w:val="center"/>
          </w:tcPr>
          <w:p w14:paraId="52538244">
            <w:pPr>
              <w:overflowPunct/>
              <w:bidi w:val="0"/>
              <w:outlineLvl w:val="9"/>
              <w:rPr>
                <w:rFonts w:hint="eastAsia" w:ascii="宋体" w:hAnsi="宋体" w:eastAsia="宋体" w:cs="宋体"/>
                <w:b/>
                <w:color w:val="000000" w:themeColor="text1"/>
                <w:sz w:val="18"/>
                <w:szCs w:val="18"/>
                <w:highlight w:val="none"/>
                <w14:textFill>
                  <w14:solidFill>
                    <w14:schemeClr w14:val="tx1"/>
                  </w14:solidFill>
                </w14:textFill>
              </w:rPr>
            </w:pPr>
            <w:r>
              <w:rPr>
                <w:rFonts w:hint="eastAsia" w:ascii="宋体" w:hAnsi="宋体" w:eastAsia="宋体" w:cs="宋体"/>
                <w:b/>
                <w:color w:val="000000" w:themeColor="text1"/>
                <w:sz w:val="18"/>
                <w:szCs w:val="18"/>
                <w:highlight w:val="none"/>
                <w14:textFill>
                  <w14:solidFill>
                    <w14:schemeClr w14:val="tx1"/>
                  </w14:solidFill>
                </w14:textFill>
              </w:rPr>
              <w:t>人</w:t>
            </w:r>
          </w:p>
        </w:tc>
        <w:tc>
          <w:tcPr>
            <w:tcW w:w="1125" w:type="dxa"/>
            <w:vAlign w:val="center"/>
          </w:tcPr>
          <w:p w14:paraId="56BEE8B0">
            <w:pPr>
              <w:overflowPunct/>
              <w:bidi w:val="0"/>
              <w:outlineLvl w:val="9"/>
              <w:rPr>
                <w:rFonts w:hint="eastAsia" w:ascii="宋体" w:hAnsi="宋体" w:eastAsia="宋体" w:cs="宋体"/>
                <w:b/>
                <w:color w:val="000000" w:themeColor="text1"/>
                <w:sz w:val="18"/>
                <w:szCs w:val="18"/>
                <w:highlight w:val="none"/>
                <w14:textFill>
                  <w14:solidFill>
                    <w14:schemeClr w14:val="tx1"/>
                  </w14:solidFill>
                </w14:textFill>
              </w:rPr>
            </w:pPr>
            <w:r>
              <w:rPr>
                <w:rFonts w:hint="eastAsia" w:ascii="宋体" w:hAnsi="宋体" w:eastAsia="宋体" w:cs="宋体"/>
                <w:b/>
                <w:color w:val="000000" w:themeColor="text1"/>
                <w:sz w:val="18"/>
                <w:szCs w:val="18"/>
                <w:highlight w:val="none"/>
                <w14:textFill>
                  <w14:solidFill>
                    <w14:schemeClr w14:val="tx1"/>
                  </w14:solidFill>
                </w14:textFill>
              </w:rPr>
              <w:t>X≥2000</w:t>
            </w:r>
          </w:p>
        </w:tc>
        <w:tc>
          <w:tcPr>
            <w:tcW w:w="1701" w:type="dxa"/>
            <w:vAlign w:val="center"/>
          </w:tcPr>
          <w:p w14:paraId="5A748DCB">
            <w:pPr>
              <w:overflowPunct/>
              <w:bidi w:val="0"/>
              <w:outlineLvl w:val="9"/>
              <w:rPr>
                <w:rFonts w:hint="eastAsia" w:ascii="宋体" w:hAnsi="宋体" w:eastAsia="宋体" w:cs="宋体"/>
                <w:b/>
                <w:color w:val="000000" w:themeColor="text1"/>
                <w:sz w:val="18"/>
                <w:szCs w:val="18"/>
                <w:highlight w:val="none"/>
                <w14:textFill>
                  <w14:solidFill>
                    <w14:schemeClr w14:val="tx1"/>
                  </w14:solidFill>
                </w14:textFill>
              </w:rPr>
            </w:pPr>
            <w:r>
              <w:rPr>
                <w:rFonts w:hint="eastAsia" w:ascii="宋体" w:hAnsi="宋体" w:eastAsia="宋体" w:cs="宋体"/>
                <w:b/>
                <w:color w:val="000000" w:themeColor="text1"/>
                <w:sz w:val="18"/>
                <w:szCs w:val="18"/>
                <w:highlight w:val="none"/>
                <w14:textFill>
                  <w14:solidFill>
                    <w14:schemeClr w14:val="tx1"/>
                  </w14:solidFill>
                </w14:textFill>
              </w:rPr>
              <w:t>100≤X＜2000</w:t>
            </w:r>
          </w:p>
        </w:tc>
        <w:tc>
          <w:tcPr>
            <w:tcW w:w="1426" w:type="dxa"/>
            <w:vAlign w:val="center"/>
          </w:tcPr>
          <w:p w14:paraId="7D21759D">
            <w:pPr>
              <w:overflowPunct/>
              <w:bidi w:val="0"/>
              <w:outlineLvl w:val="9"/>
              <w:rPr>
                <w:rFonts w:hint="eastAsia" w:ascii="宋体" w:hAnsi="宋体" w:eastAsia="宋体" w:cs="宋体"/>
                <w:b/>
                <w:color w:val="000000" w:themeColor="text1"/>
                <w:sz w:val="18"/>
                <w:szCs w:val="18"/>
                <w:highlight w:val="none"/>
                <w14:textFill>
                  <w14:solidFill>
                    <w14:schemeClr w14:val="tx1"/>
                  </w14:solidFill>
                </w14:textFill>
              </w:rPr>
            </w:pPr>
            <w:r>
              <w:rPr>
                <w:rFonts w:hint="eastAsia" w:ascii="宋体" w:hAnsi="宋体" w:eastAsia="宋体" w:cs="宋体"/>
                <w:b/>
                <w:color w:val="000000" w:themeColor="text1"/>
                <w:sz w:val="18"/>
                <w:szCs w:val="18"/>
                <w:highlight w:val="none"/>
                <w14:textFill>
                  <w14:solidFill>
                    <w14:schemeClr w14:val="tx1"/>
                  </w14:solidFill>
                </w14:textFill>
              </w:rPr>
              <w:t xml:space="preserve"> 10≤X＜100</w:t>
            </w:r>
          </w:p>
        </w:tc>
        <w:tc>
          <w:tcPr>
            <w:tcW w:w="992" w:type="dxa"/>
            <w:vAlign w:val="center"/>
          </w:tcPr>
          <w:p w14:paraId="62A4C6BC">
            <w:pPr>
              <w:overflowPunct/>
              <w:bidi w:val="0"/>
              <w:outlineLvl w:val="9"/>
              <w:rPr>
                <w:rFonts w:hint="eastAsia" w:ascii="宋体" w:hAnsi="宋体" w:eastAsia="宋体" w:cs="宋体"/>
                <w:b/>
                <w:color w:val="000000" w:themeColor="text1"/>
                <w:sz w:val="18"/>
                <w:szCs w:val="18"/>
                <w:highlight w:val="none"/>
                <w14:textFill>
                  <w14:solidFill>
                    <w14:schemeClr w14:val="tx1"/>
                  </w14:solidFill>
                </w14:textFill>
              </w:rPr>
            </w:pPr>
            <w:r>
              <w:rPr>
                <w:rFonts w:hint="eastAsia" w:ascii="宋体" w:hAnsi="宋体" w:eastAsia="宋体" w:cs="宋体"/>
                <w:b/>
                <w:color w:val="000000" w:themeColor="text1"/>
                <w:sz w:val="18"/>
                <w:szCs w:val="18"/>
                <w:highlight w:val="none"/>
                <w14:textFill>
                  <w14:solidFill>
                    <w14:schemeClr w14:val="tx1"/>
                  </w14:solidFill>
                </w14:textFill>
              </w:rPr>
              <w:t>X＜10</w:t>
            </w:r>
          </w:p>
        </w:tc>
      </w:tr>
      <w:tr w14:paraId="38F2394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exact"/>
          <w:jc w:val="center"/>
        </w:trPr>
        <w:tc>
          <w:tcPr>
            <w:tcW w:w="2113" w:type="dxa"/>
            <w:vMerge w:val="continue"/>
            <w:vAlign w:val="center"/>
          </w:tcPr>
          <w:p w14:paraId="08ADF909">
            <w:pPr>
              <w:overflowPunct/>
              <w:bidi w:val="0"/>
              <w:jc w:val="center"/>
              <w:outlineLvl w:val="9"/>
              <w:rPr>
                <w:rFonts w:hint="eastAsia" w:ascii="宋体" w:hAnsi="宋体" w:eastAsia="宋体" w:cs="宋体"/>
                <w:b/>
                <w:color w:val="000000" w:themeColor="text1"/>
                <w:sz w:val="18"/>
                <w:szCs w:val="18"/>
                <w:highlight w:val="none"/>
                <w14:textFill>
                  <w14:solidFill>
                    <w14:schemeClr w14:val="tx1"/>
                  </w14:solidFill>
                </w14:textFill>
              </w:rPr>
            </w:pPr>
          </w:p>
        </w:tc>
        <w:tc>
          <w:tcPr>
            <w:tcW w:w="1369" w:type="dxa"/>
            <w:vAlign w:val="center"/>
          </w:tcPr>
          <w:p w14:paraId="6B659063">
            <w:pPr>
              <w:overflowPunct/>
              <w:bidi w:val="0"/>
              <w:spacing w:line="240" w:lineRule="exact"/>
              <w:outlineLvl w:val="9"/>
              <w:rPr>
                <w:rFonts w:hint="eastAsia" w:ascii="宋体" w:hAnsi="宋体" w:eastAsia="宋体" w:cs="宋体"/>
                <w:b/>
                <w:color w:val="000000" w:themeColor="text1"/>
                <w:sz w:val="18"/>
                <w:szCs w:val="18"/>
                <w:highlight w:val="none"/>
                <w14:textFill>
                  <w14:solidFill>
                    <w14:schemeClr w14:val="tx1"/>
                  </w14:solidFill>
                </w14:textFill>
              </w:rPr>
            </w:pPr>
            <w:r>
              <w:rPr>
                <w:rFonts w:hint="eastAsia" w:ascii="宋体" w:hAnsi="宋体" w:eastAsia="宋体" w:cs="宋体"/>
                <w:b/>
                <w:color w:val="000000" w:themeColor="text1"/>
                <w:sz w:val="18"/>
                <w:szCs w:val="18"/>
                <w:highlight w:val="none"/>
                <w14:textFill>
                  <w14:solidFill>
                    <w14:schemeClr w14:val="tx1"/>
                  </w14:solidFill>
                </w14:textFill>
              </w:rPr>
              <w:t>营业收入(Y)</w:t>
            </w:r>
          </w:p>
        </w:tc>
        <w:tc>
          <w:tcPr>
            <w:tcW w:w="709" w:type="dxa"/>
            <w:vAlign w:val="center"/>
          </w:tcPr>
          <w:p w14:paraId="0F727E36">
            <w:pPr>
              <w:overflowPunct/>
              <w:bidi w:val="0"/>
              <w:outlineLvl w:val="9"/>
              <w:rPr>
                <w:rFonts w:hint="eastAsia" w:ascii="宋体" w:hAnsi="宋体" w:eastAsia="宋体" w:cs="宋体"/>
                <w:b/>
                <w:color w:val="000000" w:themeColor="text1"/>
                <w:sz w:val="18"/>
                <w:szCs w:val="18"/>
                <w:highlight w:val="none"/>
                <w14:textFill>
                  <w14:solidFill>
                    <w14:schemeClr w14:val="tx1"/>
                  </w14:solidFill>
                </w14:textFill>
              </w:rPr>
            </w:pPr>
            <w:r>
              <w:rPr>
                <w:rFonts w:hint="eastAsia" w:ascii="宋体" w:hAnsi="宋体" w:eastAsia="宋体" w:cs="宋体"/>
                <w:b/>
                <w:color w:val="000000" w:themeColor="text1"/>
                <w:sz w:val="18"/>
                <w:szCs w:val="18"/>
                <w:highlight w:val="none"/>
                <w14:textFill>
                  <w14:solidFill>
                    <w14:schemeClr w14:val="tx1"/>
                  </w14:solidFill>
                </w14:textFill>
              </w:rPr>
              <w:t>万元</w:t>
            </w:r>
          </w:p>
        </w:tc>
        <w:tc>
          <w:tcPr>
            <w:tcW w:w="1125" w:type="dxa"/>
            <w:vAlign w:val="center"/>
          </w:tcPr>
          <w:p w14:paraId="333C43BD">
            <w:pPr>
              <w:overflowPunct/>
              <w:bidi w:val="0"/>
              <w:outlineLvl w:val="9"/>
              <w:rPr>
                <w:rFonts w:hint="eastAsia" w:ascii="宋体" w:hAnsi="宋体" w:eastAsia="宋体" w:cs="宋体"/>
                <w:b/>
                <w:color w:val="000000" w:themeColor="text1"/>
                <w:sz w:val="18"/>
                <w:szCs w:val="18"/>
                <w:highlight w:val="none"/>
                <w14:textFill>
                  <w14:solidFill>
                    <w14:schemeClr w14:val="tx1"/>
                  </w14:solidFill>
                </w14:textFill>
              </w:rPr>
            </w:pPr>
            <w:r>
              <w:rPr>
                <w:rFonts w:hint="eastAsia" w:ascii="宋体" w:hAnsi="宋体" w:eastAsia="宋体" w:cs="宋体"/>
                <w:b/>
                <w:color w:val="000000" w:themeColor="text1"/>
                <w:sz w:val="18"/>
                <w:szCs w:val="18"/>
                <w:highlight w:val="none"/>
                <w14:textFill>
                  <w14:solidFill>
                    <w14:schemeClr w14:val="tx1"/>
                  </w14:solidFill>
                </w14:textFill>
              </w:rPr>
              <w:t>Y≥100000</w:t>
            </w:r>
          </w:p>
        </w:tc>
        <w:tc>
          <w:tcPr>
            <w:tcW w:w="1701" w:type="dxa"/>
            <w:vAlign w:val="center"/>
          </w:tcPr>
          <w:p w14:paraId="08C8F7EA">
            <w:pPr>
              <w:overflowPunct/>
              <w:bidi w:val="0"/>
              <w:outlineLvl w:val="9"/>
              <w:rPr>
                <w:rFonts w:hint="eastAsia" w:ascii="宋体" w:hAnsi="宋体" w:eastAsia="宋体" w:cs="宋体"/>
                <w:b/>
                <w:color w:val="000000" w:themeColor="text1"/>
                <w:sz w:val="18"/>
                <w:szCs w:val="18"/>
                <w:highlight w:val="none"/>
                <w14:textFill>
                  <w14:solidFill>
                    <w14:schemeClr w14:val="tx1"/>
                  </w14:solidFill>
                </w14:textFill>
              </w:rPr>
            </w:pPr>
            <w:r>
              <w:rPr>
                <w:rFonts w:hint="eastAsia" w:ascii="宋体" w:hAnsi="宋体" w:eastAsia="宋体" w:cs="宋体"/>
                <w:b/>
                <w:color w:val="000000" w:themeColor="text1"/>
                <w:sz w:val="18"/>
                <w:szCs w:val="18"/>
                <w:highlight w:val="none"/>
                <w14:textFill>
                  <w14:solidFill>
                    <w14:schemeClr w14:val="tx1"/>
                  </w14:solidFill>
                </w14:textFill>
              </w:rPr>
              <w:t xml:space="preserve"> 1000≤Y＜100000</w:t>
            </w:r>
          </w:p>
        </w:tc>
        <w:tc>
          <w:tcPr>
            <w:tcW w:w="1426" w:type="dxa"/>
            <w:vAlign w:val="center"/>
          </w:tcPr>
          <w:p w14:paraId="74490134">
            <w:pPr>
              <w:overflowPunct/>
              <w:bidi w:val="0"/>
              <w:outlineLvl w:val="9"/>
              <w:rPr>
                <w:rFonts w:hint="eastAsia" w:ascii="宋体" w:hAnsi="宋体" w:eastAsia="宋体" w:cs="宋体"/>
                <w:b/>
                <w:color w:val="000000" w:themeColor="text1"/>
                <w:sz w:val="18"/>
                <w:szCs w:val="18"/>
                <w:highlight w:val="none"/>
                <w14:textFill>
                  <w14:solidFill>
                    <w14:schemeClr w14:val="tx1"/>
                  </w14:solidFill>
                </w14:textFill>
              </w:rPr>
            </w:pPr>
            <w:r>
              <w:rPr>
                <w:rFonts w:hint="eastAsia" w:ascii="宋体" w:hAnsi="宋体" w:eastAsia="宋体" w:cs="宋体"/>
                <w:b/>
                <w:color w:val="000000" w:themeColor="text1"/>
                <w:sz w:val="18"/>
                <w:szCs w:val="18"/>
                <w:highlight w:val="none"/>
                <w14:textFill>
                  <w14:solidFill>
                    <w14:schemeClr w14:val="tx1"/>
                  </w14:solidFill>
                </w14:textFill>
              </w:rPr>
              <w:t xml:space="preserve"> 100≤Y＜1000</w:t>
            </w:r>
          </w:p>
        </w:tc>
        <w:tc>
          <w:tcPr>
            <w:tcW w:w="992" w:type="dxa"/>
            <w:vAlign w:val="center"/>
          </w:tcPr>
          <w:p w14:paraId="462A0AAE">
            <w:pPr>
              <w:overflowPunct/>
              <w:bidi w:val="0"/>
              <w:outlineLvl w:val="9"/>
              <w:rPr>
                <w:rFonts w:hint="eastAsia" w:ascii="宋体" w:hAnsi="宋体" w:eastAsia="宋体" w:cs="宋体"/>
                <w:b/>
                <w:color w:val="000000" w:themeColor="text1"/>
                <w:sz w:val="18"/>
                <w:szCs w:val="18"/>
                <w:highlight w:val="none"/>
                <w14:textFill>
                  <w14:solidFill>
                    <w14:schemeClr w14:val="tx1"/>
                  </w14:solidFill>
                </w14:textFill>
              </w:rPr>
            </w:pPr>
            <w:r>
              <w:rPr>
                <w:rFonts w:hint="eastAsia" w:ascii="宋体" w:hAnsi="宋体" w:eastAsia="宋体" w:cs="宋体"/>
                <w:b/>
                <w:color w:val="000000" w:themeColor="text1"/>
                <w:sz w:val="18"/>
                <w:szCs w:val="18"/>
                <w:highlight w:val="none"/>
                <w14:textFill>
                  <w14:solidFill>
                    <w14:schemeClr w14:val="tx1"/>
                  </w14:solidFill>
                </w14:textFill>
              </w:rPr>
              <w:t>Y＜100</w:t>
            </w:r>
          </w:p>
        </w:tc>
      </w:tr>
      <w:tr w14:paraId="7AE1BDB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exact"/>
          <w:jc w:val="center"/>
        </w:trPr>
        <w:tc>
          <w:tcPr>
            <w:tcW w:w="2113" w:type="dxa"/>
            <w:vMerge w:val="restart"/>
            <w:vAlign w:val="center"/>
          </w:tcPr>
          <w:p w14:paraId="4F77CAB4">
            <w:pPr>
              <w:overflowPunct/>
              <w:bidi w:val="0"/>
              <w:spacing w:line="240" w:lineRule="exact"/>
              <w:jc w:val="center"/>
              <w:outlineLvl w:val="9"/>
              <w:rPr>
                <w:rFonts w:hint="eastAsia" w:ascii="宋体" w:hAnsi="宋体" w:eastAsia="宋体" w:cs="宋体"/>
                <w:b/>
                <w:color w:val="000000" w:themeColor="text1"/>
                <w:spacing w:val="-12"/>
                <w:sz w:val="18"/>
                <w:szCs w:val="18"/>
                <w:highlight w:val="none"/>
                <w14:textFill>
                  <w14:solidFill>
                    <w14:schemeClr w14:val="tx1"/>
                  </w14:solidFill>
                </w14:textFill>
              </w:rPr>
            </w:pPr>
            <w:r>
              <w:rPr>
                <w:rFonts w:hint="eastAsia" w:ascii="宋体" w:hAnsi="宋体" w:eastAsia="宋体" w:cs="宋体"/>
                <w:b/>
                <w:color w:val="000000" w:themeColor="text1"/>
                <w:spacing w:val="-12"/>
                <w:sz w:val="18"/>
                <w:szCs w:val="18"/>
                <w:highlight w:val="none"/>
                <w14:textFill>
                  <w14:solidFill>
                    <w14:schemeClr w14:val="tx1"/>
                  </w14:solidFill>
                </w14:textFill>
              </w:rPr>
              <w:t>软件和信息技术服</w:t>
            </w:r>
            <w:r>
              <w:rPr>
                <w:rFonts w:hint="eastAsia" w:ascii="宋体" w:hAnsi="宋体" w:eastAsia="宋体" w:cs="宋体"/>
                <w:b/>
                <w:color w:val="000000" w:themeColor="text1"/>
                <w:sz w:val="18"/>
                <w:szCs w:val="18"/>
                <w:highlight w:val="none"/>
                <w14:textFill>
                  <w14:solidFill>
                    <w14:schemeClr w14:val="tx1"/>
                  </w14:solidFill>
                </w14:textFill>
              </w:rPr>
              <w:t>务业</w:t>
            </w:r>
          </w:p>
        </w:tc>
        <w:tc>
          <w:tcPr>
            <w:tcW w:w="1369" w:type="dxa"/>
            <w:vAlign w:val="center"/>
          </w:tcPr>
          <w:p w14:paraId="70C26314">
            <w:pPr>
              <w:overflowPunct/>
              <w:bidi w:val="0"/>
              <w:outlineLvl w:val="9"/>
              <w:rPr>
                <w:rFonts w:hint="eastAsia" w:ascii="宋体" w:hAnsi="宋体" w:eastAsia="宋体" w:cs="宋体"/>
                <w:b/>
                <w:color w:val="000000" w:themeColor="text1"/>
                <w:sz w:val="18"/>
                <w:szCs w:val="18"/>
                <w:highlight w:val="none"/>
                <w14:textFill>
                  <w14:solidFill>
                    <w14:schemeClr w14:val="tx1"/>
                  </w14:solidFill>
                </w14:textFill>
              </w:rPr>
            </w:pPr>
            <w:r>
              <w:rPr>
                <w:rFonts w:hint="eastAsia" w:ascii="宋体" w:hAnsi="宋体" w:eastAsia="宋体" w:cs="宋体"/>
                <w:b/>
                <w:color w:val="000000" w:themeColor="text1"/>
                <w:sz w:val="18"/>
                <w:szCs w:val="18"/>
                <w:highlight w:val="none"/>
                <w14:textFill>
                  <w14:solidFill>
                    <w14:schemeClr w14:val="tx1"/>
                  </w14:solidFill>
                </w14:textFill>
              </w:rPr>
              <w:t>从业人员(X)</w:t>
            </w:r>
          </w:p>
        </w:tc>
        <w:tc>
          <w:tcPr>
            <w:tcW w:w="709" w:type="dxa"/>
            <w:vAlign w:val="center"/>
          </w:tcPr>
          <w:p w14:paraId="6DF654D5">
            <w:pPr>
              <w:overflowPunct/>
              <w:bidi w:val="0"/>
              <w:outlineLvl w:val="9"/>
              <w:rPr>
                <w:rFonts w:hint="eastAsia" w:ascii="宋体" w:hAnsi="宋体" w:eastAsia="宋体" w:cs="宋体"/>
                <w:b/>
                <w:color w:val="000000" w:themeColor="text1"/>
                <w:sz w:val="18"/>
                <w:szCs w:val="18"/>
                <w:highlight w:val="none"/>
                <w14:textFill>
                  <w14:solidFill>
                    <w14:schemeClr w14:val="tx1"/>
                  </w14:solidFill>
                </w14:textFill>
              </w:rPr>
            </w:pPr>
            <w:r>
              <w:rPr>
                <w:rFonts w:hint="eastAsia" w:ascii="宋体" w:hAnsi="宋体" w:eastAsia="宋体" w:cs="宋体"/>
                <w:b/>
                <w:color w:val="000000" w:themeColor="text1"/>
                <w:sz w:val="18"/>
                <w:szCs w:val="18"/>
                <w:highlight w:val="none"/>
                <w14:textFill>
                  <w14:solidFill>
                    <w14:schemeClr w14:val="tx1"/>
                  </w14:solidFill>
                </w14:textFill>
              </w:rPr>
              <w:t>人</w:t>
            </w:r>
          </w:p>
        </w:tc>
        <w:tc>
          <w:tcPr>
            <w:tcW w:w="1125" w:type="dxa"/>
            <w:vAlign w:val="center"/>
          </w:tcPr>
          <w:p w14:paraId="7BF0F9B4">
            <w:pPr>
              <w:overflowPunct/>
              <w:bidi w:val="0"/>
              <w:outlineLvl w:val="9"/>
              <w:rPr>
                <w:rFonts w:hint="eastAsia" w:ascii="宋体" w:hAnsi="宋体" w:eastAsia="宋体" w:cs="宋体"/>
                <w:b/>
                <w:color w:val="000000" w:themeColor="text1"/>
                <w:sz w:val="18"/>
                <w:szCs w:val="18"/>
                <w:highlight w:val="none"/>
                <w14:textFill>
                  <w14:solidFill>
                    <w14:schemeClr w14:val="tx1"/>
                  </w14:solidFill>
                </w14:textFill>
              </w:rPr>
            </w:pPr>
            <w:r>
              <w:rPr>
                <w:rFonts w:hint="eastAsia" w:ascii="宋体" w:hAnsi="宋体" w:eastAsia="宋体" w:cs="宋体"/>
                <w:b/>
                <w:color w:val="000000" w:themeColor="text1"/>
                <w:sz w:val="18"/>
                <w:szCs w:val="18"/>
                <w:highlight w:val="none"/>
                <w14:textFill>
                  <w14:solidFill>
                    <w14:schemeClr w14:val="tx1"/>
                  </w14:solidFill>
                </w14:textFill>
              </w:rPr>
              <w:t>X≥300</w:t>
            </w:r>
          </w:p>
        </w:tc>
        <w:tc>
          <w:tcPr>
            <w:tcW w:w="1701" w:type="dxa"/>
            <w:vAlign w:val="center"/>
          </w:tcPr>
          <w:p w14:paraId="0E922BF3">
            <w:pPr>
              <w:overflowPunct/>
              <w:bidi w:val="0"/>
              <w:ind w:left="1" w:leftChars="-51" w:hanging="108" w:hangingChars="60"/>
              <w:outlineLvl w:val="9"/>
              <w:rPr>
                <w:rFonts w:hint="eastAsia" w:ascii="宋体" w:hAnsi="宋体" w:eastAsia="宋体" w:cs="宋体"/>
                <w:b/>
                <w:color w:val="000000" w:themeColor="text1"/>
                <w:sz w:val="18"/>
                <w:szCs w:val="18"/>
                <w:highlight w:val="none"/>
                <w14:textFill>
                  <w14:solidFill>
                    <w14:schemeClr w14:val="tx1"/>
                  </w14:solidFill>
                </w14:textFill>
              </w:rPr>
            </w:pPr>
            <w:r>
              <w:rPr>
                <w:rFonts w:hint="eastAsia" w:ascii="宋体" w:hAnsi="宋体" w:eastAsia="宋体" w:cs="宋体"/>
                <w:b/>
                <w:color w:val="000000" w:themeColor="text1"/>
                <w:sz w:val="18"/>
                <w:szCs w:val="18"/>
                <w:highlight w:val="none"/>
                <w14:textFill>
                  <w14:solidFill>
                    <w14:schemeClr w14:val="tx1"/>
                  </w14:solidFill>
                </w14:textFill>
              </w:rPr>
              <w:t xml:space="preserve">100≤X＜300 </w:t>
            </w:r>
          </w:p>
        </w:tc>
        <w:tc>
          <w:tcPr>
            <w:tcW w:w="1426" w:type="dxa"/>
            <w:vAlign w:val="center"/>
          </w:tcPr>
          <w:p w14:paraId="36CD68A3">
            <w:pPr>
              <w:overflowPunct/>
              <w:bidi w:val="0"/>
              <w:outlineLvl w:val="9"/>
              <w:rPr>
                <w:rFonts w:hint="eastAsia" w:ascii="宋体" w:hAnsi="宋体" w:eastAsia="宋体" w:cs="宋体"/>
                <w:b/>
                <w:color w:val="000000" w:themeColor="text1"/>
                <w:sz w:val="18"/>
                <w:szCs w:val="18"/>
                <w:highlight w:val="none"/>
                <w14:textFill>
                  <w14:solidFill>
                    <w14:schemeClr w14:val="tx1"/>
                  </w14:solidFill>
                </w14:textFill>
              </w:rPr>
            </w:pPr>
            <w:r>
              <w:rPr>
                <w:rFonts w:hint="eastAsia" w:ascii="宋体" w:hAnsi="宋体" w:eastAsia="宋体" w:cs="宋体"/>
                <w:b/>
                <w:color w:val="000000" w:themeColor="text1"/>
                <w:sz w:val="18"/>
                <w:szCs w:val="18"/>
                <w:highlight w:val="none"/>
                <w14:textFill>
                  <w14:solidFill>
                    <w14:schemeClr w14:val="tx1"/>
                  </w14:solidFill>
                </w14:textFill>
              </w:rPr>
              <w:t xml:space="preserve"> 10≤X＜100</w:t>
            </w:r>
          </w:p>
        </w:tc>
        <w:tc>
          <w:tcPr>
            <w:tcW w:w="992" w:type="dxa"/>
            <w:vAlign w:val="center"/>
          </w:tcPr>
          <w:p w14:paraId="2EBDEE6B">
            <w:pPr>
              <w:overflowPunct/>
              <w:bidi w:val="0"/>
              <w:outlineLvl w:val="9"/>
              <w:rPr>
                <w:rFonts w:hint="eastAsia" w:ascii="宋体" w:hAnsi="宋体" w:eastAsia="宋体" w:cs="宋体"/>
                <w:b/>
                <w:color w:val="000000" w:themeColor="text1"/>
                <w:sz w:val="18"/>
                <w:szCs w:val="18"/>
                <w:highlight w:val="none"/>
                <w14:textFill>
                  <w14:solidFill>
                    <w14:schemeClr w14:val="tx1"/>
                  </w14:solidFill>
                </w14:textFill>
              </w:rPr>
            </w:pPr>
            <w:r>
              <w:rPr>
                <w:rFonts w:hint="eastAsia" w:ascii="宋体" w:hAnsi="宋体" w:eastAsia="宋体" w:cs="宋体"/>
                <w:b/>
                <w:color w:val="000000" w:themeColor="text1"/>
                <w:sz w:val="18"/>
                <w:szCs w:val="18"/>
                <w:highlight w:val="none"/>
                <w14:textFill>
                  <w14:solidFill>
                    <w14:schemeClr w14:val="tx1"/>
                  </w14:solidFill>
                </w14:textFill>
              </w:rPr>
              <w:t>X＜10</w:t>
            </w:r>
          </w:p>
        </w:tc>
      </w:tr>
      <w:tr w14:paraId="17A5EB8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exact"/>
          <w:jc w:val="center"/>
        </w:trPr>
        <w:tc>
          <w:tcPr>
            <w:tcW w:w="2113" w:type="dxa"/>
            <w:vMerge w:val="continue"/>
            <w:vAlign w:val="center"/>
          </w:tcPr>
          <w:p w14:paraId="054CAD21">
            <w:pPr>
              <w:overflowPunct/>
              <w:bidi w:val="0"/>
              <w:jc w:val="center"/>
              <w:outlineLvl w:val="9"/>
              <w:rPr>
                <w:rFonts w:hint="eastAsia" w:ascii="宋体" w:hAnsi="宋体" w:eastAsia="宋体" w:cs="宋体"/>
                <w:b/>
                <w:color w:val="000000" w:themeColor="text1"/>
                <w:spacing w:val="-12"/>
                <w:sz w:val="18"/>
                <w:szCs w:val="18"/>
                <w:highlight w:val="none"/>
                <w14:textFill>
                  <w14:solidFill>
                    <w14:schemeClr w14:val="tx1"/>
                  </w14:solidFill>
                </w14:textFill>
              </w:rPr>
            </w:pPr>
          </w:p>
        </w:tc>
        <w:tc>
          <w:tcPr>
            <w:tcW w:w="1369" w:type="dxa"/>
            <w:vAlign w:val="center"/>
          </w:tcPr>
          <w:p w14:paraId="46F16940">
            <w:pPr>
              <w:overflowPunct/>
              <w:bidi w:val="0"/>
              <w:outlineLvl w:val="9"/>
              <w:rPr>
                <w:rFonts w:hint="eastAsia" w:ascii="宋体" w:hAnsi="宋体" w:eastAsia="宋体" w:cs="宋体"/>
                <w:b/>
                <w:color w:val="000000" w:themeColor="text1"/>
                <w:sz w:val="18"/>
                <w:szCs w:val="18"/>
                <w:highlight w:val="none"/>
                <w14:textFill>
                  <w14:solidFill>
                    <w14:schemeClr w14:val="tx1"/>
                  </w14:solidFill>
                </w14:textFill>
              </w:rPr>
            </w:pPr>
            <w:r>
              <w:rPr>
                <w:rFonts w:hint="eastAsia" w:ascii="宋体" w:hAnsi="宋体" w:eastAsia="宋体" w:cs="宋体"/>
                <w:b/>
                <w:color w:val="000000" w:themeColor="text1"/>
                <w:sz w:val="18"/>
                <w:szCs w:val="18"/>
                <w:highlight w:val="none"/>
                <w14:textFill>
                  <w14:solidFill>
                    <w14:schemeClr w14:val="tx1"/>
                  </w14:solidFill>
                </w14:textFill>
              </w:rPr>
              <w:t>营业收入(Y)</w:t>
            </w:r>
          </w:p>
        </w:tc>
        <w:tc>
          <w:tcPr>
            <w:tcW w:w="709" w:type="dxa"/>
            <w:vAlign w:val="center"/>
          </w:tcPr>
          <w:p w14:paraId="423E1546">
            <w:pPr>
              <w:overflowPunct/>
              <w:bidi w:val="0"/>
              <w:outlineLvl w:val="9"/>
              <w:rPr>
                <w:rFonts w:hint="eastAsia" w:ascii="宋体" w:hAnsi="宋体" w:eastAsia="宋体" w:cs="宋体"/>
                <w:b/>
                <w:color w:val="000000" w:themeColor="text1"/>
                <w:sz w:val="18"/>
                <w:szCs w:val="18"/>
                <w:highlight w:val="none"/>
                <w14:textFill>
                  <w14:solidFill>
                    <w14:schemeClr w14:val="tx1"/>
                  </w14:solidFill>
                </w14:textFill>
              </w:rPr>
            </w:pPr>
            <w:r>
              <w:rPr>
                <w:rFonts w:hint="eastAsia" w:ascii="宋体" w:hAnsi="宋体" w:eastAsia="宋体" w:cs="宋体"/>
                <w:b/>
                <w:color w:val="000000" w:themeColor="text1"/>
                <w:sz w:val="18"/>
                <w:szCs w:val="18"/>
                <w:highlight w:val="none"/>
                <w14:textFill>
                  <w14:solidFill>
                    <w14:schemeClr w14:val="tx1"/>
                  </w14:solidFill>
                </w14:textFill>
              </w:rPr>
              <w:t>万元</w:t>
            </w:r>
          </w:p>
        </w:tc>
        <w:tc>
          <w:tcPr>
            <w:tcW w:w="1125" w:type="dxa"/>
            <w:vAlign w:val="center"/>
          </w:tcPr>
          <w:p w14:paraId="40DCF5BD">
            <w:pPr>
              <w:overflowPunct/>
              <w:bidi w:val="0"/>
              <w:outlineLvl w:val="9"/>
              <w:rPr>
                <w:rFonts w:hint="eastAsia" w:ascii="宋体" w:hAnsi="宋体" w:eastAsia="宋体" w:cs="宋体"/>
                <w:b/>
                <w:color w:val="000000" w:themeColor="text1"/>
                <w:sz w:val="18"/>
                <w:szCs w:val="18"/>
                <w:highlight w:val="none"/>
                <w14:textFill>
                  <w14:solidFill>
                    <w14:schemeClr w14:val="tx1"/>
                  </w14:solidFill>
                </w14:textFill>
              </w:rPr>
            </w:pPr>
            <w:r>
              <w:rPr>
                <w:rFonts w:hint="eastAsia" w:ascii="宋体" w:hAnsi="宋体" w:eastAsia="宋体" w:cs="宋体"/>
                <w:b/>
                <w:color w:val="000000" w:themeColor="text1"/>
                <w:sz w:val="18"/>
                <w:szCs w:val="18"/>
                <w:highlight w:val="none"/>
                <w14:textFill>
                  <w14:solidFill>
                    <w14:schemeClr w14:val="tx1"/>
                  </w14:solidFill>
                </w14:textFill>
              </w:rPr>
              <w:t>Y≥10000</w:t>
            </w:r>
          </w:p>
        </w:tc>
        <w:tc>
          <w:tcPr>
            <w:tcW w:w="1701" w:type="dxa"/>
            <w:vAlign w:val="center"/>
          </w:tcPr>
          <w:p w14:paraId="7809CCEF">
            <w:pPr>
              <w:overflowPunct/>
              <w:bidi w:val="0"/>
              <w:outlineLvl w:val="9"/>
              <w:rPr>
                <w:rFonts w:hint="eastAsia" w:ascii="宋体" w:hAnsi="宋体" w:eastAsia="宋体" w:cs="宋体"/>
                <w:b/>
                <w:color w:val="000000" w:themeColor="text1"/>
                <w:sz w:val="18"/>
                <w:szCs w:val="18"/>
                <w:highlight w:val="none"/>
                <w14:textFill>
                  <w14:solidFill>
                    <w14:schemeClr w14:val="tx1"/>
                  </w14:solidFill>
                </w14:textFill>
              </w:rPr>
            </w:pPr>
            <w:r>
              <w:rPr>
                <w:rFonts w:hint="eastAsia" w:ascii="宋体" w:hAnsi="宋体" w:eastAsia="宋体" w:cs="宋体"/>
                <w:b/>
                <w:color w:val="000000" w:themeColor="text1"/>
                <w:sz w:val="18"/>
                <w:szCs w:val="18"/>
                <w:highlight w:val="none"/>
                <w14:textFill>
                  <w14:solidFill>
                    <w14:schemeClr w14:val="tx1"/>
                  </w14:solidFill>
                </w14:textFill>
              </w:rPr>
              <w:t>1000≤Y＜10000</w:t>
            </w:r>
          </w:p>
        </w:tc>
        <w:tc>
          <w:tcPr>
            <w:tcW w:w="1426" w:type="dxa"/>
            <w:vAlign w:val="center"/>
          </w:tcPr>
          <w:p w14:paraId="6286E895">
            <w:pPr>
              <w:overflowPunct/>
              <w:bidi w:val="0"/>
              <w:outlineLvl w:val="9"/>
              <w:rPr>
                <w:rFonts w:hint="eastAsia" w:ascii="宋体" w:hAnsi="宋体" w:eastAsia="宋体" w:cs="宋体"/>
                <w:b/>
                <w:color w:val="000000" w:themeColor="text1"/>
                <w:sz w:val="18"/>
                <w:szCs w:val="18"/>
                <w:highlight w:val="none"/>
                <w14:textFill>
                  <w14:solidFill>
                    <w14:schemeClr w14:val="tx1"/>
                  </w14:solidFill>
                </w14:textFill>
              </w:rPr>
            </w:pPr>
            <w:r>
              <w:rPr>
                <w:rFonts w:hint="eastAsia" w:ascii="宋体" w:hAnsi="宋体" w:eastAsia="宋体" w:cs="宋体"/>
                <w:b/>
                <w:color w:val="000000" w:themeColor="text1"/>
                <w:sz w:val="18"/>
                <w:szCs w:val="18"/>
                <w:highlight w:val="none"/>
                <w14:textFill>
                  <w14:solidFill>
                    <w14:schemeClr w14:val="tx1"/>
                  </w14:solidFill>
                </w14:textFill>
              </w:rPr>
              <w:t xml:space="preserve">  50≤Y＜1000</w:t>
            </w:r>
          </w:p>
        </w:tc>
        <w:tc>
          <w:tcPr>
            <w:tcW w:w="992" w:type="dxa"/>
            <w:vAlign w:val="center"/>
          </w:tcPr>
          <w:p w14:paraId="4AC24ADD">
            <w:pPr>
              <w:overflowPunct/>
              <w:bidi w:val="0"/>
              <w:outlineLvl w:val="9"/>
              <w:rPr>
                <w:rFonts w:hint="eastAsia" w:ascii="宋体" w:hAnsi="宋体" w:eastAsia="宋体" w:cs="宋体"/>
                <w:b/>
                <w:color w:val="000000" w:themeColor="text1"/>
                <w:sz w:val="18"/>
                <w:szCs w:val="18"/>
                <w:highlight w:val="none"/>
                <w14:textFill>
                  <w14:solidFill>
                    <w14:schemeClr w14:val="tx1"/>
                  </w14:solidFill>
                </w14:textFill>
              </w:rPr>
            </w:pPr>
            <w:r>
              <w:rPr>
                <w:rFonts w:hint="eastAsia" w:ascii="宋体" w:hAnsi="宋体" w:eastAsia="宋体" w:cs="宋体"/>
                <w:b/>
                <w:color w:val="000000" w:themeColor="text1"/>
                <w:sz w:val="18"/>
                <w:szCs w:val="18"/>
                <w:highlight w:val="none"/>
                <w14:textFill>
                  <w14:solidFill>
                    <w14:schemeClr w14:val="tx1"/>
                  </w14:solidFill>
                </w14:textFill>
              </w:rPr>
              <w:t>Y＜50</w:t>
            </w:r>
          </w:p>
        </w:tc>
      </w:tr>
      <w:tr w14:paraId="3EA99EF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exact"/>
          <w:jc w:val="center"/>
        </w:trPr>
        <w:tc>
          <w:tcPr>
            <w:tcW w:w="2113" w:type="dxa"/>
            <w:vMerge w:val="restart"/>
            <w:vAlign w:val="center"/>
          </w:tcPr>
          <w:p w14:paraId="62A1A273">
            <w:pPr>
              <w:overflowPunct/>
              <w:bidi w:val="0"/>
              <w:spacing w:line="240" w:lineRule="exact"/>
              <w:jc w:val="center"/>
              <w:outlineLvl w:val="9"/>
              <w:rPr>
                <w:rFonts w:hint="eastAsia" w:ascii="宋体" w:hAnsi="宋体" w:eastAsia="宋体" w:cs="宋体"/>
                <w:b/>
                <w:color w:val="000000" w:themeColor="text1"/>
                <w:sz w:val="18"/>
                <w:szCs w:val="18"/>
                <w:highlight w:val="none"/>
                <w14:textFill>
                  <w14:solidFill>
                    <w14:schemeClr w14:val="tx1"/>
                  </w14:solidFill>
                </w14:textFill>
              </w:rPr>
            </w:pPr>
            <w:r>
              <w:rPr>
                <w:rFonts w:hint="eastAsia" w:ascii="宋体" w:hAnsi="宋体" w:eastAsia="宋体" w:cs="宋体"/>
                <w:b/>
                <w:color w:val="000000" w:themeColor="text1"/>
                <w:sz w:val="18"/>
                <w:szCs w:val="18"/>
                <w:highlight w:val="none"/>
                <w14:textFill>
                  <w14:solidFill>
                    <w14:schemeClr w14:val="tx1"/>
                  </w14:solidFill>
                </w14:textFill>
              </w:rPr>
              <w:t>房地产开发经营</w:t>
            </w:r>
          </w:p>
        </w:tc>
        <w:tc>
          <w:tcPr>
            <w:tcW w:w="1369" w:type="dxa"/>
            <w:vAlign w:val="center"/>
          </w:tcPr>
          <w:p w14:paraId="42492BC9">
            <w:pPr>
              <w:overflowPunct/>
              <w:bidi w:val="0"/>
              <w:outlineLvl w:val="9"/>
              <w:rPr>
                <w:rFonts w:hint="eastAsia" w:ascii="宋体" w:hAnsi="宋体" w:eastAsia="宋体" w:cs="宋体"/>
                <w:b/>
                <w:color w:val="000000" w:themeColor="text1"/>
                <w:sz w:val="18"/>
                <w:szCs w:val="18"/>
                <w:highlight w:val="none"/>
                <w14:textFill>
                  <w14:solidFill>
                    <w14:schemeClr w14:val="tx1"/>
                  </w14:solidFill>
                </w14:textFill>
              </w:rPr>
            </w:pPr>
            <w:r>
              <w:rPr>
                <w:rFonts w:hint="eastAsia" w:ascii="宋体" w:hAnsi="宋体" w:eastAsia="宋体" w:cs="宋体"/>
                <w:b/>
                <w:color w:val="000000" w:themeColor="text1"/>
                <w:sz w:val="18"/>
                <w:szCs w:val="18"/>
                <w:highlight w:val="none"/>
                <w14:textFill>
                  <w14:solidFill>
                    <w14:schemeClr w14:val="tx1"/>
                  </w14:solidFill>
                </w14:textFill>
              </w:rPr>
              <w:t>营业收入(Y)</w:t>
            </w:r>
          </w:p>
        </w:tc>
        <w:tc>
          <w:tcPr>
            <w:tcW w:w="709" w:type="dxa"/>
            <w:vAlign w:val="center"/>
          </w:tcPr>
          <w:p w14:paraId="39B371AE">
            <w:pPr>
              <w:overflowPunct/>
              <w:bidi w:val="0"/>
              <w:outlineLvl w:val="9"/>
              <w:rPr>
                <w:rFonts w:hint="eastAsia" w:ascii="宋体" w:hAnsi="宋体" w:eastAsia="宋体" w:cs="宋体"/>
                <w:b/>
                <w:color w:val="000000" w:themeColor="text1"/>
                <w:sz w:val="18"/>
                <w:szCs w:val="18"/>
                <w:highlight w:val="none"/>
                <w14:textFill>
                  <w14:solidFill>
                    <w14:schemeClr w14:val="tx1"/>
                  </w14:solidFill>
                </w14:textFill>
              </w:rPr>
            </w:pPr>
            <w:r>
              <w:rPr>
                <w:rFonts w:hint="eastAsia" w:ascii="宋体" w:hAnsi="宋体" w:eastAsia="宋体" w:cs="宋体"/>
                <w:b/>
                <w:color w:val="000000" w:themeColor="text1"/>
                <w:sz w:val="18"/>
                <w:szCs w:val="18"/>
                <w:highlight w:val="none"/>
                <w14:textFill>
                  <w14:solidFill>
                    <w14:schemeClr w14:val="tx1"/>
                  </w14:solidFill>
                </w14:textFill>
              </w:rPr>
              <w:t>万元</w:t>
            </w:r>
          </w:p>
        </w:tc>
        <w:tc>
          <w:tcPr>
            <w:tcW w:w="1125" w:type="dxa"/>
            <w:vAlign w:val="center"/>
          </w:tcPr>
          <w:p w14:paraId="0E70B6B4">
            <w:pPr>
              <w:overflowPunct/>
              <w:bidi w:val="0"/>
              <w:outlineLvl w:val="9"/>
              <w:rPr>
                <w:rFonts w:hint="eastAsia" w:ascii="宋体" w:hAnsi="宋体" w:eastAsia="宋体" w:cs="宋体"/>
                <w:b/>
                <w:color w:val="000000" w:themeColor="text1"/>
                <w:sz w:val="18"/>
                <w:szCs w:val="18"/>
                <w:highlight w:val="none"/>
                <w14:textFill>
                  <w14:solidFill>
                    <w14:schemeClr w14:val="tx1"/>
                  </w14:solidFill>
                </w14:textFill>
              </w:rPr>
            </w:pPr>
            <w:r>
              <w:rPr>
                <w:rFonts w:hint="eastAsia" w:ascii="宋体" w:hAnsi="宋体" w:eastAsia="宋体" w:cs="宋体"/>
                <w:b/>
                <w:color w:val="000000" w:themeColor="text1"/>
                <w:sz w:val="18"/>
                <w:szCs w:val="18"/>
                <w:highlight w:val="none"/>
                <w14:textFill>
                  <w14:solidFill>
                    <w14:schemeClr w14:val="tx1"/>
                  </w14:solidFill>
                </w14:textFill>
              </w:rPr>
              <w:t>Y≥200000</w:t>
            </w:r>
          </w:p>
        </w:tc>
        <w:tc>
          <w:tcPr>
            <w:tcW w:w="1701" w:type="dxa"/>
            <w:vAlign w:val="center"/>
          </w:tcPr>
          <w:p w14:paraId="3276F4F4">
            <w:pPr>
              <w:overflowPunct/>
              <w:bidi w:val="0"/>
              <w:outlineLvl w:val="9"/>
              <w:rPr>
                <w:rFonts w:hint="eastAsia" w:ascii="宋体" w:hAnsi="宋体" w:eastAsia="宋体" w:cs="宋体"/>
                <w:b/>
                <w:color w:val="000000" w:themeColor="text1"/>
                <w:sz w:val="18"/>
                <w:szCs w:val="18"/>
                <w:highlight w:val="none"/>
                <w14:textFill>
                  <w14:solidFill>
                    <w14:schemeClr w14:val="tx1"/>
                  </w14:solidFill>
                </w14:textFill>
              </w:rPr>
            </w:pPr>
            <w:r>
              <w:rPr>
                <w:rFonts w:hint="eastAsia" w:ascii="宋体" w:hAnsi="宋体" w:eastAsia="宋体" w:cs="宋体"/>
                <w:b/>
                <w:color w:val="000000" w:themeColor="text1"/>
                <w:sz w:val="18"/>
                <w:szCs w:val="18"/>
                <w:highlight w:val="none"/>
                <w14:textFill>
                  <w14:solidFill>
                    <w14:schemeClr w14:val="tx1"/>
                  </w14:solidFill>
                </w14:textFill>
              </w:rPr>
              <w:t xml:space="preserve"> 1000≤Y＜200000</w:t>
            </w:r>
          </w:p>
        </w:tc>
        <w:tc>
          <w:tcPr>
            <w:tcW w:w="1426" w:type="dxa"/>
            <w:vAlign w:val="center"/>
          </w:tcPr>
          <w:p w14:paraId="18B70234">
            <w:pPr>
              <w:overflowPunct/>
              <w:bidi w:val="0"/>
              <w:outlineLvl w:val="9"/>
              <w:rPr>
                <w:rFonts w:hint="eastAsia" w:ascii="宋体" w:hAnsi="宋体" w:eastAsia="宋体" w:cs="宋体"/>
                <w:b/>
                <w:color w:val="000000" w:themeColor="text1"/>
                <w:sz w:val="18"/>
                <w:szCs w:val="18"/>
                <w:highlight w:val="none"/>
                <w14:textFill>
                  <w14:solidFill>
                    <w14:schemeClr w14:val="tx1"/>
                  </w14:solidFill>
                </w14:textFill>
              </w:rPr>
            </w:pPr>
            <w:r>
              <w:rPr>
                <w:rFonts w:hint="eastAsia" w:ascii="宋体" w:hAnsi="宋体" w:eastAsia="宋体" w:cs="宋体"/>
                <w:b/>
                <w:color w:val="000000" w:themeColor="text1"/>
                <w:sz w:val="18"/>
                <w:szCs w:val="18"/>
                <w:highlight w:val="none"/>
                <w14:textFill>
                  <w14:solidFill>
                    <w14:schemeClr w14:val="tx1"/>
                  </w14:solidFill>
                </w14:textFill>
              </w:rPr>
              <w:t xml:space="preserve"> 100≤Y＜1000</w:t>
            </w:r>
          </w:p>
        </w:tc>
        <w:tc>
          <w:tcPr>
            <w:tcW w:w="992" w:type="dxa"/>
            <w:vAlign w:val="center"/>
          </w:tcPr>
          <w:p w14:paraId="3B88C792">
            <w:pPr>
              <w:overflowPunct/>
              <w:bidi w:val="0"/>
              <w:outlineLvl w:val="9"/>
              <w:rPr>
                <w:rFonts w:hint="eastAsia" w:ascii="宋体" w:hAnsi="宋体" w:eastAsia="宋体" w:cs="宋体"/>
                <w:b/>
                <w:color w:val="000000" w:themeColor="text1"/>
                <w:sz w:val="18"/>
                <w:szCs w:val="18"/>
                <w:highlight w:val="none"/>
                <w14:textFill>
                  <w14:solidFill>
                    <w14:schemeClr w14:val="tx1"/>
                  </w14:solidFill>
                </w14:textFill>
              </w:rPr>
            </w:pPr>
            <w:r>
              <w:rPr>
                <w:rFonts w:hint="eastAsia" w:ascii="宋体" w:hAnsi="宋体" w:eastAsia="宋体" w:cs="宋体"/>
                <w:b/>
                <w:color w:val="000000" w:themeColor="text1"/>
                <w:sz w:val="18"/>
                <w:szCs w:val="18"/>
                <w:highlight w:val="none"/>
                <w14:textFill>
                  <w14:solidFill>
                    <w14:schemeClr w14:val="tx1"/>
                  </w14:solidFill>
                </w14:textFill>
              </w:rPr>
              <w:t>Y＜100</w:t>
            </w:r>
          </w:p>
        </w:tc>
      </w:tr>
      <w:tr w14:paraId="60D5FB0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exact"/>
          <w:jc w:val="center"/>
        </w:trPr>
        <w:tc>
          <w:tcPr>
            <w:tcW w:w="2113" w:type="dxa"/>
            <w:vMerge w:val="continue"/>
            <w:vAlign w:val="center"/>
          </w:tcPr>
          <w:p w14:paraId="44E4ACF3">
            <w:pPr>
              <w:overflowPunct/>
              <w:bidi w:val="0"/>
              <w:jc w:val="center"/>
              <w:outlineLvl w:val="9"/>
              <w:rPr>
                <w:rFonts w:hint="eastAsia" w:ascii="宋体" w:hAnsi="宋体" w:eastAsia="宋体" w:cs="宋体"/>
                <w:b/>
                <w:color w:val="000000" w:themeColor="text1"/>
                <w:sz w:val="18"/>
                <w:szCs w:val="18"/>
                <w:highlight w:val="none"/>
                <w14:textFill>
                  <w14:solidFill>
                    <w14:schemeClr w14:val="tx1"/>
                  </w14:solidFill>
                </w14:textFill>
              </w:rPr>
            </w:pPr>
          </w:p>
        </w:tc>
        <w:tc>
          <w:tcPr>
            <w:tcW w:w="1369" w:type="dxa"/>
            <w:vAlign w:val="center"/>
          </w:tcPr>
          <w:p w14:paraId="64FDEA7A">
            <w:pPr>
              <w:overflowPunct/>
              <w:bidi w:val="0"/>
              <w:spacing w:line="240" w:lineRule="exact"/>
              <w:outlineLvl w:val="9"/>
              <w:rPr>
                <w:rFonts w:hint="eastAsia" w:ascii="宋体" w:hAnsi="宋体" w:eastAsia="宋体" w:cs="宋体"/>
                <w:b/>
                <w:color w:val="000000" w:themeColor="text1"/>
                <w:sz w:val="18"/>
                <w:szCs w:val="18"/>
                <w:highlight w:val="none"/>
                <w14:textFill>
                  <w14:solidFill>
                    <w14:schemeClr w14:val="tx1"/>
                  </w14:solidFill>
                </w14:textFill>
              </w:rPr>
            </w:pPr>
            <w:r>
              <w:rPr>
                <w:rFonts w:hint="eastAsia" w:ascii="宋体" w:hAnsi="宋体" w:eastAsia="宋体" w:cs="宋体"/>
                <w:b/>
                <w:color w:val="000000" w:themeColor="text1"/>
                <w:sz w:val="18"/>
                <w:szCs w:val="18"/>
                <w:highlight w:val="none"/>
                <w14:textFill>
                  <w14:solidFill>
                    <w14:schemeClr w14:val="tx1"/>
                  </w14:solidFill>
                </w14:textFill>
              </w:rPr>
              <w:t>资产总额(Z)</w:t>
            </w:r>
          </w:p>
        </w:tc>
        <w:tc>
          <w:tcPr>
            <w:tcW w:w="709" w:type="dxa"/>
            <w:vAlign w:val="center"/>
          </w:tcPr>
          <w:p w14:paraId="6B67936F">
            <w:pPr>
              <w:overflowPunct/>
              <w:bidi w:val="0"/>
              <w:outlineLvl w:val="9"/>
              <w:rPr>
                <w:rFonts w:hint="eastAsia" w:ascii="宋体" w:hAnsi="宋体" w:eastAsia="宋体" w:cs="宋体"/>
                <w:b/>
                <w:color w:val="000000" w:themeColor="text1"/>
                <w:sz w:val="18"/>
                <w:szCs w:val="18"/>
                <w:highlight w:val="none"/>
                <w14:textFill>
                  <w14:solidFill>
                    <w14:schemeClr w14:val="tx1"/>
                  </w14:solidFill>
                </w14:textFill>
              </w:rPr>
            </w:pPr>
            <w:r>
              <w:rPr>
                <w:rFonts w:hint="eastAsia" w:ascii="宋体" w:hAnsi="宋体" w:eastAsia="宋体" w:cs="宋体"/>
                <w:b/>
                <w:color w:val="000000" w:themeColor="text1"/>
                <w:sz w:val="18"/>
                <w:szCs w:val="18"/>
                <w:highlight w:val="none"/>
                <w14:textFill>
                  <w14:solidFill>
                    <w14:schemeClr w14:val="tx1"/>
                  </w14:solidFill>
                </w14:textFill>
              </w:rPr>
              <w:t>万元</w:t>
            </w:r>
          </w:p>
        </w:tc>
        <w:tc>
          <w:tcPr>
            <w:tcW w:w="1125" w:type="dxa"/>
            <w:vAlign w:val="center"/>
          </w:tcPr>
          <w:p w14:paraId="490DE159">
            <w:pPr>
              <w:overflowPunct/>
              <w:bidi w:val="0"/>
              <w:outlineLvl w:val="9"/>
              <w:rPr>
                <w:rFonts w:hint="eastAsia" w:ascii="宋体" w:hAnsi="宋体" w:eastAsia="宋体" w:cs="宋体"/>
                <w:b/>
                <w:color w:val="000000" w:themeColor="text1"/>
                <w:sz w:val="18"/>
                <w:szCs w:val="18"/>
                <w:highlight w:val="none"/>
                <w14:textFill>
                  <w14:solidFill>
                    <w14:schemeClr w14:val="tx1"/>
                  </w14:solidFill>
                </w14:textFill>
              </w:rPr>
            </w:pPr>
            <w:r>
              <w:rPr>
                <w:rFonts w:hint="eastAsia" w:ascii="宋体" w:hAnsi="宋体" w:eastAsia="宋体" w:cs="宋体"/>
                <w:b/>
                <w:color w:val="000000" w:themeColor="text1"/>
                <w:sz w:val="18"/>
                <w:szCs w:val="18"/>
                <w:highlight w:val="none"/>
                <w14:textFill>
                  <w14:solidFill>
                    <w14:schemeClr w14:val="tx1"/>
                  </w14:solidFill>
                </w14:textFill>
              </w:rPr>
              <w:t>Z≥10000</w:t>
            </w:r>
          </w:p>
        </w:tc>
        <w:tc>
          <w:tcPr>
            <w:tcW w:w="1701" w:type="dxa"/>
            <w:vAlign w:val="center"/>
          </w:tcPr>
          <w:p w14:paraId="4C229E27">
            <w:pPr>
              <w:overflowPunct/>
              <w:bidi w:val="0"/>
              <w:outlineLvl w:val="9"/>
              <w:rPr>
                <w:rFonts w:hint="eastAsia" w:ascii="宋体" w:hAnsi="宋体" w:eastAsia="宋体" w:cs="宋体"/>
                <w:b/>
                <w:color w:val="000000" w:themeColor="text1"/>
                <w:sz w:val="18"/>
                <w:szCs w:val="18"/>
                <w:highlight w:val="none"/>
                <w14:textFill>
                  <w14:solidFill>
                    <w14:schemeClr w14:val="tx1"/>
                  </w14:solidFill>
                </w14:textFill>
              </w:rPr>
            </w:pPr>
            <w:r>
              <w:rPr>
                <w:rFonts w:hint="eastAsia" w:ascii="宋体" w:hAnsi="宋体" w:eastAsia="宋体" w:cs="宋体"/>
                <w:b/>
                <w:color w:val="000000" w:themeColor="text1"/>
                <w:sz w:val="18"/>
                <w:szCs w:val="18"/>
                <w:highlight w:val="none"/>
                <w14:textFill>
                  <w14:solidFill>
                    <w14:schemeClr w14:val="tx1"/>
                  </w14:solidFill>
                </w14:textFill>
              </w:rPr>
              <w:t>5000≤Z＜10000</w:t>
            </w:r>
          </w:p>
        </w:tc>
        <w:tc>
          <w:tcPr>
            <w:tcW w:w="1426" w:type="dxa"/>
            <w:vAlign w:val="center"/>
          </w:tcPr>
          <w:p w14:paraId="1C8323C9">
            <w:pPr>
              <w:overflowPunct/>
              <w:bidi w:val="0"/>
              <w:outlineLvl w:val="9"/>
              <w:rPr>
                <w:rFonts w:hint="eastAsia" w:ascii="宋体" w:hAnsi="宋体" w:eastAsia="宋体" w:cs="宋体"/>
                <w:b/>
                <w:color w:val="000000" w:themeColor="text1"/>
                <w:sz w:val="18"/>
                <w:szCs w:val="18"/>
                <w:highlight w:val="none"/>
                <w14:textFill>
                  <w14:solidFill>
                    <w14:schemeClr w14:val="tx1"/>
                  </w14:solidFill>
                </w14:textFill>
              </w:rPr>
            </w:pPr>
            <w:r>
              <w:rPr>
                <w:rFonts w:hint="eastAsia" w:ascii="宋体" w:hAnsi="宋体" w:eastAsia="宋体" w:cs="宋体"/>
                <w:b/>
                <w:color w:val="000000" w:themeColor="text1"/>
                <w:sz w:val="18"/>
                <w:szCs w:val="18"/>
                <w:highlight w:val="none"/>
                <w14:textFill>
                  <w14:solidFill>
                    <w14:schemeClr w14:val="tx1"/>
                  </w14:solidFill>
                </w14:textFill>
              </w:rPr>
              <w:t xml:space="preserve">2000≤Z＜5000   </w:t>
            </w:r>
          </w:p>
        </w:tc>
        <w:tc>
          <w:tcPr>
            <w:tcW w:w="992" w:type="dxa"/>
            <w:vAlign w:val="center"/>
          </w:tcPr>
          <w:p w14:paraId="5385A6AF">
            <w:pPr>
              <w:overflowPunct/>
              <w:bidi w:val="0"/>
              <w:outlineLvl w:val="9"/>
              <w:rPr>
                <w:rFonts w:hint="eastAsia" w:ascii="宋体" w:hAnsi="宋体" w:eastAsia="宋体" w:cs="宋体"/>
                <w:b/>
                <w:color w:val="000000" w:themeColor="text1"/>
                <w:sz w:val="18"/>
                <w:szCs w:val="18"/>
                <w:highlight w:val="none"/>
                <w14:textFill>
                  <w14:solidFill>
                    <w14:schemeClr w14:val="tx1"/>
                  </w14:solidFill>
                </w14:textFill>
              </w:rPr>
            </w:pPr>
            <w:r>
              <w:rPr>
                <w:rFonts w:hint="eastAsia" w:ascii="宋体" w:hAnsi="宋体" w:eastAsia="宋体" w:cs="宋体"/>
                <w:b/>
                <w:color w:val="000000" w:themeColor="text1"/>
                <w:sz w:val="18"/>
                <w:szCs w:val="18"/>
                <w:highlight w:val="none"/>
                <w14:textFill>
                  <w14:solidFill>
                    <w14:schemeClr w14:val="tx1"/>
                  </w14:solidFill>
                </w14:textFill>
              </w:rPr>
              <w:t>Z＜2000</w:t>
            </w:r>
          </w:p>
        </w:tc>
      </w:tr>
      <w:tr w14:paraId="191A82B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exact"/>
          <w:jc w:val="center"/>
        </w:trPr>
        <w:tc>
          <w:tcPr>
            <w:tcW w:w="2113" w:type="dxa"/>
            <w:vMerge w:val="restart"/>
            <w:vAlign w:val="center"/>
          </w:tcPr>
          <w:p w14:paraId="2E5BA717">
            <w:pPr>
              <w:overflowPunct/>
              <w:bidi w:val="0"/>
              <w:spacing w:line="240" w:lineRule="exact"/>
              <w:jc w:val="center"/>
              <w:outlineLvl w:val="9"/>
              <w:rPr>
                <w:rFonts w:hint="eastAsia" w:ascii="宋体" w:hAnsi="宋体" w:eastAsia="宋体" w:cs="宋体"/>
                <w:b/>
                <w:color w:val="000000" w:themeColor="text1"/>
                <w:sz w:val="18"/>
                <w:szCs w:val="18"/>
                <w:highlight w:val="none"/>
                <w14:textFill>
                  <w14:solidFill>
                    <w14:schemeClr w14:val="tx1"/>
                  </w14:solidFill>
                </w14:textFill>
              </w:rPr>
            </w:pPr>
            <w:r>
              <w:rPr>
                <w:rFonts w:hint="eastAsia" w:ascii="宋体" w:hAnsi="宋体" w:eastAsia="宋体" w:cs="宋体"/>
                <w:b/>
                <w:color w:val="000000" w:themeColor="text1"/>
                <w:sz w:val="18"/>
                <w:szCs w:val="18"/>
                <w:highlight w:val="none"/>
                <w14:textFill>
                  <w14:solidFill>
                    <w14:schemeClr w14:val="tx1"/>
                  </w14:solidFill>
                </w14:textFill>
              </w:rPr>
              <w:t>物业管理</w:t>
            </w:r>
          </w:p>
        </w:tc>
        <w:tc>
          <w:tcPr>
            <w:tcW w:w="1369" w:type="dxa"/>
            <w:vAlign w:val="center"/>
          </w:tcPr>
          <w:p w14:paraId="34AB2388">
            <w:pPr>
              <w:overflowPunct/>
              <w:bidi w:val="0"/>
              <w:outlineLvl w:val="9"/>
              <w:rPr>
                <w:rFonts w:hint="eastAsia" w:ascii="宋体" w:hAnsi="宋体" w:eastAsia="宋体" w:cs="宋体"/>
                <w:b/>
                <w:color w:val="000000" w:themeColor="text1"/>
                <w:sz w:val="18"/>
                <w:szCs w:val="18"/>
                <w:highlight w:val="none"/>
                <w14:textFill>
                  <w14:solidFill>
                    <w14:schemeClr w14:val="tx1"/>
                  </w14:solidFill>
                </w14:textFill>
              </w:rPr>
            </w:pPr>
            <w:r>
              <w:rPr>
                <w:rFonts w:hint="eastAsia" w:ascii="宋体" w:hAnsi="宋体" w:eastAsia="宋体" w:cs="宋体"/>
                <w:b/>
                <w:color w:val="000000" w:themeColor="text1"/>
                <w:sz w:val="18"/>
                <w:szCs w:val="18"/>
                <w:highlight w:val="none"/>
                <w14:textFill>
                  <w14:solidFill>
                    <w14:schemeClr w14:val="tx1"/>
                  </w14:solidFill>
                </w14:textFill>
              </w:rPr>
              <w:t>从业人员(X)</w:t>
            </w:r>
          </w:p>
        </w:tc>
        <w:tc>
          <w:tcPr>
            <w:tcW w:w="709" w:type="dxa"/>
            <w:vAlign w:val="center"/>
          </w:tcPr>
          <w:p w14:paraId="25DB50EF">
            <w:pPr>
              <w:overflowPunct/>
              <w:bidi w:val="0"/>
              <w:outlineLvl w:val="9"/>
              <w:rPr>
                <w:rFonts w:hint="eastAsia" w:ascii="宋体" w:hAnsi="宋体" w:eastAsia="宋体" w:cs="宋体"/>
                <w:b/>
                <w:color w:val="000000" w:themeColor="text1"/>
                <w:sz w:val="18"/>
                <w:szCs w:val="18"/>
                <w:highlight w:val="none"/>
                <w14:textFill>
                  <w14:solidFill>
                    <w14:schemeClr w14:val="tx1"/>
                  </w14:solidFill>
                </w14:textFill>
              </w:rPr>
            </w:pPr>
            <w:r>
              <w:rPr>
                <w:rFonts w:hint="eastAsia" w:ascii="宋体" w:hAnsi="宋体" w:eastAsia="宋体" w:cs="宋体"/>
                <w:b/>
                <w:color w:val="000000" w:themeColor="text1"/>
                <w:sz w:val="18"/>
                <w:szCs w:val="18"/>
                <w:highlight w:val="none"/>
                <w14:textFill>
                  <w14:solidFill>
                    <w14:schemeClr w14:val="tx1"/>
                  </w14:solidFill>
                </w14:textFill>
              </w:rPr>
              <w:t>人</w:t>
            </w:r>
          </w:p>
        </w:tc>
        <w:tc>
          <w:tcPr>
            <w:tcW w:w="1125" w:type="dxa"/>
            <w:vAlign w:val="center"/>
          </w:tcPr>
          <w:p w14:paraId="403D7C60">
            <w:pPr>
              <w:overflowPunct/>
              <w:bidi w:val="0"/>
              <w:outlineLvl w:val="9"/>
              <w:rPr>
                <w:rFonts w:hint="eastAsia" w:ascii="宋体" w:hAnsi="宋体" w:eastAsia="宋体" w:cs="宋体"/>
                <w:b/>
                <w:color w:val="000000" w:themeColor="text1"/>
                <w:sz w:val="18"/>
                <w:szCs w:val="18"/>
                <w:highlight w:val="none"/>
                <w14:textFill>
                  <w14:solidFill>
                    <w14:schemeClr w14:val="tx1"/>
                  </w14:solidFill>
                </w14:textFill>
              </w:rPr>
            </w:pPr>
            <w:r>
              <w:rPr>
                <w:rFonts w:hint="eastAsia" w:ascii="宋体" w:hAnsi="宋体" w:eastAsia="宋体" w:cs="宋体"/>
                <w:b/>
                <w:color w:val="000000" w:themeColor="text1"/>
                <w:sz w:val="18"/>
                <w:szCs w:val="18"/>
                <w:highlight w:val="none"/>
                <w14:textFill>
                  <w14:solidFill>
                    <w14:schemeClr w14:val="tx1"/>
                  </w14:solidFill>
                </w14:textFill>
              </w:rPr>
              <w:t>X≥1000</w:t>
            </w:r>
          </w:p>
        </w:tc>
        <w:tc>
          <w:tcPr>
            <w:tcW w:w="1701" w:type="dxa"/>
            <w:vAlign w:val="center"/>
          </w:tcPr>
          <w:p w14:paraId="4DC709F8">
            <w:pPr>
              <w:overflowPunct/>
              <w:bidi w:val="0"/>
              <w:outlineLvl w:val="9"/>
              <w:rPr>
                <w:rFonts w:hint="eastAsia" w:ascii="宋体" w:hAnsi="宋体" w:eastAsia="宋体" w:cs="宋体"/>
                <w:b/>
                <w:color w:val="000000" w:themeColor="text1"/>
                <w:sz w:val="18"/>
                <w:szCs w:val="18"/>
                <w:highlight w:val="none"/>
                <w14:textFill>
                  <w14:solidFill>
                    <w14:schemeClr w14:val="tx1"/>
                  </w14:solidFill>
                </w14:textFill>
              </w:rPr>
            </w:pPr>
            <w:r>
              <w:rPr>
                <w:rFonts w:hint="eastAsia" w:ascii="宋体" w:hAnsi="宋体" w:eastAsia="宋体" w:cs="宋体"/>
                <w:b/>
                <w:color w:val="000000" w:themeColor="text1"/>
                <w:sz w:val="18"/>
                <w:szCs w:val="18"/>
                <w:highlight w:val="none"/>
                <w14:textFill>
                  <w14:solidFill>
                    <w14:schemeClr w14:val="tx1"/>
                  </w14:solidFill>
                </w14:textFill>
              </w:rPr>
              <w:t>300≤X＜1000</w:t>
            </w:r>
          </w:p>
        </w:tc>
        <w:tc>
          <w:tcPr>
            <w:tcW w:w="1426" w:type="dxa"/>
            <w:vAlign w:val="center"/>
          </w:tcPr>
          <w:p w14:paraId="41C1CB8F">
            <w:pPr>
              <w:overflowPunct/>
              <w:bidi w:val="0"/>
              <w:outlineLvl w:val="9"/>
              <w:rPr>
                <w:rFonts w:hint="eastAsia" w:ascii="宋体" w:hAnsi="宋体" w:eastAsia="宋体" w:cs="宋体"/>
                <w:b/>
                <w:color w:val="000000" w:themeColor="text1"/>
                <w:sz w:val="18"/>
                <w:szCs w:val="18"/>
                <w:highlight w:val="none"/>
                <w14:textFill>
                  <w14:solidFill>
                    <w14:schemeClr w14:val="tx1"/>
                  </w14:solidFill>
                </w14:textFill>
              </w:rPr>
            </w:pPr>
            <w:r>
              <w:rPr>
                <w:rFonts w:hint="eastAsia" w:ascii="宋体" w:hAnsi="宋体" w:eastAsia="宋体" w:cs="宋体"/>
                <w:b/>
                <w:color w:val="000000" w:themeColor="text1"/>
                <w:sz w:val="18"/>
                <w:szCs w:val="18"/>
                <w:highlight w:val="none"/>
                <w14:textFill>
                  <w14:solidFill>
                    <w14:schemeClr w14:val="tx1"/>
                  </w14:solidFill>
                </w14:textFill>
              </w:rPr>
              <w:t xml:space="preserve">100≤X＜300 </w:t>
            </w:r>
          </w:p>
        </w:tc>
        <w:tc>
          <w:tcPr>
            <w:tcW w:w="992" w:type="dxa"/>
            <w:vAlign w:val="center"/>
          </w:tcPr>
          <w:p w14:paraId="1CAC34BA">
            <w:pPr>
              <w:overflowPunct/>
              <w:bidi w:val="0"/>
              <w:outlineLvl w:val="9"/>
              <w:rPr>
                <w:rFonts w:hint="eastAsia" w:ascii="宋体" w:hAnsi="宋体" w:eastAsia="宋体" w:cs="宋体"/>
                <w:b/>
                <w:color w:val="000000" w:themeColor="text1"/>
                <w:sz w:val="18"/>
                <w:szCs w:val="18"/>
                <w:highlight w:val="none"/>
                <w14:textFill>
                  <w14:solidFill>
                    <w14:schemeClr w14:val="tx1"/>
                  </w14:solidFill>
                </w14:textFill>
              </w:rPr>
            </w:pPr>
            <w:r>
              <w:rPr>
                <w:rFonts w:hint="eastAsia" w:ascii="宋体" w:hAnsi="宋体" w:eastAsia="宋体" w:cs="宋体"/>
                <w:b/>
                <w:color w:val="000000" w:themeColor="text1"/>
                <w:sz w:val="18"/>
                <w:szCs w:val="18"/>
                <w:highlight w:val="none"/>
                <w14:textFill>
                  <w14:solidFill>
                    <w14:schemeClr w14:val="tx1"/>
                  </w14:solidFill>
                </w14:textFill>
              </w:rPr>
              <w:t>X＜100</w:t>
            </w:r>
          </w:p>
        </w:tc>
      </w:tr>
      <w:tr w14:paraId="6D35B32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exact"/>
          <w:jc w:val="center"/>
        </w:trPr>
        <w:tc>
          <w:tcPr>
            <w:tcW w:w="2113" w:type="dxa"/>
            <w:vMerge w:val="continue"/>
            <w:vAlign w:val="center"/>
          </w:tcPr>
          <w:p w14:paraId="26DFB8C2">
            <w:pPr>
              <w:overflowPunct/>
              <w:bidi w:val="0"/>
              <w:jc w:val="center"/>
              <w:outlineLvl w:val="9"/>
              <w:rPr>
                <w:rFonts w:hint="eastAsia" w:ascii="宋体" w:hAnsi="宋体" w:eastAsia="宋体" w:cs="宋体"/>
                <w:b/>
                <w:color w:val="000000" w:themeColor="text1"/>
                <w:sz w:val="18"/>
                <w:szCs w:val="18"/>
                <w:highlight w:val="none"/>
                <w14:textFill>
                  <w14:solidFill>
                    <w14:schemeClr w14:val="tx1"/>
                  </w14:solidFill>
                </w14:textFill>
              </w:rPr>
            </w:pPr>
          </w:p>
        </w:tc>
        <w:tc>
          <w:tcPr>
            <w:tcW w:w="1369" w:type="dxa"/>
            <w:vAlign w:val="center"/>
          </w:tcPr>
          <w:p w14:paraId="2FCECC5E">
            <w:pPr>
              <w:overflowPunct/>
              <w:bidi w:val="0"/>
              <w:spacing w:line="240" w:lineRule="exact"/>
              <w:outlineLvl w:val="9"/>
              <w:rPr>
                <w:rFonts w:hint="eastAsia" w:ascii="宋体" w:hAnsi="宋体" w:eastAsia="宋体" w:cs="宋体"/>
                <w:b/>
                <w:color w:val="000000" w:themeColor="text1"/>
                <w:sz w:val="18"/>
                <w:szCs w:val="18"/>
                <w:highlight w:val="none"/>
                <w14:textFill>
                  <w14:solidFill>
                    <w14:schemeClr w14:val="tx1"/>
                  </w14:solidFill>
                </w14:textFill>
              </w:rPr>
            </w:pPr>
            <w:r>
              <w:rPr>
                <w:rFonts w:hint="eastAsia" w:ascii="宋体" w:hAnsi="宋体" w:eastAsia="宋体" w:cs="宋体"/>
                <w:b/>
                <w:color w:val="000000" w:themeColor="text1"/>
                <w:sz w:val="18"/>
                <w:szCs w:val="18"/>
                <w:highlight w:val="none"/>
                <w14:textFill>
                  <w14:solidFill>
                    <w14:schemeClr w14:val="tx1"/>
                  </w14:solidFill>
                </w14:textFill>
              </w:rPr>
              <w:t>营业收入(Y)</w:t>
            </w:r>
          </w:p>
        </w:tc>
        <w:tc>
          <w:tcPr>
            <w:tcW w:w="709" w:type="dxa"/>
            <w:vAlign w:val="center"/>
          </w:tcPr>
          <w:p w14:paraId="2575A52A">
            <w:pPr>
              <w:overflowPunct/>
              <w:bidi w:val="0"/>
              <w:outlineLvl w:val="9"/>
              <w:rPr>
                <w:rFonts w:hint="eastAsia" w:ascii="宋体" w:hAnsi="宋体" w:eastAsia="宋体" w:cs="宋体"/>
                <w:b/>
                <w:color w:val="000000" w:themeColor="text1"/>
                <w:sz w:val="18"/>
                <w:szCs w:val="18"/>
                <w:highlight w:val="none"/>
                <w14:textFill>
                  <w14:solidFill>
                    <w14:schemeClr w14:val="tx1"/>
                  </w14:solidFill>
                </w14:textFill>
              </w:rPr>
            </w:pPr>
            <w:r>
              <w:rPr>
                <w:rFonts w:hint="eastAsia" w:ascii="宋体" w:hAnsi="宋体" w:eastAsia="宋体" w:cs="宋体"/>
                <w:b/>
                <w:color w:val="000000" w:themeColor="text1"/>
                <w:sz w:val="18"/>
                <w:szCs w:val="18"/>
                <w:highlight w:val="none"/>
                <w14:textFill>
                  <w14:solidFill>
                    <w14:schemeClr w14:val="tx1"/>
                  </w14:solidFill>
                </w14:textFill>
              </w:rPr>
              <w:t>万元</w:t>
            </w:r>
          </w:p>
        </w:tc>
        <w:tc>
          <w:tcPr>
            <w:tcW w:w="1125" w:type="dxa"/>
            <w:vAlign w:val="center"/>
          </w:tcPr>
          <w:p w14:paraId="09E835C2">
            <w:pPr>
              <w:overflowPunct/>
              <w:bidi w:val="0"/>
              <w:outlineLvl w:val="9"/>
              <w:rPr>
                <w:rFonts w:hint="eastAsia" w:ascii="宋体" w:hAnsi="宋体" w:eastAsia="宋体" w:cs="宋体"/>
                <w:b/>
                <w:color w:val="000000" w:themeColor="text1"/>
                <w:sz w:val="18"/>
                <w:szCs w:val="18"/>
                <w:highlight w:val="none"/>
                <w14:textFill>
                  <w14:solidFill>
                    <w14:schemeClr w14:val="tx1"/>
                  </w14:solidFill>
                </w14:textFill>
              </w:rPr>
            </w:pPr>
            <w:r>
              <w:rPr>
                <w:rFonts w:hint="eastAsia" w:ascii="宋体" w:hAnsi="宋体" w:eastAsia="宋体" w:cs="宋体"/>
                <w:b/>
                <w:color w:val="000000" w:themeColor="text1"/>
                <w:sz w:val="18"/>
                <w:szCs w:val="18"/>
                <w:highlight w:val="none"/>
                <w14:textFill>
                  <w14:solidFill>
                    <w14:schemeClr w14:val="tx1"/>
                  </w14:solidFill>
                </w14:textFill>
              </w:rPr>
              <w:t>Y≥5000</w:t>
            </w:r>
          </w:p>
        </w:tc>
        <w:tc>
          <w:tcPr>
            <w:tcW w:w="1701" w:type="dxa"/>
            <w:vAlign w:val="center"/>
          </w:tcPr>
          <w:p w14:paraId="1DCF7C00">
            <w:pPr>
              <w:overflowPunct/>
              <w:bidi w:val="0"/>
              <w:ind w:left="1" w:leftChars="-51" w:hanging="108" w:hangingChars="60"/>
              <w:outlineLvl w:val="9"/>
              <w:rPr>
                <w:rFonts w:hint="eastAsia" w:ascii="宋体" w:hAnsi="宋体" w:eastAsia="宋体" w:cs="宋体"/>
                <w:b/>
                <w:color w:val="000000" w:themeColor="text1"/>
                <w:sz w:val="18"/>
                <w:szCs w:val="18"/>
                <w:highlight w:val="none"/>
                <w14:textFill>
                  <w14:solidFill>
                    <w14:schemeClr w14:val="tx1"/>
                  </w14:solidFill>
                </w14:textFill>
              </w:rPr>
            </w:pPr>
            <w:r>
              <w:rPr>
                <w:rFonts w:hint="eastAsia" w:ascii="宋体" w:hAnsi="宋体" w:eastAsia="宋体" w:cs="宋体"/>
                <w:b/>
                <w:color w:val="000000" w:themeColor="text1"/>
                <w:sz w:val="18"/>
                <w:szCs w:val="18"/>
                <w:highlight w:val="none"/>
                <w14:textFill>
                  <w14:solidFill>
                    <w14:schemeClr w14:val="tx1"/>
                  </w14:solidFill>
                </w14:textFill>
              </w:rPr>
              <w:t xml:space="preserve">1000≤Y＜5000 </w:t>
            </w:r>
          </w:p>
        </w:tc>
        <w:tc>
          <w:tcPr>
            <w:tcW w:w="1426" w:type="dxa"/>
            <w:vAlign w:val="center"/>
          </w:tcPr>
          <w:p w14:paraId="4B9AE880">
            <w:pPr>
              <w:overflowPunct/>
              <w:bidi w:val="0"/>
              <w:outlineLvl w:val="9"/>
              <w:rPr>
                <w:rFonts w:hint="eastAsia" w:ascii="宋体" w:hAnsi="宋体" w:eastAsia="宋体" w:cs="宋体"/>
                <w:b/>
                <w:color w:val="000000" w:themeColor="text1"/>
                <w:sz w:val="18"/>
                <w:szCs w:val="18"/>
                <w:highlight w:val="none"/>
                <w14:textFill>
                  <w14:solidFill>
                    <w14:schemeClr w14:val="tx1"/>
                  </w14:solidFill>
                </w14:textFill>
              </w:rPr>
            </w:pPr>
            <w:r>
              <w:rPr>
                <w:rFonts w:hint="eastAsia" w:ascii="宋体" w:hAnsi="宋体" w:eastAsia="宋体" w:cs="宋体"/>
                <w:b/>
                <w:color w:val="000000" w:themeColor="text1"/>
                <w:sz w:val="18"/>
                <w:szCs w:val="18"/>
                <w:highlight w:val="none"/>
                <w14:textFill>
                  <w14:solidFill>
                    <w14:schemeClr w14:val="tx1"/>
                  </w14:solidFill>
                </w14:textFill>
              </w:rPr>
              <w:t xml:space="preserve"> 500≤Y＜1000</w:t>
            </w:r>
          </w:p>
        </w:tc>
        <w:tc>
          <w:tcPr>
            <w:tcW w:w="992" w:type="dxa"/>
            <w:vAlign w:val="center"/>
          </w:tcPr>
          <w:p w14:paraId="01FFC856">
            <w:pPr>
              <w:overflowPunct/>
              <w:bidi w:val="0"/>
              <w:outlineLvl w:val="9"/>
              <w:rPr>
                <w:rFonts w:hint="eastAsia" w:ascii="宋体" w:hAnsi="宋体" w:eastAsia="宋体" w:cs="宋体"/>
                <w:b/>
                <w:color w:val="000000" w:themeColor="text1"/>
                <w:sz w:val="18"/>
                <w:szCs w:val="18"/>
                <w:highlight w:val="none"/>
                <w14:textFill>
                  <w14:solidFill>
                    <w14:schemeClr w14:val="tx1"/>
                  </w14:solidFill>
                </w14:textFill>
              </w:rPr>
            </w:pPr>
            <w:r>
              <w:rPr>
                <w:rFonts w:hint="eastAsia" w:ascii="宋体" w:hAnsi="宋体" w:eastAsia="宋体" w:cs="宋体"/>
                <w:b/>
                <w:color w:val="000000" w:themeColor="text1"/>
                <w:sz w:val="18"/>
                <w:szCs w:val="18"/>
                <w:highlight w:val="none"/>
                <w14:textFill>
                  <w14:solidFill>
                    <w14:schemeClr w14:val="tx1"/>
                  </w14:solidFill>
                </w14:textFill>
              </w:rPr>
              <w:t>Y＜500</w:t>
            </w:r>
          </w:p>
        </w:tc>
      </w:tr>
      <w:tr w14:paraId="2265B1F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exact"/>
          <w:jc w:val="center"/>
        </w:trPr>
        <w:tc>
          <w:tcPr>
            <w:tcW w:w="2113" w:type="dxa"/>
            <w:vMerge w:val="restart"/>
            <w:vAlign w:val="center"/>
          </w:tcPr>
          <w:p w14:paraId="3395C8D7">
            <w:pPr>
              <w:overflowPunct/>
              <w:bidi w:val="0"/>
              <w:spacing w:line="240" w:lineRule="exact"/>
              <w:jc w:val="center"/>
              <w:outlineLvl w:val="9"/>
              <w:rPr>
                <w:rFonts w:hint="eastAsia" w:ascii="宋体" w:hAnsi="宋体" w:eastAsia="宋体" w:cs="宋体"/>
                <w:b/>
                <w:color w:val="000000" w:themeColor="text1"/>
                <w:sz w:val="18"/>
                <w:szCs w:val="18"/>
                <w:highlight w:val="none"/>
                <w14:textFill>
                  <w14:solidFill>
                    <w14:schemeClr w14:val="tx1"/>
                  </w14:solidFill>
                </w14:textFill>
              </w:rPr>
            </w:pPr>
            <w:r>
              <w:rPr>
                <w:rFonts w:hint="eastAsia" w:ascii="宋体" w:hAnsi="宋体" w:eastAsia="宋体" w:cs="宋体"/>
                <w:b/>
                <w:color w:val="000000" w:themeColor="text1"/>
                <w:sz w:val="18"/>
                <w:szCs w:val="18"/>
                <w:highlight w:val="none"/>
                <w14:textFill>
                  <w14:solidFill>
                    <w14:schemeClr w14:val="tx1"/>
                  </w14:solidFill>
                </w14:textFill>
              </w:rPr>
              <w:t>租赁和商务服务业</w:t>
            </w:r>
          </w:p>
        </w:tc>
        <w:tc>
          <w:tcPr>
            <w:tcW w:w="1369" w:type="dxa"/>
            <w:vAlign w:val="center"/>
          </w:tcPr>
          <w:p w14:paraId="404B6615">
            <w:pPr>
              <w:overflowPunct/>
              <w:bidi w:val="0"/>
              <w:outlineLvl w:val="9"/>
              <w:rPr>
                <w:rFonts w:hint="eastAsia" w:ascii="宋体" w:hAnsi="宋体" w:eastAsia="宋体" w:cs="宋体"/>
                <w:b/>
                <w:color w:val="000000" w:themeColor="text1"/>
                <w:sz w:val="18"/>
                <w:szCs w:val="18"/>
                <w:highlight w:val="none"/>
                <w14:textFill>
                  <w14:solidFill>
                    <w14:schemeClr w14:val="tx1"/>
                  </w14:solidFill>
                </w14:textFill>
              </w:rPr>
            </w:pPr>
            <w:r>
              <w:rPr>
                <w:rFonts w:hint="eastAsia" w:ascii="宋体" w:hAnsi="宋体" w:eastAsia="宋体" w:cs="宋体"/>
                <w:b/>
                <w:color w:val="000000" w:themeColor="text1"/>
                <w:sz w:val="18"/>
                <w:szCs w:val="18"/>
                <w:highlight w:val="none"/>
                <w14:textFill>
                  <w14:solidFill>
                    <w14:schemeClr w14:val="tx1"/>
                  </w14:solidFill>
                </w14:textFill>
              </w:rPr>
              <w:t>从业人员(X)</w:t>
            </w:r>
          </w:p>
        </w:tc>
        <w:tc>
          <w:tcPr>
            <w:tcW w:w="709" w:type="dxa"/>
            <w:vAlign w:val="center"/>
          </w:tcPr>
          <w:p w14:paraId="51DE5624">
            <w:pPr>
              <w:overflowPunct/>
              <w:bidi w:val="0"/>
              <w:outlineLvl w:val="9"/>
              <w:rPr>
                <w:rFonts w:hint="eastAsia" w:ascii="宋体" w:hAnsi="宋体" w:eastAsia="宋体" w:cs="宋体"/>
                <w:b/>
                <w:color w:val="000000" w:themeColor="text1"/>
                <w:sz w:val="18"/>
                <w:szCs w:val="18"/>
                <w:highlight w:val="none"/>
                <w14:textFill>
                  <w14:solidFill>
                    <w14:schemeClr w14:val="tx1"/>
                  </w14:solidFill>
                </w14:textFill>
              </w:rPr>
            </w:pPr>
            <w:r>
              <w:rPr>
                <w:rFonts w:hint="eastAsia" w:ascii="宋体" w:hAnsi="宋体" w:eastAsia="宋体" w:cs="宋体"/>
                <w:b/>
                <w:color w:val="000000" w:themeColor="text1"/>
                <w:sz w:val="18"/>
                <w:szCs w:val="18"/>
                <w:highlight w:val="none"/>
                <w14:textFill>
                  <w14:solidFill>
                    <w14:schemeClr w14:val="tx1"/>
                  </w14:solidFill>
                </w14:textFill>
              </w:rPr>
              <w:t>人</w:t>
            </w:r>
          </w:p>
        </w:tc>
        <w:tc>
          <w:tcPr>
            <w:tcW w:w="1125" w:type="dxa"/>
            <w:vAlign w:val="center"/>
          </w:tcPr>
          <w:p w14:paraId="13803A10">
            <w:pPr>
              <w:overflowPunct/>
              <w:bidi w:val="0"/>
              <w:outlineLvl w:val="9"/>
              <w:rPr>
                <w:rFonts w:hint="eastAsia" w:ascii="宋体" w:hAnsi="宋体" w:eastAsia="宋体" w:cs="宋体"/>
                <w:b/>
                <w:color w:val="000000" w:themeColor="text1"/>
                <w:sz w:val="18"/>
                <w:szCs w:val="18"/>
                <w:highlight w:val="none"/>
                <w14:textFill>
                  <w14:solidFill>
                    <w14:schemeClr w14:val="tx1"/>
                  </w14:solidFill>
                </w14:textFill>
              </w:rPr>
            </w:pPr>
            <w:r>
              <w:rPr>
                <w:rFonts w:hint="eastAsia" w:ascii="宋体" w:hAnsi="宋体" w:eastAsia="宋体" w:cs="宋体"/>
                <w:b/>
                <w:color w:val="000000" w:themeColor="text1"/>
                <w:sz w:val="18"/>
                <w:szCs w:val="18"/>
                <w:highlight w:val="none"/>
                <w14:textFill>
                  <w14:solidFill>
                    <w14:schemeClr w14:val="tx1"/>
                  </w14:solidFill>
                </w14:textFill>
              </w:rPr>
              <w:t>X≥300</w:t>
            </w:r>
          </w:p>
        </w:tc>
        <w:tc>
          <w:tcPr>
            <w:tcW w:w="1701" w:type="dxa"/>
            <w:vAlign w:val="center"/>
          </w:tcPr>
          <w:p w14:paraId="1BE431F0">
            <w:pPr>
              <w:overflowPunct/>
              <w:bidi w:val="0"/>
              <w:ind w:left="1" w:leftChars="-51" w:hanging="108" w:hangingChars="60"/>
              <w:outlineLvl w:val="9"/>
              <w:rPr>
                <w:rFonts w:hint="eastAsia" w:ascii="宋体" w:hAnsi="宋体" w:eastAsia="宋体" w:cs="宋体"/>
                <w:b/>
                <w:color w:val="000000" w:themeColor="text1"/>
                <w:sz w:val="18"/>
                <w:szCs w:val="18"/>
                <w:highlight w:val="none"/>
                <w14:textFill>
                  <w14:solidFill>
                    <w14:schemeClr w14:val="tx1"/>
                  </w14:solidFill>
                </w14:textFill>
              </w:rPr>
            </w:pPr>
            <w:r>
              <w:rPr>
                <w:rFonts w:hint="eastAsia" w:ascii="宋体" w:hAnsi="宋体" w:eastAsia="宋体" w:cs="宋体"/>
                <w:b/>
                <w:color w:val="000000" w:themeColor="text1"/>
                <w:sz w:val="18"/>
                <w:szCs w:val="18"/>
                <w:highlight w:val="none"/>
                <w14:textFill>
                  <w14:solidFill>
                    <w14:schemeClr w14:val="tx1"/>
                  </w14:solidFill>
                </w14:textFill>
              </w:rPr>
              <w:t xml:space="preserve">100≤X＜300 </w:t>
            </w:r>
          </w:p>
        </w:tc>
        <w:tc>
          <w:tcPr>
            <w:tcW w:w="1426" w:type="dxa"/>
            <w:vAlign w:val="center"/>
          </w:tcPr>
          <w:p w14:paraId="49179979">
            <w:pPr>
              <w:overflowPunct/>
              <w:bidi w:val="0"/>
              <w:outlineLvl w:val="9"/>
              <w:rPr>
                <w:rFonts w:hint="eastAsia" w:ascii="宋体" w:hAnsi="宋体" w:eastAsia="宋体" w:cs="宋体"/>
                <w:b/>
                <w:color w:val="000000" w:themeColor="text1"/>
                <w:sz w:val="18"/>
                <w:szCs w:val="18"/>
                <w:highlight w:val="none"/>
                <w14:textFill>
                  <w14:solidFill>
                    <w14:schemeClr w14:val="tx1"/>
                  </w14:solidFill>
                </w14:textFill>
              </w:rPr>
            </w:pPr>
            <w:r>
              <w:rPr>
                <w:rFonts w:hint="eastAsia" w:ascii="宋体" w:hAnsi="宋体" w:eastAsia="宋体" w:cs="宋体"/>
                <w:b/>
                <w:color w:val="000000" w:themeColor="text1"/>
                <w:sz w:val="18"/>
                <w:szCs w:val="18"/>
                <w:highlight w:val="none"/>
                <w14:textFill>
                  <w14:solidFill>
                    <w14:schemeClr w14:val="tx1"/>
                  </w14:solidFill>
                </w14:textFill>
              </w:rPr>
              <w:t xml:space="preserve"> 10≤X＜100</w:t>
            </w:r>
          </w:p>
        </w:tc>
        <w:tc>
          <w:tcPr>
            <w:tcW w:w="992" w:type="dxa"/>
            <w:vAlign w:val="center"/>
          </w:tcPr>
          <w:p w14:paraId="5E2B6BEE">
            <w:pPr>
              <w:overflowPunct/>
              <w:bidi w:val="0"/>
              <w:outlineLvl w:val="9"/>
              <w:rPr>
                <w:rFonts w:hint="eastAsia" w:ascii="宋体" w:hAnsi="宋体" w:eastAsia="宋体" w:cs="宋体"/>
                <w:b/>
                <w:color w:val="000000" w:themeColor="text1"/>
                <w:sz w:val="18"/>
                <w:szCs w:val="18"/>
                <w:highlight w:val="none"/>
                <w14:textFill>
                  <w14:solidFill>
                    <w14:schemeClr w14:val="tx1"/>
                  </w14:solidFill>
                </w14:textFill>
              </w:rPr>
            </w:pPr>
            <w:r>
              <w:rPr>
                <w:rFonts w:hint="eastAsia" w:ascii="宋体" w:hAnsi="宋体" w:eastAsia="宋体" w:cs="宋体"/>
                <w:b/>
                <w:color w:val="000000" w:themeColor="text1"/>
                <w:sz w:val="18"/>
                <w:szCs w:val="18"/>
                <w:highlight w:val="none"/>
                <w14:textFill>
                  <w14:solidFill>
                    <w14:schemeClr w14:val="tx1"/>
                  </w14:solidFill>
                </w14:textFill>
              </w:rPr>
              <w:t>X＜10</w:t>
            </w:r>
          </w:p>
        </w:tc>
      </w:tr>
      <w:tr w14:paraId="0A2C446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exact"/>
          <w:jc w:val="center"/>
        </w:trPr>
        <w:tc>
          <w:tcPr>
            <w:tcW w:w="2113" w:type="dxa"/>
            <w:vMerge w:val="continue"/>
            <w:vAlign w:val="center"/>
          </w:tcPr>
          <w:p w14:paraId="762208DF">
            <w:pPr>
              <w:overflowPunct/>
              <w:bidi w:val="0"/>
              <w:jc w:val="center"/>
              <w:outlineLvl w:val="9"/>
              <w:rPr>
                <w:rFonts w:hint="eastAsia" w:ascii="宋体" w:hAnsi="宋体" w:eastAsia="宋体" w:cs="宋体"/>
                <w:b/>
                <w:color w:val="000000" w:themeColor="text1"/>
                <w:sz w:val="18"/>
                <w:szCs w:val="18"/>
                <w:highlight w:val="none"/>
                <w14:textFill>
                  <w14:solidFill>
                    <w14:schemeClr w14:val="tx1"/>
                  </w14:solidFill>
                </w14:textFill>
              </w:rPr>
            </w:pPr>
          </w:p>
        </w:tc>
        <w:tc>
          <w:tcPr>
            <w:tcW w:w="1369" w:type="dxa"/>
            <w:vAlign w:val="center"/>
          </w:tcPr>
          <w:p w14:paraId="04AED260">
            <w:pPr>
              <w:overflowPunct/>
              <w:bidi w:val="0"/>
              <w:spacing w:line="240" w:lineRule="exact"/>
              <w:outlineLvl w:val="9"/>
              <w:rPr>
                <w:rFonts w:hint="eastAsia" w:ascii="宋体" w:hAnsi="宋体" w:eastAsia="宋体" w:cs="宋体"/>
                <w:b/>
                <w:color w:val="000000" w:themeColor="text1"/>
                <w:sz w:val="18"/>
                <w:szCs w:val="18"/>
                <w:highlight w:val="none"/>
                <w14:textFill>
                  <w14:solidFill>
                    <w14:schemeClr w14:val="tx1"/>
                  </w14:solidFill>
                </w14:textFill>
              </w:rPr>
            </w:pPr>
            <w:r>
              <w:rPr>
                <w:rFonts w:hint="eastAsia" w:ascii="宋体" w:hAnsi="宋体" w:eastAsia="宋体" w:cs="宋体"/>
                <w:b/>
                <w:color w:val="000000" w:themeColor="text1"/>
                <w:sz w:val="18"/>
                <w:szCs w:val="18"/>
                <w:highlight w:val="none"/>
                <w14:textFill>
                  <w14:solidFill>
                    <w14:schemeClr w14:val="tx1"/>
                  </w14:solidFill>
                </w14:textFill>
              </w:rPr>
              <w:t>资产总额(Z)</w:t>
            </w:r>
          </w:p>
        </w:tc>
        <w:tc>
          <w:tcPr>
            <w:tcW w:w="709" w:type="dxa"/>
            <w:vAlign w:val="center"/>
          </w:tcPr>
          <w:p w14:paraId="71BCC978">
            <w:pPr>
              <w:overflowPunct/>
              <w:bidi w:val="0"/>
              <w:outlineLvl w:val="9"/>
              <w:rPr>
                <w:rFonts w:hint="eastAsia" w:ascii="宋体" w:hAnsi="宋体" w:eastAsia="宋体" w:cs="宋体"/>
                <w:b/>
                <w:color w:val="000000" w:themeColor="text1"/>
                <w:sz w:val="18"/>
                <w:szCs w:val="18"/>
                <w:highlight w:val="none"/>
                <w14:textFill>
                  <w14:solidFill>
                    <w14:schemeClr w14:val="tx1"/>
                  </w14:solidFill>
                </w14:textFill>
              </w:rPr>
            </w:pPr>
            <w:r>
              <w:rPr>
                <w:rFonts w:hint="eastAsia" w:ascii="宋体" w:hAnsi="宋体" w:eastAsia="宋体" w:cs="宋体"/>
                <w:b/>
                <w:color w:val="000000" w:themeColor="text1"/>
                <w:sz w:val="18"/>
                <w:szCs w:val="18"/>
                <w:highlight w:val="none"/>
                <w14:textFill>
                  <w14:solidFill>
                    <w14:schemeClr w14:val="tx1"/>
                  </w14:solidFill>
                </w14:textFill>
              </w:rPr>
              <w:t>万元</w:t>
            </w:r>
          </w:p>
        </w:tc>
        <w:tc>
          <w:tcPr>
            <w:tcW w:w="1125" w:type="dxa"/>
            <w:vAlign w:val="center"/>
          </w:tcPr>
          <w:p w14:paraId="2245BDA0">
            <w:pPr>
              <w:overflowPunct/>
              <w:bidi w:val="0"/>
              <w:outlineLvl w:val="9"/>
              <w:rPr>
                <w:rFonts w:hint="eastAsia" w:ascii="宋体" w:hAnsi="宋体" w:eastAsia="宋体" w:cs="宋体"/>
                <w:b/>
                <w:color w:val="000000" w:themeColor="text1"/>
                <w:sz w:val="18"/>
                <w:szCs w:val="18"/>
                <w:highlight w:val="none"/>
                <w14:textFill>
                  <w14:solidFill>
                    <w14:schemeClr w14:val="tx1"/>
                  </w14:solidFill>
                </w14:textFill>
              </w:rPr>
            </w:pPr>
            <w:r>
              <w:rPr>
                <w:rFonts w:hint="eastAsia" w:ascii="宋体" w:hAnsi="宋体" w:eastAsia="宋体" w:cs="宋体"/>
                <w:b/>
                <w:color w:val="000000" w:themeColor="text1"/>
                <w:sz w:val="18"/>
                <w:szCs w:val="18"/>
                <w:highlight w:val="none"/>
                <w14:textFill>
                  <w14:solidFill>
                    <w14:schemeClr w14:val="tx1"/>
                  </w14:solidFill>
                </w14:textFill>
              </w:rPr>
              <w:t>Z≥120000</w:t>
            </w:r>
          </w:p>
        </w:tc>
        <w:tc>
          <w:tcPr>
            <w:tcW w:w="1701" w:type="dxa"/>
            <w:vAlign w:val="center"/>
          </w:tcPr>
          <w:p w14:paraId="7478B50F">
            <w:pPr>
              <w:overflowPunct/>
              <w:bidi w:val="0"/>
              <w:outlineLvl w:val="9"/>
              <w:rPr>
                <w:rFonts w:hint="eastAsia" w:ascii="宋体" w:hAnsi="宋体" w:eastAsia="宋体" w:cs="宋体"/>
                <w:b/>
                <w:color w:val="000000" w:themeColor="text1"/>
                <w:sz w:val="18"/>
                <w:szCs w:val="18"/>
                <w:highlight w:val="none"/>
                <w14:textFill>
                  <w14:solidFill>
                    <w14:schemeClr w14:val="tx1"/>
                  </w14:solidFill>
                </w14:textFill>
              </w:rPr>
            </w:pPr>
            <w:r>
              <w:rPr>
                <w:rFonts w:hint="eastAsia" w:ascii="宋体" w:hAnsi="宋体" w:eastAsia="宋体" w:cs="宋体"/>
                <w:b/>
                <w:color w:val="000000" w:themeColor="text1"/>
                <w:sz w:val="18"/>
                <w:szCs w:val="18"/>
                <w:highlight w:val="none"/>
                <w14:textFill>
                  <w14:solidFill>
                    <w14:schemeClr w14:val="tx1"/>
                  </w14:solidFill>
                </w14:textFill>
              </w:rPr>
              <w:t xml:space="preserve"> 8000≤Z＜120000</w:t>
            </w:r>
          </w:p>
        </w:tc>
        <w:tc>
          <w:tcPr>
            <w:tcW w:w="1426" w:type="dxa"/>
            <w:vAlign w:val="center"/>
          </w:tcPr>
          <w:p w14:paraId="2AC46663">
            <w:pPr>
              <w:overflowPunct/>
              <w:bidi w:val="0"/>
              <w:outlineLvl w:val="9"/>
              <w:rPr>
                <w:rFonts w:hint="eastAsia" w:ascii="宋体" w:hAnsi="宋体" w:eastAsia="宋体" w:cs="宋体"/>
                <w:b/>
                <w:color w:val="000000" w:themeColor="text1"/>
                <w:sz w:val="18"/>
                <w:szCs w:val="18"/>
                <w:highlight w:val="none"/>
                <w14:textFill>
                  <w14:solidFill>
                    <w14:schemeClr w14:val="tx1"/>
                  </w14:solidFill>
                </w14:textFill>
              </w:rPr>
            </w:pPr>
            <w:r>
              <w:rPr>
                <w:rFonts w:hint="eastAsia" w:ascii="宋体" w:hAnsi="宋体" w:eastAsia="宋体" w:cs="宋体"/>
                <w:b/>
                <w:color w:val="000000" w:themeColor="text1"/>
                <w:sz w:val="18"/>
                <w:szCs w:val="18"/>
                <w:highlight w:val="none"/>
                <w14:textFill>
                  <w14:solidFill>
                    <w14:schemeClr w14:val="tx1"/>
                  </w14:solidFill>
                </w14:textFill>
              </w:rPr>
              <w:t xml:space="preserve"> 100≤Z＜8000</w:t>
            </w:r>
          </w:p>
        </w:tc>
        <w:tc>
          <w:tcPr>
            <w:tcW w:w="992" w:type="dxa"/>
            <w:vAlign w:val="center"/>
          </w:tcPr>
          <w:p w14:paraId="1F9C6F35">
            <w:pPr>
              <w:overflowPunct/>
              <w:bidi w:val="0"/>
              <w:outlineLvl w:val="9"/>
              <w:rPr>
                <w:rFonts w:hint="eastAsia" w:ascii="宋体" w:hAnsi="宋体" w:eastAsia="宋体" w:cs="宋体"/>
                <w:b/>
                <w:color w:val="000000" w:themeColor="text1"/>
                <w:sz w:val="18"/>
                <w:szCs w:val="18"/>
                <w:highlight w:val="none"/>
                <w14:textFill>
                  <w14:solidFill>
                    <w14:schemeClr w14:val="tx1"/>
                  </w14:solidFill>
                </w14:textFill>
              </w:rPr>
            </w:pPr>
            <w:r>
              <w:rPr>
                <w:rFonts w:hint="eastAsia" w:ascii="宋体" w:hAnsi="宋体" w:eastAsia="宋体" w:cs="宋体"/>
                <w:b/>
                <w:color w:val="000000" w:themeColor="text1"/>
                <w:sz w:val="18"/>
                <w:szCs w:val="18"/>
                <w:highlight w:val="none"/>
                <w14:textFill>
                  <w14:solidFill>
                    <w14:schemeClr w14:val="tx1"/>
                  </w14:solidFill>
                </w14:textFill>
              </w:rPr>
              <w:t>Z＜100</w:t>
            </w:r>
          </w:p>
        </w:tc>
      </w:tr>
      <w:tr w14:paraId="2034BDD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0" w:hRule="atLeast"/>
          <w:jc w:val="center"/>
        </w:trPr>
        <w:tc>
          <w:tcPr>
            <w:tcW w:w="2113" w:type="dxa"/>
            <w:vAlign w:val="center"/>
          </w:tcPr>
          <w:p w14:paraId="16AD8416">
            <w:pPr>
              <w:overflowPunct/>
              <w:bidi w:val="0"/>
              <w:spacing w:line="240" w:lineRule="exact"/>
              <w:jc w:val="center"/>
              <w:outlineLvl w:val="9"/>
              <w:rPr>
                <w:rFonts w:hint="eastAsia" w:ascii="宋体" w:hAnsi="宋体" w:eastAsia="宋体" w:cs="宋体"/>
                <w:b/>
                <w:color w:val="000000" w:themeColor="text1"/>
                <w:szCs w:val="21"/>
                <w:highlight w:val="none"/>
                <w14:textFill>
                  <w14:solidFill>
                    <w14:schemeClr w14:val="tx1"/>
                  </w14:solidFill>
                </w14:textFill>
              </w:rPr>
            </w:pPr>
            <w:r>
              <w:rPr>
                <w:rFonts w:hint="eastAsia" w:ascii="宋体" w:hAnsi="宋体" w:eastAsia="宋体" w:cs="宋体"/>
                <w:b/>
                <w:color w:val="000000" w:themeColor="text1"/>
                <w:sz w:val="18"/>
                <w:szCs w:val="18"/>
                <w:highlight w:val="none"/>
                <w14:textFill>
                  <w14:solidFill>
                    <w14:schemeClr w14:val="tx1"/>
                  </w14:solidFill>
                </w14:textFill>
              </w:rPr>
              <w:t>其他未列明行业*</w:t>
            </w:r>
          </w:p>
        </w:tc>
        <w:tc>
          <w:tcPr>
            <w:tcW w:w="1369" w:type="dxa"/>
            <w:vAlign w:val="center"/>
          </w:tcPr>
          <w:p w14:paraId="3BE43086">
            <w:pPr>
              <w:overflowPunct/>
              <w:bidi w:val="0"/>
              <w:spacing w:line="240" w:lineRule="exact"/>
              <w:outlineLvl w:val="9"/>
              <w:rPr>
                <w:rFonts w:hint="eastAsia" w:ascii="宋体" w:hAnsi="宋体" w:eastAsia="宋体" w:cs="宋体"/>
                <w:b/>
                <w:color w:val="000000" w:themeColor="text1"/>
                <w:sz w:val="18"/>
                <w:szCs w:val="18"/>
                <w:highlight w:val="none"/>
                <w14:textFill>
                  <w14:solidFill>
                    <w14:schemeClr w14:val="tx1"/>
                  </w14:solidFill>
                </w14:textFill>
              </w:rPr>
            </w:pPr>
            <w:r>
              <w:rPr>
                <w:rFonts w:hint="eastAsia" w:ascii="宋体" w:hAnsi="宋体" w:eastAsia="宋体" w:cs="宋体"/>
                <w:b/>
                <w:color w:val="000000" w:themeColor="text1"/>
                <w:sz w:val="18"/>
                <w:szCs w:val="18"/>
                <w:highlight w:val="none"/>
                <w14:textFill>
                  <w14:solidFill>
                    <w14:schemeClr w14:val="tx1"/>
                  </w14:solidFill>
                </w14:textFill>
              </w:rPr>
              <w:t>从业人员(X)</w:t>
            </w:r>
          </w:p>
        </w:tc>
        <w:tc>
          <w:tcPr>
            <w:tcW w:w="709" w:type="dxa"/>
            <w:vAlign w:val="center"/>
          </w:tcPr>
          <w:p w14:paraId="7DC86B61">
            <w:pPr>
              <w:overflowPunct/>
              <w:bidi w:val="0"/>
              <w:spacing w:line="240" w:lineRule="exact"/>
              <w:outlineLvl w:val="9"/>
              <w:rPr>
                <w:rFonts w:hint="eastAsia" w:ascii="宋体" w:hAnsi="宋体" w:eastAsia="宋体" w:cs="宋体"/>
                <w:b/>
                <w:color w:val="000000" w:themeColor="text1"/>
                <w:sz w:val="18"/>
                <w:szCs w:val="18"/>
                <w:highlight w:val="none"/>
                <w14:textFill>
                  <w14:solidFill>
                    <w14:schemeClr w14:val="tx1"/>
                  </w14:solidFill>
                </w14:textFill>
              </w:rPr>
            </w:pPr>
            <w:r>
              <w:rPr>
                <w:rFonts w:hint="eastAsia" w:ascii="宋体" w:hAnsi="宋体" w:eastAsia="宋体" w:cs="宋体"/>
                <w:b/>
                <w:color w:val="000000" w:themeColor="text1"/>
                <w:sz w:val="18"/>
                <w:szCs w:val="18"/>
                <w:highlight w:val="none"/>
                <w14:textFill>
                  <w14:solidFill>
                    <w14:schemeClr w14:val="tx1"/>
                  </w14:solidFill>
                </w14:textFill>
              </w:rPr>
              <w:t>人</w:t>
            </w:r>
          </w:p>
        </w:tc>
        <w:tc>
          <w:tcPr>
            <w:tcW w:w="1125" w:type="dxa"/>
            <w:vAlign w:val="center"/>
          </w:tcPr>
          <w:p w14:paraId="7A5FAD47">
            <w:pPr>
              <w:overflowPunct/>
              <w:bidi w:val="0"/>
              <w:spacing w:line="240" w:lineRule="exact"/>
              <w:outlineLvl w:val="9"/>
              <w:rPr>
                <w:rFonts w:hint="eastAsia" w:ascii="宋体" w:hAnsi="宋体" w:eastAsia="宋体" w:cs="宋体"/>
                <w:b/>
                <w:color w:val="000000" w:themeColor="text1"/>
                <w:sz w:val="18"/>
                <w:szCs w:val="18"/>
                <w:highlight w:val="none"/>
                <w14:textFill>
                  <w14:solidFill>
                    <w14:schemeClr w14:val="tx1"/>
                  </w14:solidFill>
                </w14:textFill>
              </w:rPr>
            </w:pPr>
            <w:r>
              <w:rPr>
                <w:rFonts w:hint="eastAsia" w:ascii="宋体" w:hAnsi="宋体" w:eastAsia="宋体" w:cs="宋体"/>
                <w:b/>
                <w:color w:val="000000" w:themeColor="text1"/>
                <w:sz w:val="18"/>
                <w:szCs w:val="18"/>
                <w:highlight w:val="none"/>
                <w14:textFill>
                  <w14:solidFill>
                    <w14:schemeClr w14:val="tx1"/>
                  </w14:solidFill>
                </w14:textFill>
              </w:rPr>
              <w:t>X≥300</w:t>
            </w:r>
          </w:p>
        </w:tc>
        <w:tc>
          <w:tcPr>
            <w:tcW w:w="1701" w:type="dxa"/>
            <w:vAlign w:val="center"/>
          </w:tcPr>
          <w:p w14:paraId="728A2B8A">
            <w:pPr>
              <w:overflowPunct/>
              <w:bidi w:val="0"/>
              <w:spacing w:line="240" w:lineRule="exact"/>
              <w:ind w:left="1" w:leftChars="-51" w:hanging="108" w:hangingChars="60"/>
              <w:outlineLvl w:val="9"/>
              <w:rPr>
                <w:rFonts w:hint="eastAsia" w:ascii="宋体" w:hAnsi="宋体" w:eastAsia="宋体" w:cs="宋体"/>
                <w:b/>
                <w:color w:val="000000" w:themeColor="text1"/>
                <w:sz w:val="18"/>
                <w:szCs w:val="18"/>
                <w:highlight w:val="none"/>
                <w14:textFill>
                  <w14:solidFill>
                    <w14:schemeClr w14:val="tx1"/>
                  </w14:solidFill>
                </w14:textFill>
              </w:rPr>
            </w:pPr>
            <w:r>
              <w:rPr>
                <w:rFonts w:hint="eastAsia" w:ascii="宋体" w:hAnsi="宋体" w:eastAsia="宋体" w:cs="宋体"/>
                <w:b/>
                <w:color w:val="000000" w:themeColor="text1"/>
                <w:sz w:val="18"/>
                <w:szCs w:val="18"/>
                <w:highlight w:val="none"/>
                <w14:textFill>
                  <w14:solidFill>
                    <w14:schemeClr w14:val="tx1"/>
                  </w14:solidFill>
                </w14:textFill>
              </w:rPr>
              <w:t xml:space="preserve">100≤X＜300 </w:t>
            </w:r>
          </w:p>
        </w:tc>
        <w:tc>
          <w:tcPr>
            <w:tcW w:w="1426" w:type="dxa"/>
            <w:vAlign w:val="center"/>
          </w:tcPr>
          <w:p w14:paraId="084B79CC">
            <w:pPr>
              <w:overflowPunct/>
              <w:bidi w:val="0"/>
              <w:spacing w:line="240" w:lineRule="exact"/>
              <w:outlineLvl w:val="9"/>
              <w:rPr>
                <w:rFonts w:hint="eastAsia" w:ascii="宋体" w:hAnsi="宋体" w:eastAsia="宋体" w:cs="宋体"/>
                <w:b/>
                <w:color w:val="000000" w:themeColor="text1"/>
                <w:sz w:val="18"/>
                <w:szCs w:val="18"/>
                <w:highlight w:val="none"/>
                <w14:textFill>
                  <w14:solidFill>
                    <w14:schemeClr w14:val="tx1"/>
                  </w14:solidFill>
                </w14:textFill>
              </w:rPr>
            </w:pPr>
            <w:r>
              <w:rPr>
                <w:rFonts w:hint="eastAsia" w:ascii="宋体" w:hAnsi="宋体" w:eastAsia="宋体" w:cs="宋体"/>
                <w:b/>
                <w:color w:val="000000" w:themeColor="text1"/>
                <w:sz w:val="18"/>
                <w:szCs w:val="18"/>
                <w:highlight w:val="none"/>
                <w14:textFill>
                  <w14:solidFill>
                    <w14:schemeClr w14:val="tx1"/>
                  </w14:solidFill>
                </w14:textFill>
              </w:rPr>
              <w:t xml:space="preserve"> 10≤X＜100</w:t>
            </w:r>
          </w:p>
        </w:tc>
        <w:tc>
          <w:tcPr>
            <w:tcW w:w="992" w:type="dxa"/>
            <w:vAlign w:val="center"/>
          </w:tcPr>
          <w:p w14:paraId="6E234E5B">
            <w:pPr>
              <w:overflowPunct/>
              <w:bidi w:val="0"/>
              <w:spacing w:line="240" w:lineRule="exact"/>
              <w:outlineLvl w:val="9"/>
              <w:rPr>
                <w:rFonts w:hint="eastAsia" w:ascii="宋体" w:hAnsi="宋体" w:eastAsia="宋体" w:cs="宋体"/>
                <w:b/>
                <w:color w:val="000000" w:themeColor="text1"/>
                <w:sz w:val="18"/>
                <w:szCs w:val="18"/>
                <w:highlight w:val="none"/>
                <w14:textFill>
                  <w14:solidFill>
                    <w14:schemeClr w14:val="tx1"/>
                  </w14:solidFill>
                </w14:textFill>
              </w:rPr>
            </w:pPr>
            <w:r>
              <w:rPr>
                <w:rFonts w:hint="eastAsia" w:ascii="宋体" w:hAnsi="宋体" w:eastAsia="宋体" w:cs="宋体"/>
                <w:b/>
                <w:color w:val="000000" w:themeColor="text1"/>
                <w:sz w:val="18"/>
                <w:szCs w:val="18"/>
                <w:highlight w:val="none"/>
                <w14:textFill>
                  <w14:solidFill>
                    <w14:schemeClr w14:val="tx1"/>
                  </w14:solidFill>
                </w14:textFill>
              </w:rPr>
              <w:t>X＜10</w:t>
            </w:r>
          </w:p>
        </w:tc>
      </w:tr>
    </w:tbl>
    <w:p w14:paraId="7A0A6B34">
      <w:pPr>
        <w:overflowPunct/>
        <w:bidi w:val="0"/>
        <w:spacing w:line="400" w:lineRule="exact"/>
        <w:outlineLvl w:val="9"/>
        <w:rPr>
          <w:rFonts w:hint="eastAsia" w:ascii="宋体" w:hAnsi="宋体" w:eastAsia="宋体" w:cs="宋体"/>
          <w:color w:val="000000" w:themeColor="text1"/>
          <w:spacing w:val="8"/>
          <w:sz w:val="21"/>
          <w:szCs w:val="21"/>
          <w:highlight w:val="none"/>
          <w14:textFill>
            <w14:solidFill>
              <w14:schemeClr w14:val="tx1"/>
            </w14:solidFill>
          </w14:textFill>
        </w:rPr>
      </w:pPr>
      <w:r>
        <w:rPr>
          <w:rFonts w:hint="eastAsia" w:ascii="宋体" w:hAnsi="宋体" w:eastAsia="宋体" w:cs="宋体"/>
          <w:color w:val="000000" w:themeColor="text1"/>
          <w:spacing w:val="8"/>
          <w:sz w:val="21"/>
          <w:szCs w:val="21"/>
          <w:highlight w:val="none"/>
          <w14:textFill>
            <w14:solidFill>
              <w14:schemeClr w14:val="tx1"/>
            </w14:solidFill>
          </w14:textFill>
        </w:rPr>
        <w:t>说明：</w:t>
      </w:r>
    </w:p>
    <w:p w14:paraId="54722227">
      <w:pPr>
        <w:overflowPunct/>
        <w:bidi w:val="0"/>
        <w:spacing w:line="400" w:lineRule="exact"/>
        <w:outlineLvl w:val="9"/>
        <w:rPr>
          <w:rFonts w:hint="eastAsia" w:ascii="宋体" w:hAnsi="宋体" w:eastAsia="宋体" w:cs="宋体"/>
          <w:color w:val="000000" w:themeColor="text1"/>
          <w:spacing w:val="8"/>
          <w:sz w:val="21"/>
          <w:szCs w:val="21"/>
          <w:highlight w:val="none"/>
          <w14:textFill>
            <w14:solidFill>
              <w14:schemeClr w14:val="tx1"/>
            </w14:solidFill>
          </w14:textFill>
        </w:rPr>
      </w:pPr>
      <w:r>
        <w:rPr>
          <w:rFonts w:hint="eastAsia" w:ascii="宋体" w:hAnsi="宋体" w:eastAsia="宋体" w:cs="宋体"/>
          <w:color w:val="000000" w:themeColor="text1"/>
          <w:spacing w:val="8"/>
          <w:sz w:val="21"/>
          <w:szCs w:val="21"/>
          <w:highlight w:val="none"/>
          <w14:textFill>
            <w14:solidFill>
              <w14:schemeClr w14:val="tx1"/>
            </w14:solidFill>
          </w14:textFill>
        </w:rPr>
        <w:t>　　1.大型、中型和小型企业须同时满足所列指标的下限，否则下划一档；微型企业只须满足所列指标中的一项即可。</w:t>
      </w:r>
    </w:p>
    <w:p w14:paraId="0E1A9818">
      <w:pPr>
        <w:overflowPunct/>
        <w:bidi w:val="0"/>
        <w:spacing w:line="400" w:lineRule="exact"/>
        <w:ind w:firstLine="452"/>
        <w:outlineLvl w:val="9"/>
        <w:rPr>
          <w:rFonts w:hint="eastAsia" w:ascii="宋体" w:hAnsi="宋体" w:eastAsia="宋体" w:cs="宋体"/>
          <w:color w:val="000000" w:themeColor="text1"/>
          <w:spacing w:val="8"/>
          <w:sz w:val="21"/>
          <w:szCs w:val="21"/>
          <w:highlight w:val="none"/>
          <w14:textFill>
            <w14:solidFill>
              <w14:schemeClr w14:val="tx1"/>
            </w14:solidFill>
          </w14:textFill>
        </w:rPr>
      </w:pPr>
      <w:r>
        <w:rPr>
          <w:rFonts w:hint="eastAsia" w:ascii="宋体" w:hAnsi="宋体" w:eastAsia="宋体" w:cs="宋体"/>
          <w:color w:val="000000" w:themeColor="text1"/>
          <w:spacing w:val="8"/>
          <w:sz w:val="21"/>
          <w:szCs w:val="21"/>
          <w:highlight w:val="none"/>
          <w14:textFill>
            <w14:solidFill>
              <w14:schemeClr w14:val="tx1"/>
            </w14:solidFill>
          </w14:textFill>
        </w:rPr>
        <w:t>2.附表中各行业的范围以《国民经济行业分类》（GB/T4754-2017）为准。带*的项为行业组合类别，其中，工业包括采矿业，制造业，电力、热力、燃气及水生产和供应业；交通运输业包括道路运输业，水上运输业，航空运输业，管道运输业，多式联运和运输代理业、装卸搬运，不包括铁路运输业；仓储业包括通用仓储，低温仓储，危险品仓储，谷物、棉花等农产品仓储，中药材仓储和其他仓储业;信息传输业包括电信、广播电视和卫星传输服务，互联网和相关服务；其他未列明行业包括科学研究和技术服务业，水利、环境和公共设施管理业，居民服务、修理和其他服务业，社会工作，文化、体育和娱乐业，以及房地产中介服务，其他房地产业等，不包括自有房地产经营活动。</w:t>
      </w:r>
    </w:p>
    <w:p w14:paraId="52CB0175">
      <w:pPr>
        <w:overflowPunct/>
        <w:bidi w:val="0"/>
        <w:spacing w:line="400" w:lineRule="exact"/>
        <w:ind w:firstLine="452"/>
        <w:outlineLvl w:val="9"/>
        <w:rPr>
          <w:rFonts w:ascii="宋体" w:hAnsi="宋体"/>
          <w:b/>
          <w:color w:val="000000" w:themeColor="text1"/>
          <w:szCs w:val="32"/>
          <w:highlight w:val="none"/>
          <w:lang w:val="zh-CN"/>
          <w14:textFill>
            <w14:solidFill>
              <w14:schemeClr w14:val="tx1"/>
            </w14:solidFill>
          </w14:textFill>
        </w:rPr>
      </w:pPr>
      <w:r>
        <w:rPr>
          <w:rFonts w:hint="eastAsia" w:ascii="宋体" w:hAnsi="宋体" w:eastAsia="宋体" w:cs="宋体"/>
          <w:color w:val="000000" w:themeColor="text1"/>
          <w:spacing w:val="8"/>
          <w:sz w:val="21"/>
          <w:szCs w:val="21"/>
          <w:highlight w:val="none"/>
          <w14:textFill>
            <w14:solidFill>
              <w14:schemeClr w14:val="tx1"/>
            </w14:solidFill>
          </w14:textFill>
        </w:rPr>
        <w:t>3.企业划分指标以现行统计制度为准。（1）从业人员，是指期末从业人员数，没有期末从业人员数的，采用全年平均人员数代替。（2）营业收入，工业、建筑业、限额以上批发和零售业、限额以上住宿和餐饮业以及其他设置主营业务收入指标的行业，采用主营业务收入；限额以下批发与零售业企业采用商品销售额代替；限额以下住宿与餐饮业企业采用营业额代替；农、林、牧、渔业企业采用营业总收入代替；其他未设置主营业务收入的行业，采用营业收入指标。（3）资产总额，采用资产总计代替</w:t>
      </w:r>
      <w:r>
        <w:rPr>
          <w:rFonts w:hint="eastAsia" w:ascii="宋体" w:hAnsi="宋体" w:cs="宋体"/>
          <w:color w:val="000000" w:themeColor="text1"/>
          <w:spacing w:val="8"/>
          <w:sz w:val="21"/>
          <w:szCs w:val="21"/>
          <w:highlight w:val="none"/>
          <w:lang w:eastAsia="zh-CN"/>
          <w14:textFill>
            <w14:solidFill>
              <w14:schemeClr w14:val="tx1"/>
            </w14:solidFill>
          </w14:textFill>
        </w:rPr>
        <w:t>。</w:t>
      </w:r>
    </w:p>
    <w:sectPr>
      <w:pgSz w:w="11906" w:h="16838"/>
      <w:pgMar w:top="1134" w:right="1418" w:bottom="1134" w:left="1418" w:header="851" w:footer="851" w:gutter="0"/>
      <w:pgBorders>
        <w:top w:val="none" w:sz="0" w:space="0"/>
        <w:left w:val="none" w:sz="0" w:space="0"/>
        <w:bottom w:val="none" w:sz="0" w:space="0"/>
        <w:right w:val="none" w:sz="0" w:space="0"/>
      </w:pgBorders>
      <w:pgNumType w:fmt="decimal"/>
      <w:cols w:space="720" w:num="1"/>
      <w:docGrid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1"/>
    <w:family w:val="auto"/>
    <w:pitch w:val="default"/>
    <w:sig w:usb0="E0002AFF" w:usb1="C0007841" w:usb2="00000009" w:usb3="00000000" w:csb0="400001FF" w:csb1="FFFF0000"/>
  </w:font>
  <w:font w:name="宋体">
    <w:panose1 w:val="02010600030101010101"/>
    <w:charset w:val="50"/>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embedRegular r:id="rId1" w:fontKey="{9BA36B1B-F66C-411D-AD73-DFBA36C7B969}"/>
  </w:font>
  <w:font w:name="黑体">
    <w:panose1 w:val="02010609060101010101"/>
    <w:charset w:val="86"/>
    <w:family w:val="auto"/>
    <w:pitch w:val="default"/>
    <w:sig w:usb0="800002BF" w:usb1="38CF7CFA" w:usb2="00000016" w:usb3="00000000" w:csb0="00040001" w:csb1="00000000"/>
    <w:embedRegular r:id="rId2" w:fontKey="{78B257D4-22BC-484A-82FA-BF53204A5B63}"/>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Cambria">
    <w:panose1 w:val="02040503050406030204"/>
    <w:charset w:val="00"/>
    <w:family w:val="roman"/>
    <w:pitch w:val="default"/>
    <w:sig w:usb0="E00002FF" w:usb1="400004FF" w:usb2="00000000" w:usb3="00000000" w:csb0="2000019F" w:csb1="00000000"/>
  </w:font>
  <w:font w:name="仿宋_GB2312">
    <w:altName w:val="仿宋"/>
    <w:panose1 w:val="02010609030101010101"/>
    <w:charset w:val="86"/>
    <w:family w:val="modern"/>
    <w:pitch w:val="default"/>
    <w:sig w:usb0="00000000" w:usb1="00000000" w:usb2="00000000" w:usb3="00000000" w:csb0="00040000" w:csb1="00000000"/>
  </w:font>
  <w:font w:name="仿宋">
    <w:panose1 w:val="02010609060101010101"/>
    <w:charset w:val="86"/>
    <w:family w:val="auto"/>
    <w:pitch w:val="default"/>
    <w:sig w:usb0="800002BF" w:usb1="38CF7CFA" w:usb2="00000016" w:usb3="00000000" w:csb0="00040001" w:csb1="00000000"/>
  </w:font>
  <w:font w:name="楷体_GB2312">
    <w:altName w:val="楷体"/>
    <w:panose1 w:val="02010609030101010101"/>
    <w:charset w:val="86"/>
    <w:family w:val="modern"/>
    <w:pitch w:val="default"/>
    <w:sig w:usb0="00000000" w:usb1="00000000" w:usb2="00000000" w:usb3="00000000" w:csb0="00040000" w:csb1="00000000"/>
  </w:font>
  <w:font w:name="楷体">
    <w:panose1 w:val="02010609060101010101"/>
    <w:charset w:val="86"/>
    <w:family w:val="auto"/>
    <w:pitch w:val="default"/>
    <w:sig w:usb0="800002BF" w:usb1="38CF7CFA" w:usb2="00000016" w:usb3="00000000" w:csb0="00040001" w:csb1="00000000"/>
  </w:font>
  <w:font w:name="TimesNewRomanPSMT">
    <w:altName w:val="宋体"/>
    <w:panose1 w:val="00000000000000000000"/>
    <w:charset w:val="00"/>
    <w:family w:val="roman"/>
    <w:pitch w:val="default"/>
    <w:sig w:usb0="00000000" w:usb1="00000000" w:usb2="00000010" w:usb3="00000000" w:csb0="00040001" w:csb1="00000000"/>
  </w:font>
  <w:font w:name="Tahoma">
    <w:panose1 w:val="020B0604030504040204"/>
    <w:charset w:val="00"/>
    <w:family w:val="swiss"/>
    <w:pitch w:val="default"/>
    <w:sig w:usb0="E1002EFF" w:usb1="C000605B" w:usb2="00000029" w:usb3="00000000" w:csb0="200101FF" w:csb1="20280000"/>
  </w:font>
  <w:font w:name="Arial Unicode MS">
    <w:altName w:val="宋体"/>
    <w:panose1 w:val="020B0604020202020204"/>
    <w:charset w:val="86"/>
    <w:family w:val="roman"/>
    <w:pitch w:val="default"/>
    <w:sig w:usb0="00000000" w:usb1="00000000" w:usb2="0000003F" w:usb3="00000000" w:csb0="603F01FF" w:csb1="FFFF0000"/>
  </w:font>
  <w:font w:name="微软雅黑">
    <w:panose1 w:val="020B0503020204020204"/>
    <w:charset w:val="86"/>
    <w:family w:val="swiss"/>
    <w:pitch w:val="default"/>
    <w:sig w:usb0="80000287" w:usb1="280F3C52" w:usb2="00000016" w:usb3="00000000" w:csb0="0004001F" w:csb1="00000000"/>
    <w:embedRegular r:id="rId3" w:fontKey="{96BEB3C9-05C8-4C0A-B107-87B5B8C2E364}"/>
  </w:font>
  <w:font w:name="方正小标宋简体">
    <w:panose1 w:val="02000000000000000000"/>
    <w:charset w:val="86"/>
    <w:family w:val="auto"/>
    <w:pitch w:val="default"/>
    <w:sig w:usb0="00000001" w:usb1="08000000" w:usb2="00000000" w:usb3="00000000" w:csb0="00040000" w:csb1="00000000"/>
    <w:embedRegular r:id="rId4" w:fontKey="{DC2F1369-AFD4-4E7A-9754-3B8A69DAC514}"/>
  </w:font>
  <w:font w:name="Wingdings 2">
    <w:panose1 w:val="05020102010507070707"/>
    <w:charset w:val="02"/>
    <w:family w:val="auto"/>
    <w:pitch w:val="default"/>
    <w:sig w:usb0="00000000" w:usb1="00000000" w:usb2="00000000" w:usb3="00000000" w:csb0="80000000" w:csb1="00000000"/>
    <w:embedRegular r:id="rId5" w:fontKey="{C0663FC1-09A8-4183-8916-1B889F30DF0E}"/>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3BCA548">
    <w:pPr>
      <w:pStyle w:val="25"/>
      <w:framePr w:wrap="around" w:vAnchor="text" w:hAnchor="margin" w:xAlign="center" w:y="1"/>
      <w:rPr>
        <w:rStyle w:val="42"/>
      </w:rPr>
    </w:pPr>
    <w:r>
      <w:fldChar w:fldCharType="begin"/>
    </w:r>
    <w:r>
      <w:rPr>
        <w:rStyle w:val="42"/>
      </w:rPr>
      <w:instrText xml:space="preserve">PAGE  </w:instrText>
    </w:r>
    <w:r>
      <w:fldChar w:fldCharType="separate"/>
    </w:r>
    <w:r>
      <w:rPr>
        <w:rStyle w:val="42"/>
      </w:rPr>
      <w:t>78</w:t>
    </w:r>
    <w:r>
      <w:fldChar w:fldCharType="end"/>
    </w:r>
  </w:p>
  <w:p w14:paraId="5A25040F">
    <w:pPr>
      <w:pStyle w:val="25"/>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0DDFFC3">
    <w:pPr>
      <w:pStyle w:val="25"/>
      <w:tabs>
        <w:tab w:val="left" w:pos="6795"/>
        <w:tab w:val="center" w:pos="6979"/>
      </w:tabs>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1BE4C6D">
    <w:pPr>
      <w:pStyle w:val="25"/>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912A7E1">
    <w:pPr>
      <w:pStyle w:val="25"/>
    </w:pPr>
    <w:r>
      <w:rPr>
        <w:sz w:val="18"/>
      </w:rP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2" name="文本框 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2864A3E7">
                          <w:pPr>
                            <w:pStyle w:val="25"/>
                          </w:pPr>
                          <w:r>
                            <w:fldChar w:fldCharType="begin"/>
                          </w:r>
                          <w:r>
                            <w:instrText xml:space="preserve"> PAGE  \* MERGEFORMAT </w:instrText>
                          </w:r>
                          <w:r>
                            <w:fldChar w:fldCharType="separate"/>
                          </w:r>
                          <w:r>
                            <w:t>1</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Akgka0MQIAAGEEAAAOAAAAAAAAAAEAIAAAAB8BAABkcnMvZTJvRG9jLnhtbFBLBQYA&#10;AAAABgAGAFkBAADCBQAAAAA=&#10;">
              <v:fill on="f" focussize="0,0"/>
              <v:stroke on="f" weight="0.5pt"/>
              <v:imagedata o:title=""/>
              <o:lock v:ext="edit" aspectratio="f"/>
              <v:textbox inset="0mm,0mm,0mm,0mm" style="mso-fit-shape-to-text:t;">
                <w:txbxContent>
                  <w:p w14:paraId="2864A3E7">
                    <w:pPr>
                      <w:pStyle w:val="25"/>
                    </w:pPr>
                    <w:r>
                      <w:fldChar w:fldCharType="begin"/>
                    </w:r>
                    <w:r>
                      <w:instrText xml:space="preserve"> PAGE  \* MERGEFORMAT </w:instrText>
                    </w:r>
                    <w:r>
                      <w:fldChar w:fldCharType="separate"/>
                    </w:r>
                    <w:r>
                      <w:t>1</w:t>
                    </w:r>
                    <w:r>
                      <w:fldChar w:fldCharType="end"/>
                    </w:r>
                  </w:p>
                </w:txbxContent>
              </v:textbox>
            </v:shape>
          </w:pict>
        </mc:Fallback>
      </mc:AlternateConten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0328093">
    <w:pPr>
      <w:pStyle w:val="25"/>
    </w:pPr>
    <w:r>
      <w:rPr>
        <w:sz w:val="18"/>
      </w:rPr>
      <mc:AlternateContent>
        <mc:Choice Requires="wps">
          <w:drawing>
            <wp:anchor distT="0" distB="0" distL="114300" distR="114300" simplePos="0" relativeHeight="251660288" behindDoc="0" locked="0" layoutInCell="1" allowOverlap="1">
              <wp:simplePos x="0" y="0"/>
              <wp:positionH relativeFrom="margin">
                <wp:align>center</wp:align>
              </wp:positionH>
              <wp:positionV relativeFrom="paragraph">
                <wp:posOffset>0</wp:posOffset>
              </wp:positionV>
              <wp:extent cx="1828800" cy="1828800"/>
              <wp:effectExtent l="0" t="0" r="0" b="0"/>
              <wp:wrapNone/>
              <wp:docPr id="3" name="文本框 3"/>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31F625C9">
                          <w:pPr>
                            <w:pStyle w:val="25"/>
                          </w:pPr>
                          <w:r>
                            <w:fldChar w:fldCharType="begin"/>
                          </w:r>
                          <w:r>
                            <w:instrText xml:space="preserve"> PAGE  \* MERGEFORMAT </w:instrText>
                          </w:r>
                          <w:r>
                            <w:fldChar w:fldCharType="separate"/>
                          </w:r>
                          <w:r>
                            <w:t>26</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028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4YDTjjICAABhBAAADgAAAAAAAAABACAAAAAfAQAAZHJzL2Uyb0RvYy54bWxQSwUG&#10;AAAAAAYABgBZAQAAwwUAAAAA&#10;">
              <v:fill on="f" focussize="0,0"/>
              <v:stroke on="f" weight="0.5pt"/>
              <v:imagedata o:title=""/>
              <o:lock v:ext="edit" aspectratio="f"/>
              <v:textbox inset="0mm,0mm,0mm,0mm" style="mso-fit-shape-to-text:t;">
                <w:txbxContent>
                  <w:p w14:paraId="31F625C9">
                    <w:pPr>
                      <w:pStyle w:val="25"/>
                    </w:pPr>
                    <w:r>
                      <w:fldChar w:fldCharType="begin"/>
                    </w:r>
                    <w:r>
                      <w:instrText xml:space="preserve"> PAGE  \* MERGEFORMAT </w:instrText>
                    </w:r>
                    <w:r>
                      <w:fldChar w:fldCharType="separate"/>
                    </w:r>
                    <w:r>
                      <w:t>26</w:t>
                    </w:r>
                    <w:r>
                      <w:fldChar w:fldCharType="end"/>
                    </w:r>
                  </w:p>
                </w:txbxContent>
              </v:textbox>
            </v:shape>
          </w:pict>
        </mc:Fallback>
      </mc:AlternateConten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43E3E5B">
    <w:pPr>
      <w:pStyle w:val="26"/>
      <w:pBdr>
        <w:bottom w:val="none" w:color="auto" w:sz="0" w:space="0"/>
      </w:pBd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5B73285">
    <w:pPr>
      <w:pStyle w:val="26"/>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A742CF4">
    <w:pPr>
      <w:pStyle w:val="26"/>
      <w:pBdr>
        <w:bottom w:val="none" w:color="auto" w:sz="0" w:space="0"/>
      </w:pBd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AD19E3ED"/>
    <w:multiLevelType w:val="multilevel"/>
    <w:tmpl w:val="AD19E3ED"/>
    <w:lvl w:ilvl="0" w:tentative="0">
      <w:start w:val="1"/>
      <w:numFmt w:val="chineseCounting"/>
      <w:pStyle w:val="2"/>
      <w:suff w:val="nothing"/>
      <w:lvlText w:val="第%1章 "/>
      <w:lvlJc w:val="left"/>
      <w:pPr>
        <w:ind w:left="0" w:firstLine="402"/>
      </w:pPr>
      <w:rPr>
        <w:rFonts w:hint="eastAsia"/>
        <w:sz w:val="44"/>
        <w:szCs w:val="44"/>
      </w:rPr>
    </w:lvl>
    <w:lvl w:ilvl="1" w:tentative="0">
      <w:start w:val="1"/>
      <w:numFmt w:val="chineseCounting"/>
      <w:suff w:val="nothing"/>
      <w:lvlText w:val="%2、"/>
      <w:lvlJc w:val="left"/>
      <w:pPr>
        <w:ind w:left="0" w:firstLine="402"/>
      </w:pPr>
      <w:rPr>
        <w:rFonts w:hint="eastAsia"/>
      </w:rPr>
    </w:lvl>
    <w:lvl w:ilvl="2" w:tentative="0">
      <w:start w:val="1"/>
      <w:numFmt w:val="decimal"/>
      <w:suff w:val="nothing"/>
      <w:lvlText w:val="%3．"/>
      <w:lvlJc w:val="left"/>
      <w:pPr>
        <w:ind w:left="0" w:firstLine="402"/>
      </w:pPr>
      <w:rPr>
        <w:rFonts w:hint="eastAsia"/>
      </w:rPr>
    </w:lvl>
    <w:lvl w:ilvl="3" w:tentative="0">
      <w:start w:val="1"/>
      <w:numFmt w:val="decimal"/>
      <w:suff w:val="nothing"/>
      <w:lvlText w:val="（%4）"/>
      <w:lvlJc w:val="left"/>
      <w:pPr>
        <w:ind w:left="0" w:firstLine="402"/>
      </w:pPr>
      <w:rPr>
        <w:rFonts w:hint="eastAsia"/>
      </w:rPr>
    </w:lvl>
    <w:lvl w:ilvl="4" w:tentative="0">
      <w:start w:val="1"/>
      <w:numFmt w:val="decimalEnclosedCircleChinese"/>
      <w:suff w:val="nothing"/>
      <w:lvlText w:val="%5 "/>
      <w:lvlJc w:val="left"/>
      <w:pPr>
        <w:ind w:left="0" w:firstLine="402"/>
      </w:pPr>
      <w:rPr>
        <w:rFonts w:hint="eastAsia"/>
      </w:rPr>
    </w:lvl>
    <w:lvl w:ilvl="5" w:tentative="0">
      <w:start w:val="1"/>
      <w:numFmt w:val="decimal"/>
      <w:suff w:val="nothing"/>
      <w:lvlText w:val="%6）"/>
      <w:lvlJc w:val="left"/>
      <w:pPr>
        <w:ind w:left="0" w:firstLine="402"/>
      </w:pPr>
      <w:rPr>
        <w:rFonts w:hint="eastAsia"/>
      </w:rPr>
    </w:lvl>
    <w:lvl w:ilvl="6" w:tentative="0">
      <w:start w:val="1"/>
      <w:numFmt w:val="lowerLetter"/>
      <w:suff w:val="nothing"/>
      <w:lvlText w:val="%7．"/>
      <w:lvlJc w:val="left"/>
      <w:pPr>
        <w:ind w:left="0" w:firstLine="402"/>
      </w:pPr>
      <w:rPr>
        <w:rFonts w:hint="eastAsia"/>
      </w:rPr>
    </w:lvl>
    <w:lvl w:ilvl="7" w:tentative="0">
      <w:start w:val="1"/>
      <w:numFmt w:val="lowerLetter"/>
      <w:suff w:val="nothing"/>
      <w:lvlText w:val="%8）"/>
      <w:lvlJc w:val="left"/>
      <w:pPr>
        <w:ind w:left="0" w:firstLine="402"/>
      </w:pPr>
      <w:rPr>
        <w:rFonts w:hint="eastAsia"/>
      </w:rPr>
    </w:lvl>
    <w:lvl w:ilvl="8" w:tentative="0">
      <w:start w:val="1"/>
      <w:numFmt w:val="lowerRoman"/>
      <w:suff w:val="nothing"/>
      <w:lvlText w:val="%9. "/>
      <w:lvlJc w:val="left"/>
      <w:pPr>
        <w:ind w:left="0" w:firstLine="402"/>
      </w:pPr>
      <w:rPr>
        <w:rFonts w:hint="eastAsia"/>
      </w:rPr>
    </w:lvl>
  </w:abstractNum>
  <w:abstractNum w:abstractNumId="1">
    <w:nsid w:val="15099E39"/>
    <w:multiLevelType w:val="singleLevel"/>
    <w:tmpl w:val="15099E39"/>
    <w:lvl w:ilvl="0" w:tentative="0">
      <w:start w:val="7"/>
      <w:numFmt w:val="chineseCounting"/>
      <w:suff w:val="nothing"/>
      <w:lvlText w:val="%1、"/>
      <w:lvlJc w:val="left"/>
      <w:rPr>
        <w:rFonts w:hint="eastAsia"/>
      </w:rPr>
    </w:lvl>
  </w:abstractNum>
  <w:abstractNum w:abstractNumId="2">
    <w:nsid w:val="2797B736"/>
    <w:multiLevelType w:val="singleLevel"/>
    <w:tmpl w:val="2797B736"/>
    <w:lvl w:ilvl="0" w:tentative="0">
      <w:start w:val="6"/>
      <w:numFmt w:val="decimal"/>
      <w:suff w:val="nothing"/>
      <w:lvlText w:val="%1、"/>
      <w:lvlJc w:val="left"/>
    </w:lvl>
  </w:abstractNum>
  <w:abstractNum w:abstractNumId="3">
    <w:nsid w:val="349D8517"/>
    <w:multiLevelType w:val="singleLevel"/>
    <w:tmpl w:val="349D8517"/>
    <w:lvl w:ilvl="0" w:tentative="0">
      <w:start w:val="1"/>
      <w:numFmt w:val="decimal"/>
      <w:suff w:val="nothing"/>
      <w:lvlText w:val="%1、"/>
      <w:lvlJc w:val="left"/>
    </w:lvl>
  </w:abstractNum>
  <w:abstractNum w:abstractNumId="4">
    <w:nsid w:val="4EEB5ED9"/>
    <w:multiLevelType w:val="singleLevel"/>
    <w:tmpl w:val="4EEB5ED9"/>
    <w:lvl w:ilvl="0" w:tentative="0">
      <w:start w:val="1"/>
      <w:numFmt w:val="decimal"/>
      <w:lvlText w:val="%1."/>
      <w:lvlJc w:val="left"/>
      <w:pPr>
        <w:tabs>
          <w:tab w:val="left" w:pos="312"/>
        </w:tabs>
      </w:pPr>
    </w:lvl>
  </w:abstractNum>
  <w:abstractNum w:abstractNumId="5">
    <w:nsid w:val="77921E00"/>
    <w:multiLevelType w:val="singleLevel"/>
    <w:tmpl w:val="77921E00"/>
    <w:lvl w:ilvl="0" w:tentative="0">
      <w:start w:val="1"/>
      <w:numFmt w:val="decimal"/>
      <w:suff w:val="nothing"/>
      <w:lvlText w:val="（%1）"/>
      <w:lvlJc w:val="left"/>
    </w:lvl>
  </w:abstractNum>
  <w:abstractNum w:abstractNumId="6">
    <w:nsid w:val="7A55EF4A"/>
    <w:multiLevelType w:val="singleLevel"/>
    <w:tmpl w:val="7A55EF4A"/>
    <w:lvl w:ilvl="0" w:tentative="0">
      <w:start w:val="1"/>
      <w:numFmt w:val="decimal"/>
      <w:suff w:val="nothing"/>
      <w:lvlText w:val="%1、"/>
      <w:lvlJc w:val="left"/>
    </w:lvl>
  </w:abstractNum>
  <w:num w:numId="1">
    <w:abstractNumId w:val="0"/>
  </w:num>
  <w:num w:numId="2">
    <w:abstractNumId w:val="6"/>
  </w:num>
  <w:num w:numId="3">
    <w:abstractNumId w:val="1"/>
  </w:num>
  <w:num w:numId="4">
    <w:abstractNumId w:val="4"/>
  </w:num>
  <w:num w:numId="5">
    <w:abstractNumId w:val="3"/>
  </w:num>
  <w:num w:numId="6">
    <w:abstractNumId w:val="5"/>
  </w:num>
  <w:num w:numId="7">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80"/>
  <w:embedTrueTypeFonts/>
  <w:saveSubsetFonts/>
  <w:bordersDoNotSurroundHeader w:val="0"/>
  <w:bordersDoNotSurroundFooter w:val="0"/>
  <w:hideGrammaticalErrors/>
  <w:documentProtection w:enforcement="0"/>
  <w:defaultTabStop w:val="420"/>
  <w:drawingGridHorizontalSpacing w:val="105"/>
  <w:drawingGridVerticalSpacing w:val="156"/>
  <w:displayHorizontalDrawingGridEvery w:val="1"/>
  <w:displayVerticalDrawingGridEvery w:val="1"/>
  <w:noPunctuationKerning w:val="1"/>
  <w:characterSpacingControl w:val="compressPunctuation"/>
  <w:doNotValidateAgainstSchema/>
  <w:doNotDemarcateInvalidXml/>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Mjg1NmJjMjFiNTQ1OTkyZmQxZWRhNmFjMmJmZjRlMDYifQ=="/>
  </w:docVars>
  <w:rsids>
    <w:rsidRoot w:val="00172A27"/>
    <w:rsid w:val="0000127A"/>
    <w:rsid w:val="000046E4"/>
    <w:rsid w:val="0000600D"/>
    <w:rsid w:val="00010974"/>
    <w:rsid w:val="00010D74"/>
    <w:rsid w:val="00011097"/>
    <w:rsid w:val="000125FF"/>
    <w:rsid w:val="00014BD2"/>
    <w:rsid w:val="000151D0"/>
    <w:rsid w:val="0002006B"/>
    <w:rsid w:val="000200E6"/>
    <w:rsid w:val="000219C1"/>
    <w:rsid w:val="000222C3"/>
    <w:rsid w:val="0003050C"/>
    <w:rsid w:val="00032252"/>
    <w:rsid w:val="00032C03"/>
    <w:rsid w:val="00032CE7"/>
    <w:rsid w:val="00033098"/>
    <w:rsid w:val="0003309A"/>
    <w:rsid w:val="000344EB"/>
    <w:rsid w:val="00037005"/>
    <w:rsid w:val="00037FA1"/>
    <w:rsid w:val="00040207"/>
    <w:rsid w:val="00040C2A"/>
    <w:rsid w:val="000415BC"/>
    <w:rsid w:val="00041A17"/>
    <w:rsid w:val="0004360F"/>
    <w:rsid w:val="000436B4"/>
    <w:rsid w:val="00044E26"/>
    <w:rsid w:val="00045457"/>
    <w:rsid w:val="00046B26"/>
    <w:rsid w:val="0005142E"/>
    <w:rsid w:val="00053CE3"/>
    <w:rsid w:val="00053D32"/>
    <w:rsid w:val="000564DD"/>
    <w:rsid w:val="000571DB"/>
    <w:rsid w:val="00060D3F"/>
    <w:rsid w:val="00061102"/>
    <w:rsid w:val="00062204"/>
    <w:rsid w:val="00062361"/>
    <w:rsid w:val="00062603"/>
    <w:rsid w:val="000640F9"/>
    <w:rsid w:val="000646A3"/>
    <w:rsid w:val="00066E42"/>
    <w:rsid w:val="00072E30"/>
    <w:rsid w:val="000749B0"/>
    <w:rsid w:val="00083EEE"/>
    <w:rsid w:val="00084F26"/>
    <w:rsid w:val="000861E8"/>
    <w:rsid w:val="00086E4F"/>
    <w:rsid w:val="00086FA6"/>
    <w:rsid w:val="0009068A"/>
    <w:rsid w:val="00092B68"/>
    <w:rsid w:val="00095698"/>
    <w:rsid w:val="00095CE3"/>
    <w:rsid w:val="000966F1"/>
    <w:rsid w:val="000A06E4"/>
    <w:rsid w:val="000A0823"/>
    <w:rsid w:val="000A229C"/>
    <w:rsid w:val="000A4704"/>
    <w:rsid w:val="000A610B"/>
    <w:rsid w:val="000A7E4A"/>
    <w:rsid w:val="000B00B7"/>
    <w:rsid w:val="000B07E4"/>
    <w:rsid w:val="000B19CA"/>
    <w:rsid w:val="000B552C"/>
    <w:rsid w:val="000C4DBE"/>
    <w:rsid w:val="000C5BCA"/>
    <w:rsid w:val="000D1CD0"/>
    <w:rsid w:val="000D78B7"/>
    <w:rsid w:val="000E0C7D"/>
    <w:rsid w:val="000E110B"/>
    <w:rsid w:val="000E15BE"/>
    <w:rsid w:val="000E1BA4"/>
    <w:rsid w:val="000E1D72"/>
    <w:rsid w:val="000E2328"/>
    <w:rsid w:val="000E344B"/>
    <w:rsid w:val="000E5FEC"/>
    <w:rsid w:val="000F25C5"/>
    <w:rsid w:val="000F298B"/>
    <w:rsid w:val="000F356D"/>
    <w:rsid w:val="000F3915"/>
    <w:rsid w:val="000F3A51"/>
    <w:rsid w:val="000F6D32"/>
    <w:rsid w:val="000F71F0"/>
    <w:rsid w:val="000F72C9"/>
    <w:rsid w:val="000F78AE"/>
    <w:rsid w:val="000F7D3F"/>
    <w:rsid w:val="00100761"/>
    <w:rsid w:val="00101FFF"/>
    <w:rsid w:val="0010598A"/>
    <w:rsid w:val="00111685"/>
    <w:rsid w:val="00120AAE"/>
    <w:rsid w:val="00121240"/>
    <w:rsid w:val="00122ED0"/>
    <w:rsid w:val="00123224"/>
    <w:rsid w:val="0012586A"/>
    <w:rsid w:val="00130B36"/>
    <w:rsid w:val="00133DC7"/>
    <w:rsid w:val="001347DE"/>
    <w:rsid w:val="00136E66"/>
    <w:rsid w:val="00140E32"/>
    <w:rsid w:val="00142E14"/>
    <w:rsid w:val="001438F5"/>
    <w:rsid w:val="00146C4A"/>
    <w:rsid w:val="00147B57"/>
    <w:rsid w:val="001512A3"/>
    <w:rsid w:val="00152F88"/>
    <w:rsid w:val="00154C6F"/>
    <w:rsid w:val="00156533"/>
    <w:rsid w:val="00164525"/>
    <w:rsid w:val="001658AF"/>
    <w:rsid w:val="0016618E"/>
    <w:rsid w:val="00166ED5"/>
    <w:rsid w:val="00171BE9"/>
    <w:rsid w:val="00172280"/>
    <w:rsid w:val="00172A27"/>
    <w:rsid w:val="00172BD7"/>
    <w:rsid w:val="001744F6"/>
    <w:rsid w:val="001750C6"/>
    <w:rsid w:val="001757BF"/>
    <w:rsid w:val="001773FD"/>
    <w:rsid w:val="00180575"/>
    <w:rsid w:val="001814BE"/>
    <w:rsid w:val="0018334D"/>
    <w:rsid w:val="00187B23"/>
    <w:rsid w:val="001911C0"/>
    <w:rsid w:val="001917B7"/>
    <w:rsid w:val="0019241A"/>
    <w:rsid w:val="001938E2"/>
    <w:rsid w:val="00194F75"/>
    <w:rsid w:val="001954E3"/>
    <w:rsid w:val="001956F2"/>
    <w:rsid w:val="001973FE"/>
    <w:rsid w:val="001978B0"/>
    <w:rsid w:val="001A2289"/>
    <w:rsid w:val="001A38B0"/>
    <w:rsid w:val="001A79FC"/>
    <w:rsid w:val="001B0C35"/>
    <w:rsid w:val="001C0CD6"/>
    <w:rsid w:val="001C3EB4"/>
    <w:rsid w:val="001C3FBD"/>
    <w:rsid w:val="001C637E"/>
    <w:rsid w:val="001C6389"/>
    <w:rsid w:val="001C63E2"/>
    <w:rsid w:val="001C6661"/>
    <w:rsid w:val="001C6A8E"/>
    <w:rsid w:val="001C79CF"/>
    <w:rsid w:val="001C7D41"/>
    <w:rsid w:val="001D0872"/>
    <w:rsid w:val="001E0039"/>
    <w:rsid w:val="001F17CC"/>
    <w:rsid w:val="001F6242"/>
    <w:rsid w:val="001F730E"/>
    <w:rsid w:val="00200766"/>
    <w:rsid w:val="00201459"/>
    <w:rsid w:val="0020305C"/>
    <w:rsid w:val="00205EF2"/>
    <w:rsid w:val="002063A9"/>
    <w:rsid w:val="00207973"/>
    <w:rsid w:val="00210F33"/>
    <w:rsid w:val="00214CEF"/>
    <w:rsid w:val="0021505B"/>
    <w:rsid w:val="002161A6"/>
    <w:rsid w:val="00223FFF"/>
    <w:rsid w:val="00230623"/>
    <w:rsid w:val="00232D94"/>
    <w:rsid w:val="00234676"/>
    <w:rsid w:val="0023649E"/>
    <w:rsid w:val="00236C97"/>
    <w:rsid w:val="00240005"/>
    <w:rsid w:val="002408AE"/>
    <w:rsid w:val="00241875"/>
    <w:rsid w:val="00242A12"/>
    <w:rsid w:val="00243E6F"/>
    <w:rsid w:val="00243ECD"/>
    <w:rsid w:val="0024446A"/>
    <w:rsid w:val="00244E2B"/>
    <w:rsid w:val="002463D2"/>
    <w:rsid w:val="002463EA"/>
    <w:rsid w:val="0025010E"/>
    <w:rsid w:val="002525C0"/>
    <w:rsid w:val="00254358"/>
    <w:rsid w:val="00256EA4"/>
    <w:rsid w:val="00257000"/>
    <w:rsid w:val="0025786E"/>
    <w:rsid w:val="00257AB2"/>
    <w:rsid w:val="00262786"/>
    <w:rsid w:val="00264C27"/>
    <w:rsid w:val="00264D2F"/>
    <w:rsid w:val="0026522F"/>
    <w:rsid w:val="002655ED"/>
    <w:rsid w:val="00271B79"/>
    <w:rsid w:val="00272443"/>
    <w:rsid w:val="002743CF"/>
    <w:rsid w:val="0028075C"/>
    <w:rsid w:val="00280E35"/>
    <w:rsid w:val="002811A6"/>
    <w:rsid w:val="00281AB3"/>
    <w:rsid w:val="00281EE0"/>
    <w:rsid w:val="00282923"/>
    <w:rsid w:val="00284F56"/>
    <w:rsid w:val="00285842"/>
    <w:rsid w:val="0029040E"/>
    <w:rsid w:val="002917A1"/>
    <w:rsid w:val="0029530E"/>
    <w:rsid w:val="002957B4"/>
    <w:rsid w:val="00297BE1"/>
    <w:rsid w:val="002A1243"/>
    <w:rsid w:val="002A1919"/>
    <w:rsid w:val="002A20B3"/>
    <w:rsid w:val="002A4FB2"/>
    <w:rsid w:val="002A5282"/>
    <w:rsid w:val="002B1B49"/>
    <w:rsid w:val="002B287F"/>
    <w:rsid w:val="002B7F6A"/>
    <w:rsid w:val="002C2564"/>
    <w:rsid w:val="002C3178"/>
    <w:rsid w:val="002C475E"/>
    <w:rsid w:val="002C498C"/>
    <w:rsid w:val="002C5518"/>
    <w:rsid w:val="002C5B9D"/>
    <w:rsid w:val="002C5EC5"/>
    <w:rsid w:val="002C683F"/>
    <w:rsid w:val="002C6F70"/>
    <w:rsid w:val="002C79EA"/>
    <w:rsid w:val="002D111D"/>
    <w:rsid w:val="002D42EE"/>
    <w:rsid w:val="002D44D5"/>
    <w:rsid w:val="002D4F24"/>
    <w:rsid w:val="002D4FCA"/>
    <w:rsid w:val="002D753F"/>
    <w:rsid w:val="002E0E2F"/>
    <w:rsid w:val="002E0FBF"/>
    <w:rsid w:val="002E28C1"/>
    <w:rsid w:val="002E5716"/>
    <w:rsid w:val="002E66D1"/>
    <w:rsid w:val="002E6F98"/>
    <w:rsid w:val="002E7AB6"/>
    <w:rsid w:val="002F01D8"/>
    <w:rsid w:val="002F1666"/>
    <w:rsid w:val="002F1BEE"/>
    <w:rsid w:val="002F24F3"/>
    <w:rsid w:val="002F31EE"/>
    <w:rsid w:val="002F5131"/>
    <w:rsid w:val="003002CF"/>
    <w:rsid w:val="00303816"/>
    <w:rsid w:val="00310DC8"/>
    <w:rsid w:val="00312F84"/>
    <w:rsid w:val="003140DB"/>
    <w:rsid w:val="00314317"/>
    <w:rsid w:val="00314675"/>
    <w:rsid w:val="003222A6"/>
    <w:rsid w:val="0032292E"/>
    <w:rsid w:val="00322954"/>
    <w:rsid w:val="003240E9"/>
    <w:rsid w:val="003241E0"/>
    <w:rsid w:val="00324FEC"/>
    <w:rsid w:val="00326E0F"/>
    <w:rsid w:val="00327DE2"/>
    <w:rsid w:val="003314F2"/>
    <w:rsid w:val="00331D2C"/>
    <w:rsid w:val="00331E05"/>
    <w:rsid w:val="003347D4"/>
    <w:rsid w:val="00334C25"/>
    <w:rsid w:val="00336574"/>
    <w:rsid w:val="00336F09"/>
    <w:rsid w:val="00336F44"/>
    <w:rsid w:val="003376E8"/>
    <w:rsid w:val="00337E81"/>
    <w:rsid w:val="00340DC7"/>
    <w:rsid w:val="003413E9"/>
    <w:rsid w:val="00341F1C"/>
    <w:rsid w:val="00342B02"/>
    <w:rsid w:val="00344971"/>
    <w:rsid w:val="003458D6"/>
    <w:rsid w:val="00346898"/>
    <w:rsid w:val="00347869"/>
    <w:rsid w:val="00353706"/>
    <w:rsid w:val="00355EF8"/>
    <w:rsid w:val="0036070C"/>
    <w:rsid w:val="00361FD0"/>
    <w:rsid w:val="00362424"/>
    <w:rsid w:val="0036346B"/>
    <w:rsid w:val="0036418B"/>
    <w:rsid w:val="00367CD5"/>
    <w:rsid w:val="00370680"/>
    <w:rsid w:val="00370E65"/>
    <w:rsid w:val="0037143C"/>
    <w:rsid w:val="003724EA"/>
    <w:rsid w:val="00372C9F"/>
    <w:rsid w:val="00380A6E"/>
    <w:rsid w:val="00385443"/>
    <w:rsid w:val="003924D0"/>
    <w:rsid w:val="00394DBB"/>
    <w:rsid w:val="0039595B"/>
    <w:rsid w:val="003959BD"/>
    <w:rsid w:val="00395CE3"/>
    <w:rsid w:val="003973A5"/>
    <w:rsid w:val="003A19F7"/>
    <w:rsid w:val="003A4871"/>
    <w:rsid w:val="003A641E"/>
    <w:rsid w:val="003A70B4"/>
    <w:rsid w:val="003A716A"/>
    <w:rsid w:val="003A7351"/>
    <w:rsid w:val="003B0D5F"/>
    <w:rsid w:val="003B1CB2"/>
    <w:rsid w:val="003B5F2C"/>
    <w:rsid w:val="003B62CB"/>
    <w:rsid w:val="003B6338"/>
    <w:rsid w:val="003C0736"/>
    <w:rsid w:val="003C0B59"/>
    <w:rsid w:val="003C0EF7"/>
    <w:rsid w:val="003C3A4F"/>
    <w:rsid w:val="003D0F5E"/>
    <w:rsid w:val="003D1E87"/>
    <w:rsid w:val="003D2A8A"/>
    <w:rsid w:val="003D3D8D"/>
    <w:rsid w:val="003D5C8D"/>
    <w:rsid w:val="003D60CD"/>
    <w:rsid w:val="003D6932"/>
    <w:rsid w:val="003E6E6E"/>
    <w:rsid w:val="003F1678"/>
    <w:rsid w:val="003F2733"/>
    <w:rsid w:val="003F5AFB"/>
    <w:rsid w:val="003F5F4E"/>
    <w:rsid w:val="003F6DBE"/>
    <w:rsid w:val="003F7741"/>
    <w:rsid w:val="003F7C23"/>
    <w:rsid w:val="0040153E"/>
    <w:rsid w:val="004021B2"/>
    <w:rsid w:val="00402E72"/>
    <w:rsid w:val="00403E3E"/>
    <w:rsid w:val="0041110E"/>
    <w:rsid w:val="00415A68"/>
    <w:rsid w:val="00415D1F"/>
    <w:rsid w:val="004170BB"/>
    <w:rsid w:val="0042161D"/>
    <w:rsid w:val="00423BD6"/>
    <w:rsid w:val="00425789"/>
    <w:rsid w:val="0042746A"/>
    <w:rsid w:val="0043473E"/>
    <w:rsid w:val="00434D03"/>
    <w:rsid w:val="00444F0E"/>
    <w:rsid w:val="00445DE0"/>
    <w:rsid w:val="00446170"/>
    <w:rsid w:val="00447102"/>
    <w:rsid w:val="00447C5D"/>
    <w:rsid w:val="00451945"/>
    <w:rsid w:val="00452707"/>
    <w:rsid w:val="00452DE7"/>
    <w:rsid w:val="00452E1D"/>
    <w:rsid w:val="004534E6"/>
    <w:rsid w:val="00454A50"/>
    <w:rsid w:val="00454ED7"/>
    <w:rsid w:val="004563EE"/>
    <w:rsid w:val="00456700"/>
    <w:rsid w:val="0046176F"/>
    <w:rsid w:val="00461B11"/>
    <w:rsid w:val="00461B7E"/>
    <w:rsid w:val="00464AC0"/>
    <w:rsid w:val="00464F95"/>
    <w:rsid w:val="00465F61"/>
    <w:rsid w:val="00467FB4"/>
    <w:rsid w:val="00472D21"/>
    <w:rsid w:val="00473E3D"/>
    <w:rsid w:val="00473E4C"/>
    <w:rsid w:val="00480632"/>
    <w:rsid w:val="00481882"/>
    <w:rsid w:val="00483C7D"/>
    <w:rsid w:val="00484827"/>
    <w:rsid w:val="0049052E"/>
    <w:rsid w:val="0049531E"/>
    <w:rsid w:val="004967B7"/>
    <w:rsid w:val="00496F27"/>
    <w:rsid w:val="004975DD"/>
    <w:rsid w:val="004A0005"/>
    <w:rsid w:val="004A312F"/>
    <w:rsid w:val="004A31A2"/>
    <w:rsid w:val="004A345A"/>
    <w:rsid w:val="004A6C98"/>
    <w:rsid w:val="004B0339"/>
    <w:rsid w:val="004B0348"/>
    <w:rsid w:val="004B156D"/>
    <w:rsid w:val="004B38DC"/>
    <w:rsid w:val="004B54F7"/>
    <w:rsid w:val="004B5AF8"/>
    <w:rsid w:val="004C30B9"/>
    <w:rsid w:val="004D09E0"/>
    <w:rsid w:val="004D4C79"/>
    <w:rsid w:val="004D59BD"/>
    <w:rsid w:val="004D5ADB"/>
    <w:rsid w:val="004E3942"/>
    <w:rsid w:val="004E44D2"/>
    <w:rsid w:val="004E59C6"/>
    <w:rsid w:val="004E5DC7"/>
    <w:rsid w:val="004F21C9"/>
    <w:rsid w:val="004F60B2"/>
    <w:rsid w:val="004F7EC7"/>
    <w:rsid w:val="00505D12"/>
    <w:rsid w:val="00510425"/>
    <w:rsid w:val="00510663"/>
    <w:rsid w:val="00511016"/>
    <w:rsid w:val="0051316F"/>
    <w:rsid w:val="00520007"/>
    <w:rsid w:val="00520999"/>
    <w:rsid w:val="00520B7E"/>
    <w:rsid w:val="00521380"/>
    <w:rsid w:val="00525007"/>
    <w:rsid w:val="00530EB2"/>
    <w:rsid w:val="005334CE"/>
    <w:rsid w:val="0053564B"/>
    <w:rsid w:val="005363BC"/>
    <w:rsid w:val="0053721E"/>
    <w:rsid w:val="0053728E"/>
    <w:rsid w:val="0053732E"/>
    <w:rsid w:val="0053785D"/>
    <w:rsid w:val="00540C7E"/>
    <w:rsid w:val="005419BD"/>
    <w:rsid w:val="00542B73"/>
    <w:rsid w:val="005435D2"/>
    <w:rsid w:val="00544E6C"/>
    <w:rsid w:val="00547AF6"/>
    <w:rsid w:val="00552127"/>
    <w:rsid w:val="00553434"/>
    <w:rsid w:val="00556C93"/>
    <w:rsid w:val="00557E3D"/>
    <w:rsid w:val="00560A95"/>
    <w:rsid w:val="00562CC7"/>
    <w:rsid w:val="005633AA"/>
    <w:rsid w:val="00565E79"/>
    <w:rsid w:val="00566101"/>
    <w:rsid w:val="00566D3D"/>
    <w:rsid w:val="00571145"/>
    <w:rsid w:val="00573200"/>
    <w:rsid w:val="0057386B"/>
    <w:rsid w:val="00574BAE"/>
    <w:rsid w:val="00575F89"/>
    <w:rsid w:val="00576290"/>
    <w:rsid w:val="005770EC"/>
    <w:rsid w:val="005776DC"/>
    <w:rsid w:val="005805C7"/>
    <w:rsid w:val="005845EA"/>
    <w:rsid w:val="005950BE"/>
    <w:rsid w:val="00595675"/>
    <w:rsid w:val="00595FC1"/>
    <w:rsid w:val="005A0060"/>
    <w:rsid w:val="005A3FC1"/>
    <w:rsid w:val="005B05D4"/>
    <w:rsid w:val="005B1161"/>
    <w:rsid w:val="005B2960"/>
    <w:rsid w:val="005B48BD"/>
    <w:rsid w:val="005B4D7D"/>
    <w:rsid w:val="005B5AA7"/>
    <w:rsid w:val="005B5D27"/>
    <w:rsid w:val="005C0B67"/>
    <w:rsid w:val="005C0C44"/>
    <w:rsid w:val="005C0CC4"/>
    <w:rsid w:val="005C1192"/>
    <w:rsid w:val="005C1441"/>
    <w:rsid w:val="005C51D2"/>
    <w:rsid w:val="005C5FA8"/>
    <w:rsid w:val="005D1DE0"/>
    <w:rsid w:val="005D664F"/>
    <w:rsid w:val="005D7472"/>
    <w:rsid w:val="005E1BA1"/>
    <w:rsid w:val="005E2B57"/>
    <w:rsid w:val="005E7453"/>
    <w:rsid w:val="005E7A30"/>
    <w:rsid w:val="005F488B"/>
    <w:rsid w:val="005F5E5A"/>
    <w:rsid w:val="00602673"/>
    <w:rsid w:val="006029B0"/>
    <w:rsid w:val="00602CCE"/>
    <w:rsid w:val="006047E6"/>
    <w:rsid w:val="006061A0"/>
    <w:rsid w:val="006104BC"/>
    <w:rsid w:val="0061446A"/>
    <w:rsid w:val="0061632D"/>
    <w:rsid w:val="0062056D"/>
    <w:rsid w:val="00620996"/>
    <w:rsid w:val="0062106A"/>
    <w:rsid w:val="00625060"/>
    <w:rsid w:val="00631A85"/>
    <w:rsid w:val="0063502A"/>
    <w:rsid w:val="0063572B"/>
    <w:rsid w:val="00640427"/>
    <w:rsid w:val="006424B9"/>
    <w:rsid w:val="00644077"/>
    <w:rsid w:val="00647514"/>
    <w:rsid w:val="00651C95"/>
    <w:rsid w:val="00652185"/>
    <w:rsid w:val="00653C1B"/>
    <w:rsid w:val="00654977"/>
    <w:rsid w:val="00660D36"/>
    <w:rsid w:val="00663A43"/>
    <w:rsid w:val="00667818"/>
    <w:rsid w:val="00667BB8"/>
    <w:rsid w:val="00673ACF"/>
    <w:rsid w:val="00673BB9"/>
    <w:rsid w:val="0067516A"/>
    <w:rsid w:val="00675A3F"/>
    <w:rsid w:val="00676039"/>
    <w:rsid w:val="006952DB"/>
    <w:rsid w:val="00696688"/>
    <w:rsid w:val="006A04D6"/>
    <w:rsid w:val="006A0E43"/>
    <w:rsid w:val="006A430A"/>
    <w:rsid w:val="006A4760"/>
    <w:rsid w:val="006A4D72"/>
    <w:rsid w:val="006A6D80"/>
    <w:rsid w:val="006B0604"/>
    <w:rsid w:val="006B1C14"/>
    <w:rsid w:val="006B1D53"/>
    <w:rsid w:val="006B26D0"/>
    <w:rsid w:val="006B4B65"/>
    <w:rsid w:val="006C200B"/>
    <w:rsid w:val="006C6228"/>
    <w:rsid w:val="006D047A"/>
    <w:rsid w:val="006D2B07"/>
    <w:rsid w:val="006D388F"/>
    <w:rsid w:val="006D6F27"/>
    <w:rsid w:val="006E1A93"/>
    <w:rsid w:val="006E2DFF"/>
    <w:rsid w:val="006E363E"/>
    <w:rsid w:val="006E389F"/>
    <w:rsid w:val="006E73DC"/>
    <w:rsid w:val="006E74AD"/>
    <w:rsid w:val="006F0B27"/>
    <w:rsid w:val="006F12FE"/>
    <w:rsid w:val="006F33AC"/>
    <w:rsid w:val="006F415F"/>
    <w:rsid w:val="006F41ED"/>
    <w:rsid w:val="006F4A3A"/>
    <w:rsid w:val="006F4D08"/>
    <w:rsid w:val="006F4EF7"/>
    <w:rsid w:val="006F4FC6"/>
    <w:rsid w:val="00700AC4"/>
    <w:rsid w:val="0070226B"/>
    <w:rsid w:val="00703987"/>
    <w:rsid w:val="00705DE9"/>
    <w:rsid w:val="007073DD"/>
    <w:rsid w:val="00707815"/>
    <w:rsid w:val="00712848"/>
    <w:rsid w:val="007140CB"/>
    <w:rsid w:val="00714BD3"/>
    <w:rsid w:val="007163BB"/>
    <w:rsid w:val="007203AE"/>
    <w:rsid w:val="00724326"/>
    <w:rsid w:val="00730F37"/>
    <w:rsid w:val="00732238"/>
    <w:rsid w:val="007346EF"/>
    <w:rsid w:val="00734724"/>
    <w:rsid w:val="00736D1C"/>
    <w:rsid w:val="007404F7"/>
    <w:rsid w:val="00740C29"/>
    <w:rsid w:val="007426A7"/>
    <w:rsid w:val="00742AEF"/>
    <w:rsid w:val="00742F53"/>
    <w:rsid w:val="00744D03"/>
    <w:rsid w:val="0074541E"/>
    <w:rsid w:val="007465C3"/>
    <w:rsid w:val="00746A82"/>
    <w:rsid w:val="00746C36"/>
    <w:rsid w:val="00747644"/>
    <w:rsid w:val="00752BD1"/>
    <w:rsid w:val="00753235"/>
    <w:rsid w:val="00757508"/>
    <w:rsid w:val="0076018B"/>
    <w:rsid w:val="00762605"/>
    <w:rsid w:val="007627FF"/>
    <w:rsid w:val="007649EA"/>
    <w:rsid w:val="00764A13"/>
    <w:rsid w:val="00764E62"/>
    <w:rsid w:val="00765277"/>
    <w:rsid w:val="007665A0"/>
    <w:rsid w:val="00767B18"/>
    <w:rsid w:val="007708FA"/>
    <w:rsid w:val="00771C9B"/>
    <w:rsid w:val="00771F3A"/>
    <w:rsid w:val="00771FD8"/>
    <w:rsid w:val="00776161"/>
    <w:rsid w:val="0077723D"/>
    <w:rsid w:val="0077737A"/>
    <w:rsid w:val="00785625"/>
    <w:rsid w:val="00785F2C"/>
    <w:rsid w:val="00787F11"/>
    <w:rsid w:val="00793B30"/>
    <w:rsid w:val="007976C2"/>
    <w:rsid w:val="007A1955"/>
    <w:rsid w:val="007A1EC3"/>
    <w:rsid w:val="007A30A1"/>
    <w:rsid w:val="007A3521"/>
    <w:rsid w:val="007A5E83"/>
    <w:rsid w:val="007A735C"/>
    <w:rsid w:val="007A7DC7"/>
    <w:rsid w:val="007B0DF2"/>
    <w:rsid w:val="007B2946"/>
    <w:rsid w:val="007B30BA"/>
    <w:rsid w:val="007B38A8"/>
    <w:rsid w:val="007B3C5B"/>
    <w:rsid w:val="007B4F46"/>
    <w:rsid w:val="007B5345"/>
    <w:rsid w:val="007B6253"/>
    <w:rsid w:val="007B7A7E"/>
    <w:rsid w:val="007C061A"/>
    <w:rsid w:val="007C0951"/>
    <w:rsid w:val="007C0A72"/>
    <w:rsid w:val="007C3467"/>
    <w:rsid w:val="007C5197"/>
    <w:rsid w:val="007C5AF8"/>
    <w:rsid w:val="007C7807"/>
    <w:rsid w:val="007D6A56"/>
    <w:rsid w:val="007D762A"/>
    <w:rsid w:val="007E143A"/>
    <w:rsid w:val="007E2A71"/>
    <w:rsid w:val="007E3F53"/>
    <w:rsid w:val="007E621D"/>
    <w:rsid w:val="007E6E8B"/>
    <w:rsid w:val="007F1091"/>
    <w:rsid w:val="007F4157"/>
    <w:rsid w:val="007F4B9A"/>
    <w:rsid w:val="007F625E"/>
    <w:rsid w:val="007F7ADC"/>
    <w:rsid w:val="00804273"/>
    <w:rsid w:val="00804350"/>
    <w:rsid w:val="00805746"/>
    <w:rsid w:val="00807B92"/>
    <w:rsid w:val="008120CA"/>
    <w:rsid w:val="00815EB1"/>
    <w:rsid w:val="00815FE5"/>
    <w:rsid w:val="00821210"/>
    <w:rsid w:val="00821E08"/>
    <w:rsid w:val="0082520D"/>
    <w:rsid w:val="00825B2C"/>
    <w:rsid w:val="00826945"/>
    <w:rsid w:val="008327B7"/>
    <w:rsid w:val="00832F8D"/>
    <w:rsid w:val="008336F1"/>
    <w:rsid w:val="00834C59"/>
    <w:rsid w:val="008351E3"/>
    <w:rsid w:val="0083645A"/>
    <w:rsid w:val="008438E2"/>
    <w:rsid w:val="00847219"/>
    <w:rsid w:val="00850C3E"/>
    <w:rsid w:val="008520B7"/>
    <w:rsid w:val="00852EDB"/>
    <w:rsid w:val="008530B1"/>
    <w:rsid w:val="00860261"/>
    <w:rsid w:val="0086044D"/>
    <w:rsid w:val="00861DC5"/>
    <w:rsid w:val="00862BDF"/>
    <w:rsid w:val="008630B1"/>
    <w:rsid w:val="008631BC"/>
    <w:rsid w:val="00864703"/>
    <w:rsid w:val="00866AD7"/>
    <w:rsid w:val="00873FA1"/>
    <w:rsid w:val="0087483B"/>
    <w:rsid w:val="00876568"/>
    <w:rsid w:val="008804BF"/>
    <w:rsid w:val="0088162D"/>
    <w:rsid w:val="008843F8"/>
    <w:rsid w:val="008850FB"/>
    <w:rsid w:val="00891F1E"/>
    <w:rsid w:val="00893E68"/>
    <w:rsid w:val="00894AE7"/>
    <w:rsid w:val="00897565"/>
    <w:rsid w:val="008978A7"/>
    <w:rsid w:val="008A1CE2"/>
    <w:rsid w:val="008A49DD"/>
    <w:rsid w:val="008A536B"/>
    <w:rsid w:val="008B0B9D"/>
    <w:rsid w:val="008B3ADB"/>
    <w:rsid w:val="008B46B0"/>
    <w:rsid w:val="008B50D4"/>
    <w:rsid w:val="008B564C"/>
    <w:rsid w:val="008B6AE9"/>
    <w:rsid w:val="008C050F"/>
    <w:rsid w:val="008C06D2"/>
    <w:rsid w:val="008C2D53"/>
    <w:rsid w:val="008C4CC7"/>
    <w:rsid w:val="008D2B44"/>
    <w:rsid w:val="008D318B"/>
    <w:rsid w:val="008D36CB"/>
    <w:rsid w:val="008D7919"/>
    <w:rsid w:val="008D7C00"/>
    <w:rsid w:val="008E03F8"/>
    <w:rsid w:val="008E0793"/>
    <w:rsid w:val="008E1158"/>
    <w:rsid w:val="008E4F42"/>
    <w:rsid w:val="008E56F9"/>
    <w:rsid w:val="008E57C9"/>
    <w:rsid w:val="008E5D9C"/>
    <w:rsid w:val="008E68A0"/>
    <w:rsid w:val="008F05A1"/>
    <w:rsid w:val="008F0CF4"/>
    <w:rsid w:val="008F1D34"/>
    <w:rsid w:val="008F5FEA"/>
    <w:rsid w:val="008F6539"/>
    <w:rsid w:val="008F6FC6"/>
    <w:rsid w:val="0090131C"/>
    <w:rsid w:val="00902206"/>
    <w:rsid w:val="00902904"/>
    <w:rsid w:val="00903AAF"/>
    <w:rsid w:val="00903FC9"/>
    <w:rsid w:val="00906EB6"/>
    <w:rsid w:val="00907215"/>
    <w:rsid w:val="00907371"/>
    <w:rsid w:val="00907AF1"/>
    <w:rsid w:val="00907E25"/>
    <w:rsid w:val="00910EF4"/>
    <w:rsid w:val="009126C5"/>
    <w:rsid w:val="00912873"/>
    <w:rsid w:val="00912B2A"/>
    <w:rsid w:val="00915121"/>
    <w:rsid w:val="0091653E"/>
    <w:rsid w:val="009177A7"/>
    <w:rsid w:val="00917E16"/>
    <w:rsid w:val="009205C8"/>
    <w:rsid w:val="00921EDE"/>
    <w:rsid w:val="00922BE7"/>
    <w:rsid w:val="00923FFC"/>
    <w:rsid w:val="00924EC9"/>
    <w:rsid w:val="0092572F"/>
    <w:rsid w:val="009258BB"/>
    <w:rsid w:val="00930335"/>
    <w:rsid w:val="0093141F"/>
    <w:rsid w:val="009346D7"/>
    <w:rsid w:val="00940704"/>
    <w:rsid w:val="00942BF8"/>
    <w:rsid w:val="009435E7"/>
    <w:rsid w:val="009468AD"/>
    <w:rsid w:val="009505E3"/>
    <w:rsid w:val="009516E4"/>
    <w:rsid w:val="00953C51"/>
    <w:rsid w:val="009554BA"/>
    <w:rsid w:val="00955BF6"/>
    <w:rsid w:val="00955CF3"/>
    <w:rsid w:val="00956580"/>
    <w:rsid w:val="0096100F"/>
    <w:rsid w:val="00961423"/>
    <w:rsid w:val="00963144"/>
    <w:rsid w:val="00963675"/>
    <w:rsid w:val="00963A93"/>
    <w:rsid w:val="00970F2D"/>
    <w:rsid w:val="00971A88"/>
    <w:rsid w:val="009725B3"/>
    <w:rsid w:val="0097276B"/>
    <w:rsid w:val="00972FD2"/>
    <w:rsid w:val="00973249"/>
    <w:rsid w:val="009777D7"/>
    <w:rsid w:val="0098088F"/>
    <w:rsid w:val="009809A6"/>
    <w:rsid w:val="0098250F"/>
    <w:rsid w:val="00982786"/>
    <w:rsid w:val="00983F15"/>
    <w:rsid w:val="00985E20"/>
    <w:rsid w:val="00986022"/>
    <w:rsid w:val="009860C8"/>
    <w:rsid w:val="00987992"/>
    <w:rsid w:val="00992E59"/>
    <w:rsid w:val="00992E7D"/>
    <w:rsid w:val="00993ECF"/>
    <w:rsid w:val="00995996"/>
    <w:rsid w:val="00996520"/>
    <w:rsid w:val="00996957"/>
    <w:rsid w:val="00997399"/>
    <w:rsid w:val="009A1B14"/>
    <w:rsid w:val="009A7A2C"/>
    <w:rsid w:val="009B0197"/>
    <w:rsid w:val="009B0B48"/>
    <w:rsid w:val="009B192F"/>
    <w:rsid w:val="009B200E"/>
    <w:rsid w:val="009B2E25"/>
    <w:rsid w:val="009B2E8F"/>
    <w:rsid w:val="009B3907"/>
    <w:rsid w:val="009B3CB1"/>
    <w:rsid w:val="009B4254"/>
    <w:rsid w:val="009B58B8"/>
    <w:rsid w:val="009B61F7"/>
    <w:rsid w:val="009B66D5"/>
    <w:rsid w:val="009B6934"/>
    <w:rsid w:val="009C0B2E"/>
    <w:rsid w:val="009C1217"/>
    <w:rsid w:val="009C298D"/>
    <w:rsid w:val="009C3F41"/>
    <w:rsid w:val="009C470A"/>
    <w:rsid w:val="009C4868"/>
    <w:rsid w:val="009C57D5"/>
    <w:rsid w:val="009C59BE"/>
    <w:rsid w:val="009C6AE2"/>
    <w:rsid w:val="009D0288"/>
    <w:rsid w:val="009D0B23"/>
    <w:rsid w:val="009D16B5"/>
    <w:rsid w:val="009D75C0"/>
    <w:rsid w:val="009E03DB"/>
    <w:rsid w:val="009E0F96"/>
    <w:rsid w:val="009E2CD5"/>
    <w:rsid w:val="009E4681"/>
    <w:rsid w:val="009E7A9E"/>
    <w:rsid w:val="009F01CD"/>
    <w:rsid w:val="009F18A2"/>
    <w:rsid w:val="009F32E8"/>
    <w:rsid w:val="009F392D"/>
    <w:rsid w:val="009F3A14"/>
    <w:rsid w:val="009F4B28"/>
    <w:rsid w:val="009F7104"/>
    <w:rsid w:val="00A024AD"/>
    <w:rsid w:val="00A02F15"/>
    <w:rsid w:val="00A043DC"/>
    <w:rsid w:val="00A05879"/>
    <w:rsid w:val="00A06763"/>
    <w:rsid w:val="00A07AED"/>
    <w:rsid w:val="00A11026"/>
    <w:rsid w:val="00A14157"/>
    <w:rsid w:val="00A15AC5"/>
    <w:rsid w:val="00A177AC"/>
    <w:rsid w:val="00A21B83"/>
    <w:rsid w:val="00A22829"/>
    <w:rsid w:val="00A228DB"/>
    <w:rsid w:val="00A22A54"/>
    <w:rsid w:val="00A23075"/>
    <w:rsid w:val="00A24893"/>
    <w:rsid w:val="00A24D82"/>
    <w:rsid w:val="00A331DB"/>
    <w:rsid w:val="00A3563D"/>
    <w:rsid w:val="00A37D57"/>
    <w:rsid w:val="00A409D0"/>
    <w:rsid w:val="00A40D55"/>
    <w:rsid w:val="00A440CE"/>
    <w:rsid w:val="00A44CA4"/>
    <w:rsid w:val="00A50026"/>
    <w:rsid w:val="00A5115F"/>
    <w:rsid w:val="00A51EA9"/>
    <w:rsid w:val="00A535B4"/>
    <w:rsid w:val="00A548CE"/>
    <w:rsid w:val="00A5497D"/>
    <w:rsid w:val="00A57F2A"/>
    <w:rsid w:val="00A60BA5"/>
    <w:rsid w:val="00A61A4B"/>
    <w:rsid w:val="00A64586"/>
    <w:rsid w:val="00A67703"/>
    <w:rsid w:val="00A709B4"/>
    <w:rsid w:val="00A7119C"/>
    <w:rsid w:val="00A75C53"/>
    <w:rsid w:val="00A76B1E"/>
    <w:rsid w:val="00A76BD4"/>
    <w:rsid w:val="00A76F0C"/>
    <w:rsid w:val="00A76F1E"/>
    <w:rsid w:val="00A778F1"/>
    <w:rsid w:val="00A77982"/>
    <w:rsid w:val="00A83C62"/>
    <w:rsid w:val="00A83D7D"/>
    <w:rsid w:val="00A8429E"/>
    <w:rsid w:val="00A86CFA"/>
    <w:rsid w:val="00A8775C"/>
    <w:rsid w:val="00A87EE8"/>
    <w:rsid w:val="00A939C6"/>
    <w:rsid w:val="00A94329"/>
    <w:rsid w:val="00A94D95"/>
    <w:rsid w:val="00A96269"/>
    <w:rsid w:val="00A963A8"/>
    <w:rsid w:val="00A96949"/>
    <w:rsid w:val="00AA1C0D"/>
    <w:rsid w:val="00AA2A16"/>
    <w:rsid w:val="00AA4133"/>
    <w:rsid w:val="00AA47DA"/>
    <w:rsid w:val="00AA5598"/>
    <w:rsid w:val="00AB15F6"/>
    <w:rsid w:val="00AB657A"/>
    <w:rsid w:val="00AC1224"/>
    <w:rsid w:val="00AC1A8A"/>
    <w:rsid w:val="00AC21DC"/>
    <w:rsid w:val="00AC3F01"/>
    <w:rsid w:val="00AC63AB"/>
    <w:rsid w:val="00AD3514"/>
    <w:rsid w:val="00AE1CE2"/>
    <w:rsid w:val="00AE2804"/>
    <w:rsid w:val="00AE3E39"/>
    <w:rsid w:val="00AE625E"/>
    <w:rsid w:val="00AE6806"/>
    <w:rsid w:val="00AF0513"/>
    <w:rsid w:val="00AF3017"/>
    <w:rsid w:val="00AF3A84"/>
    <w:rsid w:val="00B00E20"/>
    <w:rsid w:val="00B01811"/>
    <w:rsid w:val="00B03DA4"/>
    <w:rsid w:val="00B06FB8"/>
    <w:rsid w:val="00B07AB4"/>
    <w:rsid w:val="00B12537"/>
    <w:rsid w:val="00B128B2"/>
    <w:rsid w:val="00B15364"/>
    <w:rsid w:val="00B15666"/>
    <w:rsid w:val="00B15C63"/>
    <w:rsid w:val="00B16B70"/>
    <w:rsid w:val="00B20C98"/>
    <w:rsid w:val="00B243DE"/>
    <w:rsid w:val="00B245D0"/>
    <w:rsid w:val="00B247B9"/>
    <w:rsid w:val="00B26751"/>
    <w:rsid w:val="00B316A1"/>
    <w:rsid w:val="00B318F8"/>
    <w:rsid w:val="00B335EC"/>
    <w:rsid w:val="00B33986"/>
    <w:rsid w:val="00B33DF2"/>
    <w:rsid w:val="00B33E5E"/>
    <w:rsid w:val="00B35F3A"/>
    <w:rsid w:val="00B411E2"/>
    <w:rsid w:val="00B419CD"/>
    <w:rsid w:val="00B42A62"/>
    <w:rsid w:val="00B43FB8"/>
    <w:rsid w:val="00B45064"/>
    <w:rsid w:val="00B45737"/>
    <w:rsid w:val="00B45D79"/>
    <w:rsid w:val="00B46533"/>
    <w:rsid w:val="00B46B1C"/>
    <w:rsid w:val="00B47F96"/>
    <w:rsid w:val="00B50234"/>
    <w:rsid w:val="00B51FCA"/>
    <w:rsid w:val="00B55348"/>
    <w:rsid w:val="00B5561A"/>
    <w:rsid w:val="00B56A26"/>
    <w:rsid w:val="00B5714C"/>
    <w:rsid w:val="00B578C6"/>
    <w:rsid w:val="00B66ADE"/>
    <w:rsid w:val="00B742DC"/>
    <w:rsid w:val="00B76994"/>
    <w:rsid w:val="00B76B72"/>
    <w:rsid w:val="00B778ED"/>
    <w:rsid w:val="00B81629"/>
    <w:rsid w:val="00B82D27"/>
    <w:rsid w:val="00B8387B"/>
    <w:rsid w:val="00B9035B"/>
    <w:rsid w:val="00B913F8"/>
    <w:rsid w:val="00B923FA"/>
    <w:rsid w:val="00B93910"/>
    <w:rsid w:val="00B961CE"/>
    <w:rsid w:val="00B962D8"/>
    <w:rsid w:val="00BA0272"/>
    <w:rsid w:val="00BA0D4A"/>
    <w:rsid w:val="00BA0EE9"/>
    <w:rsid w:val="00BA10C9"/>
    <w:rsid w:val="00BA3180"/>
    <w:rsid w:val="00BA4231"/>
    <w:rsid w:val="00BA517A"/>
    <w:rsid w:val="00BB073D"/>
    <w:rsid w:val="00BB1027"/>
    <w:rsid w:val="00BB2F4A"/>
    <w:rsid w:val="00BB448D"/>
    <w:rsid w:val="00BB461C"/>
    <w:rsid w:val="00BB4CA9"/>
    <w:rsid w:val="00BB618E"/>
    <w:rsid w:val="00BB737B"/>
    <w:rsid w:val="00BC07DF"/>
    <w:rsid w:val="00BC3166"/>
    <w:rsid w:val="00BC31CF"/>
    <w:rsid w:val="00BC4AE6"/>
    <w:rsid w:val="00BC7092"/>
    <w:rsid w:val="00BC70CB"/>
    <w:rsid w:val="00BD11FF"/>
    <w:rsid w:val="00BD63D0"/>
    <w:rsid w:val="00BD659D"/>
    <w:rsid w:val="00BE1CB7"/>
    <w:rsid w:val="00BE2FD2"/>
    <w:rsid w:val="00BF10A9"/>
    <w:rsid w:val="00BF14F2"/>
    <w:rsid w:val="00BF2FE1"/>
    <w:rsid w:val="00BF4406"/>
    <w:rsid w:val="00C0042A"/>
    <w:rsid w:val="00C00E85"/>
    <w:rsid w:val="00C011FF"/>
    <w:rsid w:val="00C01363"/>
    <w:rsid w:val="00C03BD0"/>
    <w:rsid w:val="00C06C9C"/>
    <w:rsid w:val="00C10748"/>
    <w:rsid w:val="00C10E8C"/>
    <w:rsid w:val="00C12B9D"/>
    <w:rsid w:val="00C1614A"/>
    <w:rsid w:val="00C2092D"/>
    <w:rsid w:val="00C21CE6"/>
    <w:rsid w:val="00C234EE"/>
    <w:rsid w:val="00C27B69"/>
    <w:rsid w:val="00C301DB"/>
    <w:rsid w:val="00C306B2"/>
    <w:rsid w:val="00C3095E"/>
    <w:rsid w:val="00C30EE1"/>
    <w:rsid w:val="00C31217"/>
    <w:rsid w:val="00C3148B"/>
    <w:rsid w:val="00C316E8"/>
    <w:rsid w:val="00C31D5C"/>
    <w:rsid w:val="00C33003"/>
    <w:rsid w:val="00C3316F"/>
    <w:rsid w:val="00C33725"/>
    <w:rsid w:val="00C3403A"/>
    <w:rsid w:val="00C34CFC"/>
    <w:rsid w:val="00C36A07"/>
    <w:rsid w:val="00C36CBD"/>
    <w:rsid w:val="00C37790"/>
    <w:rsid w:val="00C379E8"/>
    <w:rsid w:val="00C41DC1"/>
    <w:rsid w:val="00C4627B"/>
    <w:rsid w:val="00C46D93"/>
    <w:rsid w:val="00C50641"/>
    <w:rsid w:val="00C515B7"/>
    <w:rsid w:val="00C51C12"/>
    <w:rsid w:val="00C52137"/>
    <w:rsid w:val="00C53CBE"/>
    <w:rsid w:val="00C54304"/>
    <w:rsid w:val="00C5458B"/>
    <w:rsid w:val="00C551AA"/>
    <w:rsid w:val="00C5543D"/>
    <w:rsid w:val="00C562C7"/>
    <w:rsid w:val="00C60068"/>
    <w:rsid w:val="00C632AA"/>
    <w:rsid w:val="00C64004"/>
    <w:rsid w:val="00C64CA6"/>
    <w:rsid w:val="00C71236"/>
    <w:rsid w:val="00C72CC7"/>
    <w:rsid w:val="00C73FCE"/>
    <w:rsid w:val="00C748A9"/>
    <w:rsid w:val="00C84C5B"/>
    <w:rsid w:val="00C84DE6"/>
    <w:rsid w:val="00C85E47"/>
    <w:rsid w:val="00C871D9"/>
    <w:rsid w:val="00C91105"/>
    <w:rsid w:val="00C914F2"/>
    <w:rsid w:val="00C92E14"/>
    <w:rsid w:val="00C94683"/>
    <w:rsid w:val="00CA022A"/>
    <w:rsid w:val="00CA13E9"/>
    <w:rsid w:val="00CA1FE2"/>
    <w:rsid w:val="00CA5D4C"/>
    <w:rsid w:val="00CA6CBF"/>
    <w:rsid w:val="00CA74B3"/>
    <w:rsid w:val="00CA7887"/>
    <w:rsid w:val="00CA79FD"/>
    <w:rsid w:val="00CB10AD"/>
    <w:rsid w:val="00CB4A5E"/>
    <w:rsid w:val="00CB4BAD"/>
    <w:rsid w:val="00CB57C9"/>
    <w:rsid w:val="00CC0659"/>
    <w:rsid w:val="00CC7161"/>
    <w:rsid w:val="00CD08D9"/>
    <w:rsid w:val="00CD2AD8"/>
    <w:rsid w:val="00CD2D3F"/>
    <w:rsid w:val="00CD327B"/>
    <w:rsid w:val="00CD4110"/>
    <w:rsid w:val="00CD4213"/>
    <w:rsid w:val="00CD7B16"/>
    <w:rsid w:val="00CE4804"/>
    <w:rsid w:val="00CE7144"/>
    <w:rsid w:val="00CF073E"/>
    <w:rsid w:val="00CF55E3"/>
    <w:rsid w:val="00CF71FD"/>
    <w:rsid w:val="00CF789F"/>
    <w:rsid w:val="00CF7B5B"/>
    <w:rsid w:val="00D02C1F"/>
    <w:rsid w:val="00D0342A"/>
    <w:rsid w:val="00D03C8C"/>
    <w:rsid w:val="00D0415F"/>
    <w:rsid w:val="00D070D0"/>
    <w:rsid w:val="00D07AE3"/>
    <w:rsid w:val="00D1441D"/>
    <w:rsid w:val="00D17FDF"/>
    <w:rsid w:val="00D216AC"/>
    <w:rsid w:val="00D21802"/>
    <w:rsid w:val="00D2197E"/>
    <w:rsid w:val="00D23FB1"/>
    <w:rsid w:val="00D24566"/>
    <w:rsid w:val="00D27647"/>
    <w:rsid w:val="00D27652"/>
    <w:rsid w:val="00D31347"/>
    <w:rsid w:val="00D31429"/>
    <w:rsid w:val="00D3273B"/>
    <w:rsid w:val="00D36A0C"/>
    <w:rsid w:val="00D45717"/>
    <w:rsid w:val="00D46E69"/>
    <w:rsid w:val="00D51ED8"/>
    <w:rsid w:val="00D53EEF"/>
    <w:rsid w:val="00D603CD"/>
    <w:rsid w:val="00D608D6"/>
    <w:rsid w:val="00D62272"/>
    <w:rsid w:val="00D6298D"/>
    <w:rsid w:val="00D650CE"/>
    <w:rsid w:val="00D67DAE"/>
    <w:rsid w:val="00D67F43"/>
    <w:rsid w:val="00D7334C"/>
    <w:rsid w:val="00D74A6B"/>
    <w:rsid w:val="00D74D4F"/>
    <w:rsid w:val="00D7560C"/>
    <w:rsid w:val="00D80319"/>
    <w:rsid w:val="00D83826"/>
    <w:rsid w:val="00D846B6"/>
    <w:rsid w:val="00D86EF4"/>
    <w:rsid w:val="00D9122A"/>
    <w:rsid w:val="00D92655"/>
    <w:rsid w:val="00D9284E"/>
    <w:rsid w:val="00D931FF"/>
    <w:rsid w:val="00D96DA8"/>
    <w:rsid w:val="00D97520"/>
    <w:rsid w:val="00DA0D44"/>
    <w:rsid w:val="00DA16DE"/>
    <w:rsid w:val="00DA179F"/>
    <w:rsid w:val="00DA1A15"/>
    <w:rsid w:val="00DA207C"/>
    <w:rsid w:val="00DA327F"/>
    <w:rsid w:val="00DA40FA"/>
    <w:rsid w:val="00DA44DB"/>
    <w:rsid w:val="00DA4DE7"/>
    <w:rsid w:val="00DA7BAE"/>
    <w:rsid w:val="00DA7DDA"/>
    <w:rsid w:val="00DA7F47"/>
    <w:rsid w:val="00DB039D"/>
    <w:rsid w:val="00DB1B89"/>
    <w:rsid w:val="00DB40D7"/>
    <w:rsid w:val="00DB7CC4"/>
    <w:rsid w:val="00DC007D"/>
    <w:rsid w:val="00DC264E"/>
    <w:rsid w:val="00DC3B06"/>
    <w:rsid w:val="00DD0AC2"/>
    <w:rsid w:val="00DD2191"/>
    <w:rsid w:val="00DD4AD1"/>
    <w:rsid w:val="00DD6882"/>
    <w:rsid w:val="00DD6E10"/>
    <w:rsid w:val="00DE199F"/>
    <w:rsid w:val="00DE4ACB"/>
    <w:rsid w:val="00DE73DC"/>
    <w:rsid w:val="00DF085E"/>
    <w:rsid w:val="00DF10E5"/>
    <w:rsid w:val="00DF1C8B"/>
    <w:rsid w:val="00DF6897"/>
    <w:rsid w:val="00DF7439"/>
    <w:rsid w:val="00E013A8"/>
    <w:rsid w:val="00E03D30"/>
    <w:rsid w:val="00E073A3"/>
    <w:rsid w:val="00E078B4"/>
    <w:rsid w:val="00E126EA"/>
    <w:rsid w:val="00E137FF"/>
    <w:rsid w:val="00E13C9F"/>
    <w:rsid w:val="00E14B4E"/>
    <w:rsid w:val="00E1746D"/>
    <w:rsid w:val="00E204E7"/>
    <w:rsid w:val="00E21BCA"/>
    <w:rsid w:val="00E26537"/>
    <w:rsid w:val="00E26DE7"/>
    <w:rsid w:val="00E26E98"/>
    <w:rsid w:val="00E26FDB"/>
    <w:rsid w:val="00E316C5"/>
    <w:rsid w:val="00E31F4D"/>
    <w:rsid w:val="00E33670"/>
    <w:rsid w:val="00E35434"/>
    <w:rsid w:val="00E37075"/>
    <w:rsid w:val="00E40734"/>
    <w:rsid w:val="00E42402"/>
    <w:rsid w:val="00E4337D"/>
    <w:rsid w:val="00E43DA8"/>
    <w:rsid w:val="00E448F8"/>
    <w:rsid w:val="00E473FC"/>
    <w:rsid w:val="00E47CEA"/>
    <w:rsid w:val="00E514E2"/>
    <w:rsid w:val="00E52CE7"/>
    <w:rsid w:val="00E54DC9"/>
    <w:rsid w:val="00E56C2F"/>
    <w:rsid w:val="00E57E57"/>
    <w:rsid w:val="00E60514"/>
    <w:rsid w:val="00E60909"/>
    <w:rsid w:val="00E63310"/>
    <w:rsid w:val="00E6644A"/>
    <w:rsid w:val="00E71B77"/>
    <w:rsid w:val="00E71FCE"/>
    <w:rsid w:val="00E725AD"/>
    <w:rsid w:val="00E81EB8"/>
    <w:rsid w:val="00E82425"/>
    <w:rsid w:val="00E825AC"/>
    <w:rsid w:val="00E85105"/>
    <w:rsid w:val="00E852AB"/>
    <w:rsid w:val="00E86878"/>
    <w:rsid w:val="00E868C6"/>
    <w:rsid w:val="00E873CD"/>
    <w:rsid w:val="00E874DC"/>
    <w:rsid w:val="00E90DD3"/>
    <w:rsid w:val="00E917F2"/>
    <w:rsid w:val="00E951D5"/>
    <w:rsid w:val="00EA1718"/>
    <w:rsid w:val="00EA2A82"/>
    <w:rsid w:val="00EA31CF"/>
    <w:rsid w:val="00EA4F20"/>
    <w:rsid w:val="00EA732C"/>
    <w:rsid w:val="00EB2990"/>
    <w:rsid w:val="00EB3686"/>
    <w:rsid w:val="00EC0F6F"/>
    <w:rsid w:val="00EC1E2B"/>
    <w:rsid w:val="00EC22F8"/>
    <w:rsid w:val="00EC31E7"/>
    <w:rsid w:val="00EC36EE"/>
    <w:rsid w:val="00EC4EB5"/>
    <w:rsid w:val="00EC5EF5"/>
    <w:rsid w:val="00ED096A"/>
    <w:rsid w:val="00ED26D4"/>
    <w:rsid w:val="00ED2F02"/>
    <w:rsid w:val="00ED58BF"/>
    <w:rsid w:val="00EE250D"/>
    <w:rsid w:val="00EE2F5B"/>
    <w:rsid w:val="00EE589A"/>
    <w:rsid w:val="00EE7084"/>
    <w:rsid w:val="00EE71EB"/>
    <w:rsid w:val="00EF028B"/>
    <w:rsid w:val="00EF19F0"/>
    <w:rsid w:val="00EF4260"/>
    <w:rsid w:val="00EF7EEC"/>
    <w:rsid w:val="00F02CCF"/>
    <w:rsid w:val="00F033E8"/>
    <w:rsid w:val="00F10C67"/>
    <w:rsid w:val="00F13D2A"/>
    <w:rsid w:val="00F14EF2"/>
    <w:rsid w:val="00F1664C"/>
    <w:rsid w:val="00F17363"/>
    <w:rsid w:val="00F175B0"/>
    <w:rsid w:val="00F17C17"/>
    <w:rsid w:val="00F2184B"/>
    <w:rsid w:val="00F2441D"/>
    <w:rsid w:val="00F27B77"/>
    <w:rsid w:val="00F30161"/>
    <w:rsid w:val="00F31AD5"/>
    <w:rsid w:val="00F33491"/>
    <w:rsid w:val="00F3381A"/>
    <w:rsid w:val="00F33E68"/>
    <w:rsid w:val="00F34317"/>
    <w:rsid w:val="00F35157"/>
    <w:rsid w:val="00F3649E"/>
    <w:rsid w:val="00F4111A"/>
    <w:rsid w:val="00F414C6"/>
    <w:rsid w:val="00F41CB0"/>
    <w:rsid w:val="00F425D3"/>
    <w:rsid w:val="00F50BB8"/>
    <w:rsid w:val="00F5131E"/>
    <w:rsid w:val="00F514CD"/>
    <w:rsid w:val="00F528AF"/>
    <w:rsid w:val="00F53183"/>
    <w:rsid w:val="00F53421"/>
    <w:rsid w:val="00F539B1"/>
    <w:rsid w:val="00F5463C"/>
    <w:rsid w:val="00F606DA"/>
    <w:rsid w:val="00F60C63"/>
    <w:rsid w:val="00F60F9A"/>
    <w:rsid w:val="00F62438"/>
    <w:rsid w:val="00F62573"/>
    <w:rsid w:val="00F63E00"/>
    <w:rsid w:val="00F64043"/>
    <w:rsid w:val="00F67449"/>
    <w:rsid w:val="00F71E45"/>
    <w:rsid w:val="00F72630"/>
    <w:rsid w:val="00F72F3A"/>
    <w:rsid w:val="00F731A3"/>
    <w:rsid w:val="00F73B3C"/>
    <w:rsid w:val="00F7471F"/>
    <w:rsid w:val="00F76223"/>
    <w:rsid w:val="00F77548"/>
    <w:rsid w:val="00F80DC0"/>
    <w:rsid w:val="00F852E2"/>
    <w:rsid w:val="00F86A31"/>
    <w:rsid w:val="00F879BD"/>
    <w:rsid w:val="00F87B10"/>
    <w:rsid w:val="00F87D77"/>
    <w:rsid w:val="00F923F2"/>
    <w:rsid w:val="00F937D0"/>
    <w:rsid w:val="00F940BE"/>
    <w:rsid w:val="00F94649"/>
    <w:rsid w:val="00FA0F7B"/>
    <w:rsid w:val="00FA22B1"/>
    <w:rsid w:val="00FA3A0C"/>
    <w:rsid w:val="00FA5C37"/>
    <w:rsid w:val="00FA7705"/>
    <w:rsid w:val="00FB11CA"/>
    <w:rsid w:val="00FB167F"/>
    <w:rsid w:val="00FB1DE5"/>
    <w:rsid w:val="00FB5DE2"/>
    <w:rsid w:val="00FB62B5"/>
    <w:rsid w:val="00FB6E4F"/>
    <w:rsid w:val="00FB72FE"/>
    <w:rsid w:val="00FC23C2"/>
    <w:rsid w:val="00FC4C36"/>
    <w:rsid w:val="00FC56FD"/>
    <w:rsid w:val="00FC5B83"/>
    <w:rsid w:val="00FC7A87"/>
    <w:rsid w:val="00FD16A1"/>
    <w:rsid w:val="00FD21F2"/>
    <w:rsid w:val="00FD3CBA"/>
    <w:rsid w:val="00FD6967"/>
    <w:rsid w:val="00FD6BF1"/>
    <w:rsid w:val="00FD6C6E"/>
    <w:rsid w:val="00FE016D"/>
    <w:rsid w:val="00FE5A40"/>
    <w:rsid w:val="00FE604D"/>
    <w:rsid w:val="00FF0186"/>
    <w:rsid w:val="00FF0D70"/>
    <w:rsid w:val="00FF3CC8"/>
    <w:rsid w:val="00FF3E51"/>
    <w:rsid w:val="00FF4566"/>
    <w:rsid w:val="00FF58C3"/>
    <w:rsid w:val="00FF6F22"/>
    <w:rsid w:val="019A6790"/>
    <w:rsid w:val="019F2D33"/>
    <w:rsid w:val="01EC2FA7"/>
    <w:rsid w:val="01EF572E"/>
    <w:rsid w:val="02230955"/>
    <w:rsid w:val="02317214"/>
    <w:rsid w:val="027C37A3"/>
    <w:rsid w:val="02A1024F"/>
    <w:rsid w:val="02B349AE"/>
    <w:rsid w:val="02B96468"/>
    <w:rsid w:val="02D92666"/>
    <w:rsid w:val="02DC3F04"/>
    <w:rsid w:val="03232A32"/>
    <w:rsid w:val="03340C72"/>
    <w:rsid w:val="03D60954"/>
    <w:rsid w:val="03E034D9"/>
    <w:rsid w:val="042E0790"/>
    <w:rsid w:val="04455E19"/>
    <w:rsid w:val="04B35E34"/>
    <w:rsid w:val="04BB40EE"/>
    <w:rsid w:val="04D01847"/>
    <w:rsid w:val="0571302A"/>
    <w:rsid w:val="05E1124E"/>
    <w:rsid w:val="06466CB5"/>
    <w:rsid w:val="06693CB2"/>
    <w:rsid w:val="067C65CA"/>
    <w:rsid w:val="06A9757C"/>
    <w:rsid w:val="06C32529"/>
    <w:rsid w:val="076B521E"/>
    <w:rsid w:val="07C40FCD"/>
    <w:rsid w:val="08006F3A"/>
    <w:rsid w:val="081027DD"/>
    <w:rsid w:val="081D62BA"/>
    <w:rsid w:val="081F6F62"/>
    <w:rsid w:val="084762C4"/>
    <w:rsid w:val="087C5C4E"/>
    <w:rsid w:val="08E104C7"/>
    <w:rsid w:val="08E853C6"/>
    <w:rsid w:val="097048DB"/>
    <w:rsid w:val="09774712"/>
    <w:rsid w:val="09872E32"/>
    <w:rsid w:val="09BE4364"/>
    <w:rsid w:val="09EE0493"/>
    <w:rsid w:val="09F62494"/>
    <w:rsid w:val="09F63D7D"/>
    <w:rsid w:val="0AAF7417"/>
    <w:rsid w:val="0ADE0ABC"/>
    <w:rsid w:val="0B6B051B"/>
    <w:rsid w:val="0B882D7F"/>
    <w:rsid w:val="0BDB17D9"/>
    <w:rsid w:val="0BE739A0"/>
    <w:rsid w:val="0BF16C73"/>
    <w:rsid w:val="0C087B18"/>
    <w:rsid w:val="0C3703FE"/>
    <w:rsid w:val="0CEB1914"/>
    <w:rsid w:val="0CFD33F5"/>
    <w:rsid w:val="0D15610F"/>
    <w:rsid w:val="0D162709"/>
    <w:rsid w:val="0D9A52C8"/>
    <w:rsid w:val="0E007979"/>
    <w:rsid w:val="0E1704E7"/>
    <w:rsid w:val="0E71409B"/>
    <w:rsid w:val="0E76520D"/>
    <w:rsid w:val="0E833B53"/>
    <w:rsid w:val="0ED80C08"/>
    <w:rsid w:val="0F2B249C"/>
    <w:rsid w:val="0F5B0B5D"/>
    <w:rsid w:val="0FAE5604"/>
    <w:rsid w:val="0FAE57C5"/>
    <w:rsid w:val="100B2C10"/>
    <w:rsid w:val="102A51E9"/>
    <w:rsid w:val="10674138"/>
    <w:rsid w:val="107443D8"/>
    <w:rsid w:val="10883B86"/>
    <w:rsid w:val="10A46ADD"/>
    <w:rsid w:val="10B931DE"/>
    <w:rsid w:val="10E15034"/>
    <w:rsid w:val="10FF6CE8"/>
    <w:rsid w:val="111C78C7"/>
    <w:rsid w:val="11760352"/>
    <w:rsid w:val="12105979"/>
    <w:rsid w:val="1215424B"/>
    <w:rsid w:val="123C28D4"/>
    <w:rsid w:val="123F688A"/>
    <w:rsid w:val="12413D84"/>
    <w:rsid w:val="12940358"/>
    <w:rsid w:val="12AD7E5A"/>
    <w:rsid w:val="12B44556"/>
    <w:rsid w:val="12BC0EF8"/>
    <w:rsid w:val="132311FD"/>
    <w:rsid w:val="133E59D2"/>
    <w:rsid w:val="13491142"/>
    <w:rsid w:val="13A670D4"/>
    <w:rsid w:val="13EA057F"/>
    <w:rsid w:val="14424A3B"/>
    <w:rsid w:val="14964FC5"/>
    <w:rsid w:val="14FA6062"/>
    <w:rsid w:val="15706BFC"/>
    <w:rsid w:val="159C3C03"/>
    <w:rsid w:val="15AB4BE4"/>
    <w:rsid w:val="15BB1E03"/>
    <w:rsid w:val="163D4862"/>
    <w:rsid w:val="168E3310"/>
    <w:rsid w:val="16930926"/>
    <w:rsid w:val="16DC051F"/>
    <w:rsid w:val="17145D71"/>
    <w:rsid w:val="17543053"/>
    <w:rsid w:val="177B7447"/>
    <w:rsid w:val="17985ABB"/>
    <w:rsid w:val="17C2750F"/>
    <w:rsid w:val="18046093"/>
    <w:rsid w:val="18047D2E"/>
    <w:rsid w:val="18890233"/>
    <w:rsid w:val="18A46E1B"/>
    <w:rsid w:val="18A60DE5"/>
    <w:rsid w:val="18E70E8B"/>
    <w:rsid w:val="191E2903"/>
    <w:rsid w:val="195A6DE8"/>
    <w:rsid w:val="197A466A"/>
    <w:rsid w:val="1AB06439"/>
    <w:rsid w:val="1ACA4C0E"/>
    <w:rsid w:val="1B6B3DF4"/>
    <w:rsid w:val="1B7C0790"/>
    <w:rsid w:val="1BE0460E"/>
    <w:rsid w:val="1C4104FA"/>
    <w:rsid w:val="1C827801"/>
    <w:rsid w:val="1D15529F"/>
    <w:rsid w:val="1D1912A7"/>
    <w:rsid w:val="1D3E0E44"/>
    <w:rsid w:val="1D77736C"/>
    <w:rsid w:val="1E416B22"/>
    <w:rsid w:val="1E6F19BB"/>
    <w:rsid w:val="1F4F31E9"/>
    <w:rsid w:val="20512D78"/>
    <w:rsid w:val="20606345"/>
    <w:rsid w:val="207440D1"/>
    <w:rsid w:val="2075087F"/>
    <w:rsid w:val="20DA7945"/>
    <w:rsid w:val="20E17A31"/>
    <w:rsid w:val="21456E7D"/>
    <w:rsid w:val="214B077B"/>
    <w:rsid w:val="214E74AD"/>
    <w:rsid w:val="218E2416"/>
    <w:rsid w:val="21A77C5D"/>
    <w:rsid w:val="2252529B"/>
    <w:rsid w:val="22773AF3"/>
    <w:rsid w:val="232A707C"/>
    <w:rsid w:val="23AE0B4E"/>
    <w:rsid w:val="23FB0842"/>
    <w:rsid w:val="24825984"/>
    <w:rsid w:val="24BE6141"/>
    <w:rsid w:val="25161C10"/>
    <w:rsid w:val="253D0E7A"/>
    <w:rsid w:val="25446DA5"/>
    <w:rsid w:val="25A02777"/>
    <w:rsid w:val="25D0124F"/>
    <w:rsid w:val="266D3002"/>
    <w:rsid w:val="26F5369A"/>
    <w:rsid w:val="277850CE"/>
    <w:rsid w:val="277946F4"/>
    <w:rsid w:val="2785329C"/>
    <w:rsid w:val="281F6A91"/>
    <w:rsid w:val="287C689F"/>
    <w:rsid w:val="28A6668A"/>
    <w:rsid w:val="28ED298C"/>
    <w:rsid w:val="28FC49FE"/>
    <w:rsid w:val="294619D0"/>
    <w:rsid w:val="2A176A9D"/>
    <w:rsid w:val="2A570191"/>
    <w:rsid w:val="2A6160BF"/>
    <w:rsid w:val="2A8F792B"/>
    <w:rsid w:val="2AFD4D22"/>
    <w:rsid w:val="2B1020EE"/>
    <w:rsid w:val="2B157704"/>
    <w:rsid w:val="2B22254D"/>
    <w:rsid w:val="2B900466"/>
    <w:rsid w:val="2BC2153F"/>
    <w:rsid w:val="2BF85DDD"/>
    <w:rsid w:val="2C4A2A9F"/>
    <w:rsid w:val="2CEE4744"/>
    <w:rsid w:val="2D8C63A3"/>
    <w:rsid w:val="2DCC2C44"/>
    <w:rsid w:val="2E3329B8"/>
    <w:rsid w:val="2F2E25E2"/>
    <w:rsid w:val="2FAA0AFC"/>
    <w:rsid w:val="302F0099"/>
    <w:rsid w:val="30E94F09"/>
    <w:rsid w:val="3116629E"/>
    <w:rsid w:val="31894E52"/>
    <w:rsid w:val="319A4973"/>
    <w:rsid w:val="31CE10C4"/>
    <w:rsid w:val="324167FF"/>
    <w:rsid w:val="324F7EF7"/>
    <w:rsid w:val="32D6426E"/>
    <w:rsid w:val="32EB00CB"/>
    <w:rsid w:val="33BF2903"/>
    <w:rsid w:val="343B642D"/>
    <w:rsid w:val="345D2848"/>
    <w:rsid w:val="349B585B"/>
    <w:rsid w:val="34E40873"/>
    <w:rsid w:val="35025F25"/>
    <w:rsid w:val="35397B62"/>
    <w:rsid w:val="35DB18E9"/>
    <w:rsid w:val="3664227A"/>
    <w:rsid w:val="36993EA6"/>
    <w:rsid w:val="36E65199"/>
    <w:rsid w:val="37023232"/>
    <w:rsid w:val="37197DF1"/>
    <w:rsid w:val="376261CE"/>
    <w:rsid w:val="37DC063C"/>
    <w:rsid w:val="38172653"/>
    <w:rsid w:val="38467A93"/>
    <w:rsid w:val="384C7622"/>
    <w:rsid w:val="389D76B7"/>
    <w:rsid w:val="389E280E"/>
    <w:rsid w:val="38A30A45"/>
    <w:rsid w:val="38BD5DB1"/>
    <w:rsid w:val="38FC32A6"/>
    <w:rsid w:val="39315375"/>
    <w:rsid w:val="395064D7"/>
    <w:rsid w:val="39916502"/>
    <w:rsid w:val="39CE564E"/>
    <w:rsid w:val="3A5848E7"/>
    <w:rsid w:val="3A716474"/>
    <w:rsid w:val="3A9B5E78"/>
    <w:rsid w:val="3AA80595"/>
    <w:rsid w:val="3AAE2D52"/>
    <w:rsid w:val="3AFD61EB"/>
    <w:rsid w:val="3B605EC0"/>
    <w:rsid w:val="3B946BCC"/>
    <w:rsid w:val="3BD1628B"/>
    <w:rsid w:val="3C235D62"/>
    <w:rsid w:val="3C574020"/>
    <w:rsid w:val="3CCF2F5F"/>
    <w:rsid w:val="3D123B38"/>
    <w:rsid w:val="3D477F05"/>
    <w:rsid w:val="3D9F6B1D"/>
    <w:rsid w:val="3E0B6E71"/>
    <w:rsid w:val="3E55633E"/>
    <w:rsid w:val="3E671575"/>
    <w:rsid w:val="3EF70367"/>
    <w:rsid w:val="3F3763DE"/>
    <w:rsid w:val="3F5B1501"/>
    <w:rsid w:val="3F8B693A"/>
    <w:rsid w:val="3FFA17C6"/>
    <w:rsid w:val="40247A79"/>
    <w:rsid w:val="402856D7"/>
    <w:rsid w:val="403F1053"/>
    <w:rsid w:val="40907B01"/>
    <w:rsid w:val="41344930"/>
    <w:rsid w:val="41E40104"/>
    <w:rsid w:val="42497F67"/>
    <w:rsid w:val="425828A0"/>
    <w:rsid w:val="42CA75EF"/>
    <w:rsid w:val="43236A0A"/>
    <w:rsid w:val="434B7979"/>
    <w:rsid w:val="43543068"/>
    <w:rsid w:val="435B4AD2"/>
    <w:rsid w:val="43A74F98"/>
    <w:rsid w:val="44006D4C"/>
    <w:rsid w:val="44352E99"/>
    <w:rsid w:val="44A97FB6"/>
    <w:rsid w:val="45102FBE"/>
    <w:rsid w:val="45175EB5"/>
    <w:rsid w:val="45686D7A"/>
    <w:rsid w:val="462642D9"/>
    <w:rsid w:val="46EC04F8"/>
    <w:rsid w:val="46F60F4A"/>
    <w:rsid w:val="476A23A3"/>
    <w:rsid w:val="484667E8"/>
    <w:rsid w:val="48CA72AA"/>
    <w:rsid w:val="49351245"/>
    <w:rsid w:val="494B0A69"/>
    <w:rsid w:val="49971F00"/>
    <w:rsid w:val="49F35B75"/>
    <w:rsid w:val="4A183041"/>
    <w:rsid w:val="4A1D4C50"/>
    <w:rsid w:val="4AA46319"/>
    <w:rsid w:val="4B014DF9"/>
    <w:rsid w:val="4B2D3436"/>
    <w:rsid w:val="4B6B71A0"/>
    <w:rsid w:val="4B84756E"/>
    <w:rsid w:val="4BA674D4"/>
    <w:rsid w:val="4BE551A5"/>
    <w:rsid w:val="4BE807F1"/>
    <w:rsid w:val="4CAD479A"/>
    <w:rsid w:val="4CB9218D"/>
    <w:rsid w:val="4CC72AFC"/>
    <w:rsid w:val="4CD64F61"/>
    <w:rsid w:val="4D2F0520"/>
    <w:rsid w:val="4D98140C"/>
    <w:rsid w:val="4DC360A2"/>
    <w:rsid w:val="4DE85206"/>
    <w:rsid w:val="4E524648"/>
    <w:rsid w:val="4EC56BC8"/>
    <w:rsid w:val="4EDD2163"/>
    <w:rsid w:val="4F5622C7"/>
    <w:rsid w:val="4F7769ED"/>
    <w:rsid w:val="4F7A20A8"/>
    <w:rsid w:val="4F8F72F9"/>
    <w:rsid w:val="4FBE4498"/>
    <w:rsid w:val="4FD514C7"/>
    <w:rsid w:val="4FF26A8A"/>
    <w:rsid w:val="4FFD3683"/>
    <w:rsid w:val="4FFE5E70"/>
    <w:rsid w:val="50260035"/>
    <w:rsid w:val="50436AA2"/>
    <w:rsid w:val="507D0B25"/>
    <w:rsid w:val="50B10C48"/>
    <w:rsid w:val="50B746F8"/>
    <w:rsid w:val="51045B07"/>
    <w:rsid w:val="51CB46D7"/>
    <w:rsid w:val="51CC4711"/>
    <w:rsid w:val="51EE4E78"/>
    <w:rsid w:val="5237602E"/>
    <w:rsid w:val="52495D62"/>
    <w:rsid w:val="52686CFA"/>
    <w:rsid w:val="536D62FF"/>
    <w:rsid w:val="53874D93"/>
    <w:rsid w:val="538E6B22"/>
    <w:rsid w:val="53B86B6C"/>
    <w:rsid w:val="53DF072C"/>
    <w:rsid w:val="540E2C58"/>
    <w:rsid w:val="54166797"/>
    <w:rsid w:val="543071D9"/>
    <w:rsid w:val="543750FF"/>
    <w:rsid w:val="54384DB4"/>
    <w:rsid w:val="543C792C"/>
    <w:rsid w:val="545C1D7C"/>
    <w:rsid w:val="54E65AEA"/>
    <w:rsid w:val="5515395A"/>
    <w:rsid w:val="556D1D67"/>
    <w:rsid w:val="55F1544B"/>
    <w:rsid w:val="55FC63A8"/>
    <w:rsid w:val="56262642"/>
    <w:rsid w:val="56571A99"/>
    <w:rsid w:val="566C7823"/>
    <w:rsid w:val="56A47A0A"/>
    <w:rsid w:val="57816951"/>
    <w:rsid w:val="57BA2E30"/>
    <w:rsid w:val="5806097D"/>
    <w:rsid w:val="589A319D"/>
    <w:rsid w:val="58F27A61"/>
    <w:rsid w:val="592A2449"/>
    <w:rsid w:val="59305585"/>
    <w:rsid w:val="59DE4FE1"/>
    <w:rsid w:val="59E015BE"/>
    <w:rsid w:val="5A5E3DFF"/>
    <w:rsid w:val="5ACF3183"/>
    <w:rsid w:val="5B61411C"/>
    <w:rsid w:val="5B9F7F3B"/>
    <w:rsid w:val="5BA40BE5"/>
    <w:rsid w:val="5BA8278F"/>
    <w:rsid w:val="5BE07737"/>
    <w:rsid w:val="5BF172E7"/>
    <w:rsid w:val="5BFB631F"/>
    <w:rsid w:val="5C183C23"/>
    <w:rsid w:val="5C492169"/>
    <w:rsid w:val="5CF93E8F"/>
    <w:rsid w:val="5D30277E"/>
    <w:rsid w:val="5D5B0A0B"/>
    <w:rsid w:val="5D9805B3"/>
    <w:rsid w:val="5DD348AC"/>
    <w:rsid w:val="5DFB1693"/>
    <w:rsid w:val="5E4105E7"/>
    <w:rsid w:val="5E891EF8"/>
    <w:rsid w:val="5F083FC2"/>
    <w:rsid w:val="5F0D47A6"/>
    <w:rsid w:val="5F1F5556"/>
    <w:rsid w:val="5F441788"/>
    <w:rsid w:val="5F51305B"/>
    <w:rsid w:val="5F607404"/>
    <w:rsid w:val="5F9674A7"/>
    <w:rsid w:val="5FAD6C7D"/>
    <w:rsid w:val="6022031E"/>
    <w:rsid w:val="602D0A71"/>
    <w:rsid w:val="6042451C"/>
    <w:rsid w:val="605455BD"/>
    <w:rsid w:val="609E0422"/>
    <w:rsid w:val="61665A4D"/>
    <w:rsid w:val="61C84EF5"/>
    <w:rsid w:val="6264713B"/>
    <w:rsid w:val="62AE1AC1"/>
    <w:rsid w:val="62B15989"/>
    <w:rsid w:val="62E25B42"/>
    <w:rsid w:val="62F67840"/>
    <w:rsid w:val="62FB2F72"/>
    <w:rsid w:val="633C08FC"/>
    <w:rsid w:val="63597017"/>
    <w:rsid w:val="63C67212"/>
    <w:rsid w:val="63F44A83"/>
    <w:rsid w:val="63FE16DD"/>
    <w:rsid w:val="64012005"/>
    <w:rsid w:val="64155AA4"/>
    <w:rsid w:val="642826DF"/>
    <w:rsid w:val="64577284"/>
    <w:rsid w:val="64B74DAD"/>
    <w:rsid w:val="650E70C3"/>
    <w:rsid w:val="653528A1"/>
    <w:rsid w:val="659832B3"/>
    <w:rsid w:val="65CE5344"/>
    <w:rsid w:val="65DA0385"/>
    <w:rsid w:val="66275276"/>
    <w:rsid w:val="6638413B"/>
    <w:rsid w:val="6674153C"/>
    <w:rsid w:val="66BE0674"/>
    <w:rsid w:val="66E31E89"/>
    <w:rsid w:val="671007F1"/>
    <w:rsid w:val="673320BA"/>
    <w:rsid w:val="675C73F2"/>
    <w:rsid w:val="676F0F89"/>
    <w:rsid w:val="67AD6DE0"/>
    <w:rsid w:val="67C718D1"/>
    <w:rsid w:val="67F7525A"/>
    <w:rsid w:val="682C46C7"/>
    <w:rsid w:val="682C7077"/>
    <w:rsid w:val="685731D2"/>
    <w:rsid w:val="68643573"/>
    <w:rsid w:val="68B97ED7"/>
    <w:rsid w:val="68EC14C9"/>
    <w:rsid w:val="68F2342A"/>
    <w:rsid w:val="69135A28"/>
    <w:rsid w:val="69261FE1"/>
    <w:rsid w:val="696E592C"/>
    <w:rsid w:val="69B018C1"/>
    <w:rsid w:val="69B15C14"/>
    <w:rsid w:val="69BC6CFF"/>
    <w:rsid w:val="6A0E0D52"/>
    <w:rsid w:val="6A8111ED"/>
    <w:rsid w:val="6AD71D05"/>
    <w:rsid w:val="6B0625F5"/>
    <w:rsid w:val="6B1116BB"/>
    <w:rsid w:val="6B401666"/>
    <w:rsid w:val="6B75365C"/>
    <w:rsid w:val="6B7B5D96"/>
    <w:rsid w:val="6BC24763"/>
    <w:rsid w:val="6BD548F4"/>
    <w:rsid w:val="6BDD77EF"/>
    <w:rsid w:val="6BDF4B7D"/>
    <w:rsid w:val="6BE20233"/>
    <w:rsid w:val="6BF63529"/>
    <w:rsid w:val="6C2B48B6"/>
    <w:rsid w:val="6C376686"/>
    <w:rsid w:val="6C3968C7"/>
    <w:rsid w:val="6C5D740D"/>
    <w:rsid w:val="6C7A646F"/>
    <w:rsid w:val="6C7F3CDD"/>
    <w:rsid w:val="6CB43BD9"/>
    <w:rsid w:val="6CEC03EE"/>
    <w:rsid w:val="6CED5810"/>
    <w:rsid w:val="6D033285"/>
    <w:rsid w:val="6D312C6E"/>
    <w:rsid w:val="6D5744EA"/>
    <w:rsid w:val="6D7E0B27"/>
    <w:rsid w:val="6DB05CB4"/>
    <w:rsid w:val="6DB94F60"/>
    <w:rsid w:val="6DD644F6"/>
    <w:rsid w:val="6DFF1C9E"/>
    <w:rsid w:val="6E144C91"/>
    <w:rsid w:val="6E564D49"/>
    <w:rsid w:val="6E5A0AA4"/>
    <w:rsid w:val="6E774F4B"/>
    <w:rsid w:val="6E95022C"/>
    <w:rsid w:val="6F6A79F5"/>
    <w:rsid w:val="6F9B1553"/>
    <w:rsid w:val="6FAA5C3A"/>
    <w:rsid w:val="6FBB7993"/>
    <w:rsid w:val="6FD9651F"/>
    <w:rsid w:val="70132790"/>
    <w:rsid w:val="7053087D"/>
    <w:rsid w:val="70641996"/>
    <w:rsid w:val="70E60810"/>
    <w:rsid w:val="71182072"/>
    <w:rsid w:val="71C50B09"/>
    <w:rsid w:val="727C1768"/>
    <w:rsid w:val="72A02D9E"/>
    <w:rsid w:val="72A66B8C"/>
    <w:rsid w:val="731B5CA7"/>
    <w:rsid w:val="73243F55"/>
    <w:rsid w:val="7329156C"/>
    <w:rsid w:val="735859AD"/>
    <w:rsid w:val="737E1F98"/>
    <w:rsid w:val="738B5D82"/>
    <w:rsid w:val="73CE57CC"/>
    <w:rsid w:val="743C45B0"/>
    <w:rsid w:val="74AE5885"/>
    <w:rsid w:val="74EA7D17"/>
    <w:rsid w:val="754104C0"/>
    <w:rsid w:val="75546277"/>
    <w:rsid w:val="755F2C22"/>
    <w:rsid w:val="759F04BE"/>
    <w:rsid w:val="75A634FC"/>
    <w:rsid w:val="75BB607F"/>
    <w:rsid w:val="75E11C91"/>
    <w:rsid w:val="76C26ECB"/>
    <w:rsid w:val="76D27AF8"/>
    <w:rsid w:val="76FD2F00"/>
    <w:rsid w:val="77216B8B"/>
    <w:rsid w:val="7727446A"/>
    <w:rsid w:val="77383246"/>
    <w:rsid w:val="780768A2"/>
    <w:rsid w:val="78DD1E86"/>
    <w:rsid w:val="79144124"/>
    <w:rsid w:val="79707849"/>
    <w:rsid w:val="797A07C3"/>
    <w:rsid w:val="799E680F"/>
    <w:rsid w:val="79BC4EE7"/>
    <w:rsid w:val="79DC0916"/>
    <w:rsid w:val="79F3642F"/>
    <w:rsid w:val="7A0635C0"/>
    <w:rsid w:val="7A0D74F1"/>
    <w:rsid w:val="7A1C6AC0"/>
    <w:rsid w:val="7A2715CF"/>
    <w:rsid w:val="7B2F4F94"/>
    <w:rsid w:val="7B33614A"/>
    <w:rsid w:val="7B5971BC"/>
    <w:rsid w:val="7C0E5EFB"/>
    <w:rsid w:val="7C5E3E59"/>
    <w:rsid w:val="7C852194"/>
    <w:rsid w:val="7CA26617"/>
    <w:rsid w:val="7CC75E49"/>
    <w:rsid w:val="7CF76237"/>
    <w:rsid w:val="7D2E7EC7"/>
    <w:rsid w:val="7D562013"/>
    <w:rsid w:val="7D7004C3"/>
    <w:rsid w:val="7D83519D"/>
    <w:rsid w:val="7D987C19"/>
    <w:rsid w:val="7DCD2671"/>
    <w:rsid w:val="7DEA4DB5"/>
    <w:rsid w:val="7E375583"/>
    <w:rsid w:val="7E391CF7"/>
    <w:rsid w:val="7E7B0DF9"/>
    <w:rsid w:val="7E9A7436"/>
    <w:rsid w:val="7EAA17B2"/>
    <w:rsid w:val="7EB16E12"/>
    <w:rsid w:val="7ED06D3F"/>
    <w:rsid w:val="7EE822DB"/>
    <w:rsid w:val="7F1015D2"/>
    <w:rsid w:val="7F1C3412"/>
    <w:rsid w:val="7F2D1560"/>
    <w:rsid w:val="7F346B96"/>
    <w:rsid w:val="7F3B065C"/>
    <w:rsid w:val="7F806956"/>
    <w:rsid w:val="7FB775FC"/>
  </w:rsids>
  <m:mathPr>
    <m:mathFont m:val="Cambria Math"/>
    <m:brkBin m:val="before"/>
    <m:brkBinSub m:val="--"/>
    <m:smallFrac m:val="1"/>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nhideWhenUsed="0" w:uiPriority="0" w:semiHidden="0" w:name="heading 3"/>
    <w:lsdException w:qFormat="1" w:unhideWhenUsed="0" w:uiPriority="0" w:semiHidden="0" w:name="heading 4"/>
    <w:lsdException w:qFormat="1" w:unhideWhenUsed="0" w:uiPriority="0" w:semiHidden="0" w:name="heading 5"/>
    <w:lsdException w:qFormat="1" w:unhideWhenUsed="0" w:uiPriority="0" w:semiHidden="0" w:name="heading 6"/>
    <w:lsdException w:qFormat="1" w:unhideWhenUsed="0" w:uiPriority="0" w:semiHidden="0" w:name="heading 7"/>
    <w:lsdException w:qFormat="1" w:unhideWhenUsed="0" w:uiPriority="0" w:semiHidden="0" w:name="heading 8"/>
    <w:lsdException w:qFormat="1" w:unhideWhenUsed="0" w:uiPriority="0" w:semiHidden="0" w:name="heading 9"/>
    <w:lsdException w:unhideWhenUsed="0" w:uiPriority="0" w:semiHidden="0" w:name="index 1"/>
    <w:lsdException w:unhideWhenUsed="0" w:uiPriority="0" w:semiHidden="0" w:name="index 2"/>
    <w:lsdException w:unhideWhenUsed="0" w:uiPriority="0" w:semiHidden="0" w:name="index 3"/>
    <w:lsdException w:qFormat="1"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0" w:semiHidden="0" w:name="toc 1"/>
    <w:lsdException w:qFormat="1" w:unhideWhenUsed="0" w:uiPriority="0" w:semiHidden="0" w:name="toc 2"/>
    <w:lsdException w:qFormat="1" w:unhideWhenUsed="0" w:uiPriority="0" w:semiHidden="0" w:name="toc 3"/>
    <w:lsdException w:qFormat="1" w:unhideWhenUsed="0" w:uiPriority="0" w:semiHidden="0" w:name="toc 4"/>
    <w:lsdException w:qFormat="1" w:unhideWhenUsed="0" w:uiPriority="0" w:semiHidden="0" w:name="toc 5"/>
    <w:lsdException w:qFormat="1" w:unhideWhenUsed="0" w:uiPriority="0" w:semiHidden="0" w:name="toc 6"/>
    <w:lsdException w:qFormat="1" w:unhideWhenUsed="0" w:uiPriority="0" w:semiHidden="0" w:name="toc 7"/>
    <w:lsdException w:qFormat="1" w:unhideWhenUsed="0" w:uiPriority="0" w:semiHidden="0" w:name="toc 8"/>
    <w:lsdException w:qFormat="1" w:unhideWhenUsed="0" w:uiPriority="0" w:semiHidden="0" w:name="toc 9"/>
    <w:lsdException w:qFormat="1" w:unhideWhenUsed="0" w:uiPriority="0" w:semiHidden="0" w:name="Normal Indent"/>
    <w:lsdException w:unhideWhenUsed="0" w:uiPriority="0" w:semiHidden="0" w:name="footnote text"/>
    <w:lsdException w:qFormat="1"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nhideWhenUsed="0" w:uiPriority="0" w:semiHidden="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qFormat="1" w:unhideWhenUsed="0" w:uiPriority="0" w:semiHidden="0" w:name="annotation reference"/>
    <w:lsdException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iPriority="1"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qFormat="1" w:unhideWhenUsed="0" w:uiPriority="0" w:semiHidden="0" w:name="Date"/>
    <w:lsdException w:unhideWhenUsed="0" w:uiPriority="0" w:semiHidden="0" w:name="Body Text First Indent"/>
    <w:lsdException w:qFormat="1"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qFormat="1" w:unhideWhenUsed="0" w:uiPriority="0" w:semiHidden="0" w:name="Body Text Indent 3"/>
    <w:lsdException w:unhideWhenUsed="0" w:uiPriority="0" w:semiHidden="0" w:name="Block Text"/>
    <w:lsdException w:qFormat="1" w:unhideWhenUsed="0" w:uiPriority="0" w:semiHidden="0" w:name="Hyperlink"/>
    <w:lsdException w:qFormat="1" w:unhideWhenUsed="0" w:uiPriority="0" w:semiHidden="0" w:name="FollowedHyperlink"/>
    <w:lsdException w:qFormat="1" w:unhideWhenUsed="0" w:uiPriority="0" w:semiHidden="0" w:name="Strong"/>
    <w:lsdException w:qFormat="1" w:unhideWhenUsed="0" w:uiPriority="0" w:semiHidden="0" w:name="Emphasis"/>
    <w:lsdException w:qFormat="1" w:unhideWhenUsed="0" w:uiPriority="0" w:semiHidden="0" w:name="Document Map"/>
    <w:lsdException w:qFormat="1"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qFormat="1"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qFormat="1" w:unhideWhenUsed="0" w:uiPriority="0" w:semiHidden="0" w:name="Balloon Text"/>
    <w:lsdException w:qFormat="1" w:unhideWhenUsed="0" w:uiPriority="0" w:semiHidden="0" w:name="Table Grid"/>
    <w:lsdException w:unhideWhenUsed="0" w:uiPriority="0" w:semiHidden="0" w:name="Table Theme"/>
    <w:lsdException w:qFormat="1" w:unhideWhenUsed="0" w:uiPriority="0" w:semiHidden="0" w:name="No Spacing"/>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qFormat="1" w:unhideWhenUsed="0" w:uiPriority="0" w:semiHidden="0" w:name="Quote"/>
    <w:lsdException w:qFormat="1" w:unhideWhenUsed="0" w:uiPriority="0" w:semiHidden="0" w:name="Intense Quote"/>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autoRedefine/>
    <w:qFormat/>
    <w:uiPriority w:val="0"/>
    <w:pPr>
      <w:widowControl w:val="0"/>
      <w:jc w:val="both"/>
    </w:pPr>
    <w:rPr>
      <w:rFonts w:ascii="Times New Roman" w:hAnsi="Times New Roman" w:eastAsia="宋体" w:cs="Times New Roman"/>
      <w:kern w:val="2"/>
      <w:sz w:val="21"/>
      <w:szCs w:val="24"/>
      <w:lang w:val="en-US" w:eastAsia="zh-CN" w:bidi="ar-SA"/>
    </w:rPr>
  </w:style>
  <w:style w:type="paragraph" w:styleId="2">
    <w:name w:val="heading 1"/>
    <w:basedOn w:val="1"/>
    <w:next w:val="1"/>
    <w:link w:val="81"/>
    <w:autoRedefine/>
    <w:qFormat/>
    <w:uiPriority w:val="0"/>
    <w:pPr>
      <w:keepNext/>
      <w:keepLines/>
      <w:numPr>
        <w:ilvl w:val="0"/>
        <w:numId w:val="1"/>
      </w:numPr>
      <w:spacing w:line="360" w:lineRule="auto"/>
      <w:jc w:val="center"/>
      <w:outlineLvl w:val="0"/>
    </w:pPr>
    <w:rPr>
      <w:rFonts w:ascii="Calibri" w:hAnsi="Calibri" w:eastAsia="宋体"/>
      <w:b/>
      <w:bCs/>
      <w:kern w:val="44"/>
      <w:sz w:val="44"/>
      <w:szCs w:val="44"/>
    </w:rPr>
  </w:style>
  <w:style w:type="paragraph" w:styleId="3">
    <w:name w:val="heading 2"/>
    <w:basedOn w:val="1"/>
    <w:next w:val="1"/>
    <w:link w:val="107"/>
    <w:autoRedefine/>
    <w:qFormat/>
    <w:uiPriority w:val="0"/>
    <w:pPr>
      <w:keepNext/>
      <w:keepLines/>
      <w:spacing w:before="260" w:after="260" w:line="413" w:lineRule="auto"/>
      <w:outlineLvl w:val="1"/>
    </w:pPr>
    <w:rPr>
      <w:rFonts w:ascii="Cambria" w:hAnsi="Cambria"/>
      <w:b/>
      <w:bCs/>
      <w:sz w:val="32"/>
      <w:szCs w:val="32"/>
    </w:rPr>
  </w:style>
  <w:style w:type="paragraph" w:styleId="4">
    <w:name w:val="heading 3"/>
    <w:basedOn w:val="1"/>
    <w:next w:val="1"/>
    <w:link w:val="64"/>
    <w:autoRedefine/>
    <w:qFormat/>
    <w:uiPriority w:val="0"/>
    <w:pPr>
      <w:keepNext/>
      <w:keepLines/>
      <w:spacing w:before="260" w:after="260" w:line="415" w:lineRule="auto"/>
      <w:outlineLvl w:val="2"/>
    </w:pPr>
    <w:rPr>
      <w:b/>
      <w:bCs/>
      <w:sz w:val="32"/>
      <w:szCs w:val="32"/>
    </w:rPr>
  </w:style>
  <w:style w:type="paragraph" w:styleId="5">
    <w:name w:val="heading 4"/>
    <w:basedOn w:val="1"/>
    <w:next w:val="1"/>
    <w:link w:val="53"/>
    <w:autoRedefine/>
    <w:qFormat/>
    <w:uiPriority w:val="0"/>
    <w:pPr>
      <w:keepNext/>
      <w:keepLines/>
      <w:spacing w:before="280" w:after="290" w:line="376" w:lineRule="auto"/>
      <w:outlineLvl w:val="3"/>
    </w:pPr>
    <w:rPr>
      <w:rFonts w:ascii="Arial" w:hAnsi="Arial" w:eastAsia="黑体"/>
      <w:b/>
      <w:bCs/>
      <w:sz w:val="28"/>
      <w:szCs w:val="28"/>
    </w:rPr>
  </w:style>
  <w:style w:type="paragraph" w:styleId="6">
    <w:name w:val="heading 5"/>
    <w:basedOn w:val="1"/>
    <w:next w:val="1"/>
    <w:link w:val="61"/>
    <w:autoRedefine/>
    <w:qFormat/>
    <w:uiPriority w:val="0"/>
    <w:pPr>
      <w:keepNext/>
      <w:keepLines/>
      <w:spacing w:before="280" w:after="290" w:line="372" w:lineRule="auto"/>
      <w:outlineLvl w:val="4"/>
    </w:pPr>
    <w:rPr>
      <w:rFonts w:ascii="Calibri" w:hAnsi="Calibri"/>
      <w:b/>
      <w:bCs/>
      <w:sz w:val="28"/>
      <w:szCs w:val="28"/>
    </w:rPr>
  </w:style>
  <w:style w:type="paragraph" w:styleId="7">
    <w:name w:val="heading 6"/>
    <w:basedOn w:val="1"/>
    <w:next w:val="1"/>
    <w:link w:val="67"/>
    <w:autoRedefine/>
    <w:qFormat/>
    <w:uiPriority w:val="0"/>
    <w:pPr>
      <w:keepNext/>
      <w:keepLines/>
      <w:spacing w:before="240" w:after="64" w:line="317" w:lineRule="auto"/>
      <w:outlineLvl w:val="5"/>
    </w:pPr>
    <w:rPr>
      <w:rFonts w:ascii="Cambria" w:hAnsi="Cambria"/>
      <w:b/>
      <w:bCs/>
      <w:sz w:val="24"/>
    </w:rPr>
  </w:style>
  <w:style w:type="paragraph" w:styleId="8">
    <w:name w:val="heading 7"/>
    <w:basedOn w:val="1"/>
    <w:next w:val="1"/>
    <w:link w:val="59"/>
    <w:autoRedefine/>
    <w:qFormat/>
    <w:uiPriority w:val="0"/>
    <w:pPr>
      <w:keepNext/>
      <w:keepLines/>
      <w:spacing w:before="240" w:after="64" w:line="317" w:lineRule="auto"/>
      <w:outlineLvl w:val="6"/>
    </w:pPr>
    <w:rPr>
      <w:rFonts w:ascii="Calibri" w:hAnsi="Calibri"/>
      <w:b/>
      <w:bCs/>
      <w:sz w:val="24"/>
    </w:rPr>
  </w:style>
  <w:style w:type="paragraph" w:styleId="9">
    <w:name w:val="heading 8"/>
    <w:basedOn w:val="1"/>
    <w:next w:val="1"/>
    <w:link w:val="86"/>
    <w:autoRedefine/>
    <w:qFormat/>
    <w:uiPriority w:val="0"/>
    <w:pPr>
      <w:keepNext/>
      <w:keepLines/>
      <w:spacing w:before="240" w:after="64" w:line="317" w:lineRule="auto"/>
      <w:outlineLvl w:val="7"/>
    </w:pPr>
    <w:rPr>
      <w:rFonts w:ascii="Cambria" w:hAnsi="Cambria"/>
      <w:sz w:val="24"/>
    </w:rPr>
  </w:style>
  <w:style w:type="paragraph" w:styleId="10">
    <w:name w:val="heading 9"/>
    <w:basedOn w:val="1"/>
    <w:next w:val="1"/>
    <w:link w:val="50"/>
    <w:autoRedefine/>
    <w:qFormat/>
    <w:uiPriority w:val="0"/>
    <w:pPr>
      <w:keepNext/>
      <w:keepLines/>
      <w:spacing w:before="240" w:after="64" w:line="317" w:lineRule="auto"/>
      <w:outlineLvl w:val="8"/>
    </w:pPr>
    <w:rPr>
      <w:rFonts w:ascii="Cambria" w:hAnsi="Cambria"/>
      <w:szCs w:val="21"/>
    </w:rPr>
  </w:style>
  <w:style w:type="character" w:default="1" w:styleId="40">
    <w:name w:val="Default Paragraph Font"/>
    <w:autoRedefine/>
    <w:semiHidden/>
    <w:unhideWhenUsed/>
    <w:qFormat/>
    <w:uiPriority w:val="1"/>
  </w:style>
  <w:style w:type="table" w:default="1" w:styleId="38">
    <w:name w:val="Normal Table"/>
    <w:autoRedefine/>
    <w:semiHidden/>
    <w:unhideWhenUsed/>
    <w:qFormat/>
    <w:uiPriority w:val="99"/>
    <w:tblPr>
      <w:tblCellMar>
        <w:top w:w="0" w:type="dxa"/>
        <w:left w:w="108" w:type="dxa"/>
        <w:bottom w:w="0" w:type="dxa"/>
        <w:right w:w="108" w:type="dxa"/>
      </w:tblCellMar>
    </w:tblPr>
  </w:style>
  <w:style w:type="paragraph" w:styleId="11">
    <w:name w:val="toc 7"/>
    <w:basedOn w:val="1"/>
    <w:next w:val="1"/>
    <w:autoRedefine/>
    <w:qFormat/>
    <w:uiPriority w:val="0"/>
    <w:pPr>
      <w:ind w:left="2520" w:leftChars="1200"/>
    </w:pPr>
    <w:rPr>
      <w:rFonts w:ascii="Calibri" w:hAnsi="Calibri"/>
      <w:szCs w:val="22"/>
    </w:rPr>
  </w:style>
  <w:style w:type="paragraph" w:styleId="12">
    <w:name w:val="Normal Indent"/>
    <w:basedOn w:val="1"/>
    <w:autoRedefine/>
    <w:qFormat/>
    <w:uiPriority w:val="0"/>
    <w:pPr>
      <w:adjustRightInd w:val="0"/>
      <w:spacing w:line="360" w:lineRule="atLeast"/>
      <w:ind w:firstLine="482"/>
      <w:textAlignment w:val="baseline"/>
    </w:pPr>
    <w:rPr>
      <w:kern w:val="0"/>
      <w:sz w:val="24"/>
      <w:szCs w:val="20"/>
    </w:rPr>
  </w:style>
  <w:style w:type="paragraph" w:styleId="13">
    <w:name w:val="caption"/>
    <w:basedOn w:val="1"/>
    <w:next w:val="1"/>
    <w:autoRedefine/>
    <w:qFormat/>
    <w:uiPriority w:val="0"/>
    <w:rPr>
      <w:rFonts w:ascii="Cambria" w:hAnsi="Cambria" w:eastAsia="黑体"/>
      <w:sz w:val="20"/>
      <w:szCs w:val="20"/>
    </w:rPr>
  </w:style>
  <w:style w:type="paragraph" w:styleId="14">
    <w:name w:val="Document Map"/>
    <w:basedOn w:val="1"/>
    <w:link w:val="77"/>
    <w:autoRedefine/>
    <w:qFormat/>
    <w:uiPriority w:val="0"/>
    <w:pPr>
      <w:shd w:val="clear" w:color="auto" w:fill="000080"/>
    </w:pPr>
    <w:rPr>
      <w:kern w:val="0"/>
      <w:sz w:val="20"/>
      <w:shd w:val="clear" w:color="auto" w:fill="000080"/>
    </w:rPr>
  </w:style>
  <w:style w:type="paragraph" w:styleId="15">
    <w:name w:val="annotation text"/>
    <w:basedOn w:val="1"/>
    <w:link w:val="72"/>
    <w:autoRedefine/>
    <w:qFormat/>
    <w:uiPriority w:val="0"/>
    <w:pPr>
      <w:jc w:val="left"/>
    </w:pPr>
  </w:style>
  <w:style w:type="paragraph" w:styleId="16">
    <w:name w:val="Body Text"/>
    <w:basedOn w:val="1"/>
    <w:next w:val="1"/>
    <w:link w:val="79"/>
    <w:autoRedefine/>
    <w:qFormat/>
    <w:uiPriority w:val="0"/>
    <w:pPr>
      <w:adjustRightInd w:val="0"/>
      <w:spacing w:after="60" w:line="360" w:lineRule="atLeast"/>
      <w:ind w:left="72" w:leftChars="30" w:right="30" w:rightChars="30"/>
      <w:jc w:val="center"/>
      <w:textAlignment w:val="baseline"/>
    </w:pPr>
    <w:rPr>
      <w:kern w:val="0"/>
      <w:sz w:val="20"/>
      <w:szCs w:val="20"/>
    </w:rPr>
  </w:style>
  <w:style w:type="paragraph" w:styleId="17">
    <w:name w:val="Body Text Indent"/>
    <w:basedOn w:val="1"/>
    <w:next w:val="1"/>
    <w:autoRedefine/>
    <w:qFormat/>
    <w:uiPriority w:val="0"/>
    <w:pPr>
      <w:ind w:firstLine="830" w:firstLineChars="352"/>
    </w:pPr>
    <w:rPr>
      <w:rFonts w:ascii="仿宋_GB2312" w:eastAsia="仿宋_GB2312"/>
      <w:kern w:val="0"/>
      <w:sz w:val="32"/>
      <w:szCs w:val="20"/>
    </w:rPr>
  </w:style>
  <w:style w:type="paragraph" w:styleId="18">
    <w:name w:val="index 4"/>
    <w:basedOn w:val="1"/>
    <w:next w:val="1"/>
    <w:autoRedefine/>
    <w:qFormat/>
    <w:uiPriority w:val="0"/>
    <w:pPr>
      <w:ind w:left="600" w:leftChars="600"/>
    </w:pPr>
  </w:style>
  <w:style w:type="paragraph" w:styleId="19">
    <w:name w:val="toc 5"/>
    <w:basedOn w:val="1"/>
    <w:next w:val="1"/>
    <w:autoRedefine/>
    <w:qFormat/>
    <w:uiPriority w:val="0"/>
    <w:pPr>
      <w:tabs>
        <w:tab w:val="right" w:leader="dot" w:pos="8296"/>
      </w:tabs>
      <w:ind w:left="1050" w:leftChars="500"/>
    </w:pPr>
    <w:rPr>
      <w:rFonts w:ascii="Calibri" w:hAnsi="Calibri"/>
      <w:szCs w:val="22"/>
    </w:rPr>
  </w:style>
  <w:style w:type="paragraph" w:styleId="20">
    <w:name w:val="toc 3"/>
    <w:basedOn w:val="1"/>
    <w:next w:val="1"/>
    <w:autoRedefine/>
    <w:qFormat/>
    <w:uiPriority w:val="0"/>
    <w:pPr>
      <w:ind w:left="840" w:leftChars="400"/>
    </w:pPr>
    <w:rPr>
      <w:rFonts w:ascii="Calibri" w:hAnsi="Calibri"/>
      <w:szCs w:val="22"/>
    </w:rPr>
  </w:style>
  <w:style w:type="paragraph" w:styleId="21">
    <w:name w:val="Plain Text"/>
    <w:basedOn w:val="1"/>
    <w:autoRedefine/>
    <w:qFormat/>
    <w:uiPriority w:val="0"/>
    <w:pPr>
      <w:spacing w:beforeLines="50" w:line="360" w:lineRule="auto"/>
    </w:pPr>
    <w:rPr>
      <w:rFonts w:ascii="宋体" w:hAnsi="Courier New" w:eastAsia="Times New Roman"/>
      <w:kern w:val="0"/>
    </w:rPr>
  </w:style>
  <w:style w:type="paragraph" w:styleId="22">
    <w:name w:val="toc 8"/>
    <w:basedOn w:val="1"/>
    <w:next w:val="1"/>
    <w:autoRedefine/>
    <w:qFormat/>
    <w:uiPriority w:val="0"/>
    <w:pPr>
      <w:ind w:left="2940" w:leftChars="1400"/>
    </w:pPr>
    <w:rPr>
      <w:rFonts w:ascii="Calibri" w:hAnsi="Calibri"/>
      <w:szCs w:val="22"/>
    </w:rPr>
  </w:style>
  <w:style w:type="paragraph" w:styleId="23">
    <w:name w:val="Date"/>
    <w:basedOn w:val="1"/>
    <w:next w:val="1"/>
    <w:link w:val="87"/>
    <w:autoRedefine/>
    <w:qFormat/>
    <w:uiPriority w:val="0"/>
    <w:pPr>
      <w:ind w:left="100" w:leftChars="2500"/>
    </w:pPr>
    <w:rPr>
      <w:rFonts w:ascii="宋体"/>
      <w:kern w:val="0"/>
      <w:sz w:val="28"/>
      <w:szCs w:val="20"/>
    </w:rPr>
  </w:style>
  <w:style w:type="paragraph" w:styleId="24">
    <w:name w:val="Balloon Text"/>
    <w:basedOn w:val="1"/>
    <w:link w:val="80"/>
    <w:autoRedefine/>
    <w:qFormat/>
    <w:uiPriority w:val="0"/>
    <w:rPr>
      <w:rFonts w:ascii="宋体"/>
      <w:kern w:val="0"/>
      <w:sz w:val="18"/>
      <w:szCs w:val="18"/>
    </w:rPr>
  </w:style>
  <w:style w:type="paragraph" w:styleId="25">
    <w:name w:val="footer"/>
    <w:basedOn w:val="1"/>
    <w:link w:val="73"/>
    <w:autoRedefine/>
    <w:qFormat/>
    <w:uiPriority w:val="0"/>
    <w:pPr>
      <w:tabs>
        <w:tab w:val="center" w:pos="4153"/>
        <w:tab w:val="right" w:pos="8306"/>
      </w:tabs>
      <w:snapToGrid w:val="0"/>
      <w:jc w:val="left"/>
    </w:pPr>
    <w:rPr>
      <w:sz w:val="18"/>
      <w:szCs w:val="18"/>
    </w:rPr>
  </w:style>
  <w:style w:type="paragraph" w:styleId="26">
    <w:name w:val="header"/>
    <w:basedOn w:val="1"/>
    <w:autoRedefine/>
    <w:qFormat/>
    <w:uiPriority w:val="0"/>
    <w:pPr>
      <w:pBdr>
        <w:bottom w:val="single" w:color="auto" w:sz="6" w:space="1"/>
      </w:pBdr>
      <w:tabs>
        <w:tab w:val="center" w:pos="4153"/>
        <w:tab w:val="right" w:pos="8306"/>
      </w:tabs>
      <w:snapToGrid w:val="0"/>
      <w:jc w:val="center"/>
    </w:pPr>
    <w:rPr>
      <w:sz w:val="18"/>
      <w:szCs w:val="18"/>
    </w:rPr>
  </w:style>
  <w:style w:type="paragraph" w:styleId="27">
    <w:name w:val="toc 1"/>
    <w:basedOn w:val="1"/>
    <w:next w:val="1"/>
    <w:autoRedefine/>
    <w:qFormat/>
    <w:uiPriority w:val="0"/>
    <w:pPr>
      <w:tabs>
        <w:tab w:val="right" w:leader="dot" w:pos="8296"/>
      </w:tabs>
    </w:pPr>
    <w:rPr>
      <w:rFonts w:ascii="宋体" w:eastAsia="楷体_GB2312" w:cs="TimesNewRomanPSMT"/>
      <w:b/>
      <w:kern w:val="0"/>
      <w:sz w:val="28"/>
      <w:szCs w:val="20"/>
    </w:rPr>
  </w:style>
  <w:style w:type="paragraph" w:styleId="28">
    <w:name w:val="toc 4"/>
    <w:basedOn w:val="1"/>
    <w:next w:val="1"/>
    <w:autoRedefine/>
    <w:qFormat/>
    <w:uiPriority w:val="0"/>
    <w:pPr>
      <w:tabs>
        <w:tab w:val="left" w:pos="1890"/>
        <w:tab w:val="right" w:leader="dot" w:pos="8296"/>
      </w:tabs>
      <w:ind w:left="630" w:leftChars="300"/>
    </w:pPr>
    <w:rPr>
      <w:rFonts w:ascii="Calibri" w:hAnsi="Calibri"/>
      <w:szCs w:val="22"/>
    </w:rPr>
  </w:style>
  <w:style w:type="paragraph" w:styleId="29">
    <w:name w:val="Subtitle"/>
    <w:basedOn w:val="1"/>
    <w:next w:val="1"/>
    <w:link w:val="84"/>
    <w:autoRedefine/>
    <w:qFormat/>
    <w:uiPriority w:val="0"/>
    <w:pPr>
      <w:spacing w:before="240" w:after="60" w:line="312" w:lineRule="auto"/>
      <w:jc w:val="center"/>
      <w:outlineLvl w:val="1"/>
    </w:pPr>
    <w:rPr>
      <w:rFonts w:ascii="Cambria" w:hAnsi="Cambria"/>
      <w:b/>
      <w:bCs/>
      <w:kern w:val="28"/>
      <w:sz w:val="32"/>
      <w:szCs w:val="32"/>
    </w:rPr>
  </w:style>
  <w:style w:type="paragraph" w:styleId="30">
    <w:name w:val="toc 6"/>
    <w:basedOn w:val="1"/>
    <w:next w:val="1"/>
    <w:autoRedefine/>
    <w:qFormat/>
    <w:uiPriority w:val="0"/>
    <w:pPr>
      <w:ind w:left="2100" w:leftChars="1000"/>
    </w:pPr>
    <w:rPr>
      <w:rFonts w:ascii="Calibri" w:hAnsi="Calibri"/>
      <w:szCs w:val="22"/>
    </w:rPr>
  </w:style>
  <w:style w:type="paragraph" w:styleId="31">
    <w:name w:val="Body Text Indent 3"/>
    <w:basedOn w:val="1"/>
    <w:link w:val="102"/>
    <w:autoRedefine/>
    <w:qFormat/>
    <w:uiPriority w:val="0"/>
    <w:pPr>
      <w:spacing w:after="120"/>
      <w:ind w:left="420" w:leftChars="200"/>
    </w:pPr>
    <w:rPr>
      <w:sz w:val="16"/>
      <w:szCs w:val="16"/>
    </w:rPr>
  </w:style>
  <w:style w:type="paragraph" w:styleId="32">
    <w:name w:val="toc 2"/>
    <w:basedOn w:val="1"/>
    <w:next w:val="1"/>
    <w:autoRedefine/>
    <w:qFormat/>
    <w:uiPriority w:val="0"/>
    <w:pPr>
      <w:ind w:left="420" w:leftChars="200"/>
    </w:pPr>
    <w:rPr>
      <w:rFonts w:ascii="宋体"/>
      <w:b/>
      <w:sz w:val="28"/>
      <w:szCs w:val="20"/>
    </w:rPr>
  </w:style>
  <w:style w:type="paragraph" w:styleId="33">
    <w:name w:val="toc 9"/>
    <w:basedOn w:val="1"/>
    <w:next w:val="1"/>
    <w:autoRedefine/>
    <w:qFormat/>
    <w:uiPriority w:val="0"/>
    <w:pPr>
      <w:ind w:left="3360" w:leftChars="1600"/>
    </w:pPr>
    <w:rPr>
      <w:rFonts w:ascii="Calibri" w:hAnsi="Calibri"/>
      <w:szCs w:val="22"/>
    </w:rPr>
  </w:style>
  <w:style w:type="paragraph" w:styleId="34">
    <w:name w:val="Normal (Web)"/>
    <w:basedOn w:val="1"/>
    <w:autoRedefine/>
    <w:qFormat/>
    <w:uiPriority w:val="0"/>
    <w:pPr>
      <w:widowControl/>
      <w:spacing w:before="100" w:beforeAutospacing="1" w:after="100" w:afterAutospacing="1" w:line="320" w:lineRule="atLeast"/>
      <w:jc w:val="left"/>
    </w:pPr>
    <w:rPr>
      <w:rFonts w:ascii="宋体" w:hAnsi="宋体"/>
      <w:kern w:val="0"/>
      <w:sz w:val="18"/>
      <w:szCs w:val="18"/>
    </w:rPr>
  </w:style>
  <w:style w:type="paragraph" w:styleId="35">
    <w:name w:val="Title"/>
    <w:basedOn w:val="1"/>
    <w:next w:val="1"/>
    <w:link w:val="66"/>
    <w:autoRedefine/>
    <w:qFormat/>
    <w:uiPriority w:val="0"/>
    <w:pPr>
      <w:spacing w:before="240" w:after="60"/>
      <w:jc w:val="center"/>
      <w:outlineLvl w:val="0"/>
    </w:pPr>
    <w:rPr>
      <w:rFonts w:ascii="Cambria" w:hAnsi="Cambria"/>
      <w:b/>
      <w:bCs/>
      <w:sz w:val="32"/>
      <w:szCs w:val="32"/>
    </w:rPr>
  </w:style>
  <w:style w:type="paragraph" w:styleId="36">
    <w:name w:val="annotation subject"/>
    <w:basedOn w:val="15"/>
    <w:next w:val="15"/>
    <w:link w:val="58"/>
    <w:autoRedefine/>
    <w:qFormat/>
    <w:uiPriority w:val="0"/>
    <w:rPr>
      <w:rFonts w:ascii="宋体"/>
      <w:b/>
      <w:bCs/>
      <w:kern w:val="0"/>
      <w:sz w:val="28"/>
      <w:szCs w:val="20"/>
    </w:rPr>
  </w:style>
  <w:style w:type="paragraph" w:styleId="37">
    <w:name w:val="Body Text First Indent 2"/>
    <w:basedOn w:val="17"/>
    <w:next w:val="1"/>
    <w:autoRedefine/>
    <w:qFormat/>
    <w:uiPriority w:val="0"/>
    <w:pPr>
      <w:ind w:firstLine="420" w:firstLineChars="200"/>
    </w:pPr>
  </w:style>
  <w:style w:type="table" w:styleId="39">
    <w:name w:val="Table Grid"/>
    <w:basedOn w:val="38"/>
    <w:autoRedefine/>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character" w:styleId="41">
    <w:name w:val="Strong"/>
    <w:basedOn w:val="40"/>
    <w:autoRedefine/>
    <w:qFormat/>
    <w:uiPriority w:val="0"/>
    <w:rPr>
      <w:b/>
      <w:bCs/>
    </w:rPr>
  </w:style>
  <w:style w:type="character" w:styleId="42">
    <w:name w:val="page number"/>
    <w:basedOn w:val="40"/>
    <w:autoRedefine/>
    <w:qFormat/>
    <w:uiPriority w:val="0"/>
  </w:style>
  <w:style w:type="character" w:styleId="43">
    <w:name w:val="FollowedHyperlink"/>
    <w:basedOn w:val="40"/>
    <w:autoRedefine/>
    <w:qFormat/>
    <w:uiPriority w:val="0"/>
    <w:rPr>
      <w:color w:val="333333"/>
      <w:u w:val="none"/>
    </w:rPr>
  </w:style>
  <w:style w:type="character" w:styleId="44">
    <w:name w:val="Emphasis"/>
    <w:autoRedefine/>
    <w:qFormat/>
    <w:uiPriority w:val="0"/>
    <w:rPr>
      <w:i/>
      <w:iCs/>
    </w:rPr>
  </w:style>
  <w:style w:type="character" w:styleId="45">
    <w:name w:val="Hyperlink"/>
    <w:basedOn w:val="40"/>
    <w:autoRedefine/>
    <w:qFormat/>
    <w:uiPriority w:val="0"/>
    <w:rPr>
      <w:color w:val="333333"/>
      <w:u w:val="none"/>
    </w:rPr>
  </w:style>
  <w:style w:type="character" w:styleId="46">
    <w:name w:val="annotation reference"/>
    <w:autoRedefine/>
    <w:qFormat/>
    <w:uiPriority w:val="0"/>
    <w:rPr>
      <w:rFonts w:cs="Times New Roman"/>
      <w:sz w:val="21"/>
      <w:szCs w:val="21"/>
    </w:rPr>
  </w:style>
  <w:style w:type="paragraph" w:customStyle="1" w:styleId="47">
    <w:name w:val="Default"/>
    <w:autoRedefine/>
    <w:qFormat/>
    <w:uiPriority w:val="0"/>
    <w:pPr>
      <w:widowControl w:val="0"/>
      <w:autoSpaceDE w:val="0"/>
      <w:autoSpaceDN w:val="0"/>
      <w:adjustRightInd w:val="0"/>
    </w:pPr>
    <w:rPr>
      <w:rFonts w:ascii="黑体" w:hAnsi="Times New Roman" w:eastAsia="黑体" w:cs="Times New Roman"/>
      <w:lang w:val="en-US" w:eastAsia="zh-CN" w:bidi="ar-SA"/>
    </w:rPr>
  </w:style>
  <w:style w:type="paragraph" w:customStyle="1" w:styleId="48">
    <w:name w:val="列出段落1"/>
    <w:basedOn w:val="1"/>
    <w:autoRedefine/>
    <w:qFormat/>
    <w:uiPriority w:val="0"/>
    <w:pPr>
      <w:ind w:firstLine="420"/>
    </w:pPr>
    <w:rPr>
      <w:szCs w:val="20"/>
    </w:rPr>
  </w:style>
  <w:style w:type="paragraph" w:customStyle="1" w:styleId="49">
    <w:name w:val="正文正"/>
    <w:basedOn w:val="1"/>
    <w:autoRedefine/>
    <w:qFormat/>
    <w:uiPriority w:val="0"/>
    <w:pPr>
      <w:spacing w:line="560" w:lineRule="exact"/>
      <w:ind w:firstLine="561"/>
    </w:pPr>
    <w:rPr>
      <w:rFonts w:eastAsia="仿宋_GB2312"/>
      <w:sz w:val="28"/>
      <w:szCs w:val="24"/>
    </w:rPr>
  </w:style>
  <w:style w:type="character" w:customStyle="1" w:styleId="50">
    <w:name w:val="标题 9 Char"/>
    <w:link w:val="10"/>
    <w:autoRedefine/>
    <w:qFormat/>
    <w:uiPriority w:val="0"/>
    <w:rPr>
      <w:rFonts w:ascii="Cambria" w:hAnsi="Cambria" w:eastAsia="宋体"/>
      <w:kern w:val="2"/>
      <w:sz w:val="21"/>
      <w:szCs w:val="21"/>
      <w:lang w:val="en-US" w:eastAsia="zh-CN" w:bidi="ar-SA"/>
    </w:rPr>
  </w:style>
  <w:style w:type="character" w:customStyle="1" w:styleId="51">
    <w:name w:val="textcontents"/>
    <w:autoRedefine/>
    <w:qFormat/>
    <w:uiPriority w:val="0"/>
    <w:rPr>
      <w:rFonts w:cs="Times New Roman"/>
    </w:rPr>
  </w:style>
  <w:style w:type="character" w:customStyle="1" w:styleId="52">
    <w:name w:val="标题 2 Char"/>
    <w:link w:val="3"/>
    <w:autoRedefine/>
    <w:qFormat/>
    <w:uiPriority w:val="0"/>
    <w:rPr>
      <w:rFonts w:ascii="Cambria" w:hAnsi="Cambria" w:eastAsia="宋体"/>
      <w:b/>
      <w:bCs/>
      <w:kern w:val="2"/>
      <w:sz w:val="32"/>
      <w:szCs w:val="32"/>
      <w:lang w:val="en-US" w:eastAsia="zh-CN" w:bidi="ar-SA"/>
    </w:rPr>
  </w:style>
  <w:style w:type="character" w:customStyle="1" w:styleId="53">
    <w:name w:val="标题 4 Char"/>
    <w:link w:val="5"/>
    <w:autoRedefine/>
    <w:qFormat/>
    <w:uiPriority w:val="0"/>
    <w:rPr>
      <w:rFonts w:ascii="Arial" w:hAnsi="Arial" w:eastAsia="黑体"/>
      <w:b/>
      <w:bCs/>
      <w:kern w:val="2"/>
      <w:sz w:val="28"/>
      <w:szCs w:val="28"/>
      <w:lang w:val="en-US" w:eastAsia="zh-CN" w:bidi="ar-SA"/>
    </w:rPr>
  </w:style>
  <w:style w:type="character" w:customStyle="1" w:styleId="54">
    <w:name w:val="引用 Char"/>
    <w:link w:val="55"/>
    <w:autoRedefine/>
    <w:qFormat/>
    <w:uiPriority w:val="0"/>
    <w:rPr>
      <w:i/>
      <w:iCs/>
      <w:color w:val="000000"/>
      <w:kern w:val="2"/>
      <w:sz w:val="21"/>
      <w:szCs w:val="22"/>
      <w:lang w:bidi="ar-SA"/>
    </w:rPr>
  </w:style>
  <w:style w:type="paragraph" w:styleId="55">
    <w:name w:val="Quote"/>
    <w:basedOn w:val="1"/>
    <w:next w:val="1"/>
    <w:link w:val="54"/>
    <w:autoRedefine/>
    <w:qFormat/>
    <w:uiPriority w:val="0"/>
    <w:rPr>
      <w:i/>
      <w:iCs/>
      <w:color w:val="000000"/>
      <w:szCs w:val="22"/>
    </w:rPr>
  </w:style>
  <w:style w:type="character" w:customStyle="1" w:styleId="56">
    <w:name w:val="标题5 Char Char"/>
    <w:link w:val="57"/>
    <w:autoRedefine/>
    <w:qFormat/>
    <w:uiPriority w:val="0"/>
    <w:rPr>
      <w:rFonts w:ascii="Arial" w:hAnsi="Arial"/>
      <w:b/>
      <w:bCs/>
      <w:sz w:val="24"/>
      <w:szCs w:val="32"/>
      <w:lang w:bidi="ar-SA"/>
    </w:rPr>
  </w:style>
  <w:style w:type="paragraph" w:customStyle="1" w:styleId="57">
    <w:name w:val="标题5"/>
    <w:basedOn w:val="4"/>
    <w:link w:val="56"/>
    <w:autoRedefine/>
    <w:qFormat/>
    <w:uiPriority w:val="0"/>
    <w:pPr>
      <w:spacing w:line="413" w:lineRule="auto"/>
    </w:pPr>
    <w:rPr>
      <w:rFonts w:ascii="Arial" w:hAnsi="Arial"/>
      <w:kern w:val="0"/>
      <w:sz w:val="24"/>
    </w:rPr>
  </w:style>
  <w:style w:type="character" w:customStyle="1" w:styleId="58">
    <w:name w:val="批注主题 Char"/>
    <w:link w:val="36"/>
    <w:autoRedefine/>
    <w:qFormat/>
    <w:uiPriority w:val="0"/>
    <w:rPr>
      <w:rFonts w:ascii="宋体"/>
      <w:b/>
      <w:bCs/>
      <w:sz w:val="28"/>
      <w:lang w:bidi="ar-SA"/>
    </w:rPr>
  </w:style>
  <w:style w:type="character" w:customStyle="1" w:styleId="59">
    <w:name w:val="标题 7 Char"/>
    <w:link w:val="8"/>
    <w:autoRedefine/>
    <w:qFormat/>
    <w:uiPriority w:val="0"/>
    <w:rPr>
      <w:rFonts w:ascii="Calibri" w:hAnsi="Calibri" w:eastAsia="宋体"/>
      <w:b/>
      <w:bCs/>
      <w:kern w:val="2"/>
      <w:sz w:val="24"/>
      <w:szCs w:val="24"/>
      <w:lang w:val="en-US" w:eastAsia="zh-CN" w:bidi="ar-SA"/>
    </w:rPr>
  </w:style>
  <w:style w:type="character" w:customStyle="1" w:styleId="60">
    <w:name w:val="文档结构图 Char1"/>
    <w:autoRedefine/>
    <w:qFormat/>
    <w:uiPriority w:val="0"/>
    <w:rPr>
      <w:rFonts w:ascii="宋体"/>
      <w:kern w:val="2"/>
      <w:sz w:val="18"/>
      <w:szCs w:val="18"/>
    </w:rPr>
  </w:style>
  <w:style w:type="character" w:customStyle="1" w:styleId="61">
    <w:name w:val="标题 5 Char"/>
    <w:link w:val="6"/>
    <w:autoRedefine/>
    <w:qFormat/>
    <w:uiPriority w:val="0"/>
    <w:rPr>
      <w:rFonts w:ascii="Calibri" w:hAnsi="Calibri" w:eastAsia="宋体"/>
      <w:b/>
      <w:bCs/>
      <w:kern w:val="2"/>
      <w:sz w:val="28"/>
      <w:szCs w:val="28"/>
      <w:lang w:val="en-US" w:eastAsia="zh-CN" w:bidi="ar-SA"/>
    </w:rPr>
  </w:style>
  <w:style w:type="character" w:customStyle="1" w:styleId="62">
    <w:name w:val="正文文本 Char1"/>
    <w:autoRedefine/>
    <w:qFormat/>
    <w:uiPriority w:val="0"/>
    <w:rPr>
      <w:kern w:val="2"/>
      <w:sz w:val="21"/>
      <w:szCs w:val="22"/>
    </w:rPr>
  </w:style>
  <w:style w:type="character" w:customStyle="1" w:styleId="63">
    <w:name w:val="日期 Char1"/>
    <w:autoRedefine/>
    <w:qFormat/>
    <w:uiPriority w:val="0"/>
    <w:rPr>
      <w:kern w:val="2"/>
      <w:sz w:val="21"/>
      <w:szCs w:val="22"/>
    </w:rPr>
  </w:style>
  <w:style w:type="character" w:customStyle="1" w:styleId="64">
    <w:name w:val="标题 3 Char"/>
    <w:basedOn w:val="40"/>
    <w:link w:val="4"/>
    <w:autoRedefine/>
    <w:qFormat/>
    <w:uiPriority w:val="0"/>
    <w:rPr>
      <w:rFonts w:eastAsia="宋体"/>
      <w:b/>
      <w:bCs/>
      <w:kern w:val="2"/>
      <w:sz w:val="32"/>
      <w:szCs w:val="32"/>
      <w:lang w:val="en-US" w:eastAsia="zh-CN" w:bidi="ar-SA"/>
    </w:rPr>
  </w:style>
  <w:style w:type="character" w:customStyle="1" w:styleId="65">
    <w:name w:val="不明显参考1"/>
    <w:autoRedefine/>
    <w:qFormat/>
    <w:uiPriority w:val="0"/>
    <w:rPr>
      <w:smallCaps/>
      <w:color w:val="C0504D"/>
      <w:u w:val="single"/>
    </w:rPr>
  </w:style>
  <w:style w:type="character" w:customStyle="1" w:styleId="66">
    <w:name w:val="标题 Char"/>
    <w:link w:val="35"/>
    <w:autoRedefine/>
    <w:qFormat/>
    <w:uiPriority w:val="0"/>
    <w:rPr>
      <w:rFonts w:ascii="Cambria" w:hAnsi="Cambria"/>
      <w:b/>
      <w:bCs/>
      <w:kern w:val="2"/>
      <w:sz w:val="32"/>
      <w:szCs w:val="32"/>
      <w:lang w:bidi="ar-SA"/>
    </w:rPr>
  </w:style>
  <w:style w:type="character" w:customStyle="1" w:styleId="67">
    <w:name w:val="标题 6 Char"/>
    <w:link w:val="7"/>
    <w:autoRedefine/>
    <w:qFormat/>
    <w:uiPriority w:val="0"/>
    <w:rPr>
      <w:rFonts w:ascii="Cambria" w:hAnsi="Cambria" w:eastAsia="宋体"/>
      <w:b/>
      <w:bCs/>
      <w:kern w:val="2"/>
      <w:sz w:val="24"/>
      <w:szCs w:val="24"/>
      <w:lang w:val="en-US" w:eastAsia="zh-CN" w:bidi="ar-SA"/>
    </w:rPr>
  </w:style>
  <w:style w:type="character" w:customStyle="1" w:styleId="68">
    <w:name w:val="明显参考1"/>
    <w:autoRedefine/>
    <w:qFormat/>
    <w:uiPriority w:val="0"/>
    <w:rPr>
      <w:b/>
      <w:bCs/>
      <w:smallCaps/>
      <w:color w:val="C0504D"/>
      <w:spacing w:val="5"/>
      <w:u w:val="single"/>
    </w:rPr>
  </w:style>
  <w:style w:type="character" w:customStyle="1" w:styleId="69">
    <w:name w:val="批注文字 Char Char"/>
    <w:autoRedefine/>
    <w:qFormat/>
    <w:uiPriority w:val="0"/>
    <w:rPr>
      <w:rFonts w:ascii="宋体" w:hAnsi="Times New Roman" w:eastAsia="宋体" w:cs="Times New Roman"/>
      <w:sz w:val="28"/>
      <w:szCs w:val="20"/>
    </w:rPr>
  </w:style>
  <w:style w:type="character" w:customStyle="1" w:styleId="70">
    <w:name w:val="标题4 Char Char"/>
    <w:link w:val="71"/>
    <w:autoRedefine/>
    <w:qFormat/>
    <w:uiPriority w:val="0"/>
    <w:rPr>
      <w:rFonts w:ascii="Arial" w:hAnsi="Arial"/>
      <w:b/>
      <w:bCs/>
      <w:sz w:val="24"/>
      <w:szCs w:val="32"/>
      <w:lang w:bidi="ar-SA"/>
    </w:rPr>
  </w:style>
  <w:style w:type="paragraph" w:customStyle="1" w:styleId="71">
    <w:name w:val="标题4"/>
    <w:basedOn w:val="3"/>
    <w:next w:val="18"/>
    <w:link w:val="70"/>
    <w:autoRedefine/>
    <w:qFormat/>
    <w:uiPriority w:val="0"/>
    <w:rPr>
      <w:rFonts w:ascii="Arial" w:hAnsi="Arial"/>
      <w:kern w:val="0"/>
      <w:sz w:val="24"/>
    </w:rPr>
  </w:style>
  <w:style w:type="character" w:customStyle="1" w:styleId="72">
    <w:name w:val="批注文字 Char"/>
    <w:basedOn w:val="40"/>
    <w:link w:val="15"/>
    <w:autoRedefine/>
    <w:qFormat/>
    <w:uiPriority w:val="0"/>
    <w:rPr>
      <w:rFonts w:eastAsia="宋体"/>
      <w:kern w:val="2"/>
      <w:sz w:val="21"/>
      <w:szCs w:val="24"/>
      <w:lang w:val="en-US" w:eastAsia="zh-CN" w:bidi="ar-SA"/>
    </w:rPr>
  </w:style>
  <w:style w:type="character" w:customStyle="1" w:styleId="73">
    <w:name w:val="页脚 Char"/>
    <w:link w:val="25"/>
    <w:autoRedefine/>
    <w:qFormat/>
    <w:uiPriority w:val="0"/>
    <w:rPr>
      <w:rFonts w:eastAsia="宋体"/>
      <w:kern w:val="2"/>
      <w:sz w:val="18"/>
      <w:szCs w:val="18"/>
      <w:lang w:val="en-US" w:eastAsia="zh-CN" w:bidi="ar-SA"/>
    </w:rPr>
  </w:style>
  <w:style w:type="character" w:customStyle="1" w:styleId="74">
    <w:name w:val="批注主题 Char1"/>
    <w:autoRedefine/>
    <w:qFormat/>
    <w:uiPriority w:val="0"/>
    <w:rPr>
      <w:b/>
      <w:bCs/>
      <w:kern w:val="2"/>
      <w:sz w:val="21"/>
      <w:szCs w:val="22"/>
    </w:rPr>
  </w:style>
  <w:style w:type="character" w:customStyle="1" w:styleId="75">
    <w:name w:val="不明显强调1"/>
    <w:autoRedefine/>
    <w:qFormat/>
    <w:uiPriority w:val="0"/>
    <w:rPr>
      <w:i/>
      <w:iCs/>
      <w:color w:val="808080"/>
    </w:rPr>
  </w:style>
  <w:style w:type="character" w:customStyle="1" w:styleId="76">
    <w:name w:val="书籍标题1"/>
    <w:autoRedefine/>
    <w:qFormat/>
    <w:uiPriority w:val="0"/>
    <w:rPr>
      <w:b/>
      <w:bCs/>
      <w:smallCaps/>
      <w:spacing w:val="5"/>
    </w:rPr>
  </w:style>
  <w:style w:type="character" w:customStyle="1" w:styleId="77">
    <w:name w:val="文档结构图 Char"/>
    <w:link w:val="14"/>
    <w:autoRedefine/>
    <w:qFormat/>
    <w:uiPriority w:val="0"/>
    <w:rPr>
      <w:szCs w:val="24"/>
      <w:shd w:val="clear" w:color="auto" w:fill="000080"/>
      <w:lang w:bidi="ar-SA"/>
    </w:rPr>
  </w:style>
  <w:style w:type="character" w:customStyle="1" w:styleId="78">
    <w:name w:val="批注框文本 Char1"/>
    <w:autoRedefine/>
    <w:qFormat/>
    <w:uiPriority w:val="0"/>
    <w:rPr>
      <w:kern w:val="2"/>
      <w:sz w:val="18"/>
      <w:szCs w:val="18"/>
    </w:rPr>
  </w:style>
  <w:style w:type="character" w:customStyle="1" w:styleId="79">
    <w:name w:val="正文文本 Char"/>
    <w:link w:val="16"/>
    <w:autoRedefine/>
    <w:qFormat/>
    <w:uiPriority w:val="0"/>
    <w:rPr>
      <w:lang w:bidi="ar-SA"/>
    </w:rPr>
  </w:style>
  <w:style w:type="character" w:customStyle="1" w:styleId="80">
    <w:name w:val="批注框文本 Char"/>
    <w:link w:val="24"/>
    <w:autoRedefine/>
    <w:qFormat/>
    <w:uiPriority w:val="0"/>
    <w:rPr>
      <w:rFonts w:ascii="宋体"/>
      <w:sz w:val="18"/>
      <w:szCs w:val="18"/>
      <w:lang w:bidi="ar-SA"/>
    </w:rPr>
  </w:style>
  <w:style w:type="character" w:customStyle="1" w:styleId="81">
    <w:name w:val="标题 1 Char"/>
    <w:link w:val="2"/>
    <w:autoRedefine/>
    <w:qFormat/>
    <w:uiPriority w:val="0"/>
    <w:rPr>
      <w:rFonts w:ascii="Calibri" w:hAnsi="Calibri" w:eastAsia="宋体"/>
      <w:b/>
      <w:bCs/>
      <w:kern w:val="44"/>
      <w:sz w:val="44"/>
      <w:szCs w:val="44"/>
      <w:lang w:val="en-US" w:eastAsia="zh-CN" w:bidi="ar-SA"/>
    </w:rPr>
  </w:style>
  <w:style w:type="character" w:customStyle="1" w:styleId="82">
    <w:name w:val="明显强调1"/>
    <w:autoRedefine/>
    <w:qFormat/>
    <w:uiPriority w:val="0"/>
    <w:rPr>
      <w:b/>
      <w:bCs/>
      <w:i/>
      <w:iCs/>
      <w:color w:val="4F81BD"/>
    </w:rPr>
  </w:style>
  <w:style w:type="character" w:customStyle="1" w:styleId="83">
    <w:name w:val="Char Char9"/>
    <w:autoRedefine/>
    <w:qFormat/>
    <w:uiPriority w:val="0"/>
    <w:rPr>
      <w:kern w:val="2"/>
      <w:sz w:val="21"/>
      <w:szCs w:val="22"/>
    </w:rPr>
  </w:style>
  <w:style w:type="character" w:customStyle="1" w:styleId="84">
    <w:name w:val="副标题 Char"/>
    <w:link w:val="29"/>
    <w:autoRedefine/>
    <w:qFormat/>
    <w:uiPriority w:val="0"/>
    <w:rPr>
      <w:rFonts w:ascii="Cambria" w:hAnsi="Cambria"/>
      <w:b/>
      <w:bCs/>
      <w:kern w:val="28"/>
      <w:sz w:val="32"/>
      <w:szCs w:val="32"/>
      <w:lang w:bidi="ar-SA"/>
    </w:rPr>
  </w:style>
  <w:style w:type="character" w:customStyle="1" w:styleId="85">
    <w:name w:val="Char Char16"/>
    <w:autoRedefine/>
    <w:qFormat/>
    <w:uiPriority w:val="0"/>
    <w:rPr>
      <w:b/>
      <w:bCs/>
      <w:kern w:val="2"/>
      <w:sz w:val="32"/>
      <w:szCs w:val="32"/>
    </w:rPr>
  </w:style>
  <w:style w:type="character" w:customStyle="1" w:styleId="86">
    <w:name w:val="标题 8 Char"/>
    <w:link w:val="9"/>
    <w:autoRedefine/>
    <w:qFormat/>
    <w:uiPriority w:val="0"/>
    <w:rPr>
      <w:rFonts w:ascii="Cambria" w:hAnsi="Cambria" w:eastAsia="宋体"/>
      <w:kern w:val="2"/>
      <w:sz w:val="24"/>
      <w:szCs w:val="24"/>
      <w:lang w:val="en-US" w:eastAsia="zh-CN" w:bidi="ar-SA"/>
    </w:rPr>
  </w:style>
  <w:style w:type="character" w:customStyle="1" w:styleId="87">
    <w:name w:val="日期 Char"/>
    <w:link w:val="23"/>
    <w:autoRedefine/>
    <w:qFormat/>
    <w:uiPriority w:val="0"/>
    <w:rPr>
      <w:rFonts w:ascii="宋体"/>
      <w:sz w:val="28"/>
      <w:lang w:bidi="ar-SA"/>
    </w:rPr>
  </w:style>
  <w:style w:type="character" w:customStyle="1" w:styleId="88">
    <w:name w:val="明显引用 Char"/>
    <w:link w:val="89"/>
    <w:autoRedefine/>
    <w:qFormat/>
    <w:uiPriority w:val="0"/>
    <w:rPr>
      <w:b/>
      <w:bCs/>
      <w:i/>
      <w:iCs/>
      <w:color w:val="4F81BD"/>
      <w:kern w:val="2"/>
      <w:sz w:val="21"/>
      <w:szCs w:val="22"/>
      <w:lang w:bidi="ar-SA"/>
    </w:rPr>
  </w:style>
  <w:style w:type="paragraph" w:styleId="89">
    <w:name w:val="Intense Quote"/>
    <w:basedOn w:val="1"/>
    <w:next w:val="1"/>
    <w:link w:val="88"/>
    <w:autoRedefine/>
    <w:qFormat/>
    <w:uiPriority w:val="0"/>
    <w:pPr>
      <w:pBdr>
        <w:bottom w:val="single" w:color="4F81BD" w:sz="4" w:space="4"/>
      </w:pBdr>
      <w:spacing w:before="200" w:after="280"/>
      <w:ind w:left="936" w:right="936"/>
    </w:pPr>
    <w:rPr>
      <w:b/>
      <w:bCs/>
      <w:i/>
      <w:iCs/>
      <w:color w:val="4F81BD"/>
      <w:szCs w:val="22"/>
    </w:rPr>
  </w:style>
  <w:style w:type="paragraph" w:styleId="90">
    <w:name w:val="List Paragraph"/>
    <w:basedOn w:val="1"/>
    <w:autoRedefine/>
    <w:qFormat/>
    <w:uiPriority w:val="34"/>
    <w:pPr>
      <w:ind w:firstLine="420" w:firstLineChars="200"/>
    </w:pPr>
    <w:rPr>
      <w:rFonts w:ascii="Calibri" w:hAnsi="Calibri"/>
      <w:szCs w:val="22"/>
    </w:rPr>
  </w:style>
  <w:style w:type="paragraph" w:customStyle="1" w:styleId="91">
    <w:name w:val="默认段落字体 Para Char Char Char Char Char Char Char Char Char1 Char Char Char Char Char Char Char"/>
    <w:basedOn w:val="14"/>
    <w:autoRedefine/>
    <w:qFormat/>
    <w:uiPriority w:val="0"/>
    <w:rPr>
      <w:rFonts w:ascii="Tahoma" w:hAnsi="Tahoma" w:cs="Tahoma"/>
      <w:kern w:val="2"/>
      <w:sz w:val="24"/>
      <w:shd w:val="clear" w:color="auto" w:fill="auto"/>
    </w:rPr>
  </w:style>
  <w:style w:type="paragraph" w:customStyle="1" w:styleId="92">
    <w:name w:val="修订1"/>
    <w:autoRedefine/>
    <w:qFormat/>
    <w:uiPriority w:val="0"/>
    <w:rPr>
      <w:rFonts w:ascii="Times New Roman" w:hAnsi="Times New Roman" w:eastAsia="宋体" w:cs="Times New Roman"/>
      <w:kern w:val="2"/>
      <w:sz w:val="21"/>
      <w:szCs w:val="24"/>
      <w:lang w:val="en-US" w:eastAsia="zh-CN" w:bidi="ar-SA"/>
    </w:rPr>
  </w:style>
  <w:style w:type="paragraph" w:customStyle="1" w:styleId="93">
    <w:name w:val="样式 标题 3 + (中文) 黑体 小四 非加粗 段前: 7.8 磅 段后: 0 磅 行距: 固定值 20 磅"/>
    <w:basedOn w:val="4"/>
    <w:autoRedefine/>
    <w:qFormat/>
    <w:uiPriority w:val="0"/>
    <w:pPr>
      <w:spacing w:before="0" w:after="0" w:line="400" w:lineRule="exact"/>
    </w:pPr>
    <w:rPr>
      <w:rFonts w:eastAsia="黑体" w:cs="宋体"/>
      <w:b w:val="0"/>
      <w:bCs w:val="0"/>
      <w:sz w:val="24"/>
      <w:szCs w:val="20"/>
    </w:rPr>
  </w:style>
  <w:style w:type="paragraph" w:customStyle="1" w:styleId="94">
    <w:name w:val="TOC 标题1"/>
    <w:basedOn w:val="2"/>
    <w:next w:val="1"/>
    <w:autoRedefine/>
    <w:qFormat/>
    <w:uiPriority w:val="0"/>
    <w:pPr>
      <w:outlineLvl w:val="9"/>
    </w:pPr>
  </w:style>
  <w:style w:type="paragraph" w:customStyle="1" w:styleId="95">
    <w:name w:val="样式 标题 2 + Times New Roman 四号 非加粗 段前: 5 磅 段后: 0 磅 行距: 固定值 20..."/>
    <w:basedOn w:val="3"/>
    <w:autoRedefine/>
    <w:qFormat/>
    <w:uiPriority w:val="0"/>
    <w:pPr>
      <w:spacing w:before="100" w:after="0" w:line="400" w:lineRule="exact"/>
    </w:pPr>
    <w:rPr>
      <w:rFonts w:ascii="Times New Roman" w:hAnsi="Times New Roman" w:eastAsia="黑体" w:cs="宋体"/>
      <w:b w:val="0"/>
      <w:bCs w:val="0"/>
      <w:kern w:val="0"/>
      <w:sz w:val="28"/>
      <w:szCs w:val="20"/>
    </w:rPr>
  </w:style>
  <w:style w:type="paragraph" w:styleId="96">
    <w:name w:val="No Spacing"/>
    <w:autoRedefine/>
    <w:qFormat/>
    <w:uiPriority w:val="0"/>
    <w:pPr>
      <w:widowControl w:val="0"/>
      <w:jc w:val="both"/>
    </w:pPr>
    <w:rPr>
      <w:rFonts w:ascii="Calibri" w:hAnsi="Calibri" w:eastAsia="宋体" w:cs="Times New Roman"/>
      <w:kern w:val="2"/>
      <w:sz w:val="21"/>
      <w:szCs w:val="22"/>
      <w:lang w:val="en-US" w:eastAsia="zh-CN" w:bidi="ar-SA"/>
    </w:rPr>
  </w:style>
  <w:style w:type="paragraph" w:customStyle="1" w:styleId="97">
    <w:name w:val="空半行"/>
    <w:basedOn w:val="1"/>
    <w:autoRedefine/>
    <w:qFormat/>
    <w:uiPriority w:val="0"/>
    <w:pPr>
      <w:adjustRightInd w:val="0"/>
      <w:spacing w:line="120" w:lineRule="exact"/>
      <w:textAlignment w:val="baseline"/>
    </w:pPr>
    <w:rPr>
      <w:rFonts w:eastAsia="仿宋_GB2312"/>
      <w:color w:val="FFFFFF"/>
      <w:kern w:val="0"/>
      <w:sz w:val="30"/>
      <w:szCs w:val="20"/>
    </w:rPr>
  </w:style>
  <w:style w:type="paragraph" w:customStyle="1" w:styleId="98">
    <w:name w:val="flNote"/>
    <w:basedOn w:val="1"/>
    <w:autoRedefine/>
    <w:qFormat/>
    <w:uiPriority w:val="0"/>
    <w:pPr>
      <w:adjustRightInd w:val="0"/>
      <w:spacing w:before="320" w:after="160" w:line="360" w:lineRule="atLeast"/>
      <w:jc w:val="center"/>
      <w:textAlignment w:val="baseline"/>
    </w:pPr>
    <w:rPr>
      <w:rFonts w:ascii="Arial" w:eastAsia="黑体"/>
      <w:kern w:val="0"/>
      <w:sz w:val="30"/>
      <w:szCs w:val="20"/>
    </w:rPr>
  </w:style>
  <w:style w:type="paragraph" w:customStyle="1" w:styleId="99">
    <w:name w:val="xl25"/>
    <w:basedOn w:val="1"/>
    <w:autoRedefine/>
    <w:qFormat/>
    <w:uiPriority w:val="0"/>
    <w:pPr>
      <w:widowControl/>
      <w:spacing w:before="100" w:beforeAutospacing="1" w:after="100" w:afterAutospacing="1"/>
      <w:jc w:val="center"/>
      <w:textAlignment w:val="center"/>
    </w:pPr>
    <w:rPr>
      <w:rFonts w:ascii="Arial Unicode MS" w:hAnsi="Arial Unicode MS" w:eastAsia="Arial Unicode MS" w:cs="Arial Unicode MS"/>
      <w:kern w:val="0"/>
      <w:sz w:val="24"/>
    </w:rPr>
  </w:style>
  <w:style w:type="paragraph" w:customStyle="1" w:styleId="100">
    <w:name w:val="列出段落2"/>
    <w:basedOn w:val="1"/>
    <w:autoRedefine/>
    <w:qFormat/>
    <w:uiPriority w:val="0"/>
    <w:pPr>
      <w:ind w:firstLine="420"/>
    </w:pPr>
    <w:rPr>
      <w:szCs w:val="20"/>
    </w:rPr>
  </w:style>
  <w:style w:type="paragraph" w:customStyle="1" w:styleId="101">
    <w:name w:val="列出段落3"/>
    <w:basedOn w:val="1"/>
    <w:autoRedefine/>
    <w:qFormat/>
    <w:uiPriority w:val="0"/>
    <w:pPr>
      <w:ind w:firstLine="420"/>
    </w:pPr>
    <w:rPr>
      <w:szCs w:val="20"/>
    </w:rPr>
  </w:style>
  <w:style w:type="character" w:customStyle="1" w:styleId="102">
    <w:name w:val="正文文本缩进 3 Char"/>
    <w:basedOn w:val="40"/>
    <w:link w:val="31"/>
    <w:autoRedefine/>
    <w:qFormat/>
    <w:uiPriority w:val="0"/>
    <w:rPr>
      <w:kern w:val="2"/>
      <w:sz w:val="16"/>
      <w:szCs w:val="16"/>
    </w:rPr>
  </w:style>
  <w:style w:type="character" w:customStyle="1" w:styleId="103">
    <w:name w:val="layui-laypage-curr"/>
    <w:basedOn w:val="40"/>
    <w:autoRedefine/>
    <w:qFormat/>
    <w:uiPriority w:val="0"/>
  </w:style>
  <w:style w:type="character" w:customStyle="1" w:styleId="104">
    <w:name w:val="bsharetext"/>
    <w:basedOn w:val="40"/>
    <w:autoRedefine/>
    <w:qFormat/>
    <w:uiPriority w:val="0"/>
  </w:style>
  <w:style w:type="paragraph" w:customStyle="1" w:styleId="105">
    <w:name w:val="_Style 3"/>
    <w:basedOn w:val="1"/>
    <w:next w:val="1"/>
    <w:autoRedefine/>
    <w:qFormat/>
    <w:uiPriority w:val="0"/>
    <w:pPr>
      <w:pBdr>
        <w:top w:val="single" w:color="auto" w:sz="6" w:space="1"/>
      </w:pBdr>
      <w:jc w:val="center"/>
    </w:pPr>
    <w:rPr>
      <w:rFonts w:ascii="Arial" w:eastAsia="宋体"/>
      <w:vanish/>
      <w:sz w:val="16"/>
    </w:rPr>
  </w:style>
  <w:style w:type="paragraph" w:customStyle="1" w:styleId="106">
    <w:name w:val="Table Paragraph"/>
    <w:basedOn w:val="1"/>
    <w:autoRedefine/>
    <w:qFormat/>
    <w:uiPriority w:val="1"/>
    <w:rPr>
      <w:rFonts w:ascii="宋体" w:hAnsi="宋体" w:eastAsia="宋体" w:cs="宋体"/>
    </w:rPr>
  </w:style>
  <w:style w:type="character" w:customStyle="1" w:styleId="107">
    <w:name w:val="标题 2 字符1"/>
    <w:link w:val="3"/>
    <w:autoRedefine/>
    <w:qFormat/>
    <w:locked/>
    <w:uiPriority w:val="0"/>
    <w:rPr>
      <w:rFonts w:ascii="Arial" w:hAnsi="Arial" w:eastAsia="黑体" w:cs="Times New Roman"/>
      <w:b/>
      <w:bCs/>
      <w:kern w:val="2"/>
      <w:sz w:val="32"/>
      <w:szCs w:val="32"/>
      <w:lang w:val="en-US" w:eastAsia="zh-CN" w:bidi="ar-SA"/>
    </w:rPr>
  </w:style>
  <w:style w:type="character" w:customStyle="1" w:styleId="108">
    <w:name w:val="font61"/>
    <w:basedOn w:val="40"/>
    <w:autoRedefine/>
    <w:qFormat/>
    <w:uiPriority w:val="0"/>
    <w:rPr>
      <w:rFonts w:ascii="宋体" w:hAnsi="宋体" w:eastAsia="宋体" w:cs="宋体"/>
      <w:b/>
      <w:bCs/>
      <w:color w:val="000000"/>
      <w:sz w:val="30"/>
      <w:szCs w:val="30"/>
      <w:u w:val="none"/>
    </w:rPr>
  </w:style>
  <w:style w:type="character" w:customStyle="1" w:styleId="109">
    <w:name w:val="font71"/>
    <w:basedOn w:val="40"/>
    <w:autoRedefine/>
    <w:qFormat/>
    <w:uiPriority w:val="0"/>
    <w:rPr>
      <w:rFonts w:ascii="宋体" w:hAnsi="宋体" w:eastAsia="宋体" w:cs="宋体"/>
      <w:color w:val="000000"/>
      <w:sz w:val="22"/>
      <w:szCs w:val="22"/>
      <w:u w:val="none"/>
    </w:rPr>
  </w:style>
  <w:style w:type="paragraph" w:customStyle="1" w:styleId="110">
    <w:name w:val="正文_3_0"/>
    <w:next w:val="111"/>
    <w:qFormat/>
    <w:uiPriority w:val="0"/>
    <w:pPr>
      <w:widowControl w:val="0"/>
      <w:jc w:val="both"/>
    </w:pPr>
    <w:rPr>
      <w:rFonts w:ascii="Times New Roman" w:hAnsi="Times New Roman" w:eastAsia="宋体" w:cs="Times New Roman"/>
      <w:kern w:val="2"/>
      <w:sz w:val="21"/>
      <w:lang w:val="en-US" w:eastAsia="zh-CN" w:bidi="ar-SA"/>
    </w:rPr>
  </w:style>
  <w:style w:type="paragraph" w:customStyle="1" w:styleId="111">
    <w:name w:val="正文首行缩进 22"/>
    <w:basedOn w:val="112"/>
    <w:qFormat/>
    <w:uiPriority w:val="0"/>
    <w:pPr>
      <w:ind w:firstLine="420" w:firstLineChars="200"/>
    </w:pPr>
  </w:style>
  <w:style w:type="paragraph" w:customStyle="1" w:styleId="112">
    <w:name w:val="正文文本缩进2"/>
    <w:basedOn w:val="113"/>
    <w:qFormat/>
    <w:uiPriority w:val="0"/>
    <w:pPr>
      <w:spacing w:after="120"/>
      <w:ind w:left="420" w:leftChars="200"/>
    </w:pPr>
  </w:style>
  <w:style w:type="paragraph" w:customStyle="1" w:styleId="113">
    <w:name w:val="正文_5"/>
    <w:qFormat/>
    <w:uiPriority w:val="0"/>
    <w:pPr>
      <w:widowControl w:val="0"/>
      <w:jc w:val="both"/>
    </w:pPr>
    <w:rPr>
      <w:rFonts w:ascii="Times New Roman" w:hAnsi="Times New Roman" w:eastAsia="宋体" w:cs="Times New Roman"/>
      <w:kern w:val="2"/>
      <w:sz w:val="21"/>
      <w:szCs w:val="24"/>
      <w:lang w:val="en-US" w:eastAsia="zh-CN" w:bidi="ar-SA"/>
    </w:rPr>
  </w:style>
  <w:style w:type="character" w:customStyle="1" w:styleId="114">
    <w:name w:val="NormalCharacter"/>
    <w:qFormat/>
    <w:uiPriority w:val="0"/>
    <w:rPr>
      <w:rFonts w:ascii="Calibri" w:hAnsi="Calibri" w:eastAsia="宋体" w:cs="Times New Roman"/>
      <w:sz w:val="21"/>
      <w:szCs w:val="21"/>
      <w:lang w:val="en-US" w:eastAsia="zh-CN" w:bidi="ar-SA"/>
    </w:rPr>
  </w:style>
  <w:style w:type="paragraph" w:customStyle="1" w:styleId="115">
    <w:name w:val="WPSOffice手动目录 1"/>
    <w:qFormat/>
    <w:uiPriority w:val="0"/>
    <w:pPr>
      <w:ind w:leftChars="0"/>
    </w:pPr>
    <w:rPr>
      <w:rFonts w:ascii="Times New Roman" w:hAnsi="Times New Roman" w:eastAsia="宋体" w:cs="Times New Roman"/>
      <w:sz w:val="20"/>
      <w:szCs w:val="20"/>
    </w:rPr>
  </w:style>
</w:styles>
</file>

<file path=word/_rels/document.xml.rels><?xml version="1.0" encoding="UTF-8" standalone="yes"?>
<Relationships xmlns="http://schemas.openxmlformats.org/package/2006/relationships"><Relationship Id="rId9" Type="http://schemas.openxmlformats.org/officeDocument/2006/relationships/footer" Target="footer4.xml"/><Relationship Id="rId8" Type="http://schemas.openxmlformats.org/officeDocument/2006/relationships/footer" Target="footer3.xml"/><Relationship Id="rId7" Type="http://schemas.openxmlformats.org/officeDocument/2006/relationships/footer" Target="footer2.xml"/><Relationship Id="rId6" Type="http://schemas.openxmlformats.org/officeDocument/2006/relationships/footer" Target="footer1.xml"/><Relationship Id="rId5" Type="http://schemas.openxmlformats.org/officeDocument/2006/relationships/header" Target="header3.xml"/><Relationship Id="rId4" Type="http://schemas.openxmlformats.org/officeDocument/2006/relationships/header" Target="header2.xml"/><Relationship Id="rId3" Type="http://schemas.openxmlformats.org/officeDocument/2006/relationships/header" Target="header1.xml"/><Relationship Id="rId2" Type="http://schemas.openxmlformats.org/officeDocument/2006/relationships/settings" Target="settings.xml"/><Relationship Id="rId16" Type="http://schemas.openxmlformats.org/officeDocument/2006/relationships/fontTable" Target="fontTable.xml"/><Relationship Id="rId15" Type="http://schemas.openxmlformats.org/officeDocument/2006/relationships/customXml" Target="../customXml/item2.xml"/><Relationship Id="rId14" Type="http://schemas.openxmlformats.org/officeDocument/2006/relationships/numbering" Target="numbering.xml"/><Relationship Id="rId13" Type="http://schemas.openxmlformats.org/officeDocument/2006/relationships/customXml" Target="../customXml/item1.xml"/><Relationship Id="rId12" Type="http://schemas.openxmlformats.org/officeDocument/2006/relationships/image" Target="media/image1.png"/><Relationship Id="rId11" Type="http://schemas.openxmlformats.org/officeDocument/2006/relationships/theme" Target="theme/theme1.xml"/><Relationship Id="rId10" Type="http://schemas.openxmlformats.org/officeDocument/2006/relationships/footer" Target="footer5.xml"/><Relationship Id="rId1" Type="http://schemas.openxmlformats.org/officeDocument/2006/relationships/styles" Target="styles.xml"/></Relationships>
</file>

<file path=word/_rels/fontTable.xml.rels><?xml version="1.0" encoding="UTF-8" standalone="yes"?>
<Relationships xmlns="http://schemas.openxmlformats.org/package/2006/relationships"><Relationship Id="rId5" Type="http://schemas.openxmlformats.org/officeDocument/2006/relationships/font" Target="fonts/font5.odttf"/><Relationship Id="rId4" Type="http://schemas.openxmlformats.org/officeDocument/2006/relationships/font" Target="fonts/font4.odttf"/><Relationship Id="rId3" Type="http://schemas.openxmlformats.org/officeDocument/2006/relationships/font" Target="fonts/font3.odttf"/><Relationship Id="rId2" Type="http://schemas.openxmlformats.org/officeDocument/2006/relationships/font" Target="fonts/font2.odttf"/><Relationship Id="rId1" Type="http://schemas.openxmlformats.org/officeDocument/2006/relationships/font" Target="fonts/font1.odttf"/></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
    <customSectPr/>
    <customSectPr/>
    <customSectPr/>
    <customSectPr/>
  </customSectProps>
  <customShpExts>
    <customShpInfo spid="_x0000_s1026" textRotate="1"/>
  </customShpExts>
</s:customData>
</file>

<file path=customXml/item2.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CC63C7BE-29A4-4D84-95D6-7181FC6B2692}">
  <ds:schemaRefs/>
</ds:datastoreItem>
</file>

<file path=docProps/app.xml><?xml version="1.0" encoding="utf-8"?>
<Properties xmlns="http://schemas.openxmlformats.org/officeDocument/2006/extended-properties" xmlns:vt="http://schemas.openxmlformats.org/officeDocument/2006/docPropsVTypes">
  <Template>Normal</Template>
  <Company>China</Company>
  <Pages>67</Pages>
  <Words>18964</Words>
  <Characters>20932</Characters>
  <Lines>286</Lines>
  <Paragraphs>80</Paragraphs>
  <TotalTime>4</TotalTime>
  <ScaleCrop>false</ScaleCrop>
  <LinksUpToDate>false</LinksUpToDate>
  <CharactersWithSpaces>21180</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2020-11-13T14:00:00Z</dcterms:created>
  <dc:creator>Administrator</dc:creator>
  <cp:lastModifiedBy>.</cp:lastModifiedBy>
  <cp:lastPrinted>2024-09-29T06:34:00Z</cp:lastPrinted>
  <dcterms:modified xsi:type="dcterms:W3CDTF">2025-03-27T04:38:19Z</dcterms:modified>
  <dc:title>第二章  投标人须知</dc:title>
  <cp:revision>5</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ICV">
    <vt:lpwstr>144EDD394A9749A5956BFC16C02387AC_13</vt:lpwstr>
  </property>
  <property fmtid="{D5CDD505-2E9C-101B-9397-08002B2CF9AE}" pid="4" name="KSOTemplateDocerSaveRecord">
    <vt:lpwstr>eyJoZGlkIjoiOGQxZTBlMTVhMTFiMmI4OTVjZmQ5MDhiMTk0OWNlMDEiLCJ1c2VySWQiOiIyNzg2NTI1NTkifQ==</vt:lpwstr>
  </property>
</Properties>
</file>