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FE8C">
      <w:pPr>
        <w:pStyle w:val="2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1" w:line="0" w:lineRule="atLeast"/>
        <w:ind w:left="0" w:right="0" w:firstLine="0"/>
        <w:jc w:val="center"/>
        <w:outlineLvl w:val="9"/>
        <w:rPr>
          <w:rFonts w:hint="eastAsia" w:ascii="黑体" w:hAnsi="宋体" w:eastAsia="黑体" w:cs="黑体"/>
          <w:b/>
          <w:bCs/>
          <w:caps w:val="0"/>
          <w:color w:val="000000"/>
          <w:sz w:val="32"/>
          <w:szCs w:val="32"/>
          <w:highlight w:val="none"/>
          <w:vertAlign w:val="baseline"/>
        </w:rPr>
      </w:pPr>
      <w:bookmarkStart w:id="0" w:name="_Toc296602400"/>
      <w:bookmarkStart w:id="1" w:name="_Toc247085669"/>
      <w:bookmarkStart w:id="2" w:name="_Toc246996898"/>
    </w:p>
    <w:p w14:paraId="7C191203">
      <w:pPr>
        <w:pStyle w:val="2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1" w:line="0" w:lineRule="atLeast"/>
        <w:ind w:left="0" w:right="0" w:firstLine="0"/>
        <w:jc w:val="center"/>
        <w:outlineLvl w:val="9"/>
        <w:rPr>
          <w:rFonts w:hint="eastAsia" w:ascii="黑体" w:hAnsi="宋体" w:eastAsia="黑体" w:cs="黑体"/>
          <w:b/>
          <w:bCs/>
          <w:caps w:val="0"/>
          <w:color w:val="000000"/>
          <w:sz w:val="32"/>
          <w:szCs w:val="32"/>
          <w:highlight w:val="none"/>
          <w:vertAlign w:val="baseline"/>
        </w:rPr>
      </w:pPr>
    </w:p>
    <w:p w14:paraId="42152B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黑体" w:hAnsi="宋体" w:eastAsia="黑体" w:cs="黑体"/>
          <w:b/>
          <w:bCs/>
          <w:caps w:val="0"/>
          <w:color w:val="000000"/>
          <w:sz w:val="28"/>
          <w:szCs w:val="28"/>
          <w:highlight w:val="none"/>
          <w:vertAlign w:val="baseline"/>
        </w:rPr>
      </w:pPr>
      <w:bookmarkStart w:id="3" w:name="_Hlk64874400"/>
      <w:bookmarkEnd w:id="3"/>
      <w:r>
        <w:rPr>
          <w:rFonts w:hint="eastAsia" w:ascii="宋体" w:hAnsi="宋体" w:eastAsia="宋体" w:cs="Times New Roman"/>
          <w:b/>
          <w:bCs/>
          <w:caps w:val="0"/>
          <w:snapToGrid/>
          <w:color w:val="000000"/>
          <w:spacing w:val="0"/>
          <w:w w:val="100"/>
          <w:kern w:val="2"/>
          <w:position w:val="0"/>
          <w:sz w:val="52"/>
          <w:szCs w:val="52"/>
          <w:highlight w:val="none"/>
          <w:u w:val="none" w:color="auto"/>
          <w:vertAlign w:val="baseline"/>
          <w:lang w:val="en-US" w:eastAsia="zh-CN" w:bidi="ar"/>
        </w:rPr>
        <w:t>长春市绿园区人民医院食堂采购及相关基础食品供应主体采购项目</w:t>
      </w:r>
    </w:p>
    <w:p w14:paraId="31E34B53">
      <w:pPr>
        <w:pStyle w:val="7"/>
        <w:rPr>
          <w:rFonts w:hint="eastAsia" w:ascii="黑体" w:hAnsi="宋体" w:eastAsia="黑体" w:cs="黑体"/>
          <w:b/>
          <w:bCs/>
          <w:caps w:val="0"/>
          <w:color w:val="000000"/>
          <w:sz w:val="28"/>
          <w:szCs w:val="28"/>
          <w:highlight w:val="none"/>
          <w:vertAlign w:val="baseline"/>
        </w:rPr>
      </w:pPr>
    </w:p>
    <w:p w14:paraId="6685B625">
      <w:pPr>
        <w:rPr>
          <w:rFonts w:hint="eastAsia"/>
          <w:highlight w:val="none"/>
        </w:rPr>
      </w:pPr>
    </w:p>
    <w:p w14:paraId="562B7682">
      <w:pPr>
        <w:jc w:val="center"/>
        <w:rPr>
          <w:rFonts w:hint="eastAsia" w:ascii="宋体" w:hAnsi="宋体" w:cs="宋体"/>
          <w:b/>
          <w:bCs/>
          <w:color w:val="auto"/>
          <w:sz w:val="72"/>
          <w:szCs w:val="72"/>
          <w:highlight w:val="none"/>
        </w:rPr>
      </w:pPr>
    </w:p>
    <w:p w14:paraId="7E79049A">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469434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黑体" w:hAnsi="宋体" w:eastAsia="黑体" w:cs="黑体"/>
          <w:b/>
          <w:bCs/>
          <w:caps w:val="0"/>
          <w:color w:val="000000"/>
          <w:sz w:val="28"/>
          <w:szCs w:val="28"/>
          <w:highlight w:val="none"/>
          <w:vertAlign w:val="baseline"/>
        </w:rPr>
      </w:pPr>
    </w:p>
    <w:p w14:paraId="6E93E1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353AA6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sz w:val="28"/>
          <w:szCs w:val="28"/>
          <w:highlight w:val="none"/>
          <w:vertAlign w:val="baseline"/>
        </w:rPr>
      </w:pPr>
    </w:p>
    <w:p w14:paraId="09BD7D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bCs/>
          <w:caps w:val="0"/>
          <w:color w:val="000000"/>
          <w:sz w:val="32"/>
          <w:szCs w:val="32"/>
          <w:highlight w:val="none"/>
          <w:vertAlign w:val="baseline"/>
          <w:lang w:val="en-US"/>
        </w:rPr>
      </w:pPr>
      <w:r>
        <w:rPr>
          <w:rFonts w:hint="eastAsia" w:ascii="宋体" w:hAnsi="宋体" w:eastAsia="宋体" w:cs="宋体"/>
          <w:b/>
          <w:bCs/>
          <w:caps w:val="0"/>
          <w:color w:val="000000"/>
          <w:kern w:val="2"/>
          <w:sz w:val="32"/>
          <w:szCs w:val="32"/>
          <w:highlight w:val="none"/>
          <w:vertAlign w:val="baseline"/>
          <w:lang w:val="en-US" w:eastAsia="zh-CN" w:bidi="ar"/>
        </w:rPr>
        <w:t>项目编号：</w:t>
      </w:r>
      <w:bookmarkStart w:id="4" w:name="_Hlk64874388"/>
      <w:bookmarkEnd w:id="4"/>
      <w:r>
        <w:rPr>
          <w:rFonts w:hint="eastAsia" w:ascii="宋体" w:hAnsi="宋体" w:eastAsia="宋体" w:cs="Times New Roman"/>
          <w:b/>
          <w:bCs/>
          <w:caps w:val="0"/>
          <w:snapToGrid/>
          <w:color w:val="000000"/>
          <w:spacing w:val="0"/>
          <w:w w:val="100"/>
          <w:kern w:val="2"/>
          <w:position w:val="0"/>
          <w:sz w:val="32"/>
          <w:szCs w:val="24"/>
          <w:highlight w:val="none"/>
          <w:u w:val="none" w:color="auto"/>
          <w:vertAlign w:val="baseline"/>
          <w:lang w:val="en-US" w:eastAsia="zh-CN" w:bidi="ar"/>
        </w:rPr>
        <w:t>LY202411-103</w:t>
      </w:r>
    </w:p>
    <w:p w14:paraId="146892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6A3EC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7ED52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27EBD5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415E1F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6B793E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firstLine="562" w:firstLineChars="200"/>
        <w:jc w:val="both"/>
        <w:outlineLvl w:val="9"/>
        <w:rPr>
          <w:rFonts w:hint="eastAsia" w:ascii="宋体" w:hAnsi="宋体" w:eastAsia="宋体" w:cs="宋体"/>
          <w:b/>
          <w:bCs/>
          <w:caps w:val="0"/>
          <w:color w:val="000000"/>
          <w:kern w:val="2"/>
          <w:sz w:val="28"/>
          <w:szCs w:val="28"/>
          <w:highlight w:val="none"/>
          <w:u w:val="single"/>
          <w:vertAlign w:val="baseline"/>
          <w:lang w:val="en-US" w:eastAsia="zh-CN" w:bidi="ar"/>
        </w:rPr>
      </w:pPr>
      <w:r>
        <w:rPr>
          <w:rFonts w:hint="eastAsia" w:ascii="宋体" w:hAnsi="宋体" w:eastAsia="宋体" w:cs="宋体"/>
          <w:b/>
          <w:bCs/>
          <w:caps w:val="0"/>
          <w:color w:val="000000"/>
          <w:kern w:val="2"/>
          <w:sz w:val="28"/>
          <w:szCs w:val="28"/>
          <w:highlight w:val="none"/>
          <w:vertAlign w:val="baseline"/>
          <w:lang w:val="en-US" w:eastAsia="zh-CN" w:bidi="ar"/>
        </w:rPr>
        <w:t>采购人：</w:t>
      </w:r>
      <w:r>
        <w:rPr>
          <w:rFonts w:hint="eastAsia" w:ascii="宋体" w:hAnsi="宋体" w:eastAsia="宋体" w:cs="宋体"/>
          <w:b/>
          <w:bCs/>
          <w:caps w:val="0"/>
          <w:color w:val="000000"/>
          <w:kern w:val="2"/>
          <w:sz w:val="28"/>
          <w:szCs w:val="28"/>
          <w:highlight w:val="none"/>
          <w:u w:val="single"/>
          <w:vertAlign w:val="baseline"/>
          <w:lang w:val="en-US" w:eastAsia="zh-CN" w:bidi="ar"/>
        </w:rPr>
        <w:t xml:space="preserve"> </w:t>
      </w:r>
      <w:r>
        <w:rPr>
          <w:rFonts w:hint="eastAsia" w:ascii="宋体" w:hAnsi="宋体" w:eastAsia="宋体" w:cs="Times New Roman"/>
          <w:b/>
          <w:bCs/>
          <w:caps w:val="0"/>
          <w:snapToGrid/>
          <w:color w:val="000000"/>
          <w:spacing w:val="0"/>
          <w:w w:val="100"/>
          <w:kern w:val="2"/>
          <w:position w:val="0"/>
          <w:sz w:val="28"/>
          <w:szCs w:val="28"/>
          <w:highlight w:val="none"/>
          <w:u w:val="single" w:color="auto"/>
          <w:vertAlign w:val="baseline"/>
          <w:lang w:val="en-US" w:eastAsia="zh-CN" w:bidi="ar"/>
        </w:rPr>
        <w:t>长春市绿园区人民医院</w:t>
      </w:r>
    </w:p>
    <w:p w14:paraId="180CA6AC">
      <w:pPr>
        <w:pStyle w:val="35"/>
        <w:rPr>
          <w:rFonts w:hint="eastAsia"/>
          <w:highlight w:val="none"/>
        </w:rPr>
      </w:pPr>
    </w:p>
    <w:p w14:paraId="4E8974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562" w:firstLineChars="200"/>
        <w:jc w:val="both"/>
        <w:outlineLvl w:val="9"/>
        <w:rPr>
          <w:rFonts w:hint="eastAsia" w:ascii="宋体" w:hAnsi="宋体" w:eastAsia="宋体" w:cs="宋体"/>
          <w:b/>
          <w:bCs/>
          <w:caps w:val="0"/>
          <w:color w:val="000000"/>
          <w:sz w:val="28"/>
          <w:szCs w:val="28"/>
          <w:highlight w:val="none"/>
          <w:u w:val="single"/>
          <w:vertAlign w:val="baseline"/>
        </w:rPr>
      </w:pPr>
      <w:r>
        <w:rPr>
          <w:rFonts w:hint="eastAsia" w:ascii="宋体" w:hAnsi="宋体" w:eastAsia="宋体" w:cs="宋体"/>
          <w:b/>
          <w:bCs/>
          <w:caps w:val="0"/>
          <w:color w:val="000000"/>
          <w:kern w:val="2"/>
          <w:sz w:val="28"/>
          <w:szCs w:val="28"/>
          <w:highlight w:val="none"/>
          <w:vertAlign w:val="baseline"/>
          <w:lang w:val="en-US" w:eastAsia="zh-CN" w:bidi="ar"/>
        </w:rPr>
        <w:t>采购代理机构：</w:t>
      </w:r>
      <w:r>
        <w:rPr>
          <w:rFonts w:hint="eastAsia" w:ascii="宋体" w:hAnsi="宋体" w:eastAsia="宋体" w:cs="宋体"/>
          <w:b/>
          <w:bCs/>
          <w:caps w:val="0"/>
          <w:color w:val="000000"/>
          <w:kern w:val="2"/>
          <w:sz w:val="28"/>
          <w:szCs w:val="28"/>
          <w:highlight w:val="none"/>
          <w:u w:val="single"/>
          <w:vertAlign w:val="baseline"/>
          <w:lang w:val="en-US" w:eastAsia="zh-CN" w:bidi="ar"/>
        </w:rPr>
        <w:t xml:space="preserve"> </w:t>
      </w:r>
      <w:r>
        <w:rPr>
          <w:rFonts w:hint="eastAsia" w:ascii="宋体" w:hAnsi="宋体" w:eastAsia="宋体" w:cs="Times New Roman"/>
          <w:b/>
          <w:bCs/>
          <w:caps w:val="0"/>
          <w:snapToGrid/>
          <w:color w:val="000000"/>
          <w:spacing w:val="0"/>
          <w:w w:val="100"/>
          <w:kern w:val="2"/>
          <w:position w:val="0"/>
          <w:sz w:val="28"/>
          <w:szCs w:val="28"/>
          <w:highlight w:val="none"/>
          <w:u w:val="single" w:color="auto"/>
          <w:vertAlign w:val="baseline"/>
          <w:lang w:val="en-US" w:eastAsia="zh-CN" w:bidi="ar"/>
        </w:rPr>
        <w:t>吉林省中鎏工程管理有限公司</w:t>
      </w:r>
    </w:p>
    <w:p w14:paraId="42908A9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黑体" w:hAnsi="宋体" w:eastAsia="黑体" w:cs="黑体"/>
          <w:b/>
          <w:bCs/>
          <w:caps w:val="0"/>
          <w:color w:val="000000"/>
          <w:sz w:val="32"/>
          <w:szCs w:val="32"/>
          <w:highlight w:val="none"/>
          <w:vertAlign w:val="baseline"/>
        </w:rPr>
      </w:pPr>
    </w:p>
    <w:p w14:paraId="6B5630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3" w:firstLineChars="200"/>
        <w:jc w:val="center"/>
        <w:outlineLvl w:val="9"/>
        <w:rPr>
          <w:rFonts w:hint="eastAsia" w:ascii="黑体" w:hAnsi="宋体" w:eastAsia="黑体" w:cs="黑体"/>
          <w:b/>
          <w:bCs/>
          <w:caps w:val="0"/>
          <w:color w:val="000000"/>
          <w:sz w:val="32"/>
          <w:szCs w:val="32"/>
          <w:highlight w:val="none"/>
          <w:vertAlign w:val="baseline"/>
        </w:rPr>
      </w:pPr>
      <w:r>
        <w:rPr>
          <w:rFonts w:hint="eastAsia" w:ascii="黑体" w:hAnsi="宋体" w:eastAsia="黑体" w:cs="黑体"/>
          <w:b/>
          <w:bCs/>
          <w:caps w:val="0"/>
          <w:color w:val="000000"/>
          <w:kern w:val="2"/>
          <w:sz w:val="32"/>
          <w:szCs w:val="32"/>
          <w:highlight w:val="none"/>
          <w:vertAlign w:val="baseline"/>
          <w:lang w:val="en-US" w:eastAsia="zh-CN" w:bidi="ar"/>
        </w:rPr>
        <w:t xml:space="preserve">日     期： </w:t>
      </w:r>
      <w:r>
        <w:rPr>
          <w:rFonts w:hint="eastAsia" w:ascii="黑体" w:hAnsi="宋体" w:eastAsia="黑体" w:cs="Times New Roman"/>
          <w:b/>
          <w:bCs/>
          <w:caps w:val="0"/>
          <w:snapToGrid/>
          <w:color w:val="000000"/>
          <w:spacing w:val="0"/>
          <w:w w:val="100"/>
          <w:kern w:val="2"/>
          <w:position w:val="0"/>
          <w:sz w:val="32"/>
          <w:szCs w:val="24"/>
          <w:highlight w:val="none"/>
          <w:u w:val="none" w:color="auto"/>
          <w:vertAlign w:val="baseline"/>
          <w:lang w:val="en-US" w:eastAsia="zh-CN" w:bidi="ar"/>
        </w:rPr>
        <w:t>2024年12月</w:t>
      </w:r>
    </w:p>
    <w:p w14:paraId="3305977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521" w:rightChars="248" w:firstLine="0"/>
        <w:jc w:val="center"/>
        <w:outlineLvl w:val="9"/>
        <w:rPr>
          <w:rFonts w:hint="default" w:ascii="Times New Roman" w:hAnsi="Times New Roman" w:eastAsia="华文中宋" w:cs="Times New Roman"/>
          <w:b/>
          <w:bCs/>
          <w:caps w:val="0"/>
          <w:color w:val="000000"/>
          <w:sz w:val="28"/>
          <w:szCs w:val="28"/>
          <w:highlight w:val="none"/>
          <w:vertAlign w:val="baseline"/>
        </w:rPr>
      </w:pPr>
    </w:p>
    <w:p w14:paraId="3154E785">
      <w:pPr>
        <w:keepNext w:val="0"/>
        <w:keepLines w:val="0"/>
        <w:pageBreakBefore w:val="0"/>
        <w:widowControl w:val="0"/>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000000"/>
          <w:sz w:val="36"/>
          <w:szCs w:val="36"/>
          <w:highlight w:val="none"/>
          <w:vertAlign w:val="baseline"/>
        </w:rPr>
      </w:pPr>
      <w:bookmarkStart w:id="5" w:name="_Toc98580389"/>
    </w:p>
    <w:p w14:paraId="3AF78C14">
      <w:pPr>
        <w:keepNext w:val="0"/>
        <w:keepLines w:val="0"/>
        <w:pageBreakBefore w:val="0"/>
        <w:widowControl w:val="0"/>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2"/>
          <w:sz w:val="36"/>
          <w:szCs w:val="36"/>
          <w:highlight w:val="none"/>
          <w:vertAlign w:val="baseline"/>
          <w:lang w:val="en-US" w:eastAsia="zh-CN" w:bidi="ar"/>
        </w:rPr>
        <w:t>目　　录</w:t>
      </w:r>
    </w:p>
    <w:p w14:paraId="39FA899E">
      <w:pPr>
        <w:pStyle w:val="20"/>
        <w:tabs>
          <w:tab w:val="right" w:leader="dot" w:pos="8305"/>
        </w:tabs>
        <w:rPr>
          <w:sz w:val="28"/>
          <w:szCs w:val="28"/>
          <w:highlight w:val="none"/>
        </w:rPr>
      </w:pPr>
      <w:r>
        <w:rPr>
          <w:rFonts w:hint="eastAsia" w:ascii="宋体" w:hAnsi="宋体" w:eastAsia="宋体" w:cs="宋体"/>
          <w:b w:val="0"/>
          <w:bCs w:val="0"/>
          <w:caps/>
          <w:color w:val="000000"/>
          <w:sz w:val="32"/>
          <w:szCs w:val="32"/>
          <w:highlight w:val="none"/>
          <w:u w:val="none"/>
          <w:vertAlign w:val="baseline"/>
        </w:rPr>
        <w:fldChar w:fldCharType="begin"/>
      </w:r>
      <w:r>
        <w:rPr>
          <w:rFonts w:hint="eastAsia" w:ascii="宋体" w:hAnsi="宋体" w:eastAsia="宋体" w:cs="宋体"/>
          <w:b w:val="0"/>
          <w:bCs w:val="0"/>
          <w:caps/>
          <w:color w:val="000000"/>
          <w:sz w:val="32"/>
          <w:szCs w:val="32"/>
          <w:highlight w:val="none"/>
          <w:u w:val="none"/>
          <w:vertAlign w:val="baseline"/>
        </w:rPr>
        <w:instrText xml:space="preserve">TOC \o "1-1" \h \z \u </w:instrText>
      </w:r>
      <w:r>
        <w:rPr>
          <w:rFonts w:hint="eastAsia" w:ascii="宋体" w:hAnsi="宋体" w:eastAsia="宋体" w:cs="宋体"/>
          <w:b w:val="0"/>
          <w:bCs w:val="0"/>
          <w:caps/>
          <w:color w:val="000000"/>
          <w:sz w:val="32"/>
          <w:szCs w:val="32"/>
          <w:highlight w:val="none"/>
          <w:u w:val="none"/>
          <w:vertAlign w:val="baseline"/>
        </w:rPr>
        <w:fldChar w:fldCharType="separate"/>
      </w:r>
      <w:r>
        <w:rPr>
          <w:rFonts w:hint="eastAsia" w:ascii="宋体" w:hAnsi="宋体" w:eastAsia="宋体" w:cs="宋体"/>
          <w:bCs w:val="0"/>
          <w:caps/>
          <w:color w:val="000000"/>
          <w:sz w:val="28"/>
          <w:szCs w:val="48"/>
          <w:highlight w:val="none"/>
          <w:u w:val="none"/>
          <w:vertAlign w:val="baseline"/>
        </w:rPr>
        <w:fldChar w:fldCharType="begin"/>
      </w:r>
      <w:r>
        <w:rPr>
          <w:rFonts w:hint="eastAsia" w:ascii="宋体" w:hAnsi="宋体" w:eastAsia="宋体" w:cs="宋体"/>
          <w:bCs w:val="0"/>
          <w:caps/>
          <w:sz w:val="28"/>
          <w:szCs w:val="48"/>
          <w:highlight w:val="none"/>
          <w:vertAlign w:val="baseline"/>
        </w:rPr>
        <w:instrText xml:space="preserve"> HYPERLINK \l _Toc19764 </w:instrText>
      </w:r>
      <w:r>
        <w:rPr>
          <w:rFonts w:hint="eastAsia" w:ascii="宋体" w:hAnsi="宋体" w:eastAsia="宋体" w:cs="宋体"/>
          <w:bCs w:val="0"/>
          <w:caps/>
          <w:sz w:val="28"/>
          <w:szCs w:val="48"/>
          <w:highlight w:val="none"/>
          <w:vertAlign w:val="baseline"/>
        </w:rPr>
        <w:fldChar w:fldCharType="separate"/>
      </w:r>
      <w:r>
        <w:rPr>
          <w:rFonts w:hint="eastAsia" w:ascii="Times New Roman" w:hAnsi="宋体" w:eastAsia="宋体" w:cs="宋体"/>
          <w:bCs/>
          <w:caps w:val="0"/>
          <w:sz w:val="28"/>
          <w:szCs w:val="60"/>
          <w:highlight w:val="none"/>
          <w:vertAlign w:val="baseline"/>
        </w:rPr>
        <w:t>第一</w:t>
      </w:r>
      <w:r>
        <w:rPr>
          <w:rFonts w:hint="eastAsia" w:hAnsi="宋体" w:cs="宋体"/>
          <w:bCs/>
          <w:caps w:val="0"/>
          <w:sz w:val="28"/>
          <w:szCs w:val="60"/>
          <w:highlight w:val="none"/>
          <w:vertAlign w:val="baseline"/>
          <w:lang w:val="en-US" w:eastAsia="zh-CN"/>
        </w:rPr>
        <w:t>章</w:t>
      </w:r>
      <w:r>
        <w:rPr>
          <w:rFonts w:hint="default" w:ascii="Times New Roman" w:hAnsi="Times New Roman" w:eastAsia="宋体" w:cs="Times New Roman"/>
          <w:bCs/>
          <w:caps w:val="0"/>
          <w:sz w:val="28"/>
          <w:szCs w:val="60"/>
          <w:highlight w:val="none"/>
          <w:vertAlign w:val="baseline"/>
        </w:rPr>
        <w:t xml:space="preserve">  </w:t>
      </w:r>
      <w:r>
        <w:rPr>
          <w:rFonts w:hint="eastAsia" w:ascii="Times New Roman" w:hAnsi="宋体" w:eastAsia="宋体" w:cs="宋体"/>
          <w:bCs/>
          <w:caps w:val="0"/>
          <w:sz w:val="28"/>
          <w:szCs w:val="60"/>
          <w:highlight w:val="none"/>
          <w:vertAlign w:val="baseline"/>
        </w:rPr>
        <w:t>招标公告</w:t>
      </w:r>
      <w:r>
        <w:rPr>
          <w:sz w:val="28"/>
          <w:szCs w:val="28"/>
          <w:highlight w:val="none"/>
        </w:rPr>
        <w:tab/>
      </w:r>
      <w:r>
        <w:rPr>
          <w:sz w:val="28"/>
          <w:szCs w:val="28"/>
          <w:highlight w:val="none"/>
        </w:rPr>
        <w:fldChar w:fldCharType="begin"/>
      </w:r>
      <w:r>
        <w:rPr>
          <w:sz w:val="28"/>
          <w:szCs w:val="28"/>
          <w:highlight w:val="none"/>
        </w:rPr>
        <w:instrText xml:space="preserve"> PAGEREF _Toc19764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bCs w:val="0"/>
          <w:caps/>
          <w:color w:val="000000"/>
          <w:sz w:val="28"/>
          <w:szCs w:val="48"/>
          <w:highlight w:val="none"/>
          <w:u w:val="none"/>
          <w:vertAlign w:val="baseline"/>
        </w:rPr>
        <w:fldChar w:fldCharType="end"/>
      </w:r>
    </w:p>
    <w:p w14:paraId="3E994C6B">
      <w:pPr>
        <w:pStyle w:val="20"/>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_Toc30691 </w:instrText>
      </w:r>
      <w:r>
        <w:rPr>
          <w:rFonts w:hint="eastAsia" w:ascii="宋体" w:hAnsi="宋体" w:eastAsia="宋体" w:cs="宋体"/>
          <w:bCs/>
          <w:caps/>
          <w:sz w:val="28"/>
          <w:szCs w:val="48"/>
          <w:highlight w:val="none"/>
          <w:vertAlign w:val="baseline"/>
        </w:rPr>
        <w:fldChar w:fldCharType="separate"/>
      </w:r>
      <w:r>
        <w:rPr>
          <w:rFonts w:hint="eastAsia"/>
          <w:bCs/>
          <w:sz w:val="28"/>
          <w:szCs w:val="28"/>
          <w:highlight w:val="none"/>
          <w:lang w:val="en-US" w:eastAsia="zh-CN"/>
        </w:rPr>
        <w:t>第二章</w:t>
      </w:r>
      <w:r>
        <w:rPr>
          <w:rFonts w:hint="default"/>
          <w:bCs/>
          <w:sz w:val="28"/>
          <w:szCs w:val="28"/>
          <w:highlight w:val="none"/>
          <w:lang w:val="en-US" w:eastAsia="zh-CN"/>
        </w:rPr>
        <w:t xml:space="preserve">  </w:t>
      </w:r>
      <w:r>
        <w:rPr>
          <w:rFonts w:hint="eastAsia"/>
          <w:bCs/>
          <w:sz w:val="28"/>
          <w:szCs w:val="28"/>
          <w:highlight w:val="none"/>
          <w:lang w:val="en-US" w:eastAsia="zh-CN"/>
        </w:rPr>
        <w:t>供应商须知</w:t>
      </w:r>
      <w:r>
        <w:rPr>
          <w:sz w:val="28"/>
          <w:szCs w:val="28"/>
          <w:highlight w:val="none"/>
        </w:rPr>
        <w:tab/>
      </w:r>
      <w:r>
        <w:rPr>
          <w:sz w:val="28"/>
          <w:szCs w:val="28"/>
          <w:highlight w:val="none"/>
        </w:rPr>
        <w:fldChar w:fldCharType="begin"/>
      </w:r>
      <w:r>
        <w:rPr>
          <w:sz w:val="28"/>
          <w:szCs w:val="28"/>
          <w:highlight w:val="none"/>
        </w:rPr>
        <w:instrText xml:space="preserve"> PAGEREF _Toc30691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5326D5B6">
      <w:pPr>
        <w:pStyle w:val="20"/>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_Toc16920 </w:instrText>
      </w:r>
      <w:r>
        <w:rPr>
          <w:rFonts w:hint="eastAsia" w:ascii="宋体" w:hAnsi="宋体" w:eastAsia="宋体" w:cs="宋体"/>
          <w:bCs/>
          <w:caps/>
          <w:sz w:val="28"/>
          <w:szCs w:val="48"/>
          <w:highlight w:val="none"/>
          <w:vertAlign w:val="baseline"/>
        </w:rPr>
        <w:fldChar w:fldCharType="separate"/>
      </w:r>
      <w:r>
        <w:rPr>
          <w:rFonts w:hint="eastAsia"/>
          <w:sz w:val="28"/>
          <w:szCs w:val="28"/>
          <w:highlight w:val="none"/>
          <w:lang w:val="en-US" w:eastAsia="zh-CN"/>
        </w:rPr>
        <w:t>第三章</w:t>
      </w:r>
      <w:r>
        <w:rPr>
          <w:rFonts w:hint="default"/>
          <w:sz w:val="28"/>
          <w:szCs w:val="28"/>
          <w:highlight w:val="none"/>
          <w:lang w:val="en-US" w:eastAsia="zh-CN"/>
        </w:rPr>
        <w:t xml:space="preserve">  </w:t>
      </w:r>
      <w:r>
        <w:rPr>
          <w:rFonts w:hint="eastAsia"/>
          <w:sz w:val="28"/>
          <w:szCs w:val="28"/>
          <w:highlight w:val="none"/>
          <w:lang w:val="en-US" w:eastAsia="zh-CN"/>
        </w:rPr>
        <w:t>评标办法</w:t>
      </w:r>
      <w:r>
        <w:rPr>
          <w:sz w:val="28"/>
          <w:szCs w:val="28"/>
          <w:highlight w:val="none"/>
        </w:rPr>
        <w:tab/>
      </w:r>
      <w:r>
        <w:rPr>
          <w:sz w:val="28"/>
          <w:szCs w:val="28"/>
          <w:highlight w:val="none"/>
        </w:rPr>
        <w:fldChar w:fldCharType="begin"/>
      </w:r>
      <w:r>
        <w:rPr>
          <w:sz w:val="28"/>
          <w:szCs w:val="28"/>
          <w:highlight w:val="none"/>
        </w:rPr>
        <w:instrText xml:space="preserve"> PAGEREF _Toc16920 \h </w:instrText>
      </w:r>
      <w:r>
        <w:rPr>
          <w:sz w:val="28"/>
          <w:szCs w:val="28"/>
          <w:highlight w:val="none"/>
        </w:rPr>
        <w:fldChar w:fldCharType="separate"/>
      </w:r>
      <w:r>
        <w:rPr>
          <w:sz w:val="28"/>
          <w:szCs w:val="28"/>
          <w:highlight w:val="none"/>
        </w:rPr>
        <w:t>16</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6231FF97">
      <w:pPr>
        <w:pStyle w:val="20"/>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_Toc2592 </w:instrText>
      </w:r>
      <w:r>
        <w:rPr>
          <w:rFonts w:hint="eastAsia" w:ascii="宋体" w:hAnsi="宋体" w:eastAsia="宋体" w:cs="宋体"/>
          <w:bCs/>
          <w:caps/>
          <w:sz w:val="28"/>
          <w:szCs w:val="48"/>
          <w:highlight w:val="none"/>
          <w:vertAlign w:val="baseline"/>
        </w:rPr>
        <w:fldChar w:fldCharType="separate"/>
      </w:r>
      <w:r>
        <w:rPr>
          <w:rFonts w:hint="eastAsia"/>
          <w:sz w:val="28"/>
          <w:szCs w:val="28"/>
          <w:highlight w:val="none"/>
          <w:lang w:val="en-US" w:eastAsia="zh-CN"/>
        </w:rPr>
        <w:t>第四章</w:t>
      </w:r>
      <w:r>
        <w:rPr>
          <w:rFonts w:hint="default"/>
          <w:sz w:val="28"/>
          <w:szCs w:val="28"/>
          <w:highlight w:val="none"/>
          <w:lang w:val="en-US" w:eastAsia="zh-CN"/>
        </w:rPr>
        <w:t xml:space="preserve">  </w:t>
      </w:r>
      <w:r>
        <w:rPr>
          <w:rFonts w:hint="eastAsia"/>
          <w:sz w:val="28"/>
          <w:szCs w:val="28"/>
          <w:highlight w:val="none"/>
          <w:lang w:val="en-US" w:eastAsia="zh-CN"/>
        </w:rPr>
        <w:t>采购需求</w:t>
      </w:r>
      <w:r>
        <w:rPr>
          <w:sz w:val="28"/>
          <w:szCs w:val="28"/>
          <w:highlight w:val="none"/>
        </w:rPr>
        <w:tab/>
      </w:r>
      <w:r>
        <w:rPr>
          <w:sz w:val="28"/>
          <w:szCs w:val="28"/>
          <w:highlight w:val="none"/>
        </w:rPr>
        <w:fldChar w:fldCharType="begin"/>
      </w:r>
      <w:r>
        <w:rPr>
          <w:sz w:val="28"/>
          <w:szCs w:val="28"/>
          <w:highlight w:val="none"/>
        </w:rPr>
        <w:instrText xml:space="preserve"> PAGEREF _Toc2592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7B6C06DB">
      <w:pPr>
        <w:pStyle w:val="20"/>
        <w:tabs>
          <w:tab w:val="right" w:leader="dot" w:pos="8305"/>
        </w:tabs>
        <w:rPr>
          <w:sz w:val="28"/>
          <w:szCs w:val="28"/>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_Toc28095 </w:instrText>
      </w:r>
      <w:r>
        <w:rPr>
          <w:rFonts w:hint="eastAsia" w:ascii="宋体" w:hAnsi="宋体" w:eastAsia="宋体" w:cs="宋体"/>
          <w:bCs/>
          <w:caps/>
          <w:sz w:val="28"/>
          <w:szCs w:val="48"/>
          <w:highlight w:val="none"/>
          <w:vertAlign w:val="baseline"/>
        </w:rPr>
        <w:fldChar w:fldCharType="separate"/>
      </w:r>
      <w:r>
        <w:rPr>
          <w:rFonts w:hint="eastAsia"/>
          <w:sz w:val="28"/>
          <w:szCs w:val="28"/>
          <w:highlight w:val="none"/>
          <w:lang w:val="en-US" w:eastAsia="zh-CN"/>
        </w:rPr>
        <w:t>第五章</w:t>
      </w:r>
      <w:r>
        <w:rPr>
          <w:rFonts w:hint="default"/>
          <w:sz w:val="28"/>
          <w:szCs w:val="28"/>
          <w:highlight w:val="none"/>
          <w:lang w:val="en-US" w:eastAsia="zh-CN"/>
        </w:rPr>
        <w:t xml:space="preserve"> </w:t>
      </w:r>
      <w:r>
        <w:rPr>
          <w:rFonts w:hint="eastAsia"/>
          <w:sz w:val="28"/>
          <w:szCs w:val="28"/>
          <w:highlight w:val="none"/>
          <w:lang w:val="en-US" w:eastAsia="zh-CN"/>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_Toc28095 \h </w:instrText>
      </w:r>
      <w:r>
        <w:rPr>
          <w:sz w:val="28"/>
          <w:szCs w:val="28"/>
          <w:highlight w:val="none"/>
        </w:rPr>
        <w:fldChar w:fldCharType="separate"/>
      </w:r>
      <w:r>
        <w:rPr>
          <w:sz w:val="28"/>
          <w:szCs w:val="28"/>
          <w:highlight w:val="none"/>
        </w:rPr>
        <w:t>27</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4DDB4571">
      <w:pPr>
        <w:pStyle w:val="20"/>
        <w:tabs>
          <w:tab w:val="right" w:leader="dot" w:pos="8305"/>
        </w:tabs>
        <w:rPr>
          <w:highlight w:val="none"/>
        </w:rPr>
      </w:pPr>
      <w:r>
        <w:rPr>
          <w:rFonts w:hint="eastAsia" w:ascii="宋体" w:hAnsi="宋体" w:eastAsia="宋体" w:cs="宋体"/>
          <w:bCs/>
          <w:caps/>
          <w:color w:val="000000"/>
          <w:sz w:val="28"/>
          <w:szCs w:val="48"/>
          <w:highlight w:val="none"/>
          <w:vertAlign w:val="baseline"/>
        </w:rPr>
        <w:fldChar w:fldCharType="begin"/>
      </w:r>
      <w:r>
        <w:rPr>
          <w:rFonts w:hint="eastAsia" w:ascii="宋体" w:hAnsi="宋体" w:eastAsia="宋体" w:cs="宋体"/>
          <w:bCs/>
          <w:caps/>
          <w:sz w:val="28"/>
          <w:szCs w:val="48"/>
          <w:highlight w:val="none"/>
          <w:vertAlign w:val="baseline"/>
        </w:rPr>
        <w:instrText xml:space="preserve"> HYPERLINK \l _Toc16556 </w:instrText>
      </w:r>
      <w:r>
        <w:rPr>
          <w:rFonts w:hint="eastAsia" w:ascii="宋体" w:hAnsi="宋体" w:eastAsia="宋体" w:cs="宋体"/>
          <w:bCs/>
          <w:caps/>
          <w:sz w:val="28"/>
          <w:szCs w:val="48"/>
          <w:highlight w:val="none"/>
          <w:vertAlign w:val="baseline"/>
        </w:rPr>
        <w:fldChar w:fldCharType="separate"/>
      </w:r>
      <w:r>
        <w:rPr>
          <w:rFonts w:hint="eastAsia" w:ascii="宋体" w:hAnsi="宋体" w:eastAsia="宋体" w:cs="Times New Roman"/>
          <w:bCs/>
          <w:caps w:val="0"/>
          <w:kern w:val="2"/>
          <w:sz w:val="28"/>
          <w:szCs w:val="60"/>
          <w:highlight w:val="none"/>
          <w:vertAlign w:val="baseline"/>
          <w:lang w:val="en-US" w:eastAsia="zh-CN" w:bidi="ar"/>
        </w:rPr>
        <w:t>第六章</w:t>
      </w:r>
      <w:r>
        <w:rPr>
          <w:rFonts w:hint="default" w:ascii="Calibri" w:hAnsi="Calibri" w:eastAsia="宋体" w:cs="Times New Roman"/>
          <w:bCs/>
          <w:caps w:val="0"/>
          <w:kern w:val="2"/>
          <w:sz w:val="28"/>
          <w:szCs w:val="60"/>
          <w:highlight w:val="none"/>
          <w:vertAlign w:val="baseline"/>
          <w:lang w:val="en-US" w:eastAsia="zh-CN" w:bidi="ar"/>
        </w:rPr>
        <w:t xml:space="preserve">  </w:t>
      </w:r>
      <w:r>
        <w:rPr>
          <w:rFonts w:hint="eastAsia" w:ascii="宋体" w:hAnsi="宋体" w:eastAsia="宋体" w:cs="Times New Roman"/>
          <w:bCs/>
          <w:caps w:val="0"/>
          <w:kern w:val="2"/>
          <w:sz w:val="28"/>
          <w:szCs w:val="60"/>
          <w:highlight w:val="none"/>
          <w:vertAlign w:val="baseline"/>
          <w:lang w:val="en-US" w:eastAsia="zh-CN" w:bidi="ar"/>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_Toc16556 \h </w:instrText>
      </w:r>
      <w:r>
        <w:rPr>
          <w:sz w:val="28"/>
          <w:szCs w:val="28"/>
          <w:highlight w:val="none"/>
        </w:rPr>
        <w:fldChar w:fldCharType="separate"/>
      </w:r>
      <w:r>
        <w:rPr>
          <w:sz w:val="28"/>
          <w:szCs w:val="28"/>
          <w:highlight w:val="none"/>
        </w:rPr>
        <w:t>63</w:t>
      </w:r>
      <w:r>
        <w:rPr>
          <w:sz w:val="28"/>
          <w:szCs w:val="28"/>
          <w:highlight w:val="none"/>
        </w:rPr>
        <w:fldChar w:fldCharType="end"/>
      </w:r>
      <w:r>
        <w:rPr>
          <w:rFonts w:hint="eastAsia" w:ascii="宋体" w:hAnsi="宋体" w:eastAsia="宋体" w:cs="宋体"/>
          <w:bCs/>
          <w:caps/>
          <w:color w:val="000000"/>
          <w:sz w:val="28"/>
          <w:szCs w:val="48"/>
          <w:highlight w:val="none"/>
          <w:vertAlign w:val="baseline"/>
        </w:rPr>
        <w:fldChar w:fldCharType="end"/>
      </w:r>
    </w:p>
    <w:p w14:paraId="2647FBED">
      <w:pPr>
        <w:pStyle w:val="20"/>
        <w:keepNext w:val="0"/>
        <w:keepLines w:val="0"/>
        <w:pageBreakBefore w:val="0"/>
        <w:widowControl w:val="0"/>
        <w:suppressLineNumbers w:val="0"/>
        <w:tabs>
          <w:tab w:val="right" w:leader="dot" w:pos="8504"/>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default" w:ascii="Times New Roman" w:hAnsi="Times New Roman" w:eastAsia="宋体" w:cs="Times New Roman"/>
          <w:b/>
          <w:bCs/>
          <w:caps/>
          <w:color w:val="auto"/>
          <w:sz w:val="20"/>
          <w:szCs w:val="20"/>
          <w:highlight w:val="none"/>
          <w:vertAlign w:val="baseline"/>
        </w:rPr>
      </w:pPr>
      <w:r>
        <w:rPr>
          <w:rFonts w:hint="eastAsia" w:ascii="宋体" w:hAnsi="宋体" w:eastAsia="宋体" w:cs="宋体"/>
          <w:bCs/>
          <w:caps/>
          <w:color w:val="000000"/>
          <w:szCs w:val="32"/>
          <w:highlight w:val="none"/>
          <w:vertAlign w:val="baseline"/>
        </w:rPr>
        <w:fldChar w:fldCharType="end"/>
      </w:r>
    </w:p>
    <w:p w14:paraId="64E0B5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80" w:lineRule="auto"/>
        <w:ind w:left="420" w:leftChars="200" w:right="420" w:rightChars="200" w:firstLine="0"/>
        <w:jc w:val="both"/>
        <w:outlineLvl w:val="9"/>
        <w:rPr>
          <w:rFonts w:hint="eastAsia" w:ascii="宋体" w:hAnsi="宋体" w:eastAsia="宋体" w:cs="宋体"/>
          <w:caps w:val="0"/>
          <w:color w:val="000000"/>
          <w:sz w:val="28"/>
          <w:szCs w:val="28"/>
          <w:highlight w:val="none"/>
          <w:vertAlign w:val="baseline"/>
        </w:rPr>
      </w:pPr>
    </w:p>
    <w:bookmarkEnd w:id="5"/>
    <w:p w14:paraId="0E7ED9A4">
      <w:pPr>
        <w:rPr>
          <w:rFonts w:hint="eastAsia" w:ascii="Times New Roman" w:hAnsi="宋体" w:eastAsia="宋体" w:cs="宋体"/>
          <w:b/>
          <w:bCs/>
          <w:caps w:val="0"/>
          <w:color w:val="000000"/>
          <w:sz w:val="44"/>
          <w:szCs w:val="44"/>
          <w:highlight w:val="none"/>
          <w:vertAlign w:val="baseline"/>
        </w:rPr>
      </w:pPr>
      <w:bookmarkStart w:id="6" w:name="_Toc19764"/>
      <w:r>
        <w:rPr>
          <w:rFonts w:hint="eastAsia" w:ascii="Times New Roman" w:hAnsi="宋体" w:eastAsia="宋体" w:cs="宋体"/>
          <w:b/>
          <w:bCs/>
          <w:caps w:val="0"/>
          <w:color w:val="000000"/>
          <w:sz w:val="44"/>
          <w:szCs w:val="44"/>
          <w:highlight w:val="none"/>
          <w:vertAlign w:val="baseline"/>
        </w:rPr>
        <w:br w:type="page"/>
      </w:r>
    </w:p>
    <w:p w14:paraId="0AC29625">
      <w:pPr>
        <w:pStyle w:val="4"/>
        <w:keepNext/>
        <w:keepLines/>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Times New Roman" w:hAnsi="Times New Roman" w:eastAsia="宋体" w:cs="Times New Roman"/>
          <w:b/>
          <w:bCs/>
          <w:caps w:val="0"/>
          <w:color w:val="000000"/>
          <w:sz w:val="44"/>
          <w:szCs w:val="44"/>
          <w:highlight w:val="none"/>
          <w:vertAlign w:val="baseline"/>
          <w:lang w:eastAsia="zh-CN"/>
        </w:rPr>
      </w:pPr>
      <w:r>
        <w:rPr>
          <w:rFonts w:hint="eastAsia" w:ascii="Times New Roman" w:hAnsi="宋体" w:eastAsia="宋体" w:cs="宋体"/>
          <w:b/>
          <w:bCs/>
          <w:caps w:val="0"/>
          <w:color w:val="000000"/>
          <w:sz w:val="44"/>
          <w:szCs w:val="44"/>
          <w:highlight w:val="none"/>
          <w:vertAlign w:val="baseline"/>
        </w:rPr>
        <w:t>第一</w:t>
      </w:r>
      <w:r>
        <w:rPr>
          <w:rFonts w:hint="eastAsia" w:hAnsi="宋体" w:cs="宋体"/>
          <w:b/>
          <w:bCs/>
          <w:caps w:val="0"/>
          <w:color w:val="000000"/>
          <w:sz w:val="44"/>
          <w:szCs w:val="44"/>
          <w:highlight w:val="none"/>
          <w:vertAlign w:val="baseline"/>
          <w:lang w:val="en-US" w:eastAsia="zh-CN"/>
        </w:rPr>
        <w:t>章</w:t>
      </w:r>
      <w:r>
        <w:rPr>
          <w:rFonts w:hint="default" w:ascii="Times New Roman" w:hAnsi="Times New Roman" w:eastAsia="宋体" w:cs="Times New Roman"/>
          <w:b/>
          <w:bCs/>
          <w:caps w:val="0"/>
          <w:color w:val="000000"/>
          <w:sz w:val="44"/>
          <w:szCs w:val="44"/>
          <w:highlight w:val="none"/>
          <w:vertAlign w:val="baseline"/>
        </w:rPr>
        <w:t xml:space="preserve">  </w:t>
      </w:r>
      <w:r>
        <w:rPr>
          <w:rFonts w:hint="eastAsia" w:ascii="Times New Roman" w:hAnsi="宋体" w:eastAsia="宋体" w:cs="宋体"/>
          <w:b/>
          <w:bCs/>
          <w:caps w:val="0"/>
          <w:color w:val="000000"/>
          <w:sz w:val="44"/>
          <w:szCs w:val="44"/>
          <w:highlight w:val="none"/>
          <w:vertAlign w:val="baseline"/>
        </w:rPr>
        <w:t>招标公告</w:t>
      </w:r>
      <w:bookmarkEnd w:id="6"/>
    </w:p>
    <w:p w14:paraId="2E1C18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rPr>
      </w:pPr>
      <w:bookmarkStart w:id="7" w:name="_Toc30691"/>
      <w:r>
        <w:rPr>
          <w:rFonts w:hint="eastAsia" w:ascii="宋体" w:hAnsi="宋体" w:eastAsia="宋体" w:cs="宋体"/>
          <w:b/>
          <w:bCs/>
          <w:caps w:val="0"/>
          <w:color w:val="auto"/>
          <w:kern w:val="2"/>
          <w:sz w:val="21"/>
          <w:szCs w:val="21"/>
          <w:highlight w:val="none"/>
          <w:vertAlign w:val="baseline"/>
          <w:lang w:val="en-US" w:eastAsia="zh-CN" w:bidi="ar"/>
        </w:rPr>
        <w:t>项目概况</w:t>
      </w:r>
    </w:p>
    <w:p w14:paraId="254EFC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30" w:firstLineChars="30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长春市绿园区人民医院食堂采购及相关基础食品供应主体采购项目的潜在供应商可自行在“政采云”平台（http：//www.zcygov.cn）下载采购文件（操作路径：登录“政采云”平台-项目采购-获取采购文件-找到本项目-点击“申请获取采购文件”），并于2025年01月07日13时00分（北京时间）前提交投标文件。</w:t>
      </w:r>
    </w:p>
    <w:p w14:paraId="1E60F9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一、项目基本情况</w:t>
      </w:r>
    </w:p>
    <w:p w14:paraId="3B4EAA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项目编号：LY202411-103；</w:t>
      </w:r>
    </w:p>
    <w:p w14:paraId="36F7BB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项目名称：长春市绿园区人民医院食堂采购及相关基础食品供应主体采购项目；</w:t>
      </w:r>
    </w:p>
    <w:p w14:paraId="2DDB0E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预算金额：2000000.00元</w:t>
      </w:r>
    </w:p>
    <w:p w14:paraId="10E707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最高限价：2000000.00元</w:t>
      </w:r>
    </w:p>
    <w:p w14:paraId="2A83B6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采购需求：服务场地使用面积300平方米，食堂服务单位配备满足食堂服务的工具、实际入口标准以按实际用餐人数结算、食堂服务单位餐厅工作人员，提供医院职工及患者早、中、晚餐接待客餐及因工作需要的连班加餐现场就餐配送等。</w:t>
      </w:r>
    </w:p>
    <w:p w14:paraId="3B2A88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合同履行期限：一年。甲方按照相关管理制度对乙方进行考核，考核合格且乙方同意继续接受委托的，可续签一服务合同。</w:t>
      </w:r>
    </w:p>
    <w:p w14:paraId="4CAD01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质量标准：符合国家及行业相关合格标准。</w:t>
      </w:r>
    </w:p>
    <w:p w14:paraId="2E8E6E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本项目是否接受联合体投标：否</w:t>
      </w:r>
    </w:p>
    <w:p w14:paraId="60B6B0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二、申请人的资格要求</w:t>
      </w:r>
    </w:p>
    <w:p w14:paraId="58427D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default" w:ascii="Calibri" w:hAnsi="Calibri" w:eastAsia="宋体" w:cs="Calibri"/>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满足《中华人民共和国政府采购法》第二十二条规定。</w:t>
      </w:r>
    </w:p>
    <w:p w14:paraId="6FBA68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default" w:ascii="Calibri" w:hAnsi="Calibri" w:eastAsia="宋体" w:cs="Calibri"/>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落实政府采购政策需满足的资格要求：</w:t>
      </w:r>
      <w:bookmarkStart w:id="8" w:name="OLE_LINK2"/>
      <w:r>
        <w:rPr>
          <w:rFonts w:hint="eastAsia" w:ascii="宋体" w:hAnsi="宋体" w:eastAsia="宋体" w:cs="宋体"/>
          <w:b w:val="0"/>
          <w:bCs w:val="0"/>
          <w:caps w:val="0"/>
          <w:color w:val="auto"/>
          <w:kern w:val="2"/>
          <w:sz w:val="21"/>
          <w:szCs w:val="21"/>
          <w:highlight w:val="none"/>
          <w:vertAlign w:val="baseline"/>
          <w:lang w:val="en-US" w:eastAsia="zh-CN" w:bidi="ar"/>
        </w:rPr>
        <w:t>本项目专门面向中小企业采购</w:t>
      </w:r>
    </w:p>
    <w:p w14:paraId="3D4542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本采购项目落实的政府采购政策：</w:t>
      </w:r>
    </w:p>
    <w:p w14:paraId="666873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（1）《政府采购促进中小企业发展管理办法》(财库[2020]46号)；</w:t>
      </w:r>
    </w:p>
    <w:p w14:paraId="66BAFA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（2）《关于政府采购支持监狱企业发展有关问题的通知》(财库[2014]68号)；</w:t>
      </w:r>
    </w:p>
    <w:p w14:paraId="712D0B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（3）《三部门联合发布关于促进残疾人就业政府采购政策的通知》(财库[2017]141号)；</w:t>
      </w:r>
    </w:p>
    <w:p w14:paraId="039083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（4）《节能产品政府采购实施意见》的通知(财库〔2004〕185 号)；</w:t>
      </w:r>
    </w:p>
    <w:p w14:paraId="6905BC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（5）《关于调整优化节能产品、环境标志产品政府采购执行机制的通知》(财库[2019]9号)。</w:t>
      </w:r>
    </w:p>
    <w:bookmarkEnd w:id="8"/>
    <w:p w14:paraId="4DD02E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宋体"/>
          <w:caps w:val="0"/>
          <w:color w:val="auto"/>
          <w:kern w:val="2"/>
          <w:sz w:val="21"/>
          <w:szCs w:val="21"/>
          <w:highlight w:val="none"/>
          <w:vertAlign w:val="baseline"/>
          <w:lang w:bidi="ar"/>
        </w:rPr>
      </w:pPr>
      <w:r>
        <w:rPr>
          <w:rFonts w:hint="default" w:ascii="Calibri" w:hAnsi="Calibri" w:eastAsia="宋体" w:cs="Calibri"/>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en-US" w:eastAsia="zh-CN" w:bidi="ar"/>
        </w:rPr>
        <w:t>本项目的特定资格要求：</w:t>
      </w:r>
    </w:p>
    <w:p w14:paraId="4A191D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宋体"/>
          <w:caps w:val="0"/>
          <w:color w:val="auto"/>
          <w:kern w:val="2"/>
          <w:sz w:val="21"/>
          <w:szCs w:val="21"/>
          <w:highlight w:val="none"/>
          <w:vertAlign w:val="baseline"/>
          <w:lang w:bidi="ar"/>
        </w:rPr>
      </w:pPr>
      <w:r>
        <w:rPr>
          <w:rFonts w:hint="default" w:ascii="Calibri" w:hAnsi="Calibri" w:eastAsia="宋体" w:cs="Calibri"/>
          <w:b w:val="0"/>
          <w:bCs w:val="0"/>
          <w:caps w:val="0"/>
          <w:color w:val="auto"/>
          <w:kern w:val="2"/>
          <w:sz w:val="21"/>
          <w:szCs w:val="21"/>
          <w:highlight w:val="none"/>
          <w:vertAlign w:val="baseline"/>
          <w:lang w:val="en-US" w:eastAsia="zh-CN" w:bidi="ar"/>
        </w:rPr>
        <w:t>3.1</w:t>
      </w:r>
      <w:r>
        <w:rPr>
          <w:rFonts w:hint="eastAsia" w:ascii="宋体" w:hAnsi="宋体" w:eastAsia="宋体" w:cs="宋体"/>
          <w:b w:val="0"/>
          <w:bCs w:val="0"/>
          <w:caps w:val="0"/>
          <w:color w:val="auto"/>
          <w:kern w:val="2"/>
          <w:sz w:val="21"/>
          <w:szCs w:val="21"/>
          <w:highlight w:val="none"/>
          <w:vertAlign w:val="baseline"/>
          <w:lang w:val="en-US" w:eastAsia="zh-CN" w:bidi="ar"/>
        </w:rPr>
        <w:t>投标人须是在中国境内注册具有独立承担民事责任能力的独立法人或其他组织形式，具备有效的营业执照，具有履行合同所必需的设备和专业技术能力。</w:t>
      </w:r>
    </w:p>
    <w:p w14:paraId="3CB25C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Calibri"/>
          <w:b w:val="0"/>
          <w:bCs w:val="0"/>
          <w:caps w:val="0"/>
          <w:color w:val="auto"/>
          <w:kern w:val="2"/>
          <w:sz w:val="21"/>
          <w:szCs w:val="21"/>
          <w:highlight w:val="none"/>
          <w:vertAlign w:val="baseline"/>
          <w:lang w:val="en-US" w:eastAsia="zh-CN" w:bidi="ar"/>
        </w:rPr>
      </w:pPr>
      <w:r>
        <w:rPr>
          <w:rFonts w:hint="default" w:ascii="Calibri" w:hAnsi="Calibri" w:eastAsia="宋体" w:cs="Calibri"/>
          <w:b w:val="0"/>
          <w:bCs w:val="0"/>
          <w:caps w:val="0"/>
          <w:color w:val="auto"/>
          <w:kern w:val="2"/>
          <w:sz w:val="21"/>
          <w:szCs w:val="21"/>
          <w:highlight w:val="none"/>
          <w:vertAlign w:val="baseline"/>
          <w:lang w:val="en-US" w:eastAsia="zh-CN" w:bidi="ar"/>
        </w:rPr>
        <w:t>3.2 供应商须具有在有效期内的食品经营许可证</w:t>
      </w:r>
      <w:r>
        <w:rPr>
          <w:rFonts w:hint="eastAsia" w:ascii="Calibri" w:hAnsi="Calibri" w:eastAsia="宋体" w:cs="Calibri"/>
          <w:b w:val="0"/>
          <w:bCs w:val="0"/>
          <w:caps w:val="0"/>
          <w:color w:val="auto"/>
          <w:kern w:val="2"/>
          <w:sz w:val="21"/>
          <w:szCs w:val="21"/>
          <w:highlight w:val="none"/>
          <w:vertAlign w:val="baseline"/>
          <w:lang w:val="en-US" w:eastAsia="zh-CN" w:bidi="ar"/>
        </w:rPr>
        <w:t>。</w:t>
      </w:r>
    </w:p>
    <w:p w14:paraId="07F1E3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宋体"/>
          <w:caps w:val="0"/>
          <w:color w:val="auto"/>
          <w:kern w:val="2"/>
          <w:sz w:val="21"/>
          <w:szCs w:val="21"/>
          <w:highlight w:val="none"/>
          <w:vertAlign w:val="baseline"/>
          <w:lang w:bidi="ar"/>
        </w:rPr>
      </w:pPr>
      <w:r>
        <w:rPr>
          <w:rFonts w:hint="default" w:ascii="Calibri" w:hAnsi="Calibri" w:eastAsia="宋体" w:cs="Calibri"/>
          <w:b w:val="0"/>
          <w:bCs w:val="0"/>
          <w:caps w:val="0"/>
          <w:color w:val="auto"/>
          <w:kern w:val="2"/>
          <w:sz w:val="21"/>
          <w:szCs w:val="21"/>
          <w:highlight w:val="none"/>
          <w:vertAlign w:val="baseline"/>
          <w:lang w:val="en-US" w:eastAsia="zh-CN" w:bidi="ar"/>
        </w:rPr>
        <w:t>3.</w:t>
      </w:r>
      <w:r>
        <w:rPr>
          <w:rFonts w:hint="eastAsia" w:ascii="Calibri" w:hAnsi="Calibri" w:eastAsia="宋体" w:cs="Calibri"/>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en-US" w:eastAsia="zh-CN" w:bidi="ar"/>
        </w:rPr>
        <w:t>供应商参加采购活动应当提交反映其财务状况、依法缴纳税收和社会保障资金情况的资格条件承诺函（《长春市财政局关于加强政府采购信用体系建设简化供应商资格条件有关事项的通知》（长财采购〔2022〕2066号））。</w:t>
      </w:r>
    </w:p>
    <w:p w14:paraId="6B7864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宋体"/>
          <w:caps w:val="0"/>
          <w:color w:val="auto"/>
          <w:kern w:val="2"/>
          <w:sz w:val="21"/>
          <w:szCs w:val="21"/>
          <w:highlight w:val="none"/>
          <w:vertAlign w:val="baseline"/>
          <w:lang w:bidi="ar"/>
        </w:rPr>
      </w:pPr>
      <w:r>
        <w:rPr>
          <w:rFonts w:hint="default" w:ascii="Calibri" w:hAnsi="Calibri" w:eastAsia="宋体" w:cs="Calibri"/>
          <w:b w:val="0"/>
          <w:bCs w:val="0"/>
          <w:caps w:val="0"/>
          <w:color w:val="auto"/>
          <w:kern w:val="2"/>
          <w:sz w:val="21"/>
          <w:szCs w:val="21"/>
          <w:highlight w:val="none"/>
          <w:vertAlign w:val="baseline"/>
          <w:lang w:val="en-US" w:eastAsia="zh-CN" w:bidi="ar"/>
        </w:rPr>
        <w:t>3.</w:t>
      </w:r>
      <w:r>
        <w:rPr>
          <w:rFonts w:hint="eastAsia" w:ascii="Calibri" w:hAnsi="Calibri" w:eastAsia="宋体" w:cs="Calibri"/>
          <w:b w:val="0"/>
          <w:bCs w:val="0"/>
          <w:caps w:val="0"/>
          <w:color w:val="auto"/>
          <w:kern w:val="2"/>
          <w:sz w:val="21"/>
          <w:szCs w:val="21"/>
          <w:highlight w:val="none"/>
          <w:vertAlign w:val="baseline"/>
          <w:lang w:val="en-US" w:eastAsia="zh-CN" w:bidi="ar"/>
        </w:rPr>
        <w:t>4</w:t>
      </w:r>
      <w:r>
        <w:rPr>
          <w:rFonts w:hint="eastAsia" w:ascii="宋体" w:hAnsi="宋体" w:eastAsia="宋体" w:cs="宋体"/>
          <w:b w:val="0"/>
          <w:bCs w:val="0"/>
          <w:caps w:val="0"/>
          <w:color w:val="auto"/>
          <w:kern w:val="2"/>
          <w:sz w:val="21"/>
          <w:szCs w:val="21"/>
          <w:highlight w:val="none"/>
          <w:vertAlign w:val="baseline"/>
          <w:lang w:val="en-US" w:eastAsia="zh-CN" w:bidi="ar"/>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422B9A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Calibri" w:hAnsi="Calibri" w:eastAsia="宋体" w:cs="Calibri"/>
          <w:b w:val="0"/>
          <w:bCs w:val="0"/>
          <w:caps w:val="0"/>
          <w:color w:val="auto"/>
          <w:kern w:val="2"/>
          <w:sz w:val="21"/>
          <w:szCs w:val="21"/>
          <w:highlight w:val="none"/>
          <w:vertAlign w:val="baseline"/>
          <w:lang w:val="en-US" w:eastAsia="zh-CN" w:bidi="ar"/>
        </w:rPr>
        <w:t>3.</w:t>
      </w:r>
      <w:r>
        <w:rPr>
          <w:rFonts w:hint="eastAsia" w:ascii="Calibri" w:hAnsi="Calibri" w:eastAsia="宋体" w:cs="Calibri"/>
          <w:b w:val="0"/>
          <w:bCs w:val="0"/>
          <w:caps w:val="0"/>
          <w:color w:val="auto"/>
          <w:kern w:val="2"/>
          <w:sz w:val="21"/>
          <w:szCs w:val="21"/>
          <w:highlight w:val="none"/>
          <w:vertAlign w:val="baseline"/>
          <w:lang w:val="en-US" w:eastAsia="zh-CN" w:bidi="ar"/>
        </w:rPr>
        <w:t>5</w:t>
      </w:r>
      <w:r>
        <w:rPr>
          <w:rFonts w:hint="eastAsia" w:ascii="宋体" w:hAnsi="宋体" w:eastAsia="宋体" w:cs="宋体"/>
          <w:b w:val="0"/>
          <w:bCs w:val="0"/>
          <w:caps w:val="0"/>
          <w:color w:val="auto"/>
          <w:kern w:val="2"/>
          <w:sz w:val="21"/>
          <w:szCs w:val="21"/>
          <w:highlight w:val="none"/>
          <w:vertAlign w:val="baseline"/>
          <w:lang w:val="en-US" w:eastAsia="zh-CN" w:bidi="ar"/>
        </w:rPr>
        <w:t>信誉要求：（</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）拒绝列入政府取消投标资格记录期间的企业或个人投标。（</w:t>
      </w:r>
      <w:r>
        <w:rPr>
          <w:rFonts w:hint="default" w:ascii="宋体" w:hAnsi="宋体" w:eastAsia="宋体" w:cs="宋体"/>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）未被工商行政管理机关在全国企业信用信息公示系统（</w:t>
      </w:r>
      <w:r>
        <w:rPr>
          <w:rFonts w:hint="default" w:ascii="宋体" w:hAnsi="宋体" w:eastAsia="宋体" w:cs="宋体"/>
          <w:b w:val="0"/>
          <w:bCs w:val="0"/>
          <w:caps w:val="0"/>
          <w:color w:val="auto"/>
          <w:kern w:val="2"/>
          <w:sz w:val="21"/>
          <w:szCs w:val="21"/>
          <w:highlight w:val="none"/>
          <w:vertAlign w:val="baseline"/>
          <w:lang w:val="en-US" w:eastAsia="zh-CN" w:bidi="ar"/>
        </w:rPr>
        <w:t>www.gsxt.gov.cn</w:t>
      </w:r>
      <w:r>
        <w:rPr>
          <w:rFonts w:hint="eastAsia" w:ascii="宋体" w:hAnsi="宋体" w:eastAsia="宋体" w:cs="宋体"/>
          <w:b w:val="0"/>
          <w:bCs w:val="0"/>
          <w:caps w:val="0"/>
          <w:color w:val="auto"/>
          <w:kern w:val="2"/>
          <w:sz w:val="21"/>
          <w:szCs w:val="21"/>
          <w:highlight w:val="none"/>
          <w:vertAlign w:val="baseline"/>
          <w:lang w:val="en-US" w:eastAsia="zh-CN" w:bidi="ar"/>
        </w:rPr>
        <w:t>）中列入严重违法失信企业名单。（</w:t>
      </w:r>
      <w:r>
        <w:rPr>
          <w:rFonts w:hint="default"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en-US" w:eastAsia="zh-CN" w:bidi="ar"/>
        </w:rPr>
        <w:t>）未被“信用中国”（www.creditchina.gov.cn）、中国政府采购网（www.ccgp.gov.cn）列入失信被执行人、重大税收违法案件当事人名单、政府采购严重违法失信行为记录名单。（</w:t>
      </w:r>
      <w:r>
        <w:rPr>
          <w:rFonts w:hint="default" w:ascii="宋体" w:hAnsi="宋体" w:eastAsia="宋体" w:cs="宋体"/>
          <w:b w:val="0"/>
          <w:bCs w:val="0"/>
          <w:caps w:val="0"/>
          <w:color w:val="auto"/>
          <w:kern w:val="2"/>
          <w:sz w:val="21"/>
          <w:szCs w:val="21"/>
          <w:highlight w:val="none"/>
          <w:vertAlign w:val="baseline"/>
          <w:lang w:val="en-US" w:eastAsia="zh-CN" w:bidi="ar"/>
        </w:rPr>
        <w:t>4</w:t>
      </w:r>
      <w:r>
        <w:rPr>
          <w:rFonts w:hint="eastAsia" w:ascii="宋体" w:hAnsi="宋体" w:eastAsia="宋体" w:cs="宋体"/>
          <w:b w:val="0"/>
          <w:bCs w:val="0"/>
          <w:caps w:val="0"/>
          <w:color w:val="auto"/>
          <w:kern w:val="2"/>
          <w:sz w:val="21"/>
          <w:szCs w:val="21"/>
          <w:highlight w:val="none"/>
          <w:vertAlign w:val="baseline"/>
          <w:lang w:val="en-US" w:eastAsia="zh-CN" w:bidi="ar"/>
        </w:rPr>
        <w:t>）在近三年（</w:t>
      </w:r>
      <w:r>
        <w:rPr>
          <w:rFonts w:hint="default" w:ascii="宋体" w:hAnsi="宋体" w:eastAsia="宋体" w:cs="宋体"/>
          <w:b w:val="0"/>
          <w:bCs w:val="0"/>
          <w:caps w:val="0"/>
          <w:color w:val="auto"/>
          <w:kern w:val="2"/>
          <w:sz w:val="21"/>
          <w:szCs w:val="21"/>
          <w:highlight w:val="none"/>
          <w:vertAlign w:val="baseline"/>
          <w:lang w:val="en-US" w:eastAsia="zh-CN" w:bidi="ar"/>
        </w:rPr>
        <w:t>20</w:t>
      </w:r>
      <w:r>
        <w:rPr>
          <w:rFonts w:hint="eastAsia" w:ascii="宋体" w:hAnsi="宋体" w:eastAsia="宋体" w:cs="宋体"/>
          <w:b w:val="0"/>
          <w:bCs w:val="0"/>
          <w:caps w:val="0"/>
          <w:color w:val="auto"/>
          <w:kern w:val="2"/>
          <w:sz w:val="21"/>
          <w:szCs w:val="21"/>
          <w:highlight w:val="none"/>
          <w:vertAlign w:val="baseline"/>
          <w:lang w:val="en-US" w:eastAsia="zh-CN" w:bidi="ar"/>
        </w:rPr>
        <w:t>21年</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月</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日至今）内投标人和法定代表人未在“中国裁判文书网”（</w:t>
      </w:r>
      <w:r>
        <w:rPr>
          <w:rFonts w:hint="default" w:ascii="宋体" w:hAnsi="宋体" w:eastAsia="宋体" w:cs="宋体"/>
          <w:b w:val="0"/>
          <w:bCs w:val="0"/>
          <w:caps w:val="0"/>
          <w:color w:val="auto"/>
          <w:kern w:val="2"/>
          <w:sz w:val="21"/>
          <w:szCs w:val="21"/>
          <w:highlight w:val="none"/>
          <w:vertAlign w:val="baseline"/>
          <w:lang w:val="en-US" w:eastAsia="zh-CN" w:bidi="ar"/>
        </w:rPr>
        <w:t>http://wenshu.court.gov.cn/</w:t>
      </w:r>
      <w:r>
        <w:rPr>
          <w:rFonts w:hint="eastAsia" w:ascii="宋体" w:hAnsi="宋体" w:eastAsia="宋体" w:cs="宋体"/>
          <w:b w:val="0"/>
          <w:bCs w:val="0"/>
          <w:caps w:val="0"/>
          <w:color w:val="auto"/>
          <w:kern w:val="2"/>
          <w:sz w:val="21"/>
          <w:szCs w:val="21"/>
          <w:highlight w:val="none"/>
          <w:vertAlign w:val="baseline"/>
          <w:lang w:val="en-US" w:eastAsia="zh-CN" w:bidi="ar"/>
        </w:rPr>
        <w:t>）上有行贿犯罪行为。</w:t>
      </w:r>
    </w:p>
    <w:p w14:paraId="3A5F4C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default" w:ascii="Calibri" w:hAnsi="Calibri" w:eastAsia="宋体" w:cs="Calibri"/>
          <w:b w:val="0"/>
          <w:bCs w:val="0"/>
          <w:caps w:val="0"/>
          <w:color w:val="auto"/>
          <w:kern w:val="2"/>
          <w:sz w:val="21"/>
          <w:szCs w:val="21"/>
          <w:highlight w:val="none"/>
          <w:vertAlign w:val="baseline"/>
          <w:lang w:val="en-US" w:eastAsia="zh-CN" w:bidi="ar"/>
        </w:rPr>
        <w:t>3.</w:t>
      </w:r>
      <w:r>
        <w:rPr>
          <w:rFonts w:hint="eastAsia" w:ascii="Calibri" w:hAnsi="Calibri" w:eastAsia="宋体" w:cs="Calibri"/>
          <w:b w:val="0"/>
          <w:bCs w:val="0"/>
          <w:caps w:val="0"/>
          <w:color w:val="auto"/>
          <w:kern w:val="2"/>
          <w:sz w:val="21"/>
          <w:szCs w:val="21"/>
          <w:highlight w:val="none"/>
          <w:vertAlign w:val="baseline"/>
          <w:lang w:val="en-US" w:eastAsia="zh-CN" w:bidi="ar"/>
        </w:rPr>
        <w:t>6</w:t>
      </w:r>
      <w:r>
        <w:rPr>
          <w:rFonts w:hint="eastAsia" w:ascii="宋体" w:hAnsi="宋体" w:eastAsia="宋体" w:cs="宋体"/>
          <w:b w:val="0"/>
          <w:bCs w:val="0"/>
          <w:caps w:val="0"/>
          <w:color w:val="auto"/>
          <w:kern w:val="2"/>
          <w:sz w:val="21"/>
          <w:szCs w:val="21"/>
          <w:highlight w:val="none"/>
          <w:vertAlign w:val="baseline"/>
          <w:lang w:val="en-US" w:eastAsia="zh-CN" w:bidi="ar"/>
        </w:rPr>
        <w:t>参加政府采购活动前三年内在经营活动中没有重大违法记录的书面声明。</w:t>
      </w:r>
    </w:p>
    <w:p w14:paraId="575B8E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Calibri" w:hAnsi="Calibri" w:eastAsia="宋体" w:cs="Calibri"/>
          <w:b w:val="0"/>
          <w:bCs w:val="0"/>
          <w:caps w:val="0"/>
          <w:color w:val="auto"/>
          <w:kern w:val="2"/>
          <w:sz w:val="21"/>
          <w:szCs w:val="21"/>
          <w:highlight w:val="none"/>
          <w:vertAlign w:val="baseline"/>
          <w:lang w:val="en-US" w:eastAsia="zh-CN" w:bidi="ar"/>
        </w:rPr>
        <w:t>3.</w:t>
      </w:r>
      <w:r>
        <w:rPr>
          <w:rFonts w:hint="eastAsia" w:ascii="Calibri" w:hAnsi="Calibri" w:eastAsia="宋体" w:cs="Calibri"/>
          <w:b w:val="0"/>
          <w:bCs w:val="0"/>
          <w:caps w:val="0"/>
          <w:color w:val="auto"/>
          <w:kern w:val="2"/>
          <w:sz w:val="21"/>
          <w:szCs w:val="21"/>
          <w:highlight w:val="none"/>
          <w:vertAlign w:val="baseline"/>
          <w:lang w:val="en-US" w:eastAsia="zh-CN" w:bidi="ar"/>
        </w:rPr>
        <w:t>7</w:t>
      </w:r>
      <w:r>
        <w:rPr>
          <w:rFonts w:hint="default" w:ascii="宋体" w:hAnsi="宋体" w:eastAsia="宋体" w:cs="宋体"/>
          <w:b w:val="0"/>
          <w:bCs w:val="0"/>
          <w:caps w:val="0"/>
          <w:color w:val="auto"/>
          <w:kern w:val="2"/>
          <w:sz w:val="21"/>
          <w:szCs w:val="21"/>
          <w:highlight w:val="none"/>
          <w:vertAlign w:val="baseline"/>
          <w:lang w:val="en-US" w:eastAsia="zh-CN" w:bidi="ar"/>
        </w:rPr>
        <w:t>为采购项目提供整体设计、规范编制或者项目管理、监理、检测等服务的单位，不得再参加该采购项目的其他采购活动。</w:t>
      </w:r>
    </w:p>
    <w:p w14:paraId="4AA45A0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三、获取招标文件</w:t>
      </w:r>
    </w:p>
    <w:p w14:paraId="38B18A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 时间：2024年12月18日至2024年12月24日(北京时间，法定节假日除外)。</w:t>
      </w:r>
    </w:p>
    <w:p w14:paraId="098615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2.方式:网上下载。本项目不发放纸质文件，投标人可自行在“政采云”平台（http：//www.zcygov.cn）下载采购文件（操作路径：登录“政采云”平台-项目采购-获取采购文件-找到本项目-点击“申请获取采购文件”），电子投标文件制作需要基于“政采云”平台获取的采购文件编制。</w:t>
      </w:r>
    </w:p>
    <w:p w14:paraId="06118E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售价：0元。</w:t>
      </w:r>
    </w:p>
    <w:p w14:paraId="0B8A88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四、提交投标文件截止时间、开标时间和地点</w:t>
      </w:r>
    </w:p>
    <w:p w14:paraId="57EAC1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1.提交投标文件的截止时间、开标时间：2025年01月07日13时00分（北京时间）</w:t>
      </w:r>
    </w:p>
    <w:p w14:paraId="7BE33D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0000FF"/>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2.提交投标文件地点和开标地点：长春市二道区洋浦大街6999号凯利中心AB栋101开标四室（长春市同晟科技有限公司）</w:t>
      </w:r>
    </w:p>
    <w:p w14:paraId="0815A5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3C8836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（2）未进行网上注册并办理数字证书（CA认证）的投标人将无法参与本项目政府采购活动，潜在投标人应当在投标截止时间前，完成电子交易平台上的CA数字证书办理及投标文件的提交。</w:t>
      </w:r>
    </w:p>
    <w:p w14:paraId="5E343D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（3）为确保网上操作合法、有效和安全，请投标人确保在电子投标过程中能够对相关数据电文进行加密和使用电子签章，妥善保管CA数字证书并使用有效的CA数字证书参与整个招标活动。</w:t>
      </w:r>
    </w:p>
    <w:p w14:paraId="7F2203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1736F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（4）CA 证书解密：投标人持制作该电子投标文件的同一数字证书（CA 锁）及电脑进行远程解密（各投标人开标前及网上开评标系统公布投标人名单前，不要提前进行远程解密；建议供应商自行携带笔记本电脑进行现场解密或进行远程解密。</w:t>
      </w:r>
    </w:p>
    <w:p w14:paraId="771C23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五、公告期限</w:t>
      </w:r>
    </w:p>
    <w:p w14:paraId="4FF06C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自本公告发布之日起5个工作日</w:t>
      </w:r>
    </w:p>
    <w:p w14:paraId="4876DF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六、其他补充事宜</w:t>
      </w:r>
    </w:p>
    <w:p w14:paraId="3D3297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本次招标公告同时在政府采购云平台（网址：</w:t>
      </w:r>
      <w:r>
        <w:rPr>
          <w:rFonts w:hint="eastAsia" w:ascii="宋体" w:hAnsi="宋体" w:eastAsia="宋体" w:cs="宋体"/>
          <w:b w:val="0"/>
          <w:bCs w:val="0"/>
          <w:caps w:val="0"/>
          <w:color w:val="auto"/>
          <w:kern w:val="2"/>
          <w:sz w:val="21"/>
          <w:szCs w:val="21"/>
          <w:highlight w:val="none"/>
          <w:vertAlign w:val="baseline"/>
          <w:lang w:val="en-US" w:eastAsia="zh-CN" w:bidi="ar"/>
        </w:rPr>
        <w:fldChar w:fldCharType="begin"/>
      </w:r>
      <w:r>
        <w:rPr>
          <w:rFonts w:hint="eastAsia" w:ascii="宋体" w:hAnsi="宋体" w:eastAsia="宋体" w:cs="宋体"/>
          <w:b w:val="0"/>
          <w:bCs w:val="0"/>
          <w:caps w:val="0"/>
          <w:color w:val="auto"/>
          <w:kern w:val="2"/>
          <w:sz w:val="21"/>
          <w:szCs w:val="21"/>
          <w:highlight w:val="none"/>
          <w:vertAlign w:val="baseline"/>
          <w:lang w:val="en-US" w:eastAsia="zh-CN" w:bidi="ar"/>
        </w:rPr>
        <w:instrText xml:space="preserve"> HYPERLINK "http://www.zcygov.cn）》《中国政府采购网》、《吉林省政府采购网》、《长春市公共资源交易网》网站上发布上发布。" </w:instrText>
      </w:r>
      <w:r>
        <w:rPr>
          <w:rFonts w:hint="eastAsia" w:ascii="宋体" w:hAnsi="宋体" w:eastAsia="宋体" w:cs="宋体"/>
          <w:b w:val="0"/>
          <w:bCs w:val="0"/>
          <w:caps w:val="0"/>
          <w:color w:val="auto"/>
          <w:kern w:val="2"/>
          <w:sz w:val="21"/>
          <w:szCs w:val="21"/>
          <w:highlight w:val="none"/>
          <w:vertAlign w:val="baseline"/>
          <w:lang w:val="en-US" w:eastAsia="zh-CN" w:bidi="ar"/>
        </w:rPr>
        <w:fldChar w:fldCharType="separate"/>
      </w:r>
      <w:r>
        <w:rPr>
          <w:rFonts w:hint="eastAsia" w:ascii="宋体" w:hAnsi="宋体" w:eastAsia="宋体" w:cs="宋体"/>
          <w:b w:val="0"/>
          <w:bCs w:val="0"/>
          <w:caps w:val="0"/>
          <w:color w:val="auto"/>
          <w:kern w:val="2"/>
          <w:sz w:val="21"/>
          <w:szCs w:val="21"/>
          <w:highlight w:val="none"/>
          <w:vertAlign w:val="baseline"/>
          <w:lang w:val="en-US" w:eastAsia="zh-CN" w:bidi="ar"/>
        </w:rPr>
        <w:t>http://www.zcygov.cn）》《中国政府采购网》、《吉林省政府采购网》、《长春市公共资源交易网》网站上发布。</w:t>
      </w:r>
      <w:r>
        <w:rPr>
          <w:rFonts w:hint="eastAsia" w:ascii="宋体" w:hAnsi="宋体" w:eastAsia="宋体" w:cs="宋体"/>
          <w:b w:val="0"/>
          <w:bCs w:val="0"/>
          <w:caps w:val="0"/>
          <w:color w:val="auto"/>
          <w:kern w:val="2"/>
          <w:sz w:val="21"/>
          <w:szCs w:val="21"/>
          <w:highlight w:val="none"/>
          <w:vertAlign w:val="baseline"/>
          <w:lang w:val="en-US" w:eastAsia="zh-CN" w:bidi="ar"/>
        </w:rPr>
        <w:fldChar w:fldCharType="end"/>
      </w:r>
    </w:p>
    <w:p w14:paraId="6A440079">
      <w:pPr>
        <w:keepNext w:val="0"/>
        <w:keepLines w:val="0"/>
        <w:pageBreakBefore w:val="0"/>
        <w:widowControl w:val="0"/>
        <w:suppressLineNumbers w:val="0"/>
        <w:suppressAutoHyphens w:val="0"/>
        <w:kinsoku/>
        <w:wordWrap/>
        <w:overflowPunct/>
        <w:topLinePunct w:val="0"/>
        <w:autoSpaceDE w:val="0"/>
        <w:autoSpaceDN/>
        <w:bidi w:val="0"/>
        <w:adjustRightInd/>
        <w:snapToGrid/>
        <w:spacing w:before="0" w:beforeAutospacing="0" w:after="0" w:afterAutospacing="0" w:line="240" w:lineRule="auto"/>
        <w:ind w:left="0" w:right="0" w:firstLine="420" w:firstLineChars="200"/>
        <w:jc w:val="both"/>
        <w:textAlignment w:val="auto"/>
        <w:outlineLvl w:val="9"/>
        <w:rPr>
          <w:rFonts w:hint="eastAsia"/>
          <w:sz w:val="21"/>
          <w:szCs w:val="21"/>
          <w:highlight w:val="none"/>
          <w:lang w:val="en-US" w:eastAsia="zh-CN"/>
        </w:rPr>
      </w:pPr>
      <w:r>
        <w:rPr>
          <w:rFonts w:hint="eastAsia" w:ascii="宋体" w:eastAsia="宋体" w:cs="宋体"/>
          <w:bCs/>
          <w:color w:val="auto"/>
          <w:kern w:val="2"/>
          <w:sz w:val="21"/>
          <w:szCs w:val="21"/>
          <w:highlight w:val="none"/>
          <w:vertAlign w:val="baseline"/>
          <w:lang w:val="en-US" w:eastAsia="zh-CN" w:bidi="ar-SA"/>
        </w:rPr>
        <w:t>若对项目采购电子交易系统操作有疑问，可登录“政采云”平台（https://www.zcygov.cn/），点击右侧咨询小采，获取采小蜜智能服务管家帮助，或拨打政采云服务热线</w:t>
      </w:r>
      <w:r>
        <w:rPr>
          <w:rFonts w:hint="eastAsia" w:ascii="宋体" w:cs="宋体"/>
          <w:bCs/>
          <w:color w:val="auto"/>
          <w:kern w:val="2"/>
          <w:sz w:val="21"/>
          <w:szCs w:val="21"/>
          <w:highlight w:val="none"/>
          <w:vertAlign w:val="baseline"/>
          <w:lang w:val="en-US" w:eastAsia="zh-CN" w:bidi="ar-SA"/>
        </w:rPr>
        <w:t>95763</w:t>
      </w:r>
      <w:r>
        <w:rPr>
          <w:rFonts w:hint="eastAsia" w:ascii="宋体" w:eastAsia="宋体" w:cs="宋体"/>
          <w:bCs/>
          <w:color w:val="auto"/>
          <w:kern w:val="2"/>
          <w:sz w:val="21"/>
          <w:szCs w:val="21"/>
          <w:highlight w:val="none"/>
          <w:vertAlign w:val="baseline"/>
          <w:lang w:val="en-US" w:eastAsia="zh-CN" w:bidi="ar-SA"/>
        </w:rPr>
        <w:t>获取热线服务帮助。</w:t>
      </w:r>
    </w:p>
    <w:p w14:paraId="0D3ABB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kern w:val="2"/>
          <w:sz w:val="21"/>
          <w:szCs w:val="21"/>
          <w:highlight w:val="none"/>
          <w:vertAlign w:val="baseline"/>
        </w:rPr>
      </w:pPr>
      <w:r>
        <w:rPr>
          <w:rFonts w:hint="eastAsia" w:ascii="宋体" w:hAnsi="宋体" w:eastAsia="宋体" w:cs="宋体"/>
          <w:b/>
          <w:bCs/>
          <w:caps w:val="0"/>
          <w:color w:val="auto"/>
          <w:kern w:val="2"/>
          <w:sz w:val="21"/>
          <w:szCs w:val="21"/>
          <w:highlight w:val="none"/>
          <w:vertAlign w:val="baseline"/>
          <w:lang w:val="en-US" w:eastAsia="zh-CN" w:bidi="ar"/>
        </w:rPr>
        <w:t>七、对本次招标提出询问，请按以下方式联系</w:t>
      </w:r>
    </w:p>
    <w:p w14:paraId="29FF5D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1.采购人信息</w:t>
      </w:r>
    </w:p>
    <w:p w14:paraId="5B3F7B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名 称：长春市绿园区人民医院</w:t>
      </w:r>
    </w:p>
    <w:p w14:paraId="51709B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地 址： 吉林省长春市绿园区皓月大路885号</w:t>
      </w:r>
    </w:p>
    <w:p w14:paraId="220A35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联系人：任大旺</w:t>
      </w:r>
    </w:p>
    <w:p w14:paraId="647692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联系方式：13943047189</w:t>
      </w:r>
    </w:p>
    <w:p w14:paraId="06EAF3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2.采购代理机构信息</w:t>
      </w:r>
    </w:p>
    <w:p w14:paraId="41099C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名 称：吉林省中鎏工程管理有限公司</w:t>
      </w:r>
    </w:p>
    <w:p w14:paraId="35AB52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地 址：长春市绿园区皓月大路龙城御苑2栋431号房</w:t>
      </w:r>
    </w:p>
    <w:p w14:paraId="46ADF3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联系方式：18143102625</w:t>
      </w:r>
    </w:p>
    <w:p w14:paraId="2AA175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3.项目联系方式</w:t>
      </w:r>
    </w:p>
    <w:p w14:paraId="6A1CE7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项目联系人：刘兰艳</w:t>
      </w:r>
    </w:p>
    <w:p w14:paraId="2D2FA2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电 话：18143102625</w:t>
      </w:r>
    </w:p>
    <w:p w14:paraId="114E018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4.监督管理部门：长春市绿园区财政局政府采购管理工作办公室</w:t>
      </w:r>
    </w:p>
    <w:p w14:paraId="1220B4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联系方式：0431-87605030</w:t>
      </w:r>
    </w:p>
    <w:p w14:paraId="612E45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p>
    <w:p w14:paraId="1495C2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来源：吉林省中鎏工程管理有限公司</w:t>
      </w:r>
    </w:p>
    <w:p w14:paraId="4AC82B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初审：刘兰艳</w:t>
      </w:r>
    </w:p>
    <w:p w14:paraId="380835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复审：任大旺</w:t>
      </w:r>
    </w:p>
    <w:p w14:paraId="297431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both"/>
        <w:textAlignment w:val="auto"/>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终审：</w:t>
      </w:r>
      <w:r>
        <w:rPr>
          <w:rFonts w:hint="eastAsia" w:ascii="宋体" w:hAnsi="宋体" w:eastAsia="宋体" w:cs="宋体"/>
          <w:b w:val="0"/>
          <w:bCs w:val="0"/>
          <w:caps w:val="0"/>
          <w:color w:val="auto"/>
          <w:kern w:val="2"/>
          <w:sz w:val="21"/>
          <w:szCs w:val="21"/>
          <w:highlight w:val="none"/>
          <w:vertAlign w:val="baseline"/>
          <w:rtl w:val="0"/>
          <w:lang w:val="en-US" w:eastAsia="zh-CN" w:bidi="ar"/>
        </w:rPr>
        <w:t>赵岭</w:t>
      </w:r>
    </w:p>
    <w:p w14:paraId="24F6A195">
      <w:pPr>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p>
    <w:p w14:paraId="487BC66B">
      <w:pPr>
        <w:jc w:val="center"/>
        <w:rPr>
          <w:rFonts w:hint="default" w:ascii="Calibri" w:hAnsi="Calibri" w:eastAsia="宋体" w:cs="Times New Roman"/>
          <w:caps w:val="0"/>
          <w:color w:val="auto"/>
          <w:kern w:val="2"/>
          <w:sz w:val="32"/>
          <w:szCs w:val="32"/>
          <w:highlight w:val="none"/>
          <w:vertAlign w:val="baseline"/>
          <w:lang w:bidi="ar"/>
        </w:rPr>
      </w:pPr>
      <w:r>
        <w:rPr>
          <w:rStyle w:val="36"/>
          <w:rFonts w:hint="eastAsia"/>
          <w:b/>
          <w:bCs/>
          <w:highlight w:val="none"/>
          <w:lang w:val="en-US" w:eastAsia="zh-CN"/>
        </w:rPr>
        <w:t>第二章</w:t>
      </w:r>
      <w:r>
        <w:rPr>
          <w:rStyle w:val="36"/>
          <w:rFonts w:hint="default"/>
          <w:b/>
          <w:bCs/>
          <w:highlight w:val="none"/>
          <w:lang w:val="en-US" w:eastAsia="zh-CN"/>
        </w:rPr>
        <w:t xml:space="preserve">  </w:t>
      </w:r>
      <w:r>
        <w:rPr>
          <w:rStyle w:val="36"/>
          <w:rFonts w:hint="eastAsia"/>
          <w:b/>
          <w:bCs/>
          <w:highlight w:val="none"/>
          <w:lang w:val="en-US" w:eastAsia="zh-CN"/>
        </w:rPr>
        <w:t>供应商须知</w:t>
      </w:r>
      <w:bookmarkEnd w:id="7"/>
    </w:p>
    <w:p w14:paraId="6A7FEF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一、供应商须知前附表</w:t>
      </w:r>
    </w:p>
    <w:tbl>
      <w:tblPr>
        <w:tblStyle w:val="28"/>
        <w:tblW w:w="907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71"/>
        <w:gridCol w:w="1767"/>
        <w:gridCol w:w="6740"/>
      </w:tblGrid>
      <w:tr w14:paraId="465E13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EB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w:t>
            </w:r>
          </w:p>
          <w:p w14:paraId="71727E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号</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9391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内容</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EE95A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说明与要求</w:t>
            </w:r>
          </w:p>
        </w:tc>
      </w:tr>
      <w:tr w14:paraId="072739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51A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4E1A5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CD056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名 称：长春市绿园区人民医院</w:t>
            </w:r>
          </w:p>
          <w:p w14:paraId="364A8F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地 址：吉林省长春市绿园区皓月大路885号</w:t>
            </w:r>
          </w:p>
          <w:p w14:paraId="0F446A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联系人：任大旺</w:t>
            </w:r>
          </w:p>
          <w:p w14:paraId="550BE2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联系方式：13943047189</w:t>
            </w:r>
          </w:p>
        </w:tc>
      </w:tr>
      <w:tr w14:paraId="21A70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F77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195C6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采购代理机构</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FD9D1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名 称：吉林省中鎏工程管理有限公司</w:t>
            </w:r>
          </w:p>
          <w:p w14:paraId="34705D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地 址：长春市绿园区皓月大路龙城御苑2栋431号房</w:t>
            </w:r>
          </w:p>
          <w:p w14:paraId="14E0A4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联系方式：18143102625</w:t>
            </w:r>
          </w:p>
        </w:tc>
      </w:tr>
      <w:tr w14:paraId="30D5BA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A32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94D7A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项目名称</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39C09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长春市绿园区人民医院食堂采购及相关基础食品供应主体采购项目</w:t>
            </w:r>
          </w:p>
        </w:tc>
      </w:tr>
      <w:tr w14:paraId="3E67EC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6C28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项目编号</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A9CC2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LY202411-103</w:t>
            </w:r>
          </w:p>
        </w:tc>
      </w:tr>
      <w:tr w14:paraId="7F773F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7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F48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7BE0F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采购预算</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B48A3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2000000.00元</w:t>
            </w:r>
            <w:r>
              <w:rPr>
                <w:rFonts w:hint="eastAsia" w:ascii="宋体" w:hAnsi="宋体" w:eastAsia="宋体" w:cs="宋体"/>
                <w:b w:val="0"/>
                <w:bCs w:val="0"/>
                <w:caps w:val="0"/>
                <w:color w:val="auto"/>
                <w:kern w:val="2"/>
                <w:sz w:val="21"/>
                <w:szCs w:val="21"/>
                <w:highlight w:val="none"/>
                <w:vertAlign w:val="baseline"/>
                <w:lang w:val="zh-CN" w:eastAsia="zh-CN" w:bidi="ar"/>
              </w:rPr>
              <w:t>（最高限价）</w:t>
            </w:r>
          </w:p>
        </w:tc>
      </w:tr>
      <w:tr w14:paraId="222BF3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8B3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6</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21208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资金来源</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C58CB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财政资金</w:t>
            </w:r>
          </w:p>
        </w:tc>
      </w:tr>
      <w:tr w14:paraId="19E883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DFF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7</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E9269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采购需求</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49BE34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服务场地使用面积300平方米，食堂服务单位配备满足食堂服务的工具、实际入口标准以按实际用餐人数结算、食堂服务单位餐厅工作人员，提供医院职工及患者早、中、晚餐接待客餐及因工作需要的连班加餐现场就餐配送等。</w:t>
            </w:r>
          </w:p>
        </w:tc>
      </w:tr>
      <w:tr w14:paraId="04110F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C9C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4B8F7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合同履行期限</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D9F67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一年。甲方按照相关管理制度对乙方进行考核，考核合格且乙方同意继续接受委托的，可续签一服务合同。</w:t>
            </w:r>
          </w:p>
        </w:tc>
      </w:tr>
      <w:tr w14:paraId="3F8CF1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B42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28F05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val="en-US" w:eastAsia="zh-CN" w:bidi="ar"/>
              </w:rPr>
              <w:t>质量标准</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4651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符合国家及行业相关合格标准</w:t>
            </w:r>
            <w:r>
              <w:rPr>
                <w:rFonts w:hint="eastAsia" w:ascii="Calibri" w:hAnsi="Calibri" w:eastAsia="宋体" w:cs="Times New Roman"/>
                <w:caps w:val="0"/>
                <w:color w:val="auto"/>
                <w:kern w:val="2"/>
                <w:sz w:val="21"/>
                <w:szCs w:val="21"/>
                <w:highlight w:val="none"/>
                <w:vertAlign w:val="baseline"/>
                <w:lang w:val="en-US" w:eastAsia="zh-CN" w:bidi="ar"/>
              </w:rPr>
              <w:t>。</w:t>
            </w:r>
          </w:p>
        </w:tc>
      </w:tr>
      <w:tr w14:paraId="0A8852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404" w:hRule="atLeast"/>
          <w:jc w:val="center"/>
        </w:trPr>
        <w:tc>
          <w:tcPr>
            <w:tcW w:w="571" w:type="dxa"/>
            <w:tcBorders>
              <w:top w:val="single" w:color="auto" w:sz="4" w:space="0"/>
              <w:left w:val="single" w:color="auto" w:sz="4" w:space="0"/>
              <w:bottom w:val="nil"/>
              <w:right w:val="single" w:color="auto" w:sz="4" w:space="0"/>
            </w:tcBorders>
            <w:shd w:val="clear" w:color="auto" w:fill="auto"/>
            <w:noWrap/>
            <w:vAlign w:val="center"/>
          </w:tcPr>
          <w:p w14:paraId="394734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10</w:t>
            </w:r>
          </w:p>
        </w:tc>
        <w:tc>
          <w:tcPr>
            <w:tcW w:w="1767" w:type="dxa"/>
            <w:tcBorders>
              <w:top w:val="single" w:color="auto" w:sz="4" w:space="0"/>
              <w:left w:val="nil"/>
              <w:bottom w:val="nil"/>
              <w:right w:val="single" w:color="auto" w:sz="4" w:space="0"/>
            </w:tcBorders>
            <w:shd w:val="clear" w:color="auto" w:fill="auto"/>
            <w:noWrap/>
            <w:vAlign w:val="center"/>
          </w:tcPr>
          <w:p w14:paraId="01298A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供应商资格要求</w:t>
            </w:r>
          </w:p>
        </w:tc>
        <w:tc>
          <w:tcPr>
            <w:tcW w:w="6740" w:type="dxa"/>
            <w:tcBorders>
              <w:top w:val="single" w:color="auto" w:sz="4" w:space="0"/>
              <w:left w:val="nil"/>
              <w:bottom w:val="nil"/>
              <w:right w:val="single" w:color="auto" w:sz="4" w:space="0"/>
            </w:tcBorders>
            <w:shd w:val="clear" w:color="auto" w:fill="auto"/>
            <w:noWrap/>
            <w:vAlign w:val="center"/>
          </w:tcPr>
          <w:p w14:paraId="4ECDC1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1.满足《中华人民共和国政府采购法》第二十二条规定。</w:t>
            </w:r>
          </w:p>
          <w:p w14:paraId="304BC7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2.落实政府采购政策需满足的资格要求：本项目专门面向中小企业采购</w:t>
            </w:r>
          </w:p>
          <w:p w14:paraId="5D047E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本采购项目落实的政府采购政策：</w:t>
            </w:r>
          </w:p>
          <w:p w14:paraId="5A8145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（1）《政府采购促进中小企业发展管理办法》(财库[2020]46号)；</w:t>
            </w:r>
          </w:p>
          <w:p w14:paraId="34896B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（2）《关于政府采购支持监狱企业发展有关问题的通知》(财库[2014]68号)；</w:t>
            </w:r>
          </w:p>
          <w:p w14:paraId="55D833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（3）《三部门联合发布关于促进残疾人就业政府采购政策的通知》(财库[2017]141号)；</w:t>
            </w:r>
          </w:p>
          <w:p w14:paraId="1BF3E2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（4）《节能产品政府采购实施意见》的通知(财库〔2004〕185 号)；</w:t>
            </w:r>
          </w:p>
          <w:p w14:paraId="55DECA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（5）《关于调整优化节能产品、环境标志产品政府采购执行机制的通知》(财库[2019]9号)。</w:t>
            </w:r>
          </w:p>
          <w:p w14:paraId="7A08CC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3.本项目的特定资格要求：</w:t>
            </w:r>
          </w:p>
          <w:p w14:paraId="3EE29B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3.1投标人须是在中国境内注册具有独立承担民事责任能力的独立法人或其他组织形式，具备有效的营业执照，具有履行合同所必需的设备和专业技术能力。</w:t>
            </w:r>
          </w:p>
          <w:p w14:paraId="180C97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3.2 供应商须具有在有效期内的食品经营许可证。</w:t>
            </w:r>
          </w:p>
          <w:p w14:paraId="6E52EF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3.3供应商参加采购活动应当提交反映其财务状况、依法缴纳税收和社会保障资金情况的资格条件承诺函（《长春市财政局关于加强政府采购信用体系建设简化供应商资格条件有关事项的通知》（长财采购〔2022〕2066号））。</w:t>
            </w:r>
          </w:p>
          <w:p w14:paraId="2B4416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3.4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32C0A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3.5信誉要求：（1）拒绝列入政府取消投标资格记录期间的企业或个人投标。（2）未被工商行政管理机关在全国企业信用信息公示系统（www.gsxt.gov.cn）中列入严重违法失信企业名单。（3）未被“信用中国”（www.creditchina.gov.cn）、中国政府采购网（www.ccgp.gov.cn）列入失信被执行人、重大税收违法案件当事人名单、政府采购严重违法失信行为记录名单。（4）在近三年（2021年1月1日至今）内投标人和法定代表人未在“中国裁判文书网”（http://wenshu.court.gov.cn/）上有行贿犯罪行为。</w:t>
            </w:r>
          </w:p>
          <w:p w14:paraId="38CCC1E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3.6参加政府采购活动前三年内在经营活动中没有重大违法记录的书面声明。</w:t>
            </w:r>
          </w:p>
          <w:p w14:paraId="37CB26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宋体" w:hAnsi="宋体" w:eastAsia="宋体" w:cs="宋体"/>
                <w:b w:val="0"/>
                <w:bCs w:val="0"/>
                <w:caps w:val="0"/>
                <w:color w:val="auto"/>
                <w:kern w:val="2"/>
                <w:sz w:val="21"/>
                <w:szCs w:val="21"/>
                <w:highlight w:val="none"/>
                <w:vertAlign w:val="baseline"/>
                <w:lang w:val="en-US" w:eastAsia="zh-CN" w:bidi="ar"/>
              </w:rPr>
              <w:t>3.7为采购项目提供整体设计、规范编制或者项目管理、监理、检测等服务的单位，不得再参加该采购项目的其他采购活动。</w:t>
            </w:r>
          </w:p>
        </w:tc>
      </w:tr>
      <w:tr w14:paraId="3C5CD2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1"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D7A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6812A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是否接受联合体投标</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5D8B4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否</w:t>
            </w:r>
          </w:p>
        </w:tc>
      </w:tr>
      <w:tr w14:paraId="50A683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E4D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6EEC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踏勘现场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0C06EB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Wingdings 2" w:hAnsi="Wingdings 2" w:eastAsia="宋体" w:cs="Wingdings 2"/>
                <w:b w:val="0"/>
                <w:bCs w:val="0"/>
                <w:caps w:val="0"/>
                <w:color w:val="auto"/>
                <w:kern w:val="2"/>
                <w:sz w:val="21"/>
                <w:szCs w:val="21"/>
                <w:highlight w:val="none"/>
                <w:vertAlign w:val="baseline"/>
                <w:lang w:val="en-US" w:eastAsia="zh-CN" w:bidi="ar"/>
              </w:rPr>
              <w:sym w:font="Wingdings 2" w:char="0052"/>
            </w:r>
            <w:r>
              <w:rPr>
                <w:rFonts w:hint="eastAsia" w:ascii="宋体" w:hAnsi="宋体" w:eastAsia="宋体" w:cs="Times New Roman"/>
                <w:b w:val="0"/>
                <w:bCs w:val="0"/>
                <w:caps w:val="0"/>
                <w:color w:val="auto"/>
                <w:kern w:val="2"/>
                <w:sz w:val="21"/>
                <w:szCs w:val="21"/>
                <w:highlight w:val="none"/>
                <w:vertAlign w:val="baseline"/>
                <w:lang w:val="en-US" w:eastAsia="zh-CN" w:bidi="ar"/>
              </w:rPr>
              <w:t>不组织</w:t>
            </w:r>
          </w:p>
        </w:tc>
      </w:tr>
      <w:tr w14:paraId="69D82F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nil"/>
              <w:right w:val="single" w:color="auto" w:sz="4" w:space="0"/>
            </w:tcBorders>
            <w:shd w:val="clear" w:color="auto" w:fill="auto"/>
            <w:noWrap/>
            <w:vAlign w:val="center"/>
          </w:tcPr>
          <w:p w14:paraId="237526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w:t>
            </w:r>
          </w:p>
        </w:tc>
        <w:tc>
          <w:tcPr>
            <w:tcW w:w="1767" w:type="dxa"/>
            <w:tcBorders>
              <w:top w:val="single" w:color="auto" w:sz="4" w:space="0"/>
              <w:left w:val="nil"/>
              <w:bottom w:val="nil"/>
              <w:right w:val="single" w:color="auto" w:sz="4" w:space="0"/>
            </w:tcBorders>
            <w:shd w:val="clear" w:color="auto" w:fill="auto"/>
            <w:noWrap/>
            <w:vAlign w:val="center"/>
          </w:tcPr>
          <w:p w14:paraId="264078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答疑会时间及地点</w:t>
            </w:r>
          </w:p>
        </w:tc>
        <w:tc>
          <w:tcPr>
            <w:tcW w:w="6740" w:type="dxa"/>
            <w:tcBorders>
              <w:top w:val="single" w:color="auto" w:sz="4" w:space="0"/>
              <w:left w:val="nil"/>
              <w:bottom w:val="nil"/>
              <w:right w:val="single" w:color="auto" w:sz="4" w:space="0"/>
            </w:tcBorders>
            <w:shd w:val="clear" w:color="auto" w:fill="auto"/>
            <w:noWrap/>
            <w:vAlign w:val="center"/>
          </w:tcPr>
          <w:p w14:paraId="5E743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Wingdings 2" w:hAnsi="Wingdings 2" w:eastAsia="宋体" w:cs="Wingdings 2"/>
                <w:b w:val="0"/>
                <w:bCs w:val="0"/>
                <w:caps w:val="0"/>
                <w:color w:val="auto"/>
                <w:kern w:val="2"/>
                <w:sz w:val="21"/>
                <w:szCs w:val="21"/>
                <w:highlight w:val="none"/>
                <w:vertAlign w:val="baseline"/>
                <w:lang w:val="en-US" w:eastAsia="zh-CN" w:bidi="ar"/>
              </w:rPr>
              <w:sym w:font="Wingdings 2" w:char="0052"/>
            </w:r>
            <w:r>
              <w:rPr>
                <w:rFonts w:hint="eastAsia" w:ascii="宋体" w:hAnsi="宋体" w:eastAsia="宋体" w:cs="Times New Roman"/>
                <w:b w:val="0"/>
                <w:bCs w:val="0"/>
                <w:caps w:val="0"/>
                <w:color w:val="auto"/>
                <w:kern w:val="2"/>
                <w:sz w:val="21"/>
                <w:szCs w:val="21"/>
                <w:highlight w:val="none"/>
                <w:vertAlign w:val="baseline"/>
                <w:lang w:val="en-US" w:eastAsia="zh-CN" w:bidi="ar"/>
              </w:rPr>
              <w:t>不召开</w:t>
            </w:r>
          </w:p>
        </w:tc>
      </w:tr>
      <w:tr w14:paraId="133D56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4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C68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1EAE5A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分包、转包</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C766B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不允许</w:t>
            </w:r>
          </w:p>
        </w:tc>
      </w:tr>
      <w:tr w14:paraId="23D6A1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084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6FFF7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偏离</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C33A7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Wingdings 2" w:hAnsi="Wingdings 2" w:eastAsia="宋体" w:cs="Wingdings 2"/>
                <w:b w:val="0"/>
                <w:bCs w:val="0"/>
                <w:caps w:val="0"/>
                <w:color w:val="auto"/>
                <w:kern w:val="2"/>
                <w:sz w:val="21"/>
                <w:szCs w:val="21"/>
                <w:highlight w:val="none"/>
                <w:vertAlign w:val="baseline"/>
                <w:lang w:val="en-US" w:eastAsia="zh-CN" w:bidi="ar"/>
              </w:rPr>
              <w:sym w:font="Wingdings 2" w:char="0052"/>
            </w:r>
            <w:r>
              <w:rPr>
                <w:rFonts w:hint="eastAsia" w:ascii="宋体" w:hAnsi="宋体" w:eastAsia="宋体" w:cs="Times New Roman"/>
                <w:b w:val="0"/>
                <w:bCs w:val="0"/>
                <w:caps w:val="0"/>
                <w:color w:val="auto"/>
                <w:kern w:val="2"/>
                <w:sz w:val="21"/>
                <w:szCs w:val="21"/>
                <w:highlight w:val="none"/>
                <w:vertAlign w:val="baseline"/>
                <w:lang w:val="en-US" w:eastAsia="zh-CN" w:bidi="ar"/>
              </w:rPr>
              <w:t>允许正偏离</w:t>
            </w:r>
          </w:p>
          <w:p w14:paraId="389AB4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□不接受任何偏离</w:t>
            </w:r>
          </w:p>
        </w:tc>
      </w:tr>
      <w:tr w14:paraId="6122F4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1"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1E8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40292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构成招标文件</w:t>
            </w:r>
          </w:p>
          <w:p w14:paraId="478221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的其他材料</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DF7C6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cs="宋体"/>
                <w:sz w:val="21"/>
                <w:szCs w:val="21"/>
                <w:highlight w:val="none"/>
                <w:lang w:val="en-US" w:eastAsia="zh-CN" w:bidi="ar-SA"/>
              </w:rPr>
              <w:t>/</w:t>
            </w:r>
          </w:p>
        </w:tc>
      </w:tr>
      <w:tr w14:paraId="586DAA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26D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17</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7D63D7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签字或盖章要求</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0F25E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 xml:space="preserve">）所有要求签字的地方都应用不褪色的墨水或签字笔由本人亲笔手写签字（包括姓和名），不得用盖章（如签名章、签字章等）代替，也不得由他人代签。 </w:t>
            </w:r>
          </w:p>
          <w:p w14:paraId="4143BE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 xml:space="preserve">）所有要求盖章的地方都应按照招标文件的规定加盖与投标人名称全称相一致的标准公章，不得使用彩喷或者彩印的印章、可使用专用章（如合同专用章、投标专用章等）代替。 </w:t>
            </w:r>
          </w:p>
          <w:p w14:paraId="226F8A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en-US" w:eastAsia="zh-CN" w:bidi="ar"/>
              </w:rPr>
              <w:t>）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051E9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1F1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18</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52CC3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投标有效期</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7DB2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90</w:t>
            </w:r>
            <w:r>
              <w:rPr>
                <w:rFonts w:hint="eastAsia" w:ascii="宋体" w:hAnsi="宋体" w:eastAsia="宋体" w:cs="Times New Roman"/>
                <w:b w:val="0"/>
                <w:bCs w:val="0"/>
                <w:caps w:val="0"/>
                <w:color w:val="auto"/>
                <w:kern w:val="2"/>
                <w:sz w:val="21"/>
                <w:szCs w:val="21"/>
                <w:highlight w:val="none"/>
                <w:vertAlign w:val="baseline"/>
                <w:lang w:val="en-US" w:eastAsia="zh-CN" w:bidi="ar"/>
              </w:rPr>
              <w:t>日历天（从投标截止之日算起）</w:t>
            </w:r>
          </w:p>
        </w:tc>
      </w:tr>
      <w:tr w14:paraId="71EBDE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1B2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19</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7C9C20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w:t>
            </w:r>
          </w:p>
        </w:tc>
        <w:tc>
          <w:tcPr>
            <w:tcW w:w="6740" w:type="dxa"/>
            <w:tcBorders>
              <w:top w:val="single" w:color="auto" w:sz="4" w:space="0"/>
              <w:left w:val="nil"/>
              <w:bottom w:val="single" w:color="auto" w:sz="4" w:space="0"/>
              <w:right w:val="single" w:color="auto" w:sz="4" w:space="0"/>
            </w:tcBorders>
            <w:shd w:val="clear" w:color="auto" w:fill="auto"/>
            <w:noWrap/>
            <w:vAlign w:val="top"/>
          </w:tcPr>
          <w:p w14:paraId="4715C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zh-CN" w:eastAsia="zh-CN" w:bidi="ar"/>
              </w:rPr>
              <w:t>无</w:t>
            </w:r>
          </w:p>
        </w:tc>
      </w:tr>
      <w:tr w14:paraId="703FE4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9"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21F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20</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BF924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投标文件份数</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42AEE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纸质版投标文件份数要求：</w:t>
            </w:r>
          </w:p>
          <w:p w14:paraId="13DF06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中标单位提供正本</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份，副本2份，同时提供电子文件</w:t>
            </w:r>
            <w:r>
              <w:rPr>
                <w:rFonts w:hint="default" w:ascii="宋体" w:hAnsi="宋体" w:eastAsia="宋体" w:cs="宋体"/>
                <w:b w:val="0"/>
                <w:bCs w:val="0"/>
                <w:caps w:val="0"/>
                <w:color w:val="auto"/>
                <w:kern w:val="2"/>
                <w:sz w:val="21"/>
                <w:szCs w:val="21"/>
                <w:highlight w:val="none"/>
                <w:vertAlign w:val="baseline"/>
                <w:lang w:val="en-US" w:eastAsia="zh-CN" w:bidi="ar"/>
              </w:rPr>
              <w:t>U</w:t>
            </w:r>
            <w:r>
              <w:rPr>
                <w:rFonts w:hint="eastAsia" w:ascii="宋体" w:hAnsi="宋体" w:eastAsia="宋体" w:cs="宋体"/>
                <w:b w:val="0"/>
                <w:bCs w:val="0"/>
                <w:caps w:val="0"/>
                <w:color w:val="auto"/>
                <w:kern w:val="2"/>
                <w:sz w:val="21"/>
                <w:szCs w:val="21"/>
                <w:highlight w:val="none"/>
                <w:vertAlign w:val="baseline"/>
                <w:lang w:val="en-US" w:eastAsia="zh-CN" w:bidi="ar"/>
              </w:rPr>
              <w:t>盘</w:t>
            </w:r>
            <w:r>
              <w:rPr>
                <w:rFonts w:hint="default" w:ascii="宋体" w:hAnsi="宋体" w:eastAsia="宋体" w:cs="宋体"/>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份（投标文件格式为签字盖章后的</w:t>
            </w:r>
            <w:r>
              <w:rPr>
                <w:rFonts w:hint="default" w:ascii="宋体" w:hAnsi="宋体" w:eastAsia="宋体" w:cs="宋体"/>
                <w:b w:val="0"/>
                <w:bCs w:val="0"/>
                <w:caps w:val="0"/>
                <w:color w:val="auto"/>
                <w:kern w:val="2"/>
                <w:sz w:val="21"/>
                <w:szCs w:val="21"/>
                <w:highlight w:val="none"/>
                <w:vertAlign w:val="baseline"/>
                <w:lang w:val="en-US" w:eastAsia="zh-CN" w:bidi="ar"/>
              </w:rPr>
              <w:t>PDF</w:t>
            </w:r>
            <w:r>
              <w:rPr>
                <w:rFonts w:hint="eastAsia" w:ascii="宋体" w:hAnsi="宋体" w:eastAsia="宋体" w:cs="宋体"/>
                <w:b w:val="0"/>
                <w:bCs w:val="0"/>
                <w:caps w:val="0"/>
                <w:color w:val="auto"/>
                <w:kern w:val="2"/>
                <w:sz w:val="21"/>
                <w:szCs w:val="21"/>
                <w:highlight w:val="none"/>
                <w:vertAlign w:val="baseline"/>
                <w:lang w:val="en-US" w:eastAsia="zh-CN" w:bidi="ar"/>
              </w:rPr>
              <w:t>版本扫描件和word文件），提交电子文件中要求的内容应包括纸质投标文件的全部内容。（未中标单位无需提供）</w:t>
            </w:r>
          </w:p>
          <w:p w14:paraId="21DF39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default" w:ascii="宋体" w:hAnsi="宋体" w:eastAsia="宋体" w:cs="宋体"/>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、其他要求：</w:t>
            </w:r>
          </w:p>
          <w:p w14:paraId="680146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）评标过程中以电子投标文件为主，以电子投标文件为准。</w:t>
            </w:r>
          </w:p>
          <w:p w14:paraId="668275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2</w:t>
            </w:r>
            <w:r>
              <w:rPr>
                <w:rFonts w:hint="eastAsia" w:ascii="宋体" w:hAnsi="宋体" w:eastAsia="宋体" w:cs="宋体"/>
                <w:b w:val="0"/>
                <w:bCs w:val="0"/>
                <w:caps w:val="0"/>
                <w:color w:val="auto"/>
                <w:kern w:val="2"/>
                <w:sz w:val="21"/>
                <w:szCs w:val="21"/>
                <w:highlight w:val="none"/>
                <w:vertAlign w:val="baseline"/>
                <w:lang w:val="en-US" w:eastAsia="zh-CN" w:bidi="ar"/>
              </w:rPr>
              <w:t>）投标单位在“政采云”平台（</w:t>
            </w:r>
            <w:r>
              <w:rPr>
                <w:rFonts w:hint="default" w:ascii="宋体" w:hAnsi="宋体" w:eastAsia="宋体" w:cs="宋体"/>
                <w:b w:val="0"/>
                <w:bCs w:val="0"/>
                <w:caps w:val="0"/>
                <w:color w:val="auto"/>
                <w:kern w:val="2"/>
                <w:sz w:val="21"/>
                <w:szCs w:val="21"/>
                <w:highlight w:val="none"/>
                <w:vertAlign w:val="baseline"/>
                <w:lang w:val="en-US" w:eastAsia="zh-CN" w:bidi="ar"/>
              </w:rPr>
              <w:t>http</w:t>
            </w: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//www.zcygov.cn</w:t>
            </w:r>
            <w:r>
              <w:rPr>
                <w:rFonts w:hint="eastAsia" w:ascii="宋体" w:hAnsi="宋体" w:eastAsia="宋体" w:cs="宋体"/>
                <w:b w:val="0"/>
                <w:bCs w:val="0"/>
                <w:caps w:val="0"/>
                <w:color w:val="auto"/>
                <w:kern w:val="2"/>
                <w:sz w:val="21"/>
                <w:szCs w:val="21"/>
                <w:highlight w:val="none"/>
                <w:vertAlign w:val="baseline"/>
                <w:lang w:val="en-US" w:eastAsia="zh-CN" w:bidi="ar"/>
              </w:rPr>
              <w:t>）上制作投标文件</w:t>
            </w:r>
            <w:r>
              <w:rPr>
                <w:rFonts w:hint="default" w:ascii="宋体" w:hAnsi="宋体" w:eastAsia="宋体" w:cs="宋体"/>
                <w:b w:val="0"/>
                <w:bCs w:val="0"/>
                <w:caps w:val="0"/>
                <w:color w:val="auto"/>
                <w:kern w:val="2"/>
                <w:sz w:val="21"/>
                <w:szCs w:val="21"/>
                <w:highlight w:val="none"/>
                <w:vertAlign w:val="baseline"/>
                <w:lang w:val="en-US" w:eastAsia="zh-CN" w:bidi="ar"/>
              </w:rPr>
              <w:t>1</w:t>
            </w:r>
            <w:r>
              <w:rPr>
                <w:rFonts w:hint="eastAsia" w:ascii="宋体" w:hAnsi="宋体" w:eastAsia="宋体" w:cs="宋体"/>
                <w:b w:val="0"/>
                <w:bCs w:val="0"/>
                <w:caps w:val="0"/>
                <w:color w:val="auto"/>
                <w:kern w:val="2"/>
                <w:sz w:val="21"/>
                <w:szCs w:val="21"/>
                <w:highlight w:val="none"/>
                <w:vertAlign w:val="baseline"/>
                <w:lang w:val="en-US" w:eastAsia="zh-CN" w:bidi="ar"/>
              </w:rPr>
              <w:t>份（此投标文件须上传至“政采云”平台）。</w:t>
            </w:r>
          </w:p>
          <w:p w14:paraId="5226B0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367" w:firstLineChars="175"/>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b w:val="0"/>
                <w:bCs w:val="0"/>
                <w:caps w:val="0"/>
                <w:color w:val="auto"/>
                <w:kern w:val="2"/>
                <w:sz w:val="21"/>
                <w:szCs w:val="21"/>
                <w:highlight w:val="none"/>
                <w:vertAlign w:val="baseline"/>
                <w:lang w:val="en-US" w:eastAsia="zh-CN" w:bidi="ar"/>
              </w:rPr>
              <w:t>（</w:t>
            </w:r>
            <w:r>
              <w:rPr>
                <w:rFonts w:hint="default" w:ascii="宋体" w:hAnsi="宋体" w:eastAsia="宋体" w:cs="宋体"/>
                <w:b w:val="0"/>
                <w:bCs w:val="0"/>
                <w:caps w:val="0"/>
                <w:color w:val="auto"/>
                <w:kern w:val="2"/>
                <w:sz w:val="21"/>
                <w:szCs w:val="21"/>
                <w:highlight w:val="none"/>
                <w:vertAlign w:val="baseline"/>
                <w:lang w:val="en-US" w:eastAsia="zh-CN" w:bidi="ar"/>
              </w:rPr>
              <w:t>3</w:t>
            </w:r>
            <w:r>
              <w:rPr>
                <w:rFonts w:hint="eastAsia" w:ascii="宋体" w:hAnsi="宋体" w:eastAsia="宋体" w:cs="宋体"/>
                <w:b w:val="0"/>
                <w:bCs w:val="0"/>
                <w:caps w:val="0"/>
                <w:color w:val="auto"/>
                <w:kern w:val="2"/>
                <w:sz w:val="21"/>
                <w:szCs w:val="21"/>
                <w:highlight w:val="none"/>
                <w:vertAlign w:val="baseline"/>
                <w:lang w:val="en-US" w:eastAsia="zh-CN" w:bidi="ar"/>
              </w:rPr>
              <w:t>）投标单位在制作投标文件时，电子投标文件以“政采云”平台的投标文件格式为准。</w:t>
            </w:r>
          </w:p>
        </w:tc>
      </w:tr>
      <w:tr w14:paraId="571FBE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54"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BCC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046A4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投标文件提交地点及截止时间</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13AC42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同招标公告</w:t>
            </w:r>
          </w:p>
        </w:tc>
      </w:tr>
      <w:tr w14:paraId="1B6AFE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7D9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327E7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开标</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E8B8D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同招标公告</w:t>
            </w:r>
          </w:p>
        </w:tc>
      </w:tr>
      <w:tr w14:paraId="4A8E8D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6"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D39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23</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92A38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评标方法及标准</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A82F4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综合评分法</w:t>
            </w:r>
          </w:p>
        </w:tc>
      </w:tr>
      <w:tr w14:paraId="009D85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6"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C8B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7713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资格审查方式</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1F8DB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资格后审</w:t>
            </w:r>
          </w:p>
        </w:tc>
      </w:tr>
      <w:tr w14:paraId="38B4E7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E69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591D53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评标委员会的组建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2D5B2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评标委员会构成：</w:t>
            </w:r>
            <w:r>
              <w:rPr>
                <w:rFonts w:hint="eastAsia"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人，评标委员会专家确定方式：从政府采购评审专家库中随机抽取产生。</w:t>
            </w:r>
          </w:p>
        </w:tc>
      </w:tr>
      <w:tr w14:paraId="6A2281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0"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E0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26</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0093B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是否授权评标委员会确定中标人</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A02F7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cs="宋体"/>
                <w:bCs/>
                <w:color w:val="000000"/>
                <w:szCs w:val="24"/>
                <w:highlight w:val="none"/>
                <w:lang w:val="en-US" w:eastAsia="zh-CN"/>
              </w:rPr>
              <w:t>是</w:t>
            </w:r>
            <w:r>
              <w:rPr>
                <w:rFonts w:hint="eastAsia" w:ascii="宋体" w:hAnsi="宋体" w:cs="宋体"/>
                <w:bCs/>
                <w:color w:val="000000"/>
                <w:szCs w:val="24"/>
                <w:highlight w:val="none"/>
              </w:rPr>
              <w:t>。</w:t>
            </w:r>
          </w:p>
        </w:tc>
      </w:tr>
      <w:tr w14:paraId="0A890F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26C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27</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288FDE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履约担保</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FD2C2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本项目不收取履约保证金</w:t>
            </w:r>
          </w:p>
        </w:tc>
      </w:tr>
      <w:tr w14:paraId="37A58C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ED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28</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F26ED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付款方式</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E0572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宋体" w:hAnsi="宋体"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caps w:val="0"/>
                <w:color w:val="auto"/>
                <w:kern w:val="2"/>
                <w:sz w:val="21"/>
                <w:szCs w:val="21"/>
                <w:highlight w:val="none"/>
                <w:vertAlign w:val="baseline"/>
                <w:lang w:val="en-US" w:eastAsia="zh-CN" w:bidi="ar"/>
              </w:rPr>
              <w:t>已签订合同为准</w:t>
            </w:r>
          </w:p>
        </w:tc>
      </w:tr>
      <w:tr w14:paraId="5787E0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602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31</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CD511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签订合同</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39D2D3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中标人应在中标结果确定后</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30 </w:t>
            </w:r>
            <w:r>
              <w:rPr>
                <w:rFonts w:hint="eastAsia" w:ascii="宋体" w:hAnsi="宋体" w:eastAsia="宋体" w:cs="Times New Roman"/>
                <w:b w:val="0"/>
                <w:bCs w:val="0"/>
                <w:caps w:val="0"/>
                <w:color w:val="auto"/>
                <w:kern w:val="2"/>
                <w:sz w:val="21"/>
                <w:szCs w:val="21"/>
                <w:highlight w:val="none"/>
                <w:vertAlign w:val="baseline"/>
                <w:lang w:val="en-US" w:eastAsia="zh-CN" w:bidi="ar"/>
              </w:rPr>
              <w:t>天内签订采购合同。</w:t>
            </w:r>
          </w:p>
        </w:tc>
      </w:tr>
      <w:tr w14:paraId="694507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CAE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32</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478713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合同存档</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4C18F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中标单位与采购人签订合同后</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5 </w:t>
            </w:r>
            <w:r>
              <w:rPr>
                <w:rFonts w:hint="eastAsia" w:ascii="宋体" w:hAnsi="宋体" w:eastAsia="宋体" w:cs="Times New Roman"/>
                <w:b w:val="0"/>
                <w:bCs w:val="0"/>
                <w:caps w:val="0"/>
                <w:color w:val="auto"/>
                <w:kern w:val="2"/>
                <w:sz w:val="21"/>
                <w:szCs w:val="21"/>
                <w:highlight w:val="none"/>
                <w:vertAlign w:val="baseline"/>
                <w:lang w:val="en-US" w:eastAsia="zh-CN" w:bidi="ar"/>
              </w:rPr>
              <w:t>个工作日内将采购合同复印件送至采购代理机构存档。</w:t>
            </w:r>
          </w:p>
        </w:tc>
      </w:tr>
      <w:tr w14:paraId="1F4917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770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33</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30A985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招标代理服务费</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773A7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依据国家发展改革委发改价格</w:t>
            </w:r>
            <w:r>
              <w:rPr>
                <w:rFonts w:hint="default" w:ascii="Calibri" w:hAnsi="Calibri" w:eastAsia="宋体" w:cs="Times New Roman"/>
                <w:b w:val="0"/>
                <w:bCs w:val="0"/>
                <w:caps w:val="0"/>
                <w:color w:val="auto"/>
                <w:kern w:val="2"/>
                <w:sz w:val="21"/>
                <w:szCs w:val="21"/>
                <w:highlight w:val="none"/>
                <w:vertAlign w:val="baseline"/>
                <w:lang w:val="en-US" w:eastAsia="zh-CN" w:bidi="ar"/>
              </w:rPr>
              <w:t>[2015]299</w:t>
            </w:r>
            <w:r>
              <w:rPr>
                <w:rFonts w:hint="eastAsia" w:ascii="宋体" w:hAnsi="宋体" w:eastAsia="宋体" w:cs="Times New Roman"/>
                <w:b w:val="0"/>
                <w:bCs w:val="0"/>
                <w:caps w:val="0"/>
                <w:color w:val="auto"/>
                <w:kern w:val="2"/>
                <w:sz w:val="21"/>
                <w:szCs w:val="21"/>
                <w:highlight w:val="none"/>
                <w:vertAlign w:val="baseline"/>
                <w:lang w:val="en-US" w:eastAsia="zh-CN" w:bidi="ar"/>
              </w:rPr>
              <w:t>号文件收取，本项目代理费由中标人支付。</w:t>
            </w:r>
            <w:r>
              <w:rPr>
                <w:rFonts w:hint="eastAsia" w:ascii="宋体" w:hAnsi="宋体" w:eastAsia="宋体" w:cs="宋体"/>
                <w:color w:val="auto"/>
                <w:sz w:val="21"/>
                <w:szCs w:val="21"/>
                <w:highlight w:val="none"/>
                <w:lang w:val="en-US" w:eastAsia="zh-CN"/>
              </w:rPr>
              <w:t xml:space="preserve"> </w:t>
            </w:r>
          </w:p>
        </w:tc>
      </w:tr>
      <w:tr w14:paraId="469A2D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9C8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34</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6A115F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投标人信用信息查询</w:t>
            </w:r>
          </w:p>
          <w:p w14:paraId="2ED31A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BDAF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查询渠道：</w:t>
            </w:r>
          </w:p>
          <w:p w14:paraId="00A692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）拒绝列入政府取消投标资格记录期间的企业或个人投标。（</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）未被工商行政管理机关在全国企业信用信息公示系统（</w:t>
            </w:r>
            <w:r>
              <w:rPr>
                <w:rFonts w:hint="default" w:ascii="Calibri" w:hAnsi="Calibri" w:eastAsia="宋体" w:cs="Times New Roman"/>
                <w:b w:val="0"/>
                <w:bCs w:val="0"/>
                <w:caps w:val="0"/>
                <w:color w:val="auto"/>
                <w:kern w:val="2"/>
                <w:sz w:val="21"/>
                <w:szCs w:val="21"/>
                <w:highlight w:val="none"/>
                <w:vertAlign w:val="baseline"/>
                <w:lang w:val="en-US" w:eastAsia="zh-CN" w:bidi="ar"/>
              </w:rPr>
              <w:t>www.gsxt.gov.cn</w:t>
            </w:r>
            <w:r>
              <w:rPr>
                <w:rFonts w:hint="eastAsia" w:ascii="宋体" w:hAnsi="宋体" w:eastAsia="宋体" w:cs="Times New Roman"/>
                <w:b w:val="0"/>
                <w:bCs w:val="0"/>
                <w:caps w:val="0"/>
                <w:color w:val="auto"/>
                <w:kern w:val="2"/>
                <w:sz w:val="21"/>
                <w:szCs w:val="21"/>
                <w:highlight w:val="none"/>
                <w:vertAlign w:val="baseline"/>
                <w:lang w:val="en-US" w:eastAsia="zh-CN" w:bidi="ar"/>
              </w:rPr>
              <w:t>）中列入严重违法失信企业名单。（</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）未被最高人民法院在“信用中国”网站（</w:t>
            </w:r>
            <w:r>
              <w:rPr>
                <w:rFonts w:hint="default" w:ascii="Calibri" w:hAnsi="Calibri" w:eastAsia="宋体" w:cs="Times New Roman"/>
                <w:b w:val="0"/>
                <w:bCs w:val="0"/>
                <w:caps w:val="0"/>
                <w:color w:val="auto"/>
                <w:kern w:val="2"/>
                <w:sz w:val="21"/>
                <w:szCs w:val="21"/>
                <w:highlight w:val="none"/>
                <w:vertAlign w:val="baseline"/>
                <w:lang w:val="en-US" w:eastAsia="zh-CN" w:bidi="ar"/>
              </w:rPr>
              <w:t>https://www.creditchina.gov.cn/</w:t>
            </w:r>
            <w:r>
              <w:rPr>
                <w:rFonts w:hint="eastAsia" w:ascii="宋体" w:hAnsi="宋体" w:eastAsia="宋体" w:cs="Times New Roman"/>
                <w:b w:val="0"/>
                <w:bCs w:val="0"/>
                <w:caps w:val="0"/>
                <w:color w:val="auto"/>
                <w:kern w:val="2"/>
                <w:sz w:val="21"/>
                <w:szCs w:val="21"/>
                <w:highlight w:val="none"/>
                <w:vertAlign w:val="baseline"/>
                <w:lang w:val="en-US" w:eastAsia="zh-CN" w:bidi="ar"/>
              </w:rPr>
              <w:t>）或各级信用信息共享平台中列入失信被执行人名单。（</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）在近三年（</w:t>
            </w:r>
            <w:r>
              <w:rPr>
                <w:rFonts w:hint="default" w:ascii="Calibri" w:hAnsi="Calibri" w:eastAsia="宋体" w:cs="Times New Roman"/>
                <w:b w:val="0"/>
                <w:bCs w:val="0"/>
                <w:caps w:val="0"/>
                <w:color w:val="auto"/>
                <w:kern w:val="2"/>
                <w:sz w:val="21"/>
                <w:szCs w:val="21"/>
                <w:highlight w:val="none"/>
                <w:vertAlign w:val="baseline"/>
                <w:lang w:val="en-US" w:eastAsia="zh-CN" w:bidi="ar"/>
              </w:rPr>
              <w:t>20</w:t>
            </w:r>
            <w:r>
              <w:rPr>
                <w:rFonts w:hint="eastAsia" w:ascii="Calibri" w:hAnsi="Calibri" w:eastAsia="宋体" w:cs="Times New Roman"/>
                <w:b w:val="0"/>
                <w:bCs w:val="0"/>
                <w:caps w:val="0"/>
                <w:color w:val="auto"/>
                <w:kern w:val="2"/>
                <w:sz w:val="21"/>
                <w:szCs w:val="21"/>
                <w:highlight w:val="none"/>
                <w:vertAlign w:val="baseline"/>
                <w:lang w:val="en-US" w:eastAsia="zh-CN" w:bidi="ar"/>
              </w:rPr>
              <w:t>21</w:t>
            </w:r>
            <w:r>
              <w:rPr>
                <w:rFonts w:hint="eastAsia" w:ascii="宋体" w:hAnsi="宋体" w:eastAsia="宋体" w:cs="Times New Roman"/>
                <w:b w:val="0"/>
                <w:bCs w:val="0"/>
                <w:caps w:val="0"/>
                <w:color w:val="auto"/>
                <w:kern w:val="2"/>
                <w:sz w:val="21"/>
                <w:szCs w:val="21"/>
                <w:highlight w:val="none"/>
                <w:vertAlign w:val="baseline"/>
                <w:lang w:val="en-US" w:eastAsia="zh-CN" w:bidi="ar"/>
              </w:rPr>
              <w:t>年</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月</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日至今）内投标人和法定代表人未在“中国裁判文书网”（</w:t>
            </w:r>
            <w:r>
              <w:rPr>
                <w:rFonts w:hint="default" w:ascii="Calibri" w:hAnsi="Calibri" w:eastAsia="宋体" w:cs="Times New Roman"/>
                <w:b w:val="0"/>
                <w:bCs w:val="0"/>
                <w:caps w:val="0"/>
                <w:color w:val="auto"/>
                <w:kern w:val="2"/>
                <w:sz w:val="21"/>
                <w:szCs w:val="21"/>
                <w:highlight w:val="none"/>
                <w:vertAlign w:val="baseline"/>
                <w:lang w:val="en-US" w:eastAsia="zh-CN" w:bidi="ar"/>
              </w:rPr>
              <w:t>http://wenshu.court.gov.cn/</w:t>
            </w:r>
            <w:r>
              <w:rPr>
                <w:rFonts w:hint="eastAsia" w:ascii="宋体" w:hAnsi="宋体" w:eastAsia="宋体" w:cs="Times New Roman"/>
                <w:b w:val="0"/>
                <w:bCs w:val="0"/>
                <w:caps w:val="0"/>
                <w:color w:val="auto"/>
                <w:kern w:val="2"/>
                <w:sz w:val="21"/>
                <w:szCs w:val="21"/>
                <w:highlight w:val="none"/>
                <w:vertAlign w:val="baseline"/>
                <w:lang w:val="en-US" w:eastAsia="zh-CN" w:bidi="ar"/>
              </w:rPr>
              <w:t>）上有行贿犯罪行为。</w:t>
            </w:r>
          </w:p>
          <w:p w14:paraId="5B13EE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查询截止时点：同投标截止时间</w:t>
            </w:r>
          </w:p>
          <w:p w14:paraId="38EE93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信用信息查询记录和证据留存的具体方式：</w:t>
            </w:r>
          </w:p>
          <w:p w14:paraId="218B31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采购人或采购代理机构将按查询截止时点对所有投标人的信用信息进行查询，网站查询记录作为招投标存档备案材料的组成部分进行留存。</w:t>
            </w:r>
          </w:p>
          <w:p w14:paraId="6962C1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信用信息的使用规则：</w:t>
            </w:r>
          </w:p>
          <w:p w14:paraId="42266B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采购人或采购代理机构按查询截止时点对所有投标人的信用信息进行查询，查询记录将作为评委评标的依据，对列入失信被执行人、重大税收违法案件当事人名单、政府采购严重违法失信行为记录名单的投标人，投标文件作无效处理。</w:t>
            </w:r>
          </w:p>
        </w:tc>
      </w:tr>
      <w:tr w14:paraId="42E1A0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B6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35</w:t>
            </w:r>
          </w:p>
        </w:tc>
        <w:tc>
          <w:tcPr>
            <w:tcW w:w="1767" w:type="dxa"/>
            <w:tcBorders>
              <w:top w:val="single" w:color="auto" w:sz="4" w:space="0"/>
              <w:left w:val="nil"/>
              <w:bottom w:val="single" w:color="auto" w:sz="4" w:space="0"/>
              <w:right w:val="single" w:color="auto" w:sz="4" w:space="0"/>
            </w:tcBorders>
            <w:shd w:val="clear" w:color="auto" w:fill="auto"/>
            <w:noWrap/>
            <w:vAlign w:val="center"/>
          </w:tcPr>
          <w:p w14:paraId="7A6CB8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bidi="ar"/>
              </w:rPr>
            </w:pPr>
            <w:r>
              <w:rPr>
                <w:rFonts w:hint="eastAsia" w:ascii="宋体" w:hAnsi="宋体" w:eastAsia="宋体" w:cs="宋体"/>
                <w:bCs/>
                <w:color w:val="000000" w:themeColor="text1"/>
                <w:szCs w:val="21"/>
                <w:highlight w:val="none"/>
                <w:lang w:val="zh-CN"/>
                <w14:textFill>
                  <w14:solidFill>
                    <w14:schemeClr w14:val="tx1"/>
                  </w14:solidFill>
                </w14:textFill>
              </w:rPr>
              <w:t>需要补充的其他内容</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3F1A23F">
            <w:pPr>
              <w:autoSpaceDE w:val="0"/>
              <w:autoSpaceDN w:val="0"/>
              <w:adjustRightInd w:val="0"/>
              <w:spacing w:line="36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4C8400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color w:val="000000" w:themeColor="text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5B36A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vMerge w:val="restart"/>
            <w:tcBorders>
              <w:top w:val="nil"/>
              <w:left w:val="single" w:color="auto" w:sz="4" w:space="0"/>
              <w:bottom w:val="single" w:color="auto" w:sz="4" w:space="0"/>
              <w:right w:val="single" w:color="auto" w:sz="4" w:space="0"/>
            </w:tcBorders>
            <w:shd w:val="clear" w:color="auto" w:fill="auto"/>
            <w:noWrap/>
            <w:vAlign w:val="center"/>
          </w:tcPr>
          <w:p w14:paraId="6C2B23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36</w:t>
            </w:r>
          </w:p>
        </w:tc>
        <w:tc>
          <w:tcPr>
            <w:tcW w:w="1767" w:type="dxa"/>
            <w:vMerge w:val="restart"/>
            <w:tcBorders>
              <w:top w:val="nil"/>
              <w:left w:val="nil"/>
              <w:bottom w:val="single" w:color="auto" w:sz="4" w:space="0"/>
              <w:right w:val="single" w:color="auto" w:sz="4" w:space="0"/>
            </w:tcBorders>
            <w:shd w:val="clear" w:color="auto" w:fill="auto"/>
            <w:noWrap/>
            <w:vAlign w:val="center"/>
          </w:tcPr>
          <w:p w14:paraId="2FB575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其他要求</w:t>
            </w: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593243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投标人必须保证投标时所报资料真实有效，采购人保留对资料的核查权力，一旦发现资料有虚假现象将没收投标人投标保证金，并移交有关部门处理。</w:t>
            </w:r>
          </w:p>
        </w:tc>
      </w:tr>
      <w:tr w14:paraId="08DC59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jc w:val="center"/>
        </w:trPr>
        <w:tc>
          <w:tcPr>
            <w:tcW w:w="571" w:type="dxa"/>
            <w:vMerge w:val="continue"/>
            <w:tcBorders>
              <w:top w:val="nil"/>
              <w:left w:val="single" w:color="auto" w:sz="4" w:space="0"/>
              <w:bottom w:val="single" w:color="auto" w:sz="4" w:space="0"/>
              <w:right w:val="single" w:color="auto" w:sz="4" w:space="0"/>
            </w:tcBorders>
            <w:shd w:val="clear" w:color="auto" w:fill="auto"/>
            <w:noWrap/>
            <w:vAlign w:val="center"/>
          </w:tcPr>
          <w:p w14:paraId="20CE6835">
            <w:pPr>
              <w:spacing w:line="360" w:lineRule="auto"/>
              <w:rPr>
                <w:rFonts w:hint="eastAsia" w:ascii="宋体"/>
                <w:sz w:val="24"/>
                <w:szCs w:val="24"/>
                <w:highlight w:val="none"/>
              </w:rPr>
            </w:pPr>
          </w:p>
        </w:tc>
        <w:tc>
          <w:tcPr>
            <w:tcW w:w="1767" w:type="dxa"/>
            <w:vMerge w:val="continue"/>
            <w:tcBorders>
              <w:top w:val="nil"/>
              <w:left w:val="nil"/>
              <w:bottom w:val="single" w:color="auto" w:sz="4" w:space="0"/>
              <w:right w:val="single" w:color="auto" w:sz="4" w:space="0"/>
            </w:tcBorders>
            <w:shd w:val="clear" w:color="auto" w:fill="auto"/>
            <w:noWrap/>
            <w:vAlign w:val="center"/>
          </w:tcPr>
          <w:p w14:paraId="77759D02">
            <w:pPr>
              <w:spacing w:line="360" w:lineRule="auto"/>
              <w:rPr>
                <w:rFonts w:hint="eastAsia" w:ascii="宋体"/>
                <w:sz w:val="24"/>
                <w:szCs w:val="24"/>
                <w:highlight w:val="none"/>
              </w:rPr>
            </w:pP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62AD8F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按照财政部、发展改革委最新发布执行的《节能产品政府采购清单》的规定，《货物需求及技术规格要求》中凡包含强制采购产品的，投标人必须提供列入《节能产品政府采购清单》的产品，否则投标无效。</w:t>
            </w:r>
          </w:p>
        </w:tc>
      </w:tr>
      <w:tr w14:paraId="41A110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54" w:hRule="atLeast"/>
          <w:jc w:val="center"/>
        </w:trPr>
        <w:tc>
          <w:tcPr>
            <w:tcW w:w="571" w:type="dxa"/>
            <w:vMerge w:val="continue"/>
            <w:tcBorders>
              <w:top w:val="nil"/>
              <w:left w:val="single" w:color="auto" w:sz="4" w:space="0"/>
              <w:bottom w:val="single" w:color="auto" w:sz="4" w:space="0"/>
              <w:right w:val="single" w:color="auto" w:sz="4" w:space="0"/>
            </w:tcBorders>
            <w:shd w:val="clear" w:color="auto" w:fill="auto"/>
            <w:noWrap/>
            <w:vAlign w:val="center"/>
          </w:tcPr>
          <w:p w14:paraId="1C6A2571">
            <w:pPr>
              <w:spacing w:line="360" w:lineRule="auto"/>
              <w:rPr>
                <w:rFonts w:hint="eastAsia" w:ascii="宋体"/>
                <w:sz w:val="24"/>
                <w:szCs w:val="24"/>
                <w:highlight w:val="none"/>
              </w:rPr>
            </w:pPr>
          </w:p>
        </w:tc>
        <w:tc>
          <w:tcPr>
            <w:tcW w:w="1767" w:type="dxa"/>
            <w:vMerge w:val="continue"/>
            <w:tcBorders>
              <w:top w:val="nil"/>
              <w:left w:val="nil"/>
              <w:bottom w:val="single" w:color="auto" w:sz="4" w:space="0"/>
              <w:right w:val="single" w:color="auto" w:sz="4" w:space="0"/>
            </w:tcBorders>
            <w:shd w:val="clear" w:color="auto" w:fill="auto"/>
            <w:noWrap/>
            <w:vAlign w:val="center"/>
          </w:tcPr>
          <w:p w14:paraId="14E06F4B">
            <w:pPr>
              <w:spacing w:line="360" w:lineRule="auto"/>
              <w:rPr>
                <w:rFonts w:hint="eastAsia" w:ascii="宋体"/>
                <w:sz w:val="24"/>
                <w:szCs w:val="24"/>
                <w:highlight w:val="none"/>
              </w:rPr>
            </w:pPr>
          </w:p>
        </w:tc>
        <w:tc>
          <w:tcPr>
            <w:tcW w:w="6740" w:type="dxa"/>
            <w:tcBorders>
              <w:top w:val="single" w:color="auto" w:sz="4" w:space="0"/>
              <w:left w:val="nil"/>
              <w:bottom w:val="single" w:color="auto" w:sz="4" w:space="0"/>
              <w:right w:val="single" w:color="auto" w:sz="4" w:space="0"/>
            </w:tcBorders>
            <w:shd w:val="clear" w:color="auto" w:fill="auto"/>
            <w:noWrap/>
            <w:vAlign w:val="center"/>
          </w:tcPr>
          <w:p w14:paraId="26EFD3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只接受以书面形式向采购人、采购代理机构提出质疑，不接受以其他形式提出的质疑。</w:t>
            </w:r>
          </w:p>
        </w:tc>
      </w:tr>
      <w:tr w14:paraId="206FFA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3" w:hRule="atLeast"/>
          <w:jc w:val="center"/>
        </w:trPr>
        <w:tc>
          <w:tcPr>
            <w:tcW w:w="90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D883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注意事项：本项目招标公告与招标文件中内容有不符之处，以本招标文件中内容为准。</w:t>
            </w:r>
          </w:p>
          <w:p w14:paraId="7128FF6A">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1</w:t>
            </w:r>
            <w:r>
              <w:rPr>
                <w:rFonts w:hint="eastAsia" w:ascii="宋体" w:hAnsi="宋体" w:eastAsia="宋体" w:cs="Times New Roman"/>
                <w:caps w:val="0"/>
                <w:color w:val="auto"/>
                <w:kern w:val="2"/>
                <w:sz w:val="21"/>
                <w:szCs w:val="21"/>
                <w:highlight w:val="none"/>
                <w:vertAlign w:val="baseline"/>
                <w:lang w:bidi="ar"/>
              </w:rPr>
              <w:t xml:space="preserve">、在评审过程中，投标人报价过低，有可能影响产品质量或者不能诚信履约的，评标委员会应当要求其在评审现场合理的时间内提供书面说明，并提交相关证明材料，投标人不能证明其报价合理性的，评标委员会应当将其作为无效处理。 </w:t>
            </w:r>
          </w:p>
          <w:p w14:paraId="13BBA1F9">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投标人的书面说明材料应当按照国家财务会计制度的规定要求，逐项就投标人提供的货物、工程和服务的主营业务成本、税金及附加、销售费用、管理费用、财务费用等成本构成事项详细陈述。</w:t>
            </w:r>
            <w:r>
              <w:rPr>
                <w:rFonts w:hint="default" w:ascii="Calibri" w:hAnsi="Calibri" w:eastAsia="宋体" w:cs="Times New Roman"/>
                <w:caps w:val="0"/>
                <w:color w:val="auto"/>
                <w:kern w:val="2"/>
                <w:sz w:val="21"/>
                <w:szCs w:val="21"/>
                <w:highlight w:val="none"/>
                <w:vertAlign w:val="baseline"/>
                <w:lang w:bidi="ar"/>
              </w:rPr>
              <w:t xml:space="preserve"> </w:t>
            </w:r>
          </w:p>
          <w:p w14:paraId="532944DB">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2</w:t>
            </w:r>
            <w:r>
              <w:rPr>
                <w:rFonts w:hint="eastAsia" w:ascii="宋体" w:hAnsi="宋体" w:eastAsia="宋体" w:cs="Times New Roman"/>
                <w:caps w:val="0"/>
                <w:color w:val="auto"/>
                <w:kern w:val="2"/>
                <w:sz w:val="21"/>
                <w:szCs w:val="21"/>
                <w:highlight w:val="none"/>
                <w:vertAlign w:val="baseline"/>
                <w:lang w:bidi="ar"/>
              </w:rPr>
              <w:t xml:space="preserve">、投标人书面说明应当签字确认或者加盖公章，否则无效。 </w:t>
            </w:r>
          </w:p>
          <w:p w14:paraId="70038A74">
            <w:pPr>
              <w:pStyle w:val="1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书面说明的签字确认，由其法定代表人</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主要负责人</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 xml:space="preserve">本人或者其授权代表签字确认。 </w:t>
            </w:r>
          </w:p>
          <w:p w14:paraId="7D1958DB">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4715F6C9">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电子投标文件编制及报送要求：</w:t>
            </w:r>
          </w:p>
          <w:p w14:paraId="2C1C5C26">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投标人应按招标文件要求编制投标文件，将所有投标文件内容上传至</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政采云</w:t>
            </w:r>
            <w:r>
              <w:rPr>
                <w:rFonts w:hint="default" w:ascii="Calibri" w:hAnsi="Calibri" w:eastAsia="宋体" w:cs="Times New Roman"/>
                <w:caps w:val="0"/>
                <w:color w:val="auto"/>
                <w:kern w:val="2"/>
                <w:sz w:val="21"/>
                <w:szCs w:val="21"/>
                <w:highlight w:val="none"/>
                <w:vertAlign w:val="baseline"/>
                <w:lang w:bidi="ar"/>
              </w:rPr>
              <w:t>”</w:t>
            </w:r>
            <w:r>
              <w:rPr>
                <w:rFonts w:hint="eastAsia" w:ascii="宋体" w:hAnsi="宋体" w:eastAsia="宋体" w:cs="Times New Roman"/>
                <w:caps w:val="0"/>
                <w:color w:val="auto"/>
                <w:kern w:val="2"/>
                <w:sz w:val="21"/>
                <w:szCs w:val="21"/>
                <w:highlight w:val="none"/>
                <w:vertAlign w:val="baseline"/>
                <w:lang w:bidi="ar"/>
              </w:rPr>
              <w:t>平台，并在开标现场持制作投标文件时用来加密的有效数字证书（</w:t>
            </w:r>
            <w:r>
              <w:rPr>
                <w:rFonts w:hint="default" w:ascii="Calibri" w:hAnsi="Calibri" w:eastAsia="宋体" w:cs="Times New Roman"/>
                <w:caps w:val="0"/>
                <w:color w:val="auto"/>
                <w:kern w:val="2"/>
                <w:sz w:val="21"/>
                <w:szCs w:val="21"/>
                <w:highlight w:val="none"/>
                <w:vertAlign w:val="baseline"/>
                <w:lang w:bidi="ar"/>
              </w:rPr>
              <w:t>CA</w:t>
            </w:r>
            <w:r>
              <w:rPr>
                <w:rFonts w:hint="eastAsia" w:ascii="宋体" w:hAnsi="宋体" w:eastAsia="宋体" w:cs="Times New Roman"/>
                <w:caps w:val="0"/>
                <w:color w:val="auto"/>
                <w:kern w:val="2"/>
                <w:sz w:val="21"/>
                <w:szCs w:val="21"/>
                <w:highlight w:val="none"/>
                <w:vertAlign w:val="baseline"/>
                <w:lang w:bidi="ar"/>
              </w:rPr>
              <w:t>认证）对投标文件进行解密。</w:t>
            </w:r>
          </w:p>
          <w:p w14:paraId="07600EE0">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电子投标文件中反应投标人资格审查的图片、扫描件、文字描述等，必须清晰可见。其中所有证书和执照必须为原件扫描。</w:t>
            </w:r>
          </w:p>
          <w:p w14:paraId="112FCDB0">
            <w:pPr>
              <w:pStyle w:val="14"/>
              <w:keepNext w:val="0"/>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1" w:after="0" w:afterAutospacing="0" w:line="24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caps w:val="0"/>
                <w:color w:val="auto"/>
                <w:kern w:val="2"/>
                <w:sz w:val="21"/>
                <w:szCs w:val="21"/>
                <w:highlight w:val="none"/>
                <w:vertAlign w:val="baseline"/>
                <w:lang w:bidi="ar"/>
              </w:rPr>
              <w:t>若投标人上传的电子投标文件因无法解密而对投标文件无法进行评价的，招标人可以拒绝该投标人投标。</w:t>
            </w:r>
          </w:p>
        </w:tc>
      </w:tr>
    </w:tbl>
    <w:p w14:paraId="0E16F3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08ADBE9">
      <w:pPr>
        <w:pStyle w:val="21"/>
        <w:rPr>
          <w:rFonts w:hint="default"/>
          <w:highlight w:val="none"/>
        </w:rPr>
      </w:pPr>
    </w:p>
    <w:p w14:paraId="124AFE03">
      <w:pPr>
        <w:rPr>
          <w:rFonts w:hint="eastAsia" w:ascii="宋体" w:hAnsi="宋体" w:eastAsia="宋体" w:cs="Times New Roman"/>
          <w:b/>
          <w:bCs/>
          <w:caps w:val="0"/>
          <w:color w:val="auto"/>
          <w:kern w:val="2"/>
          <w:sz w:val="28"/>
          <w:szCs w:val="28"/>
          <w:highlight w:val="none"/>
          <w:vertAlign w:val="baseline"/>
          <w:lang w:val="en-US" w:eastAsia="zh-CN" w:bidi="ar"/>
        </w:rPr>
      </w:pPr>
      <w:r>
        <w:rPr>
          <w:rFonts w:hint="eastAsia" w:ascii="宋体" w:hAnsi="宋体" w:eastAsia="宋体" w:cs="Times New Roman"/>
          <w:b/>
          <w:bCs/>
          <w:caps w:val="0"/>
          <w:color w:val="auto"/>
          <w:kern w:val="2"/>
          <w:sz w:val="28"/>
          <w:szCs w:val="28"/>
          <w:highlight w:val="none"/>
          <w:vertAlign w:val="baseline"/>
          <w:lang w:val="en-US" w:eastAsia="zh-CN" w:bidi="ar"/>
        </w:rPr>
        <w:br w:type="page"/>
      </w:r>
    </w:p>
    <w:p w14:paraId="5650B3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bCs/>
          <w:caps w:val="0"/>
          <w:color w:val="auto"/>
          <w:kern w:val="2"/>
          <w:sz w:val="28"/>
          <w:szCs w:val="28"/>
          <w:highlight w:val="none"/>
          <w:vertAlign w:val="baseline"/>
          <w:lang w:bidi="ar"/>
        </w:rPr>
      </w:pPr>
      <w:r>
        <w:rPr>
          <w:rFonts w:hint="eastAsia" w:ascii="宋体" w:hAnsi="宋体" w:eastAsia="宋体" w:cs="Times New Roman"/>
          <w:b/>
          <w:bCs/>
          <w:caps w:val="0"/>
          <w:color w:val="auto"/>
          <w:kern w:val="2"/>
          <w:sz w:val="28"/>
          <w:szCs w:val="28"/>
          <w:highlight w:val="none"/>
          <w:vertAlign w:val="baseline"/>
          <w:lang w:val="en-US" w:eastAsia="zh-CN" w:bidi="ar"/>
        </w:rPr>
        <w:t>二</w:t>
      </w:r>
      <w:r>
        <w:rPr>
          <w:rFonts w:hint="default" w:ascii="Calibri" w:hAnsi="Calibri" w:eastAsia="宋体" w:cs="Times New Roman"/>
          <w:b/>
          <w:bCs/>
          <w:caps w:val="0"/>
          <w:color w:val="auto"/>
          <w:kern w:val="2"/>
          <w:sz w:val="28"/>
          <w:szCs w:val="28"/>
          <w:highlight w:val="none"/>
          <w:vertAlign w:val="baseline"/>
          <w:lang w:val="en-US" w:eastAsia="zh-CN" w:bidi="ar"/>
        </w:rPr>
        <w:t xml:space="preserve"> </w:t>
      </w:r>
      <w:r>
        <w:rPr>
          <w:rFonts w:hint="eastAsia" w:ascii="宋体" w:hAnsi="宋体" w:eastAsia="宋体" w:cs="Times New Roman"/>
          <w:b/>
          <w:bCs/>
          <w:caps w:val="0"/>
          <w:color w:val="auto"/>
          <w:kern w:val="2"/>
          <w:sz w:val="28"/>
          <w:szCs w:val="28"/>
          <w:highlight w:val="none"/>
          <w:vertAlign w:val="baseline"/>
          <w:lang w:val="en-US" w:eastAsia="zh-CN" w:bidi="ar"/>
        </w:rPr>
        <w:t>供应商须知</w:t>
      </w:r>
    </w:p>
    <w:p w14:paraId="57E19EC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789D1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A </w:t>
      </w:r>
      <w:r>
        <w:rPr>
          <w:rFonts w:hint="eastAsia" w:ascii="宋体" w:hAnsi="宋体" w:eastAsia="宋体" w:cs="Times New Roman"/>
          <w:b w:val="0"/>
          <w:bCs w:val="0"/>
          <w:caps w:val="0"/>
          <w:color w:val="auto"/>
          <w:kern w:val="2"/>
          <w:sz w:val="21"/>
          <w:szCs w:val="21"/>
          <w:highlight w:val="none"/>
          <w:vertAlign w:val="baseline"/>
          <w:lang w:val="en-US" w:eastAsia="zh-CN" w:bidi="ar"/>
        </w:rPr>
        <w:t>说明</w:t>
      </w:r>
    </w:p>
    <w:p w14:paraId="5B4302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适用范围</w:t>
      </w:r>
    </w:p>
    <w:p w14:paraId="54F0396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本文件是受采购人委托，对采购人委托采购项目的规范性招标文件，适用于本项目招标公告所述的标的采购及服务，是供应商编制投标文件的依据。</w:t>
      </w:r>
    </w:p>
    <w:p w14:paraId="4CCB05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法律适用</w:t>
      </w:r>
    </w:p>
    <w:p w14:paraId="29E1F8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本招标文件及由本次招标产生的合同适用中华人民共和国法律。</w:t>
      </w:r>
    </w:p>
    <w:p w14:paraId="5D5FD5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定义</w:t>
      </w:r>
    </w:p>
    <w:p w14:paraId="3AB271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“招标机构”系指组织本次招标的代理机构；</w:t>
      </w:r>
    </w:p>
    <w:p w14:paraId="78A844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“供应商”系指向招标机构提交投标文件的投标商；</w:t>
      </w:r>
    </w:p>
    <w:p w14:paraId="777044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“买方”系指采购单位，合同一方当事人；</w:t>
      </w:r>
    </w:p>
    <w:p w14:paraId="35C996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“服务”系指招标文件规定须完成的服务和其他的类似义务；</w:t>
      </w:r>
    </w:p>
    <w:p w14:paraId="7C1902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“日”、“天”系指日历日；</w:t>
      </w:r>
    </w:p>
    <w:p w14:paraId="2B9A48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“合同”是买方与中标人共同以招标文件、投标文件为依据，经过协商签订的具备法律效力的文件。招标文件、投标文件及其共同确定的补充文件是合同的有效组成部分，与合同具备同等的法律效力。</w:t>
      </w:r>
    </w:p>
    <w:p w14:paraId="5D7434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合格的供应商</w:t>
      </w:r>
    </w:p>
    <w:p w14:paraId="2B2F0A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4.1</w:t>
      </w:r>
      <w:r>
        <w:rPr>
          <w:rFonts w:hint="eastAsia" w:ascii="宋体" w:hAnsi="宋体" w:eastAsia="宋体" w:cs="Times New Roman"/>
          <w:b w:val="0"/>
          <w:bCs w:val="0"/>
          <w:caps w:val="0"/>
          <w:color w:val="auto"/>
          <w:kern w:val="2"/>
          <w:sz w:val="21"/>
          <w:szCs w:val="21"/>
          <w:highlight w:val="none"/>
          <w:vertAlign w:val="baseline"/>
          <w:lang w:val="en-US" w:eastAsia="zh-CN" w:bidi="ar"/>
        </w:rPr>
        <w:t>合格供应商必须符合供应商须知前附表第</w:t>
      </w:r>
      <w:r>
        <w:rPr>
          <w:rFonts w:hint="default" w:ascii="Calibri" w:hAnsi="Calibri" w:eastAsia="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项下各项要求，并在投标时提供以下文件，若有遗漏或不符合要求均为资格审查不合格；</w:t>
      </w:r>
    </w:p>
    <w:p w14:paraId="359733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4.2</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547AF8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．投标费用</w:t>
      </w:r>
    </w:p>
    <w:p w14:paraId="0BAB3E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供应商应承担其在投标准备、编制、递交投标文件和签订合同协议书的整个过程中发生的一切费用而不论其投标结果如何。</w:t>
      </w:r>
    </w:p>
    <w:p w14:paraId="6C96B2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B.</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招标文件说明</w:t>
      </w:r>
    </w:p>
    <w:p w14:paraId="7AA644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6.</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w:t>
      </w:r>
    </w:p>
    <w:p w14:paraId="3BD2E4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招标文件用以阐明所需货物及服务、招标投标程序和投标文件格式。招标文件由以下部分组成：</w:t>
      </w:r>
    </w:p>
    <w:p w14:paraId="0E28DF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第一章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招标公告</w:t>
      </w:r>
    </w:p>
    <w:p w14:paraId="01196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第二章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供应商须知</w:t>
      </w:r>
    </w:p>
    <w:p w14:paraId="6153EB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第三章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评标办法</w:t>
      </w:r>
    </w:p>
    <w:p w14:paraId="3468E6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第四章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采购需求</w:t>
      </w:r>
    </w:p>
    <w:p w14:paraId="272114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第五章</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合同条款及格式</w:t>
      </w:r>
    </w:p>
    <w:p w14:paraId="1B75EE90">
      <w:pPr>
        <w:pStyle w:val="22"/>
        <w:ind w:left="0" w:leftChars="0" w:firstLine="0" w:firstLineChars="0"/>
        <w:rPr>
          <w:rFonts w:hint="default"/>
          <w:highlight w:val="none"/>
          <w:lang w:val="en-US"/>
        </w:rPr>
      </w:pPr>
      <w:r>
        <w:rPr>
          <w:rFonts w:hint="eastAsia" w:ascii="宋体" w:hAnsi="宋体" w:eastAsia="宋体" w:cs="Times New Roman"/>
          <w:b w:val="0"/>
          <w:bCs w:val="0"/>
          <w:caps w:val="0"/>
          <w:color w:val="auto"/>
          <w:kern w:val="2"/>
          <w:sz w:val="21"/>
          <w:szCs w:val="21"/>
          <w:highlight w:val="none"/>
          <w:vertAlign w:val="baseline"/>
          <w:lang w:val="en-US" w:eastAsia="zh-CN" w:bidi="ar"/>
        </w:rPr>
        <w:t>第六章 投标文件格式</w:t>
      </w:r>
    </w:p>
    <w:p w14:paraId="539F6E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7.</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招标文件的澄清</w:t>
      </w:r>
    </w:p>
    <w:p w14:paraId="5B7E832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供应商对本次招标文件的内容有疑问时，可要求澄清，但应在距投标截止日</w:t>
      </w:r>
      <w:r>
        <w:rPr>
          <w:rFonts w:hint="default" w:ascii="Calibri" w:hAnsi="Calibri" w:eastAsia="宋体" w:cs="Times New Roman"/>
          <w:b w:val="0"/>
          <w:bCs w:val="0"/>
          <w:caps w:val="0"/>
          <w:color w:val="auto"/>
          <w:kern w:val="2"/>
          <w:sz w:val="21"/>
          <w:szCs w:val="21"/>
          <w:highlight w:val="none"/>
          <w:vertAlign w:val="baseline"/>
          <w:lang w:val="en-US" w:eastAsia="zh-CN" w:bidi="ar"/>
        </w:rPr>
        <w:t>15</w:t>
      </w:r>
      <w:r>
        <w:rPr>
          <w:rFonts w:hint="eastAsia" w:ascii="宋体" w:hAnsi="宋体" w:eastAsia="宋体" w:cs="Times New Roman"/>
          <w:b w:val="0"/>
          <w:bCs w:val="0"/>
          <w:caps w:val="0"/>
          <w:color w:val="auto"/>
          <w:kern w:val="2"/>
          <w:sz w:val="21"/>
          <w:szCs w:val="21"/>
          <w:highlight w:val="none"/>
          <w:vertAlign w:val="baseline"/>
          <w:lang w:val="en-US" w:eastAsia="zh-CN" w:bidi="ar"/>
        </w:rPr>
        <w:t>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1C2BA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招标文件的修改</w:t>
      </w:r>
    </w:p>
    <w:p w14:paraId="1B34FF3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8.1</w:t>
      </w:r>
      <w:r>
        <w:rPr>
          <w:rFonts w:hint="eastAsia" w:ascii="宋体" w:hAnsi="宋体" w:eastAsia="宋体" w:cs="Times New Roman"/>
          <w:b w:val="0"/>
          <w:bCs w:val="0"/>
          <w:caps w:val="0"/>
          <w:color w:val="auto"/>
          <w:kern w:val="2"/>
          <w:sz w:val="21"/>
          <w:szCs w:val="21"/>
          <w:highlight w:val="none"/>
          <w:vertAlign w:val="baseline"/>
          <w:lang w:val="en-US" w:eastAsia="zh-CN" w:bidi="ar"/>
        </w:rPr>
        <w:t>在投标截止时间前，招标机构可根据需要和（或）依据供应商要求澄清的问题而修改招标文件，并以书面形式通知所有购买招标文件的供应商，供应商在收到该通知后应立即以传真的形式予以确认；</w:t>
      </w:r>
    </w:p>
    <w:p w14:paraId="2C663E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8.2 </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招标文件的修改书将构成招标文件的一部分，对供应商具有同样的约束力。</w:t>
      </w:r>
    </w:p>
    <w:p w14:paraId="4329B4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8.3</w:t>
      </w:r>
      <w:r>
        <w:rPr>
          <w:rFonts w:hint="eastAsia" w:ascii="宋体" w:hAnsi="宋体" w:eastAsia="宋体" w:cs="Times New Roman"/>
          <w:b w:val="0"/>
          <w:bCs w:val="0"/>
          <w:caps w:val="0"/>
          <w:color w:val="auto"/>
          <w:kern w:val="2"/>
          <w:sz w:val="21"/>
          <w:szCs w:val="21"/>
          <w:highlight w:val="none"/>
          <w:vertAlign w:val="baseline"/>
          <w:lang w:val="en-US" w:eastAsia="zh-CN" w:bidi="ar"/>
        </w:rPr>
        <w:t>为使供应商有足够的时间按招标文件的修改要求考虑修正投标文件，招标机构可酌情推迟投标的截止时间和开标时间，并以书面形式通知已购买招标文件的每一供应商。</w:t>
      </w:r>
    </w:p>
    <w:p w14:paraId="678D16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C</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投标文件的编写</w:t>
      </w:r>
    </w:p>
    <w:p w14:paraId="12FD5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w:t>
      </w:r>
      <w:r>
        <w:rPr>
          <w:rFonts w:hint="eastAsia" w:ascii="宋体" w:hAnsi="宋体" w:eastAsia="宋体" w:cs="Times New Roman"/>
          <w:b w:val="0"/>
          <w:bCs w:val="0"/>
          <w:caps w:val="0"/>
          <w:color w:val="auto"/>
          <w:kern w:val="2"/>
          <w:sz w:val="21"/>
          <w:szCs w:val="21"/>
          <w:highlight w:val="none"/>
          <w:vertAlign w:val="baseline"/>
          <w:lang w:val="en-US" w:eastAsia="zh-CN" w:bidi="ar"/>
        </w:rPr>
        <w:t>投标语言及计量单位</w:t>
      </w:r>
    </w:p>
    <w:p w14:paraId="60BDA0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投标文件及供应商和招标机构就投标交换的文件和来往信件，以中文书写（专有名词除外）；</w:t>
      </w:r>
    </w:p>
    <w:p w14:paraId="149B4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9.2</w:t>
      </w:r>
      <w:r>
        <w:rPr>
          <w:rFonts w:hint="eastAsia" w:ascii="宋体" w:hAnsi="宋体" w:eastAsia="宋体" w:cs="Times New Roman"/>
          <w:b w:val="0"/>
          <w:bCs w:val="0"/>
          <w:caps w:val="0"/>
          <w:color w:val="auto"/>
          <w:kern w:val="2"/>
          <w:sz w:val="21"/>
          <w:szCs w:val="21"/>
          <w:highlight w:val="none"/>
          <w:vertAlign w:val="baseline"/>
          <w:lang w:val="en-US" w:eastAsia="zh-CN" w:bidi="ar"/>
        </w:rPr>
        <w:t>除在招标文件的“技术要求”中另有规定外， 计量单位应使用中华人民共和国法定计量单位（国际单位制和国家选定的其他计量单位）。</w:t>
      </w:r>
    </w:p>
    <w:p w14:paraId="441862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．投标文件的组成</w:t>
      </w:r>
    </w:p>
    <w:p w14:paraId="1848EA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详见第五章：合同条款及格式。</w:t>
      </w:r>
    </w:p>
    <w:p w14:paraId="57CA48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投标文件内容填写说明</w:t>
      </w:r>
    </w:p>
    <w:p w14:paraId="49B6AA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11.1</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供应商应严格按招标文件要求的内容逐项填写编制投标文件，有规定格式的按规定格式填写，无规定格式的由供应商自拟，并胶装成册。</w:t>
      </w:r>
    </w:p>
    <w:p w14:paraId="7A3D4A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11.2</w:t>
      </w:r>
      <w:r>
        <w:rPr>
          <w:rFonts w:hint="eastAsia" w:ascii="宋体" w:hAnsi="宋体" w:eastAsia="宋体" w:cs="Times New Roman"/>
          <w:b w:val="0"/>
          <w:bCs w:val="0"/>
          <w:caps w:val="0"/>
          <w:color w:val="auto"/>
          <w:kern w:val="2"/>
          <w:sz w:val="21"/>
          <w:szCs w:val="21"/>
          <w:highlight w:val="none"/>
          <w:vertAlign w:val="baseline"/>
          <w:lang w:val="en-US" w:eastAsia="zh-CN" w:bidi="ar"/>
        </w:rPr>
        <w:t>开标一览表为在开标仪式上唱标的内容，要求按格式填写、统一规范，不得自行增减内容。投标文件不得漏项或虚报，否则将可能导致其投标被拒绝。</w:t>
      </w:r>
    </w:p>
    <w:p w14:paraId="4F53D1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11.3 </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供应商应保证其所提供文件的真实性，并应对招标文件的实质性要求作出完全响应，否则其投标可能被拒绝。</w:t>
      </w:r>
    </w:p>
    <w:p w14:paraId="5E73CB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11.4</w:t>
      </w:r>
      <w:r>
        <w:rPr>
          <w:rFonts w:hint="eastAsia" w:ascii="宋体" w:hAnsi="宋体" w:eastAsia="宋体" w:cs="Times New Roman"/>
          <w:b w:val="0"/>
          <w:bCs w:val="0"/>
          <w:caps w:val="0"/>
          <w:color w:val="auto"/>
          <w:kern w:val="2"/>
          <w:sz w:val="21"/>
          <w:szCs w:val="21"/>
          <w:highlight w:val="none"/>
          <w:vertAlign w:val="baseline"/>
          <w:lang w:val="en-US" w:eastAsia="zh-CN" w:bidi="ar"/>
        </w:rPr>
        <w:t>供应商视需要自行编制技术文件的补充附件。规格幅面应与正文一致，附于正文之后，与正文页码统一编目编码装订。</w:t>
      </w:r>
    </w:p>
    <w:p w14:paraId="710195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w:t>
      </w:r>
      <w:r>
        <w:rPr>
          <w:rFonts w:hint="eastAsia" w:ascii="宋体" w:hAnsi="宋体" w:eastAsia="宋体" w:cs="Times New Roman"/>
          <w:b w:val="0"/>
          <w:bCs w:val="0"/>
          <w:caps w:val="0"/>
          <w:color w:val="auto"/>
          <w:kern w:val="2"/>
          <w:sz w:val="21"/>
          <w:szCs w:val="21"/>
          <w:highlight w:val="none"/>
          <w:vertAlign w:val="baseline"/>
          <w:lang w:val="en-US" w:eastAsia="zh-CN" w:bidi="ar"/>
        </w:rPr>
        <w:t>投标报价</w:t>
      </w:r>
    </w:p>
    <w:p w14:paraId="1E405C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12.1 </w:t>
      </w:r>
      <w:r>
        <w:rPr>
          <w:rFonts w:hint="eastAsia" w:ascii="宋体" w:hAnsi="宋体" w:eastAsia="宋体" w:cs="Times New Roman"/>
          <w:b w:val="0"/>
          <w:bCs w:val="0"/>
          <w:caps w:val="0"/>
          <w:color w:val="auto"/>
          <w:kern w:val="2"/>
          <w:sz w:val="21"/>
          <w:szCs w:val="21"/>
          <w:highlight w:val="none"/>
          <w:vertAlign w:val="baseline"/>
          <w:lang w:val="en-US" w:eastAsia="zh-CN" w:bidi="ar"/>
        </w:rPr>
        <w:t>所有投标均以人民币报价；</w:t>
      </w:r>
    </w:p>
    <w:p w14:paraId="20489D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12.2</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供应商应在填写分项报价表时注明各项单价、总价。如果单价与总价有出入，以单价为准。招标机构不接受有任何选择的报价；报价须有法人代表或授权代表签署。</w:t>
      </w:r>
    </w:p>
    <w:p w14:paraId="7C1468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12.3</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供应商应按上述</w:t>
      </w:r>
      <w:r>
        <w:rPr>
          <w:rFonts w:hint="default" w:ascii="Calibri" w:hAnsi="Calibri" w:eastAsia="宋体" w:cs="Times New Roman"/>
          <w:b w:val="0"/>
          <w:bCs w:val="0"/>
          <w:caps w:val="0"/>
          <w:color w:val="auto"/>
          <w:kern w:val="2"/>
          <w:sz w:val="21"/>
          <w:szCs w:val="21"/>
          <w:highlight w:val="none"/>
          <w:vertAlign w:val="baseline"/>
          <w:lang w:val="en-US" w:eastAsia="zh-CN" w:bidi="ar"/>
        </w:rPr>
        <w:t>12.1-12.3</w:t>
      </w:r>
      <w:r>
        <w:rPr>
          <w:rFonts w:hint="eastAsia" w:ascii="宋体" w:hAnsi="宋体" w:eastAsia="宋体" w:cs="Times New Roman"/>
          <w:b w:val="0"/>
          <w:bCs w:val="0"/>
          <w:caps w:val="0"/>
          <w:color w:val="auto"/>
          <w:kern w:val="2"/>
          <w:sz w:val="21"/>
          <w:szCs w:val="21"/>
          <w:highlight w:val="none"/>
          <w:vertAlign w:val="baseline"/>
          <w:lang w:val="en-US" w:eastAsia="zh-CN" w:bidi="ar"/>
        </w:rPr>
        <w:t>条款要求填写投标报价，以供评标委员会比较评价。</w:t>
      </w:r>
    </w:p>
    <w:p w14:paraId="64F6FA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12.4</w:t>
      </w:r>
      <w:r>
        <w:rPr>
          <w:rFonts w:hint="eastAsia" w:ascii="宋体" w:hAnsi="宋体" w:eastAsia="宋体" w:cs="Times New Roman"/>
          <w:b w:val="0"/>
          <w:bCs w:val="0"/>
          <w:caps w:val="0"/>
          <w:color w:val="auto"/>
          <w:kern w:val="2"/>
          <w:sz w:val="21"/>
          <w:szCs w:val="21"/>
          <w:highlight w:val="none"/>
          <w:vertAlign w:val="baseline"/>
          <w:lang w:val="en-US" w:eastAsia="zh-CN" w:bidi="ar"/>
        </w:rPr>
        <w:t>供应商因承包本项目需支付的一切费用，并包含在所报的单价或总额价内。</w:t>
      </w:r>
    </w:p>
    <w:p w14:paraId="1BE5A2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投标保证金（如有）</w:t>
      </w:r>
    </w:p>
    <w:p w14:paraId="4B8EE4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13.1</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投标保证金的形式：现金或现金支票、保兑支票、银行汇票及银行、专业担保公司、保险公司出具的保函等形式，以现金或支票形式提交的投标保证金应当从供应商的基本账户转出。</w:t>
      </w:r>
    </w:p>
    <w:p w14:paraId="29D425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13.2</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投标保证金的金额：见供应商须知前附表第</w:t>
      </w:r>
      <w:r>
        <w:rPr>
          <w:rFonts w:hint="default" w:ascii="Calibri" w:hAnsi="Calibri" w:eastAsia="宋体" w:cs="Times New Roman"/>
          <w:b w:val="0"/>
          <w:bCs w:val="0"/>
          <w:caps w:val="0"/>
          <w:color w:val="auto"/>
          <w:kern w:val="2"/>
          <w:sz w:val="21"/>
          <w:szCs w:val="21"/>
          <w:highlight w:val="none"/>
          <w:vertAlign w:val="baseline"/>
          <w:lang w:val="en-US" w:eastAsia="zh-CN" w:bidi="ar"/>
        </w:rPr>
        <w:t>19</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项； </w:t>
      </w:r>
    </w:p>
    <w:p w14:paraId="6FAAF3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13.3</w:t>
      </w:r>
      <w:r>
        <w:rPr>
          <w:rFonts w:hint="eastAsia" w:ascii="宋体" w:hAnsi="宋体" w:eastAsia="宋体" w:cs="Times New Roman"/>
          <w:b w:val="0"/>
          <w:bCs w:val="0"/>
          <w:caps w:val="0"/>
          <w:color w:val="auto"/>
          <w:kern w:val="2"/>
          <w:sz w:val="21"/>
          <w:szCs w:val="21"/>
          <w:highlight w:val="none"/>
          <w:vertAlign w:val="baseline"/>
          <w:lang w:val="en-US" w:eastAsia="zh-CN" w:bidi="ar"/>
        </w:rPr>
        <w:t>递交方式：见供应商须知前附表第</w:t>
      </w:r>
      <w:r>
        <w:rPr>
          <w:rFonts w:hint="default" w:ascii="Calibri" w:hAnsi="Calibri" w:eastAsia="宋体" w:cs="Times New Roman"/>
          <w:b w:val="0"/>
          <w:bCs w:val="0"/>
          <w:caps w:val="0"/>
          <w:color w:val="auto"/>
          <w:kern w:val="2"/>
          <w:sz w:val="21"/>
          <w:szCs w:val="21"/>
          <w:highlight w:val="none"/>
          <w:vertAlign w:val="baseline"/>
          <w:lang w:val="en-US" w:eastAsia="zh-CN" w:bidi="ar"/>
        </w:rPr>
        <w:t>19</w:t>
      </w:r>
      <w:r>
        <w:rPr>
          <w:rFonts w:hint="eastAsia" w:ascii="宋体" w:hAnsi="宋体" w:eastAsia="宋体" w:cs="Times New Roman"/>
          <w:b w:val="0"/>
          <w:bCs w:val="0"/>
          <w:caps w:val="0"/>
          <w:color w:val="auto"/>
          <w:kern w:val="2"/>
          <w:sz w:val="21"/>
          <w:szCs w:val="21"/>
          <w:highlight w:val="none"/>
          <w:vertAlign w:val="baseline"/>
          <w:lang w:val="en-US" w:eastAsia="zh-CN" w:bidi="ar"/>
        </w:rPr>
        <w:t>项；</w:t>
      </w:r>
    </w:p>
    <w:p w14:paraId="4981A7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13.4</w:t>
      </w:r>
      <w:r>
        <w:rPr>
          <w:rFonts w:hint="eastAsia" w:ascii="宋体" w:hAnsi="宋体" w:eastAsia="宋体" w:cs="Times New Roman"/>
          <w:b w:val="0"/>
          <w:bCs w:val="0"/>
          <w:caps w:val="0"/>
          <w:color w:val="auto"/>
          <w:kern w:val="2"/>
          <w:sz w:val="21"/>
          <w:szCs w:val="21"/>
          <w:highlight w:val="none"/>
          <w:vertAlign w:val="baseline"/>
          <w:lang w:val="en-US" w:eastAsia="zh-CN" w:bidi="ar"/>
        </w:rPr>
        <w:t>投标保证金用于保护本次招标免受因供应商不履行投标承诺及合同等行为而引起的风险；</w:t>
      </w:r>
    </w:p>
    <w:p w14:paraId="5AD66D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13.5</w:t>
      </w:r>
      <w:r>
        <w:rPr>
          <w:rFonts w:hint="eastAsia" w:ascii="宋体" w:hAnsi="宋体" w:eastAsia="宋体" w:cs="Times New Roman"/>
          <w:b w:val="0"/>
          <w:bCs w:val="0"/>
          <w:caps w:val="0"/>
          <w:color w:val="auto"/>
          <w:kern w:val="2"/>
          <w:sz w:val="21"/>
          <w:szCs w:val="21"/>
          <w:highlight w:val="none"/>
          <w:vertAlign w:val="baseline"/>
          <w:lang w:val="en-US" w:eastAsia="zh-CN" w:bidi="ar"/>
        </w:rPr>
        <w:t>未按</w:t>
      </w:r>
      <w:r>
        <w:rPr>
          <w:rFonts w:hint="default" w:ascii="Calibri" w:hAnsi="Calibri" w:eastAsia="宋体" w:cs="Times New Roman"/>
          <w:b w:val="0"/>
          <w:bCs w:val="0"/>
          <w:caps w:val="0"/>
          <w:color w:val="auto"/>
          <w:kern w:val="2"/>
          <w:sz w:val="21"/>
          <w:szCs w:val="21"/>
          <w:highlight w:val="none"/>
          <w:vertAlign w:val="baseline"/>
          <w:lang w:val="en-US" w:eastAsia="zh-CN" w:bidi="ar"/>
        </w:rPr>
        <w:t>13.1</w:t>
      </w:r>
      <w:r>
        <w:rPr>
          <w:rFonts w:hint="eastAsia" w:ascii="宋体" w:hAnsi="宋体" w:eastAsia="宋体" w:cs="Times New Roman"/>
          <w:b w:val="0"/>
          <w:bCs w:val="0"/>
          <w:caps w:val="0"/>
          <w:color w:val="auto"/>
          <w:kern w:val="2"/>
          <w:sz w:val="21"/>
          <w:szCs w:val="21"/>
          <w:highlight w:val="none"/>
          <w:vertAlign w:val="baseline"/>
          <w:lang w:val="en-US" w:eastAsia="zh-CN" w:bidi="ar"/>
        </w:rPr>
        <w:t>和</w:t>
      </w:r>
      <w:r>
        <w:rPr>
          <w:rFonts w:hint="default" w:ascii="Calibri" w:hAnsi="Calibri" w:eastAsia="宋体" w:cs="Times New Roman"/>
          <w:b w:val="0"/>
          <w:bCs w:val="0"/>
          <w:caps w:val="0"/>
          <w:color w:val="auto"/>
          <w:kern w:val="2"/>
          <w:sz w:val="21"/>
          <w:szCs w:val="21"/>
          <w:highlight w:val="none"/>
          <w:vertAlign w:val="baseline"/>
          <w:lang w:val="en-US" w:eastAsia="zh-CN" w:bidi="ar"/>
        </w:rPr>
        <w:t>13.2</w:t>
      </w:r>
      <w:r>
        <w:rPr>
          <w:rFonts w:hint="eastAsia" w:ascii="宋体" w:hAnsi="宋体" w:eastAsia="宋体" w:cs="Times New Roman"/>
          <w:b w:val="0"/>
          <w:bCs w:val="0"/>
          <w:caps w:val="0"/>
          <w:color w:val="auto"/>
          <w:kern w:val="2"/>
          <w:sz w:val="21"/>
          <w:szCs w:val="21"/>
          <w:highlight w:val="none"/>
          <w:vertAlign w:val="baseline"/>
          <w:lang w:val="en-US" w:eastAsia="zh-CN" w:bidi="ar"/>
        </w:rPr>
        <w:t>条款要求提交投标保证金的投标将被视为投标无效；</w:t>
      </w:r>
    </w:p>
    <w:p w14:paraId="196BBA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13.6</w:t>
      </w:r>
      <w:r>
        <w:rPr>
          <w:rFonts w:hint="eastAsia" w:ascii="宋体" w:hAnsi="宋体" w:eastAsia="宋体" w:cs="Times New Roman"/>
          <w:b w:val="0"/>
          <w:bCs w:val="0"/>
          <w:caps w:val="0"/>
          <w:color w:val="auto"/>
          <w:kern w:val="2"/>
          <w:sz w:val="21"/>
          <w:szCs w:val="21"/>
          <w:highlight w:val="none"/>
          <w:vertAlign w:val="baseline"/>
          <w:lang w:val="en-US" w:eastAsia="zh-CN" w:bidi="ar"/>
        </w:rPr>
        <w:t>未中标投标人的投标保证金将按</w:t>
      </w:r>
      <w:r>
        <w:rPr>
          <w:rFonts w:hint="default" w:ascii="Calibri" w:hAnsi="Calibri" w:eastAsia="宋体" w:cs="Times New Roman"/>
          <w:b w:val="0"/>
          <w:bCs w:val="0"/>
          <w:caps w:val="0"/>
          <w:color w:val="auto"/>
          <w:kern w:val="2"/>
          <w:sz w:val="21"/>
          <w:szCs w:val="21"/>
          <w:highlight w:val="none"/>
          <w:vertAlign w:val="baseline"/>
          <w:lang w:val="en-US" w:eastAsia="zh-CN" w:bidi="ar"/>
        </w:rPr>
        <w:t>25.2</w:t>
      </w:r>
      <w:r>
        <w:rPr>
          <w:rFonts w:hint="eastAsia" w:ascii="宋体" w:hAnsi="宋体" w:eastAsia="宋体" w:cs="Times New Roman"/>
          <w:b w:val="0"/>
          <w:bCs w:val="0"/>
          <w:caps w:val="0"/>
          <w:color w:val="auto"/>
          <w:kern w:val="2"/>
          <w:sz w:val="21"/>
          <w:szCs w:val="21"/>
          <w:highlight w:val="none"/>
          <w:vertAlign w:val="baseline"/>
          <w:lang w:val="en-US" w:eastAsia="zh-CN" w:bidi="ar"/>
        </w:rPr>
        <w:t>条规定予以无息退还；</w:t>
      </w:r>
    </w:p>
    <w:p w14:paraId="012D1D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13.7</w:t>
      </w:r>
      <w:r>
        <w:rPr>
          <w:rFonts w:hint="eastAsia" w:ascii="宋体" w:hAnsi="宋体" w:eastAsia="宋体" w:cs="Times New Roman"/>
          <w:b w:val="0"/>
          <w:bCs w:val="0"/>
          <w:caps w:val="0"/>
          <w:color w:val="auto"/>
          <w:kern w:val="2"/>
          <w:sz w:val="21"/>
          <w:szCs w:val="21"/>
          <w:highlight w:val="none"/>
          <w:vertAlign w:val="baseline"/>
          <w:lang w:val="en-US" w:eastAsia="zh-CN" w:bidi="ar"/>
        </w:rPr>
        <w:t>中标人的投标保证金，在中标人交纳中标服务费后予以无息退还；</w:t>
      </w:r>
    </w:p>
    <w:p w14:paraId="2874FC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13.8 </w:t>
      </w:r>
      <w:r>
        <w:rPr>
          <w:rFonts w:hint="eastAsia" w:ascii="宋体" w:hAnsi="宋体" w:eastAsia="宋体" w:cs="Times New Roman"/>
          <w:b w:val="0"/>
          <w:bCs w:val="0"/>
          <w:caps w:val="0"/>
          <w:color w:val="auto"/>
          <w:kern w:val="2"/>
          <w:sz w:val="21"/>
          <w:szCs w:val="21"/>
          <w:highlight w:val="none"/>
          <w:vertAlign w:val="baseline"/>
          <w:lang w:val="en-US" w:eastAsia="zh-CN" w:bidi="ar"/>
        </w:rPr>
        <w:t>发生下列情况之一，投标保证金将被没收：</w:t>
      </w:r>
    </w:p>
    <w:p w14:paraId="62CB9C7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）供应商在提交投标文件截止时间后撤回投标文件的；</w:t>
      </w:r>
    </w:p>
    <w:p w14:paraId="6917AD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）供应商在投标文件中提供虚假材料的；</w:t>
      </w:r>
    </w:p>
    <w:p w14:paraId="592B64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）除因不可抗力或谈判文件、询价通知书认可的情形以外，成交供应商不与采购人签订合同的；</w:t>
      </w:r>
    </w:p>
    <w:p w14:paraId="51A7D7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）供应商与采购人、其他供应商或者采购代理机构恶意串通的；</w:t>
      </w:r>
    </w:p>
    <w:p w14:paraId="164CA2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）采购文件规定的其他情形。</w:t>
      </w:r>
    </w:p>
    <w:p w14:paraId="266178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w:t>
      </w:r>
      <w:r>
        <w:rPr>
          <w:rFonts w:hint="eastAsia" w:ascii="宋体" w:hAnsi="宋体" w:eastAsia="宋体" w:cs="Times New Roman"/>
          <w:b w:val="0"/>
          <w:bCs w:val="0"/>
          <w:caps w:val="0"/>
          <w:color w:val="auto"/>
          <w:kern w:val="2"/>
          <w:sz w:val="21"/>
          <w:szCs w:val="21"/>
          <w:highlight w:val="none"/>
          <w:vertAlign w:val="baseline"/>
          <w:lang w:val="en-US" w:eastAsia="zh-CN" w:bidi="ar"/>
        </w:rPr>
        <w:t>投标有效期</w:t>
      </w:r>
    </w:p>
    <w:p w14:paraId="01788F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14.1</w:t>
      </w:r>
      <w:r>
        <w:rPr>
          <w:rFonts w:hint="eastAsia" w:ascii="宋体" w:hAnsi="宋体" w:eastAsia="宋体" w:cs="Times New Roman"/>
          <w:b w:val="0"/>
          <w:bCs w:val="0"/>
          <w:caps w:val="0"/>
          <w:color w:val="auto"/>
          <w:kern w:val="2"/>
          <w:sz w:val="21"/>
          <w:szCs w:val="21"/>
          <w:highlight w:val="none"/>
          <w:vertAlign w:val="baseline"/>
          <w:lang w:val="en-US" w:eastAsia="zh-CN" w:bidi="ar"/>
        </w:rPr>
        <w:t>从开标之日起，投标有效期为</w:t>
      </w:r>
      <w:r>
        <w:rPr>
          <w:rFonts w:hint="default" w:ascii="Calibri" w:hAnsi="Calibri" w:eastAsia="宋体" w:cs="Times New Roman"/>
          <w:b w:val="0"/>
          <w:bCs w:val="0"/>
          <w:caps w:val="0"/>
          <w:color w:val="auto"/>
          <w:kern w:val="2"/>
          <w:sz w:val="21"/>
          <w:szCs w:val="21"/>
          <w:highlight w:val="none"/>
          <w:vertAlign w:val="baseline"/>
          <w:lang w:val="en-US" w:eastAsia="zh-CN" w:bidi="ar"/>
        </w:rPr>
        <w:t>90</w:t>
      </w:r>
      <w:r>
        <w:rPr>
          <w:rFonts w:hint="eastAsia" w:ascii="宋体" w:hAnsi="宋体" w:eastAsia="宋体" w:cs="Times New Roman"/>
          <w:b w:val="0"/>
          <w:bCs w:val="0"/>
          <w:caps w:val="0"/>
          <w:color w:val="auto"/>
          <w:kern w:val="2"/>
          <w:sz w:val="21"/>
          <w:szCs w:val="21"/>
          <w:highlight w:val="none"/>
          <w:vertAlign w:val="baseline"/>
          <w:lang w:val="en-US" w:eastAsia="zh-CN" w:bidi="ar"/>
        </w:rPr>
        <w:t>天。不能满足投标有效期的投标，将被拒绝；</w:t>
      </w:r>
    </w:p>
    <w:p w14:paraId="5ED82B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14.2</w:t>
      </w:r>
      <w:r>
        <w:rPr>
          <w:rFonts w:hint="eastAsia" w:ascii="宋体" w:hAnsi="宋体" w:eastAsia="宋体" w:cs="Times New Roman"/>
          <w:b w:val="0"/>
          <w:bCs w:val="0"/>
          <w:caps w:val="0"/>
          <w:color w:val="auto"/>
          <w:kern w:val="2"/>
          <w:sz w:val="21"/>
          <w:szCs w:val="21"/>
          <w:highlight w:val="none"/>
          <w:vertAlign w:val="baseline"/>
          <w:lang w:val="en-US" w:eastAsia="zh-CN" w:bidi="ar"/>
        </w:rPr>
        <w:t>特殊情况下，招标机构可于投标有效期满之前要求供应商延长投标有效期，这种要求和答复都应以书面、传真的形式进行。供应商可以拒绝接受延期要求。同意延长有效期的供应商不能修改投标文件。</w:t>
      </w:r>
    </w:p>
    <w:p w14:paraId="158D47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投标文件的签署及规定</w:t>
      </w:r>
    </w:p>
    <w:p w14:paraId="72E66B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15.1 </w:t>
      </w:r>
      <w:r>
        <w:rPr>
          <w:rFonts w:hint="eastAsia" w:ascii="宋体" w:hAnsi="宋体" w:eastAsia="宋体" w:cs="Times New Roman"/>
          <w:b w:val="0"/>
          <w:bCs w:val="0"/>
          <w:caps w:val="0"/>
          <w:color w:val="auto"/>
          <w:kern w:val="2"/>
          <w:sz w:val="21"/>
          <w:szCs w:val="21"/>
          <w:highlight w:val="none"/>
          <w:vertAlign w:val="baseline"/>
          <w:lang w:val="en-US" w:eastAsia="zh-CN" w:bidi="ar"/>
        </w:rPr>
        <w:t>组成投标文件的各项资料均应遵守本须知第</w:t>
      </w:r>
      <w:r>
        <w:rPr>
          <w:rFonts w:hint="default" w:ascii="Calibri" w:hAnsi="Calibri" w:eastAsia="宋体" w:cs="Times New Roman"/>
          <w:b w:val="0"/>
          <w:bCs w:val="0"/>
          <w:caps w:val="0"/>
          <w:color w:val="auto"/>
          <w:kern w:val="2"/>
          <w:sz w:val="21"/>
          <w:szCs w:val="21"/>
          <w:highlight w:val="none"/>
          <w:vertAlign w:val="baseline"/>
          <w:lang w:val="en-US" w:eastAsia="zh-CN" w:bidi="ar"/>
        </w:rPr>
        <w:t>10</w:t>
      </w:r>
      <w:r>
        <w:rPr>
          <w:rFonts w:hint="eastAsia" w:ascii="宋体" w:hAnsi="宋体" w:eastAsia="宋体" w:cs="Times New Roman"/>
          <w:b w:val="0"/>
          <w:bCs w:val="0"/>
          <w:caps w:val="0"/>
          <w:color w:val="auto"/>
          <w:kern w:val="2"/>
          <w:sz w:val="21"/>
          <w:szCs w:val="21"/>
          <w:highlight w:val="none"/>
          <w:vertAlign w:val="baseline"/>
          <w:lang w:val="en-US" w:eastAsia="zh-CN" w:bidi="ar"/>
        </w:rPr>
        <w:t>条中所规定的内容。</w:t>
      </w:r>
    </w:p>
    <w:p w14:paraId="12EFB3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15.2 </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供应商应填写单位全称，同时加盖印章。</w:t>
      </w:r>
    </w:p>
    <w:p w14:paraId="60E9CC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15.3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投标文件必须由法人代表或法人授权代表签署。</w:t>
      </w:r>
    </w:p>
    <w:p w14:paraId="1C37879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15.4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投标文件正本一份和副本二份，如果正本与副本不符，以正本为准，电子版</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份（</w:t>
      </w:r>
      <w:r>
        <w:rPr>
          <w:rFonts w:hint="default" w:ascii="Calibri" w:hAnsi="Calibri" w:eastAsia="宋体" w:cs="Times New Roman"/>
          <w:b w:val="0"/>
          <w:bCs w:val="0"/>
          <w:caps w:val="0"/>
          <w:color w:val="auto"/>
          <w:kern w:val="2"/>
          <w:sz w:val="21"/>
          <w:szCs w:val="21"/>
          <w:highlight w:val="none"/>
          <w:vertAlign w:val="baseline"/>
          <w:lang w:val="en-US" w:eastAsia="zh-CN" w:bidi="ar"/>
        </w:rPr>
        <w:t>U</w:t>
      </w:r>
      <w:r>
        <w:rPr>
          <w:rFonts w:hint="eastAsia" w:ascii="宋体" w:hAnsi="宋体" w:eastAsia="宋体" w:cs="Times New Roman"/>
          <w:b w:val="0"/>
          <w:bCs w:val="0"/>
          <w:caps w:val="0"/>
          <w:color w:val="auto"/>
          <w:kern w:val="2"/>
          <w:sz w:val="21"/>
          <w:szCs w:val="21"/>
          <w:highlight w:val="none"/>
          <w:vertAlign w:val="baseline"/>
          <w:lang w:val="en-US" w:eastAsia="zh-CN" w:bidi="ar"/>
        </w:rPr>
        <w:t>盘形式）。</w:t>
      </w:r>
    </w:p>
    <w:p w14:paraId="3981D8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15.5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投标文件的正本必须用不褪色的墨水填写或打印，注明“正本”字样。</w:t>
      </w:r>
    </w:p>
    <w:p w14:paraId="058B45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15.6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投标文件不得涂改和增删，如有修改错漏处，必须由同一签署人签字或盖章。</w:t>
      </w:r>
    </w:p>
    <w:p w14:paraId="6F6748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15.7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投标文件因字迹潦草或表达不清所引起的后果由供应商负责。</w:t>
      </w:r>
    </w:p>
    <w:p w14:paraId="3D2478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15.8</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招标机构概不接受以电话、传真形式的投标。</w:t>
      </w:r>
    </w:p>
    <w:p w14:paraId="004383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D</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投标文件的递交</w:t>
      </w:r>
    </w:p>
    <w:p w14:paraId="325383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投标文件的密封和标记</w:t>
      </w:r>
    </w:p>
    <w:p w14:paraId="3E6BF2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16.1</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供应商应将投标文件正本和副本分别用信封密封，并标明招标编号、投标项目名称、供应商名称及正本或副本等。封口骑缝处应加盖供应商印章；投标文件电子版应单独密封。</w:t>
      </w:r>
    </w:p>
    <w:p w14:paraId="6ABD2B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16.2</w:t>
      </w:r>
      <w:r>
        <w:rPr>
          <w:rFonts w:hint="eastAsia" w:ascii="宋体" w:hAnsi="宋体" w:eastAsia="宋体" w:cs="Times New Roman"/>
          <w:b w:val="0"/>
          <w:bCs w:val="0"/>
          <w:caps w:val="0"/>
          <w:color w:val="auto"/>
          <w:kern w:val="2"/>
          <w:sz w:val="21"/>
          <w:szCs w:val="21"/>
          <w:highlight w:val="none"/>
          <w:vertAlign w:val="baseline"/>
          <w:lang w:val="en-US" w:eastAsia="zh-CN" w:bidi="ar"/>
        </w:rPr>
        <w:t>为了方便开标唱标，供应商应将开标一览表单独密封，并在信封上标明“开标一览表”字样。</w:t>
      </w:r>
    </w:p>
    <w:p w14:paraId="69D181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16.3</w:t>
      </w:r>
      <w:r>
        <w:rPr>
          <w:rFonts w:hint="eastAsia" w:ascii="宋体" w:hAnsi="宋体" w:eastAsia="宋体" w:cs="Times New Roman"/>
          <w:b w:val="0"/>
          <w:bCs w:val="0"/>
          <w:caps w:val="0"/>
          <w:color w:val="auto"/>
          <w:kern w:val="2"/>
          <w:sz w:val="21"/>
          <w:szCs w:val="21"/>
          <w:highlight w:val="none"/>
          <w:vertAlign w:val="baseline"/>
          <w:lang w:val="en-US" w:eastAsia="zh-CN" w:bidi="ar"/>
        </w:rPr>
        <w:t>每一密封信封上注明“于   年   月  日   时之前不准启封”的字样；</w:t>
      </w:r>
    </w:p>
    <w:p w14:paraId="29A5A0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16.4</w:t>
      </w:r>
      <w:r>
        <w:rPr>
          <w:rFonts w:hint="eastAsia" w:ascii="宋体" w:hAnsi="宋体" w:eastAsia="宋体" w:cs="Times New Roman"/>
          <w:b w:val="0"/>
          <w:bCs w:val="0"/>
          <w:caps w:val="0"/>
          <w:color w:val="auto"/>
          <w:kern w:val="2"/>
          <w:sz w:val="21"/>
          <w:szCs w:val="21"/>
          <w:highlight w:val="none"/>
          <w:vertAlign w:val="baseline"/>
          <w:lang w:val="en-US" w:eastAsia="zh-CN" w:bidi="ar"/>
        </w:rPr>
        <w:t>如投标文件由专人送交，供应商应将投标文件按</w:t>
      </w:r>
      <w:r>
        <w:rPr>
          <w:rFonts w:hint="default" w:ascii="Calibri" w:hAnsi="Calibri" w:eastAsia="宋体" w:cs="Times New Roman"/>
          <w:b w:val="0"/>
          <w:bCs w:val="0"/>
          <w:caps w:val="0"/>
          <w:color w:val="auto"/>
          <w:kern w:val="2"/>
          <w:sz w:val="21"/>
          <w:szCs w:val="21"/>
          <w:highlight w:val="none"/>
          <w:vertAlign w:val="baseline"/>
          <w:lang w:val="en-US" w:eastAsia="zh-CN" w:bidi="ar"/>
        </w:rPr>
        <w:t>16.1-16.3</w:t>
      </w:r>
      <w:r>
        <w:rPr>
          <w:rFonts w:hint="eastAsia" w:ascii="宋体" w:hAnsi="宋体" w:eastAsia="宋体" w:cs="Times New Roman"/>
          <w:b w:val="0"/>
          <w:bCs w:val="0"/>
          <w:caps w:val="0"/>
          <w:color w:val="auto"/>
          <w:kern w:val="2"/>
          <w:sz w:val="21"/>
          <w:szCs w:val="21"/>
          <w:highlight w:val="none"/>
          <w:vertAlign w:val="baseline"/>
          <w:lang w:val="en-US" w:eastAsia="zh-CN" w:bidi="ar"/>
        </w:rPr>
        <w:t>中的规定进行密封和标记后，按投标邀请注明的投标地址送至招标机构；</w:t>
      </w:r>
    </w:p>
    <w:p w14:paraId="073472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16.5</w:t>
      </w:r>
      <w:r>
        <w:rPr>
          <w:rFonts w:hint="eastAsia" w:ascii="宋体" w:hAnsi="宋体" w:eastAsia="宋体" w:cs="Times New Roman"/>
          <w:b w:val="0"/>
          <w:bCs w:val="0"/>
          <w:caps w:val="0"/>
          <w:color w:val="auto"/>
          <w:kern w:val="2"/>
          <w:sz w:val="21"/>
          <w:szCs w:val="21"/>
          <w:highlight w:val="none"/>
          <w:vertAlign w:val="baseline"/>
          <w:lang w:val="en-US" w:eastAsia="zh-CN" w:bidi="ar"/>
        </w:rPr>
        <w:t>如果投标文件通过邮寄递交</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供应商应将投标文件用内外两层信封密封</w:t>
      </w:r>
      <w:r>
        <w:rPr>
          <w:rFonts w:hint="default" w:ascii="Calibri" w:hAnsi="Calibri" w:eastAsia="宋体" w:cs="Times New Roman"/>
          <w:b w:val="0"/>
          <w:bCs w:val="0"/>
          <w:caps w:val="0"/>
          <w:color w:val="auto"/>
          <w:kern w:val="2"/>
          <w:sz w:val="21"/>
          <w:szCs w:val="21"/>
          <w:highlight w:val="none"/>
          <w:vertAlign w:val="baseline"/>
          <w:lang w:val="en-US" w:eastAsia="zh-CN" w:bidi="ar"/>
        </w:rPr>
        <w:t>:</w:t>
      </w:r>
    </w:p>
    <w:p w14:paraId="212E63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内层信封的封装与标记同</w:t>
      </w:r>
      <w:r>
        <w:rPr>
          <w:rFonts w:hint="default" w:ascii="Calibri" w:hAnsi="Calibri" w:eastAsia="宋体" w:cs="Times New Roman"/>
          <w:b w:val="0"/>
          <w:bCs w:val="0"/>
          <w:caps w:val="0"/>
          <w:color w:val="auto"/>
          <w:kern w:val="2"/>
          <w:sz w:val="21"/>
          <w:szCs w:val="21"/>
          <w:highlight w:val="none"/>
          <w:vertAlign w:val="baseline"/>
          <w:lang w:val="en-US" w:eastAsia="zh-CN" w:bidi="ar"/>
        </w:rPr>
        <w:t>16.1-16.3</w:t>
      </w:r>
      <w:r>
        <w:rPr>
          <w:rFonts w:hint="eastAsia" w:ascii="宋体" w:hAnsi="宋体" w:eastAsia="宋体" w:cs="Times New Roman"/>
          <w:b w:val="0"/>
          <w:bCs w:val="0"/>
          <w:caps w:val="0"/>
          <w:color w:val="auto"/>
          <w:kern w:val="2"/>
          <w:sz w:val="21"/>
          <w:szCs w:val="21"/>
          <w:highlight w:val="none"/>
          <w:vertAlign w:val="baseline"/>
          <w:lang w:val="en-US" w:eastAsia="zh-CN" w:bidi="ar"/>
        </w:rPr>
        <w:t>规定；</w:t>
      </w:r>
    </w:p>
    <w:p w14:paraId="052DF4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外层信封装入</w:t>
      </w:r>
      <w:r>
        <w:rPr>
          <w:rFonts w:hint="default" w:ascii="Calibri" w:hAnsi="Calibri" w:eastAsia="宋体" w:cs="Times New Roman"/>
          <w:b w:val="0"/>
          <w:bCs w:val="0"/>
          <w:caps w:val="0"/>
          <w:color w:val="auto"/>
          <w:kern w:val="2"/>
          <w:sz w:val="21"/>
          <w:szCs w:val="21"/>
          <w:highlight w:val="none"/>
          <w:vertAlign w:val="baseline"/>
          <w:lang w:val="en-US" w:eastAsia="zh-CN" w:bidi="ar"/>
        </w:rPr>
        <w:t>16.1</w:t>
      </w:r>
      <w:r>
        <w:rPr>
          <w:rFonts w:hint="eastAsia" w:ascii="宋体" w:hAnsi="宋体" w:eastAsia="宋体" w:cs="Times New Roman"/>
          <w:b w:val="0"/>
          <w:bCs w:val="0"/>
          <w:caps w:val="0"/>
          <w:color w:val="auto"/>
          <w:kern w:val="2"/>
          <w:sz w:val="21"/>
          <w:szCs w:val="21"/>
          <w:highlight w:val="none"/>
          <w:vertAlign w:val="baseline"/>
          <w:lang w:val="en-US" w:eastAsia="zh-CN" w:bidi="ar"/>
        </w:rPr>
        <w:t>及</w:t>
      </w:r>
      <w:r>
        <w:rPr>
          <w:rFonts w:hint="default" w:ascii="Calibri" w:hAnsi="Calibri" w:eastAsia="宋体" w:cs="Times New Roman"/>
          <w:b w:val="0"/>
          <w:bCs w:val="0"/>
          <w:caps w:val="0"/>
          <w:color w:val="auto"/>
          <w:kern w:val="2"/>
          <w:sz w:val="21"/>
          <w:szCs w:val="21"/>
          <w:highlight w:val="none"/>
          <w:vertAlign w:val="baseline"/>
          <w:lang w:val="en-US" w:eastAsia="zh-CN" w:bidi="ar"/>
        </w:rPr>
        <w:t>16.2</w:t>
      </w:r>
      <w:r>
        <w:rPr>
          <w:rFonts w:hint="eastAsia" w:ascii="宋体" w:hAnsi="宋体" w:eastAsia="宋体" w:cs="Times New Roman"/>
          <w:b w:val="0"/>
          <w:bCs w:val="0"/>
          <w:caps w:val="0"/>
          <w:color w:val="auto"/>
          <w:kern w:val="2"/>
          <w:sz w:val="21"/>
          <w:szCs w:val="21"/>
          <w:highlight w:val="none"/>
          <w:vertAlign w:val="baseline"/>
          <w:lang w:val="en-US" w:eastAsia="zh-CN" w:bidi="ar"/>
        </w:rPr>
        <w:t>所述全部内封资料</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并注明招标编号、投标项目名称、招标机构名称、地址。同时应写明供应商的名称、地址，以便将迟交的投标文件原封退还。</w:t>
      </w:r>
    </w:p>
    <w:p w14:paraId="738D13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16.6</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招标机构对投标文件的误投或未投标前提前拆封概不负责。</w:t>
      </w:r>
    </w:p>
    <w:p w14:paraId="5A687C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17.</w:t>
      </w:r>
      <w:r>
        <w:rPr>
          <w:rFonts w:hint="eastAsia" w:ascii="宋体" w:hAnsi="宋体" w:eastAsia="宋体" w:cs="Times New Roman"/>
          <w:b w:val="0"/>
          <w:bCs w:val="0"/>
          <w:caps w:val="0"/>
          <w:color w:val="auto"/>
          <w:kern w:val="2"/>
          <w:sz w:val="21"/>
          <w:szCs w:val="21"/>
          <w:highlight w:val="none"/>
          <w:vertAlign w:val="baseline"/>
          <w:lang w:val="en-US" w:eastAsia="zh-CN" w:bidi="ar"/>
        </w:rPr>
        <w:t>递交投标文件的截止时间</w:t>
      </w:r>
    </w:p>
    <w:p w14:paraId="2D2D78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17.1</w:t>
      </w:r>
      <w:r>
        <w:rPr>
          <w:rFonts w:hint="eastAsia" w:ascii="宋体" w:hAnsi="宋体" w:eastAsia="宋体" w:cs="Times New Roman"/>
          <w:b w:val="0"/>
          <w:bCs w:val="0"/>
          <w:caps w:val="0"/>
          <w:color w:val="auto"/>
          <w:kern w:val="2"/>
          <w:sz w:val="21"/>
          <w:szCs w:val="21"/>
          <w:highlight w:val="none"/>
          <w:vertAlign w:val="baseline"/>
          <w:lang w:val="en-US" w:eastAsia="zh-CN" w:bidi="ar"/>
        </w:rPr>
        <w:t>所有投标文件不论是通过专人或邮寄递交，都必须按照招标机构在投标邀请中规定的投标截止时间之前送至投标地点。</w:t>
      </w:r>
    </w:p>
    <w:p w14:paraId="6A8E4A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17.2 </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招标机构推迟投标截止时间时，应以书面</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或传真</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的形式，通知所有供应商。在这种情况下，招标机构和供应商的权利和义务将受到新的截止期的约束。</w:t>
      </w:r>
    </w:p>
    <w:p w14:paraId="2D5647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17.3 </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招标机构对投标文件在邮寄过程中的遗失或损坏不负责任。</w:t>
      </w:r>
    </w:p>
    <w:p w14:paraId="41E6F8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17.4 </w:t>
      </w:r>
      <w:r>
        <w:rPr>
          <w:rFonts w:hint="eastAsia" w:ascii="宋体" w:hAnsi="宋体" w:eastAsia="宋体" w:cs="Times New Roman"/>
          <w:b w:val="0"/>
          <w:bCs w:val="0"/>
          <w:caps w:val="0"/>
          <w:color w:val="auto"/>
          <w:kern w:val="2"/>
          <w:sz w:val="21"/>
          <w:szCs w:val="21"/>
          <w:highlight w:val="none"/>
          <w:vertAlign w:val="baseline"/>
          <w:lang w:val="en-US" w:eastAsia="zh-CN" w:bidi="ar"/>
        </w:rPr>
        <w:t>在投标截止时间以后送达的投标文件，招标机构拒绝接收。</w:t>
      </w:r>
    </w:p>
    <w:p w14:paraId="3BC138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18.</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投标文件修改和撤销</w:t>
      </w:r>
    </w:p>
    <w:p w14:paraId="00A67E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18.1 </w:t>
      </w:r>
      <w:r>
        <w:rPr>
          <w:rFonts w:hint="eastAsia" w:ascii="宋体" w:hAnsi="宋体" w:eastAsia="宋体" w:cs="Times New Roman"/>
          <w:b w:val="0"/>
          <w:bCs w:val="0"/>
          <w:caps w:val="0"/>
          <w:color w:val="auto"/>
          <w:kern w:val="2"/>
          <w:sz w:val="21"/>
          <w:szCs w:val="21"/>
          <w:highlight w:val="none"/>
          <w:vertAlign w:val="baseline"/>
          <w:lang w:val="en-US" w:eastAsia="zh-CN" w:bidi="ar"/>
        </w:rPr>
        <w:t>投标以后，如果供应商提出书面修改和撤标要求，在投标截止时间前送达招标机构者，招标机构可以予以接受。但不退还投标文件。</w:t>
      </w:r>
    </w:p>
    <w:p w14:paraId="47DFDD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18.2 </w:t>
      </w:r>
      <w:r>
        <w:rPr>
          <w:rFonts w:hint="eastAsia" w:ascii="宋体" w:hAnsi="宋体" w:eastAsia="宋体" w:cs="Times New Roman"/>
          <w:b w:val="0"/>
          <w:bCs w:val="0"/>
          <w:caps w:val="0"/>
          <w:color w:val="auto"/>
          <w:kern w:val="2"/>
          <w:sz w:val="21"/>
          <w:szCs w:val="21"/>
          <w:highlight w:val="none"/>
          <w:vertAlign w:val="baseline"/>
          <w:lang w:val="en-US" w:eastAsia="zh-CN" w:bidi="ar"/>
        </w:rPr>
        <w:t>供应商修改投标文件的书面材料，须密封送达招标机构，同时应在封套上标明“修改投标文件</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并注明招标编号</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”和“开标时启封”字样。</w:t>
      </w:r>
    </w:p>
    <w:p w14:paraId="036082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18.3 </w:t>
      </w:r>
      <w:r>
        <w:rPr>
          <w:rFonts w:hint="eastAsia" w:ascii="Calibri" w:hAnsi="Calibri" w:eastAsia="宋体" w:cs="Times New Roman"/>
          <w:b w:val="0"/>
          <w:bCs w:val="0"/>
          <w:caps w:val="0"/>
          <w:color w:val="auto"/>
          <w:kern w:val="2"/>
          <w:sz w:val="21"/>
          <w:szCs w:val="21"/>
          <w:highlight w:val="none"/>
          <w:vertAlign w:val="baseline"/>
          <w:lang w:val="en-US" w:eastAsia="zh-CN" w:bidi="ar"/>
        </w:rPr>
        <w:t>撤销</w:t>
      </w:r>
      <w:r>
        <w:rPr>
          <w:rFonts w:hint="eastAsia" w:ascii="宋体" w:hAnsi="宋体" w:eastAsia="宋体" w:cs="Times New Roman"/>
          <w:b w:val="0"/>
          <w:bCs w:val="0"/>
          <w:caps w:val="0"/>
          <w:color w:val="auto"/>
          <w:kern w:val="2"/>
          <w:sz w:val="21"/>
          <w:szCs w:val="21"/>
          <w:highlight w:val="none"/>
          <w:vertAlign w:val="baseline"/>
          <w:lang w:val="en-US" w:eastAsia="zh-CN" w:bidi="ar"/>
        </w:rPr>
        <w:t>投标应以书面</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或传真</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的形式通知招标机构。如采取传真形式撤回投标，随后必须补充有法人代表或授权代表签署的要求撤销投标的正式文件。撤销投标的时间以送达招标机构或邮电到达日戳为准。</w:t>
      </w:r>
    </w:p>
    <w:p w14:paraId="6C10E3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18.4</w:t>
      </w:r>
      <w:r>
        <w:rPr>
          <w:rFonts w:hint="eastAsia" w:ascii="宋体" w:hAnsi="宋体" w:eastAsia="宋体" w:cs="Times New Roman"/>
          <w:b w:val="0"/>
          <w:bCs w:val="0"/>
          <w:caps w:val="0"/>
          <w:color w:val="auto"/>
          <w:kern w:val="2"/>
          <w:sz w:val="21"/>
          <w:szCs w:val="21"/>
          <w:highlight w:val="none"/>
          <w:vertAlign w:val="baseline"/>
          <w:lang w:val="en-US" w:eastAsia="zh-CN" w:bidi="ar"/>
        </w:rPr>
        <w:t>投标截止时间以后不得修改投标文件；</w:t>
      </w:r>
    </w:p>
    <w:p w14:paraId="0F6FD7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18.5</w:t>
      </w:r>
      <w:r>
        <w:rPr>
          <w:rFonts w:hint="eastAsia" w:ascii="宋体" w:hAnsi="宋体" w:eastAsia="宋体" w:cs="Times New Roman"/>
          <w:b w:val="0"/>
          <w:bCs w:val="0"/>
          <w:caps w:val="0"/>
          <w:color w:val="auto"/>
          <w:kern w:val="2"/>
          <w:sz w:val="21"/>
          <w:szCs w:val="21"/>
          <w:highlight w:val="none"/>
          <w:vertAlign w:val="baseline"/>
          <w:lang w:val="en-US" w:eastAsia="zh-CN" w:bidi="ar"/>
        </w:rPr>
        <w:t>开标后供应商不得撤回投标。</w:t>
      </w:r>
    </w:p>
    <w:p w14:paraId="25783F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E</w:t>
      </w:r>
      <w:r>
        <w:rPr>
          <w:rFonts w:hint="eastAsia" w:ascii="宋体" w:hAnsi="宋体" w:eastAsia="宋体" w:cs="Times New Roman"/>
          <w:b w:val="0"/>
          <w:bCs w:val="0"/>
          <w:caps w:val="0"/>
          <w:color w:val="auto"/>
          <w:kern w:val="2"/>
          <w:sz w:val="21"/>
          <w:szCs w:val="21"/>
          <w:highlight w:val="none"/>
          <w:vertAlign w:val="baseline"/>
          <w:lang w:val="en-US" w:eastAsia="zh-CN" w:bidi="ar"/>
        </w:rPr>
        <w:t>开标及评标</w:t>
      </w:r>
    </w:p>
    <w:p w14:paraId="652CE0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开标</w:t>
      </w:r>
    </w:p>
    <w:p w14:paraId="462122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19.1</w:t>
      </w:r>
      <w:r>
        <w:rPr>
          <w:rFonts w:hint="eastAsia" w:ascii="宋体" w:hAnsi="宋体" w:eastAsia="宋体" w:cs="Times New Roman"/>
          <w:b w:val="0"/>
          <w:bCs w:val="0"/>
          <w:caps w:val="0"/>
          <w:color w:val="auto"/>
          <w:kern w:val="2"/>
          <w:sz w:val="21"/>
          <w:szCs w:val="21"/>
          <w:highlight w:val="none"/>
          <w:vertAlign w:val="baseline"/>
          <w:lang w:val="en-US" w:eastAsia="zh-CN" w:bidi="ar"/>
        </w:rPr>
        <w:t>招标代理机构将在招标文件规定的时间和地点公开开标。投标人法定代表人或其授权代理人应参加并签名报到以证明其出席，并携带有效身份证件以备审查。</w:t>
      </w:r>
    </w:p>
    <w:p w14:paraId="4790EB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19.2</w:t>
      </w:r>
      <w:r>
        <w:rPr>
          <w:rFonts w:hint="eastAsia" w:ascii="宋体" w:hAnsi="宋体" w:eastAsia="宋体" w:cs="Times New Roman"/>
          <w:b w:val="0"/>
          <w:bCs w:val="0"/>
          <w:caps w:val="0"/>
          <w:color w:val="auto"/>
          <w:kern w:val="2"/>
          <w:sz w:val="21"/>
          <w:szCs w:val="21"/>
          <w:highlight w:val="none"/>
          <w:vertAlign w:val="baseline"/>
          <w:lang w:val="en-US" w:eastAsia="zh-CN" w:bidi="ar"/>
        </w:rPr>
        <w:t>采购代理机构按招标文件规定的时间、地点主持公开开标。开标仪式由采购代理机构主持，采购人代表及有关工作人员参加。</w:t>
      </w:r>
    </w:p>
    <w:p w14:paraId="48D0C7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19.3</w:t>
      </w:r>
      <w:r>
        <w:rPr>
          <w:rFonts w:hint="eastAsia" w:ascii="宋体" w:hAnsi="宋体" w:eastAsia="宋体" w:cs="Times New Roman"/>
          <w:b w:val="0"/>
          <w:bCs w:val="0"/>
          <w:caps w:val="0"/>
          <w:color w:val="auto"/>
          <w:kern w:val="2"/>
          <w:sz w:val="21"/>
          <w:szCs w:val="21"/>
          <w:highlight w:val="none"/>
          <w:vertAlign w:val="baseline"/>
          <w:lang w:val="en-US" w:eastAsia="zh-CN" w:bidi="ar"/>
        </w:rPr>
        <w:t>开标时由供应商查验投标文件密封情况，确认无误后拆封唱标。</w:t>
      </w:r>
    </w:p>
    <w:p w14:paraId="6A1853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19.4</w:t>
      </w:r>
      <w:r>
        <w:rPr>
          <w:rFonts w:hint="eastAsia" w:ascii="宋体" w:hAnsi="宋体" w:eastAsia="宋体" w:cs="Times New Roman"/>
          <w:b w:val="0"/>
          <w:bCs w:val="0"/>
          <w:caps w:val="0"/>
          <w:color w:val="auto"/>
          <w:kern w:val="2"/>
          <w:sz w:val="21"/>
          <w:szCs w:val="21"/>
          <w:highlight w:val="none"/>
          <w:vertAlign w:val="baseline"/>
          <w:lang w:val="en-US" w:eastAsia="zh-CN" w:bidi="ar"/>
        </w:rPr>
        <w:t>采购代理机构在开标仪式上，将公开唱出所有供应商的“开标一览表”内容及投标声明，以及采购机构认为合适的其它内容并记录。</w:t>
      </w:r>
    </w:p>
    <w:p w14:paraId="10CC08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19.5 </w:t>
      </w:r>
      <w:r>
        <w:rPr>
          <w:rFonts w:hint="eastAsia" w:ascii="宋体" w:hAnsi="宋体" w:eastAsia="宋体" w:cs="Times New Roman"/>
          <w:b w:val="0"/>
          <w:bCs w:val="0"/>
          <w:caps w:val="0"/>
          <w:color w:val="auto"/>
          <w:kern w:val="2"/>
          <w:sz w:val="21"/>
          <w:szCs w:val="21"/>
          <w:highlight w:val="none"/>
          <w:vertAlign w:val="baseline"/>
          <w:lang w:val="en-US" w:eastAsia="zh-CN" w:bidi="ar"/>
        </w:rPr>
        <w:t>开标时有下列情形之一的为无效投标：</w:t>
      </w:r>
    </w:p>
    <w:p w14:paraId="2CE4ABA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）投标文件在规定的投标截止时间以后送达的；</w:t>
      </w:r>
    </w:p>
    <w:p w14:paraId="4D0AA2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）未按招标文件规定提交投标保证金的；</w:t>
      </w:r>
    </w:p>
    <w:p w14:paraId="7BA55B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）投标文件未按招标文件规定密封的；</w:t>
      </w:r>
    </w:p>
    <w:p w14:paraId="5C35D0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）未提交单独密封的开标一览表或者开标一览表未按规定加盖公章和有效签署的；</w:t>
      </w:r>
    </w:p>
    <w:p w14:paraId="60E427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）招标文件规定开标时属于无效投标的其他情形。</w:t>
      </w:r>
    </w:p>
    <w:p w14:paraId="51AA58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19.6 </w:t>
      </w:r>
      <w:r>
        <w:rPr>
          <w:rFonts w:hint="eastAsia" w:ascii="宋体" w:hAnsi="宋体" w:eastAsia="宋体" w:cs="Times New Roman"/>
          <w:b w:val="0"/>
          <w:bCs w:val="0"/>
          <w:caps w:val="0"/>
          <w:color w:val="auto"/>
          <w:kern w:val="2"/>
          <w:sz w:val="21"/>
          <w:szCs w:val="21"/>
          <w:highlight w:val="none"/>
          <w:vertAlign w:val="baseline"/>
          <w:lang w:val="en-US" w:eastAsia="zh-CN" w:bidi="ar"/>
        </w:rPr>
        <w:t>开标时有下列情形之一的，招标代理机构有权宣布本项目招标失败：</w:t>
      </w:r>
    </w:p>
    <w:p w14:paraId="4F835A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）交货时间符合招标文件要求的投标人不足三家的；</w:t>
      </w:r>
    </w:p>
    <w:p w14:paraId="450AB5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）所有投标人的报价均超过采购项目预算，采购单位不能支付的。</w:t>
      </w:r>
    </w:p>
    <w:p w14:paraId="550C42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20.</w:t>
      </w:r>
      <w:r>
        <w:rPr>
          <w:rFonts w:hint="eastAsia" w:ascii="宋体" w:hAnsi="宋体" w:eastAsia="宋体" w:cs="Times New Roman"/>
          <w:b w:val="0"/>
          <w:bCs w:val="0"/>
          <w:caps w:val="0"/>
          <w:color w:val="auto"/>
          <w:kern w:val="2"/>
          <w:sz w:val="21"/>
          <w:szCs w:val="21"/>
          <w:highlight w:val="none"/>
          <w:vertAlign w:val="baseline"/>
          <w:lang w:val="en-US" w:eastAsia="zh-CN" w:bidi="ar"/>
        </w:rPr>
        <w:t>对投标文件的初审</w:t>
      </w:r>
    </w:p>
    <w:p w14:paraId="56CA42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20.1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采购人根据招标项目特点组建评标委员会，由采购人从专家库中抽取的专家组成。 </w:t>
      </w:r>
    </w:p>
    <w:p w14:paraId="208768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评标委员会对投标文件进行初审，初审内容为投标文件是否符合招标文件的要求、内容是否完整、价格构成有无计算错误、文件签署是否齐全及验证保证金以及投标文件是否具有实质响应性。</w:t>
      </w:r>
    </w:p>
    <w:p w14:paraId="1C076B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20.2 </w:t>
      </w:r>
      <w:r>
        <w:rPr>
          <w:rFonts w:hint="eastAsia" w:ascii="宋体" w:hAnsi="宋体" w:eastAsia="宋体" w:cs="Times New Roman"/>
          <w:b w:val="0"/>
          <w:bCs w:val="0"/>
          <w:caps w:val="0"/>
          <w:color w:val="auto"/>
          <w:kern w:val="2"/>
          <w:sz w:val="21"/>
          <w:szCs w:val="21"/>
          <w:highlight w:val="none"/>
          <w:vertAlign w:val="baseline"/>
          <w:lang w:val="en-US" w:eastAsia="zh-CN" w:bidi="ar"/>
        </w:rPr>
        <w:t>初审中，对价格的计算错误按下述原则修正：</w:t>
      </w:r>
    </w:p>
    <w:p w14:paraId="0DED31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）投标文件中开标一览表内容与投标文件中相应内容不一致的，以《开标一览表》的报价为准；</w:t>
      </w:r>
    </w:p>
    <w:p w14:paraId="360692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）开标一览表内如果小写金额与大写金额不一致时，以大写金额为准；</w:t>
      </w:r>
    </w:p>
    <w:p w14:paraId="3B945B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宋体" w:hAnsi="宋体" w:eastAsia="宋体" w:cs="Times New Roman"/>
          <w:b w:val="0"/>
          <w:bCs w:val="0"/>
          <w:caps w:val="0"/>
          <w:color w:val="auto"/>
          <w:kern w:val="2"/>
          <w:sz w:val="21"/>
          <w:szCs w:val="21"/>
          <w:highlight w:val="none"/>
          <w:vertAlign w:val="baseline"/>
          <w:lang w:val="en-US" w:eastAsia="zh-CN" w:bidi="ar"/>
        </w:rPr>
        <w:t>）如果总价金额与单价金额不一致，以单价金额为准。</w:t>
      </w:r>
    </w:p>
    <w:p w14:paraId="32E993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宋体" w:hAnsi="宋体" w:eastAsia="宋体" w:cs="Times New Roman"/>
          <w:b w:val="0"/>
          <w:bCs w:val="0"/>
          <w:caps w:val="0"/>
          <w:color w:val="auto"/>
          <w:kern w:val="2"/>
          <w:sz w:val="21"/>
          <w:szCs w:val="21"/>
          <w:highlight w:val="none"/>
          <w:vertAlign w:val="baseline"/>
          <w:lang w:val="en-US" w:eastAsia="zh-CN" w:bidi="ar"/>
        </w:rPr>
        <w:t>）除非单价有明显的小数点错位，此时应以该行标出的总额为准，并修改单价。</w:t>
      </w:r>
    </w:p>
    <w:p w14:paraId="2FC5A6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按上述原则调整后的价格为评标价，经投标人法定代表人或授权代理人签字确认后对投标人具有约束力。如果投标人不按照上述原则修正其投标报价及分项报价，则其投标将被拒绝。</w:t>
      </w:r>
    </w:p>
    <w:p w14:paraId="739B28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20.3 </w:t>
      </w:r>
      <w:r>
        <w:rPr>
          <w:rFonts w:hint="eastAsia" w:ascii="宋体" w:hAnsi="宋体" w:eastAsia="宋体" w:cs="Times New Roman"/>
          <w:b w:val="0"/>
          <w:bCs w:val="0"/>
          <w:caps w:val="0"/>
          <w:color w:val="auto"/>
          <w:kern w:val="2"/>
          <w:sz w:val="21"/>
          <w:szCs w:val="21"/>
          <w:highlight w:val="none"/>
          <w:vertAlign w:val="baseline"/>
          <w:lang w:val="en-US" w:eastAsia="zh-CN" w:bidi="ar"/>
        </w:rPr>
        <w:t>与招标文件有重大偏离的投标文件将被视为具有非实质响应性的投标文件而被拒绝。</w:t>
      </w:r>
    </w:p>
    <w:p w14:paraId="24797E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bCs/>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20.4 </w:t>
      </w:r>
      <w:r>
        <w:rPr>
          <w:rFonts w:hint="eastAsia" w:ascii="宋体" w:hAnsi="宋体" w:eastAsia="宋体" w:cs="Times New Roman"/>
          <w:b w:val="0"/>
          <w:bCs w:val="0"/>
          <w:caps w:val="0"/>
          <w:color w:val="auto"/>
          <w:kern w:val="2"/>
          <w:sz w:val="21"/>
          <w:szCs w:val="21"/>
          <w:highlight w:val="none"/>
          <w:vertAlign w:val="baseline"/>
          <w:lang w:val="en-US" w:eastAsia="zh-CN" w:bidi="ar"/>
        </w:rPr>
        <w:t>投标有下列情况之一者，</w:t>
      </w:r>
      <w:r>
        <w:rPr>
          <w:rFonts w:hint="eastAsia" w:ascii="宋体" w:hAnsi="宋体" w:eastAsia="宋体" w:cs="Times New Roman"/>
          <w:b/>
          <w:bCs/>
          <w:caps w:val="0"/>
          <w:color w:val="auto"/>
          <w:kern w:val="2"/>
          <w:sz w:val="21"/>
          <w:szCs w:val="21"/>
          <w:highlight w:val="none"/>
          <w:vertAlign w:val="baseline"/>
          <w:lang w:val="en-US" w:eastAsia="zh-CN" w:bidi="ar"/>
        </w:rPr>
        <w:t>将被视为非实质性响应的投标而被拒绝：</w:t>
      </w:r>
    </w:p>
    <w:p w14:paraId="603186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资格条件及证明文件不符合招标文件要求的；</w:t>
      </w:r>
    </w:p>
    <w:p w14:paraId="38E21A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投标文件无公章或无法定代表人签字，或签字人无法定代表人有效授权书的，或未按要求签字、盖公章的；</w:t>
      </w:r>
    </w:p>
    <w:p w14:paraId="2961B5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不能满足投标有效期的；</w:t>
      </w:r>
    </w:p>
    <w:p w14:paraId="7791F6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投标明显不符合技术规格、技术标准的要求；</w:t>
      </w:r>
    </w:p>
    <w:p w14:paraId="4C9D16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投标文件附有买方不能接受的条件；</w:t>
      </w:r>
    </w:p>
    <w:p w14:paraId="113577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投标报价超过采购预算的；</w:t>
      </w:r>
    </w:p>
    <w:p w14:paraId="0AD78B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未响应招标文件规定的其它实质性条款。</w:t>
      </w:r>
    </w:p>
    <w:p w14:paraId="2788B3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21.</w:t>
      </w:r>
      <w:r>
        <w:rPr>
          <w:rFonts w:hint="eastAsia" w:ascii="宋体" w:hAnsi="宋体" w:eastAsia="宋体" w:cs="Times New Roman"/>
          <w:b w:val="0"/>
          <w:bCs w:val="0"/>
          <w:caps w:val="0"/>
          <w:color w:val="auto"/>
          <w:kern w:val="2"/>
          <w:sz w:val="21"/>
          <w:szCs w:val="21"/>
          <w:highlight w:val="none"/>
          <w:vertAlign w:val="baseline"/>
          <w:lang w:val="en-US" w:eastAsia="zh-CN" w:bidi="ar"/>
        </w:rPr>
        <w:t>投标的澄清</w:t>
      </w:r>
    </w:p>
    <w:p w14:paraId="264774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21.1 </w:t>
      </w:r>
      <w:r>
        <w:rPr>
          <w:rFonts w:hint="eastAsia" w:ascii="宋体" w:hAnsi="宋体" w:eastAsia="宋体" w:cs="Times New Roman"/>
          <w:b w:val="0"/>
          <w:bCs w:val="0"/>
          <w:caps w:val="0"/>
          <w:color w:val="auto"/>
          <w:kern w:val="2"/>
          <w:sz w:val="21"/>
          <w:szCs w:val="21"/>
          <w:highlight w:val="none"/>
          <w:vertAlign w:val="baseline"/>
          <w:lang w:val="en-US" w:eastAsia="zh-CN" w:bidi="ar"/>
        </w:rPr>
        <w:t>招标机构有权就投标文件中含混之处向供应商提出询问或澄清要求，或要求其补充某些材料。供应商必须按照招标机构通知的时间、地点派技术和商务人员进行答疑和澄清。</w:t>
      </w:r>
    </w:p>
    <w:p w14:paraId="6BB23D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21.2 </w:t>
      </w:r>
      <w:r>
        <w:rPr>
          <w:rFonts w:hint="eastAsia" w:ascii="宋体" w:hAnsi="宋体" w:eastAsia="宋体" w:cs="Times New Roman"/>
          <w:b w:val="0"/>
          <w:bCs w:val="0"/>
          <w:caps w:val="0"/>
          <w:color w:val="auto"/>
          <w:kern w:val="2"/>
          <w:sz w:val="21"/>
          <w:szCs w:val="21"/>
          <w:highlight w:val="none"/>
          <w:vertAlign w:val="baseline"/>
          <w:lang w:val="en-US" w:eastAsia="zh-CN" w:bidi="ar"/>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262B89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22.</w:t>
      </w:r>
      <w:r>
        <w:rPr>
          <w:rFonts w:hint="eastAsia" w:ascii="宋体" w:hAnsi="宋体" w:eastAsia="宋体" w:cs="Times New Roman"/>
          <w:b w:val="0"/>
          <w:bCs w:val="0"/>
          <w:caps w:val="0"/>
          <w:color w:val="auto"/>
          <w:kern w:val="2"/>
          <w:sz w:val="21"/>
          <w:szCs w:val="21"/>
          <w:highlight w:val="none"/>
          <w:vertAlign w:val="baseline"/>
          <w:lang w:val="en-US" w:eastAsia="zh-CN" w:bidi="ar"/>
        </w:rPr>
        <w:t>评标</w:t>
      </w:r>
    </w:p>
    <w:p w14:paraId="009DE1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22.1 </w:t>
      </w:r>
      <w:r>
        <w:rPr>
          <w:rFonts w:hint="eastAsia" w:ascii="宋体" w:hAnsi="宋体" w:eastAsia="宋体" w:cs="Times New Roman"/>
          <w:b w:val="0"/>
          <w:bCs w:val="0"/>
          <w:caps w:val="0"/>
          <w:color w:val="auto"/>
          <w:kern w:val="2"/>
          <w:sz w:val="21"/>
          <w:szCs w:val="21"/>
          <w:highlight w:val="none"/>
          <w:vertAlign w:val="baseline"/>
          <w:lang w:val="en-US" w:eastAsia="zh-CN" w:bidi="ar"/>
        </w:rPr>
        <w:t>原则：对所有供应商的投标评估，都采用相同的程序和标准。</w:t>
      </w:r>
    </w:p>
    <w:p w14:paraId="492375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22.2 </w:t>
      </w:r>
      <w:r>
        <w:rPr>
          <w:rFonts w:hint="eastAsia" w:ascii="宋体" w:hAnsi="宋体" w:eastAsia="宋体" w:cs="Times New Roman"/>
          <w:b w:val="0"/>
          <w:bCs w:val="0"/>
          <w:caps w:val="0"/>
          <w:color w:val="auto"/>
          <w:kern w:val="2"/>
          <w:sz w:val="21"/>
          <w:szCs w:val="21"/>
          <w:highlight w:val="none"/>
          <w:vertAlign w:val="baseline"/>
          <w:lang w:val="en-US" w:eastAsia="zh-CN" w:bidi="ar"/>
        </w:rPr>
        <w:t>标准：评标严格按照招标文件的要求和条件进行。</w:t>
      </w:r>
    </w:p>
    <w:p w14:paraId="511C9B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22.3</w:t>
      </w:r>
      <w:r>
        <w:rPr>
          <w:rFonts w:hint="eastAsia" w:ascii="宋体" w:hAnsi="宋体" w:eastAsia="宋体" w:cs="Times New Roman"/>
          <w:b w:val="0"/>
          <w:bCs w:val="0"/>
          <w:caps w:val="0"/>
          <w:color w:val="auto"/>
          <w:kern w:val="2"/>
          <w:sz w:val="21"/>
          <w:szCs w:val="21"/>
          <w:highlight w:val="none"/>
          <w:vertAlign w:val="baseline"/>
          <w:lang w:val="en-US" w:eastAsia="zh-CN" w:bidi="ar"/>
        </w:rPr>
        <w:t>本项目采用综合评分法：</w:t>
      </w:r>
    </w:p>
    <w:p w14:paraId="522AFE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评标委员会将按第三章规定的评审因素和标准，按评审后投标人综合得分由高到低的顺序推荐中标候选人排序。</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p>
    <w:p w14:paraId="73D27C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23.</w:t>
      </w:r>
      <w:r>
        <w:rPr>
          <w:rFonts w:hint="eastAsia" w:ascii="宋体" w:hAnsi="宋体" w:eastAsia="宋体" w:cs="Times New Roman"/>
          <w:b w:val="0"/>
          <w:bCs w:val="0"/>
          <w:caps w:val="0"/>
          <w:color w:val="auto"/>
          <w:kern w:val="2"/>
          <w:sz w:val="21"/>
          <w:szCs w:val="21"/>
          <w:highlight w:val="none"/>
          <w:vertAlign w:val="baseline"/>
          <w:lang w:val="en-US" w:eastAsia="zh-CN" w:bidi="ar"/>
        </w:rPr>
        <w:t>评标过程保密</w:t>
      </w:r>
    </w:p>
    <w:p w14:paraId="358F5D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23.1</w:t>
      </w:r>
      <w:r>
        <w:rPr>
          <w:rFonts w:hint="eastAsia" w:ascii="宋体" w:hAnsi="宋体" w:eastAsia="宋体" w:cs="Times New Roman"/>
          <w:b w:val="0"/>
          <w:bCs w:val="0"/>
          <w:caps w:val="0"/>
          <w:color w:val="auto"/>
          <w:kern w:val="2"/>
          <w:sz w:val="21"/>
          <w:szCs w:val="21"/>
          <w:highlight w:val="none"/>
          <w:vertAlign w:val="baseline"/>
          <w:lang w:val="en-US" w:eastAsia="zh-CN" w:bidi="ar"/>
        </w:rPr>
        <w:t>有关投标文件的审查、澄清、评估和比较以及有关授予合同意向的一切情况均不得透露给任一供应商或与上述评标工作无关的人员；</w:t>
      </w:r>
    </w:p>
    <w:p w14:paraId="491D03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23.2</w:t>
      </w:r>
      <w:r>
        <w:rPr>
          <w:rFonts w:hint="eastAsia" w:ascii="宋体" w:hAnsi="宋体" w:eastAsia="宋体" w:cs="Times New Roman"/>
          <w:b w:val="0"/>
          <w:bCs w:val="0"/>
          <w:caps w:val="0"/>
          <w:color w:val="auto"/>
          <w:kern w:val="2"/>
          <w:sz w:val="21"/>
          <w:szCs w:val="21"/>
          <w:highlight w:val="none"/>
          <w:vertAlign w:val="baseline"/>
          <w:lang w:val="en-US" w:eastAsia="zh-CN" w:bidi="ar"/>
        </w:rPr>
        <w:t>在评标期间，供应商企图影响招标方的任何活动，将导致投标被拒绝，并承担相应的法律责任。</w:t>
      </w:r>
    </w:p>
    <w:p w14:paraId="01B167A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F </w:t>
      </w:r>
      <w:r>
        <w:rPr>
          <w:rFonts w:hint="eastAsia" w:ascii="宋体" w:hAnsi="宋体" w:eastAsia="宋体" w:cs="Times New Roman"/>
          <w:b w:val="0"/>
          <w:bCs w:val="0"/>
          <w:caps w:val="0"/>
          <w:color w:val="auto"/>
          <w:kern w:val="2"/>
          <w:sz w:val="21"/>
          <w:szCs w:val="21"/>
          <w:highlight w:val="none"/>
          <w:vertAlign w:val="baseline"/>
          <w:lang w:val="en-US" w:eastAsia="zh-CN" w:bidi="ar"/>
        </w:rPr>
        <w:t>确定中标</w:t>
      </w:r>
    </w:p>
    <w:p w14:paraId="1976CA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24.</w:t>
      </w:r>
      <w:r>
        <w:rPr>
          <w:rFonts w:hint="eastAsia" w:ascii="宋体" w:hAnsi="宋体" w:eastAsia="宋体" w:cs="Times New Roman"/>
          <w:b w:val="0"/>
          <w:bCs w:val="0"/>
          <w:caps w:val="0"/>
          <w:color w:val="auto"/>
          <w:kern w:val="2"/>
          <w:sz w:val="21"/>
          <w:szCs w:val="21"/>
          <w:highlight w:val="none"/>
          <w:vertAlign w:val="baseline"/>
          <w:lang w:val="en-US" w:eastAsia="zh-CN" w:bidi="ar"/>
        </w:rPr>
        <w:t>最终审查</w:t>
      </w:r>
    </w:p>
    <w:p w14:paraId="5F6442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24.1</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评标委员会按照招标文件确定的评标标准和方法，对投标文件进行评审，并提出书面评标报告，确定中标人。最终审查的对象是招标项目的合格的供应商。 </w:t>
      </w:r>
    </w:p>
    <w:p w14:paraId="5A9A89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24.2</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最终审查的内容是对合格的供应商的财务状况、资格、信誉以及采购人认为有必要了解的其他问题作进一步的审查。  </w:t>
      </w:r>
    </w:p>
    <w:p w14:paraId="45D13D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24.3 </w:t>
      </w:r>
      <w:r>
        <w:rPr>
          <w:rFonts w:hint="eastAsia" w:ascii="宋体" w:hAnsi="宋体" w:eastAsia="宋体" w:cs="Times New Roman"/>
          <w:b w:val="0"/>
          <w:bCs w:val="0"/>
          <w:caps w:val="0"/>
          <w:color w:val="auto"/>
          <w:kern w:val="2"/>
          <w:sz w:val="21"/>
          <w:szCs w:val="21"/>
          <w:highlight w:val="none"/>
          <w:vertAlign w:val="baseline"/>
          <w:lang w:val="en-US" w:eastAsia="zh-CN" w:bidi="ar"/>
        </w:rPr>
        <w:t>接受最终审查的合格的供应商，必须如实回答和受理采购人的询问或考查，并提供所需的有关资料。</w:t>
      </w:r>
    </w:p>
    <w:p w14:paraId="3B53A2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24.4</w:t>
      </w: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评标委员会从合格的供应商中评出中标人，并写出完整的评标报告。</w:t>
      </w:r>
    </w:p>
    <w:p w14:paraId="3E10495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25.</w:t>
      </w:r>
      <w:r>
        <w:rPr>
          <w:rFonts w:hint="eastAsia" w:ascii="宋体" w:hAnsi="宋体" w:eastAsia="宋体" w:cs="Times New Roman"/>
          <w:b w:val="0"/>
          <w:bCs w:val="0"/>
          <w:caps w:val="0"/>
          <w:color w:val="auto"/>
          <w:kern w:val="2"/>
          <w:sz w:val="21"/>
          <w:szCs w:val="21"/>
          <w:highlight w:val="none"/>
          <w:vertAlign w:val="baseline"/>
          <w:lang w:val="en-US" w:eastAsia="zh-CN" w:bidi="ar"/>
        </w:rPr>
        <w:t>中标通知</w:t>
      </w:r>
    </w:p>
    <w:p w14:paraId="21E7A7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25.1</w:t>
      </w:r>
      <w:r>
        <w:rPr>
          <w:rFonts w:hint="eastAsia" w:ascii="宋体" w:hAnsi="宋体" w:eastAsia="宋体" w:cs="Times New Roman"/>
          <w:b w:val="0"/>
          <w:bCs w:val="0"/>
          <w:caps w:val="0"/>
          <w:color w:val="auto"/>
          <w:kern w:val="2"/>
          <w:sz w:val="21"/>
          <w:szCs w:val="21"/>
          <w:highlight w:val="none"/>
          <w:vertAlign w:val="baseline"/>
          <w:lang w:val="en-US" w:eastAsia="zh-CN" w:bidi="ar"/>
        </w:rPr>
        <w:t>在投标有效期内，招标代理机构以书面形式通知所选定的中标人。通知也可以以传真的形式发出，但需要以书面形式最终确认。</w:t>
      </w:r>
    </w:p>
    <w:p w14:paraId="780E4D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25.2</w:t>
      </w:r>
      <w:r>
        <w:rPr>
          <w:rFonts w:hint="eastAsia" w:ascii="宋体" w:hAnsi="宋体" w:eastAsia="宋体" w:cs="Times New Roman"/>
          <w:b w:val="0"/>
          <w:bCs w:val="0"/>
          <w:caps w:val="0"/>
          <w:color w:val="auto"/>
          <w:kern w:val="2"/>
          <w:sz w:val="21"/>
          <w:szCs w:val="21"/>
          <w:highlight w:val="none"/>
          <w:vertAlign w:val="baseline"/>
          <w:lang w:val="en-US" w:eastAsia="zh-CN" w:bidi="ar"/>
        </w:rPr>
        <w:t>招标代理机构将自中标通知书发出之日起</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个工作日内退还未中标供应商的投标保证金，自政府采购合同签订之日起</w:t>
      </w:r>
      <w:r>
        <w:rPr>
          <w:rFonts w:hint="default" w:ascii="Calibri" w:hAnsi="Calibri" w:eastAsia="宋体" w:cs="Times New Roman"/>
          <w:b w:val="0"/>
          <w:bCs w:val="0"/>
          <w:caps w:val="0"/>
          <w:color w:val="auto"/>
          <w:kern w:val="2"/>
          <w:sz w:val="21"/>
          <w:szCs w:val="21"/>
          <w:highlight w:val="none"/>
          <w:vertAlign w:val="baseline"/>
          <w:lang w:val="en-US" w:eastAsia="zh-CN" w:bidi="ar"/>
        </w:rPr>
        <w:t>5</w:t>
      </w:r>
      <w:r>
        <w:rPr>
          <w:rFonts w:hint="eastAsia" w:ascii="宋体" w:hAnsi="宋体" w:eastAsia="宋体" w:cs="Times New Roman"/>
          <w:b w:val="0"/>
          <w:bCs w:val="0"/>
          <w:caps w:val="0"/>
          <w:color w:val="auto"/>
          <w:kern w:val="2"/>
          <w:sz w:val="21"/>
          <w:szCs w:val="21"/>
          <w:highlight w:val="none"/>
          <w:vertAlign w:val="baseline"/>
          <w:lang w:val="en-US" w:eastAsia="zh-CN" w:bidi="ar"/>
        </w:rPr>
        <w:t>个工作日内退还中标供应商的投标保证金。</w:t>
      </w:r>
    </w:p>
    <w:p w14:paraId="2F80E8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26.</w:t>
      </w:r>
      <w:r>
        <w:rPr>
          <w:rFonts w:hint="eastAsia" w:ascii="宋体" w:hAnsi="宋体" w:eastAsia="宋体" w:cs="Times New Roman"/>
          <w:b w:val="0"/>
          <w:bCs w:val="0"/>
          <w:caps w:val="0"/>
          <w:color w:val="auto"/>
          <w:kern w:val="2"/>
          <w:sz w:val="21"/>
          <w:szCs w:val="21"/>
          <w:highlight w:val="none"/>
          <w:vertAlign w:val="baseline"/>
          <w:lang w:val="en-US" w:eastAsia="zh-CN" w:bidi="ar"/>
        </w:rPr>
        <w:t>签定合同</w:t>
      </w:r>
    </w:p>
    <w:p w14:paraId="42FBFD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26.1</w:t>
      </w:r>
      <w:r>
        <w:rPr>
          <w:rFonts w:hint="eastAsia" w:ascii="宋体" w:hAnsi="宋体" w:eastAsia="宋体" w:cs="Times New Roman"/>
          <w:b w:val="0"/>
          <w:bCs w:val="0"/>
          <w:caps w:val="0"/>
          <w:color w:val="auto"/>
          <w:kern w:val="2"/>
          <w:sz w:val="21"/>
          <w:szCs w:val="21"/>
          <w:highlight w:val="none"/>
          <w:vertAlign w:val="baseline"/>
          <w:lang w:val="en-US" w:eastAsia="zh-CN" w:bidi="ar"/>
        </w:rPr>
        <w:t>中标通知书发出后，采购单位改变中标结果的，或者中标人放弃中标项目的，应当依法承担法律责任。</w:t>
      </w:r>
    </w:p>
    <w:p w14:paraId="740A4D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26.2</w:t>
      </w:r>
      <w:r>
        <w:rPr>
          <w:rFonts w:hint="eastAsia" w:ascii="宋体" w:hAnsi="宋体" w:eastAsia="宋体" w:cs="Times New Roman"/>
          <w:b w:val="0"/>
          <w:bCs w:val="0"/>
          <w:caps w:val="0"/>
          <w:color w:val="auto"/>
          <w:kern w:val="2"/>
          <w:sz w:val="21"/>
          <w:szCs w:val="21"/>
          <w:highlight w:val="none"/>
          <w:vertAlign w:val="baseline"/>
          <w:lang w:val="en-US" w:eastAsia="zh-CN" w:bidi="ar"/>
        </w:rPr>
        <w:t>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18AD23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26.3</w:t>
      </w:r>
      <w:r>
        <w:rPr>
          <w:rFonts w:hint="eastAsia" w:ascii="宋体" w:hAnsi="宋体" w:eastAsia="宋体" w:cs="Times New Roman"/>
          <w:b w:val="0"/>
          <w:bCs w:val="0"/>
          <w:caps w:val="0"/>
          <w:color w:val="auto"/>
          <w:kern w:val="2"/>
          <w:sz w:val="21"/>
          <w:szCs w:val="21"/>
          <w:highlight w:val="none"/>
          <w:vertAlign w:val="baseline"/>
          <w:lang w:val="en-US" w:eastAsia="zh-CN" w:bidi="ar"/>
        </w:rPr>
        <w:t>中标结果将在发布招标公告的同步网络媒介上公告，不再以书面方式通知未中标人。</w:t>
      </w:r>
    </w:p>
    <w:p w14:paraId="07469C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27.</w:t>
      </w:r>
      <w:r>
        <w:rPr>
          <w:rFonts w:hint="eastAsia" w:ascii="宋体" w:hAnsi="宋体" w:eastAsia="宋体" w:cs="Times New Roman"/>
          <w:b w:val="0"/>
          <w:bCs w:val="0"/>
          <w:caps w:val="0"/>
          <w:color w:val="auto"/>
          <w:kern w:val="2"/>
          <w:sz w:val="21"/>
          <w:szCs w:val="21"/>
          <w:highlight w:val="none"/>
          <w:vertAlign w:val="baseline"/>
          <w:lang w:val="en-US" w:eastAsia="zh-CN" w:bidi="ar"/>
        </w:rPr>
        <w:t>履约保证金</w:t>
      </w:r>
    </w:p>
    <w:p w14:paraId="6B0FD9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本项目不收取履约保证金。</w:t>
      </w:r>
    </w:p>
    <w:p w14:paraId="5E1FF9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28.</w:t>
      </w:r>
      <w:r>
        <w:rPr>
          <w:rFonts w:hint="eastAsia" w:ascii="宋体" w:hAnsi="宋体" w:eastAsia="宋体" w:cs="Times New Roman"/>
          <w:b w:val="0"/>
          <w:bCs w:val="0"/>
          <w:caps w:val="0"/>
          <w:color w:val="auto"/>
          <w:kern w:val="2"/>
          <w:sz w:val="21"/>
          <w:szCs w:val="21"/>
          <w:highlight w:val="none"/>
          <w:vertAlign w:val="baseline"/>
          <w:lang w:val="en-US" w:eastAsia="zh-CN" w:bidi="ar"/>
        </w:rPr>
        <w:t>保密和披露</w:t>
      </w:r>
    </w:p>
    <w:p w14:paraId="387A64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28.1</w:t>
      </w:r>
      <w:r>
        <w:rPr>
          <w:rFonts w:hint="eastAsia" w:ascii="宋体" w:hAnsi="宋体" w:eastAsia="宋体" w:cs="Times New Roman"/>
          <w:b w:val="0"/>
          <w:bCs w:val="0"/>
          <w:caps w:val="0"/>
          <w:color w:val="auto"/>
          <w:kern w:val="2"/>
          <w:sz w:val="21"/>
          <w:szCs w:val="21"/>
          <w:highlight w:val="none"/>
          <w:vertAlign w:val="baseline"/>
          <w:lang w:val="en-US" w:eastAsia="zh-CN" w:bidi="ar"/>
        </w:rPr>
        <w:t>招标代理机构有权将投标人提供的所有资料向其他政府部门或有关的非政府机构负责评审标书的人员或与评标有关的人员披露。</w:t>
      </w:r>
    </w:p>
    <w:p w14:paraId="3605DA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28.2</w:t>
      </w:r>
      <w:r>
        <w:rPr>
          <w:rFonts w:hint="eastAsia" w:ascii="宋体" w:hAnsi="宋体" w:eastAsia="宋体" w:cs="Times New Roman"/>
          <w:b w:val="0"/>
          <w:bCs w:val="0"/>
          <w:caps w:val="0"/>
          <w:color w:val="auto"/>
          <w:kern w:val="2"/>
          <w:sz w:val="21"/>
          <w:szCs w:val="21"/>
          <w:highlight w:val="none"/>
          <w:vertAlign w:val="baseline"/>
          <w:lang w:val="en-US" w:eastAsia="zh-CN" w:bidi="ar"/>
        </w:rPr>
        <w:t>在下列情形下：当发布中标公告和其它公告时，当国家机关调查、审查、审计时，以及在其他符合法律规定的情形下，招标代理机构无须事先征求投标人</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中标人同意而可以披露关于采购过程、投标文件、合同文本、合同签署情况的资料、投标人</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中标人的名称及地址、采购内容的有关信息以及补充条款等，并且对任何已经公布过的内容或与之内容相同的资料无须再承担保密责任。</w:t>
      </w:r>
    </w:p>
    <w:p w14:paraId="0F69C1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29</w:t>
      </w:r>
      <w:r>
        <w:rPr>
          <w:rFonts w:hint="eastAsia" w:ascii="宋体" w:hAnsi="宋体" w:eastAsia="宋体" w:cs="Times New Roman"/>
          <w:b w:val="0"/>
          <w:bCs w:val="0"/>
          <w:caps w:val="0"/>
          <w:color w:val="auto"/>
          <w:kern w:val="2"/>
          <w:sz w:val="21"/>
          <w:szCs w:val="21"/>
          <w:highlight w:val="none"/>
          <w:vertAlign w:val="baseline"/>
          <w:lang w:val="en-US" w:eastAsia="zh-CN" w:bidi="ar"/>
        </w:rPr>
        <w:t>、质疑和投诉</w:t>
      </w:r>
    </w:p>
    <w:p w14:paraId="5E586D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29.1</w:t>
      </w:r>
      <w:r>
        <w:rPr>
          <w:rFonts w:hint="eastAsia" w:ascii="宋体" w:hAnsi="宋体" w:eastAsia="宋体" w:cs="Times New Roman"/>
          <w:b w:val="0"/>
          <w:bCs w:val="0"/>
          <w:caps w:val="0"/>
          <w:color w:val="auto"/>
          <w:kern w:val="2"/>
          <w:sz w:val="21"/>
          <w:szCs w:val="21"/>
          <w:highlight w:val="none"/>
          <w:vertAlign w:val="baseline"/>
          <w:lang w:val="en-US" w:eastAsia="zh-CN" w:bidi="ar"/>
        </w:rPr>
        <w:t>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7507DF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29.2</w:t>
      </w:r>
      <w:r>
        <w:rPr>
          <w:rFonts w:hint="eastAsia" w:ascii="宋体" w:hAnsi="宋体" w:eastAsia="宋体" w:cs="Times New Roman"/>
          <w:b w:val="0"/>
          <w:bCs w:val="0"/>
          <w:caps w:val="0"/>
          <w:color w:val="auto"/>
          <w:kern w:val="2"/>
          <w:sz w:val="21"/>
          <w:szCs w:val="21"/>
          <w:highlight w:val="none"/>
          <w:vertAlign w:val="baseline"/>
          <w:lang w:val="en-US" w:eastAsia="zh-CN" w:bidi="ar"/>
        </w:rPr>
        <w:t>质疑书、投诉书均应明确阐述招标文件、招标过程和中标结果中使自己合法权益受到损害的实质性内容，提供相关事实、依据和证据及其来源或线索，便于有关单位调查、答复和处理。</w:t>
      </w:r>
    </w:p>
    <w:p w14:paraId="4BA8FE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509F7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p>
    <w:p w14:paraId="397FCD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B28CCDA">
      <w:pPr>
        <w:pStyle w:val="4"/>
        <w:bidi w:val="0"/>
        <w:jc w:val="center"/>
        <w:rPr>
          <w:rFonts w:hint="default"/>
          <w:lang w:val="en-US" w:eastAsia="zh-CN"/>
        </w:rPr>
      </w:pPr>
      <w:bookmarkStart w:id="9" w:name="_Toc16920"/>
      <w:r>
        <w:rPr>
          <w:rFonts w:hint="eastAsia"/>
          <w:lang w:val="en-US" w:eastAsia="zh-CN"/>
        </w:rPr>
        <w:t>第三章</w:t>
      </w:r>
      <w:r>
        <w:rPr>
          <w:rFonts w:hint="default"/>
          <w:lang w:val="en-US" w:eastAsia="zh-CN"/>
        </w:rPr>
        <w:t xml:space="preserve">  </w:t>
      </w:r>
      <w:r>
        <w:rPr>
          <w:rFonts w:hint="eastAsia"/>
          <w:lang w:val="en-US" w:eastAsia="zh-CN"/>
        </w:rPr>
        <w:t>评标办法</w:t>
      </w:r>
      <w:bookmarkEnd w:id="9"/>
    </w:p>
    <w:p w14:paraId="24B32C1C">
      <w:pPr>
        <w:spacing w:line="440" w:lineRule="exact"/>
        <w:ind w:firstLine="420" w:firstLineChars="200"/>
        <w:rPr>
          <w:rFonts w:ascii="宋体" w:hAnsi="宋体"/>
          <w:sz w:val="21"/>
          <w:szCs w:val="21"/>
          <w:highlight w:val="none"/>
        </w:rPr>
      </w:pPr>
      <w:r>
        <w:rPr>
          <w:rFonts w:hint="eastAsia" w:ascii="宋体" w:hAnsi="宋体"/>
          <w:sz w:val="21"/>
          <w:szCs w:val="21"/>
          <w:highlight w:val="none"/>
        </w:rPr>
        <w:t>按照国家相关部门的规定，遵循公开、公平、公正和诚实信用的原则，结合本招标项目的实际情况，制定本招标项目评标办法。</w:t>
      </w:r>
    </w:p>
    <w:p w14:paraId="2BF9C2AC">
      <w:pPr>
        <w:spacing w:line="440" w:lineRule="exact"/>
        <w:jc w:val="center"/>
        <w:rPr>
          <w:rFonts w:ascii="宋体" w:hAnsi="宋体"/>
          <w:b/>
          <w:sz w:val="28"/>
          <w:szCs w:val="28"/>
          <w:highlight w:val="none"/>
        </w:rPr>
      </w:pPr>
      <w:r>
        <w:rPr>
          <w:rFonts w:hint="eastAsia" w:ascii="宋体" w:hAnsi="宋体"/>
          <w:b/>
          <w:sz w:val="28"/>
          <w:szCs w:val="28"/>
          <w:highlight w:val="none"/>
        </w:rPr>
        <w:t>一、评标程序</w:t>
      </w:r>
    </w:p>
    <w:p w14:paraId="3EB83FFA">
      <w:pPr>
        <w:spacing w:line="440" w:lineRule="exact"/>
        <w:rPr>
          <w:rFonts w:ascii="宋体" w:hAnsi="宋体"/>
          <w:b/>
          <w:bCs/>
          <w:sz w:val="21"/>
          <w:szCs w:val="21"/>
          <w:highlight w:val="none"/>
        </w:rPr>
      </w:pPr>
      <w:r>
        <w:rPr>
          <w:rFonts w:hint="eastAsia" w:ascii="宋体" w:hAnsi="宋体"/>
          <w:b/>
          <w:bCs/>
          <w:sz w:val="21"/>
          <w:szCs w:val="21"/>
          <w:highlight w:val="none"/>
        </w:rPr>
        <w:t>（一）组成评标委员会</w:t>
      </w:r>
    </w:p>
    <w:p w14:paraId="31592396">
      <w:pPr>
        <w:spacing w:line="440" w:lineRule="exact"/>
        <w:ind w:firstLine="420" w:firstLineChars="200"/>
        <w:rPr>
          <w:rFonts w:ascii="宋体" w:hAnsi="宋体"/>
          <w:sz w:val="21"/>
          <w:szCs w:val="21"/>
          <w:highlight w:val="none"/>
        </w:rPr>
      </w:pPr>
      <w:r>
        <w:rPr>
          <w:rFonts w:hint="eastAsia" w:ascii="宋体" w:hAnsi="宋体"/>
          <w:sz w:val="21"/>
          <w:szCs w:val="21"/>
          <w:highlight w:val="none"/>
        </w:rPr>
        <w:t>按照国家有关部委及省、市的相关规定，从专家库中随机抽取技术、经济等方面的专家共</w:t>
      </w:r>
      <w:r>
        <w:rPr>
          <w:rFonts w:hint="eastAsia" w:ascii="宋体" w:hAnsi="宋体"/>
          <w:sz w:val="21"/>
          <w:szCs w:val="21"/>
          <w:highlight w:val="none"/>
          <w:lang w:val="en-US" w:eastAsia="zh-CN"/>
        </w:rPr>
        <w:t>5</w:t>
      </w:r>
      <w:r>
        <w:rPr>
          <w:rFonts w:hint="eastAsia" w:ascii="宋体" w:hAnsi="宋体"/>
          <w:sz w:val="21"/>
          <w:szCs w:val="21"/>
          <w:highlight w:val="none"/>
        </w:rPr>
        <w:t>人组成评标委员会（以下简称“评委会”）。为保证评标工作的顺利进行，推荐一名评委担任评委会主任，负责评标全面工作。</w:t>
      </w:r>
    </w:p>
    <w:p w14:paraId="73BC7703">
      <w:pPr>
        <w:pStyle w:val="37"/>
        <w:spacing w:line="440" w:lineRule="exact"/>
        <w:rPr>
          <w:rFonts w:ascii="宋体" w:hAnsi="宋体" w:eastAsia="宋体"/>
          <w:b/>
          <w:bCs/>
          <w:sz w:val="21"/>
          <w:szCs w:val="21"/>
          <w:highlight w:val="none"/>
        </w:rPr>
      </w:pPr>
      <w:r>
        <w:rPr>
          <w:rFonts w:hint="eastAsia" w:ascii="宋体" w:hAnsi="宋体" w:eastAsia="宋体"/>
          <w:b/>
          <w:bCs/>
          <w:sz w:val="21"/>
          <w:szCs w:val="21"/>
          <w:highlight w:val="none"/>
        </w:rPr>
        <w:t>（二）评审方法：综合评分法</w:t>
      </w:r>
    </w:p>
    <w:p w14:paraId="15934AAE">
      <w:pPr>
        <w:spacing w:line="440" w:lineRule="exact"/>
        <w:ind w:firstLine="420" w:firstLineChars="200"/>
        <w:rPr>
          <w:rFonts w:ascii="宋体" w:hAnsi="宋体"/>
          <w:b/>
          <w:bCs/>
          <w:sz w:val="21"/>
          <w:szCs w:val="21"/>
          <w:highlight w:val="none"/>
        </w:rPr>
      </w:pPr>
      <w:r>
        <w:rPr>
          <w:rFonts w:hint="eastAsia" w:ascii="宋体" w:hAnsi="宋体"/>
          <w:sz w:val="21"/>
          <w:szCs w:val="21"/>
          <w:highlight w:val="none"/>
        </w:rPr>
        <w:t>综合评分法，是指投标文件满足招标文件全部实质性要求，且按照评审因素的量化指标评审得分最高的供应商为中标候选人的评标方法。</w:t>
      </w:r>
    </w:p>
    <w:p w14:paraId="121AAF55">
      <w:pPr>
        <w:pStyle w:val="37"/>
        <w:spacing w:line="440" w:lineRule="exact"/>
        <w:rPr>
          <w:rFonts w:ascii="宋体" w:hAnsi="宋体" w:eastAsia="宋体"/>
          <w:b/>
          <w:bCs/>
          <w:sz w:val="21"/>
          <w:szCs w:val="21"/>
          <w:highlight w:val="none"/>
        </w:rPr>
      </w:pPr>
      <w:r>
        <w:rPr>
          <w:rFonts w:hint="eastAsia" w:ascii="宋体" w:hAnsi="宋体" w:eastAsia="宋体"/>
          <w:b/>
          <w:bCs/>
          <w:sz w:val="21"/>
          <w:szCs w:val="21"/>
          <w:highlight w:val="none"/>
        </w:rPr>
        <w:t>（三）评标工作</w:t>
      </w:r>
    </w:p>
    <w:p w14:paraId="24889275">
      <w:pPr>
        <w:spacing w:line="440" w:lineRule="exact"/>
        <w:ind w:firstLine="420" w:firstLineChars="200"/>
        <w:rPr>
          <w:rFonts w:ascii="宋体" w:hAnsi="宋体"/>
          <w:sz w:val="21"/>
          <w:szCs w:val="21"/>
          <w:highlight w:val="none"/>
        </w:rPr>
      </w:pPr>
      <w:r>
        <w:rPr>
          <w:rFonts w:hint="eastAsia" w:ascii="宋体" w:hAnsi="宋体"/>
          <w:sz w:val="21"/>
          <w:szCs w:val="21"/>
          <w:highlight w:val="none"/>
        </w:rPr>
        <w:t>评标本着客观公正、公平竞争、择优推荐、规范合法的原则进行。评标工作分为资格审查、符合性审查和详细评审三个步骤。</w:t>
      </w:r>
    </w:p>
    <w:p w14:paraId="2E76F7ED">
      <w:pPr>
        <w:spacing w:line="440" w:lineRule="exact"/>
        <w:ind w:firstLine="420" w:firstLineChars="200"/>
        <w:rPr>
          <w:rFonts w:ascii="宋体" w:hAnsi="宋体"/>
          <w:sz w:val="21"/>
          <w:szCs w:val="21"/>
          <w:highlight w:val="none"/>
        </w:rPr>
      </w:pPr>
      <w:r>
        <w:rPr>
          <w:rFonts w:hint="eastAsia" w:ascii="宋体" w:hAnsi="宋体"/>
          <w:sz w:val="21"/>
          <w:szCs w:val="21"/>
          <w:highlight w:val="none"/>
        </w:rPr>
        <w:t>1.资格审查。采购人或代理机构对各供应商的资格进行审查。资格审查合格的供应商方可进入符合性审查。</w:t>
      </w:r>
      <w:r>
        <w:rPr>
          <w:rFonts w:hint="eastAsia" w:ascii="宋体" w:hAnsi="宋体" w:cs="宋体"/>
          <w:sz w:val="21"/>
          <w:szCs w:val="21"/>
          <w:highlight w:val="none"/>
        </w:rPr>
        <w:t>不具备招标文件中规定的资格要求的，投标无效。合格供应商不足3家的，不得评标。</w:t>
      </w:r>
    </w:p>
    <w:p w14:paraId="6ADCC4B5">
      <w:pPr>
        <w:spacing w:line="440" w:lineRule="exact"/>
        <w:ind w:firstLine="420" w:firstLineChars="200"/>
        <w:rPr>
          <w:rFonts w:ascii="宋体" w:hAnsi="宋体"/>
          <w:sz w:val="21"/>
          <w:szCs w:val="21"/>
          <w:highlight w:val="none"/>
        </w:rPr>
      </w:pPr>
      <w:r>
        <w:rPr>
          <w:rFonts w:hint="eastAsia" w:ascii="宋体" w:hAnsi="宋体"/>
          <w:sz w:val="21"/>
          <w:szCs w:val="21"/>
          <w:highlight w:val="none"/>
        </w:rPr>
        <w:t>2.符合性审查。评委会对供应商的投标文件进行符合性审查。符合性审查合格的供应商方可进入详细评审。</w:t>
      </w:r>
      <w:r>
        <w:rPr>
          <w:rFonts w:hint="eastAsia" w:ascii="宋体" w:hAnsi="宋体" w:cs="宋体"/>
          <w:sz w:val="21"/>
          <w:szCs w:val="21"/>
          <w:highlight w:val="none"/>
        </w:rPr>
        <w:t>有一项不符合的，投标无效。</w:t>
      </w:r>
    </w:p>
    <w:p w14:paraId="1EE0C30D">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2.1</w:t>
      </w:r>
      <w:r>
        <w:rPr>
          <w:rFonts w:hint="eastAsia" w:ascii="宋体"/>
          <w:bCs/>
          <w:sz w:val="21"/>
          <w:szCs w:val="21"/>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sz w:val="21"/>
          <w:szCs w:val="21"/>
          <w:highlight w:val="none"/>
        </w:rPr>
        <w:t>招标文件</w:t>
      </w:r>
      <w:r>
        <w:rPr>
          <w:rFonts w:hint="eastAsia" w:ascii="宋体"/>
          <w:bCs/>
          <w:sz w:val="21"/>
          <w:szCs w:val="21"/>
          <w:highlight w:val="none"/>
        </w:rPr>
        <w:t>中未标明采购进口产品的，均为采购本国产品。供应商必须投标本国产品，投标进口产品的，投标无效。进口产品是指通过中国海关报关验放进入中国境内且产自关境外的产品。</w:t>
      </w:r>
    </w:p>
    <w:p w14:paraId="688728E1">
      <w:pPr>
        <w:spacing w:line="440" w:lineRule="exact"/>
        <w:ind w:firstLine="420" w:firstLineChars="200"/>
        <w:rPr>
          <w:rFonts w:ascii="宋体" w:hAnsi="宋体"/>
          <w:sz w:val="21"/>
          <w:szCs w:val="21"/>
          <w:highlight w:val="none"/>
        </w:rPr>
      </w:pPr>
      <w:r>
        <w:rPr>
          <w:rFonts w:hint="eastAsia" w:ascii="宋体" w:hAnsi="宋体" w:cs="宋体"/>
          <w:sz w:val="21"/>
          <w:szCs w:val="21"/>
          <w:highlight w:val="none"/>
        </w:rPr>
        <w:t>2.2提供相同品牌核心产品且通过资格审查、符合性审查的不同投标人参加同一合同项下投标的，按一家投标人计算，评审后得分最高的同品牌投标人获得中标人推荐资格；评审得分相同的，参照5.1规定确定一个投标人获得中标人推荐资格，其他同品牌投标人不作为中标候选人。符合性审查后，因提供相同品牌产品的不同投标人按一家计算而导致有效投标人不足3家的，</w:t>
      </w:r>
      <w:r>
        <w:rPr>
          <w:rFonts w:hint="eastAsia" w:ascii="宋体" w:hAnsi="宋体" w:cs="仿宋_GB2312"/>
          <w:sz w:val="21"/>
          <w:szCs w:val="21"/>
          <w:highlight w:val="none"/>
        </w:rPr>
        <w:t>应予废标。</w:t>
      </w:r>
    </w:p>
    <w:p w14:paraId="6DBC1697">
      <w:pPr>
        <w:spacing w:line="440" w:lineRule="exact"/>
        <w:ind w:firstLine="420" w:firstLineChars="200"/>
        <w:rPr>
          <w:rFonts w:ascii="宋体" w:hAnsi="宋体" w:cs="仿宋_GB2312"/>
          <w:sz w:val="21"/>
          <w:szCs w:val="21"/>
          <w:highlight w:val="none"/>
        </w:rPr>
      </w:pPr>
      <w:r>
        <w:rPr>
          <w:rFonts w:hint="eastAsia" w:ascii="宋体" w:hAnsi="宋体"/>
          <w:sz w:val="21"/>
          <w:szCs w:val="21"/>
          <w:highlight w:val="none"/>
        </w:rPr>
        <w:t>3.详细评审。详细评审采用综合评分法。评委依据评标办法分别对各供应商的投标文件进行评审、赋分。如果通过资格审查和符合性审查的供应商不足三家，则采购人重新招标。</w:t>
      </w:r>
    </w:p>
    <w:p w14:paraId="36657C5E">
      <w:pPr>
        <w:spacing w:line="440" w:lineRule="exact"/>
        <w:rPr>
          <w:rFonts w:ascii="宋体" w:hAnsi="宋体"/>
          <w:b/>
          <w:sz w:val="21"/>
          <w:szCs w:val="21"/>
          <w:highlight w:val="none"/>
        </w:rPr>
      </w:pPr>
      <w:r>
        <w:rPr>
          <w:rFonts w:hint="eastAsia" w:ascii="宋体" w:hAnsi="宋体"/>
          <w:b/>
          <w:sz w:val="21"/>
          <w:szCs w:val="21"/>
          <w:highlight w:val="none"/>
        </w:rPr>
        <w:t>（四）询标（必要时）</w:t>
      </w:r>
    </w:p>
    <w:p w14:paraId="10E7F9CB">
      <w:pPr>
        <w:spacing w:line="440" w:lineRule="exact"/>
        <w:ind w:firstLine="420" w:firstLineChars="200"/>
        <w:rPr>
          <w:rFonts w:ascii="宋体" w:hAnsi="宋体"/>
          <w:sz w:val="21"/>
          <w:szCs w:val="21"/>
          <w:highlight w:val="none"/>
        </w:rPr>
      </w:pPr>
      <w:r>
        <w:rPr>
          <w:rFonts w:hint="eastAsia" w:ascii="宋体" w:hAnsi="宋体"/>
          <w:sz w:val="21"/>
          <w:szCs w:val="21"/>
          <w:highlight w:val="none"/>
        </w:rPr>
        <w:t>评标委员会对投标文件需要澄清的问题，采用集体询标方式进行。</w:t>
      </w:r>
    </w:p>
    <w:p w14:paraId="4A3B9A74">
      <w:pPr>
        <w:spacing w:line="440" w:lineRule="exact"/>
        <w:rPr>
          <w:rFonts w:ascii="宋体" w:hAnsi="宋体"/>
          <w:b/>
          <w:bCs/>
          <w:sz w:val="21"/>
          <w:szCs w:val="21"/>
          <w:highlight w:val="none"/>
        </w:rPr>
      </w:pPr>
      <w:r>
        <w:rPr>
          <w:rFonts w:hint="eastAsia" w:ascii="宋体" w:hAnsi="宋体"/>
          <w:b/>
          <w:bCs/>
          <w:sz w:val="21"/>
          <w:szCs w:val="21"/>
          <w:highlight w:val="none"/>
        </w:rPr>
        <w:t>（五）推荐中标候选人</w:t>
      </w:r>
    </w:p>
    <w:p w14:paraId="716245EC">
      <w:pPr>
        <w:spacing w:line="440" w:lineRule="exact"/>
        <w:ind w:firstLine="420" w:firstLineChars="200"/>
        <w:rPr>
          <w:rFonts w:ascii="宋体" w:hAnsi="宋体" w:cs="宋体"/>
          <w:sz w:val="21"/>
          <w:szCs w:val="21"/>
          <w:highlight w:val="none"/>
        </w:rPr>
      </w:pPr>
      <w:r>
        <w:rPr>
          <w:rFonts w:hint="eastAsia" w:ascii="宋体" w:hAnsi="宋体" w:cs="宋体"/>
          <w:sz w:val="21"/>
          <w:szCs w:val="21"/>
          <w:highlight w:val="none"/>
        </w:rPr>
        <w:t>5.1汇总各评委得分，投标人最终得分按各位评委打分平均值计取，保留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根据综合评审结果，按照综合得分由高到低的顺序，推荐三名中标候选人，由采购人确定排名第一的供应商为中标人。</w:t>
      </w:r>
    </w:p>
    <w:p w14:paraId="32ABA1A2">
      <w:pPr>
        <w:spacing w:line="440" w:lineRule="exact"/>
        <w:ind w:firstLine="420" w:firstLineChars="200"/>
        <w:rPr>
          <w:sz w:val="21"/>
          <w:szCs w:val="21"/>
          <w:highlight w:val="none"/>
        </w:rPr>
      </w:pPr>
      <w:r>
        <w:rPr>
          <w:rFonts w:hint="eastAsia" w:ascii="宋体" w:hAnsi="宋体" w:cs="宋体"/>
          <w:sz w:val="21"/>
          <w:szCs w:val="21"/>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33EDF267">
      <w:pPr>
        <w:spacing w:line="440" w:lineRule="exact"/>
        <w:ind w:firstLine="420" w:firstLineChars="200"/>
        <w:rPr>
          <w:rFonts w:hint="eastAsia" w:ascii="宋体" w:hAnsi="宋体" w:eastAsia="宋体" w:cs="宋体"/>
          <w:sz w:val="24"/>
          <w:highlight w:val="none"/>
        </w:rPr>
      </w:pPr>
      <w:r>
        <w:rPr>
          <w:rFonts w:hint="eastAsia" w:ascii="宋体" w:hAnsi="宋体" w:eastAsia="宋体" w:cs="宋体"/>
          <w:sz w:val="21"/>
          <w:szCs w:val="21"/>
          <w:highlight w:val="none"/>
          <w:lang w:val="en-US" w:eastAsia="zh-CN"/>
        </w:rPr>
        <w:t>评标工作结束时，评委会将本项目综合评审结果向采购人提交书面“评标报告”，各评委对评标报告内容讨论通过后，在“评标报告”上签字，对评标结果予以确认。</w:t>
      </w:r>
    </w:p>
    <w:p w14:paraId="069BF0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p>
    <w:p w14:paraId="2A53B4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b/>
          <w:bCs/>
          <w:caps w:val="0"/>
          <w:color w:val="auto"/>
          <w:kern w:val="2"/>
          <w:sz w:val="32"/>
          <w:szCs w:val="32"/>
          <w:highlight w:val="none"/>
          <w:vertAlign w:val="baseline"/>
          <w:lang w:bidi="ar"/>
        </w:rPr>
      </w:pPr>
      <w:r>
        <w:rPr>
          <w:rFonts w:hint="eastAsia" w:ascii="宋体" w:hAnsi="宋体" w:eastAsia="宋体" w:cs="Times New Roman"/>
          <w:b/>
          <w:bCs/>
          <w:caps w:val="0"/>
          <w:color w:val="auto"/>
          <w:kern w:val="2"/>
          <w:sz w:val="32"/>
          <w:szCs w:val="32"/>
          <w:highlight w:val="none"/>
          <w:vertAlign w:val="baseline"/>
          <w:lang w:val="en-US" w:eastAsia="zh-CN" w:bidi="ar"/>
        </w:rPr>
        <w:t>二、评</w:t>
      </w:r>
      <w:r>
        <w:rPr>
          <w:rFonts w:hint="default" w:ascii="Calibri" w:hAnsi="Calibri" w:eastAsia="宋体" w:cs="Times New Roman"/>
          <w:b/>
          <w:bCs/>
          <w:caps w:val="0"/>
          <w:color w:val="auto"/>
          <w:kern w:val="2"/>
          <w:sz w:val="32"/>
          <w:szCs w:val="32"/>
          <w:highlight w:val="none"/>
          <w:vertAlign w:val="baseline"/>
          <w:lang w:val="en-US" w:eastAsia="zh-CN" w:bidi="ar"/>
        </w:rPr>
        <w:t xml:space="preserve"> </w:t>
      </w:r>
      <w:r>
        <w:rPr>
          <w:rFonts w:hint="eastAsia" w:ascii="宋体" w:hAnsi="宋体" w:eastAsia="宋体" w:cs="Times New Roman"/>
          <w:b/>
          <w:bCs/>
          <w:caps w:val="0"/>
          <w:color w:val="auto"/>
          <w:kern w:val="2"/>
          <w:sz w:val="32"/>
          <w:szCs w:val="32"/>
          <w:highlight w:val="none"/>
          <w:vertAlign w:val="baseline"/>
          <w:lang w:val="en-US" w:eastAsia="zh-CN" w:bidi="ar"/>
        </w:rPr>
        <w:t>标</w:t>
      </w:r>
      <w:r>
        <w:rPr>
          <w:rFonts w:hint="default" w:ascii="Calibri" w:hAnsi="Calibri" w:eastAsia="宋体" w:cs="Times New Roman"/>
          <w:b/>
          <w:bCs/>
          <w:caps w:val="0"/>
          <w:color w:val="auto"/>
          <w:kern w:val="2"/>
          <w:sz w:val="32"/>
          <w:szCs w:val="32"/>
          <w:highlight w:val="none"/>
          <w:vertAlign w:val="baseline"/>
          <w:lang w:val="en-US" w:eastAsia="zh-CN" w:bidi="ar"/>
        </w:rPr>
        <w:t xml:space="preserve"> </w:t>
      </w:r>
      <w:r>
        <w:rPr>
          <w:rFonts w:hint="eastAsia" w:ascii="宋体" w:hAnsi="宋体" w:eastAsia="宋体" w:cs="Times New Roman"/>
          <w:b/>
          <w:bCs/>
          <w:caps w:val="0"/>
          <w:color w:val="auto"/>
          <w:kern w:val="2"/>
          <w:sz w:val="32"/>
          <w:szCs w:val="32"/>
          <w:highlight w:val="none"/>
          <w:vertAlign w:val="baseline"/>
          <w:lang w:val="en-US" w:eastAsia="zh-CN" w:bidi="ar"/>
        </w:rPr>
        <w:t>办</w:t>
      </w:r>
      <w:r>
        <w:rPr>
          <w:rFonts w:hint="default" w:ascii="Calibri" w:hAnsi="Calibri" w:eastAsia="宋体" w:cs="Times New Roman"/>
          <w:b/>
          <w:bCs/>
          <w:caps w:val="0"/>
          <w:color w:val="auto"/>
          <w:kern w:val="2"/>
          <w:sz w:val="32"/>
          <w:szCs w:val="32"/>
          <w:highlight w:val="none"/>
          <w:vertAlign w:val="baseline"/>
          <w:lang w:val="en-US" w:eastAsia="zh-CN" w:bidi="ar"/>
        </w:rPr>
        <w:t xml:space="preserve"> </w:t>
      </w:r>
      <w:r>
        <w:rPr>
          <w:rFonts w:hint="eastAsia" w:ascii="宋体" w:hAnsi="宋体" w:eastAsia="宋体" w:cs="Times New Roman"/>
          <w:b/>
          <w:bCs/>
          <w:caps w:val="0"/>
          <w:color w:val="auto"/>
          <w:kern w:val="2"/>
          <w:sz w:val="32"/>
          <w:szCs w:val="32"/>
          <w:highlight w:val="none"/>
          <w:vertAlign w:val="baseline"/>
          <w:lang w:val="en-US" w:eastAsia="zh-CN" w:bidi="ar"/>
        </w:rPr>
        <w:t>法</w:t>
      </w:r>
    </w:p>
    <w:p w14:paraId="180AE7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（一）资格审查</w:t>
      </w:r>
    </w:p>
    <w:p w14:paraId="62453E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firstLine="0"/>
        <w:jc w:val="left"/>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资格审查表</w:t>
      </w:r>
    </w:p>
    <w:tbl>
      <w:tblPr>
        <w:tblStyle w:val="28"/>
        <w:tblW w:w="92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22"/>
        <w:gridCol w:w="1330"/>
        <w:gridCol w:w="5164"/>
        <w:gridCol w:w="2243"/>
      </w:tblGrid>
      <w:tr w14:paraId="4CE937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41"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60423E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序号</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BFCFC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评审因素</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1B03ED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资格审查内容</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280E15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要求</w:t>
            </w:r>
          </w:p>
        </w:tc>
      </w:tr>
      <w:tr w14:paraId="4A414B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75624E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93398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营业执照</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35E4A9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营业执照副本</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791EAD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标书内附复印件加盖单位公章</w:t>
            </w:r>
          </w:p>
        </w:tc>
      </w:tr>
      <w:tr w14:paraId="798A4E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2B0F0D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FEA27BC">
            <w:pPr>
              <w:spacing w:line="360" w:lineRule="exact"/>
              <w:jc w:val="center"/>
              <w:rPr>
                <w:rFonts w:hint="eastAsia" w:ascii="Calibri" w:hAnsi="Calibri"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color w:val="000000"/>
                <w:lang w:val="en-US"/>
              </w:rPr>
              <w:t>食品经营许可证</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234F1D7D">
            <w:pPr>
              <w:spacing w:line="360" w:lineRule="exact"/>
              <w:jc w:val="left"/>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color w:val="000000"/>
              </w:rPr>
              <w:t>具有有效的</w:t>
            </w:r>
            <w:r>
              <w:rPr>
                <w:rFonts w:hint="eastAsia" w:ascii="宋体" w:hAnsi="宋体" w:eastAsia="宋体" w:cs="宋体"/>
                <w:color w:val="000000"/>
                <w:lang w:val="en-US"/>
              </w:rPr>
              <w:t>食品经营许可证</w:t>
            </w:r>
            <w:r>
              <w:rPr>
                <w:rFonts w:hint="eastAsia" w:ascii="宋体" w:hAnsi="宋体" w:eastAsia="宋体" w:cs="宋体"/>
                <w:color w:val="000000"/>
                <w:lang w:val="en-US" w:eastAsia="zh-CN"/>
              </w:rPr>
              <w:t>。</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778AAB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投标文件内提交证明资料并加盖公章。</w:t>
            </w:r>
          </w:p>
        </w:tc>
      </w:tr>
      <w:tr w14:paraId="327740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72F1F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4B24CBD">
            <w:pPr>
              <w:spacing w:line="360" w:lineRule="exact"/>
              <w:jc w:val="center"/>
              <w:rPr>
                <w:rFonts w:hint="eastAsia" w:ascii="宋体" w:hAnsi="宋体" w:eastAsia="宋体" w:cs="宋体"/>
                <w:color w:val="000000"/>
                <w:lang w:val="en-US"/>
              </w:rPr>
            </w:pPr>
            <w:r>
              <w:rPr>
                <w:rFonts w:hint="eastAsia" w:ascii="宋体" w:hAnsi="宋体" w:eastAsia="宋体" w:cs="宋体"/>
                <w:szCs w:val="21"/>
                <w:lang w:val="zh-CN"/>
              </w:rPr>
              <w:t>资格条件承诺函</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5921C5FE">
            <w:pPr>
              <w:spacing w:line="360" w:lineRule="exact"/>
              <w:jc w:val="left"/>
              <w:rPr>
                <w:rFonts w:hint="eastAsia" w:ascii="宋体" w:hAnsi="宋体" w:eastAsia="宋体" w:cs="宋体"/>
                <w:color w:val="000000"/>
              </w:rPr>
            </w:pPr>
            <w:r>
              <w:rPr>
                <w:rFonts w:hint="eastAsia" w:ascii="宋体" w:hAnsi="宋体" w:eastAsia="宋体" w:cs="宋体"/>
                <w:bCs/>
                <w:szCs w:val="21"/>
                <w:lang w:eastAsia="zh-CN"/>
              </w:rPr>
              <w:t>按招标文件内格式提供</w:t>
            </w:r>
            <w:r>
              <w:rPr>
                <w:rFonts w:hint="eastAsia" w:ascii="宋体" w:hAnsi="宋体" w:eastAsia="宋体" w:cs="宋体"/>
                <w:szCs w:val="21"/>
                <w:lang w:val="zh-CN"/>
              </w:rPr>
              <w:t>资格条件承诺函。</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518A0B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投标文件内提交证明资料并加盖公章。</w:t>
            </w:r>
          </w:p>
        </w:tc>
      </w:tr>
      <w:tr w14:paraId="7A5829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56BE37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FC707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aps w:val="0"/>
                <w:color w:val="auto"/>
                <w:kern w:val="2"/>
                <w:sz w:val="21"/>
                <w:szCs w:val="21"/>
                <w:highlight w:val="none"/>
                <w:vertAlign w:val="baseline"/>
                <w:lang w:val="en-US" w:eastAsia="zh-CN" w:bidi="ar"/>
              </w:rPr>
              <w:t>信誉要求</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599C6C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rightChars="0"/>
              <w:jc w:val="both"/>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Calibri" w:hAnsi="Calibri"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Calibri" w:hAnsi="Calibri" w:eastAsia="宋体" w:cs="Times New Roman"/>
                <w:b w:val="0"/>
                <w:bCs w:val="0"/>
                <w:caps w:val="0"/>
                <w:color w:val="auto"/>
                <w:kern w:val="2"/>
                <w:sz w:val="21"/>
                <w:szCs w:val="21"/>
                <w:highlight w:val="none"/>
                <w:vertAlign w:val="baseline"/>
                <w:lang w:val="en-US" w:eastAsia="zh-CN" w:bidi="ar"/>
              </w:rPr>
              <w:t>）拒绝列入政府取消投标资格记录期间的企业或个人投标。（</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Calibri" w:hAnsi="Calibri" w:eastAsia="宋体" w:cs="Times New Roman"/>
                <w:b w:val="0"/>
                <w:bCs w:val="0"/>
                <w:caps w:val="0"/>
                <w:color w:val="auto"/>
                <w:kern w:val="2"/>
                <w:sz w:val="21"/>
                <w:szCs w:val="21"/>
                <w:highlight w:val="none"/>
                <w:vertAlign w:val="baseline"/>
                <w:lang w:val="en-US" w:eastAsia="zh-CN" w:bidi="ar"/>
              </w:rPr>
              <w:t>）未被工商行政管理机关在全国企业信用信息公示系统（</w:t>
            </w:r>
            <w:r>
              <w:rPr>
                <w:rFonts w:hint="default" w:ascii="Calibri" w:hAnsi="Calibri" w:eastAsia="宋体" w:cs="Times New Roman"/>
                <w:b w:val="0"/>
                <w:bCs w:val="0"/>
                <w:caps w:val="0"/>
                <w:color w:val="auto"/>
                <w:kern w:val="2"/>
                <w:sz w:val="21"/>
                <w:szCs w:val="21"/>
                <w:highlight w:val="none"/>
                <w:vertAlign w:val="baseline"/>
                <w:lang w:val="en-US" w:eastAsia="zh-CN" w:bidi="ar"/>
              </w:rPr>
              <w:t>www.gsxt.gov.cn</w:t>
            </w:r>
            <w:r>
              <w:rPr>
                <w:rFonts w:hint="eastAsia" w:ascii="Calibri" w:hAnsi="Calibri" w:eastAsia="宋体" w:cs="Times New Roman"/>
                <w:b w:val="0"/>
                <w:bCs w:val="0"/>
                <w:caps w:val="0"/>
                <w:color w:val="auto"/>
                <w:kern w:val="2"/>
                <w:sz w:val="21"/>
                <w:szCs w:val="21"/>
                <w:highlight w:val="none"/>
                <w:vertAlign w:val="baseline"/>
                <w:lang w:val="en-US" w:eastAsia="zh-CN" w:bidi="ar"/>
              </w:rPr>
              <w:t>）中列入严重违法失信企业名单。（</w:t>
            </w:r>
            <w:r>
              <w:rPr>
                <w:rFonts w:hint="default" w:ascii="Calibri" w:hAnsi="Calibri" w:eastAsia="宋体" w:cs="Times New Roman"/>
                <w:b w:val="0"/>
                <w:bCs w:val="0"/>
                <w:caps w:val="0"/>
                <w:color w:val="auto"/>
                <w:kern w:val="2"/>
                <w:sz w:val="21"/>
                <w:szCs w:val="21"/>
                <w:highlight w:val="none"/>
                <w:vertAlign w:val="baseline"/>
                <w:lang w:val="en-US" w:eastAsia="zh-CN" w:bidi="ar"/>
              </w:rPr>
              <w:t>3</w:t>
            </w:r>
            <w:r>
              <w:rPr>
                <w:rFonts w:hint="eastAsia" w:ascii="Calibri" w:hAnsi="Calibri" w:eastAsia="宋体" w:cs="Times New Roman"/>
                <w:b w:val="0"/>
                <w:bCs w:val="0"/>
                <w:caps w:val="0"/>
                <w:color w:val="auto"/>
                <w:kern w:val="2"/>
                <w:sz w:val="21"/>
                <w:szCs w:val="21"/>
                <w:highlight w:val="none"/>
                <w:vertAlign w:val="baseline"/>
                <w:lang w:val="en-US" w:eastAsia="zh-CN" w:bidi="ar"/>
              </w:rPr>
              <w:t>）未被“信用中国”（www.creditchina.gov.cn）、中国政府采购网（www.ccgp.gov.cn）列入失信被执行人、重大税收违法案件当事人名单、政府采购严重违法失信行为记录名单。（</w:t>
            </w:r>
            <w:r>
              <w:rPr>
                <w:rFonts w:hint="default" w:ascii="Calibri" w:hAnsi="Calibri" w:eastAsia="宋体" w:cs="Times New Roman"/>
                <w:b w:val="0"/>
                <w:bCs w:val="0"/>
                <w:caps w:val="0"/>
                <w:color w:val="auto"/>
                <w:kern w:val="2"/>
                <w:sz w:val="21"/>
                <w:szCs w:val="21"/>
                <w:highlight w:val="none"/>
                <w:vertAlign w:val="baseline"/>
                <w:lang w:val="en-US" w:eastAsia="zh-CN" w:bidi="ar"/>
              </w:rPr>
              <w:t>4</w:t>
            </w:r>
            <w:r>
              <w:rPr>
                <w:rFonts w:hint="eastAsia" w:ascii="Calibri" w:hAnsi="Calibri" w:eastAsia="宋体" w:cs="Times New Roman"/>
                <w:b w:val="0"/>
                <w:bCs w:val="0"/>
                <w:caps w:val="0"/>
                <w:color w:val="auto"/>
                <w:kern w:val="2"/>
                <w:sz w:val="21"/>
                <w:szCs w:val="21"/>
                <w:highlight w:val="none"/>
                <w:vertAlign w:val="baseline"/>
                <w:lang w:val="en-US" w:eastAsia="zh-CN" w:bidi="ar"/>
              </w:rPr>
              <w:t>）在近三年（</w:t>
            </w:r>
            <w:r>
              <w:rPr>
                <w:rFonts w:hint="default" w:ascii="Calibri" w:hAnsi="Calibri" w:eastAsia="宋体" w:cs="Times New Roman"/>
                <w:b w:val="0"/>
                <w:bCs w:val="0"/>
                <w:caps w:val="0"/>
                <w:color w:val="auto"/>
                <w:kern w:val="2"/>
                <w:sz w:val="21"/>
                <w:szCs w:val="21"/>
                <w:highlight w:val="none"/>
                <w:vertAlign w:val="baseline"/>
                <w:lang w:val="en-US" w:eastAsia="zh-CN" w:bidi="ar"/>
              </w:rPr>
              <w:t>20</w:t>
            </w:r>
            <w:r>
              <w:rPr>
                <w:rFonts w:hint="eastAsia" w:ascii="Calibri" w:hAnsi="Calibri" w:eastAsia="宋体" w:cs="Times New Roman"/>
                <w:b w:val="0"/>
                <w:bCs w:val="0"/>
                <w:caps w:val="0"/>
                <w:color w:val="auto"/>
                <w:kern w:val="2"/>
                <w:sz w:val="21"/>
                <w:szCs w:val="21"/>
                <w:highlight w:val="none"/>
                <w:vertAlign w:val="baseline"/>
                <w:lang w:val="en-US" w:eastAsia="zh-CN" w:bidi="ar"/>
              </w:rPr>
              <w:t>21年</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Calibri" w:hAnsi="Calibri" w:eastAsia="宋体" w:cs="Times New Roman"/>
                <w:b w:val="0"/>
                <w:bCs w:val="0"/>
                <w:caps w:val="0"/>
                <w:color w:val="auto"/>
                <w:kern w:val="2"/>
                <w:sz w:val="21"/>
                <w:szCs w:val="21"/>
                <w:highlight w:val="none"/>
                <w:vertAlign w:val="baseline"/>
                <w:lang w:val="en-US" w:eastAsia="zh-CN" w:bidi="ar"/>
              </w:rPr>
              <w:t>月</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Calibri" w:hAnsi="Calibri" w:eastAsia="宋体" w:cs="Times New Roman"/>
                <w:b w:val="0"/>
                <w:bCs w:val="0"/>
                <w:caps w:val="0"/>
                <w:color w:val="auto"/>
                <w:kern w:val="2"/>
                <w:sz w:val="21"/>
                <w:szCs w:val="21"/>
                <w:highlight w:val="none"/>
                <w:vertAlign w:val="baseline"/>
                <w:lang w:val="en-US" w:eastAsia="zh-CN" w:bidi="ar"/>
              </w:rPr>
              <w:t>日至今）内投标人和法定代表人未在“中国裁判文书网”（</w:t>
            </w:r>
            <w:r>
              <w:rPr>
                <w:rFonts w:hint="default" w:ascii="Calibri" w:hAnsi="Calibri" w:eastAsia="宋体" w:cs="Times New Roman"/>
                <w:b w:val="0"/>
                <w:bCs w:val="0"/>
                <w:caps w:val="0"/>
                <w:color w:val="auto"/>
                <w:kern w:val="2"/>
                <w:sz w:val="21"/>
                <w:szCs w:val="21"/>
                <w:highlight w:val="none"/>
                <w:vertAlign w:val="baseline"/>
                <w:lang w:val="en-US" w:eastAsia="zh-CN" w:bidi="ar"/>
              </w:rPr>
              <w:t>http://wenshu.court.gov.cn/</w:t>
            </w:r>
            <w:r>
              <w:rPr>
                <w:rFonts w:hint="eastAsia" w:ascii="Calibri" w:hAnsi="Calibri" w:eastAsia="宋体" w:cs="Times New Roman"/>
                <w:b w:val="0"/>
                <w:bCs w:val="0"/>
                <w:caps w:val="0"/>
                <w:color w:val="auto"/>
                <w:kern w:val="2"/>
                <w:sz w:val="21"/>
                <w:szCs w:val="21"/>
                <w:highlight w:val="none"/>
                <w:vertAlign w:val="baseline"/>
                <w:lang w:val="en-US" w:eastAsia="zh-CN" w:bidi="ar"/>
              </w:rPr>
              <w:t>）上有行贿犯罪行为。</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0F87C6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cs="宋体"/>
                <w:b w:val="0"/>
                <w:bCs w:val="0"/>
                <w:kern w:val="0"/>
                <w:szCs w:val="21"/>
                <w:highlight w:val="none"/>
              </w:rPr>
              <w:t>标书内（1）附由法定代表人或其委托代理人签字或盖章</w:t>
            </w:r>
            <w:r>
              <w:rPr>
                <w:rFonts w:hint="eastAsia" w:ascii="宋体" w:hAnsi="宋体" w:cs="宋体"/>
                <w:b w:val="0"/>
                <w:bCs w:val="0"/>
                <w:kern w:val="0"/>
                <w:szCs w:val="21"/>
                <w:highlight w:val="none"/>
                <w:lang w:val="en-US" w:eastAsia="zh-CN"/>
              </w:rPr>
              <w:t>并</w:t>
            </w:r>
            <w:r>
              <w:rPr>
                <w:rFonts w:hint="eastAsia" w:ascii="宋体" w:hAnsi="宋体" w:cs="宋体"/>
                <w:b w:val="0"/>
                <w:bCs w:val="0"/>
                <w:kern w:val="0"/>
                <w:szCs w:val="21"/>
                <w:highlight w:val="none"/>
              </w:rPr>
              <w:t>加盖投标单位公章的承诺书，（2）至（4）附网站查询截图复印件加盖投标单位公章。</w:t>
            </w:r>
          </w:p>
        </w:tc>
      </w:tr>
      <w:tr w14:paraId="414807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6"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128FEA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5</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47DB5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18030"/>
                <w:color w:val="auto"/>
                <w:szCs w:val="21"/>
                <w:highlight w:val="none"/>
                <w:lang w:val="en-US" w:eastAsia="zh-CN"/>
              </w:rPr>
              <w:t>声明书1</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43EF45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近三年在经营活动中没有重大违法记录的书面声明</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3656B1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标书内附法定代表人签字并加盖单位公章声明书</w:t>
            </w:r>
          </w:p>
        </w:tc>
      </w:tr>
      <w:tr w14:paraId="01EF03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568CCF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6</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0E1D1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Calibri" w:hAnsi="Calibri"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声明书2</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4CC55C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宋体" w:hAnsi="宋体" w:eastAsia="宋体" w:cs="Times New Roman"/>
                <w:b w:val="0"/>
                <w:bCs w:val="0"/>
                <w:caps w:val="0"/>
                <w:color w:val="auto"/>
                <w:kern w:val="2"/>
                <w:sz w:val="21"/>
                <w:szCs w:val="21"/>
                <w:highlight w:val="none"/>
                <w:vertAlign w:val="baseline"/>
                <w:lang w:val="zh-CN" w:eastAsia="zh-CN" w:bidi="ar"/>
              </w:rPr>
            </w:pPr>
            <w:r>
              <w:rPr>
                <w:rFonts w:hint="eastAsia" w:ascii="Calibri" w:hAnsi="Calibri" w:eastAsia="宋体" w:cs="Times New Roman"/>
                <w:b w:val="0"/>
                <w:bCs w:val="0"/>
                <w:caps w:val="0"/>
                <w:color w:val="auto"/>
                <w:kern w:val="2"/>
                <w:sz w:val="21"/>
                <w:szCs w:val="21"/>
                <w:highlight w:val="none"/>
                <w:vertAlign w:val="baseline"/>
                <w:lang w:val="zh-CN" w:eastAsia="zh-CN" w:bidi="ar"/>
              </w:rPr>
              <w:t>为本采购项目提供过整体设计、规范编制或者项目管理、监理、检测等服务的投标人及其附属机构，不得再参加本采购项目的投标活动，投标人须提供声明。</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7B40C76F">
            <w:pPr>
              <w:autoSpaceDE w:val="0"/>
              <w:autoSpaceDN w:val="0"/>
              <w:adjustRightInd w:val="0"/>
              <w:spacing w:line="240" w:lineRule="auto"/>
              <w:jc w:val="center"/>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标书内附法定代表人签字并加盖单位公章声明书</w:t>
            </w:r>
          </w:p>
        </w:tc>
      </w:tr>
      <w:tr w14:paraId="74C0F7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353EA8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7</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698B3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其它要求</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3DE449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00EA17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Calibri" w:hAnsi="Calibri" w:eastAsia="宋体" w:cs="Times New Roman"/>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标书内附法定代表人或委托代理人签字并加盖投标人公章的承诺书</w:t>
            </w:r>
          </w:p>
        </w:tc>
      </w:tr>
      <w:tr w14:paraId="3DE510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77B514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val="en-US" w:eastAsia="zh-CN" w:bidi="ar"/>
              </w:rPr>
            </w:pPr>
            <w:r>
              <w:rPr>
                <w:rFonts w:hint="eastAsia" w:ascii="Calibri" w:hAnsi="Calibri" w:eastAsia="宋体" w:cs="Times New Roman"/>
                <w:caps w:val="0"/>
                <w:color w:val="auto"/>
                <w:kern w:val="2"/>
                <w:sz w:val="21"/>
                <w:szCs w:val="21"/>
                <w:highlight w:val="none"/>
                <w:vertAlign w:val="baseline"/>
                <w:lang w:val="en-US" w:eastAsia="zh-CN" w:bidi="ar"/>
              </w:rPr>
              <w:t>8</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6923260D">
            <w:pPr>
              <w:spacing w:line="360" w:lineRule="exact"/>
              <w:jc w:val="center"/>
              <w:rPr>
                <w:rFonts w:hint="eastAsia" w:ascii="Calibri" w:hAnsi="Calibri"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bCs/>
                <w:kern w:val="0"/>
                <w:sz w:val="21"/>
                <w:szCs w:val="21"/>
                <w:highlight w:val="none"/>
                <w:lang w:val="en-US" w:eastAsia="zh-CN"/>
              </w:rPr>
              <w:t>中小企业声明函</w:t>
            </w:r>
          </w:p>
        </w:tc>
        <w:tc>
          <w:tcPr>
            <w:tcW w:w="5164" w:type="dxa"/>
            <w:tcBorders>
              <w:top w:val="single" w:color="auto" w:sz="4" w:space="0"/>
              <w:left w:val="single" w:color="auto" w:sz="4" w:space="0"/>
              <w:bottom w:val="single" w:color="auto" w:sz="4" w:space="0"/>
              <w:right w:val="single" w:color="auto" w:sz="4" w:space="0"/>
            </w:tcBorders>
            <w:shd w:val="clear" w:color="auto" w:fill="auto"/>
            <w:vAlign w:val="center"/>
          </w:tcPr>
          <w:p w14:paraId="37D5C592">
            <w:pPr>
              <w:spacing w:line="360" w:lineRule="exact"/>
              <w:jc w:val="left"/>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bCs/>
                <w:kern w:val="0"/>
                <w:sz w:val="21"/>
                <w:szCs w:val="21"/>
                <w:highlight w:val="none"/>
                <w:lang w:val="zh-CN" w:eastAsia="zh-CN"/>
              </w:rPr>
              <w:t>本项目专门面向中小企业，</w:t>
            </w:r>
            <w:r>
              <w:rPr>
                <w:rFonts w:hint="eastAsia" w:ascii="宋体" w:hAnsi="宋体" w:eastAsia="宋体" w:cs="宋体"/>
                <w:bCs/>
                <w:kern w:val="0"/>
                <w:sz w:val="21"/>
                <w:szCs w:val="21"/>
                <w:highlight w:val="none"/>
                <w:lang w:val="en-US" w:eastAsia="zh-CN"/>
              </w:rPr>
              <w:t>提供中小企业声明函</w:t>
            </w:r>
            <w:r>
              <w:rPr>
                <w:rFonts w:hint="eastAsia" w:ascii="宋体" w:hAnsi="宋体" w:eastAsia="宋体" w:cs="宋体"/>
                <w:bCs/>
                <w:kern w:val="0"/>
                <w:sz w:val="21"/>
                <w:szCs w:val="21"/>
                <w:highlight w:val="none"/>
                <w:lang w:val="zh-CN" w:eastAsia="zh-CN"/>
              </w:rPr>
              <w:t>。</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548078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宋体"/>
                <w:bCs/>
                <w:kern w:val="0"/>
                <w:sz w:val="21"/>
                <w:szCs w:val="21"/>
                <w:highlight w:val="none"/>
                <w:lang w:val="en-US" w:eastAsia="zh-CN"/>
              </w:rPr>
              <w:t>标书内附</w:t>
            </w:r>
            <w:r>
              <w:rPr>
                <w:rFonts w:hint="eastAsia" w:ascii="宋体" w:hAnsi="宋体" w:eastAsia="宋体" w:cs="宋体"/>
                <w:bCs/>
                <w:kern w:val="0"/>
                <w:sz w:val="21"/>
                <w:szCs w:val="21"/>
                <w:highlight w:val="none"/>
                <w:lang w:val="zh-CN" w:eastAsia="zh-CN"/>
              </w:rPr>
              <w:t>复印件加盖投标单位公章</w:t>
            </w:r>
          </w:p>
        </w:tc>
      </w:tr>
    </w:tbl>
    <w:p w14:paraId="1B79A3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注：本表中符合评审内容要求的写“ √ ”，不符合评审内容要求的写“ × ”。结论为“合 格”或“不合格” 。结论不合格的不进入综合评审阶段。</w:t>
      </w:r>
    </w:p>
    <w:p w14:paraId="70B7FDC5">
      <w:pPr>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br w:type="page"/>
      </w:r>
    </w:p>
    <w:p w14:paraId="234D4F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（二）符合性审查表</w:t>
      </w:r>
    </w:p>
    <w:p w14:paraId="03E1F9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符合性审查表</w:t>
      </w:r>
    </w:p>
    <w:tbl>
      <w:tblPr>
        <w:tblStyle w:val="28"/>
        <w:tblW w:w="918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5122C8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32C15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1AB23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评审标准</w:t>
            </w:r>
          </w:p>
        </w:tc>
      </w:tr>
      <w:tr w14:paraId="1753FF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D88B7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Calibri" w:hAnsi="Calibri" w:eastAsia="宋体" w:cs="Times New Roman"/>
                <w:b w:val="0"/>
                <w:bCs w:val="0"/>
                <w:caps w:val="0"/>
                <w:color w:val="auto"/>
                <w:kern w:val="2"/>
                <w:sz w:val="21"/>
                <w:szCs w:val="21"/>
                <w:highlight w:val="none"/>
                <w:vertAlign w:val="baseline"/>
                <w:lang w:val="en-US" w:eastAsia="zh-CN" w:bidi="ar"/>
              </w:rPr>
              <w:t>授权委托书</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41DED5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法定代表人参加投标的，须提供法定代表人身份证明；</w:t>
            </w:r>
          </w:p>
          <w:p w14:paraId="58CCFC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授权委托人参加投标的，须提供法定代表人授权委托书</w:t>
            </w:r>
          </w:p>
        </w:tc>
      </w:tr>
      <w:tr w14:paraId="65F3FB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CC9D6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投标人名称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D1593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与营业执照一致</w:t>
            </w:r>
          </w:p>
        </w:tc>
      </w:tr>
      <w:tr w14:paraId="5AD046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405DC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投标函签字盖章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4AF58E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有投标单位印章并经法定代表人或其委托代理人签字或盖章</w:t>
            </w:r>
          </w:p>
        </w:tc>
      </w:tr>
      <w:tr w14:paraId="14B121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86306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服务内容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B03AD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符合招标文件要求</w:t>
            </w:r>
          </w:p>
        </w:tc>
      </w:tr>
      <w:tr w14:paraId="165B6D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0CA186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55A45F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一年。甲方按照相关管理制度对乙方进行考核，考核合格且乙方同意继续接受委托的，可续签一服务合同</w:t>
            </w:r>
          </w:p>
        </w:tc>
      </w:tr>
      <w:tr w14:paraId="571839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3FA869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质量要求</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5D0B2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符合国家及行业相关合格标准</w:t>
            </w:r>
          </w:p>
        </w:tc>
      </w:tr>
      <w:tr w14:paraId="45C887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B4220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投标有效期</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0E7DF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投标截止之日后</w:t>
            </w:r>
            <w:r>
              <w:rPr>
                <w:rFonts w:hint="default" w:ascii="Calibri" w:hAnsi="Calibri" w:eastAsia="宋体" w:cs="Times New Roman"/>
                <w:b w:val="0"/>
                <w:bCs w:val="0"/>
                <w:caps w:val="0"/>
                <w:color w:val="auto"/>
                <w:kern w:val="2"/>
                <w:sz w:val="21"/>
                <w:szCs w:val="21"/>
                <w:highlight w:val="none"/>
                <w:vertAlign w:val="baseline"/>
                <w:lang w:val="en-US" w:eastAsia="zh-CN" w:bidi="ar"/>
              </w:rPr>
              <w:t>90</w:t>
            </w:r>
            <w:r>
              <w:rPr>
                <w:rFonts w:hint="eastAsia" w:ascii="宋体" w:hAnsi="宋体" w:eastAsia="宋体" w:cs="Times New Roman"/>
                <w:b w:val="0"/>
                <w:bCs w:val="0"/>
                <w:caps w:val="0"/>
                <w:color w:val="auto"/>
                <w:kern w:val="2"/>
                <w:sz w:val="21"/>
                <w:szCs w:val="21"/>
                <w:highlight w:val="none"/>
                <w:vertAlign w:val="baseline"/>
                <w:lang w:val="en-US" w:eastAsia="zh-CN" w:bidi="ar"/>
              </w:rPr>
              <w:t>天（日历天）</w:t>
            </w:r>
          </w:p>
        </w:tc>
      </w:tr>
      <w:tr w14:paraId="6658EE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7D07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宋体"/>
                <w:bCs/>
                <w:color w:val="000000"/>
                <w:sz w:val="21"/>
                <w:szCs w:val="21"/>
                <w:highlight w:val="none"/>
                <w:lang w:val="zh-CN"/>
              </w:rPr>
              <w:t>权利义务</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9B986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cs="Times New Roman" w:eastAsiaTheme="minorEastAsia"/>
                <w:caps w:val="0"/>
                <w:color w:val="auto"/>
                <w:kern w:val="2"/>
                <w:sz w:val="21"/>
                <w:szCs w:val="21"/>
                <w:highlight w:val="none"/>
                <w:vertAlign w:val="baseline"/>
                <w:lang w:val="en-US" w:eastAsia="zh-CN" w:bidi="ar"/>
              </w:rPr>
            </w:pPr>
            <w:r>
              <w:rPr>
                <w:rFonts w:hint="eastAsia" w:ascii="宋体" w:hAnsi="宋体" w:eastAsia="宋体" w:cs="宋体"/>
                <w:bCs/>
                <w:color w:val="000000"/>
                <w:sz w:val="21"/>
                <w:szCs w:val="21"/>
                <w:highlight w:val="none"/>
                <w:lang w:val="zh-CN"/>
              </w:rPr>
              <w:t>符合第四章“合同条款及格式”的规定</w:t>
            </w:r>
          </w:p>
        </w:tc>
      </w:tr>
      <w:tr w14:paraId="04F074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35FCEC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投标报价</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4C26D4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未超过最高限价</w:t>
            </w:r>
          </w:p>
        </w:tc>
      </w:tr>
    </w:tbl>
    <w:p w14:paraId="6380726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注：（</w:t>
      </w:r>
      <w:r>
        <w:rPr>
          <w:rFonts w:hint="default" w:ascii="Calibri" w:hAnsi="Calibri" w:eastAsia="宋体" w:cs="Times New Roman"/>
          <w:b w:val="0"/>
          <w:bCs w:val="0"/>
          <w:caps w:val="0"/>
          <w:color w:val="auto"/>
          <w:kern w:val="2"/>
          <w:sz w:val="21"/>
          <w:szCs w:val="21"/>
          <w:highlight w:val="none"/>
          <w:vertAlign w:val="baseline"/>
          <w:lang w:val="en-US" w:eastAsia="zh-CN" w:bidi="ar"/>
        </w:rPr>
        <w:t>1</w:t>
      </w:r>
      <w:r>
        <w:rPr>
          <w:rFonts w:hint="eastAsia" w:ascii="宋体" w:hAnsi="宋体" w:eastAsia="宋体" w:cs="Times New Roman"/>
          <w:b w:val="0"/>
          <w:bCs w:val="0"/>
          <w:caps w:val="0"/>
          <w:color w:val="auto"/>
          <w:kern w:val="2"/>
          <w:sz w:val="21"/>
          <w:szCs w:val="21"/>
          <w:highlight w:val="none"/>
          <w:vertAlign w:val="baseline"/>
          <w:lang w:val="en-US" w:eastAsia="zh-CN" w:bidi="ar"/>
        </w:rPr>
        <w:t>）供应商或其投标文件不符合上述情况之一的，则符合性审查不合格，不进入详细评审；</w:t>
      </w:r>
    </w:p>
    <w:p w14:paraId="2E5613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default" w:ascii="Calibri" w:hAnsi="Calibri" w:eastAsia="宋体" w:cs="Times New Roman"/>
          <w:b w:val="0"/>
          <w:bCs w:val="0"/>
          <w:caps w:val="0"/>
          <w:color w:val="auto"/>
          <w:kern w:val="2"/>
          <w:sz w:val="21"/>
          <w:szCs w:val="21"/>
          <w:highlight w:val="none"/>
          <w:vertAlign w:val="baseline"/>
          <w:lang w:val="en-US" w:eastAsia="zh-CN" w:bidi="ar"/>
        </w:rPr>
        <w:t>2</w:t>
      </w:r>
      <w:r>
        <w:rPr>
          <w:rFonts w:hint="eastAsia" w:ascii="宋体" w:hAnsi="宋体" w:eastAsia="宋体" w:cs="Times New Roman"/>
          <w:b w:val="0"/>
          <w:bCs w:val="0"/>
          <w:caps w:val="0"/>
          <w:color w:val="auto"/>
          <w:kern w:val="2"/>
          <w:sz w:val="21"/>
          <w:szCs w:val="21"/>
          <w:highlight w:val="none"/>
          <w:vertAlign w:val="baseline"/>
          <w:lang w:val="en-US" w:eastAsia="zh-CN" w:bidi="ar"/>
        </w:rPr>
        <w:t>）符合性审查结束后，合格的供应商进入详细评审。</w:t>
      </w:r>
    </w:p>
    <w:p w14:paraId="303E5A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除此之外的内容，不作为本次资格审查及符合性审查的内容。</w:t>
      </w:r>
    </w:p>
    <w:p w14:paraId="47C374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投标文件属下列情况之一的，应当在资格性、符合性审查时按照无效投标处理：</w:t>
      </w:r>
    </w:p>
    <w:p w14:paraId="3D0944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未按照招标文件的规定提交投标保证金的；</w:t>
      </w:r>
    </w:p>
    <w:p w14:paraId="7FE657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投标文件未按招标文件要求签署、盖章的；</w:t>
      </w:r>
    </w:p>
    <w:p w14:paraId="692DE3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不具备招标文件中规定资格要求的；</w:t>
      </w:r>
    </w:p>
    <w:p w14:paraId="0DEF82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报价超过招标文件中规定的预算金额或者最高限价的；</w:t>
      </w:r>
    </w:p>
    <w:p w14:paraId="1FF85A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投标文件含有采购人不能接受的附加条件的；</w:t>
      </w:r>
    </w:p>
    <w:p w14:paraId="2119FC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六</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法律、法规和招标文件规定的其他无效情形。</w:t>
      </w:r>
    </w:p>
    <w:p w14:paraId="6E8019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审查投标人是否存在串通投标行为：评标委员会发现有下列情形之一的，视为投标人串通投标，其投标无效：</w:t>
      </w:r>
    </w:p>
    <w:p w14:paraId="09C618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一、有下列情形之一的，属于投标人相互串通投标：</w:t>
      </w:r>
    </w:p>
    <w:p w14:paraId="7F33FD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投标人之间协商投标报价等投标文件的实质性内容；</w:t>
      </w:r>
    </w:p>
    <w:p w14:paraId="6E576C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投标人之间约定中标人；</w:t>
      </w:r>
    </w:p>
    <w:p w14:paraId="16FCFD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投标人之间约定部分投标人放弃投标或者中标；</w:t>
      </w:r>
    </w:p>
    <w:p w14:paraId="38CAAE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属于同一集团、协会、商会等组织成员的投标人按照该组织要求协同投标；</w:t>
      </w:r>
    </w:p>
    <w:p w14:paraId="3DD427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投标人之间为谋取中标或者排斥特定投标人而采取的其他联合行动。</w:t>
      </w:r>
    </w:p>
    <w:p w14:paraId="3621B5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二、有下列情形之一的，视为投标人相互串通投标：</w:t>
      </w:r>
    </w:p>
    <w:p w14:paraId="59835B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不同投标人的投标文件由同一单位或者个人编制；</w:t>
      </w:r>
    </w:p>
    <w:p w14:paraId="728C07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不同投标人委托同一单位或者个人办理投标事宜；</w:t>
      </w:r>
    </w:p>
    <w:p w14:paraId="4D2298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不同投标人的投标文件载明的项目管理成员为同一人；</w:t>
      </w:r>
    </w:p>
    <w:p w14:paraId="70C899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不同投标人的投标文件异常一致或者投标报价呈规律性差异；</w:t>
      </w:r>
    </w:p>
    <w:p w14:paraId="52BA92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不同投标人的投标文件相互混装；</w:t>
      </w:r>
    </w:p>
    <w:p w14:paraId="35AC66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六</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不同投标人的投标保证金从同一单位或者个人的账户转出；</w:t>
      </w:r>
    </w:p>
    <w:p w14:paraId="687B40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七</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《关于禁止串通招标投标行为的暂行规定》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国家工商行政管理局令第 </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82 </w:t>
      </w:r>
      <w:r>
        <w:rPr>
          <w:rFonts w:hint="eastAsia" w:ascii="宋体" w:hAnsi="宋体" w:eastAsia="宋体" w:cs="Times New Roman"/>
          <w:b w:val="0"/>
          <w:bCs w:val="0"/>
          <w:caps w:val="0"/>
          <w:color w:val="auto"/>
          <w:kern w:val="2"/>
          <w:sz w:val="21"/>
          <w:szCs w:val="21"/>
          <w:highlight w:val="none"/>
          <w:vertAlign w:val="baseline"/>
          <w:lang w:val="en-US" w:eastAsia="zh-CN" w:bidi="ar"/>
        </w:rPr>
        <w:t>号</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第三条规定的串通投标行为；</w:t>
      </w:r>
    </w:p>
    <w:p w14:paraId="4025E4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八</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投标人串通投标的其他情形。</w:t>
      </w:r>
    </w:p>
    <w:p w14:paraId="511783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三、有下列情形之一的，属于招标人与投标人串通投标：</w:t>
      </w:r>
    </w:p>
    <w:p w14:paraId="59E1AA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招标人在开标前开启投标文件并将有关信息泄露给其他投标人；</w:t>
      </w:r>
    </w:p>
    <w:p w14:paraId="71A02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招标人直接或者间接向投标人泄露标底、评标委员会成员等信息；</w:t>
      </w:r>
    </w:p>
    <w:p w14:paraId="7674D0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招标人明示或者暗示投标人压低或者抬高投标报价；</w:t>
      </w:r>
    </w:p>
    <w:p w14:paraId="637815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招标人授意投标人撤换、修改投标文件；</w:t>
      </w:r>
    </w:p>
    <w:p w14:paraId="26A592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五</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招标人明示或者暗示投标人为特定投标人中标提供方便；</w:t>
      </w:r>
    </w:p>
    <w:p w14:paraId="51FBD0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六</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招标人与投标人为谋求特定投标人中标而采取的其他串通行为。</w:t>
      </w:r>
    </w:p>
    <w:p w14:paraId="1A206CA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注：经评标委员会评审合格投标商的家数不足三家，该项目废标，采购人有权委托采</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购代理机构重新组织招标。</w:t>
      </w:r>
    </w:p>
    <w:p w14:paraId="120ABA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 </w:t>
      </w:r>
      <w:r>
        <w:rPr>
          <w:rFonts w:hint="eastAsia" w:ascii="宋体" w:hAnsi="宋体" w:eastAsia="宋体" w:cs="Times New Roman"/>
          <w:b w:val="0"/>
          <w:bCs w:val="0"/>
          <w:caps w:val="0"/>
          <w:color w:val="auto"/>
          <w:kern w:val="2"/>
          <w:sz w:val="21"/>
          <w:szCs w:val="21"/>
          <w:highlight w:val="none"/>
          <w:vertAlign w:val="baseline"/>
          <w:lang w:val="en-US" w:eastAsia="zh-CN" w:bidi="ar"/>
        </w:rPr>
        <w:t>澄清有关问题。对投标文件中含义不明确、同类问题表述不一致或者有明显文字和计 算错误的内容，评标委员会可以书面形式要求投标人做出必要的澄清、说明或者纠正。投 标人的澄清、说明或者补正不得超出投标文件的范围或者改变投标文件的实质性内容。投 标人的澄清、说明或者补正应当采用书面形式，由投标人单位负责人或其授权代理人签字</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须提交签字人身份证件并与投标文件签字人一致</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，并不得超出投标文件的范围或者改 变投标文件的实质性内容。投标人拒不进行澄清、说明、补正的，或者不能在规定时间内 作出书面澄清、说明、补正的，评标委员会将按最不利于投标人的方式处理。</w:t>
      </w:r>
    </w:p>
    <w:p w14:paraId="0D80EF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3.2.1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评标委员会将允许修正投标文件中不构成重大偏离的细微偏离，但这些修正应不会 对实质上响应招标文件要求的投标人的竞争地位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相互排序</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产生不公正的影响。</w:t>
      </w:r>
    </w:p>
    <w:p w14:paraId="4CAE8A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3.2.2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投标文件报价出现前后不一致的，除招标文件另有规定外，按照下列规定修正：</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一</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投标文件中开标一览表</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报价表</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内容与投标文件中相应内容不一致的，以开标一览表</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报 价表</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为准；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二</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大写金额和小写金额不一致的，以大写金额为准；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三</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单价金额小 数点或者百分比有明显错位的，以开标一览表的总价为准，并修改单价；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总价金额 与按单价汇总金额不一致的，以单价金额计算结果为准。同时出现两种以上不一致的，按 照规定的顺序修正。修正后的报价经投标人确认后产生约束力，投标人不确认的，其投标 无效。</w:t>
      </w:r>
    </w:p>
    <w:p w14:paraId="3CECE1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3.2.3 </w:t>
      </w: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评标委员会认为投标人的报价明显低于其他通过符合性审查投标人的报价，有可能影响产品质量或者不能诚信履约的，应当要求其在评标现场合理的时间内提供书面说明， 必要时提交相关证明材料；投标人不能证明其报价合理性的，评标委员会应当将其作为无 效投标处理。</w:t>
      </w:r>
    </w:p>
    <w:p w14:paraId="4C0BB6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3.3 </w:t>
      </w: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评标委员会应当按照招标文件中规定的评标方法和标准，对符合性审查合格的投标文 件进行商务和技术评估，综合比较与评价。</w:t>
      </w:r>
    </w:p>
    <w:p w14:paraId="5E757898">
      <w:pPr>
        <w:rPr>
          <w:rFonts w:hint="eastAsia" w:ascii="宋体" w:hAnsi="宋体" w:eastAsia="宋体" w:cs="Times New Roman"/>
          <w:b w:val="0"/>
          <w:bCs w:val="0"/>
          <w:caps w:val="0"/>
          <w:color w:val="auto"/>
          <w:kern w:val="2"/>
          <w:sz w:val="21"/>
          <w:szCs w:val="21"/>
          <w:highlight w:val="none"/>
          <w:vertAlign w:val="baseline"/>
          <w:lang w:val="en-US" w:eastAsia="zh-CN"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3.3.2 </w:t>
      </w:r>
      <w:r>
        <w:rPr>
          <w:rFonts w:hint="eastAsia" w:ascii="宋体" w:hAnsi="宋体" w:eastAsia="宋体" w:cs="Times New Roman"/>
          <w:b w:val="0"/>
          <w:bCs w:val="0"/>
          <w:caps w:val="0"/>
          <w:color w:val="auto"/>
          <w:kern w:val="2"/>
          <w:sz w:val="21"/>
          <w:szCs w:val="21"/>
          <w:highlight w:val="none"/>
          <w:vertAlign w:val="baseline"/>
          <w:lang w:val="en-US" w:eastAsia="zh-CN" w:bidi="ar"/>
        </w:rPr>
        <w:t xml:space="preserve">综合评分法评分方法 </w:t>
      </w:r>
      <w:r>
        <w:rPr>
          <w:rFonts w:hint="default" w:ascii="Calibri" w:hAnsi="Calibri"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计算结果精确到小数点后两位</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w:t>
      </w:r>
    </w:p>
    <w:p w14:paraId="1D7E601B">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6FEB2693">
      <w:pPr>
        <w:autoSpaceDE w:val="0"/>
        <w:autoSpaceDN w:val="0"/>
        <w:adjustRightInd w:val="0"/>
        <w:jc w:val="center"/>
        <w:rPr>
          <w:rFonts w:hint="eastAsia" w:ascii="黑体" w:hAnsi="黑体" w:eastAsia="黑体" w:cs="宋体"/>
          <w:sz w:val="30"/>
          <w:szCs w:val="30"/>
          <w:lang w:val="zh-CN"/>
        </w:rPr>
      </w:pPr>
      <w:r>
        <w:rPr>
          <w:rFonts w:hint="eastAsia" w:ascii="宋体" w:hAnsi="宋体"/>
          <w:b/>
          <w:color w:val="auto"/>
          <w:sz w:val="24"/>
          <w:szCs w:val="24"/>
          <w:highlight w:val="none"/>
        </w:rPr>
        <w:t>（三）详细评审</w:t>
      </w:r>
    </w:p>
    <w:tbl>
      <w:tblPr>
        <w:tblStyle w:val="28"/>
        <w:tblpPr w:leftFromText="180" w:rightFromText="180" w:vertAnchor="text" w:horzAnchor="page" w:tblpX="999" w:tblpY="298"/>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4"/>
        <w:gridCol w:w="692"/>
        <w:gridCol w:w="1486"/>
        <w:gridCol w:w="7248"/>
      </w:tblGrid>
      <w:tr w14:paraId="5F3D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trPr>
        <w:tc>
          <w:tcPr>
            <w:tcW w:w="664" w:type="dxa"/>
            <w:shd w:val="clear" w:color="auto" w:fill="FFFFFF"/>
            <w:noWrap w:val="0"/>
            <w:vAlign w:val="center"/>
          </w:tcPr>
          <w:p w14:paraId="765FA6E6">
            <w:pPr>
              <w:keepNext w:val="0"/>
              <w:keepLines w:val="0"/>
              <w:pageBreakBefore w:val="0"/>
              <w:kinsoku/>
              <w:wordWrap/>
              <w:overflowPunct/>
              <w:topLinePunct w:val="0"/>
              <w:bidi w:val="0"/>
              <w:spacing w:line="284"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序号</w:t>
            </w:r>
          </w:p>
        </w:tc>
        <w:tc>
          <w:tcPr>
            <w:tcW w:w="692" w:type="dxa"/>
            <w:shd w:val="clear" w:color="auto" w:fill="FFFFFF"/>
            <w:noWrap w:val="0"/>
            <w:vAlign w:val="center"/>
          </w:tcPr>
          <w:p w14:paraId="645AB0DE">
            <w:pPr>
              <w:keepNext w:val="0"/>
              <w:keepLines w:val="0"/>
              <w:pageBreakBefore w:val="0"/>
              <w:kinsoku/>
              <w:wordWrap/>
              <w:overflowPunct/>
              <w:topLinePunct w:val="0"/>
              <w:bidi w:val="0"/>
              <w:spacing w:line="284" w:lineRule="exact"/>
              <w:jc w:val="center"/>
              <w:textAlignment w:val="auto"/>
              <w:rPr>
                <w:rFonts w:hint="eastAsia" w:ascii="宋体" w:hAnsi="宋体" w:eastAsia="宋体" w:cs="宋体"/>
                <w:bCs/>
                <w:color w:val="000000"/>
                <w:szCs w:val="21"/>
              </w:rPr>
            </w:pPr>
            <w:r>
              <w:rPr>
                <w:rFonts w:hint="eastAsia" w:ascii="宋体" w:hAnsi="宋体" w:eastAsia="宋体" w:cs="宋体"/>
                <w:bCs/>
                <w:color w:val="000000"/>
                <w:szCs w:val="21"/>
              </w:rPr>
              <w:t>内容</w:t>
            </w:r>
          </w:p>
        </w:tc>
        <w:tc>
          <w:tcPr>
            <w:tcW w:w="1486" w:type="dxa"/>
            <w:shd w:val="clear" w:color="auto" w:fill="FFFFFF"/>
            <w:noWrap w:val="0"/>
            <w:vAlign w:val="center"/>
          </w:tcPr>
          <w:p w14:paraId="1C980EF7">
            <w:pPr>
              <w:keepNext w:val="0"/>
              <w:keepLines w:val="0"/>
              <w:pageBreakBefore w:val="0"/>
              <w:kinsoku/>
              <w:wordWrap/>
              <w:overflowPunct/>
              <w:topLinePunct w:val="0"/>
              <w:bidi w:val="0"/>
              <w:spacing w:line="284" w:lineRule="exact"/>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评分因素分项</w:t>
            </w:r>
          </w:p>
        </w:tc>
        <w:tc>
          <w:tcPr>
            <w:tcW w:w="7248" w:type="dxa"/>
            <w:shd w:val="clear" w:color="auto" w:fill="FFFFFF"/>
            <w:noWrap w:val="0"/>
            <w:vAlign w:val="center"/>
          </w:tcPr>
          <w:p w14:paraId="38911F09">
            <w:pPr>
              <w:keepNext w:val="0"/>
              <w:keepLines w:val="0"/>
              <w:pageBreakBefore w:val="0"/>
              <w:kinsoku/>
              <w:wordWrap/>
              <w:overflowPunct/>
              <w:topLinePunct w:val="0"/>
              <w:bidi w:val="0"/>
              <w:spacing w:line="284" w:lineRule="exact"/>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评审标准</w:t>
            </w:r>
          </w:p>
        </w:tc>
      </w:tr>
      <w:tr w14:paraId="3A29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64" w:type="dxa"/>
            <w:shd w:val="clear" w:color="auto" w:fill="FFFFFF"/>
            <w:noWrap w:val="0"/>
            <w:vAlign w:val="center"/>
          </w:tcPr>
          <w:p w14:paraId="1863B3C6">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rPr>
            </w:pPr>
            <w:r>
              <w:rPr>
                <w:rFonts w:hint="eastAsia" w:ascii="宋体" w:hAnsi="宋体" w:eastAsia="宋体" w:cs="宋体"/>
                <w:color w:val="000000"/>
                <w:sz w:val="21"/>
                <w:szCs w:val="21"/>
                <w:highlight w:val="none"/>
              </w:rPr>
              <w:t>1</w:t>
            </w:r>
          </w:p>
        </w:tc>
        <w:tc>
          <w:tcPr>
            <w:tcW w:w="692" w:type="dxa"/>
            <w:shd w:val="clear" w:color="auto" w:fill="FFFFFF"/>
            <w:noWrap w:val="0"/>
            <w:vAlign w:val="center"/>
          </w:tcPr>
          <w:p w14:paraId="0BCA5E65">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w:t>
            </w:r>
          </w:p>
          <w:p w14:paraId="3DCCD96A">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rPr>
            </w:pPr>
            <w:r>
              <w:rPr>
                <w:rFonts w:hint="eastAsia" w:ascii="宋体" w:hAnsi="宋体" w:eastAsia="宋体" w:cs="宋体"/>
                <w:color w:val="000000"/>
                <w:sz w:val="21"/>
                <w:szCs w:val="21"/>
                <w:highlight w:val="none"/>
              </w:rPr>
              <w:t>部分</w:t>
            </w:r>
          </w:p>
        </w:tc>
        <w:tc>
          <w:tcPr>
            <w:tcW w:w="1486" w:type="dxa"/>
            <w:shd w:val="clear" w:color="auto" w:fill="FFFFFF"/>
            <w:noWrap w:val="0"/>
            <w:vAlign w:val="center"/>
          </w:tcPr>
          <w:p w14:paraId="243B54B0">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评审</w:t>
            </w:r>
            <w:r>
              <w:rPr>
                <w:rFonts w:hint="eastAsia" w:ascii="宋体" w:hAnsi="宋体" w:eastAsia="宋体" w:cs="宋体"/>
                <w:color w:val="000000"/>
                <w:sz w:val="21"/>
                <w:szCs w:val="21"/>
                <w:highlight w:val="none"/>
              </w:rPr>
              <w:t>价格</w:t>
            </w:r>
          </w:p>
          <w:p w14:paraId="6D2F29A9">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tc>
        <w:tc>
          <w:tcPr>
            <w:tcW w:w="7248" w:type="dxa"/>
            <w:shd w:val="clear" w:color="auto" w:fill="FFFFFF"/>
            <w:noWrap w:val="0"/>
            <w:vAlign w:val="center"/>
          </w:tcPr>
          <w:p w14:paraId="7888BFAB">
            <w:pPr>
              <w:pStyle w:val="26"/>
              <w:keepNext w:val="0"/>
              <w:keepLines w:val="0"/>
              <w:pageBreakBefore w:val="0"/>
              <w:kinsoku/>
              <w:wordWrap/>
              <w:overflowPunct/>
              <w:topLinePunct w:val="0"/>
              <w:bidi w:val="0"/>
              <w:spacing w:before="0" w:after="0" w:line="320" w:lineRule="exact"/>
              <w:ind w:left="0" w:leftChars="0" w:right="0" w:rightChars="0"/>
              <w:jc w:val="both"/>
              <w:textAlignment w:val="auto"/>
              <w:rPr>
                <w:rFonts w:hint="default"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rPr>
              <w:t>综合评分法中的价格分统一采用低价优先法计算，即满足磋商文件要求且最后报价(第二次)最低的价格为磋商基准价，其价格分为满分。其他单位的价格分统一按照下列公式计算：</w:t>
            </w:r>
          </w:p>
          <w:p w14:paraId="4E58747A">
            <w:pPr>
              <w:pStyle w:val="26"/>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color w:val="000000"/>
                <w:highlight w:val="none"/>
              </w:rPr>
            </w:pPr>
            <w:r>
              <w:rPr>
                <w:rFonts w:hint="eastAsia" w:ascii="宋体" w:hAnsi="宋体" w:eastAsia="宋体" w:cs="宋体"/>
                <w:b w:val="0"/>
                <w:bCs w:val="0"/>
                <w:color w:val="000000"/>
                <w:kern w:val="2"/>
                <w:sz w:val="21"/>
                <w:szCs w:val="21"/>
                <w:highlight w:val="none"/>
              </w:rPr>
              <w:t>磋商报价得分</w:t>
            </w:r>
            <w:r>
              <w:rPr>
                <w:rFonts w:hint="default" w:ascii="宋体" w:hAnsi="宋体" w:eastAsia="宋体" w:cs="宋体"/>
                <w:b w:val="0"/>
                <w:bCs w:val="0"/>
                <w:color w:val="000000"/>
                <w:kern w:val="2"/>
                <w:sz w:val="21"/>
                <w:szCs w:val="21"/>
                <w:highlight w:val="none"/>
              </w:rPr>
              <w:t>=</w:t>
            </w:r>
            <w:r>
              <w:rPr>
                <w:rFonts w:hint="eastAsia" w:ascii="宋体" w:hAnsi="宋体" w:eastAsia="宋体" w:cs="宋体"/>
                <w:b w:val="0"/>
                <w:bCs w:val="0"/>
                <w:color w:val="000000"/>
                <w:kern w:val="2"/>
                <w:sz w:val="21"/>
                <w:szCs w:val="21"/>
                <w:highlight w:val="none"/>
              </w:rPr>
              <w:t>（磋商基准价</w:t>
            </w:r>
            <w:r>
              <w:rPr>
                <w:rFonts w:hint="default" w:ascii="宋体" w:hAnsi="宋体" w:eastAsia="宋体" w:cs="宋体"/>
                <w:b w:val="0"/>
                <w:bCs w:val="0"/>
                <w:color w:val="000000"/>
                <w:kern w:val="2"/>
                <w:sz w:val="21"/>
                <w:szCs w:val="21"/>
                <w:highlight w:val="none"/>
              </w:rPr>
              <w:t>/</w:t>
            </w:r>
            <w:r>
              <w:rPr>
                <w:rFonts w:hint="eastAsia" w:ascii="宋体" w:hAnsi="宋体" w:eastAsia="宋体" w:cs="宋体"/>
                <w:b w:val="0"/>
                <w:bCs w:val="0"/>
                <w:color w:val="000000"/>
                <w:kern w:val="2"/>
                <w:sz w:val="21"/>
                <w:szCs w:val="21"/>
                <w:highlight w:val="none"/>
              </w:rPr>
              <w:t>最后磋商报价）×价格权值</w:t>
            </w:r>
            <w:r>
              <w:rPr>
                <w:rFonts w:hint="eastAsia" w:ascii="宋体" w:hAnsi="宋体" w:cs="宋体"/>
                <w:b w:val="0"/>
                <w:bCs w:val="0"/>
                <w:color w:val="000000"/>
                <w:kern w:val="2"/>
                <w:sz w:val="21"/>
                <w:szCs w:val="21"/>
                <w:highlight w:val="none"/>
                <w:lang w:val="en-US" w:eastAsia="zh-CN"/>
              </w:rPr>
              <w:t>3</w:t>
            </w:r>
            <w:r>
              <w:rPr>
                <w:rFonts w:hint="eastAsia" w:ascii="宋体" w:hAnsi="宋体" w:eastAsia="宋体" w:cs="宋体"/>
                <w:b w:val="0"/>
                <w:bCs w:val="0"/>
                <w:color w:val="000000"/>
                <w:kern w:val="2"/>
                <w:sz w:val="21"/>
                <w:szCs w:val="21"/>
                <w:highlight w:val="none"/>
                <w:lang w:val="en-US" w:eastAsia="zh-CN"/>
              </w:rPr>
              <w:t>0%</w:t>
            </w:r>
            <w:r>
              <w:rPr>
                <w:rFonts w:hint="eastAsia" w:ascii="宋体" w:hAnsi="宋体" w:eastAsia="宋体" w:cs="宋体"/>
                <w:b w:val="0"/>
                <w:bCs w:val="0"/>
                <w:color w:val="000000"/>
                <w:kern w:val="2"/>
                <w:sz w:val="21"/>
                <w:szCs w:val="21"/>
                <w:highlight w:val="none"/>
              </w:rPr>
              <w:t>×</w:t>
            </w:r>
            <w:r>
              <w:rPr>
                <w:rFonts w:hint="default" w:ascii="宋体" w:hAnsi="宋体" w:eastAsia="宋体" w:cs="宋体"/>
                <w:b w:val="0"/>
                <w:bCs w:val="0"/>
                <w:color w:val="000000"/>
                <w:kern w:val="2"/>
                <w:sz w:val="21"/>
                <w:szCs w:val="21"/>
                <w:highlight w:val="none"/>
              </w:rPr>
              <w:t>100</w:t>
            </w:r>
          </w:p>
        </w:tc>
      </w:tr>
      <w:tr w14:paraId="7618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vMerge w:val="restart"/>
            <w:shd w:val="clear" w:color="auto" w:fill="FFFFFF"/>
            <w:noWrap w:val="0"/>
            <w:vAlign w:val="center"/>
          </w:tcPr>
          <w:p w14:paraId="14944767">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rPr>
            </w:pPr>
            <w:r>
              <w:rPr>
                <w:rFonts w:hint="eastAsia" w:ascii="宋体" w:hAnsi="宋体" w:eastAsia="宋体" w:cs="宋体"/>
                <w:color w:val="000000"/>
                <w:sz w:val="21"/>
                <w:szCs w:val="21"/>
                <w:highlight w:val="none"/>
              </w:rPr>
              <w:t>2</w:t>
            </w:r>
          </w:p>
        </w:tc>
        <w:tc>
          <w:tcPr>
            <w:tcW w:w="692" w:type="dxa"/>
            <w:vMerge w:val="restart"/>
            <w:shd w:val="clear" w:color="auto" w:fill="FFFFFF"/>
            <w:noWrap w:val="0"/>
            <w:vAlign w:val="center"/>
          </w:tcPr>
          <w:p w14:paraId="348A76E0">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w:t>
            </w:r>
          </w:p>
          <w:p w14:paraId="0443C264">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Cs w:val="21"/>
              </w:rPr>
            </w:pPr>
            <w:r>
              <w:rPr>
                <w:rFonts w:hint="eastAsia" w:ascii="宋体" w:hAnsi="宋体" w:eastAsia="宋体" w:cs="宋体"/>
                <w:color w:val="000000"/>
                <w:sz w:val="21"/>
                <w:szCs w:val="21"/>
                <w:highlight w:val="none"/>
              </w:rPr>
              <w:t>部分</w:t>
            </w:r>
          </w:p>
        </w:tc>
        <w:tc>
          <w:tcPr>
            <w:tcW w:w="1486" w:type="dxa"/>
            <w:shd w:val="clear" w:color="auto" w:fill="FFFFFF"/>
            <w:noWrap w:val="0"/>
            <w:vAlign w:val="center"/>
          </w:tcPr>
          <w:p w14:paraId="43FDC98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rPr>
            </w:pP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tc>
        <w:tc>
          <w:tcPr>
            <w:tcW w:w="7248" w:type="dxa"/>
            <w:shd w:val="clear" w:color="auto" w:fill="FFFFFF"/>
            <w:noWrap w:val="0"/>
            <w:vAlign w:val="center"/>
          </w:tcPr>
          <w:p w14:paraId="74E55DA2">
            <w:pPr>
              <w:pStyle w:val="26"/>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4"/>
                <w:lang w:eastAsia="zh-CN"/>
              </w:rPr>
            </w:pPr>
            <w:r>
              <w:rPr>
                <w:rFonts w:hint="eastAsia" w:ascii="宋体" w:hAnsi="宋体" w:eastAsia="宋体" w:cs="宋体"/>
                <w:b w:val="0"/>
                <w:bCs w:val="0"/>
                <w:color w:val="000000"/>
                <w:kern w:val="2"/>
                <w:sz w:val="21"/>
                <w:szCs w:val="24"/>
                <w:lang w:eastAsia="zh-CN"/>
              </w:rPr>
              <w:t>投标人近三年（20</w:t>
            </w:r>
            <w:r>
              <w:rPr>
                <w:rFonts w:hint="eastAsia" w:ascii="宋体" w:hAnsi="宋体" w:eastAsia="宋体" w:cs="宋体"/>
                <w:b w:val="0"/>
                <w:bCs w:val="0"/>
                <w:color w:val="000000"/>
                <w:kern w:val="2"/>
                <w:sz w:val="21"/>
                <w:szCs w:val="24"/>
                <w:lang w:val="en-US" w:eastAsia="zh-CN"/>
              </w:rPr>
              <w:t>21</w:t>
            </w:r>
            <w:r>
              <w:rPr>
                <w:rFonts w:hint="eastAsia" w:ascii="宋体" w:hAnsi="宋体" w:eastAsia="宋体" w:cs="宋体"/>
                <w:b w:val="0"/>
                <w:bCs w:val="0"/>
                <w:color w:val="000000"/>
                <w:kern w:val="2"/>
                <w:sz w:val="21"/>
                <w:szCs w:val="24"/>
                <w:lang w:eastAsia="zh-CN"/>
              </w:rPr>
              <w:t>年-至今）完成过类似项目业绩，在一项基础上，每增加一项得</w:t>
            </w:r>
            <w:r>
              <w:rPr>
                <w:rFonts w:hint="eastAsia" w:ascii="宋体" w:hAnsi="宋体" w:eastAsia="宋体" w:cs="宋体"/>
                <w:b w:val="0"/>
                <w:bCs w:val="0"/>
                <w:color w:val="000000"/>
                <w:kern w:val="2"/>
                <w:sz w:val="21"/>
                <w:szCs w:val="24"/>
                <w:lang w:val="en-US" w:eastAsia="zh-CN"/>
              </w:rPr>
              <w:t>2</w:t>
            </w:r>
            <w:r>
              <w:rPr>
                <w:rFonts w:hint="eastAsia" w:ascii="宋体" w:hAnsi="宋体" w:eastAsia="宋体" w:cs="宋体"/>
                <w:b w:val="0"/>
                <w:bCs w:val="0"/>
                <w:color w:val="000000"/>
                <w:kern w:val="2"/>
                <w:sz w:val="21"/>
                <w:szCs w:val="24"/>
                <w:lang w:eastAsia="zh-CN"/>
              </w:rPr>
              <w:t>分，满分</w:t>
            </w:r>
            <w:r>
              <w:rPr>
                <w:rFonts w:hint="eastAsia" w:ascii="宋体" w:hAnsi="宋体" w:eastAsia="宋体" w:cs="宋体"/>
                <w:b w:val="0"/>
                <w:bCs w:val="0"/>
                <w:color w:val="000000"/>
                <w:kern w:val="2"/>
                <w:sz w:val="21"/>
                <w:szCs w:val="24"/>
                <w:lang w:val="en-US" w:eastAsia="zh-CN"/>
              </w:rPr>
              <w:t>6</w:t>
            </w:r>
            <w:r>
              <w:rPr>
                <w:rFonts w:hint="eastAsia" w:ascii="宋体" w:hAnsi="宋体" w:eastAsia="宋体" w:cs="宋体"/>
                <w:b w:val="0"/>
                <w:bCs w:val="0"/>
                <w:color w:val="000000"/>
                <w:kern w:val="2"/>
                <w:sz w:val="21"/>
                <w:szCs w:val="24"/>
                <w:lang w:eastAsia="zh-CN"/>
              </w:rPr>
              <w:t>分。标书内附中标通知书或合同复印件加盖公章。</w:t>
            </w:r>
          </w:p>
        </w:tc>
      </w:tr>
      <w:tr w14:paraId="5E14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4" w:type="dxa"/>
            <w:vMerge w:val="continue"/>
            <w:shd w:val="clear" w:color="auto" w:fill="FFFFFF"/>
            <w:noWrap w:val="0"/>
            <w:vAlign w:val="center"/>
          </w:tcPr>
          <w:p w14:paraId="4E1E24F2">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692" w:type="dxa"/>
            <w:vMerge w:val="continue"/>
            <w:shd w:val="clear" w:color="auto" w:fill="FFFFFF"/>
            <w:noWrap w:val="0"/>
            <w:vAlign w:val="center"/>
          </w:tcPr>
          <w:p w14:paraId="417D4EE7">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1486" w:type="dxa"/>
            <w:shd w:val="clear" w:color="auto" w:fill="FFFFFF"/>
            <w:noWrap w:val="0"/>
            <w:vAlign w:val="center"/>
          </w:tcPr>
          <w:p w14:paraId="1EAF83FE">
            <w:pPr>
              <w:spacing w:line="276"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岗位及人员配置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3B92E1FE">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7248" w:type="dxa"/>
            <w:shd w:val="clear" w:color="auto" w:fill="FFFFFF"/>
            <w:noWrap w:val="0"/>
            <w:vAlign w:val="center"/>
          </w:tcPr>
          <w:p w14:paraId="6448999D">
            <w:pPr>
              <w:spacing w:line="276" w:lineRule="auto"/>
              <w:ind w:left="0" w:leftChars="0" w:firstLine="0" w:firstLineChars="0"/>
              <w:rPr>
                <w:rFonts w:hint="eastAsia" w:ascii="宋体" w:hAnsi="宋体" w:eastAsia="宋体" w:cs="宋体"/>
                <w:b w:val="0"/>
                <w:bCs w:val="0"/>
                <w:color w:val="000000"/>
                <w:kern w:val="2"/>
                <w:sz w:val="21"/>
                <w:szCs w:val="24"/>
                <w:lang w:eastAsia="zh-CN"/>
              </w:rPr>
            </w:pPr>
            <w:r>
              <w:rPr>
                <w:rFonts w:hint="eastAsia" w:ascii="宋体" w:hAnsi="宋体" w:eastAsia="宋体" w:cs="宋体"/>
                <w:color w:val="auto"/>
                <w:sz w:val="21"/>
                <w:szCs w:val="21"/>
                <w:highlight w:val="none"/>
              </w:rPr>
              <w:t>有较强的人员管理配置，每</w:t>
            </w:r>
            <w:r>
              <w:rPr>
                <w:rFonts w:hint="eastAsia" w:ascii="宋体" w:hAnsi="宋体" w:eastAsia="宋体" w:cs="宋体"/>
                <w:color w:val="auto"/>
                <w:sz w:val="21"/>
                <w:szCs w:val="21"/>
                <w:highlight w:val="none"/>
                <w:lang w:eastAsia="zh-CN"/>
              </w:rPr>
              <w:t>配置</w:t>
            </w:r>
            <w:r>
              <w:rPr>
                <w:rFonts w:hint="eastAsia" w:ascii="宋体" w:hAnsi="宋体" w:eastAsia="宋体" w:cs="宋体"/>
                <w:color w:val="auto"/>
                <w:sz w:val="21"/>
                <w:szCs w:val="21"/>
                <w:highlight w:val="none"/>
              </w:rPr>
              <w:t>1名相关人员且必须持有健康证得1分，最高得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37D1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4" w:type="dxa"/>
            <w:vMerge w:val="continue"/>
            <w:shd w:val="clear" w:color="auto" w:fill="FFFFFF"/>
            <w:noWrap w:val="0"/>
            <w:vAlign w:val="center"/>
          </w:tcPr>
          <w:p w14:paraId="445FF9B7">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692" w:type="dxa"/>
            <w:vMerge w:val="continue"/>
            <w:shd w:val="clear" w:color="auto" w:fill="FFFFFF"/>
            <w:noWrap w:val="0"/>
            <w:vAlign w:val="center"/>
          </w:tcPr>
          <w:p w14:paraId="32A672D3">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1486" w:type="dxa"/>
            <w:shd w:val="clear" w:color="auto" w:fill="FFFFFF"/>
            <w:noWrap w:val="0"/>
            <w:vAlign w:val="center"/>
          </w:tcPr>
          <w:p w14:paraId="180B0B1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增值服务</w:t>
            </w:r>
          </w:p>
          <w:p w14:paraId="18A3F5DC">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（5分）</w:t>
            </w:r>
          </w:p>
        </w:tc>
        <w:tc>
          <w:tcPr>
            <w:tcW w:w="7248" w:type="dxa"/>
            <w:shd w:val="clear" w:color="auto" w:fill="FFFFFF"/>
            <w:noWrap w:val="0"/>
            <w:vAlign w:val="center"/>
          </w:tcPr>
          <w:p w14:paraId="4A776826">
            <w:pPr>
              <w:pStyle w:val="26"/>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rPr>
              <w:t>对投标人提出的合理的</w:t>
            </w:r>
            <w:r>
              <w:rPr>
                <w:rFonts w:hint="eastAsia" w:ascii="宋体" w:hAnsi="宋体" w:eastAsia="宋体" w:cs="宋体"/>
                <w:b w:val="0"/>
                <w:bCs w:val="0"/>
                <w:color w:val="000000"/>
                <w:kern w:val="2"/>
                <w:sz w:val="21"/>
                <w:szCs w:val="21"/>
                <w:highlight w:val="none"/>
                <w:lang w:val="en-US" w:eastAsia="zh-CN"/>
              </w:rPr>
              <w:t>增值服务</w:t>
            </w:r>
            <w:r>
              <w:rPr>
                <w:rFonts w:hint="eastAsia" w:ascii="宋体" w:hAnsi="宋体" w:eastAsia="宋体" w:cs="宋体"/>
                <w:b w:val="0"/>
                <w:bCs w:val="0"/>
                <w:color w:val="000000"/>
                <w:kern w:val="2"/>
                <w:sz w:val="21"/>
                <w:szCs w:val="21"/>
                <w:highlight w:val="none"/>
              </w:rPr>
              <w:t>进行综合评价，每有一项得1分，最高得</w:t>
            </w:r>
            <w:r>
              <w:rPr>
                <w:rFonts w:hint="eastAsia" w:ascii="宋体" w:hAnsi="宋体" w:eastAsia="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rPr>
              <w:t>分。</w:t>
            </w:r>
          </w:p>
        </w:tc>
      </w:tr>
      <w:tr w14:paraId="1AB8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4" w:type="dxa"/>
            <w:vMerge w:val="continue"/>
            <w:shd w:val="clear" w:color="auto" w:fill="FFFFFF"/>
            <w:noWrap w:val="0"/>
            <w:vAlign w:val="center"/>
          </w:tcPr>
          <w:p w14:paraId="62BC0AAC">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692" w:type="dxa"/>
            <w:vMerge w:val="continue"/>
            <w:shd w:val="clear" w:color="auto" w:fill="FFFFFF"/>
            <w:noWrap w:val="0"/>
            <w:vAlign w:val="center"/>
          </w:tcPr>
          <w:p w14:paraId="47C41B19">
            <w:pPr>
              <w:keepNext w:val="0"/>
              <w:keepLines w:val="0"/>
              <w:pageBreakBefore w:val="0"/>
              <w:kinsoku/>
              <w:wordWrap/>
              <w:overflowPunct/>
              <w:topLinePunct w:val="0"/>
              <w:bidi w:val="0"/>
              <w:snapToGrid w:val="0"/>
              <w:spacing w:line="320" w:lineRule="exact"/>
              <w:ind w:left="0" w:leftChars="0" w:right="0" w:rightChars="0"/>
              <w:jc w:val="center"/>
              <w:textAlignment w:val="auto"/>
              <w:rPr>
                <w:rFonts w:hint="eastAsia" w:ascii="宋体" w:hAnsi="宋体" w:eastAsia="宋体" w:cs="宋体"/>
                <w:color w:val="000000"/>
                <w:sz w:val="21"/>
                <w:szCs w:val="21"/>
                <w:highlight w:val="none"/>
              </w:rPr>
            </w:pPr>
          </w:p>
        </w:tc>
        <w:tc>
          <w:tcPr>
            <w:tcW w:w="1486" w:type="dxa"/>
            <w:shd w:val="clear" w:color="auto" w:fill="FFFFFF"/>
            <w:noWrap w:val="0"/>
            <w:vAlign w:val="center"/>
          </w:tcPr>
          <w:p w14:paraId="11B7F414">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服务承诺</w:t>
            </w:r>
          </w:p>
          <w:p w14:paraId="20B60391">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（5分）</w:t>
            </w:r>
          </w:p>
        </w:tc>
        <w:tc>
          <w:tcPr>
            <w:tcW w:w="7248" w:type="dxa"/>
            <w:shd w:val="clear" w:color="auto" w:fill="FFFFFF"/>
            <w:noWrap w:val="0"/>
            <w:vAlign w:val="center"/>
          </w:tcPr>
          <w:p w14:paraId="5A2C802F">
            <w:pPr>
              <w:pStyle w:val="26"/>
              <w:keepNext w:val="0"/>
              <w:keepLines w:val="0"/>
              <w:pageBreakBefore w:val="0"/>
              <w:kinsoku/>
              <w:wordWrap/>
              <w:overflowPunct/>
              <w:topLinePunct w:val="0"/>
              <w:bidi w:val="0"/>
              <w:spacing w:before="0" w:after="0" w:line="320" w:lineRule="exact"/>
              <w:ind w:left="0" w:leftChars="0" w:right="0" w:rightChars="0"/>
              <w:jc w:val="both"/>
              <w:textAlignment w:val="auto"/>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color w:val="000000"/>
                <w:kern w:val="2"/>
                <w:sz w:val="21"/>
                <w:szCs w:val="21"/>
                <w:highlight w:val="none"/>
              </w:rPr>
              <w:t>对投标人提出的合理的服务承诺进行综合评价，每有一项得1分，最高得</w:t>
            </w:r>
            <w:r>
              <w:rPr>
                <w:rFonts w:hint="eastAsia" w:ascii="宋体" w:hAnsi="宋体" w:eastAsia="宋体" w:cs="宋体"/>
                <w:b w:val="0"/>
                <w:bCs w:val="0"/>
                <w:color w:val="000000"/>
                <w:kern w:val="2"/>
                <w:sz w:val="21"/>
                <w:szCs w:val="21"/>
                <w:highlight w:val="none"/>
                <w:lang w:val="en-US" w:eastAsia="zh-CN"/>
              </w:rPr>
              <w:t>5</w:t>
            </w:r>
            <w:r>
              <w:rPr>
                <w:rFonts w:hint="eastAsia" w:ascii="宋体" w:hAnsi="宋体" w:eastAsia="宋体" w:cs="宋体"/>
                <w:b w:val="0"/>
                <w:bCs w:val="0"/>
                <w:color w:val="000000"/>
                <w:kern w:val="2"/>
                <w:sz w:val="21"/>
                <w:szCs w:val="21"/>
                <w:highlight w:val="none"/>
              </w:rPr>
              <w:t>分。</w:t>
            </w:r>
          </w:p>
        </w:tc>
      </w:tr>
      <w:tr w14:paraId="1E0D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64" w:type="dxa"/>
            <w:vMerge w:val="restart"/>
            <w:shd w:val="clear" w:color="auto" w:fill="FFFFFF"/>
            <w:noWrap w:val="0"/>
            <w:vAlign w:val="center"/>
          </w:tcPr>
          <w:p w14:paraId="576D5DA3">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p w14:paraId="39E29422">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rPr>
            </w:pPr>
          </w:p>
        </w:tc>
        <w:tc>
          <w:tcPr>
            <w:tcW w:w="692" w:type="dxa"/>
            <w:vMerge w:val="restart"/>
            <w:shd w:val="clear" w:color="auto" w:fill="FFFFFF"/>
            <w:noWrap w:val="0"/>
            <w:vAlign w:val="center"/>
          </w:tcPr>
          <w:p w14:paraId="0E401E4C">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w:t>
            </w:r>
          </w:p>
          <w:p w14:paraId="337D5D17">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部分</w:t>
            </w:r>
          </w:p>
          <w:p w14:paraId="5DE3B49C">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rPr>
            </w:pPr>
          </w:p>
          <w:p w14:paraId="0799D883">
            <w:pPr>
              <w:keepNext w:val="0"/>
              <w:keepLines w:val="0"/>
              <w:pageBreakBefore w:val="0"/>
              <w:kinsoku/>
              <w:wordWrap/>
              <w:overflowPunct/>
              <w:topLinePunct w:val="0"/>
              <w:bidi w:val="0"/>
              <w:spacing w:line="284" w:lineRule="exact"/>
              <w:ind w:left="-105" w:leftChars="-50" w:right="-105" w:rightChars="-50"/>
              <w:jc w:val="center"/>
              <w:textAlignment w:val="auto"/>
              <w:rPr>
                <w:rFonts w:hint="eastAsia" w:ascii="宋体" w:hAnsi="宋体" w:eastAsia="宋体" w:cs="宋体"/>
                <w:color w:val="000000"/>
                <w:szCs w:val="21"/>
              </w:rPr>
            </w:pPr>
          </w:p>
        </w:tc>
        <w:tc>
          <w:tcPr>
            <w:tcW w:w="1486" w:type="dxa"/>
            <w:shd w:val="clear" w:color="auto" w:fill="FFFFFF"/>
            <w:noWrap w:val="0"/>
            <w:vAlign w:val="center"/>
          </w:tcPr>
          <w:p w14:paraId="7E383FEC">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Cs/>
                <w:color w:val="000000"/>
                <w:szCs w:val="21"/>
                <w:highlight w:val="none"/>
                <w:lang w:val="en-US" w:eastAsia="zh-CN"/>
              </w:rPr>
            </w:pPr>
            <w:r>
              <w:rPr>
                <w:rFonts w:hint="eastAsia" w:ascii="宋体" w:hAnsi="宋体" w:eastAsia="宋体" w:cs="宋体"/>
                <w:b w:val="0"/>
                <w:color w:val="000000"/>
                <w:highlight w:val="none"/>
                <w:lang w:val="en-US" w:eastAsia="zh-CN"/>
              </w:rPr>
              <w:t>总体服务思路</w:t>
            </w: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48005B89">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总体服务思路清晰，符合项目实际情况，比较其全面性、合理性、经济性等内容，</w:t>
            </w:r>
          </w:p>
          <w:p w14:paraId="6168A331">
            <w:pPr>
              <w:widowControl/>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总体服务思路</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43C0E8FB">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总体服务思路</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2B05184D">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总体服务思路</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69CE1CA3">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zh-CN" w:eastAsia="zh-CN"/>
              </w:rPr>
            </w:pPr>
            <w:r>
              <w:rPr>
                <w:rFonts w:hint="eastAsia" w:ascii="宋体" w:hAnsi="宋体" w:eastAsia="宋体" w:cs="宋体"/>
                <w:color w:val="000000"/>
                <w:sz w:val="21"/>
                <w:szCs w:val="21"/>
                <w:highlight w:val="none"/>
              </w:rPr>
              <w:t>没有不得分。</w:t>
            </w:r>
          </w:p>
        </w:tc>
      </w:tr>
      <w:tr w14:paraId="148A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4" w:type="dxa"/>
            <w:vMerge w:val="continue"/>
            <w:shd w:val="clear" w:color="auto" w:fill="FFFFFF"/>
            <w:noWrap w:val="0"/>
            <w:vAlign w:val="center"/>
          </w:tcPr>
          <w:p w14:paraId="4DB936BD">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rPr>
            </w:pPr>
          </w:p>
        </w:tc>
        <w:tc>
          <w:tcPr>
            <w:tcW w:w="692" w:type="dxa"/>
            <w:vMerge w:val="continue"/>
            <w:shd w:val="clear" w:color="auto" w:fill="FFFFFF"/>
            <w:noWrap w:val="0"/>
            <w:vAlign w:val="center"/>
          </w:tcPr>
          <w:p w14:paraId="344821D9">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rPr>
            </w:pPr>
          </w:p>
        </w:tc>
        <w:tc>
          <w:tcPr>
            <w:tcW w:w="1486" w:type="dxa"/>
            <w:shd w:val="clear" w:color="auto" w:fill="FFFFFF"/>
            <w:noWrap w:val="0"/>
            <w:vAlign w:val="center"/>
          </w:tcPr>
          <w:p w14:paraId="20E733A5">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 xml:space="preserve">服务方案 </w:t>
            </w:r>
          </w:p>
          <w:p w14:paraId="5E8C4022">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color w:val="000000"/>
                <w:kern w:val="0"/>
                <w:szCs w:val="21"/>
                <w:lang w:eastAsia="zh-CN"/>
              </w:rPr>
            </w:pPr>
            <w:r>
              <w:rPr>
                <w:rFonts w:hint="eastAsia" w:ascii="宋体" w:hAnsi="宋体" w:eastAsia="宋体" w:cs="宋体"/>
                <w:bCs/>
                <w:sz w:val="21"/>
                <w:szCs w:val="21"/>
                <w:highlight w:val="none"/>
                <w:lang w:eastAsia="zh-CN"/>
              </w:rPr>
              <w:t>（</w:t>
            </w:r>
            <w:r>
              <w:rPr>
                <w:rFonts w:hint="eastAsia" w:ascii="宋体" w:hAnsi="宋体" w:eastAsia="宋体" w:cs="宋体"/>
                <w:b w:val="0"/>
                <w:color w:val="000000"/>
                <w:highlight w:val="none"/>
                <w:lang w:val="en-US" w:eastAsia="zh-CN"/>
              </w:rPr>
              <w:t>5分</w:t>
            </w:r>
            <w:r>
              <w:rPr>
                <w:rFonts w:hint="eastAsia" w:ascii="宋体" w:hAnsi="宋体" w:eastAsia="宋体" w:cs="宋体"/>
                <w:bCs/>
                <w:sz w:val="21"/>
                <w:szCs w:val="21"/>
                <w:highlight w:val="none"/>
                <w:lang w:eastAsia="zh-CN"/>
              </w:rPr>
              <w:t>）</w:t>
            </w:r>
          </w:p>
        </w:tc>
        <w:tc>
          <w:tcPr>
            <w:tcW w:w="7248" w:type="dxa"/>
            <w:shd w:val="clear" w:color="auto" w:fill="FFFFFF"/>
            <w:noWrap w:val="0"/>
            <w:vAlign w:val="center"/>
          </w:tcPr>
          <w:p w14:paraId="2B0CB24D">
            <w:pPr>
              <w:widowControl/>
              <w:spacing w:line="276" w:lineRule="auto"/>
              <w:ind w:left="0" w:leftChars="0" w:firstLine="0" w:firstLineChars="0"/>
              <w:jc w:val="left"/>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对项目工作范围和任务描述具体、准确，</w:t>
            </w:r>
          </w:p>
          <w:p w14:paraId="613F90CF">
            <w:pPr>
              <w:widowControl/>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方案内容较为完整、详细、合理，可操作性较强,得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31A877A2">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方案内容基本完整、详细，可操作性一般,得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72E02B46">
            <w:pPr>
              <w:spacing w:line="276" w:lineRule="auto"/>
              <w:ind w:left="0" w:leftChars="0" w:firstLine="0" w:firstLineChars="0"/>
              <w:jc w:val="left"/>
              <w:rPr>
                <w:rFonts w:hint="eastAsia" w:ascii="宋体" w:hAnsi="宋体" w:eastAsia="宋体" w:cs="宋体"/>
                <w:color w:val="000000"/>
                <w:sz w:val="21"/>
                <w:szCs w:val="21"/>
                <w:highlight w:val="none"/>
              </w:rPr>
            </w:pPr>
            <w:r>
              <w:rPr>
                <w:rFonts w:hint="eastAsia" w:eastAsia="宋体" w:cs="宋体"/>
                <w:color w:val="000000"/>
                <w:sz w:val="21"/>
                <w:szCs w:val="21"/>
                <w:highlight w:val="none"/>
                <w:lang w:val="en-US" w:eastAsia="zh-CN"/>
              </w:rPr>
              <w:t>服务</w:t>
            </w:r>
            <w:r>
              <w:rPr>
                <w:rFonts w:hint="eastAsia" w:ascii="宋体" w:hAnsi="宋体" w:eastAsia="宋体" w:cs="宋体"/>
                <w:color w:val="000000"/>
                <w:sz w:val="21"/>
                <w:szCs w:val="21"/>
                <w:highlight w:val="none"/>
              </w:rPr>
              <w:t>方案内容不科学、内容不完整，可操作性查较差得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152274A9">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bCs w:val="0"/>
                <w:color w:val="000000"/>
                <w:kern w:val="2"/>
                <w:sz w:val="21"/>
                <w:szCs w:val="21"/>
                <w:highlight w:val="none"/>
                <w:lang w:val="zh-CN" w:eastAsia="zh-CN"/>
              </w:rPr>
            </w:pPr>
            <w:r>
              <w:rPr>
                <w:rFonts w:hint="eastAsia" w:ascii="宋体" w:hAnsi="宋体" w:eastAsia="宋体" w:cs="宋体"/>
                <w:color w:val="000000"/>
                <w:sz w:val="21"/>
                <w:szCs w:val="21"/>
                <w:highlight w:val="none"/>
              </w:rPr>
              <w:t>没有不得分。</w:t>
            </w:r>
          </w:p>
        </w:tc>
      </w:tr>
      <w:tr w14:paraId="60F6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64" w:type="dxa"/>
            <w:shd w:val="clear" w:color="auto" w:fill="FFFFFF"/>
            <w:noWrap w:val="0"/>
            <w:vAlign w:val="center"/>
          </w:tcPr>
          <w:p w14:paraId="0FBC3E76">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4</w:t>
            </w:r>
          </w:p>
        </w:tc>
        <w:tc>
          <w:tcPr>
            <w:tcW w:w="692" w:type="dxa"/>
            <w:vMerge w:val="continue"/>
            <w:shd w:val="clear" w:color="auto" w:fill="FFFFFF"/>
            <w:noWrap w:val="0"/>
            <w:vAlign w:val="center"/>
          </w:tcPr>
          <w:p w14:paraId="13C4E53B">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rPr>
            </w:pPr>
          </w:p>
        </w:tc>
        <w:tc>
          <w:tcPr>
            <w:tcW w:w="1486" w:type="dxa"/>
            <w:shd w:val="clear" w:color="auto" w:fill="FFFFFF"/>
            <w:noWrap w:val="0"/>
            <w:vAlign w:val="center"/>
          </w:tcPr>
          <w:p w14:paraId="2B9210F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菜品要求</w:t>
            </w:r>
          </w:p>
          <w:p w14:paraId="155EFA0F">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bCs/>
                <w:sz w:val="21"/>
                <w:szCs w:val="21"/>
                <w:highlight w:val="none"/>
                <w:lang w:val="en-US" w:eastAsia="zh-CN"/>
              </w:rPr>
            </w:pP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347087BB">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lang w:val="en-US" w:eastAsia="zh-CN"/>
              </w:rPr>
              <w:t>食堂菜品搭配方案营养均衡、荤素搭配合理、实施性完善、切实可行，</w:t>
            </w:r>
          </w:p>
          <w:p w14:paraId="7F3D64D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菜品要求</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76AA66BF">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菜品要求</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78304423">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lang w:val="en-US" w:eastAsia="zh-CN"/>
              </w:rPr>
              <w:t>菜品要求</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2224620E">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bCs w:val="0"/>
                <w:color w:val="000000"/>
                <w:kern w:val="2"/>
                <w:sz w:val="21"/>
                <w:szCs w:val="21"/>
                <w:highlight w:val="none"/>
                <w:lang w:val="zh-CN" w:eastAsia="zh-CN"/>
              </w:rPr>
            </w:pPr>
            <w:r>
              <w:rPr>
                <w:rFonts w:hint="eastAsia" w:ascii="宋体" w:hAnsi="宋体" w:eastAsia="宋体" w:cs="宋体"/>
                <w:color w:val="000000"/>
                <w:sz w:val="21"/>
                <w:szCs w:val="21"/>
                <w:highlight w:val="none"/>
              </w:rPr>
              <w:t>没有不得分。</w:t>
            </w:r>
          </w:p>
        </w:tc>
      </w:tr>
      <w:tr w14:paraId="5814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64" w:type="dxa"/>
            <w:shd w:val="clear" w:color="auto" w:fill="FFFFFF"/>
            <w:noWrap w:val="0"/>
            <w:vAlign w:val="center"/>
          </w:tcPr>
          <w:p w14:paraId="13619647">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5</w:t>
            </w:r>
          </w:p>
        </w:tc>
        <w:tc>
          <w:tcPr>
            <w:tcW w:w="692" w:type="dxa"/>
            <w:vMerge w:val="continue"/>
            <w:shd w:val="clear" w:color="auto" w:fill="FFFFFF"/>
            <w:noWrap w:val="0"/>
            <w:vAlign w:val="center"/>
          </w:tcPr>
          <w:p w14:paraId="6AF8F3AB">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rPr>
            </w:pPr>
          </w:p>
        </w:tc>
        <w:tc>
          <w:tcPr>
            <w:tcW w:w="1486" w:type="dxa"/>
            <w:shd w:val="clear" w:color="auto" w:fill="FFFFFF"/>
            <w:noWrap w:val="0"/>
            <w:vAlign w:val="center"/>
          </w:tcPr>
          <w:p w14:paraId="1A69B517">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 w:val="0"/>
                <w:color w:val="000000"/>
                <w:highlight w:val="none"/>
              </w:rPr>
              <w:t>早餐午餐方案</w:t>
            </w: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54A51FEE">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比较各投标人食堂基本伙食早餐、午餐供应种类、高低价位比例，</w:t>
            </w:r>
          </w:p>
          <w:p w14:paraId="23037EBE">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早餐午餐方案</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372904A2">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早餐午餐方案</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08521CF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早餐午餐方案</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15230D0">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Cs/>
                <w:sz w:val="21"/>
                <w:szCs w:val="21"/>
                <w:highlight w:val="yellow"/>
              </w:rPr>
            </w:pPr>
            <w:r>
              <w:rPr>
                <w:rFonts w:hint="eastAsia" w:ascii="宋体" w:hAnsi="宋体" w:eastAsia="宋体" w:cs="宋体"/>
                <w:color w:val="000000"/>
                <w:sz w:val="21"/>
                <w:szCs w:val="21"/>
                <w:highlight w:val="none"/>
              </w:rPr>
              <w:t>没有不得分。</w:t>
            </w:r>
          </w:p>
        </w:tc>
      </w:tr>
      <w:tr w14:paraId="12C5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center"/>
          </w:tcPr>
          <w:p w14:paraId="495F721D">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692" w:type="dxa"/>
            <w:vMerge w:val="continue"/>
            <w:shd w:val="clear" w:color="auto" w:fill="FFFFFF"/>
            <w:noWrap w:val="0"/>
            <w:vAlign w:val="center"/>
          </w:tcPr>
          <w:p w14:paraId="3E871AF0">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eastAsia="宋体" w:cs="宋体"/>
                <w:color w:val="000000"/>
                <w:szCs w:val="21"/>
              </w:rPr>
            </w:pPr>
          </w:p>
        </w:tc>
        <w:tc>
          <w:tcPr>
            <w:tcW w:w="1486" w:type="dxa"/>
            <w:shd w:val="clear" w:color="auto" w:fill="FFFFFF"/>
            <w:noWrap w:val="0"/>
            <w:vAlign w:val="center"/>
          </w:tcPr>
          <w:p w14:paraId="6E4F5B1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b w:val="0"/>
                <w:color w:val="000000"/>
                <w:highlight w:val="none"/>
              </w:rPr>
              <w:t>原材料</w:t>
            </w: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109BCE3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食品原材料供应来源方案内容详细、</w:t>
            </w:r>
            <w:r>
              <w:rPr>
                <w:rFonts w:hint="eastAsia" w:ascii="宋体" w:hAnsi="宋体" w:eastAsia="宋体" w:cs="宋体"/>
                <w:b w:val="0"/>
                <w:color w:val="000000"/>
                <w:highlight w:val="none"/>
                <w:lang w:eastAsia="zh-CN"/>
              </w:rPr>
              <w:t>科学合理</w:t>
            </w:r>
            <w:r>
              <w:rPr>
                <w:rFonts w:hint="eastAsia" w:ascii="宋体" w:hAnsi="宋体" w:eastAsia="宋体" w:cs="宋体"/>
                <w:b w:val="0"/>
                <w:color w:val="000000"/>
                <w:highlight w:val="none"/>
              </w:rPr>
              <w:t>质、卫生、安全，切实可行，原材料</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5D1FD299">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原材料</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7DEE5DED">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原材料</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1BBE12D4">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highlight w:val="yellow"/>
              </w:rPr>
            </w:pPr>
            <w:r>
              <w:rPr>
                <w:rFonts w:hint="eastAsia" w:ascii="宋体" w:hAnsi="宋体" w:eastAsia="宋体" w:cs="宋体"/>
                <w:color w:val="000000"/>
                <w:sz w:val="21"/>
                <w:szCs w:val="21"/>
                <w:highlight w:val="none"/>
              </w:rPr>
              <w:t>没有不得分。</w:t>
            </w:r>
          </w:p>
        </w:tc>
      </w:tr>
      <w:tr w14:paraId="01BE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0D93B2D4">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692" w:type="dxa"/>
            <w:vMerge w:val="restart"/>
            <w:shd w:val="clear" w:color="auto" w:fill="FFFFFF"/>
            <w:noWrap w:val="0"/>
            <w:vAlign w:val="center"/>
          </w:tcPr>
          <w:p w14:paraId="581AD3CB">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Cs w:val="21"/>
              </w:rPr>
            </w:pPr>
          </w:p>
        </w:tc>
        <w:tc>
          <w:tcPr>
            <w:tcW w:w="1486" w:type="dxa"/>
            <w:shd w:val="clear" w:color="auto" w:fill="FFFFFF"/>
            <w:noWrap w:val="0"/>
            <w:vAlign w:val="center"/>
          </w:tcPr>
          <w:p w14:paraId="282214F0">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仓储管理</w:t>
            </w:r>
          </w:p>
          <w:p w14:paraId="48C28EF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宋体" w:hAnsi="宋体" w:eastAsia="宋体" w:cs="宋体"/>
                <w:b w:val="0"/>
                <w:color w:val="000000"/>
                <w:highlight w:val="none"/>
              </w:rPr>
            </w:pPr>
            <w:r>
              <w:rPr>
                <w:rFonts w:hint="eastAsia" w:ascii="宋体" w:hAnsi="宋体" w:cs="宋体"/>
                <w:bCs/>
                <w:color w:val="000000"/>
                <w:szCs w:val="21"/>
                <w:highlight w:val="none"/>
                <w:lang w:val="en-US" w:eastAsia="zh-CN"/>
              </w:rPr>
              <w:t>（</w:t>
            </w:r>
            <w:r>
              <w:rPr>
                <w:rFonts w:hint="eastAsia" w:ascii="宋体" w:hAnsi="宋体" w:eastAsia="宋体" w:cs="宋体"/>
                <w:b w:val="0"/>
                <w:color w:val="000000"/>
                <w:highlight w:val="none"/>
                <w:lang w:val="en-US" w:eastAsia="zh-CN"/>
              </w:rPr>
              <w:t>5分</w:t>
            </w:r>
            <w:r>
              <w:rPr>
                <w:rFonts w:hint="eastAsia" w:ascii="宋体" w:hAnsi="宋体" w:cs="宋体"/>
                <w:bCs/>
                <w:color w:val="000000"/>
                <w:szCs w:val="21"/>
                <w:highlight w:val="none"/>
                <w:lang w:val="en-US" w:eastAsia="zh-CN"/>
              </w:rPr>
              <w:t>）</w:t>
            </w:r>
          </w:p>
        </w:tc>
        <w:tc>
          <w:tcPr>
            <w:tcW w:w="7248" w:type="dxa"/>
            <w:shd w:val="clear" w:color="auto" w:fill="FFFFFF"/>
            <w:noWrap w:val="0"/>
            <w:vAlign w:val="center"/>
          </w:tcPr>
          <w:p w14:paraId="0D637326">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比较各投标人仓储管理方案，卫生、安全，切实可行，</w:t>
            </w:r>
          </w:p>
          <w:p w14:paraId="3834CA0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仓储管理</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57017F09">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仓储管理</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59C131FC">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仓储管理</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67CB14F7">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6011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5B2D1AB4">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692" w:type="dxa"/>
            <w:vMerge w:val="continue"/>
            <w:shd w:val="clear" w:color="auto" w:fill="FFFFFF"/>
            <w:noWrap w:val="0"/>
            <w:vAlign w:val="center"/>
          </w:tcPr>
          <w:p w14:paraId="01359830">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Cs w:val="21"/>
              </w:rPr>
            </w:pPr>
          </w:p>
        </w:tc>
        <w:tc>
          <w:tcPr>
            <w:tcW w:w="1486" w:type="dxa"/>
            <w:shd w:val="clear" w:color="auto" w:fill="FFFFFF"/>
            <w:noWrap w:val="0"/>
            <w:vAlign w:val="center"/>
          </w:tcPr>
          <w:p w14:paraId="136AA3B2">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rPr>
              <w:t>加工管理</w:t>
            </w:r>
            <w:r>
              <w:rPr>
                <w:rFonts w:hint="eastAsia" w:ascii="宋体" w:hAnsi="宋体" w:eastAsia="宋体" w:cs="宋体"/>
                <w:b w:val="0"/>
                <w:color w:val="000000"/>
                <w:highlight w:val="none"/>
                <w:lang w:val="en-US" w:eastAsia="zh-CN"/>
              </w:rPr>
              <w:t xml:space="preserve"> </w:t>
            </w:r>
          </w:p>
          <w:p w14:paraId="1597B9B6">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lang w:val="en-US" w:eastAsia="zh-CN"/>
              </w:rPr>
              <w:t xml:space="preserve"> （5分）</w:t>
            </w:r>
          </w:p>
        </w:tc>
        <w:tc>
          <w:tcPr>
            <w:tcW w:w="7248" w:type="dxa"/>
            <w:shd w:val="clear" w:color="auto" w:fill="FFFFFF"/>
            <w:noWrap w:val="0"/>
            <w:vAlign w:val="center"/>
          </w:tcPr>
          <w:p w14:paraId="270A747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比较各投标人加工管理方案，卫生、安全，切实可行，加工管理</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25EF4CF8">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加工管理</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02F1E5ED">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加工管理</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3381D863">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5F62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1C196B78">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692" w:type="dxa"/>
            <w:vMerge w:val="continue"/>
            <w:shd w:val="clear" w:color="auto" w:fill="FFFFFF"/>
            <w:noWrap w:val="0"/>
            <w:vAlign w:val="center"/>
          </w:tcPr>
          <w:p w14:paraId="5E48A0EA">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Cs w:val="21"/>
              </w:rPr>
            </w:pPr>
          </w:p>
        </w:tc>
        <w:tc>
          <w:tcPr>
            <w:tcW w:w="1486" w:type="dxa"/>
            <w:shd w:val="clear" w:color="auto" w:fill="FFFFFF"/>
            <w:noWrap w:val="0"/>
            <w:vAlign w:val="center"/>
          </w:tcPr>
          <w:p w14:paraId="48BE2F41">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lang w:val="en-US" w:eastAsia="zh-CN"/>
              </w:rPr>
            </w:pPr>
            <w:r>
              <w:rPr>
                <w:rFonts w:hint="eastAsia" w:ascii="宋体" w:hAnsi="宋体" w:eastAsia="宋体" w:cs="宋体"/>
                <w:b w:val="0"/>
                <w:color w:val="000000"/>
                <w:highlight w:val="none"/>
              </w:rPr>
              <w:t>卫生管理</w:t>
            </w:r>
            <w:r>
              <w:rPr>
                <w:rFonts w:hint="eastAsia" w:ascii="宋体" w:hAnsi="宋体" w:eastAsia="宋体" w:cs="宋体"/>
                <w:b w:val="0"/>
                <w:color w:val="000000"/>
                <w:highlight w:val="none"/>
                <w:lang w:val="en-US" w:eastAsia="zh-CN"/>
              </w:rPr>
              <w:t xml:space="preserve"> </w:t>
            </w:r>
          </w:p>
          <w:p w14:paraId="5A46ED9D">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lang w:val="en-US" w:eastAsia="zh-CN"/>
              </w:rPr>
              <w:t>（5分）</w:t>
            </w:r>
          </w:p>
        </w:tc>
        <w:tc>
          <w:tcPr>
            <w:tcW w:w="7248" w:type="dxa"/>
            <w:shd w:val="clear" w:color="auto" w:fill="FFFFFF"/>
            <w:noWrap w:val="0"/>
            <w:vAlign w:val="center"/>
          </w:tcPr>
          <w:p w14:paraId="016CEADC">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比较各投标人卫生管理方案，卫生、安全，切实可行，卫生管理</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2B55797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卫生管理</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bookmarkStart w:id="28" w:name="_GoBack"/>
            <w:bookmarkEnd w:id="28"/>
          </w:p>
          <w:p w14:paraId="26A4D784">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卫生管理</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5E9AA864">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0DEB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6E589EE5">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692" w:type="dxa"/>
            <w:vMerge w:val="continue"/>
            <w:shd w:val="clear" w:color="auto" w:fill="FFFFFF"/>
            <w:noWrap w:val="0"/>
            <w:vAlign w:val="center"/>
          </w:tcPr>
          <w:p w14:paraId="47ACA69F">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Cs w:val="21"/>
              </w:rPr>
            </w:pPr>
          </w:p>
        </w:tc>
        <w:tc>
          <w:tcPr>
            <w:tcW w:w="1486" w:type="dxa"/>
            <w:shd w:val="clear" w:color="auto" w:fill="FFFFFF"/>
            <w:noWrap w:val="0"/>
            <w:vAlign w:val="center"/>
          </w:tcPr>
          <w:p w14:paraId="3D7E9231">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质量保证措施</w:t>
            </w:r>
            <w:r>
              <w:rPr>
                <w:rFonts w:hint="eastAsia" w:ascii="宋体" w:hAnsi="宋体" w:eastAsia="宋体" w:cs="宋体"/>
                <w:b w:val="0"/>
                <w:color w:val="000000"/>
                <w:highlight w:val="none"/>
                <w:lang w:eastAsia="zh-CN"/>
              </w:rPr>
              <w:t>（</w:t>
            </w:r>
            <w:r>
              <w:rPr>
                <w:rFonts w:hint="eastAsia" w:ascii="宋体" w:hAnsi="宋体" w:eastAsia="宋体" w:cs="宋体"/>
                <w:b w:val="0"/>
                <w:color w:val="000000"/>
                <w:highlight w:val="none"/>
                <w:lang w:val="en-US" w:eastAsia="zh-CN"/>
              </w:rPr>
              <w:t>5分</w:t>
            </w:r>
            <w:r>
              <w:rPr>
                <w:rFonts w:hint="eastAsia" w:ascii="宋体" w:hAnsi="宋体" w:eastAsia="宋体" w:cs="宋体"/>
                <w:b w:val="0"/>
                <w:color w:val="000000"/>
                <w:highlight w:val="none"/>
                <w:lang w:eastAsia="zh-CN"/>
              </w:rPr>
              <w:t>）</w:t>
            </w:r>
          </w:p>
        </w:tc>
        <w:tc>
          <w:tcPr>
            <w:tcW w:w="7248" w:type="dxa"/>
            <w:shd w:val="clear" w:color="auto" w:fill="FFFFFF"/>
            <w:noWrap w:val="0"/>
            <w:vAlign w:val="center"/>
          </w:tcPr>
          <w:p w14:paraId="154CABD0">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措施具体可靠，可实施性强，</w:t>
            </w:r>
          </w:p>
          <w:p w14:paraId="0D673791">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质量保证措施</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1C8E32FB">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质量保证措施</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4FC832AE">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质量保证措施</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6E662AB2">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r w14:paraId="4061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4" w:type="dxa"/>
            <w:shd w:val="clear" w:color="auto" w:fill="FFFFFF"/>
            <w:noWrap w:val="0"/>
            <w:vAlign w:val="top"/>
          </w:tcPr>
          <w:p w14:paraId="1599B897">
            <w:pPr>
              <w:keepNext w:val="0"/>
              <w:keepLines w:val="0"/>
              <w:pageBreakBefore w:val="0"/>
              <w:kinsoku/>
              <w:wordWrap/>
              <w:overflowPunct/>
              <w:topLinePunct w:val="0"/>
              <w:bidi w:val="0"/>
              <w:spacing w:line="320" w:lineRule="exact"/>
              <w:ind w:left="0" w:leftChars="0" w:right="0" w:rightChars="0"/>
              <w:jc w:val="center"/>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692" w:type="dxa"/>
            <w:vMerge w:val="continue"/>
            <w:shd w:val="clear" w:color="auto" w:fill="FFFFFF"/>
            <w:noWrap w:val="0"/>
            <w:vAlign w:val="center"/>
          </w:tcPr>
          <w:p w14:paraId="3628021E">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Cs w:val="21"/>
              </w:rPr>
            </w:pPr>
          </w:p>
        </w:tc>
        <w:tc>
          <w:tcPr>
            <w:tcW w:w="1486" w:type="dxa"/>
            <w:shd w:val="clear" w:color="auto" w:fill="FFFFFF"/>
            <w:noWrap w:val="0"/>
            <w:vAlign w:val="center"/>
          </w:tcPr>
          <w:p w14:paraId="2C6ED300">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b w:val="0"/>
                <w:color w:val="000000"/>
                <w:highlight w:val="none"/>
                <w:lang w:eastAsia="zh-CN"/>
              </w:rPr>
              <w:t>（</w:t>
            </w:r>
            <w:r>
              <w:rPr>
                <w:rFonts w:hint="eastAsia" w:ascii="宋体" w:hAnsi="宋体" w:eastAsia="宋体" w:cs="宋体"/>
                <w:b w:val="0"/>
                <w:color w:val="000000"/>
                <w:highlight w:val="none"/>
                <w:lang w:val="en-US" w:eastAsia="zh-CN"/>
              </w:rPr>
              <w:t>5分</w:t>
            </w:r>
            <w:r>
              <w:rPr>
                <w:rFonts w:hint="eastAsia" w:ascii="宋体" w:hAnsi="宋体" w:eastAsia="宋体" w:cs="宋体"/>
                <w:b w:val="0"/>
                <w:color w:val="000000"/>
                <w:highlight w:val="none"/>
                <w:lang w:eastAsia="zh-CN"/>
              </w:rPr>
              <w:t>）</w:t>
            </w:r>
          </w:p>
        </w:tc>
        <w:tc>
          <w:tcPr>
            <w:tcW w:w="7248" w:type="dxa"/>
            <w:shd w:val="clear" w:color="auto" w:fill="FFFFFF"/>
            <w:noWrap w:val="0"/>
            <w:vAlign w:val="center"/>
          </w:tcPr>
          <w:p w14:paraId="60BF932C">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b w:val="0"/>
                <w:color w:val="000000"/>
                <w:highlight w:val="none"/>
              </w:rPr>
            </w:pPr>
            <w:r>
              <w:rPr>
                <w:rFonts w:hint="eastAsia" w:ascii="宋体" w:hAnsi="宋体" w:eastAsia="宋体" w:cs="宋体"/>
                <w:b w:val="0"/>
                <w:color w:val="000000"/>
                <w:highlight w:val="none"/>
              </w:rPr>
              <w:t>工作组织及技术服务保证措施。</w:t>
            </w:r>
          </w:p>
          <w:p w14:paraId="72711275">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color w:val="000000"/>
                <w:sz w:val="21"/>
                <w:szCs w:val="21"/>
                <w:highlight w:val="none"/>
              </w:rPr>
              <w:t>内容较为完整、详细、合理，可操作性较强,得</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p w14:paraId="7FBC604A">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color w:val="000000"/>
                <w:sz w:val="21"/>
                <w:szCs w:val="21"/>
                <w:highlight w:val="none"/>
              </w:rPr>
              <w:t>内容基本完整、详细，可操作性一般,得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14:paraId="6CD72CA2">
            <w:pPr>
              <w:keepNext w:val="0"/>
              <w:keepLines w:val="0"/>
              <w:pageBreakBefore w:val="0"/>
              <w:kinsoku/>
              <w:wordWrap/>
              <w:overflowPunct/>
              <w:topLinePunct w:val="0"/>
              <w:autoSpaceDE w:val="0"/>
              <w:autoSpaceDN w:val="0"/>
              <w:bidi w:val="0"/>
              <w:adjustRightInd w:val="0"/>
              <w:snapToGrid w:val="0"/>
              <w:spacing w:line="320" w:lineRule="exact"/>
              <w:ind w:left="0" w:leftChars="0"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b w:val="0"/>
                <w:color w:val="000000"/>
                <w:highlight w:val="none"/>
              </w:rPr>
              <w:t>工作组织及技术服务</w:t>
            </w:r>
            <w:r>
              <w:rPr>
                <w:rFonts w:hint="eastAsia" w:ascii="宋体" w:hAnsi="宋体" w:eastAsia="宋体" w:cs="宋体"/>
                <w:color w:val="000000"/>
                <w:sz w:val="21"/>
                <w:szCs w:val="21"/>
                <w:highlight w:val="none"/>
              </w:rPr>
              <w:t>内容不科学、内容不完整，可操作性查较差得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6801028">
            <w:pPr>
              <w:keepNext w:val="0"/>
              <w:keepLines w:val="0"/>
              <w:pageBreakBefore w:val="0"/>
              <w:widowControl w:val="0"/>
              <w:tabs>
                <w:tab w:val="left" w:pos="312"/>
              </w:tabs>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没有不得分。</w:t>
            </w:r>
          </w:p>
        </w:tc>
      </w:tr>
    </w:tbl>
    <w:p w14:paraId="44160D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1"/>
          <w:szCs w:val="21"/>
          <w:highlight w:val="none"/>
          <w:vertAlign w:val="baseline"/>
          <w:lang w:val="en-US" w:eastAsia="zh-CN" w:bidi="ar"/>
        </w:rPr>
      </w:pPr>
    </w:p>
    <w:p w14:paraId="22E9193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综合评分表：</w:t>
      </w:r>
    </w:p>
    <w:p w14:paraId="1A838D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四</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2"/>
          <w:sz w:val="21"/>
          <w:szCs w:val="21"/>
          <w:highlight w:val="none"/>
          <w:vertAlign w:val="baseline"/>
          <w:lang w:val="en-US" w:eastAsia="zh-CN" w:bidi="ar"/>
        </w:rPr>
        <w:t>说  明</w:t>
      </w:r>
    </w:p>
    <w:p w14:paraId="76CA6F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、按最终得分由高到低的顺序推荐预中标候选人</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名，最终推荐排名第</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投标人参加同一合同项下投标的，按一家投标人计算，评审后得分最高的同品牌投标人获</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得中标人推荐资格；评审得分相同的，由评标委员会采取随机抽取方式确定，其他同品牌</w:t>
      </w: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投标人不作为中标候选人。</w:t>
      </w:r>
    </w:p>
    <w:p w14:paraId="1BB404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、本办法未列内容，不作为本次评审依据。</w:t>
      </w:r>
    </w:p>
    <w:p w14:paraId="14AF5F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纳入节能产品政府采购清单的投标产品及纳入环境标志产品政府采购品目清单的投标产品的证明材料：</w:t>
      </w:r>
    </w:p>
    <w:tbl>
      <w:tblPr>
        <w:tblStyle w:val="28"/>
        <w:tblW w:w="9092" w:type="dxa"/>
        <w:tblInd w:w="106"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427"/>
        <w:gridCol w:w="1533"/>
        <w:gridCol w:w="1732"/>
        <w:gridCol w:w="1333"/>
        <w:gridCol w:w="1935"/>
        <w:gridCol w:w="1132"/>
      </w:tblGrid>
      <w:tr w14:paraId="314711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0E1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项目名称</w:t>
            </w:r>
          </w:p>
        </w:tc>
        <w:tc>
          <w:tcPr>
            <w:tcW w:w="1533" w:type="dxa"/>
            <w:tcBorders>
              <w:top w:val="single" w:color="auto" w:sz="4" w:space="0"/>
              <w:left w:val="nil"/>
              <w:bottom w:val="single" w:color="auto" w:sz="4" w:space="0"/>
              <w:right w:val="single" w:color="auto" w:sz="4" w:space="0"/>
            </w:tcBorders>
            <w:shd w:val="clear" w:color="auto" w:fill="auto"/>
            <w:noWrap/>
            <w:vAlign w:val="center"/>
          </w:tcPr>
          <w:p w14:paraId="0DF30F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项目编码</w:t>
            </w:r>
          </w:p>
        </w:tc>
        <w:tc>
          <w:tcPr>
            <w:tcW w:w="1732" w:type="dxa"/>
            <w:tcBorders>
              <w:top w:val="single" w:color="auto" w:sz="4" w:space="0"/>
              <w:left w:val="nil"/>
              <w:bottom w:val="single" w:color="auto" w:sz="4" w:space="0"/>
              <w:right w:val="single" w:color="auto" w:sz="4" w:space="0"/>
            </w:tcBorders>
            <w:shd w:val="clear" w:color="auto" w:fill="auto"/>
            <w:noWrap/>
            <w:vAlign w:val="center"/>
          </w:tcPr>
          <w:p w14:paraId="6F1426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是否纳入节能产品政府采购清单的投标产品</w:t>
            </w:r>
          </w:p>
        </w:tc>
        <w:tc>
          <w:tcPr>
            <w:tcW w:w="1333" w:type="dxa"/>
            <w:tcBorders>
              <w:top w:val="single" w:color="auto" w:sz="4" w:space="0"/>
              <w:left w:val="nil"/>
              <w:bottom w:val="single" w:color="auto" w:sz="4" w:space="0"/>
              <w:right w:val="single" w:color="auto" w:sz="4" w:space="0"/>
            </w:tcBorders>
            <w:shd w:val="clear" w:color="auto" w:fill="auto"/>
            <w:noWrap/>
            <w:vAlign w:val="center"/>
          </w:tcPr>
          <w:p w14:paraId="38F6B4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金额（元）</w:t>
            </w:r>
          </w:p>
        </w:tc>
        <w:tc>
          <w:tcPr>
            <w:tcW w:w="1935" w:type="dxa"/>
            <w:tcBorders>
              <w:top w:val="single" w:color="auto" w:sz="4" w:space="0"/>
              <w:left w:val="nil"/>
              <w:bottom w:val="single" w:color="auto" w:sz="4" w:space="0"/>
              <w:right w:val="single" w:color="auto" w:sz="4" w:space="0"/>
            </w:tcBorders>
            <w:shd w:val="clear" w:color="auto" w:fill="auto"/>
            <w:noWrap/>
            <w:vAlign w:val="center"/>
          </w:tcPr>
          <w:p w14:paraId="245B3C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是否环境标志产品政府采购品目清单的投标产品</w:t>
            </w:r>
          </w:p>
        </w:tc>
        <w:tc>
          <w:tcPr>
            <w:tcW w:w="1132" w:type="dxa"/>
            <w:tcBorders>
              <w:top w:val="single" w:color="auto" w:sz="4" w:space="0"/>
              <w:left w:val="nil"/>
              <w:bottom w:val="single" w:color="auto" w:sz="4" w:space="0"/>
              <w:right w:val="single" w:color="auto" w:sz="4" w:space="0"/>
            </w:tcBorders>
            <w:shd w:val="clear" w:color="auto" w:fill="auto"/>
            <w:noWrap/>
            <w:vAlign w:val="center"/>
          </w:tcPr>
          <w:p w14:paraId="2F6864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金额（元）</w:t>
            </w:r>
          </w:p>
        </w:tc>
      </w:tr>
      <w:tr w14:paraId="4A57E3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1427" w:type="dxa"/>
            <w:tcBorders>
              <w:top w:val="single" w:color="auto" w:sz="4" w:space="0"/>
              <w:left w:val="single" w:color="auto" w:sz="4" w:space="0"/>
              <w:bottom w:val="single" w:color="auto" w:sz="4" w:space="0"/>
              <w:right w:val="single" w:color="auto" w:sz="4" w:space="0"/>
            </w:tcBorders>
            <w:shd w:val="clear" w:color="auto" w:fill="auto"/>
            <w:noWrap/>
            <w:vAlign w:val="top"/>
          </w:tcPr>
          <w:p w14:paraId="41F3E6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533" w:type="dxa"/>
            <w:tcBorders>
              <w:top w:val="single" w:color="auto" w:sz="4" w:space="0"/>
              <w:left w:val="nil"/>
              <w:bottom w:val="single" w:color="auto" w:sz="4" w:space="0"/>
              <w:right w:val="single" w:color="auto" w:sz="4" w:space="0"/>
            </w:tcBorders>
            <w:shd w:val="clear" w:color="auto" w:fill="auto"/>
            <w:noWrap/>
            <w:vAlign w:val="top"/>
          </w:tcPr>
          <w:p w14:paraId="7C10BA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732" w:type="dxa"/>
            <w:tcBorders>
              <w:top w:val="single" w:color="auto" w:sz="4" w:space="0"/>
              <w:left w:val="nil"/>
              <w:bottom w:val="single" w:color="auto" w:sz="4" w:space="0"/>
              <w:right w:val="single" w:color="auto" w:sz="4" w:space="0"/>
            </w:tcBorders>
            <w:shd w:val="clear" w:color="auto" w:fill="auto"/>
            <w:noWrap/>
            <w:vAlign w:val="top"/>
          </w:tcPr>
          <w:p w14:paraId="62907C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333" w:type="dxa"/>
            <w:tcBorders>
              <w:top w:val="single" w:color="auto" w:sz="4" w:space="0"/>
              <w:left w:val="nil"/>
              <w:bottom w:val="single" w:color="auto" w:sz="4" w:space="0"/>
              <w:right w:val="single" w:color="auto" w:sz="4" w:space="0"/>
            </w:tcBorders>
            <w:shd w:val="clear" w:color="auto" w:fill="auto"/>
            <w:noWrap/>
            <w:vAlign w:val="top"/>
          </w:tcPr>
          <w:p w14:paraId="28B1FE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935" w:type="dxa"/>
            <w:tcBorders>
              <w:top w:val="single" w:color="auto" w:sz="4" w:space="0"/>
              <w:left w:val="nil"/>
              <w:bottom w:val="single" w:color="auto" w:sz="4" w:space="0"/>
              <w:right w:val="single" w:color="auto" w:sz="4" w:space="0"/>
            </w:tcBorders>
            <w:shd w:val="clear" w:color="auto" w:fill="auto"/>
            <w:noWrap/>
            <w:vAlign w:val="top"/>
          </w:tcPr>
          <w:p w14:paraId="36F971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132" w:type="dxa"/>
            <w:tcBorders>
              <w:top w:val="single" w:color="auto" w:sz="4" w:space="0"/>
              <w:left w:val="nil"/>
              <w:bottom w:val="single" w:color="auto" w:sz="4" w:space="0"/>
              <w:right w:val="single" w:color="auto" w:sz="4" w:space="0"/>
            </w:tcBorders>
            <w:shd w:val="clear" w:color="auto" w:fill="auto"/>
            <w:noWrap/>
            <w:vAlign w:val="top"/>
          </w:tcPr>
          <w:p w14:paraId="47A145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r>
      <w:tr w14:paraId="6D895A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1427" w:type="dxa"/>
            <w:tcBorders>
              <w:top w:val="single" w:color="auto" w:sz="4" w:space="0"/>
              <w:left w:val="single" w:color="auto" w:sz="4" w:space="0"/>
              <w:bottom w:val="single" w:color="auto" w:sz="4" w:space="0"/>
              <w:right w:val="single" w:color="auto" w:sz="4" w:space="0"/>
            </w:tcBorders>
            <w:shd w:val="clear" w:color="auto" w:fill="auto"/>
            <w:noWrap/>
            <w:vAlign w:val="top"/>
          </w:tcPr>
          <w:p w14:paraId="09BF6E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533" w:type="dxa"/>
            <w:tcBorders>
              <w:top w:val="single" w:color="auto" w:sz="4" w:space="0"/>
              <w:left w:val="nil"/>
              <w:bottom w:val="single" w:color="auto" w:sz="4" w:space="0"/>
              <w:right w:val="single" w:color="auto" w:sz="4" w:space="0"/>
            </w:tcBorders>
            <w:shd w:val="clear" w:color="auto" w:fill="auto"/>
            <w:noWrap/>
            <w:vAlign w:val="top"/>
          </w:tcPr>
          <w:p w14:paraId="4B4CDF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732" w:type="dxa"/>
            <w:tcBorders>
              <w:top w:val="single" w:color="auto" w:sz="4" w:space="0"/>
              <w:left w:val="nil"/>
              <w:bottom w:val="single" w:color="auto" w:sz="4" w:space="0"/>
              <w:right w:val="single" w:color="auto" w:sz="4" w:space="0"/>
            </w:tcBorders>
            <w:shd w:val="clear" w:color="auto" w:fill="auto"/>
            <w:noWrap/>
            <w:vAlign w:val="top"/>
          </w:tcPr>
          <w:p w14:paraId="340507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333" w:type="dxa"/>
            <w:tcBorders>
              <w:top w:val="single" w:color="auto" w:sz="4" w:space="0"/>
              <w:left w:val="nil"/>
              <w:bottom w:val="single" w:color="auto" w:sz="4" w:space="0"/>
              <w:right w:val="single" w:color="auto" w:sz="4" w:space="0"/>
            </w:tcBorders>
            <w:shd w:val="clear" w:color="auto" w:fill="auto"/>
            <w:noWrap/>
            <w:vAlign w:val="top"/>
          </w:tcPr>
          <w:p w14:paraId="47C34A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935" w:type="dxa"/>
            <w:tcBorders>
              <w:top w:val="single" w:color="auto" w:sz="4" w:space="0"/>
              <w:left w:val="nil"/>
              <w:bottom w:val="single" w:color="auto" w:sz="4" w:space="0"/>
              <w:right w:val="single" w:color="auto" w:sz="4" w:space="0"/>
            </w:tcBorders>
            <w:shd w:val="clear" w:color="auto" w:fill="auto"/>
            <w:noWrap/>
            <w:vAlign w:val="top"/>
          </w:tcPr>
          <w:p w14:paraId="52FB1D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132" w:type="dxa"/>
            <w:tcBorders>
              <w:top w:val="single" w:color="auto" w:sz="4" w:space="0"/>
              <w:left w:val="nil"/>
              <w:bottom w:val="single" w:color="auto" w:sz="4" w:space="0"/>
              <w:right w:val="single" w:color="auto" w:sz="4" w:space="0"/>
            </w:tcBorders>
            <w:shd w:val="clear" w:color="auto" w:fill="auto"/>
            <w:noWrap/>
            <w:vAlign w:val="top"/>
          </w:tcPr>
          <w:p w14:paraId="198F19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r>
      <w:tr w14:paraId="69E8D7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1427" w:type="dxa"/>
            <w:tcBorders>
              <w:top w:val="single" w:color="auto" w:sz="4" w:space="0"/>
              <w:left w:val="single" w:color="auto" w:sz="4" w:space="0"/>
              <w:bottom w:val="single" w:color="auto" w:sz="4" w:space="0"/>
              <w:right w:val="single" w:color="auto" w:sz="4" w:space="0"/>
            </w:tcBorders>
            <w:shd w:val="clear" w:color="auto" w:fill="auto"/>
            <w:noWrap/>
            <w:vAlign w:val="top"/>
          </w:tcPr>
          <w:p w14:paraId="1C8971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533" w:type="dxa"/>
            <w:tcBorders>
              <w:top w:val="single" w:color="auto" w:sz="4" w:space="0"/>
              <w:left w:val="nil"/>
              <w:bottom w:val="single" w:color="auto" w:sz="4" w:space="0"/>
              <w:right w:val="single" w:color="auto" w:sz="4" w:space="0"/>
            </w:tcBorders>
            <w:shd w:val="clear" w:color="auto" w:fill="auto"/>
            <w:noWrap/>
            <w:vAlign w:val="top"/>
          </w:tcPr>
          <w:p w14:paraId="66EA1B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732" w:type="dxa"/>
            <w:tcBorders>
              <w:top w:val="single" w:color="auto" w:sz="4" w:space="0"/>
              <w:left w:val="nil"/>
              <w:bottom w:val="single" w:color="auto" w:sz="4" w:space="0"/>
              <w:right w:val="single" w:color="auto" w:sz="4" w:space="0"/>
            </w:tcBorders>
            <w:shd w:val="clear" w:color="auto" w:fill="auto"/>
            <w:noWrap/>
            <w:vAlign w:val="top"/>
          </w:tcPr>
          <w:p w14:paraId="41D8D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333" w:type="dxa"/>
            <w:tcBorders>
              <w:top w:val="single" w:color="auto" w:sz="4" w:space="0"/>
              <w:left w:val="nil"/>
              <w:bottom w:val="single" w:color="auto" w:sz="4" w:space="0"/>
              <w:right w:val="single" w:color="auto" w:sz="4" w:space="0"/>
            </w:tcBorders>
            <w:shd w:val="clear" w:color="auto" w:fill="auto"/>
            <w:noWrap/>
            <w:vAlign w:val="top"/>
          </w:tcPr>
          <w:p w14:paraId="2445714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935" w:type="dxa"/>
            <w:tcBorders>
              <w:top w:val="single" w:color="auto" w:sz="4" w:space="0"/>
              <w:left w:val="nil"/>
              <w:bottom w:val="single" w:color="auto" w:sz="4" w:space="0"/>
              <w:right w:val="single" w:color="auto" w:sz="4" w:space="0"/>
            </w:tcBorders>
            <w:shd w:val="clear" w:color="auto" w:fill="auto"/>
            <w:noWrap/>
            <w:vAlign w:val="top"/>
          </w:tcPr>
          <w:p w14:paraId="6B3B3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132" w:type="dxa"/>
            <w:tcBorders>
              <w:top w:val="single" w:color="auto" w:sz="4" w:space="0"/>
              <w:left w:val="nil"/>
              <w:bottom w:val="single" w:color="auto" w:sz="4" w:space="0"/>
              <w:right w:val="single" w:color="auto" w:sz="4" w:space="0"/>
            </w:tcBorders>
            <w:shd w:val="clear" w:color="auto" w:fill="auto"/>
            <w:noWrap/>
            <w:vAlign w:val="top"/>
          </w:tcPr>
          <w:p w14:paraId="55A272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r>
      <w:tr w14:paraId="405261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1427" w:type="dxa"/>
            <w:tcBorders>
              <w:top w:val="single" w:color="auto" w:sz="4" w:space="0"/>
              <w:left w:val="single" w:color="auto" w:sz="4" w:space="0"/>
              <w:bottom w:val="single" w:color="auto" w:sz="4" w:space="0"/>
              <w:right w:val="single" w:color="auto" w:sz="4" w:space="0"/>
            </w:tcBorders>
            <w:shd w:val="clear" w:color="auto" w:fill="auto"/>
            <w:noWrap/>
            <w:vAlign w:val="top"/>
          </w:tcPr>
          <w:p w14:paraId="494D79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合计</w:t>
            </w:r>
          </w:p>
        </w:tc>
        <w:tc>
          <w:tcPr>
            <w:tcW w:w="1533" w:type="dxa"/>
            <w:tcBorders>
              <w:top w:val="single" w:color="auto" w:sz="4" w:space="0"/>
              <w:left w:val="nil"/>
              <w:bottom w:val="single" w:color="auto" w:sz="4" w:space="0"/>
              <w:right w:val="single" w:color="auto" w:sz="4" w:space="0"/>
            </w:tcBorders>
            <w:shd w:val="clear" w:color="auto" w:fill="auto"/>
            <w:noWrap/>
            <w:vAlign w:val="top"/>
          </w:tcPr>
          <w:p w14:paraId="4CEE87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732" w:type="dxa"/>
            <w:tcBorders>
              <w:top w:val="single" w:color="auto" w:sz="4" w:space="0"/>
              <w:left w:val="nil"/>
              <w:bottom w:val="single" w:color="auto" w:sz="4" w:space="0"/>
              <w:right w:val="single" w:color="auto" w:sz="4" w:space="0"/>
            </w:tcBorders>
            <w:shd w:val="clear" w:color="auto" w:fill="auto"/>
            <w:noWrap/>
            <w:vAlign w:val="top"/>
          </w:tcPr>
          <w:p w14:paraId="2927FD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333" w:type="dxa"/>
            <w:tcBorders>
              <w:top w:val="single" w:color="auto" w:sz="4" w:space="0"/>
              <w:left w:val="nil"/>
              <w:bottom w:val="single" w:color="auto" w:sz="4" w:space="0"/>
              <w:right w:val="single" w:color="auto" w:sz="4" w:space="0"/>
            </w:tcBorders>
            <w:shd w:val="clear" w:color="auto" w:fill="auto"/>
            <w:noWrap/>
            <w:vAlign w:val="top"/>
          </w:tcPr>
          <w:p w14:paraId="62F064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元</w:t>
            </w:r>
          </w:p>
        </w:tc>
        <w:tc>
          <w:tcPr>
            <w:tcW w:w="1935" w:type="dxa"/>
            <w:tcBorders>
              <w:top w:val="single" w:color="auto" w:sz="4" w:space="0"/>
              <w:left w:val="nil"/>
              <w:bottom w:val="single" w:color="auto" w:sz="4" w:space="0"/>
              <w:right w:val="single" w:color="auto" w:sz="4" w:space="0"/>
            </w:tcBorders>
            <w:shd w:val="clear" w:color="auto" w:fill="auto"/>
            <w:noWrap/>
            <w:vAlign w:val="top"/>
          </w:tcPr>
          <w:p w14:paraId="482548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tc>
        <w:tc>
          <w:tcPr>
            <w:tcW w:w="1132" w:type="dxa"/>
            <w:tcBorders>
              <w:top w:val="single" w:color="auto" w:sz="4" w:space="0"/>
              <w:left w:val="nil"/>
              <w:bottom w:val="single" w:color="auto" w:sz="4" w:space="0"/>
              <w:right w:val="single" w:color="auto" w:sz="4" w:space="0"/>
            </w:tcBorders>
            <w:shd w:val="clear" w:color="auto" w:fill="auto"/>
            <w:noWrap/>
            <w:vAlign w:val="top"/>
          </w:tcPr>
          <w:p w14:paraId="6A056C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元</w:t>
            </w:r>
          </w:p>
        </w:tc>
      </w:tr>
    </w:tbl>
    <w:p w14:paraId="317A5D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依据财政部《关于印发《政府采购促进中小企业发展暂行办法》的通知》（财库〔</w:t>
      </w:r>
      <w:r>
        <w:rPr>
          <w:rFonts w:hint="default" w:ascii="Calibri" w:hAnsi="Calibri" w:eastAsia="宋体" w:cs="Times New Roman"/>
          <w:b w:val="0"/>
          <w:bCs w:val="0"/>
          <w:caps w:val="0"/>
          <w:color w:val="auto"/>
          <w:kern w:val="2"/>
          <w:sz w:val="21"/>
          <w:szCs w:val="21"/>
          <w:highlight w:val="none"/>
          <w:vertAlign w:val="baseline"/>
          <w:lang w:val="en-US" w:eastAsia="zh-CN" w:bidi="ar"/>
        </w:rPr>
        <w:t>20</w:t>
      </w:r>
      <w:r>
        <w:rPr>
          <w:rFonts w:hint="eastAsia" w:ascii="Calibri" w:hAnsi="Calibri" w:eastAsia="宋体" w:cs="Times New Roman"/>
          <w:b w:val="0"/>
          <w:bCs w:val="0"/>
          <w:caps w:val="0"/>
          <w:color w:val="auto"/>
          <w:kern w:val="2"/>
          <w:sz w:val="21"/>
          <w:szCs w:val="21"/>
          <w:highlight w:val="none"/>
          <w:vertAlign w:val="baseline"/>
          <w:lang w:val="en-US" w:eastAsia="zh-CN" w:bidi="ar"/>
        </w:rPr>
        <w:t>20</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Calibri" w:hAnsi="Calibri" w:eastAsia="宋体" w:cs="Times New Roman"/>
          <w:b w:val="0"/>
          <w:bCs w:val="0"/>
          <w:caps w:val="0"/>
          <w:color w:val="auto"/>
          <w:kern w:val="2"/>
          <w:sz w:val="21"/>
          <w:szCs w:val="21"/>
          <w:highlight w:val="none"/>
          <w:vertAlign w:val="baseline"/>
          <w:lang w:val="en-US" w:eastAsia="zh-CN" w:bidi="ar"/>
        </w:rPr>
        <w:t>46</w:t>
      </w:r>
      <w:r>
        <w:rPr>
          <w:rFonts w:hint="eastAsia" w:ascii="宋体" w:hAnsi="宋体" w:eastAsia="宋体" w:cs="Times New Roman"/>
          <w:b w:val="0"/>
          <w:bCs w:val="0"/>
          <w:caps w:val="0"/>
          <w:color w:val="auto"/>
          <w:kern w:val="2"/>
          <w:sz w:val="21"/>
          <w:szCs w:val="21"/>
          <w:highlight w:val="none"/>
          <w:vertAlign w:val="baseline"/>
          <w:lang w:val="en-US" w:eastAsia="zh-CN" w:bidi="ar"/>
        </w:rPr>
        <w:t>号）规定本项目对小型和微型企业产品的价格给予</w:t>
      </w:r>
      <w:r>
        <w:rPr>
          <w:rFonts w:hint="default" w:ascii="Calibri" w:hAnsi="Calibri" w:eastAsia="宋体" w:cs="Times New Roman"/>
          <w:b w:val="0"/>
          <w:bCs w:val="0"/>
          <w:caps w:val="0"/>
          <w:color w:val="auto"/>
          <w:kern w:val="2"/>
          <w:sz w:val="21"/>
          <w:szCs w:val="21"/>
          <w:highlight w:val="none"/>
          <w:vertAlign w:val="baseline"/>
          <w:lang w:val="en-US" w:eastAsia="zh-CN" w:bidi="ar"/>
        </w:rPr>
        <w:t>10-20%</w:t>
      </w:r>
      <w:r>
        <w:rPr>
          <w:rFonts w:hint="eastAsia" w:ascii="宋体" w:hAnsi="宋体" w:eastAsia="宋体" w:cs="Times New Roman"/>
          <w:b w:val="0"/>
          <w:bCs w:val="0"/>
          <w:caps w:val="0"/>
          <w:color w:val="auto"/>
          <w:kern w:val="2"/>
          <w:sz w:val="21"/>
          <w:szCs w:val="21"/>
          <w:highlight w:val="none"/>
          <w:vertAlign w:val="baseline"/>
          <w:lang w:val="en-US" w:eastAsia="zh-CN" w:bidi="ar"/>
        </w:rPr>
        <w:t>的扣除，用扣除后的价格参与评审，但参加本次采购活动的中小企业应当提供本办法规定的《中小企业声明函》。小型、微型企业提供中型企业制造的货物的，视同为中型企业。</w:t>
      </w:r>
    </w:p>
    <w:p w14:paraId="183DD7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依据《财政部司法部关于政府采购支持监狱企业发展有关问题的通知》文件规定，在政府采购活动中，监狱企业视同小型、微型企业，享受预留份额、评审中价格扣除等政府采购促进中小企业发展的政府采购政策。</w:t>
      </w:r>
    </w:p>
    <w:p w14:paraId="77E258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A312C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t>评标委员会在评审时，价格分加分：</w:t>
      </w:r>
    </w:p>
    <w:p w14:paraId="25575D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(1)根据财库〔2022〕19号文件规定，对小型和微型企业的产品给予10%的价格扣除，并按照扣除后的价格参加评审。</w:t>
      </w:r>
    </w:p>
    <w:p w14:paraId="5161A6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(2)对于列入财政部、国家发改委发布的《节能产品政府采购品目清单》但不属于国家强制采购的产品，对其投标价格给予3%的价格扣除，并按照扣除后的价格参加评审。</w:t>
      </w:r>
    </w:p>
    <w:p w14:paraId="313C07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（3）对于纳入环境标志产品政府采购品目清单的投标产品，按其在总报价中所占的比例给予3%的价格加分。</w:t>
      </w:r>
    </w:p>
    <w:p w14:paraId="734B38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投标产品同时纳入节能产品政府采购清单、环境标志产品政府采购品目清单时的，将上述规定的价格分加分比例分叠加后计算价格加分。（投标人须提供在有效期内的认证证明及相应证明材料原件）。</w:t>
      </w:r>
    </w:p>
    <w:p w14:paraId="69D96E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（4）《财政部司法部关于政府采购支持监狱企业发展有关问题的通知》文件规定，在政府采购活动中，监狱企业视同小型、微型企业，对监狱企业的投标报价给予10%的价格扣除，并按照扣除后的价格参加评审。</w:t>
      </w:r>
    </w:p>
    <w:p w14:paraId="4F199F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5）《关于促进残疾人就业政府采购政策的通知》（财库〔2017〕141号），在政府采购活动中，残疾人福利性单位视同小型、微型企业，对残疾人福利性单位的投标报价给予10%的价格扣除，并按照扣除后的价格参评加审。</w:t>
      </w:r>
    </w:p>
    <w:p w14:paraId="3CCC27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caps w:val="0"/>
          <w:color w:val="auto"/>
          <w:kern w:val="2"/>
          <w:sz w:val="21"/>
          <w:szCs w:val="21"/>
          <w:highlight w:val="none"/>
          <w:vertAlign w:val="baseline"/>
          <w:lang w:bidi="ar"/>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p>
    <w:p w14:paraId="515AD83C">
      <w:pPr>
        <w:rPr>
          <w:rFonts w:hint="default"/>
          <w:highlight w:val="none"/>
        </w:rPr>
      </w:pPr>
      <w:r>
        <w:rPr>
          <w:rFonts w:hint="default" w:ascii="Calibri" w:hAnsi="Calibri" w:eastAsia="宋体" w:cs="Times New Roman"/>
          <w:caps w:val="0"/>
          <w:color w:val="auto"/>
          <w:kern w:val="2"/>
          <w:sz w:val="21"/>
          <w:szCs w:val="21"/>
          <w:highlight w:val="none"/>
          <w:vertAlign w:val="baseline"/>
          <w:lang w:bidi="ar"/>
        </w:rPr>
        <w:br w:type="page"/>
      </w:r>
    </w:p>
    <w:p w14:paraId="28B73DD0">
      <w:pPr>
        <w:pStyle w:val="4"/>
        <w:bidi w:val="0"/>
        <w:jc w:val="center"/>
        <w:rPr>
          <w:rFonts w:hint="default"/>
        </w:rPr>
      </w:pPr>
      <w:bookmarkStart w:id="10" w:name="_Toc2592"/>
      <w:r>
        <w:rPr>
          <w:rFonts w:hint="eastAsia"/>
          <w:lang w:val="en-US" w:eastAsia="zh-CN"/>
        </w:rPr>
        <w:t>第四章</w:t>
      </w:r>
      <w:r>
        <w:rPr>
          <w:rFonts w:hint="default"/>
          <w:lang w:val="en-US" w:eastAsia="zh-CN"/>
        </w:rPr>
        <w:t xml:space="preserve">  </w:t>
      </w:r>
      <w:r>
        <w:rPr>
          <w:rFonts w:hint="eastAsia"/>
          <w:lang w:val="en-US" w:eastAsia="zh-CN"/>
        </w:rPr>
        <w:t>采购需求</w:t>
      </w:r>
      <w:bookmarkEnd w:id="10"/>
    </w:p>
    <w:p w14:paraId="19E6DB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val="en-US" w:eastAsia="zh-CN" w:bidi="ar"/>
        </w:rPr>
      </w:pPr>
      <w:bookmarkStart w:id="11" w:name="_Toc28095"/>
      <w:r>
        <w:rPr>
          <w:rFonts w:hint="eastAsia" w:ascii="Calibri" w:hAnsi="Calibri" w:eastAsia="宋体" w:cs="Times New Roman"/>
          <w:caps w:val="0"/>
          <w:color w:val="auto"/>
          <w:kern w:val="2"/>
          <w:sz w:val="21"/>
          <w:szCs w:val="21"/>
          <w:highlight w:val="none"/>
          <w:vertAlign w:val="baseline"/>
          <w:lang w:val="en-US" w:eastAsia="zh-CN" w:bidi="ar"/>
        </w:rPr>
        <w:t>服务场地使用面积300平方米，食堂服务单位配备满足食堂服务的工具、实际入口标准以按实际用餐人数结算、食堂服务单位餐厅工作人员，提供医院职工及患者早、中、晚餐接待客餐及因工作需要的连班加餐现场就餐配送等。</w:t>
      </w:r>
    </w:p>
    <w:p w14:paraId="24D3A8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eastAsia="zh-CN" w:bidi="ar"/>
        </w:rPr>
        <w:t>一</w:t>
      </w:r>
      <w:r>
        <w:rPr>
          <w:rFonts w:hint="eastAsia" w:ascii="Calibri" w:hAnsi="Calibri" w:eastAsia="宋体" w:cs="Times New Roman"/>
          <w:caps w:val="0"/>
          <w:color w:val="auto"/>
          <w:kern w:val="2"/>
          <w:sz w:val="21"/>
          <w:szCs w:val="21"/>
          <w:highlight w:val="none"/>
          <w:vertAlign w:val="baseline"/>
          <w:lang w:bidi="ar"/>
        </w:rPr>
        <w:t>、招标方及中标方的权利和义务</w:t>
      </w:r>
    </w:p>
    <w:p w14:paraId="364C8C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(一)招标方的权利和义务</w:t>
      </w:r>
    </w:p>
    <w:p w14:paraId="5EA75F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1、招标方负责维修供热、供水、供电等公用设施。</w:t>
      </w:r>
    </w:p>
    <w:p w14:paraId="3A173D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2</w:t>
      </w:r>
      <w:r>
        <w:rPr>
          <w:rFonts w:hint="eastAsia" w:ascii="Calibri" w:hAnsi="Calibri" w:eastAsia="宋体" w:cs="Times New Roman"/>
          <w:caps w:val="0"/>
          <w:color w:val="auto"/>
          <w:kern w:val="2"/>
          <w:sz w:val="21"/>
          <w:szCs w:val="21"/>
          <w:highlight w:val="none"/>
          <w:vertAlign w:val="baseline"/>
          <w:lang w:bidi="ar"/>
        </w:rPr>
        <w:t>、招标方现有设备和用具无偿提供给中标方使用并负责维修,设备更新另议。</w:t>
      </w:r>
    </w:p>
    <w:p w14:paraId="769C5B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3</w:t>
      </w:r>
      <w:r>
        <w:rPr>
          <w:rFonts w:hint="eastAsia" w:ascii="Calibri" w:hAnsi="Calibri" w:eastAsia="宋体" w:cs="Times New Roman"/>
          <w:caps w:val="0"/>
          <w:color w:val="auto"/>
          <w:kern w:val="2"/>
          <w:sz w:val="21"/>
          <w:szCs w:val="21"/>
          <w:highlight w:val="none"/>
          <w:vertAlign w:val="baseline"/>
          <w:lang w:bidi="ar"/>
        </w:rPr>
        <w:t>、招标方有权检查、管理中标方的经营管理,特别是食物原材料的质量、食品卫生安全、餐厅的卫生环境和水电气的安全环境。</w:t>
      </w:r>
    </w:p>
    <w:p w14:paraId="34B2EE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4</w:t>
      </w:r>
      <w:r>
        <w:rPr>
          <w:rFonts w:hint="eastAsia" w:ascii="Calibri" w:hAnsi="Calibri" w:eastAsia="宋体" w:cs="Times New Roman"/>
          <w:caps w:val="0"/>
          <w:color w:val="auto"/>
          <w:kern w:val="2"/>
          <w:sz w:val="21"/>
          <w:szCs w:val="21"/>
          <w:highlight w:val="none"/>
          <w:vertAlign w:val="baseline"/>
          <w:lang w:bidi="ar"/>
        </w:rPr>
        <w:t>、招标方定期对饭菜质量进行满意度测评,如果连续两次职工测评度低于70%,招标方立即无条件解除与中标方的承包合同。出现食品安全问题,招标方有权随时解除协议,并不承担中标方的任何损失。</w:t>
      </w:r>
    </w:p>
    <w:p w14:paraId="364C858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val="en-US" w:eastAsia="zh-CN" w:bidi="ar"/>
        </w:rPr>
        <w:t>5</w:t>
      </w:r>
      <w:r>
        <w:rPr>
          <w:rFonts w:hint="eastAsia" w:ascii="Calibri" w:hAnsi="Calibri" w:eastAsia="宋体" w:cs="Times New Roman"/>
          <w:caps w:val="0"/>
          <w:color w:val="auto"/>
          <w:kern w:val="2"/>
          <w:sz w:val="21"/>
          <w:szCs w:val="21"/>
          <w:highlight w:val="none"/>
          <w:vertAlign w:val="baseline"/>
          <w:lang w:bidi="ar"/>
        </w:rPr>
        <w:t>、根据工作需要,提出变更就餐时间。</w:t>
      </w:r>
    </w:p>
    <w:p w14:paraId="7A8284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(二)中标方的权利和义务</w:t>
      </w:r>
    </w:p>
    <w:p w14:paraId="036A67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1、必须具有经营管理机关食堂的相关资质和工作经验,独立经营,自负盈亏。</w:t>
      </w:r>
    </w:p>
    <w:p w14:paraId="3F8110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2、必须接受招标方管理,食堂不允许对外营业。</w:t>
      </w:r>
    </w:p>
    <w:p w14:paraId="6C03EA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eastAsia="zh-CN" w:bidi="ar"/>
        </w:rPr>
      </w:pPr>
      <w:r>
        <w:rPr>
          <w:rFonts w:hint="eastAsia" w:ascii="Calibri" w:hAnsi="Calibri" w:eastAsia="宋体" w:cs="Times New Roman"/>
          <w:caps w:val="0"/>
          <w:color w:val="auto"/>
          <w:kern w:val="2"/>
          <w:sz w:val="21"/>
          <w:szCs w:val="21"/>
          <w:highlight w:val="none"/>
          <w:vertAlign w:val="baseline"/>
          <w:lang w:bidi="ar"/>
        </w:rPr>
        <w:t>3、中标方负责食堂的消防、安全、卫生、环境建设，如因中标方责任发生火灾、食物中毒、环境污染、安全等事故,所有损失由中标方承担</w:t>
      </w:r>
      <w:r>
        <w:rPr>
          <w:rFonts w:hint="eastAsia" w:ascii="Calibri" w:hAnsi="Calibri" w:eastAsia="宋体" w:cs="Times New Roman"/>
          <w:caps w:val="0"/>
          <w:color w:val="auto"/>
          <w:kern w:val="2"/>
          <w:sz w:val="21"/>
          <w:szCs w:val="21"/>
          <w:highlight w:val="none"/>
          <w:vertAlign w:val="baseline"/>
          <w:lang w:eastAsia="zh-CN" w:bidi="ar"/>
        </w:rPr>
        <w:t>，如在经营期间出现一切事故，我院有权终止合同。</w:t>
      </w:r>
    </w:p>
    <w:p w14:paraId="60821D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4、中标方工作人员必须每年经卫生部门体检合格并持证上岗,做到工作服装整齐、干净。</w:t>
      </w:r>
    </w:p>
    <w:p w14:paraId="091778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5、中标方不得擅自改变房屋结构和设备位置。招标方将对房屋设备进行验收检查,如果损坏,必须修复或折价赔偿。</w:t>
      </w:r>
    </w:p>
    <w:p w14:paraId="5EDB50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6、中标方中途不得擅自转包或改变服务性质。若擅自变更经营者或改变服务性质,则视为中标方违约,招标方有权终止协议,且不承担因终止协议而造成的经济损失。</w:t>
      </w:r>
    </w:p>
    <w:p w14:paraId="79CD9F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7、协议期满中标方应按本协议的规定将招标方提供给中标方使用的物品、用具完好无损的交付给招标方,如有损坏由中标方负责修复,不能修复的按折旧价赔偿,使用期间发生的安全问题由中标方负全部责任</w:t>
      </w:r>
    </w:p>
    <w:p w14:paraId="2061CB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eastAsia="zh-CN" w:bidi="ar"/>
        </w:rPr>
        <w:t>二</w:t>
      </w:r>
      <w:r>
        <w:rPr>
          <w:rFonts w:hint="eastAsia" w:ascii="Calibri" w:hAnsi="Calibri" w:eastAsia="宋体" w:cs="Times New Roman"/>
          <w:caps w:val="0"/>
          <w:color w:val="auto"/>
          <w:kern w:val="2"/>
          <w:sz w:val="21"/>
          <w:szCs w:val="21"/>
          <w:highlight w:val="none"/>
          <w:vertAlign w:val="baseline"/>
          <w:lang w:bidi="ar"/>
        </w:rPr>
        <w:t>、食物原材料的标准</w:t>
      </w:r>
    </w:p>
    <w:p w14:paraId="7C72C2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中标方必须按照招标方要求购买食材。食物的原材料(主要包括:米、面、油、和其它调料),必须使用正规厂家生产的且为长春市市场上销售的正规产品。</w:t>
      </w:r>
    </w:p>
    <w:p w14:paraId="35FAE2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米:非转基因,不低于五常牌、万昌牌</w:t>
      </w:r>
      <w:r>
        <w:rPr>
          <w:rFonts w:hint="eastAsia" w:ascii="Calibri" w:hAnsi="Calibri" w:eastAsia="宋体" w:cs="Times New Roman"/>
          <w:caps w:val="0"/>
          <w:color w:val="auto"/>
          <w:kern w:val="2"/>
          <w:sz w:val="21"/>
          <w:szCs w:val="21"/>
          <w:highlight w:val="none"/>
          <w:vertAlign w:val="baseline"/>
          <w:lang w:eastAsia="zh-CN" w:bidi="ar"/>
        </w:rPr>
        <w:t>、</w:t>
      </w:r>
      <w:r>
        <w:rPr>
          <w:rFonts w:hint="eastAsia" w:ascii="Calibri" w:hAnsi="Calibri" w:eastAsia="宋体" w:cs="Times New Roman"/>
          <w:caps w:val="0"/>
          <w:color w:val="auto"/>
          <w:kern w:val="2"/>
          <w:sz w:val="21"/>
          <w:szCs w:val="21"/>
          <w:highlight w:val="none"/>
          <w:vertAlign w:val="baseline"/>
          <w:lang w:bidi="ar"/>
        </w:rPr>
        <w:t>九台牌、响水牌等标准</w:t>
      </w:r>
    </w:p>
    <w:p w14:paraId="3CC10A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面:非转基因, 不低于五得利牌、高筋牌、河套牌、雪花牌等标准</w:t>
      </w:r>
    </w:p>
    <w:p w14:paraId="52EE56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油:非转基因, 不低于九三牌、金龙鱼牌、福临门牌、北大荒牌等标准</w:t>
      </w:r>
    </w:p>
    <w:p w14:paraId="2E5ADF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肉:猪肉不低于华正牌、雨润牌；牛肉不低于皓月牌等标准</w:t>
      </w:r>
    </w:p>
    <w:p w14:paraId="5F833C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鱼:淡水鱼要求是活鱼、咸水鱼要求在保质期内</w:t>
      </w:r>
    </w:p>
    <w:p w14:paraId="738B07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蔬菜:当天新鲜蔬菜(要求是非转基因)</w:t>
      </w:r>
    </w:p>
    <w:p w14:paraId="369BB6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Calibri" w:hAnsi="Calibri" w:eastAsia="宋体" w:cs="Times New Roman"/>
          <w:caps w:val="0"/>
          <w:color w:val="auto"/>
          <w:kern w:val="2"/>
          <w:sz w:val="21"/>
          <w:szCs w:val="21"/>
          <w:highlight w:val="none"/>
          <w:vertAlign w:val="baseline"/>
          <w:lang w:bidi="ar"/>
        </w:rPr>
      </w:pPr>
      <w:r>
        <w:rPr>
          <w:rFonts w:hint="eastAsia" w:ascii="Calibri" w:hAnsi="Calibri" w:eastAsia="宋体" w:cs="Times New Roman"/>
          <w:caps w:val="0"/>
          <w:color w:val="auto"/>
          <w:kern w:val="2"/>
          <w:sz w:val="21"/>
          <w:szCs w:val="21"/>
          <w:highlight w:val="none"/>
          <w:vertAlign w:val="baseline"/>
          <w:lang w:bidi="ar"/>
        </w:rPr>
        <w:t>以上食材,除米、面、油、海鱼以外,必须当天食用当天采购,必须保证新鲜。</w:t>
      </w:r>
    </w:p>
    <w:p w14:paraId="20CDBB0F">
      <w:pPr>
        <w:rPr>
          <w:rFonts w:hint="eastAsia" w:ascii="宋体" w:hAnsi="宋体" w:eastAsia="宋体" w:cs="Times New Roman"/>
          <w:sz w:val="24"/>
          <w:szCs w:val="24"/>
        </w:rPr>
      </w:pPr>
      <w:r>
        <w:rPr>
          <w:rFonts w:hint="eastAsia" w:ascii="宋体" w:hAnsi="宋体" w:eastAsia="宋体" w:cs="Times New Roman"/>
          <w:sz w:val="24"/>
          <w:szCs w:val="24"/>
        </w:rPr>
        <w:br w:type="page"/>
      </w:r>
    </w:p>
    <w:p w14:paraId="6C1D4F1D">
      <w:pPr>
        <w:pStyle w:val="4"/>
        <w:bidi w:val="0"/>
        <w:rPr>
          <w:rFonts w:hint="default"/>
        </w:rPr>
      </w:pPr>
      <w:r>
        <w:rPr>
          <w:rFonts w:hint="eastAsia"/>
          <w:lang w:val="en-US" w:eastAsia="zh-CN"/>
        </w:rPr>
        <w:t>第五章</w:t>
      </w:r>
      <w:r>
        <w:rPr>
          <w:rFonts w:hint="default"/>
          <w:lang w:val="en-US" w:eastAsia="zh-CN"/>
        </w:rPr>
        <w:t xml:space="preserve"> </w:t>
      </w:r>
      <w:r>
        <w:rPr>
          <w:rFonts w:hint="eastAsia"/>
          <w:lang w:val="en-US" w:eastAsia="zh-CN"/>
        </w:rPr>
        <w:t>合同条款及格式</w:t>
      </w:r>
      <w:bookmarkEnd w:id="11"/>
    </w:p>
    <w:p w14:paraId="47A887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r>
        <w:rPr>
          <w:rFonts w:hint="default" w:ascii="Calibri" w:hAnsi="Calibri" w:eastAsia="宋体" w:cs="Times New Roman"/>
          <w:b/>
          <w:bCs/>
          <w:caps w:val="0"/>
          <w:color w:val="auto"/>
          <w:kern w:val="2"/>
          <w:sz w:val="21"/>
          <w:szCs w:val="21"/>
          <w:highlight w:val="none"/>
          <w:vertAlign w:val="baseline"/>
          <w:lang w:val="en-US" w:eastAsia="zh-CN" w:bidi="ar"/>
        </w:rPr>
        <w:t xml:space="preserve">   </w:t>
      </w:r>
      <w:r>
        <w:rPr>
          <w:rFonts w:hint="eastAsia" w:ascii="Calibri" w:hAnsi="Calibri" w:eastAsia="宋体" w:cs="Times New Roman"/>
          <w:b/>
          <w:bCs/>
          <w:caps w:val="0"/>
          <w:color w:val="auto"/>
          <w:kern w:val="2"/>
          <w:sz w:val="21"/>
          <w:szCs w:val="21"/>
          <w:highlight w:val="none"/>
          <w:vertAlign w:val="baseline"/>
          <w:lang w:val="en-US" w:eastAsia="zh-CN" w:bidi="ar"/>
        </w:rPr>
        <w:t>格式仅供参考</w:t>
      </w:r>
      <w:r>
        <w:rPr>
          <w:rFonts w:hint="default" w:ascii="Calibri" w:hAnsi="Calibri" w:eastAsia="宋体" w:cs="Times New Roman"/>
          <w:b/>
          <w:bCs/>
          <w:caps w:val="0"/>
          <w:color w:val="auto"/>
          <w:kern w:val="2"/>
          <w:sz w:val="21"/>
          <w:szCs w:val="21"/>
          <w:highlight w:val="none"/>
          <w:vertAlign w:val="baseline"/>
          <w:lang w:val="en-US" w:eastAsia="zh-CN" w:bidi="ar"/>
        </w:rPr>
        <w:t xml:space="preserve"> </w:t>
      </w:r>
      <w:r>
        <w:rPr>
          <w:rFonts w:hint="default" w:ascii="Calibri" w:hAnsi="Calibri" w:eastAsia="宋体" w:cs="Times New Roman"/>
          <w:b w:val="0"/>
          <w:bCs w:val="0"/>
          <w:caps w:val="0"/>
          <w:color w:val="auto"/>
          <w:kern w:val="2"/>
          <w:sz w:val="21"/>
          <w:szCs w:val="21"/>
          <w:highlight w:val="none"/>
          <w:vertAlign w:val="baseline"/>
          <w:lang w:val="en-US" w:eastAsia="zh-CN" w:bidi="ar"/>
        </w:rPr>
        <w:t xml:space="preserve">                    </w:t>
      </w:r>
    </w:p>
    <w:p w14:paraId="24CEDC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b w:val="0"/>
          <w:bCs w:val="0"/>
          <w:caps w:val="0"/>
          <w:color w:val="auto"/>
          <w:kern w:val="2"/>
          <w:sz w:val="21"/>
          <w:szCs w:val="21"/>
          <w:highlight w:val="none"/>
          <w:vertAlign w:val="baseline"/>
          <w:lang w:val="en-US" w:eastAsia="zh-CN" w:bidi="ar"/>
        </w:rPr>
      </w:pPr>
    </w:p>
    <w:p w14:paraId="34348F84">
      <w:pPr>
        <w:topLinePunct/>
        <w:spacing w:before="75" w:after="75" w:line="360" w:lineRule="auto"/>
        <w:jc w:val="both"/>
        <w:rPr>
          <w:rFonts w:hint="eastAsia" w:ascii="宋体" w:hAnsi="宋体" w:eastAsia="宋体" w:cs="宋体"/>
          <w:b w:val="0"/>
          <w:bCs/>
          <w:color w:val="000000"/>
          <w:sz w:val="21"/>
          <w:szCs w:val="21"/>
          <w:highlight w:val="none"/>
        </w:rPr>
      </w:pPr>
    </w:p>
    <w:p w14:paraId="71EAE998">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甲方：</w:t>
      </w:r>
      <w:r>
        <w:rPr>
          <w:rFonts w:hint="eastAsia" w:ascii="宋体" w:hAnsi="宋体" w:eastAsia="宋体" w:cs="宋体"/>
          <w:b w:val="0"/>
          <w:bCs/>
          <w:color w:val="000000"/>
          <w:sz w:val="21"/>
          <w:szCs w:val="21"/>
          <w:highlight w:val="none"/>
          <w:u w:val="single"/>
        </w:rPr>
        <w:t>（采购人全称）</w:t>
      </w:r>
    </w:p>
    <w:p w14:paraId="2872AD5C">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乙方：</w:t>
      </w:r>
      <w:r>
        <w:rPr>
          <w:rFonts w:hint="eastAsia" w:ascii="宋体" w:hAnsi="宋体" w:eastAsia="宋体" w:cs="宋体"/>
          <w:b w:val="0"/>
          <w:bCs/>
          <w:color w:val="000000"/>
          <w:sz w:val="21"/>
          <w:szCs w:val="21"/>
          <w:highlight w:val="none"/>
          <w:u w:val="single"/>
        </w:rPr>
        <w:t>（</w:t>
      </w:r>
      <w:r>
        <w:rPr>
          <w:rFonts w:hint="eastAsia" w:ascii="宋体" w:hAnsi="宋体" w:eastAsia="宋体" w:cs="宋体"/>
          <w:b w:val="0"/>
          <w:bCs/>
          <w:color w:val="000000"/>
          <w:sz w:val="21"/>
          <w:szCs w:val="21"/>
          <w:highlight w:val="none"/>
          <w:u w:val="single"/>
          <w:lang w:eastAsia="zh-CN"/>
        </w:rPr>
        <w:t>成交人</w:t>
      </w:r>
      <w:r>
        <w:rPr>
          <w:rFonts w:hint="eastAsia" w:ascii="宋体" w:hAnsi="宋体" w:eastAsia="宋体" w:cs="宋体"/>
          <w:b w:val="0"/>
          <w:bCs/>
          <w:color w:val="000000"/>
          <w:sz w:val="21"/>
          <w:szCs w:val="21"/>
          <w:highlight w:val="none"/>
          <w:u w:val="single"/>
        </w:rPr>
        <w:t>全称）</w:t>
      </w:r>
    </w:p>
    <w:p w14:paraId="4CBFBC0C">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w:t>
      </w:r>
    </w:p>
    <w:p w14:paraId="1C72943D">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根据招标编号为</w:t>
      </w:r>
      <w:r>
        <w:rPr>
          <w:rFonts w:hint="eastAsia" w:ascii="宋体" w:hAnsi="宋体" w:eastAsia="宋体" w:cs="宋体"/>
          <w:b w:val="0"/>
          <w:bCs/>
          <w:color w:val="000000"/>
          <w:sz w:val="21"/>
          <w:szCs w:val="21"/>
          <w:highlight w:val="none"/>
          <w:u w:val="single"/>
        </w:rPr>
        <w:t>            </w:t>
      </w:r>
      <w:r>
        <w:rPr>
          <w:rFonts w:hint="eastAsia" w:ascii="宋体" w:hAnsi="宋体" w:eastAsia="宋体" w:cs="宋体"/>
          <w:b w:val="0"/>
          <w:bCs/>
          <w:color w:val="000000"/>
          <w:sz w:val="21"/>
          <w:szCs w:val="21"/>
          <w:highlight w:val="none"/>
        </w:rPr>
        <w:t>的</w:t>
      </w:r>
      <w:r>
        <w:rPr>
          <w:rFonts w:hint="eastAsia" w:ascii="宋体" w:hAnsi="宋体" w:eastAsia="宋体" w:cs="宋体"/>
          <w:b w:val="0"/>
          <w:bCs/>
          <w:color w:val="000000"/>
          <w:sz w:val="21"/>
          <w:szCs w:val="21"/>
          <w:highlight w:val="none"/>
          <w:u w:val="single"/>
        </w:rPr>
        <w:t>（填写“项目名称”）</w:t>
      </w:r>
      <w:r>
        <w:rPr>
          <w:rFonts w:hint="eastAsia" w:ascii="宋体" w:hAnsi="宋体" w:eastAsia="宋体" w:cs="宋体"/>
          <w:b w:val="0"/>
          <w:bCs/>
          <w:color w:val="000000"/>
          <w:sz w:val="21"/>
          <w:szCs w:val="21"/>
          <w:highlight w:val="none"/>
        </w:rPr>
        <w:t>项目（以下简称：“本项目”）的招标结果，乙方为</w:t>
      </w:r>
      <w:r>
        <w:rPr>
          <w:rFonts w:hint="eastAsia" w:ascii="宋体" w:hAnsi="宋体" w:eastAsia="宋体" w:cs="宋体"/>
          <w:b w:val="0"/>
          <w:bCs/>
          <w:color w:val="000000"/>
          <w:sz w:val="21"/>
          <w:szCs w:val="21"/>
          <w:highlight w:val="none"/>
          <w:lang w:eastAsia="zh-CN"/>
        </w:rPr>
        <w:t>成交人</w:t>
      </w:r>
      <w:r>
        <w:rPr>
          <w:rFonts w:hint="eastAsia" w:ascii="宋体" w:hAnsi="宋体" w:eastAsia="宋体" w:cs="宋体"/>
          <w:b w:val="0"/>
          <w:bCs/>
          <w:color w:val="000000"/>
          <w:sz w:val="21"/>
          <w:szCs w:val="21"/>
          <w:highlight w:val="none"/>
        </w:rPr>
        <w:t>。现经甲乙双方友好协商，就以下事项达成一致并签订本合同：</w:t>
      </w:r>
    </w:p>
    <w:p w14:paraId="05A6D502">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1、下列合同文件是构成本合同不可分割的部分：</w:t>
      </w:r>
    </w:p>
    <w:p w14:paraId="7949EF04">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1.1合同条款；</w:t>
      </w:r>
    </w:p>
    <w:p w14:paraId="739473BB">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1.2</w:t>
      </w:r>
      <w:r>
        <w:rPr>
          <w:rFonts w:hint="eastAsia" w:ascii="宋体" w:hAnsi="宋体" w:cs="宋体"/>
          <w:b w:val="0"/>
          <w:bCs/>
          <w:color w:val="000000"/>
          <w:sz w:val="21"/>
          <w:szCs w:val="21"/>
          <w:highlight w:val="none"/>
          <w:lang w:val="en-US" w:eastAsia="zh-CN"/>
        </w:rPr>
        <w:t>招标</w:t>
      </w:r>
      <w:r>
        <w:rPr>
          <w:rFonts w:hint="eastAsia" w:ascii="宋体" w:hAnsi="宋体" w:cs="宋体"/>
          <w:b w:val="0"/>
          <w:bCs/>
          <w:color w:val="000000"/>
          <w:sz w:val="21"/>
          <w:szCs w:val="21"/>
          <w:highlight w:val="none"/>
          <w:lang w:eastAsia="zh-CN"/>
        </w:rPr>
        <w:t>文件</w:t>
      </w:r>
      <w:r>
        <w:rPr>
          <w:rFonts w:hint="eastAsia" w:ascii="宋体" w:hAnsi="宋体" w:eastAsia="宋体" w:cs="宋体"/>
          <w:b w:val="0"/>
          <w:bCs/>
          <w:color w:val="000000"/>
          <w:sz w:val="21"/>
          <w:szCs w:val="21"/>
          <w:highlight w:val="none"/>
        </w:rPr>
        <w:t>、乙方的</w:t>
      </w:r>
      <w:r>
        <w:rPr>
          <w:rFonts w:hint="eastAsia" w:ascii="宋体" w:hAnsi="宋体" w:eastAsia="宋体" w:cs="宋体"/>
          <w:b w:val="0"/>
          <w:bCs/>
          <w:color w:val="000000"/>
          <w:sz w:val="21"/>
          <w:szCs w:val="21"/>
          <w:highlight w:val="none"/>
          <w:lang w:val="en-US" w:eastAsia="zh-CN"/>
        </w:rPr>
        <w:t>投标</w:t>
      </w:r>
      <w:r>
        <w:rPr>
          <w:rFonts w:hint="eastAsia" w:ascii="宋体" w:hAnsi="宋体" w:eastAsia="宋体" w:cs="宋体"/>
          <w:b w:val="0"/>
          <w:bCs/>
          <w:color w:val="000000"/>
          <w:sz w:val="21"/>
          <w:szCs w:val="21"/>
          <w:highlight w:val="none"/>
          <w:lang w:eastAsia="zh-CN"/>
        </w:rPr>
        <w:t>文件</w:t>
      </w:r>
      <w:r>
        <w:rPr>
          <w:rFonts w:hint="eastAsia" w:ascii="宋体" w:hAnsi="宋体" w:eastAsia="宋体" w:cs="宋体"/>
          <w:b w:val="0"/>
          <w:bCs/>
          <w:color w:val="000000"/>
          <w:sz w:val="21"/>
          <w:szCs w:val="21"/>
          <w:highlight w:val="none"/>
        </w:rPr>
        <w:t>；</w:t>
      </w:r>
    </w:p>
    <w:p w14:paraId="0E753251">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1.3其他文件或材料：□无。□</w:t>
      </w:r>
      <w:r>
        <w:rPr>
          <w:rFonts w:hint="eastAsia" w:ascii="宋体" w:hAnsi="宋体" w:eastAsia="宋体" w:cs="宋体"/>
          <w:b w:val="0"/>
          <w:bCs/>
          <w:color w:val="000000"/>
          <w:sz w:val="21"/>
          <w:szCs w:val="21"/>
          <w:highlight w:val="none"/>
          <w:u w:val="single"/>
        </w:rPr>
        <w:t>（按照实际情况编制填写需要增加的内容）</w:t>
      </w:r>
      <w:r>
        <w:rPr>
          <w:rFonts w:hint="eastAsia" w:ascii="宋体" w:hAnsi="宋体" w:eastAsia="宋体" w:cs="宋体"/>
          <w:b w:val="0"/>
          <w:bCs/>
          <w:color w:val="000000"/>
          <w:sz w:val="21"/>
          <w:szCs w:val="21"/>
          <w:highlight w:val="none"/>
        </w:rPr>
        <w:t>。</w:t>
      </w:r>
    </w:p>
    <w:p w14:paraId="64A07574">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2、合同标的</w:t>
      </w:r>
    </w:p>
    <w:p w14:paraId="1EC8659A">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（按照实际情况编制填写，可以是表格或文字描述）</w:t>
      </w:r>
      <w:r>
        <w:rPr>
          <w:rFonts w:hint="eastAsia" w:ascii="宋体" w:hAnsi="宋体" w:eastAsia="宋体" w:cs="宋体"/>
          <w:b w:val="0"/>
          <w:bCs/>
          <w:color w:val="000000"/>
          <w:sz w:val="21"/>
          <w:szCs w:val="21"/>
          <w:highlight w:val="none"/>
        </w:rPr>
        <w:t>。</w:t>
      </w:r>
    </w:p>
    <w:p w14:paraId="3105D99A">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3、合同金额</w:t>
      </w:r>
    </w:p>
    <w:p w14:paraId="2584BCE4">
      <w:pPr>
        <w:topLinePunct/>
        <w:spacing w:before="75" w:after="75" w:line="360" w:lineRule="auto"/>
        <w:ind w:firstLine="480"/>
        <w:jc w:val="both"/>
        <w:rPr>
          <w:rFonts w:hint="eastAsia" w:ascii="宋体" w:hAnsi="宋体" w:eastAsia="宋体" w:cs="宋体"/>
          <w:b w:val="0"/>
          <w:bCs/>
          <w:color w:val="000000"/>
          <w:sz w:val="21"/>
          <w:szCs w:val="21"/>
          <w:highlight w:val="none"/>
          <w:u w:val="single"/>
        </w:rPr>
      </w:pPr>
      <w:r>
        <w:rPr>
          <w:rFonts w:hint="eastAsia" w:ascii="宋体" w:hAnsi="宋体" w:eastAsia="宋体" w:cs="宋体"/>
          <w:b w:val="0"/>
          <w:bCs/>
          <w:color w:val="000000"/>
          <w:sz w:val="21"/>
          <w:szCs w:val="21"/>
          <w:highlight w:val="none"/>
        </w:rPr>
        <w:t>3.1合同金额为人民币：</w:t>
      </w:r>
      <w:r>
        <w:rPr>
          <w:rFonts w:hint="eastAsia" w:ascii="宋体" w:hAnsi="宋体" w:eastAsia="宋体" w:cs="宋体"/>
          <w:b w:val="0"/>
          <w:bCs/>
          <w:color w:val="000000"/>
          <w:sz w:val="21"/>
          <w:szCs w:val="21"/>
          <w:highlight w:val="none"/>
          <w:u w:val="single"/>
        </w:rPr>
        <w:t xml:space="preserve">                。</w:t>
      </w:r>
    </w:p>
    <w:p w14:paraId="2E0CE705">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4、合同标的服务时间、地点和条件</w:t>
      </w:r>
    </w:p>
    <w:p w14:paraId="59187D68">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4.1服务时间：</w:t>
      </w:r>
      <w:r>
        <w:rPr>
          <w:rFonts w:hint="eastAsia" w:ascii="宋体" w:hAnsi="宋体" w:eastAsia="宋体" w:cs="宋体"/>
          <w:b w:val="0"/>
          <w:bCs/>
          <w:color w:val="000000"/>
          <w:sz w:val="21"/>
          <w:szCs w:val="21"/>
          <w:highlight w:val="none"/>
          <w:u w:val="single"/>
        </w:rPr>
        <w:t>                     </w:t>
      </w:r>
      <w:r>
        <w:rPr>
          <w:rFonts w:hint="eastAsia" w:ascii="宋体" w:hAnsi="宋体" w:eastAsia="宋体" w:cs="宋体"/>
          <w:b w:val="0"/>
          <w:bCs/>
          <w:color w:val="000000"/>
          <w:sz w:val="21"/>
          <w:szCs w:val="21"/>
          <w:highlight w:val="none"/>
        </w:rPr>
        <w:t>；</w:t>
      </w:r>
    </w:p>
    <w:p w14:paraId="5BF77518">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4.2服务地点：</w:t>
      </w:r>
      <w:r>
        <w:rPr>
          <w:rFonts w:hint="eastAsia" w:ascii="宋体" w:hAnsi="宋体" w:eastAsia="宋体" w:cs="宋体"/>
          <w:b w:val="0"/>
          <w:bCs/>
          <w:color w:val="000000"/>
          <w:sz w:val="21"/>
          <w:szCs w:val="21"/>
          <w:highlight w:val="none"/>
          <w:u w:val="single"/>
        </w:rPr>
        <w:t>                     </w:t>
      </w:r>
      <w:r>
        <w:rPr>
          <w:rFonts w:hint="eastAsia" w:ascii="宋体" w:hAnsi="宋体" w:eastAsia="宋体" w:cs="宋体"/>
          <w:b w:val="0"/>
          <w:bCs/>
          <w:color w:val="000000"/>
          <w:sz w:val="21"/>
          <w:szCs w:val="21"/>
          <w:highlight w:val="none"/>
        </w:rPr>
        <w:t>；</w:t>
      </w:r>
    </w:p>
    <w:p w14:paraId="5EE6C1B7">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4.3服务条件：</w:t>
      </w:r>
      <w:r>
        <w:rPr>
          <w:rFonts w:hint="eastAsia" w:ascii="宋体" w:hAnsi="宋体" w:eastAsia="宋体" w:cs="宋体"/>
          <w:b w:val="0"/>
          <w:bCs/>
          <w:color w:val="000000"/>
          <w:sz w:val="21"/>
          <w:szCs w:val="21"/>
          <w:highlight w:val="none"/>
          <w:u w:val="single"/>
        </w:rPr>
        <w:t>                     </w:t>
      </w:r>
      <w:r>
        <w:rPr>
          <w:rFonts w:hint="eastAsia" w:ascii="宋体" w:hAnsi="宋体" w:eastAsia="宋体" w:cs="宋体"/>
          <w:b w:val="0"/>
          <w:bCs/>
          <w:color w:val="000000"/>
          <w:sz w:val="21"/>
          <w:szCs w:val="21"/>
          <w:highlight w:val="none"/>
        </w:rPr>
        <w:t>。</w:t>
      </w:r>
    </w:p>
    <w:p w14:paraId="4B3B344B">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5、合同标的应符合</w:t>
      </w:r>
      <w:r>
        <w:rPr>
          <w:rFonts w:hint="eastAsia" w:ascii="宋体" w:hAnsi="宋体" w:cs="宋体"/>
          <w:b w:val="0"/>
          <w:bCs/>
          <w:color w:val="000000"/>
          <w:sz w:val="21"/>
          <w:szCs w:val="21"/>
          <w:highlight w:val="none"/>
          <w:lang w:eastAsia="zh-CN"/>
        </w:rPr>
        <w:t>招标文件</w:t>
      </w:r>
      <w:r>
        <w:rPr>
          <w:rFonts w:hint="eastAsia" w:ascii="宋体" w:hAnsi="宋体" w:eastAsia="宋体" w:cs="宋体"/>
          <w:b w:val="0"/>
          <w:bCs/>
          <w:color w:val="000000"/>
          <w:sz w:val="21"/>
          <w:szCs w:val="21"/>
          <w:highlight w:val="none"/>
        </w:rPr>
        <w:t>、乙方</w:t>
      </w:r>
      <w:r>
        <w:rPr>
          <w:rFonts w:hint="eastAsia" w:ascii="宋体" w:hAnsi="宋体" w:eastAsia="宋体" w:cs="宋体"/>
          <w:b w:val="0"/>
          <w:bCs/>
          <w:color w:val="000000"/>
          <w:sz w:val="21"/>
          <w:szCs w:val="21"/>
          <w:highlight w:val="none"/>
          <w:lang w:eastAsia="zh-CN"/>
        </w:rPr>
        <w:t>投标文件</w:t>
      </w:r>
      <w:r>
        <w:rPr>
          <w:rFonts w:hint="eastAsia" w:ascii="宋体" w:hAnsi="宋体" w:eastAsia="宋体" w:cs="宋体"/>
          <w:b w:val="0"/>
          <w:bCs/>
          <w:color w:val="000000"/>
          <w:sz w:val="21"/>
          <w:szCs w:val="21"/>
          <w:highlight w:val="none"/>
        </w:rPr>
        <w:t>的规定或约定，具体如下：</w:t>
      </w:r>
    </w:p>
    <w:p w14:paraId="1E2B55B6">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（按照实际情况编制填写，可以是表格或文字描述）</w:t>
      </w:r>
      <w:r>
        <w:rPr>
          <w:rFonts w:hint="eastAsia" w:ascii="宋体" w:hAnsi="宋体" w:eastAsia="宋体" w:cs="宋体"/>
          <w:b w:val="0"/>
          <w:bCs/>
          <w:color w:val="000000"/>
          <w:sz w:val="21"/>
          <w:szCs w:val="21"/>
          <w:highlight w:val="none"/>
        </w:rPr>
        <w:t>。</w:t>
      </w:r>
    </w:p>
    <w:p w14:paraId="20EFDFF5">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6、验收</w:t>
      </w:r>
    </w:p>
    <w:p w14:paraId="0FD1DC11">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6.1验收应按照</w:t>
      </w:r>
      <w:r>
        <w:rPr>
          <w:rFonts w:hint="eastAsia" w:ascii="宋体" w:hAnsi="宋体" w:cs="宋体"/>
          <w:b w:val="0"/>
          <w:bCs/>
          <w:color w:val="000000"/>
          <w:sz w:val="21"/>
          <w:szCs w:val="21"/>
          <w:highlight w:val="none"/>
          <w:lang w:eastAsia="zh-CN"/>
        </w:rPr>
        <w:t>招标文件</w:t>
      </w:r>
      <w:r>
        <w:rPr>
          <w:rFonts w:hint="eastAsia" w:ascii="宋体" w:hAnsi="宋体" w:eastAsia="宋体" w:cs="宋体"/>
          <w:b w:val="0"/>
          <w:bCs/>
          <w:color w:val="000000"/>
          <w:sz w:val="21"/>
          <w:szCs w:val="21"/>
          <w:highlight w:val="none"/>
        </w:rPr>
        <w:t>、乙方</w:t>
      </w:r>
      <w:r>
        <w:rPr>
          <w:rFonts w:hint="eastAsia" w:ascii="宋体" w:hAnsi="宋体" w:eastAsia="宋体" w:cs="宋体"/>
          <w:b w:val="0"/>
          <w:bCs/>
          <w:color w:val="000000"/>
          <w:sz w:val="21"/>
          <w:szCs w:val="21"/>
          <w:highlight w:val="none"/>
          <w:lang w:eastAsia="zh-CN"/>
        </w:rPr>
        <w:t>投标文件</w:t>
      </w:r>
      <w:r>
        <w:rPr>
          <w:rFonts w:hint="eastAsia" w:ascii="宋体" w:hAnsi="宋体" w:eastAsia="宋体" w:cs="宋体"/>
          <w:b w:val="0"/>
          <w:bCs/>
          <w:color w:val="000000"/>
          <w:sz w:val="21"/>
          <w:szCs w:val="21"/>
          <w:highlight w:val="none"/>
        </w:rPr>
        <w:t>的规定或约定进行，具体如下：</w:t>
      </w:r>
    </w:p>
    <w:p w14:paraId="0FA0625B">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（按照实际情况编制填写，可以是表格或文字描述）</w:t>
      </w:r>
      <w:r>
        <w:rPr>
          <w:rFonts w:hint="eastAsia" w:ascii="宋体" w:hAnsi="宋体" w:eastAsia="宋体" w:cs="宋体"/>
          <w:b w:val="0"/>
          <w:bCs/>
          <w:color w:val="000000"/>
          <w:sz w:val="21"/>
          <w:szCs w:val="21"/>
          <w:highlight w:val="none"/>
        </w:rPr>
        <w:t>。</w:t>
      </w:r>
    </w:p>
    <w:p w14:paraId="036F56B1">
      <w:pPr>
        <w:topLinePunct/>
        <w:spacing w:before="75" w:after="75" w:line="360" w:lineRule="auto"/>
        <w:ind w:firstLine="480"/>
        <w:jc w:val="both"/>
        <w:rPr>
          <w:rFonts w:hint="eastAsia" w:ascii="宋体" w:hAnsi="宋体" w:eastAsia="宋体" w:cs="宋体"/>
          <w:b w:val="0"/>
          <w:bCs/>
          <w:color w:val="000000"/>
          <w:sz w:val="21"/>
          <w:szCs w:val="21"/>
          <w:highlight w:val="none"/>
          <w:u w:val="single"/>
        </w:rPr>
      </w:pPr>
      <w:r>
        <w:rPr>
          <w:rFonts w:hint="eastAsia" w:ascii="宋体" w:hAnsi="宋体" w:eastAsia="宋体" w:cs="宋体"/>
          <w:b w:val="0"/>
          <w:bCs/>
          <w:color w:val="000000"/>
          <w:sz w:val="21"/>
          <w:szCs w:val="21"/>
          <w:highlight w:val="none"/>
        </w:rPr>
        <w:t>6.2本项目是否邀请其他</w:t>
      </w:r>
      <w:r>
        <w:rPr>
          <w:rFonts w:hint="eastAsia" w:ascii="宋体" w:hAnsi="宋体" w:eastAsia="宋体" w:cs="宋体"/>
          <w:b w:val="0"/>
          <w:bCs/>
          <w:color w:val="000000"/>
          <w:sz w:val="21"/>
          <w:szCs w:val="21"/>
          <w:highlight w:val="none"/>
          <w:lang w:eastAsia="zh-CN"/>
        </w:rPr>
        <w:t>供应商</w:t>
      </w:r>
      <w:r>
        <w:rPr>
          <w:rFonts w:hint="eastAsia" w:ascii="宋体" w:hAnsi="宋体" w:eastAsia="宋体" w:cs="宋体"/>
          <w:b w:val="0"/>
          <w:bCs/>
          <w:color w:val="000000"/>
          <w:sz w:val="21"/>
          <w:szCs w:val="21"/>
          <w:highlight w:val="none"/>
        </w:rPr>
        <w:t>参与验收：</w:t>
      </w:r>
      <w:r>
        <w:rPr>
          <w:rFonts w:hint="eastAsia" w:ascii="宋体" w:hAnsi="宋体" w:eastAsia="宋体" w:cs="宋体"/>
          <w:b w:val="0"/>
          <w:bCs/>
          <w:color w:val="000000"/>
          <w:sz w:val="21"/>
          <w:szCs w:val="21"/>
          <w:highlight w:val="none"/>
          <w:u w:val="single"/>
        </w:rPr>
        <w:t xml:space="preserve">      /   </w:t>
      </w:r>
    </w:p>
    <w:p w14:paraId="50081F22">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7、合同款项的支付应按照</w:t>
      </w:r>
      <w:r>
        <w:rPr>
          <w:rFonts w:hint="eastAsia" w:ascii="宋体" w:hAnsi="宋体" w:cs="宋体"/>
          <w:b w:val="0"/>
          <w:bCs/>
          <w:color w:val="000000"/>
          <w:sz w:val="21"/>
          <w:szCs w:val="21"/>
          <w:highlight w:val="none"/>
          <w:lang w:eastAsia="zh-CN"/>
        </w:rPr>
        <w:t>招标文件</w:t>
      </w:r>
      <w:r>
        <w:rPr>
          <w:rFonts w:hint="eastAsia" w:ascii="宋体" w:hAnsi="宋体" w:eastAsia="宋体" w:cs="宋体"/>
          <w:b w:val="0"/>
          <w:bCs/>
          <w:color w:val="000000"/>
          <w:sz w:val="21"/>
          <w:szCs w:val="21"/>
          <w:highlight w:val="none"/>
        </w:rPr>
        <w:t>的规定进行，具体如下：</w:t>
      </w:r>
    </w:p>
    <w:p w14:paraId="4DC5A50C">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（按照实际情况编制填写，可以是表格或文字描述，包括一次性支付或分期支付等）</w:t>
      </w:r>
      <w:r>
        <w:rPr>
          <w:rFonts w:hint="eastAsia" w:ascii="宋体" w:hAnsi="宋体" w:eastAsia="宋体" w:cs="宋体"/>
          <w:b w:val="0"/>
          <w:bCs/>
          <w:color w:val="000000"/>
          <w:sz w:val="21"/>
          <w:szCs w:val="21"/>
          <w:highlight w:val="none"/>
        </w:rPr>
        <w:t>。</w:t>
      </w:r>
    </w:p>
    <w:p w14:paraId="5F46ED49">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8、履约保证金</w:t>
      </w:r>
    </w:p>
    <w:p w14:paraId="1F517A84">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□无。□有，具体如下：</w:t>
      </w:r>
      <w:r>
        <w:rPr>
          <w:rFonts w:hint="eastAsia" w:ascii="宋体" w:hAnsi="宋体" w:eastAsia="宋体" w:cs="宋体"/>
          <w:b w:val="0"/>
          <w:bCs/>
          <w:color w:val="000000"/>
          <w:sz w:val="21"/>
          <w:szCs w:val="21"/>
          <w:highlight w:val="none"/>
          <w:u w:val="single"/>
        </w:rPr>
        <w:t>（按照</w:t>
      </w:r>
      <w:r>
        <w:rPr>
          <w:rFonts w:hint="eastAsia" w:ascii="宋体" w:hAnsi="宋体" w:cs="宋体"/>
          <w:b w:val="0"/>
          <w:bCs/>
          <w:color w:val="000000"/>
          <w:sz w:val="21"/>
          <w:szCs w:val="21"/>
          <w:highlight w:val="none"/>
          <w:u w:val="single"/>
          <w:lang w:eastAsia="zh-CN"/>
        </w:rPr>
        <w:t>招标文件</w:t>
      </w:r>
      <w:r>
        <w:rPr>
          <w:rFonts w:hint="eastAsia" w:ascii="宋体" w:hAnsi="宋体" w:eastAsia="宋体" w:cs="宋体"/>
          <w:b w:val="0"/>
          <w:bCs/>
          <w:color w:val="000000"/>
          <w:sz w:val="21"/>
          <w:szCs w:val="21"/>
          <w:highlight w:val="none"/>
          <w:u w:val="single"/>
        </w:rPr>
        <w:t>规定填写）</w:t>
      </w:r>
      <w:r>
        <w:rPr>
          <w:rFonts w:hint="eastAsia" w:ascii="宋体" w:hAnsi="宋体" w:eastAsia="宋体" w:cs="宋体"/>
          <w:b w:val="0"/>
          <w:bCs/>
          <w:color w:val="000000"/>
          <w:sz w:val="21"/>
          <w:szCs w:val="21"/>
          <w:highlight w:val="none"/>
        </w:rPr>
        <w:t>。</w:t>
      </w:r>
    </w:p>
    <w:p w14:paraId="6C947A86">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9、合同有效期</w:t>
      </w:r>
    </w:p>
    <w:p w14:paraId="27184485">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（按照实际情况编制填写，可以是表格或文字描述）</w:t>
      </w:r>
      <w:r>
        <w:rPr>
          <w:rFonts w:hint="eastAsia" w:ascii="宋体" w:hAnsi="宋体" w:eastAsia="宋体" w:cs="宋体"/>
          <w:b w:val="0"/>
          <w:bCs/>
          <w:color w:val="000000"/>
          <w:sz w:val="21"/>
          <w:szCs w:val="21"/>
          <w:highlight w:val="none"/>
        </w:rPr>
        <w:t>。</w:t>
      </w:r>
    </w:p>
    <w:p w14:paraId="64471A7C">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10、违约责任</w:t>
      </w:r>
    </w:p>
    <w:p w14:paraId="4684A742">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（按照实际情况编制填写，可以是表格或文字描述）</w:t>
      </w:r>
      <w:r>
        <w:rPr>
          <w:rFonts w:hint="eastAsia" w:ascii="宋体" w:hAnsi="宋体" w:eastAsia="宋体" w:cs="宋体"/>
          <w:b w:val="0"/>
          <w:bCs/>
          <w:color w:val="000000"/>
          <w:sz w:val="21"/>
          <w:szCs w:val="21"/>
          <w:highlight w:val="none"/>
        </w:rPr>
        <w:t>。</w:t>
      </w:r>
    </w:p>
    <w:p w14:paraId="592E30D1">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11、知识产权</w:t>
      </w:r>
    </w:p>
    <w:p w14:paraId="422C33B3">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11.1乙方提供的采购标的应符合国家知识产权法律、法规的规定且非假冒伪</w:t>
      </w:r>
      <w:r>
        <w:rPr>
          <w:rFonts w:hint="eastAsia" w:ascii="宋体" w:hAnsi="宋体" w:eastAsia="宋体" w:cs="宋体"/>
          <w:b w:val="0"/>
          <w:bCs/>
          <w:color w:val="000000"/>
          <w:sz w:val="21"/>
          <w:szCs w:val="21"/>
          <w:highlight w:val="none"/>
          <w:lang w:eastAsia="zh-CN"/>
        </w:rPr>
        <w:t>劣产</w:t>
      </w:r>
      <w:r>
        <w:rPr>
          <w:rFonts w:hint="eastAsia" w:ascii="宋体" w:hAnsi="宋体" w:eastAsia="宋体" w:cs="宋体"/>
          <w:b w:val="0"/>
          <w:bCs/>
          <w:color w:val="000000"/>
          <w:sz w:val="21"/>
          <w:szCs w:val="21"/>
          <w:highlight w:val="none"/>
        </w:rPr>
        <w:t>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4057B8D">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val="0"/>
          <w:bCs/>
          <w:color w:val="000000"/>
          <w:sz w:val="21"/>
          <w:szCs w:val="21"/>
          <w:highlight w:val="none"/>
          <w:u w:val="single"/>
        </w:rPr>
        <w:t>（按照实际情况编制填写）</w:t>
      </w:r>
      <w:r>
        <w:rPr>
          <w:rFonts w:hint="eastAsia" w:ascii="宋体" w:hAnsi="宋体" w:eastAsia="宋体" w:cs="宋体"/>
          <w:b w:val="0"/>
          <w:bCs/>
          <w:color w:val="000000"/>
          <w:sz w:val="21"/>
          <w:szCs w:val="21"/>
          <w:highlight w:val="none"/>
        </w:rPr>
        <w:t>。</w:t>
      </w:r>
    </w:p>
    <w:p w14:paraId="5FD8E455">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12、解决争议的方法</w:t>
      </w:r>
    </w:p>
    <w:p w14:paraId="7C0B46DE">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12.1甲、乙双方协商解决。</w:t>
      </w:r>
    </w:p>
    <w:p w14:paraId="5D3FA8D7">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12.2若协商解决不成，则通过下列途径之一解决：</w:t>
      </w:r>
    </w:p>
    <w:p w14:paraId="1959F3B2">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□提交仲裁委员会仲裁，具体如下：</w:t>
      </w:r>
      <w:r>
        <w:rPr>
          <w:rFonts w:hint="eastAsia" w:ascii="宋体" w:hAnsi="宋体" w:eastAsia="宋体" w:cs="宋体"/>
          <w:b w:val="0"/>
          <w:bCs/>
          <w:color w:val="000000"/>
          <w:sz w:val="21"/>
          <w:szCs w:val="21"/>
          <w:highlight w:val="none"/>
          <w:u w:val="single"/>
        </w:rPr>
        <w:t>（按照实际情况编制填写）</w:t>
      </w:r>
      <w:r>
        <w:rPr>
          <w:rFonts w:hint="eastAsia" w:ascii="宋体" w:hAnsi="宋体" w:eastAsia="宋体" w:cs="宋体"/>
          <w:b w:val="0"/>
          <w:bCs/>
          <w:color w:val="000000"/>
          <w:sz w:val="21"/>
          <w:szCs w:val="21"/>
          <w:highlight w:val="none"/>
        </w:rPr>
        <w:t>。</w:t>
      </w:r>
    </w:p>
    <w:p w14:paraId="22A0DE0A">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□向人民法院提起诉讼，具体如下：</w:t>
      </w:r>
      <w:r>
        <w:rPr>
          <w:rFonts w:hint="eastAsia" w:ascii="宋体" w:hAnsi="宋体" w:eastAsia="宋体" w:cs="宋体"/>
          <w:b w:val="0"/>
          <w:bCs/>
          <w:color w:val="000000"/>
          <w:sz w:val="21"/>
          <w:szCs w:val="21"/>
          <w:highlight w:val="none"/>
          <w:u w:val="single"/>
        </w:rPr>
        <w:t>（按照实际情况编制填写）</w:t>
      </w:r>
      <w:r>
        <w:rPr>
          <w:rFonts w:hint="eastAsia" w:ascii="宋体" w:hAnsi="宋体" w:eastAsia="宋体" w:cs="宋体"/>
          <w:b w:val="0"/>
          <w:bCs/>
          <w:color w:val="000000"/>
          <w:sz w:val="21"/>
          <w:szCs w:val="21"/>
          <w:highlight w:val="none"/>
        </w:rPr>
        <w:t>。</w:t>
      </w:r>
    </w:p>
    <w:p w14:paraId="431B8AFD">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13、不可抗力</w:t>
      </w:r>
    </w:p>
    <w:p w14:paraId="46A3C131">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E3C5BFF">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81D51C0">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14、合同条款</w:t>
      </w:r>
    </w:p>
    <w:p w14:paraId="5A6F685C">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u w:val="single"/>
        </w:rPr>
        <w:t>（按照实际情况编制填写。</w:t>
      </w:r>
      <w:r>
        <w:rPr>
          <w:rFonts w:hint="eastAsia" w:ascii="宋体" w:hAnsi="宋体" w:cs="宋体"/>
          <w:b w:val="0"/>
          <w:bCs/>
          <w:color w:val="000000"/>
          <w:sz w:val="21"/>
          <w:szCs w:val="21"/>
          <w:highlight w:val="none"/>
          <w:u w:val="single"/>
          <w:lang w:eastAsia="zh-CN"/>
        </w:rPr>
        <w:t>招标文件</w:t>
      </w:r>
      <w:r>
        <w:rPr>
          <w:rFonts w:hint="eastAsia" w:ascii="宋体" w:hAnsi="宋体" w:eastAsia="宋体" w:cs="宋体"/>
          <w:b w:val="0"/>
          <w:bCs/>
          <w:color w:val="000000"/>
          <w:sz w:val="21"/>
          <w:szCs w:val="21"/>
          <w:highlight w:val="none"/>
          <w:u w:val="single"/>
        </w:rPr>
        <w:t>已有规定的，双方均不得变更或调整；</w:t>
      </w:r>
      <w:r>
        <w:rPr>
          <w:rFonts w:hint="eastAsia" w:ascii="宋体" w:hAnsi="宋体" w:cs="宋体"/>
          <w:b w:val="0"/>
          <w:bCs/>
          <w:color w:val="000000"/>
          <w:sz w:val="21"/>
          <w:szCs w:val="21"/>
          <w:highlight w:val="none"/>
          <w:u w:val="single"/>
          <w:lang w:eastAsia="zh-CN"/>
        </w:rPr>
        <w:t>招标文件</w:t>
      </w:r>
      <w:r>
        <w:rPr>
          <w:rFonts w:hint="eastAsia" w:ascii="宋体" w:hAnsi="宋体" w:eastAsia="宋体" w:cs="宋体"/>
          <w:b w:val="0"/>
          <w:bCs/>
          <w:color w:val="000000"/>
          <w:sz w:val="21"/>
          <w:szCs w:val="21"/>
          <w:highlight w:val="none"/>
          <w:u w:val="single"/>
        </w:rPr>
        <w:t>未作规定的，双方可通过友好协商进行约定）</w:t>
      </w:r>
      <w:r>
        <w:rPr>
          <w:rFonts w:hint="eastAsia" w:ascii="宋体" w:hAnsi="宋体" w:eastAsia="宋体" w:cs="宋体"/>
          <w:b w:val="0"/>
          <w:bCs/>
          <w:color w:val="000000"/>
          <w:sz w:val="21"/>
          <w:szCs w:val="21"/>
          <w:highlight w:val="none"/>
        </w:rPr>
        <w:t>。</w:t>
      </w:r>
    </w:p>
    <w:p w14:paraId="466426C7">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15、其他约定</w:t>
      </w:r>
    </w:p>
    <w:p w14:paraId="0422B4BB">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15.1合同文件与本合同具有同等法律效力。</w:t>
      </w:r>
    </w:p>
    <w:p w14:paraId="253084B8">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15.2本合同未尽事宜，双方可另行补充。</w:t>
      </w:r>
    </w:p>
    <w:p w14:paraId="201E8472">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15.3合同生效：自签订之日起生效。</w:t>
      </w:r>
    </w:p>
    <w:p w14:paraId="7BA3F2F8">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15.4本合同一式</w:t>
      </w:r>
      <w:r>
        <w:rPr>
          <w:rFonts w:hint="eastAsia" w:ascii="宋体" w:hAnsi="宋体" w:eastAsia="宋体" w:cs="宋体"/>
          <w:b w:val="0"/>
          <w:bCs/>
          <w:color w:val="000000"/>
          <w:sz w:val="21"/>
          <w:szCs w:val="21"/>
          <w:highlight w:val="none"/>
          <w:u w:val="single"/>
        </w:rPr>
        <w:t>（填写具体份数）</w:t>
      </w:r>
      <w:r>
        <w:rPr>
          <w:rFonts w:hint="eastAsia" w:ascii="宋体" w:hAnsi="宋体" w:eastAsia="宋体" w:cs="宋体"/>
          <w:b w:val="0"/>
          <w:bCs/>
          <w:color w:val="000000"/>
          <w:sz w:val="21"/>
          <w:szCs w:val="21"/>
          <w:highlight w:val="none"/>
        </w:rPr>
        <w:t>份，经双方授权代表签字并盖章后生效。甲方、乙方各执</w:t>
      </w:r>
      <w:r>
        <w:rPr>
          <w:rFonts w:hint="eastAsia" w:ascii="宋体" w:hAnsi="宋体" w:eastAsia="宋体" w:cs="宋体"/>
          <w:b w:val="0"/>
          <w:bCs/>
          <w:color w:val="000000"/>
          <w:sz w:val="21"/>
          <w:szCs w:val="21"/>
          <w:highlight w:val="none"/>
          <w:u w:val="single"/>
        </w:rPr>
        <w:t>（填写具体份数）</w:t>
      </w:r>
      <w:r>
        <w:rPr>
          <w:rFonts w:hint="eastAsia" w:ascii="宋体" w:hAnsi="宋体" w:eastAsia="宋体" w:cs="宋体"/>
          <w:b w:val="0"/>
          <w:bCs/>
          <w:color w:val="000000"/>
          <w:sz w:val="21"/>
          <w:szCs w:val="21"/>
          <w:highlight w:val="none"/>
        </w:rPr>
        <w:t>份，送</w:t>
      </w:r>
      <w:r>
        <w:rPr>
          <w:rFonts w:hint="eastAsia" w:ascii="宋体" w:hAnsi="宋体" w:eastAsia="宋体" w:cs="宋体"/>
          <w:b w:val="0"/>
          <w:bCs/>
          <w:color w:val="000000"/>
          <w:sz w:val="21"/>
          <w:szCs w:val="21"/>
          <w:highlight w:val="none"/>
          <w:u w:val="single"/>
        </w:rPr>
        <w:t>（填写需要备案的监管部门的全称）</w:t>
      </w:r>
      <w:r>
        <w:rPr>
          <w:rFonts w:hint="eastAsia" w:ascii="宋体" w:hAnsi="宋体" w:eastAsia="宋体" w:cs="宋体"/>
          <w:b w:val="0"/>
          <w:bCs/>
          <w:color w:val="000000"/>
          <w:sz w:val="21"/>
          <w:szCs w:val="21"/>
          <w:highlight w:val="none"/>
        </w:rPr>
        <w:t>备案</w:t>
      </w:r>
      <w:r>
        <w:rPr>
          <w:rFonts w:hint="eastAsia" w:ascii="宋体" w:hAnsi="宋体" w:eastAsia="宋体" w:cs="宋体"/>
          <w:b w:val="0"/>
          <w:bCs/>
          <w:color w:val="000000"/>
          <w:sz w:val="21"/>
          <w:szCs w:val="21"/>
          <w:highlight w:val="none"/>
          <w:u w:val="single"/>
        </w:rPr>
        <w:t>（填写具体份数）</w:t>
      </w:r>
      <w:r>
        <w:rPr>
          <w:rFonts w:hint="eastAsia" w:ascii="宋体" w:hAnsi="宋体" w:eastAsia="宋体" w:cs="宋体"/>
          <w:b w:val="0"/>
          <w:bCs/>
          <w:color w:val="000000"/>
          <w:sz w:val="21"/>
          <w:szCs w:val="21"/>
          <w:highlight w:val="none"/>
        </w:rPr>
        <w:t>份，具有同等效力。</w:t>
      </w:r>
    </w:p>
    <w:p w14:paraId="7664B550">
      <w:pPr>
        <w:topLinePunct/>
        <w:spacing w:before="75" w:after="75" w:line="360" w:lineRule="auto"/>
        <w:ind w:firstLine="480"/>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15.5其他：□无。□</w:t>
      </w:r>
      <w:r>
        <w:rPr>
          <w:rFonts w:hint="eastAsia" w:ascii="宋体" w:hAnsi="宋体" w:eastAsia="宋体" w:cs="宋体"/>
          <w:b w:val="0"/>
          <w:bCs/>
          <w:color w:val="000000"/>
          <w:sz w:val="21"/>
          <w:szCs w:val="21"/>
          <w:highlight w:val="none"/>
          <w:u w:val="single"/>
        </w:rPr>
        <w:t>（按照实际情况编制填写需要增加的内容）</w:t>
      </w:r>
      <w:r>
        <w:rPr>
          <w:rFonts w:hint="eastAsia" w:ascii="宋体" w:hAnsi="宋体" w:eastAsia="宋体" w:cs="宋体"/>
          <w:b w:val="0"/>
          <w:bCs/>
          <w:color w:val="000000"/>
          <w:sz w:val="21"/>
          <w:szCs w:val="21"/>
          <w:highlight w:val="none"/>
        </w:rPr>
        <w:t>。</w:t>
      </w:r>
    </w:p>
    <w:p w14:paraId="06023F0B">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（以下无正文）</w:t>
      </w:r>
    </w:p>
    <w:p w14:paraId="4CF1FCB3">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w:t>
      </w:r>
    </w:p>
    <w:p w14:paraId="5D88E7DF">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w:t>
      </w:r>
    </w:p>
    <w:p w14:paraId="1EADF72E">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甲方：       乙方：</w:t>
      </w:r>
    </w:p>
    <w:p w14:paraId="06908172">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住所：       住所：</w:t>
      </w:r>
    </w:p>
    <w:p w14:paraId="2850E5A2">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单位负责人：    单位负责人：</w:t>
      </w:r>
    </w:p>
    <w:p w14:paraId="3CF58309">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w:t>
      </w:r>
    </w:p>
    <w:p w14:paraId="51EF1E08">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委托代理人：    委托代理人：</w:t>
      </w:r>
    </w:p>
    <w:p w14:paraId="38E10F2E">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w:t>
      </w:r>
    </w:p>
    <w:p w14:paraId="1A97849F">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联系方法：     联系方法：</w:t>
      </w:r>
    </w:p>
    <w:p w14:paraId="0A54ADF2">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开户银行：     开户银行：</w:t>
      </w:r>
    </w:p>
    <w:p w14:paraId="4371F3EA">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账号：       账号：</w:t>
      </w:r>
    </w:p>
    <w:p w14:paraId="7564A344">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w:t>
      </w:r>
    </w:p>
    <w:p w14:paraId="31843CDA">
      <w:pPr>
        <w:topLinePunct/>
        <w:spacing w:before="75" w:after="75" w:line="360" w:lineRule="auto"/>
        <w:jc w:val="both"/>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签订地点：</w:t>
      </w:r>
      <w:r>
        <w:rPr>
          <w:rFonts w:hint="eastAsia" w:ascii="宋体" w:hAnsi="宋体" w:eastAsia="宋体" w:cs="宋体"/>
          <w:b w:val="0"/>
          <w:bCs/>
          <w:color w:val="000000"/>
          <w:sz w:val="21"/>
          <w:szCs w:val="21"/>
          <w:highlight w:val="none"/>
          <w:u w:val="single"/>
        </w:rPr>
        <w:t>                </w:t>
      </w:r>
    </w:p>
    <w:p w14:paraId="4999AA85">
      <w:pPr>
        <w:pStyle w:val="3"/>
        <w:widowControl/>
        <w:topLinePunct/>
        <w:spacing w:line="360" w:lineRule="auto"/>
        <w:rPr>
          <w:rFonts w:hint="eastAsia" w:ascii="宋体" w:hAnsi="宋体" w:eastAsia="宋体" w:cs="宋体"/>
          <w:b w:val="0"/>
          <w:bCs/>
          <w:color w:val="000000"/>
          <w:highlight w:val="none"/>
        </w:rPr>
      </w:pPr>
      <w:r>
        <w:rPr>
          <w:rFonts w:hint="eastAsia" w:ascii="宋体" w:hAnsi="宋体" w:eastAsia="宋体" w:cs="宋体"/>
          <w:b w:val="0"/>
          <w:bCs/>
          <w:color w:val="000000"/>
          <w:kern w:val="0"/>
          <w:sz w:val="21"/>
          <w:szCs w:val="21"/>
          <w:highlight w:val="none"/>
        </w:rPr>
        <w:t>签订日期：</w:t>
      </w:r>
      <w:r>
        <w:rPr>
          <w:rFonts w:hint="eastAsia" w:ascii="宋体" w:hAnsi="宋体" w:eastAsia="宋体" w:cs="宋体"/>
          <w:b w:val="0"/>
          <w:bCs/>
          <w:color w:val="000000"/>
          <w:kern w:val="0"/>
          <w:sz w:val="21"/>
          <w:szCs w:val="21"/>
          <w:highlight w:val="none"/>
          <w:u w:val="single"/>
        </w:rPr>
        <w:t>    </w:t>
      </w:r>
      <w:r>
        <w:rPr>
          <w:rFonts w:hint="eastAsia" w:ascii="宋体" w:hAnsi="宋体" w:eastAsia="宋体" w:cs="宋体"/>
          <w:b w:val="0"/>
          <w:bCs/>
          <w:color w:val="000000"/>
          <w:kern w:val="0"/>
          <w:sz w:val="21"/>
          <w:szCs w:val="21"/>
          <w:highlight w:val="none"/>
        </w:rPr>
        <w:t>年</w:t>
      </w:r>
      <w:r>
        <w:rPr>
          <w:rFonts w:hint="eastAsia" w:ascii="宋体" w:hAnsi="宋体" w:eastAsia="宋体" w:cs="宋体"/>
          <w:b w:val="0"/>
          <w:bCs/>
          <w:color w:val="000000"/>
          <w:kern w:val="0"/>
          <w:sz w:val="21"/>
          <w:szCs w:val="21"/>
          <w:highlight w:val="none"/>
          <w:u w:val="single"/>
        </w:rPr>
        <w:t>   </w:t>
      </w:r>
      <w:r>
        <w:rPr>
          <w:rFonts w:hint="eastAsia" w:ascii="宋体" w:hAnsi="宋体" w:eastAsia="宋体" w:cs="宋体"/>
          <w:b w:val="0"/>
          <w:bCs/>
          <w:color w:val="000000"/>
          <w:kern w:val="0"/>
          <w:sz w:val="21"/>
          <w:szCs w:val="21"/>
          <w:highlight w:val="none"/>
        </w:rPr>
        <w:t>月</w:t>
      </w:r>
      <w:r>
        <w:rPr>
          <w:rFonts w:hint="eastAsia" w:ascii="宋体" w:hAnsi="宋体" w:eastAsia="宋体" w:cs="宋体"/>
          <w:b w:val="0"/>
          <w:bCs/>
          <w:color w:val="000000"/>
          <w:kern w:val="0"/>
          <w:sz w:val="21"/>
          <w:szCs w:val="21"/>
          <w:highlight w:val="none"/>
          <w:u w:val="single"/>
        </w:rPr>
        <w:t>   </w:t>
      </w:r>
      <w:r>
        <w:rPr>
          <w:rFonts w:hint="eastAsia" w:ascii="宋体" w:hAnsi="宋体" w:eastAsia="宋体" w:cs="宋体"/>
          <w:b w:val="0"/>
          <w:bCs/>
          <w:color w:val="000000"/>
          <w:kern w:val="0"/>
          <w:sz w:val="21"/>
          <w:szCs w:val="21"/>
          <w:highlight w:val="none"/>
        </w:rPr>
        <w:t>日</w:t>
      </w:r>
    </w:p>
    <w:p w14:paraId="37314A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p>
    <w:p w14:paraId="77CE7E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7571AA8">
      <w:pPr>
        <w:pStyle w:val="4"/>
        <w:bidi w:val="0"/>
        <w:jc w:val="center"/>
        <w:rPr>
          <w:rFonts w:hint="default" w:ascii="Calibri" w:hAnsi="Calibri" w:eastAsia="宋体" w:cs="Times New Roman"/>
          <w:b/>
          <w:bCs/>
          <w:caps w:val="0"/>
          <w:color w:val="auto"/>
          <w:kern w:val="2"/>
          <w:sz w:val="44"/>
          <w:szCs w:val="44"/>
          <w:highlight w:val="none"/>
          <w:vertAlign w:val="baseline"/>
          <w:lang w:bidi="ar"/>
        </w:rPr>
      </w:pPr>
      <w:bookmarkStart w:id="12" w:name="_Toc16556"/>
      <w:r>
        <w:rPr>
          <w:rFonts w:hint="eastAsia" w:ascii="宋体" w:hAnsi="宋体" w:eastAsia="宋体" w:cs="Times New Roman"/>
          <w:b/>
          <w:bCs/>
          <w:caps w:val="0"/>
          <w:color w:val="auto"/>
          <w:kern w:val="2"/>
          <w:sz w:val="44"/>
          <w:szCs w:val="44"/>
          <w:highlight w:val="none"/>
          <w:vertAlign w:val="baseline"/>
          <w:lang w:val="en-US" w:eastAsia="zh-CN" w:bidi="ar"/>
        </w:rPr>
        <w:t>第六章</w:t>
      </w:r>
      <w:r>
        <w:rPr>
          <w:rFonts w:hint="default" w:ascii="Calibri" w:hAnsi="Calibri" w:eastAsia="宋体" w:cs="Times New Roman"/>
          <w:b/>
          <w:bCs/>
          <w:caps w:val="0"/>
          <w:color w:val="auto"/>
          <w:kern w:val="2"/>
          <w:sz w:val="44"/>
          <w:szCs w:val="44"/>
          <w:highlight w:val="none"/>
          <w:vertAlign w:val="baseline"/>
          <w:lang w:val="en-US" w:eastAsia="zh-CN" w:bidi="ar"/>
        </w:rPr>
        <w:t xml:space="preserve">  </w:t>
      </w:r>
      <w:r>
        <w:rPr>
          <w:rFonts w:hint="eastAsia" w:ascii="宋体" w:hAnsi="宋体" w:eastAsia="宋体" w:cs="Times New Roman"/>
          <w:b/>
          <w:bCs/>
          <w:caps w:val="0"/>
          <w:color w:val="auto"/>
          <w:kern w:val="2"/>
          <w:sz w:val="44"/>
          <w:szCs w:val="44"/>
          <w:highlight w:val="none"/>
          <w:vertAlign w:val="baseline"/>
          <w:lang w:val="en-US" w:eastAsia="zh-CN" w:bidi="ar"/>
        </w:rPr>
        <w:t>投标文件格式</w:t>
      </w:r>
      <w:bookmarkEnd w:id="12"/>
    </w:p>
    <w:p w14:paraId="409D34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1BAD0F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E66DD0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7D1DE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2C3575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2DFADC7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66F3EA0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04C1A7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1AFBA2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CBCDC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30221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F0AAC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5CFFD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07F95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0B7507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7052E0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81D62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02FE64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2473B0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3B2D2E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53A592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64BE4F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highlight w:val="none"/>
          <w:vertAlign w:val="baseline"/>
          <w:lang w:bidi="ar"/>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p>
    <w:bookmarkEnd w:id="0"/>
    <w:bookmarkEnd w:id="1"/>
    <w:bookmarkEnd w:id="2"/>
    <w:p w14:paraId="19825C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014E3955">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05BD51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44"/>
          <w:szCs w:val="44"/>
          <w:highlight w:val="none"/>
          <w:u w:val="single"/>
          <w:vertAlign w:val="baseline"/>
          <w:lang w:val="en-US" w:bidi="ar"/>
        </w:rPr>
      </w:pPr>
      <w:r>
        <w:rPr>
          <w:rFonts w:hint="eastAsia" w:ascii="宋体" w:hAnsi="宋体" w:eastAsia="宋体" w:cs="Times New Roman"/>
          <w:b w:val="0"/>
          <w:bCs w:val="0"/>
          <w:caps w:val="0"/>
          <w:color w:val="auto"/>
          <w:kern w:val="2"/>
          <w:sz w:val="44"/>
          <w:szCs w:val="44"/>
          <w:highlight w:val="none"/>
          <w:vertAlign w:val="baseline"/>
          <w:lang w:val="en-US" w:eastAsia="zh-CN" w:bidi="ar"/>
        </w:rPr>
        <w:t>（项目名称）</w:t>
      </w:r>
    </w:p>
    <w:p w14:paraId="3773DE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6391734A">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5186900E">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541039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171A18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44"/>
          <w:szCs w:val="44"/>
          <w:highlight w:val="none"/>
          <w:vertAlign w:val="baseline"/>
          <w:lang w:bidi="ar"/>
        </w:rPr>
      </w:pPr>
      <w:r>
        <w:rPr>
          <w:rFonts w:hint="eastAsia" w:ascii="宋体" w:hAnsi="宋体" w:eastAsia="宋体" w:cs="Times New Roman"/>
          <w:b w:val="0"/>
          <w:bCs w:val="0"/>
          <w:caps w:val="0"/>
          <w:color w:val="auto"/>
          <w:kern w:val="2"/>
          <w:sz w:val="44"/>
          <w:szCs w:val="44"/>
          <w:highlight w:val="none"/>
          <w:vertAlign w:val="baseline"/>
          <w:lang w:val="en-US" w:eastAsia="zh-CN" w:bidi="ar"/>
        </w:rPr>
        <w:t>投</w:t>
      </w:r>
      <w:r>
        <w:rPr>
          <w:rFonts w:hint="default" w:ascii="Calibri" w:hAnsi="Calibri" w:eastAsia="宋体" w:cs="Times New Roman"/>
          <w:b w:val="0"/>
          <w:bCs w:val="0"/>
          <w:caps w:val="0"/>
          <w:color w:val="auto"/>
          <w:kern w:val="2"/>
          <w:sz w:val="44"/>
          <w:szCs w:val="44"/>
          <w:highlight w:val="none"/>
          <w:vertAlign w:val="baseline"/>
          <w:lang w:val="en-US" w:eastAsia="zh-CN" w:bidi="ar"/>
        </w:rPr>
        <w:t xml:space="preserve">  </w:t>
      </w:r>
      <w:r>
        <w:rPr>
          <w:rFonts w:hint="eastAsia" w:ascii="宋体" w:hAnsi="宋体" w:eastAsia="宋体" w:cs="Times New Roman"/>
          <w:b w:val="0"/>
          <w:bCs w:val="0"/>
          <w:caps w:val="0"/>
          <w:color w:val="auto"/>
          <w:kern w:val="2"/>
          <w:sz w:val="44"/>
          <w:szCs w:val="44"/>
          <w:highlight w:val="none"/>
          <w:vertAlign w:val="baseline"/>
          <w:lang w:val="en-US" w:eastAsia="zh-CN" w:bidi="ar"/>
        </w:rPr>
        <w:t>标</w:t>
      </w:r>
      <w:r>
        <w:rPr>
          <w:rFonts w:hint="default" w:ascii="Calibri" w:hAnsi="Calibri" w:eastAsia="宋体" w:cs="Times New Roman"/>
          <w:b w:val="0"/>
          <w:bCs w:val="0"/>
          <w:caps w:val="0"/>
          <w:color w:val="auto"/>
          <w:kern w:val="2"/>
          <w:sz w:val="44"/>
          <w:szCs w:val="44"/>
          <w:highlight w:val="none"/>
          <w:vertAlign w:val="baseline"/>
          <w:lang w:val="en-US" w:eastAsia="zh-CN" w:bidi="ar"/>
        </w:rPr>
        <w:t xml:space="preserve">  </w:t>
      </w:r>
      <w:r>
        <w:rPr>
          <w:rFonts w:hint="eastAsia" w:ascii="宋体" w:hAnsi="宋体" w:eastAsia="宋体" w:cs="Times New Roman"/>
          <w:b w:val="0"/>
          <w:bCs w:val="0"/>
          <w:caps w:val="0"/>
          <w:color w:val="auto"/>
          <w:kern w:val="2"/>
          <w:sz w:val="44"/>
          <w:szCs w:val="44"/>
          <w:highlight w:val="none"/>
          <w:vertAlign w:val="baseline"/>
          <w:lang w:val="en-US" w:eastAsia="zh-CN" w:bidi="ar"/>
        </w:rPr>
        <w:t>文</w:t>
      </w:r>
      <w:r>
        <w:rPr>
          <w:rFonts w:hint="default" w:ascii="Calibri" w:hAnsi="Calibri" w:eastAsia="宋体" w:cs="Times New Roman"/>
          <w:b w:val="0"/>
          <w:bCs w:val="0"/>
          <w:caps w:val="0"/>
          <w:color w:val="auto"/>
          <w:kern w:val="2"/>
          <w:sz w:val="44"/>
          <w:szCs w:val="44"/>
          <w:highlight w:val="none"/>
          <w:vertAlign w:val="baseline"/>
          <w:lang w:val="en-US" w:eastAsia="zh-CN" w:bidi="ar"/>
        </w:rPr>
        <w:t xml:space="preserve">  </w:t>
      </w:r>
      <w:r>
        <w:rPr>
          <w:rFonts w:hint="eastAsia" w:ascii="宋体" w:hAnsi="宋体" w:eastAsia="宋体" w:cs="Times New Roman"/>
          <w:b w:val="0"/>
          <w:bCs w:val="0"/>
          <w:caps w:val="0"/>
          <w:color w:val="auto"/>
          <w:kern w:val="2"/>
          <w:sz w:val="44"/>
          <w:szCs w:val="44"/>
          <w:highlight w:val="none"/>
          <w:vertAlign w:val="baseline"/>
          <w:lang w:val="en-US" w:eastAsia="zh-CN" w:bidi="ar"/>
        </w:rPr>
        <w:t>件</w:t>
      </w:r>
    </w:p>
    <w:p w14:paraId="177612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BA596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7BF57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1F3BAE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7BB185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3CCCD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44"/>
          <w:szCs w:val="44"/>
          <w:highlight w:val="none"/>
          <w:vertAlign w:val="baseline"/>
          <w:lang w:bidi="ar"/>
        </w:rPr>
      </w:pPr>
    </w:p>
    <w:p w14:paraId="49C497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32"/>
          <w:szCs w:val="32"/>
          <w:highlight w:val="none"/>
          <w:vertAlign w:val="baseline"/>
          <w:lang w:bidi="ar"/>
        </w:rPr>
      </w:pPr>
      <w:r>
        <w:rPr>
          <w:rFonts w:hint="eastAsia" w:ascii="宋体" w:hAnsi="宋体" w:eastAsia="宋体" w:cs="Times New Roman"/>
          <w:b w:val="0"/>
          <w:bCs w:val="0"/>
          <w:caps w:val="0"/>
          <w:color w:val="auto"/>
          <w:kern w:val="2"/>
          <w:sz w:val="32"/>
          <w:szCs w:val="32"/>
          <w:highlight w:val="none"/>
          <w:vertAlign w:val="baseline"/>
          <w:lang w:val="en-US" w:eastAsia="zh-CN" w:bidi="ar"/>
        </w:rPr>
        <w:t>供应商：</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（盖单位章）</w:t>
      </w:r>
    </w:p>
    <w:p w14:paraId="4BFA5325">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29A113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32"/>
          <w:szCs w:val="32"/>
          <w:highlight w:val="none"/>
          <w:vertAlign w:val="baseline"/>
          <w:lang w:bidi="ar"/>
        </w:rPr>
      </w:pPr>
      <w:r>
        <w:rPr>
          <w:rFonts w:hint="eastAsia" w:ascii="宋体" w:hAnsi="宋体" w:eastAsia="宋体" w:cs="Times New Roman"/>
          <w:b w:val="0"/>
          <w:bCs w:val="0"/>
          <w:caps w:val="0"/>
          <w:color w:val="auto"/>
          <w:kern w:val="2"/>
          <w:sz w:val="32"/>
          <w:szCs w:val="32"/>
          <w:highlight w:val="none"/>
          <w:vertAlign w:val="baseline"/>
          <w:lang w:val="en-US" w:eastAsia="zh-CN" w:bidi="ar"/>
        </w:rPr>
        <w:t>法定代表人或其委托代理人：</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（签字）</w:t>
      </w:r>
    </w:p>
    <w:p w14:paraId="472CBD1A">
      <w:pPr>
        <w:pStyle w:val="1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0" w:line="480" w:lineRule="auto"/>
        <w:ind w:left="420" w:leftChars="200" w:right="0" w:firstLine="0"/>
        <w:jc w:val="both"/>
        <w:outlineLvl w:val="9"/>
        <w:rPr>
          <w:rFonts w:hint="default" w:ascii="Calibri" w:hAnsi="Calibri" w:eastAsia="宋体" w:cs="Times New Roman"/>
          <w:caps w:val="0"/>
          <w:color w:val="auto"/>
          <w:kern w:val="2"/>
          <w:sz w:val="21"/>
          <w:szCs w:val="21"/>
          <w:highlight w:val="none"/>
          <w:vertAlign w:val="baseline"/>
          <w:lang w:bidi="ar"/>
        </w:rPr>
      </w:pPr>
    </w:p>
    <w:p w14:paraId="4C2B279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32"/>
          <w:szCs w:val="32"/>
          <w:highlight w:val="none"/>
          <w:vertAlign w:val="baseline"/>
          <w:lang w:bidi="ar"/>
        </w:rPr>
      </w:pP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年</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月</w:t>
      </w:r>
      <w:r>
        <w:rPr>
          <w:rFonts w:hint="default" w:ascii="Calibri" w:hAnsi="Calibri" w:eastAsia="宋体" w:cs="Times New Roman"/>
          <w:b w:val="0"/>
          <w:bCs w:val="0"/>
          <w:caps w:val="0"/>
          <w:color w:val="auto"/>
          <w:kern w:val="2"/>
          <w:sz w:val="32"/>
          <w:szCs w:val="32"/>
          <w:highlight w:val="none"/>
          <w:vertAlign w:val="baseline"/>
          <w:lang w:val="en-US" w:eastAsia="zh-CN" w:bidi="ar"/>
        </w:rPr>
        <w:t xml:space="preserve">        </w:t>
      </w:r>
      <w:r>
        <w:rPr>
          <w:rFonts w:hint="eastAsia" w:ascii="宋体" w:hAnsi="宋体" w:eastAsia="宋体" w:cs="Times New Roman"/>
          <w:b w:val="0"/>
          <w:bCs w:val="0"/>
          <w:caps w:val="0"/>
          <w:color w:val="auto"/>
          <w:kern w:val="2"/>
          <w:sz w:val="32"/>
          <w:szCs w:val="32"/>
          <w:highlight w:val="none"/>
          <w:vertAlign w:val="baseline"/>
          <w:lang w:val="en-US" w:eastAsia="zh-CN" w:bidi="ar"/>
        </w:rPr>
        <w:t>日</w:t>
      </w:r>
    </w:p>
    <w:p w14:paraId="6D38B7BD">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default" w:ascii="Calibri" w:hAnsi="Calibri" w:eastAsia="宋体" w:cs="Times New Roman"/>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一、法定代表人身份证明</w:t>
      </w:r>
    </w:p>
    <w:p w14:paraId="4C95D7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2E6DA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投标人名称：                            </w:t>
      </w:r>
    </w:p>
    <w:p w14:paraId="0A2AEB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单位性质：                               </w:t>
      </w:r>
    </w:p>
    <w:p w14:paraId="27E299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地址：                                   </w:t>
      </w:r>
    </w:p>
    <w:p w14:paraId="184D65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成立时间：          年        月        日</w:t>
      </w:r>
    </w:p>
    <w:p w14:paraId="0001A6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经营期限：                               </w:t>
      </w:r>
    </w:p>
    <w:p w14:paraId="5A2EAD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姓名：         性别：         年龄：        职务：        </w:t>
      </w:r>
    </w:p>
    <w:p w14:paraId="4EBF9D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系                             （投标人名称）的法定代表人。</w:t>
      </w:r>
    </w:p>
    <w:p w14:paraId="7F2715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特此证明。</w:t>
      </w:r>
    </w:p>
    <w:p w14:paraId="5D26F0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D3525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12B9BD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供应商：  （盖单位章）</w:t>
      </w:r>
    </w:p>
    <w:p w14:paraId="4C09006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           </w:t>
      </w:r>
    </w:p>
    <w:p w14:paraId="666755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A66CD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709E0C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2743E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注：本法定代表人身份证明后必须附上法定代表人的身份证复印件。</w:t>
      </w:r>
    </w:p>
    <w:p w14:paraId="5EACEB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1303AB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br w:type="page"/>
      </w:r>
    </w:p>
    <w:p w14:paraId="0370C7F1">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二、授权委托书</w:t>
      </w:r>
    </w:p>
    <w:p w14:paraId="6BE147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79EE5E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本人       （姓名）系        （投标人名称）的法定代表人，现委托        （姓名）为我方代理人。代理人根据授权，以我方名义签署、澄清、说明、补正、递交、撤回、修改           （项目名称）    标段投标文件、签订合同和处理有关事宜，其法律后果由我方承担。</w:t>
      </w:r>
    </w:p>
    <w:p w14:paraId="1F7E5A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委托期限：             。</w:t>
      </w:r>
    </w:p>
    <w:p w14:paraId="1289C6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代理人无转委托权。</w:t>
      </w:r>
    </w:p>
    <w:p w14:paraId="03B213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附：法定代表人身份证明</w:t>
      </w:r>
    </w:p>
    <w:p w14:paraId="6D9423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6CCB60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                          （盖单位章）</w:t>
      </w:r>
    </w:p>
    <w:p w14:paraId="20F3C88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                      （签字）</w:t>
      </w:r>
    </w:p>
    <w:p w14:paraId="01E8C3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36B1A4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委托代理人：                       （签字） </w:t>
      </w:r>
    </w:p>
    <w:p w14:paraId="7FA04F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身份证号码：                                      </w:t>
      </w:r>
    </w:p>
    <w:p w14:paraId="58F84F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40191F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年       月       日</w:t>
      </w:r>
    </w:p>
    <w:p w14:paraId="06C4EB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01E8F2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5CC866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注：本授权委托书后必须附上获授权代理人的身份证复印件。</w:t>
      </w:r>
    </w:p>
    <w:p w14:paraId="3388CA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1AB3493C">
      <w:pPr>
        <w:spacing w:line="360" w:lineRule="auto"/>
        <w:jc w:val="center"/>
        <w:outlineLvl w:val="2"/>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br w:type="page"/>
      </w: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三、投  标  函</w:t>
      </w:r>
    </w:p>
    <w:p w14:paraId="7B0529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致：                     </w:t>
      </w:r>
    </w:p>
    <w:p w14:paraId="77539F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1．根据你方招标的</w:t>
      </w:r>
      <w:r>
        <w:rPr>
          <w:rFonts w:hint="eastAsia" w:ascii="宋体" w:hAnsi="宋体" w:eastAsia="宋体" w:cs="宋体"/>
          <w:b w:val="0"/>
          <w:bCs w:val="0"/>
          <w:caps w:val="0"/>
          <w:color w:val="000000" w:themeColor="text1"/>
          <w:kern w:val="2"/>
          <w:sz w:val="24"/>
          <w:szCs w:val="24"/>
          <w:highlight w:val="none"/>
          <w:u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 的招标文件，遵照《中华人民共和国政府采购法》等有关规定，经研究上述招标文件的投标须知、合同条款、技术需求标准及其他有关文件后，我方愿以             （大写）             （小写）      的投标报价，并按上述招标文件条款、合同条款和技术标准的条件等要求承包上述项目的全部内容，并承担任何质量缺陷保修责任。</w:t>
      </w:r>
    </w:p>
    <w:p w14:paraId="4EDCB8F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2．我方已详细审核全部招标文件，包括修改文件（如有时）及有关附件。</w:t>
      </w:r>
    </w:p>
    <w:p w14:paraId="1D5C62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3．一旦我方中标，我方将按照投标文件中的承诺组建项目组，由投标文件所承诺的人员完成本项目的全部工作，保证在未征得采购人同意的前提下不变更主要人员，保证按投标函附表中承诺的服务周期完成工作并提供相应的服务。</w:t>
      </w:r>
    </w:p>
    <w:p w14:paraId="26E661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4．我方同意所提交的投标文件在招标文件的投标须知中规定的投标有效期内有效，在此期间内如果中标，我方将受此约束。</w:t>
      </w:r>
    </w:p>
    <w:p w14:paraId="2CE4CB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5. 除非另外达成协议并生效，你方的中标通知书和本投标文件将成为约束双方的合同文件的组成部分。</w:t>
      </w:r>
    </w:p>
    <w:p w14:paraId="305AD2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735F82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p>
    <w:p w14:paraId="1991CE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供应商：                                              （盖章）</w:t>
      </w:r>
    </w:p>
    <w:p w14:paraId="41D417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单位地址：                                               </w:t>
      </w:r>
    </w:p>
    <w:p w14:paraId="2A9B74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法定代表人或其委托代理人：            （签字或盖章）</w:t>
      </w:r>
    </w:p>
    <w:p w14:paraId="10EF7D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邮政编码：            </w:t>
      </w:r>
    </w:p>
    <w:p w14:paraId="2FB3BD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电话：            </w:t>
      </w:r>
    </w:p>
    <w:p w14:paraId="58767C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 xml:space="preserve">传真：            </w:t>
      </w:r>
    </w:p>
    <w:p w14:paraId="117C5B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4"/>
          <w:szCs w:val="24"/>
          <w:highlight w:val="none"/>
          <w:vertAlign w:val="baseline"/>
          <w:lang w:val="en-US" w:eastAsia="zh-CN" w:bidi="ar"/>
          <w14:textFill>
            <w14:solidFill>
              <w14:schemeClr w14:val="tx1"/>
            </w14:solidFill>
          </w14:textFill>
        </w:rPr>
        <w:t>日期：     年     月    日</w:t>
      </w:r>
    </w:p>
    <w:p w14:paraId="236BD0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6A4F6E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p>
    <w:p w14:paraId="4BD8F5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1764BDB4">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四、投标一览表</w:t>
      </w:r>
    </w:p>
    <w:p w14:paraId="6726A45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240" w:lineRule="auto"/>
        <w:ind w:left="3688"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开</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标一览表 (格式)</w:t>
      </w:r>
    </w:p>
    <w:p w14:paraId="20DB44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468" w:lineRule="exact"/>
        <w:ind w:left="605" w:leftChars="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position w:val="17"/>
          <w:sz w:val="24"/>
          <w:szCs w:val="24"/>
          <w:highlight w:val="none"/>
          <w:vertAlign w:val="baseline"/>
          <w:lang w:val="en-US" w:eastAsia="zh-CN" w:bidi="ar"/>
          <w14:textFill>
            <w14:solidFill>
              <w14:schemeClr w14:val="tx1"/>
            </w14:solidFill>
          </w14:textFill>
        </w:rPr>
        <w:t>标段</w:t>
      </w:r>
      <w:r>
        <w:rPr>
          <w:rFonts w:hint="eastAsia" w:ascii="宋体" w:hAnsi="宋体" w:eastAsia="宋体" w:cs="宋体"/>
          <w:b w:val="0"/>
          <w:bCs w:val="0"/>
          <w:caps w:val="0"/>
          <w:color w:val="000000" w:themeColor="text1"/>
          <w:spacing w:val="5"/>
          <w:kern w:val="0"/>
          <w:position w:val="17"/>
          <w:sz w:val="24"/>
          <w:szCs w:val="24"/>
          <w:highlight w:val="none"/>
          <w:vertAlign w:val="baseline"/>
          <w:lang w:val="en-US" w:eastAsia="zh-CN" w:bidi="ar"/>
          <w14:textFill>
            <w14:solidFill>
              <w14:schemeClr w14:val="tx1"/>
            </w14:solidFill>
          </w14:textFill>
        </w:rPr>
        <w:t>名称：</w:t>
      </w:r>
    </w:p>
    <w:p w14:paraId="6112612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605" w:leftChars="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标段</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编号：</w:t>
      </w:r>
    </w:p>
    <w:p w14:paraId="4F6A252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40" w:lineRule="auto"/>
        <w:ind w:left="604" w:leftChars="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投</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标人名称 (加盖公章) ：</w:t>
      </w:r>
    </w:p>
    <w:p w14:paraId="3D8B56E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240" w:lineRule="auto"/>
        <w:ind w:left="603" w:leftChars="0" w:right="0" w:firstLine="0"/>
        <w:jc w:val="left"/>
        <w:textAlignment w:val="baseline"/>
        <w:outlineLvl w:val="9"/>
        <w:rPr>
          <w:rFonts w:hint="eastAsia" w:ascii="宋体" w:hAnsi="宋体" w:eastAsia="宋体" w:cs="宋体"/>
          <w:caps w:val="0"/>
          <w:color w:val="000000" w:themeColor="text1"/>
          <w:kern w:val="0"/>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单</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位</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负责人或授权代理人 (签字) ：</w:t>
      </w:r>
    </w:p>
    <w:p w14:paraId="7FD1788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8" w:beforeAutospacing="0" w:after="0" w:afterAutospacing="0" w:line="240" w:lineRule="auto"/>
        <w:ind w:left="612" w:leftChars="0" w:right="0" w:firstLine="0"/>
        <w:jc w:val="left"/>
        <w:textAlignment w:val="baseline"/>
        <w:outlineLvl w:val="9"/>
        <w:rPr>
          <w:rFonts w:hint="eastAsia" w:ascii="宋体" w:hAnsi="宋体" w:eastAsia="宋体" w:cs="宋体"/>
          <w:caps w:val="0"/>
          <w:color w:val="000000" w:themeColor="text1"/>
          <w:kern w:val="0"/>
          <w:sz w:val="24"/>
          <w:szCs w:val="24"/>
          <w:highlight w:val="none"/>
          <w:u w:val="single"/>
          <w:vertAlign w:val="baseline"/>
          <w14:textFill>
            <w14:solidFill>
              <w14:schemeClr w14:val="tx1"/>
            </w14:solidFill>
          </w14:textFill>
        </w:rPr>
      </w:pP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 xml:space="preserve">时间：    年    月   日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货币单位：</w:t>
      </w:r>
      <w:r>
        <w:rPr>
          <w:rFonts w:hint="eastAsia" w:ascii="宋体" w:hAnsi="宋体" w:eastAsia="宋体" w:cs="宋体"/>
          <w:b w:val="0"/>
          <w:bCs w:val="0"/>
          <w:caps w:val="0"/>
          <w:color w:val="000000" w:themeColor="text1"/>
          <w:kern w:val="0"/>
          <w:sz w:val="24"/>
          <w:szCs w:val="24"/>
          <w:highlight w:val="none"/>
          <w:u w:val="single"/>
          <w:vertAlign w:val="baseline"/>
          <w:lang w:val="en-US" w:eastAsia="zh-CN" w:bidi="ar"/>
          <w14:textFill>
            <w14:solidFill>
              <w14:schemeClr w14:val="tx1"/>
            </w14:solidFill>
          </w14:textFill>
        </w:rPr>
        <w:t>元（保留小数点后2位）</w:t>
      </w:r>
    </w:p>
    <w:p w14:paraId="6C25A55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143" w:lineRule="exact"/>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tbl>
      <w:tblPr>
        <w:tblStyle w:val="28"/>
        <w:tblW w:w="8447" w:type="dxa"/>
        <w:tblInd w:w="13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831"/>
        <w:gridCol w:w="2430"/>
        <w:gridCol w:w="2351"/>
        <w:gridCol w:w="835"/>
      </w:tblGrid>
      <w:tr w14:paraId="3B43E9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327" w:hRule="atLeast"/>
        </w:trPr>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14:paraId="19A1B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bidi="ar"/>
                <w14:textFill>
                  <w14:solidFill>
                    <w14:schemeClr w14:val="tx1"/>
                  </w14:solidFill>
                </w14:textFill>
              </w:rPr>
              <w:t>投标报价</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14:paraId="25159A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bidi="ar"/>
                <w14:textFill>
                  <w14:solidFill>
                    <w14:schemeClr w14:val="tx1"/>
                  </w14:solidFill>
                </w14:textFill>
              </w:rPr>
              <w:t>质量标准</w:t>
            </w:r>
          </w:p>
        </w:tc>
        <w:tc>
          <w:tcPr>
            <w:tcW w:w="2351" w:type="dxa"/>
            <w:tcBorders>
              <w:top w:val="single" w:color="auto" w:sz="4" w:space="0"/>
              <w:left w:val="single" w:color="auto" w:sz="4" w:space="0"/>
              <w:bottom w:val="single" w:color="auto" w:sz="4" w:space="0"/>
              <w:right w:val="single" w:color="auto" w:sz="4" w:space="0"/>
            </w:tcBorders>
            <w:shd w:val="clear" w:color="auto" w:fill="auto"/>
            <w:vAlign w:val="center"/>
          </w:tcPr>
          <w:p w14:paraId="4E08A0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bidi="ar"/>
                <w14:textFill>
                  <w14:solidFill>
                    <w14:schemeClr w14:val="tx1"/>
                  </w14:solidFill>
                </w14:textFill>
              </w:rPr>
              <w:t>合同履行期限</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7634F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val="0"/>
                <w:caps w:val="0"/>
                <w:color w:val="000000" w:themeColor="text1"/>
                <w:kern w:val="2"/>
                <w:sz w:val="24"/>
                <w:szCs w:val="24"/>
                <w:highlight w:val="none"/>
                <w:vertAlign w:val="baseline"/>
                <w14:textFill>
                  <w14:solidFill>
                    <w14:schemeClr w14:val="tx1"/>
                  </w14:solidFill>
                </w14:textFill>
              </w:rPr>
            </w:pPr>
            <w:r>
              <w:rPr>
                <w:rFonts w:hint="eastAsia" w:ascii="宋体" w:hAnsi="宋体" w:eastAsia="宋体" w:cs="宋体"/>
                <w:b/>
                <w:bCs w:val="0"/>
                <w:caps w:val="0"/>
                <w:color w:val="000000" w:themeColor="text1"/>
                <w:kern w:val="2"/>
                <w:sz w:val="24"/>
                <w:szCs w:val="24"/>
                <w:highlight w:val="none"/>
                <w:vertAlign w:val="baseline"/>
                <w:lang w:val="en-US" w:eastAsia="zh-CN" w:bidi="ar"/>
                <w14:textFill>
                  <w14:solidFill>
                    <w14:schemeClr w14:val="tx1"/>
                  </w14:solidFill>
                </w14:textFill>
              </w:rPr>
              <w:t>备注</w:t>
            </w:r>
          </w:p>
        </w:tc>
      </w:tr>
      <w:tr w14:paraId="0E4594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64" w:hRule="atLeast"/>
        </w:trPr>
        <w:tc>
          <w:tcPr>
            <w:tcW w:w="2831" w:type="dxa"/>
            <w:tcBorders>
              <w:top w:val="single" w:color="auto" w:sz="4" w:space="0"/>
              <w:left w:val="single" w:color="auto" w:sz="4" w:space="0"/>
              <w:bottom w:val="single" w:color="auto" w:sz="4" w:space="0"/>
              <w:right w:val="single" w:color="auto" w:sz="4" w:space="0"/>
            </w:tcBorders>
            <w:shd w:val="clear" w:color="auto" w:fill="auto"/>
            <w:vAlign w:val="top"/>
          </w:tcPr>
          <w:p w14:paraId="4286DE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c>
          <w:tcPr>
            <w:tcW w:w="2430" w:type="dxa"/>
            <w:tcBorders>
              <w:top w:val="single" w:color="auto" w:sz="4" w:space="0"/>
              <w:left w:val="single" w:color="auto" w:sz="4" w:space="0"/>
              <w:bottom w:val="single" w:color="auto" w:sz="4" w:space="0"/>
              <w:right w:val="single" w:color="auto" w:sz="4" w:space="0"/>
            </w:tcBorders>
            <w:shd w:val="clear" w:color="auto" w:fill="auto"/>
            <w:vAlign w:val="top"/>
          </w:tcPr>
          <w:p w14:paraId="4AEAF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c>
          <w:tcPr>
            <w:tcW w:w="2351" w:type="dxa"/>
            <w:tcBorders>
              <w:top w:val="single" w:color="auto" w:sz="4" w:space="0"/>
              <w:left w:val="single" w:color="auto" w:sz="4" w:space="0"/>
              <w:bottom w:val="single" w:color="auto" w:sz="4" w:space="0"/>
              <w:right w:val="single" w:color="auto" w:sz="4" w:space="0"/>
            </w:tcBorders>
            <w:shd w:val="clear" w:color="auto" w:fill="auto"/>
            <w:vAlign w:val="top"/>
          </w:tcPr>
          <w:p w14:paraId="36DB17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c>
          <w:tcPr>
            <w:tcW w:w="835" w:type="dxa"/>
            <w:tcBorders>
              <w:top w:val="single" w:color="auto" w:sz="4" w:space="0"/>
              <w:left w:val="single" w:color="auto" w:sz="4" w:space="0"/>
              <w:bottom w:val="single" w:color="auto" w:sz="4" w:space="0"/>
              <w:right w:val="single" w:color="auto" w:sz="4" w:space="0"/>
            </w:tcBorders>
            <w:shd w:val="clear" w:color="auto" w:fill="auto"/>
            <w:vAlign w:val="top"/>
          </w:tcPr>
          <w:p w14:paraId="26AB6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color w:val="000000" w:themeColor="text1"/>
                <w:kern w:val="2"/>
                <w:sz w:val="24"/>
                <w:szCs w:val="24"/>
                <w:highlight w:val="none"/>
                <w:vertAlign w:val="baseline"/>
                <w14:textFill>
                  <w14:solidFill>
                    <w14:schemeClr w14:val="tx1"/>
                  </w14:solidFill>
                </w14:textFill>
              </w:rPr>
            </w:pPr>
          </w:p>
        </w:tc>
      </w:tr>
    </w:tbl>
    <w:p w14:paraId="6BFAA31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0"/>
        <w:jc w:val="left"/>
        <w:textAlignment w:val="baseline"/>
        <w:outlineLvl w:val="9"/>
        <w:rPr>
          <w:rFonts w:hint="eastAsia" w:ascii="宋体" w:hAnsi="宋体" w:eastAsia="宋体" w:cs="宋体"/>
          <w:caps w:val="0"/>
          <w:color w:val="000000" w:themeColor="text1"/>
          <w:spacing w:val="3"/>
          <w:kern w:val="0"/>
          <w:sz w:val="24"/>
          <w:szCs w:val="24"/>
          <w:highlight w:val="none"/>
          <w:vertAlign w:val="baseline"/>
          <w14:textFill>
            <w14:solidFill>
              <w14:schemeClr w14:val="tx1"/>
            </w14:solidFill>
          </w14:textFill>
        </w:rPr>
      </w:pPr>
    </w:p>
    <w:p w14:paraId="3EEE7DC6">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0"/>
        <w:jc w:val="left"/>
        <w:textAlignment w:val="baseline"/>
        <w:outlineLvl w:val="9"/>
        <w:rPr>
          <w:rFonts w:hint="eastAsia" w:ascii="宋体" w:hAnsi="宋体" w:eastAsia="宋体" w:cs="宋体"/>
          <w:caps w:val="0"/>
          <w:color w:val="000000" w:themeColor="text1"/>
          <w:spacing w:val="3"/>
          <w:kern w:val="0"/>
          <w:sz w:val="24"/>
          <w:szCs w:val="24"/>
          <w:highlight w:val="none"/>
          <w:vertAlign w:val="baseline"/>
          <w14:textFill>
            <w14:solidFill>
              <w14:schemeClr w14:val="tx1"/>
            </w14:solidFill>
          </w14:textFill>
        </w:rPr>
      </w:pPr>
    </w:p>
    <w:p w14:paraId="33F2843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0"/>
        <w:jc w:val="left"/>
        <w:textAlignment w:val="baseline"/>
        <w:outlineLvl w:val="9"/>
        <w:rPr>
          <w:rFonts w:hint="eastAsia" w:ascii="宋体" w:hAnsi="宋体" w:eastAsia="宋体" w:cs="宋体"/>
          <w:caps w:val="0"/>
          <w:color w:val="000000" w:themeColor="text1"/>
          <w:spacing w:val="2"/>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说</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明：</w:t>
      </w:r>
    </w:p>
    <w:p w14:paraId="6E102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124" w:right="0" w:firstLine="536" w:firstLineChars="20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7"/>
          <w:sz w:val="24"/>
          <w:szCs w:val="24"/>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spacing w:val="12"/>
          <w:kern w:val="0"/>
          <w:position w:val="17"/>
          <w:sz w:val="24"/>
          <w:szCs w:val="24"/>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spacing w:val="7"/>
          <w:kern w:val="0"/>
          <w:position w:val="17"/>
          <w:sz w:val="24"/>
          <w:szCs w:val="24"/>
          <w:highlight w:val="none"/>
          <w:vertAlign w:val="baseline"/>
          <w:lang w:val="en-US" w:eastAsia="zh-CN" w:bidi="ar"/>
          <w14:textFill>
            <w14:solidFill>
              <w14:schemeClr w14:val="tx1"/>
            </w14:solidFill>
          </w14:textFill>
        </w:rPr>
        <w:t>本“开标一览表”用于开标时唱标使用。</w:t>
      </w:r>
    </w:p>
    <w:p w14:paraId="4A40296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311" w:lineRule="exact"/>
        <w:ind w:left="604"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6"/>
          <w:kern w:val="0"/>
          <w:position w:val="1"/>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15"/>
          <w:kern w:val="0"/>
          <w:position w:val="1"/>
          <w:sz w:val="24"/>
          <w:szCs w:val="24"/>
          <w:highlight w:val="none"/>
          <w:vertAlign w:val="baseline"/>
          <w:lang w:val="en-US" w:eastAsia="zh-CN" w:bidi="ar"/>
          <w14:textFill>
            <w14:solidFill>
              <w14:schemeClr w14:val="tx1"/>
            </w14:solidFill>
          </w14:textFill>
        </w:rPr>
        <w:t>.</w:t>
      </w:r>
      <w:r>
        <w:rPr>
          <w:rFonts w:hint="eastAsia" w:ascii="宋体" w:hAnsi="宋体" w:eastAsia="宋体" w:cs="宋体"/>
          <w:b w:val="0"/>
          <w:bCs w:val="0"/>
          <w:caps w:val="0"/>
          <w:color w:val="000000" w:themeColor="text1"/>
          <w:spacing w:val="8"/>
          <w:kern w:val="0"/>
          <w:position w:val="1"/>
          <w:sz w:val="24"/>
          <w:szCs w:val="24"/>
          <w:highlight w:val="none"/>
          <w:vertAlign w:val="baseline"/>
          <w:lang w:val="en-US" w:eastAsia="zh-CN" w:bidi="ar"/>
          <w14:textFill>
            <w14:solidFill>
              <w14:schemeClr w14:val="tx1"/>
            </w14:solidFill>
          </w14:textFill>
        </w:rPr>
        <w:t>此表中的各项内容应与投标文件的相应内容一致。</w:t>
      </w:r>
    </w:p>
    <w:p w14:paraId="1B0F21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54" w:beforeAutospacing="0" w:after="0" w:afterAutospacing="0" w:line="340" w:lineRule="auto"/>
        <w:ind w:left="111" w:right="2" w:firstLine="494"/>
        <w:jc w:val="left"/>
        <w:textAlignment w:val="baseline"/>
        <w:outlineLvl w:val="9"/>
        <w:rPr>
          <w:rFonts w:hint="eastAsia" w:ascii="宋体" w:hAnsi="宋体" w:eastAsia="宋体" w:cs="宋体"/>
          <w:b/>
          <w:bCs/>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spacing w:val="-18"/>
          <w:kern w:val="0"/>
          <w:sz w:val="24"/>
          <w:szCs w:val="24"/>
          <w:highlight w:val="none"/>
          <w:vertAlign w:val="baseline"/>
          <w:lang w:val="en-US" w:eastAsia="zh-CN" w:bidi="ar"/>
          <w14:textFill>
            <w14:solidFill>
              <w14:schemeClr w14:val="tx1"/>
            </w14:solidFill>
          </w14:textFill>
        </w:rPr>
        <w:t>3.</w:t>
      </w:r>
      <w:r>
        <w:rPr>
          <w:rFonts w:hint="eastAsia" w:ascii="宋体" w:hAnsi="宋体" w:eastAsia="宋体" w:cs="宋体"/>
          <w:b/>
          <w:bCs/>
          <w:i/>
          <w:iCs/>
          <w:caps w:val="0"/>
          <w:color w:val="000000" w:themeColor="text1"/>
          <w:spacing w:val="-10"/>
          <w:kern w:val="0"/>
          <w:sz w:val="24"/>
          <w:szCs w:val="24"/>
          <w:highlight w:val="none"/>
          <w:u w:val="single"/>
          <w:vertAlign w:val="baseline"/>
          <w:lang w:val="en-US" w:eastAsia="zh-CN" w:bidi="ar"/>
          <w14:textFill>
            <w14:solidFill>
              <w14:schemeClr w14:val="tx1"/>
            </w14:solidFill>
          </w14:textFill>
        </w:rPr>
        <w:t>此</w:t>
      </w:r>
      <w:r>
        <w:rPr>
          <w:rFonts w:hint="eastAsia" w:ascii="宋体" w:hAnsi="宋体" w:eastAsia="宋体" w:cs="宋体"/>
          <w:b/>
          <w:bCs/>
          <w:i/>
          <w:iCs/>
          <w:caps w:val="0"/>
          <w:color w:val="000000" w:themeColor="text1"/>
          <w:spacing w:val="-9"/>
          <w:kern w:val="0"/>
          <w:sz w:val="24"/>
          <w:szCs w:val="24"/>
          <w:highlight w:val="none"/>
          <w:u w:val="single"/>
          <w:vertAlign w:val="baseline"/>
          <w:lang w:val="en-US" w:eastAsia="zh-CN" w:bidi="ar"/>
          <w14:textFill>
            <w14:solidFill>
              <w14:schemeClr w14:val="tx1"/>
            </w14:solidFill>
          </w14:textFill>
        </w:rPr>
        <w:t>表应按投标人须知的要求单独密封和标记，并按目录顺序加入投标文件中，与</w:t>
      </w:r>
      <w:r>
        <w:rPr>
          <w:rFonts w:hint="eastAsia" w:ascii="宋体" w:hAnsi="宋体" w:eastAsia="宋体" w:cs="宋体"/>
          <w:b/>
          <w:bCs/>
          <w:i/>
          <w:iCs/>
          <w:caps w:val="0"/>
          <w:color w:val="000000" w:themeColor="text1"/>
          <w:spacing w:val="-9"/>
          <w:kern w:val="0"/>
          <w:sz w:val="24"/>
          <w:szCs w:val="24"/>
          <w:highlight w:val="none"/>
          <w:vertAlign w:val="baseline"/>
          <w:lang w:val="en-US" w:eastAsia="zh-CN" w:bidi="ar"/>
          <w14:textFill>
            <w14:solidFill>
              <w14:schemeClr w14:val="tx1"/>
            </w14:solidFill>
          </w14:textFill>
        </w:rPr>
        <w:t>投</w:t>
      </w: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bCs/>
          <w:i/>
          <w:iCs/>
          <w:caps w:val="0"/>
          <w:color w:val="000000" w:themeColor="text1"/>
          <w:spacing w:val="-1"/>
          <w:kern w:val="0"/>
          <w:sz w:val="24"/>
          <w:szCs w:val="24"/>
          <w:highlight w:val="none"/>
          <w:u w:val="single"/>
          <w:vertAlign w:val="baseline"/>
          <w:lang w:val="en-US" w:eastAsia="zh-CN" w:bidi="ar"/>
          <w14:textFill>
            <w14:solidFill>
              <w14:schemeClr w14:val="tx1"/>
            </w14:solidFill>
          </w14:textFill>
        </w:rPr>
        <w:t>标文件同</w:t>
      </w:r>
      <w:r>
        <w:rPr>
          <w:rFonts w:hint="eastAsia" w:ascii="宋体" w:hAnsi="宋体" w:eastAsia="宋体" w:cs="宋体"/>
          <w:b/>
          <w:bCs/>
          <w:i/>
          <w:iCs/>
          <w:caps w:val="0"/>
          <w:color w:val="000000" w:themeColor="text1"/>
          <w:kern w:val="0"/>
          <w:sz w:val="24"/>
          <w:szCs w:val="24"/>
          <w:highlight w:val="none"/>
          <w:u w:val="single"/>
          <w:vertAlign w:val="baseline"/>
          <w:lang w:val="en-US" w:eastAsia="zh-CN" w:bidi="ar"/>
          <w14:textFill>
            <w14:solidFill>
              <w14:schemeClr w14:val="tx1"/>
            </w14:solidFill>
          </w14:textFill>
        </w:rPr>
        <w:t>时递交。</w:t>
      </w:r>
    </w:p>
    <w:p w14:paraId="143BB98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40" w:lineRule="auto"/>
        <w:ind w:left="60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bookmarkStart w:id="13" w:name="_Toc23632"/>
      <w:bookmarkStart w:id="14" w:name="_Toc4771"/>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4.</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此</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表可根据需要自行拉长加宽。  (可根据实际情况调整)</w:t>
      </w:r>
      <w:bookmarkEnd w:id="13"/>
      <w:bookmarkEnd w:id="14"/>
    </w:p>
    <w:p w14:paraId="5546F6D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9" w:beforeAutospacing="0" w:after="0" w:afterAutospacing="0" w:line="309" w:lineRule="exact"/>
        <w:ind w:left="60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position w:val="1"/>
          <w:sz w:val="24"/>
          <w:szCs w:val="24"/>
          <w:highlight w:val="none"/>
          <w:vertAlign w:val="baseline"/>
          <w:lang w:val="en-US" w:eastAsia="zh-CN" w:bidi="ar"/>
          <w14:textFill>
            <w14:solidFill>
              <w14:schemeClr w14:val="tx1"/>
            </w14:solidFill>
          </w14:textFill>
        </w:rPr>
        <w:t>5.投</w:t>
      </w:r>
      <w:r>
        <w:rPr>
          <w:rFonts w:hint="eastAsia" w:ascii="宋体" w:hAnsi="宋体" w:eastAsia="宋体" w:cs="宋体"/>
          <w:b w:val="0"/>
          <w:bCs w:val="0"/>
          <w:caps w:val="0"/>
          <w:color w:val="000000" w:themeColor="text1"/>
          <w:spacing w:val="13"/>
          <w:kern w:val="0"/>
          <w:position w:val="1"/>
          <w:sz w:val="24"/>
          <w:szCs w:val="24"/>
          <w:highlight w:val="none"/>
          <w:vertAlign w:val="baseline"/>
          <w:lang w:val="en-US" w:eastAsia="zh-CN" w:bidi="ar"/>
          <w14:textFill>
            <w14:solidFill>
              <w14:schemeClr w14:val="tx1"/>
            </w14:solidFill>
          </w14:textFill>
        </w:rPr>
        <w:t>标</w:t>
      </w:r>
      <w:r>
        <w:rPr>
          <w:rFonts w:hint="eastAsia" w:ascii="宋体" w:hAnsi="宋体" w:eastAsia="宋体" w:cs="宋体"/>
          <w:b w:val="0"/>
          <w:bCs w:val="0"/>
          <w:caps w:val="0"/>
          <w:color w:val="000000" w:themeColor="text1"/>
          <w:spacing w:val="7"/>
          <w:kern w:val="0"/>
          <w:position w:val="1"/>
          <w:sz w:val="24"/>
          <w:szCs w:val="24"/>
          <w:highlight w:val="none"/>
          <w:vertAlign w:val="baseline"/>
          <w:lang w:val="en-US" w:eastAsia="zh-CN" w:bidi="ar"/>
          <w14:textFill>
            <w14:solidFill>
              <w14:schemeClr w14:val="tx1"/>
            </w14:solidFill>
          </w14:textFill>
        </w:rPr>
        <w:t>人报价应为优惠条件折算后的最终价格。评标过程中不再接受价优惠条件的价</w:t>
      </w:r>
      <w:bookmarkStart w:id="15" w:name="_Toc2329"/>
      <w:bookmarkStart w:id="16" w:name="_Toc5583"/>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格折算。</w:t>
      </w:r>
      <w:bookmarkEnd w:id="15"/>
      <w:bookmarkEnd w:id="16"/>
    </w:p>
    <w:p w14:paraId="58C7BBF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4" w:beforeAutospacing="0" w:after="0" w:afterAutospacing="0" w:line="310" w:lineRule="exact"/>
        <w:ind w:left="603" w:right="0" w:firstLine="0"/>
        <w:jc w:val="left"/>
        <w:textAlignment w:val="baseline"/>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22"/>
          <w:kern w:val="0"/>
          <w:position w:val="1"/>
          <w:sz w:val="24"/>
          <w:szCs w:val="24"/>
          <w:highlight w:val="none"/>
          <w:vertAlign w:val="baseline"/>
          <w:lang w:val="en-US" w:eastAsia="zh-CN" w:bidi="ar"/>
          <w14:textFill>
            <w14:solidFill>
              <w14:schemeClr w14:val="tx1"/>
            </w14:solidFill>
          </w14:textFill>
        </w:rPr>
        <w:t>6</w:t>
      </w:r>
      <w:r>
        <w:rPr>
          <w:rFonts w:hint="eastAsia" w:ascii="宋体" w:hAnsi="宋体" w:eastAsia="宋体" w:cs="宋体"/>
          <w:b w:val="0"/>
          <w:bCs w:val="0"/>
          <w:caps w:val="0"/>
          <w:color w:val="000000" w:themeColor="text1"/>
          <w:spacing w:val="14"/>
          <w:kern w:val="0"/>
          <w:position w:val="1"/>
          <w:sz w:val="24"/>
          <w:szCs w:val="24"/>
          <w:highlight w:val="none"/>
          <w:vertAlign w:val="baseline"/>
          <w:lang w:val="en-US" w:eastAsia="zh-CN" w:bidi="ar"/>
          <w14:textFill>
            <w14:solidFill>
              <w14:schemeClr w14:val="tx1"/>
            </w14:solidFill>
          </w14:textFill>
        </w:rPr>
        <w:t>.只允许有一个报价，任何有选择性的报价或者有附加条件的报价采购人将不予接</w:t>
      </w:r>
      <w:r>
        <w:rPr>
          <w:rFonts w:hint="eastAsia" w:ascii="宋体" w:hAnsi="宋体" w:eastAsia="宋体" w:cs="宋体"/>
          <w:b w:val="0"/>
          <w:bCs w:val="0"/>
          <w:caps w:val="0"/>
          <w:color w:val="000000" w:themeColor="text1"/>
          <w:spacing w:val="-3"/>
          <w:kern w:val="0"/>
          <w:sz w:val="24"/>
          <w:szCs w:val="24"/>
          <w:highlight w:val="none"/>
          <w:vertAlign w:val="baseline"/>
          <w:lang w:val="en-US" w:eastAsia="zh-CN" w:bidi="ar"/>
          <w14:textFill>
            <w14:solidFill>
              <w14:schemeClr w14:val="tx1"/>
            </w14:solidFill>
          </w14:textFill>
        </w:rPr>
        <w:t>受</w:t>
      </w: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w:t>
      </w:r>
    </w:p>
    <w:p w14:paraId="44A7FA0C">
      <w:pPr>
        <w:rPr>
          <w:rFonts w:hint="eastAsia" w:ascii="宋体" w:hAnsi="宋体" w:eastAsia="宋体" w:cs="宋体"/>
          <w:color w:val="000000" w:themeColor="text1"/>
          <w:sz w:val="24"/>
          <w:szCs w:val="24"/>
          <w:highlight w:val="none"/>
          <w14:textFill>
            <w14:solidFill>
              <w14:schemeClr w14:val="tx1"/>
            </w14:solidFill>
          </w14:textFill>
        </w:rPr>
        <w:sectPr>
          <w:headerReference r:id="rId3" w:type="default"/>
          <w:footerReference r:id="rId4" w:type="default"/>
          <w:pgSz w:w="11906" w:h="16839"/>
          <w:pgMar w:top="1440" w:right="1800" w:bottom="1440" w:left="1800" w:header="1" w:footer="660" w:gutter="1"/>
          <w:pgBorders w:offsetFrom="page">
            <w:top w:val="none" w:sz="0" w:space="0"/>
            <w:left w:val="none" w:sz="0" w:space="0"/>
            <w:bottom w:val="none" w:sz="0" w:space="0"/>
            <w:right w:val="none" w:sz="0" w:space="0"/>
          </w:pgBorders>
          <w:pgNumType w:fmt="decimal"/>
          <w:cols w:space="425" w:num="1"/>
          <w:docGrid w:type="lines" w:linePitch="312" w:charSpace="0"/>
        </w:sectPr>
      </w:pPr>
    </w:p>
    <w:p w14:paraId="0CFB8801">
      <w:pPr>
        <w:spacing w:line="360" w:lineRule="auto"/>
        <w:jc w:val="center"/>
        <w:outlineLvl w:val="0"/>
        <w:rPr>
          <w:rFonts w:hint="eastAsia" w:ascii="宋体" w:hAnsi="宋体" w:eastAsia="宋体" w:cs="宋体"/>
          <w:color w:val="auto"/>
          <w:sz w:val="21"/>
          <w:szCs w:val="21"/>
          <w:highlight w:val="none"/>
          <w:u w:val="single"/>
          <w:lang w:val="zh-CN"/>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五、投标</w:t>
      </w:r>
      <w:r>
        <w:rPr>
          <w:rFonts w:hint="eastAsia" w:ascii="宋体" w:hAnsi="宋体" w:eastAsia="宋体" w:cs="宋体"/>
          <w:b/>
          <w:color w:val="auto"/>
          <w:sz w:val="32"/>
          <w:szCs w:val="32"/>
          <w:highlight w:val="none"/>
          <w:lang w:eastAsia="zh-CN"/>
        </w:rPr>
        <w:t>保证金（如有）</w:t>
      </w:r>
      <w:r>
        <w:rPr>
          <w:rFonts w:hint="eastAsia" w:ascii="宋体" w:hAnsi="宋体" w:eastAsia="宋体" w:cs="宋体"/>
          <w:b/>
          <w:color w:val="auto"/>
          <w:sz w:val="32"/>
          <w:szCs w:val="32"/>
          <w:highlight w:val="none"/>
          <w:lang w:val="en-US" w:eastAsia="zh-CN"/>
        </w:rPr>
        <w:t xml:space="preserve"> </w:t>
      </w:r>
    </w:p>
    <w:p w14:paraId="731591CB">
      <w:pPr>
        <w:spacing w:line="360" w:lineRule="auto"/>
        <w:rPr>
          <w:rFonts w:hint="eastAsia" w:ascii="宋体" w:hAnsi="宋体" w:eastAsia="宋体" w:cs="宋体"/>
          <w:color w:val="auto"/>
          <w:sz w:val="21"/>
          <w:szCs w:val="21"/>
          <w:highlight w:val="none"/>
        </w:rPr>
      </w:pPr>
      <w:bookmarkStart w:id="17" w:name="_Toc476591082"/>
      <w:r>
        <w:rPr>
          <w:rFonts w:hint="eastAsia" w:ascii="宋体" w:hAnsi="宋体" w:eastAsia="宋体" w:cs="宋体"/>
          <w:color w:val="auto"/>
          <w:sz w:val="21"/>
          <w:szCs w:val="21"/>
          <w:highlight w:val="none"/>
        </w:rPr>
        <w:t xml:space="preserve">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bookmarkEnd w:id="17"/>
    </w:p>
    <w:p w14:paraId="2792E700">
      <w:pPr>
        <w:spacing w:line="360" w:lineRule="auto"/>
        <w:rPr>
          <w:rFonts w:hint="eastAsia" w:ascii="宋体" w:hAnsi="宋体" w:eastAsia="宋体" w:cs="宋体"/>
          <w:color w:val="auto"/>
          <w:sz w:val="21"/>
          <w:szCs w:val="21"/>
          <w:highlight w:val="none"/>
        </w:rPr>
      </w:pPr>
    </w:p>
    <w:p w14:paraId="00C7A2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bookmarkStart w:id="18" w:name="_Toc476591083"/>
      <w:r>
        <w:rPr>
          <w:rFonts w:hint="eastAsia" w:ascii="宋体" w:hAnsi="宋体" w:eastAsia="宋体" w:cs="宋体"/>
          <w:color w:val="auto"/>
          <w:sz w:val="21"/>
          <w:szCs w:val="21"/>
          <w:highlight w:val="none"/>
        </w:rPr>
        <w:t>[供应商名称]（以下称“供应商”）于  年  月  日递交了</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(项目名称)的响应文件。并附有人民币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元做为</w:t>
      </w:r>
      <w:r>
        <w:rPr>
          <w:rFonts w:hint="eastAsia" w:ascii="宋体" w:hAnsi="宋体" w:eastAsia="宋体" w:cs="宋体"/>
          <w:color w:val="auto"/>
          <w:sz w:val="21"/>
          <w:szCs w:val="21"/>
          <w:highlight w:val="none"/>
          <w:lang w:eastAsia="zh-CN"/>
        </w:rPr>
        <w:t>保证金</w:t>
      </w:r>
      <w:r>
        <w:rPr>
          <w:rFonts w:hint="eastAsia" w:ascii="宋体" w:hAnsi="宋体" w:eastAsia="宋体" w:cs="宋体"/>
          <w:color w:val="auto"/>
          <w:sz w:val="21"/>
          <w:szCs w:val="21"/>
          <w:highlight w:val="none"/>
        </w:rPr>
        <w:t>。</w:t>
      </w:r>
      <w:bookmarkEnd w:id="18"/>
    </w:p>
    <w:p w14:paraId="21D52C39">
      <w:pPr>
        <w:spacing w:line="360" w:lineRule="auto"/>
        <w:rPr>
          <w:rFonts w:hint="eastAsia" w:ascii="宋体" w:hAnsi="宋体" w:eastAsia="宋体" w:cs="宋体"/>
          <w:color w:val="auto"/>
          <w:sz w:val="21"/>
          <w:szCs w:val="21"/>
          <w:highlight w:val="none"/>
        </w:rPr>
      </w:pPr>
      <w:bookmarkStart w:id="19" w:name="_Toc476591084"/>
      <w:r>
        <w:rPr>
          <w:rFonts w:hint="eastAsia" w:ascii="宋体" w:hAnsi="宋体" w:eastAsia="宋体" w:cs="宋体"/>
          <w:color w:val="auto"/>
          <w:sz w:val="21"/>
          <w:szCs w:val="21"/>
          <w:highlight w:val="none"/>
        </w:rPr>
        <w:t>我方同意</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文件中有关</w:t>
      </w:r>
      <w:r>
        <w:rPr>
          <w:rFonts w:hint="eastAsia" w:ascii="宋体" w:hAnsi="宋体" w:eastAsia="宋体" w:cs="宋体"/>
          <w:color w:val="auto"/>
          <w:sz w:val="21"/>
          <w:szCs w:val="21"/>
          <w:highlight w:val="none"/>
          <w:lang w:eastAsia="zh-CN"/>
        </w:rPr>
        <w:t>投标保证金</w:t>
      </w:r>
      <w:r>
        <w:rPr>
          <w:rFonts w:hint="eastAsia" w:ascii="宋体" w:hAnsi="宋体" w:eastAsia="宋体" w:cs="宋体"/>
          <w:color w:val="auto"/>
          <w:sz w:val="21"/>
          <w:szCs w:val="21"/>
          <w:highlight w:val="none"/>
        </w:rPr>
        <w:t>的规定，并对我方有约束力。</w:t>
      </w:r>
      <w:bookmarkEnd w:id="19"/>
    </w:p>
    <w:p w14:paraId="4B497A5D">
      <w:pPr>
        <w:spacing w:line="360" w:lineRule="auto"/>
        <w:rPr>
          <w:rFonts w:hint="eastAsia" w:ascii="宋体" w:hAnsi="宋体" w:eastAsia="宋体" w:cs="宋体"/>
          <w:color w:val="auto"/>
          <w:sz w:val="21"/>
          <w:szCs w:val="21"/>
          <w:highlight w:val="none"/>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6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9072" w:type="dxa"/>
            <w:noWrap w:val="0"/>
            <w:vAlign w:val="top"/>
          </w:tcPr>
          <w:p w14:paraId="5A3AF272">
            <w:pPr>
              <w:spacing w:line="360" w:lineRule="auto"/>
              <w:rPr>
                <w:rFonts w:hint="eastAsia" w:ascii="宋体" w:hAnsi="宋体" w:eastAsia="宋体" w:cs="宋体"/>
                <w:color w:val="auto"/>
                <w:sz w:val="21"/>
                <w:szCs w:val="21"/>
                <w:highlight w:val="none"/>
              </w:rPr>
            </w:pPr>
          </w:p>
          <w:p w14:paraId="0BBA72C6">
            <w:pPr>
              <w:spacing w:line="360" w:lineRule="auto"/>
              <w:rPr>
                <w:rFonts w:hint="eastAsia" w:ascii="宋体" w:hAnsi="宋体" w:eastAsia="宋体" w:cs="宋体"/>
                <w:color w:val="auto"/>
                <w:sz w:val="21"/>
                <w:szCs w:val="21"/>
                <w:highlight w:val="none"/>
              </w:rPr>
            </w:pPr>
          </w:p>
          <w:p w14:paraId="3ADB50C6">
            <w:pPr>
              <w:spacing w:line="360" w:lineRule="auto"/>
              <w:rPr>
                <w:rFonts w:hint="eastAsia" w:ascii="宋体" w:hAnsi="宋体" w:eastAsia="宋体" w:cs="宋体"/>
                <w:color w:val="auto"/>
                <w:sz w:val="21"/>
                <w:szCs w:val="21"/>
                <w:highlight w:val="none"/>
              </w:rPr>
            </w:pPr>
          </w:p>
          <w:p w14:paraId="315FB847">
            <w:pPr>
              <w:spacing w:line="360" w:lineRule="auto"/>
              <w:rPr>
                <w:rFonts w:hint="eastAsia" w:ascii="宋体" w:hAnsi="宋体" w:eastAsia="宋体" w:cs="宋体"/>
                <w:color w:val="auto"/>
                <w:sz w:val="21"/>
                <w:szCs w:val="21"/>
                <w:highlight w:val="none"/>
              </w:rPr>
            </w:pPr>
          </w:p>
          <w:p w14:paraId="20956741">
            <w:pPr>
              <w:spacing w:line="360" w:lineRule="auto"/>
              <w:ind w:left="360"/>
              <w:jc w:val="center"/>
              <w:rPr>
                <w:rFonts w:hint="eastAsia" w:ascii="宋体" w:hAnsi="宋体" w:eastAsia="宋体" w:cs="宋体"/>
                <w:color w:val="auto"/>
                <w:sz w:val="21"/>
                <w:szCs w:val="21"/>
                <w:highlight w:val="none"/>
              </w:rPr>
            </w:pPr>
            <w:bookmarkStart w:id="20" w:name="_Toc476591085"/>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投标保证金</w:t>
            </w:r>
            <w:r>
              <w:rPr>
                <w:rFonts w:hint="eastAsia" w:ascii="宋体" w:hAnsi="宋体" w:eastAsia="宋体" w:cs="宋体"/>
                <w:color w:val="auto"/>
                <w:sz w:val="21"/>
                <w:szCs w:val="21"/>
                <w:highlight w:val="none"/>
              </w:rPr>
              <w:t>递交证明和开户许可证或银行开户证明复印件。</w:t>
            </w:r>
            <w:bookmarkEnd w:id="20"/>
          </w:p>
          <w:p w14:paraId="24764F21">
            <w:pPr>
              <w:spacing w:line="360" w:lineRule="auto"/>
              <w:rPr>
                <w:rFonts w:hint="eastAsia" w:ascii="宋体" w:hAnsi="宋体" w:eastAsia="宋体" w:cs="宋体"/>
                <w:color w:val="auto"/>
                <w:sz w:val="21"/>
                <w:szCs w:val="21"/>
                <w:highlight w:val="none"/>
              </w:rPr>
            </w:pPr>
          </w:p>
          <w:p w14:paraId="7EE651FD">
            <w:pPr>
              <w:spacing w:line="360" w:lineRule="auto"/>
              <w:rPr>
                <w:rFonts w:hint="eastAsia" w:ascii="宋体" w:hAnsi="宋体" w:eastAsia="宋体" w:cs="宋体"/>
                <w:color w:val="auto"/>
                <w:sz w:val="21"/>
                <w:szCs w:val="21"/>
                <w:highlight w:val="none"/>
              </w:rPr>
            </w:pPr>
          </w:p>
          <w:p w14:paraId="7E6664A0">
            <w:pPr>
              <w:spacing w:line="360" w:lineRule="auto"/>
              <w:rPr>
                <w:rFonts w:hint="eastAsia" w:ascii="宋体" w:hAnsi="宋体" w:eastAsia="宋体" w:cs="宋体"/>
                <w:color w:val="auto"/>
                <w:sz w:val="21"/>
                <w:szCs w:val="21"/>
                <w:highlight w:val="none"/>
              </w:rPr>
            </w:pPr>
          </w:p>
          <w:p w14:paraId="1B9A5A85">
            <w:pPr>
              <w:spacing w:line="360" w:lineRule="auto"/>
              <w:rPr>
                <w:rFonts w:hint="eastAsia" w:ascii="宋体" w:hAnsi="宋体" w:eastAsia="宋体" w:cs="宋体"/>
                <w:color w:val="auto"/>
                <w:sz w:val="21"/>
                <w:szCs w:val="21"/>
                <w:highlight w:val="none"/>
              </w:rPr>
            </w:pPr>
          </w:p>
          <w:p w14:paraId="261B27E5">
            <w:pPr>
              <w:spacing w:line="360" w:lineRule="auto"/>
              <w:rPr>
                <w:rFonts w:hint="eastAsia" w:ascii="宋体" w:hAnsi="宋体" w:eastAsia="宋体" w:cs="宋体"/>
                <w:color w:val="auto"/>
                <w:sz w:val="21"/>
                <w:szCs w:val="21"/>
                <w:highlight w:val="none"/>
              </w:rPr>
            </w:pPr>
          </w:p>
        </w:tc>
      </w:tr>
    </w:tbl>
    <w:p w14:paraId="0DE908C6">
      <w:pPr>
        <w:spacing w:line="360" w:lineRule="auto"/>
        <w:rPr>
          <w:rFonts w:hint="eastAsia" w:ascii="宋体" w:hAnsi="宋体" w:eastAsia="宋体" w:cs="宋体"/>
          <w:color w:val="auto"/>
          <w:sz w:val="21"/>
          <w:szCs w:val="21"/>
          <w:highlight w:val="none"/>
        </w:rPr>
      </w:pPr>
    </w:p>
    <w:p w14:paraId="4D02A3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E99168A">
      <w:pPr>
        <w:spacing w:line="360" w:lineRule="auto"/>
        <w:ind w:firstLine="420" w:firstLineChars="200"/>
        <w:rPr>
          <w:rFonts w:hint="eastAsia" w:ascii="宋体" w:hAnsi="宋体" w:eastAsia="宋体" w:cs="宋体"/>
          <w:color w:val="auto"/>
          <w:sz w:val="21"/>
          <w:szCs w:val="21"/>
          <w:highlight w:val="none"/>
        </w:rPr>
      </w:pPr>
    </w:p>
    <w:p w14:paraId="27355214">
      <w:pPr>
        <w:spacing w:line="360" w:lineRule="auto"/>
        <w:ind w:firstLine="420" w:firstLineChars="200"/>
        <w:rPr>
          <w:rFonts w:hint="eastAsia" w:ascii="宋体" w:hAnsi="宋体" w:eastAsia="宋体" w:cs="宋体"/>
          <w:color w:val="auto"/>
          <w:sz w:val="21"/>
          <w:szCs w:val="21"/>
          <w:highlight w:val="none"/>
        </w:rPr>
      </w:pPr>
    </w:p>
    <w:p w14:paraId="120FC0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                                         （公章）</w:t>
      </w:r>
    </w:p>
    <w:p w14:paraId="5184534C">
      <w:pPr>
        <w:spacing w:line="360" w:lineRule="auto"/>
        <w:ind w:firstLine="420" w:firstLineChars="200"/>
        <w:rPr>
          <w:rFonts w:hint="eastAsia" w:ascii="宋体" w:hAnsi="宋体" w:eastAsia="宋体" w:cs="宋体"/>
          <w:color w:val="auto"/>
          <w:sz w:val="21"/>
          <w:szCs w:val="21"/>
          <w:highlight w:val="none"/>
        </w:rPr>
      </w:pPr>
    </w:p>
    <w:p w14:paraId="79ECF18E">
      <w:pPr>
        <w:spacing w:line="360" w:lineRule="auto"/>
        <w:ind w:firstLine="420" w:firstLineChars="200"/>
        <w:rPr>
          <w:rFonts w:hint="eastAsia" w:ascii="宋体" w:hAnsi="宋体" w:eastAsia="宋体" w:cs="宋体"/>
          <w:color w:val="auto"/>
          <w:sz w:val="21"/>
          <w:szCs w:val="21"/>
          <w:highlight w:val="none"/>
        </w:rPr>
      </w:pPr>
    </w:p>
    <w:p w14:paraId="5B3A55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法定代表人（负责人）（或授权代表人）：                          （签字）</w:t>
      </w:r>
    </w:p>
    <w:p w14:paraId="34A8A23E">
      <w:pPr>
        <w:spacing w:line="360" w:lineRule="auto"/>
        <w:ind w:firstLine="420" w:firstLineChars="200"/>
        <w:rPr>
          <w:rFonts w:hint="eastAsia" w:ascii="宋体" w:hAnsi="宋体" w:eastAsia="宋体" w:cs="宋体"/>
          <w:color w:val="auto"/>
          <w:sz w:val="21"/>
          <w:szCs w:val="21"/>
          <w:highlight w:val="none"/>
        </w:rPr>
      </w:pPr>
    </w:p>
    <w:p w14:paraId="131BDA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A59B204">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    年    月    日</w:t>
      </w:r>
    </w:p>
    <w:p w14:paraId="3C54B6CF">
      <w:pPr>
        <w:widowControl w:val="0"/>
        <w:autoSpaceDE w:val="0"/>
        <w:autoSpaceDN w:val="0"/>
        <w:adjustRightInd w:val="0"/>
        <w:snapToGrid w:val="0"/>
        <w:spacing w:after="100" w:afterAutospacing="1" w:line="360" w:lineRule="auto"/>
        <w:jc w:val="both"/>
        <w:rPr>
          <w:rFonts w:hint="eastAsia" w:ascii="宋体" w:hAnsi="宋体" w:eastAsia="宋体" w:cs="宋体"/>
          <w:b w:val="0"/>
          <w:color w:val="000000"/>
          <w:kern w:val="2"/>
          <w:sz w:val="24"/>
          <w:szCs w:val="24"/>
          <w:highlight w:val="none"/>
        </w:rPr>
      </w:pPr>
    </w:p>
    <w:p w14:paraId="10E2B80B">
      <w:pPr>
        <w:spacing w:line="360" w:lineRule="auto"/>
        <w:jc w:val="center"/>
        <w:outlineLvl w:val="2"/>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aps w:val="0"/>
          <w:color w:val="000000" w:themeColor="text1"/>
          <w:kern w:val="2"/>
          <w:sz w:val="44"/>
          <w:szCs w:val="44"/>
          <w:highlight w:val="none"/>
          <w:vertAlign w:val="baseline"/>
          <w:lang w:val="en-US" w:eastAsia="zh-CN" w:bidi="ar"/>
          <w14:textFill>
            <w14:solidFill>
              <w14:schemeClr w14:val="tx1"/>
            </w14:solidFill>
          </w14:textFill>
        </w:rPr>
        <w:br w:type="page"/>
      </w:r>
      <w:bookmarkStart w:id="21" w:name="_Toc27681"/>
      <w:bookmarkStart w:id="22" w:name="_Toc2403"/>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六、承诺函</w:t>
      </w:r>
    </w:p>
    <w:bookmarkEnd w:id="21"/>
    <w:bookmarkEnd w:id="22"/>
    <w:p w14:paraId="677DD5F2">
      <w:pPr>
        <w:adjustRightInd w:val="0"/>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资格条件承诺函</w:t>
      </w:r>
    </w:p>
    <w:p w14:paraId="2DDAB67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154A8DBA">
      <w:pPr>
        <w:adjustRightInd w:val="0"/>
        <w:snapToGrid w:val="0"/>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388AE31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致 ：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采 购 人 、 采 购 代 理 机 构 )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14:paraId="1DA4011A">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我单位(公司)参与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 采购项目名称、项目编号 )</w:t>
      </w:r>
      <w:r>
        <w:rPr>
          <w:rFonts w:hint="eastAsia" w:ascii="宋体" w:hAnsi="宋体" w:eastAsia="宋体" w:cs="宋体"/>
          <w:color w:val="000000" w:themeColor="text1"/>
          <w:sz w:val="24"/>
          <w:szCs w:val="24"/>
          <w:highlight w:val="none"/>
          <w:lang w:eastAsia="zh-CN"/>
          <w14:textFill>
            <w14:solidFill>
              <w14:schemeClr w14:val="tx1"/>
            </w14:solidFill>
          </w14:textFill>
        </w:rPr>
        <w:t>采购项目的政府采购活动，现承诺如下：</w:t>
      </w:r>
    </w:p>
    <w:p w14:paraId="2BEC6CE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 具有良好的商业信誉和健全的财务会计制度；</w:t>
      </w:r>
    </w:p>
    <w:p w14:paraId="6EBA2993">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 具有依法缴纳税收的良好记录；</w:t>
      </w:r>
    </w:p>
    <w:p w14:paraId="606EE75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3.具有依法缴纳社会保障金的良好记录。</w:t>
      </w:r>
    </w:p>
    <w:p w14:paraId="131D376E">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3B48EFC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我单位(公司)对上述承诺的真实性负责。如有虚假，将依法承担相应责任。</w:t>
      </w:r>
    </w:p>
    <w:p w14:paraId="7AF00052">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p>
    <w:p w14:paraId="4B1CE8C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p>
    <w:p w14:paraId="15E09A7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投标人名称：</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（公章）</w:t>
      </w:r>
    </w:p>
    <w:p w14:paraId="7BABFFC6">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法定代表人或授权代表</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（签字）</w:t>
      </w:r>
    </w:p>
    <w:p w14:paraId="223C8293">
      <w:pPr>
        <w:spacing w:line="480" w:lineRule="auto"/>
        <w:ind w:firstLine="420" w:firstLineChars="0"/>
        <w:jc w:val="both"/>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日期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 xml:space="preserve">                                            </w:t>
      </w:r>
    </w:p>
    <w:p w14:paraId="5E849DFA">
      <w:pPr>
        <w:spacing w:line="48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注：不适用信用承诺的情形：</w:t>
      </w:r>
    </w:p>
    <w:p w14:paraId="619D6568">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1.被列入政府采购不良行为记录名单的，被禁止参加政府采购活动且尚在处罚有效期内的；</w:t>
      </w:r>
    </w:p>
    <w:p w14:paraId="335D2C3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2.被有关部门列入失信被执行人、联合惩戒对象、严重违法失信行为记录等情形的；</w:t>
      </w:r>
    </w:p>
    <w:p w14:paraId="0F479E24">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3.其他法律法规规定的不适用于资格条件信用承诺的情。</w:t>
      </w:r>
    </w:p>
    <w:p w14:paraId="3E3A78DB">
      <w:pPr>
        <w:widowControl/>
        <w:topLinePunct/>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4.不适用于信用承诺的企业应按要求提供其他证明文件，以证明其资格符合招标文件规定。</w:t>
      </w:r>
      <w:bookmarkStart w:id="23" w:name="_Toc29052"/>
    </w:p>
    <w:p w14:paraId="0DDCD694">
      <w:pPr>
        <w:widowControl/>
        <w:topLinePunct/>
        <w:spacing w:line="360" w:lineRule="auto"/>
        <w:ind w:firstLine="480"/>
        <w:jc w:val="both"/>
        <w:rPr>
          <w:rFonts w:hint="eastAsia" w:ascii="宋体" w:hAnsi="宋体" w:eastAsia="宋体" w:cs="宋体"/>
          <w:b/>
          <w:color w:val="000000" w:themeColor="text1"/>
          <w:sz w:val="24"/>
          <w:szCs w:val="24"/>
          <w:highlight w:val="none"/>
          <w:lang w:eastAsia="zh-CN"/>
          <w14:textFill>
            <w14:solidFill>
              <w14:schemeClr w14:val="tx1"/>
            </w14:solidFill>
          </w14:textFill>
        </w:rPr>
        <w:sectPr>
          <w:footerReference r:id="rId5" w:type="default"/>
          <w:pgSz w:w="11849" w:h="16781"/>
          <w:pgMar w:top="1134" w:right="1134" w:bottom="1134" w:left="1417" w:header="850" w:footer="692" w:gutter="0"/>
          <w:pgNumType w:fmt="decimal"/>
          <w:cols w:space="720" w:num="1"/>
          <w:titlePg/>
          <w:rtlGutter w:val="0"/>
          <w:docGrid w:type="lines" w:linePitch="316" w:charSpace="0"/>
        </w:sectPr>
      </w:pPr>
    </w:p>
    <w:bookmarkEnd w:id="23"/>
    <w:p w14:paraId="0C51353C">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 xml:space="preserve">  七、技术部分内容</w:t>
      </w:r>
    </w:p>
    <w:p w14:paraId="7ADFB0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供应商应按照招标文件要求，根据“技术需求”内容作出全面响应。编制和提交的内容应包括但不限于以下各项。对必须满足的内容，必须完全满足。对响应有差异的，则说明差异的内容。</w:t>
      </w:r>
    </w:p>
    <w:p w14:paraId="4D316A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13B73C76">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八、资格审查资料</w:t>
      </w:r>
    </w:p>
    <w:p w14:paraId="22EB11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（一）供应商情况表</w:t>
      </w:r>
    </w:p>
    <w:tbl>
      <w:tblPr>
        <w:tblStyle w:val="28"/>
        <w:tblW w:w="910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988"/>
        <w:gridCol w:w="1503"/>
        <w:gridCol w:w="2018"/>
        <w:gridCol w:w="2599"/>
      </w:tblGrid>
      <w:tr w14:paraId="752C5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6DF09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法定代表人</w:t>
            </w:r>
          </w:p>
        </w:tc>
        <w:tc>
          <w:tcPr>
            <w:tcW w:w="1503" w:type="dxa"/>
            <w:tcBorders>
              <w:top w:val="single" w:color="auto" w:sz="4" w:space="0"/>
              <w:left w:val="nil"/>
              <w:bottom w:val="single" w:color="auto" w:sz="4" w:space="0"/>
              <w:right w:val="single" w:color="auto" w:sz="4" w:space="0"/>
            </w:tcBorders>
            <w:shd w:val="clear" w:color="auto" w:fill="auto"/>
            <w:vAlign w:val="center"/>
          </w:tcPr>
          <w:p w14:paraId="44F1F0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2018" w:type="dxa"/>
            <w:tcBorders>
              <w:top w:val="single" w:color="auto" w:sz="4" w:space="0"/>
              <w:left w:val="nil"/>
              <w:bottom w:val="single" w:color="auto" w:sz="4" w:space="0"/>
              <w:right w:val="single" w:color="auto" w:sz="4" w:space="0"/>
            </w:tcBorders>
            <w:shd w:val="clear" w:color="auto" w:fill="auto"/>
            <w:vAlign w:val="center"/>
          </w:tcPr>
          <w:p w14:paraId="3503C4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成立日期</w:t>
            </w:r>
          </w:p>
        </w:tc>
        <w:tc>
          <w:tcPr>
            <w:tcW w:w="2599" w:type="dxa"/>
            <w:tcBorders>
              <w:top w:val="single" w:color="auto" w:sz="4" w:space="0"/>
              <w:left w:val="nil"/>
              <w:bottom w:val="single" w:color="auto" w:sz="4" w:space="0"/>
              <w:right w:val="single" w:color="auto" w:sz="4" w:space="0"/>
            </w:tcBorders>
            <w:shd w:val="clear" w:color="auto" w:fill="auto"/>
            <w:vAlign w:val="center"/>
          </w:tcPr>
          <w:p w14:paraId="73F912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320BB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73"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396F2F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企业地址</w:t>
            </w:r>
          </w:p>
        </w:tc>
        <w:tc>
          <w:tcPr>
            <w:tcW w:w="1503" w:type="dxa"/>
            <w:tcBorders>
              <w:top w:val="single" w:color="auto" w:sz="4" w:space="0"/>
              <w:left w:val="nil"/>
              <w:bottom w:val="single" w:color="auto" w:sz="4" w:space="0"/>
              <w:right w:val="single" w:color="auto" w:sz="4" w:space="0"/>
            </w:tcBorders>
            <w:shd w:val="clear" w:color="auto" w:fill="auto"/>
            <w:vAlign w:val="center"/>
          </w:tcPr>
          <w:p w14:paraId="0C15A7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2018" w:type="dxa"/>
            <w:tcBorders>
              <w:top w:val="single" w:color="auto" w:sz="4" w:space="0"/>
              <w:left w:val="nil"/>
              <w:bottom w:val="single" w:color="auto" w:sz="4" w:space="0"/>
              <w:right w:val="single" w:color="auto" w:sz="4" w:space="0"/>
            </w:tcBorders>
            <w:shd w:val="clear" w:color="auto" w:fill="auto"/>
            <w:vAlign w:val="center"/>
          </w:tcPr>
          <w:p w14:paraId="6E8871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注册资本</w:t>
            </w:r>
          </w:p>
        </w:tc>
        <w:tc>
          <w:tcPr>
            <w:tcW w:w="2599" w:type="dxa"/>
            <w:tcBorders>
              <w:top w:val="single" w:color="auto" w:sz="4" w:space="0"/>
              <w:left w:val="nil"/>
              <w:bottom w:val="single" w:color="auto" w:sz="4" w:space="0"/>
              <w:right w:val="single" w:color="auto" w:sz="4" w:space="0"/>
            </w:tcBorders>
            <w:shd w:val="clear" w:color="auto" w:fill="auto"/>
            <w:vAlign w:val="center"/>
          </w:tcPr>
          <w:p w14:paraId="45CB50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万元</w:t>
            </w:r>
          </w:p>
        </w:tc>
      </w:tr>
      <w:tr w14:paraId="67B03C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3"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F847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经营范围</w:t>
            </w:r>
          </w:p>
        </w:tc>
        <w:tc>
          <w:tcPr>
            <w:tcW w:w="6120" w:type="dxa"/>
            <w:gridSpan w:val="3"/>
            <w:tcBorders>
              <w:top w:val="single" w:color="auto" w:sz="4" w:space="0"/>
              <w:left w:val="nil"/>
              <w:bottom w:val="single" w:color="auto" w:sz="4" w:space="0"/>
              <w:right w:val="single" w:color="auto" w:sz="4" w:space="0"/>
            </w:tcBorders>
            <w:shd w:val="clear" w:color="auto" w:fill="auto"/>
            <w:vAlign w:val="center"/>
          </w:tcPr>
          <w:p w14:paraId="3B6D19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7CCD26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D057C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职工人数</w:t>
            </w:r>
          </w:p>
        </w:tc>
        <w:tc>
          <w:tcPr>
            <w:tcW w:w="1503" w:type="dxa"/>
            <w:tcBorders>
              <w:top w:val="single" w:color="auto" w:sz="4" w:space="0"/>
              <w:left w:val="nil"/>
              <w:bottom w:val="single" w:color="auto" w:sz="4" w:space="0"/>
              <w:right w:val="single" w:color="auto" w:sz="4" w:space="0"/>
            </w:tcBorders>
            <w:shd w:val="clear" w:color="auto" w:fill="auto"/>
            <w:vAlign w:val="center"/>
          </w:tcPr>
          <w:p w14:paraId="59F0E9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2018" w:type="dxa"/>
            <w:tcBorders>
              <w:top w:val="single" w:color="auto" w:sz="4" w:space="0"/>
              <w:left w:val="nil"/>
              <w:bottom w:val="single" w:color="auto" w:sz="4" w:space="0"/>
              <w:right w:val="single" w:color="auto" w:sz="4" w:space="0"/>
            </w:tcBorders>
            <w:shd w:val="clear" w:color="auto" w:fill="auto"/>
            <w:vAlign w:val="center"/>
          </w:tcPr>
          <w:p w14:paraId="17702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其中：中高级</w:t>
            </w:r>
          </w:p>
          <w:p w14:paraId="4D1EFB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以上职称的人数</w:t>
            </w:r>
          </w:p>
        </w:tc>
        <w:tc>
          <w:tcPr>
            <w:tcW w:w="2599" w:type="dxa"/>
            <w:tcBorders>
              <w:top w:val="single" w:color="auto" w:sz="4" w:space="0"/>
              <w:left w:val="nil"/>
              <w:bottom w:val="single" w:color="auto" w:sz="4" w:space="0"/>
              <w:right w:val="single" w:color="auto" w:sz="4" w:space="0"/>
            </w:tcBorders>
            <w:shd w:val="clear" w:color="auto" w:fill="auto"/>
            <w:vAlign w:val="center"/>
          </w:tcPr>
          <w:p w14:paraId="6F9890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57C159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7"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09EA92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资产总计</w:t>
            </w:r>
          </w:p>
        </w:tc>
        <w:tc>
          <w:tcPr>
            <w:tcW w:w="1503" w:type="dxa"/>
            <w:tcBorders>
              <w:top w:val="single" w:color="auto" w:sz="4" w:space="0"/>
              <w:left w:val="nil"/>
              <w:bottom w:val="single" w:color="auto" w:sz="4" w:space="0"/>
              <w:right w:val="single" w:color="auto" w:sz="4" w:space="0"/>
            </w:tcBorders>
            <w:shd w:val="clear" w:color="auto" w:fill="auto"/>
            <w:vAlign w:val="center"/>
          </w:tcPr>
          <w:p w14:paraId="22AA9E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万元</w:t>
            </w:r>
          </w:p>
        </w:tc>
        <w:tc>
          <w:tcPr>
            <w:tcW w:w="2018" w:type="dxa"/>
            <w:tcBorders>
              <w:top w:val="single" w:color="auto" w:sz="4" w:space="0"/>
              <w:left w:val="nil"/>
              <w:bottom w:val="single" w:color="auto" w:sz="4" w:space="0"/>
              <w:right w:val="single" w:color="auto" w:sz="4" w:space="0"/>
            </w:tcBorders>
            <w:shd w:val="clear" w:color="auto" w:fill="auto"/>
            <w:vAlign w:val="center"/>
          </w:tcPr>
          <w:p w14:paraId="31DAAC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净资产</w:t>
            </w:r>
          </w:p>
        </w:tc>
        <w:tc>
          <w:tcPr>
            <w:tcW w:w="2599" w:type="dxa"/>
            <w:tcBorders>
              <w:top w:val="single" w:color="auto" w:sz="4" w:space="0"/>
              <w:left w:val="nil"/>
              <w:bottom w:val="single" w:color="auto" w:sz="4" w:space="0"/>
              <w:right w:val="single" w:color="auto" w:sz="4" w:space="0"/>
            </w:tcBorders>
            <w:shd w:val="clear" w:color="auto" w:fill="auto"/>
            <w:vAlign w:val="center"/>
          </w:tcPr>
          <w:p w14:paraId="5C23AE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万元</w:t>
            </w:r>
          </w:p>
        </w:tc>
      </w:tr>
      <w:tr w14:paraId="591845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5F0ED1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股东权益</w:t>
            </w:r>
          </w:p>
        </w:tc>
        <w:tc>
          <w:tcPr>
            <w:tcW w:w="1503" w:type="dxa"/>
            <w:tcBorders>
              <w:top w:val="single" w:color="auto" w:sz="4" w:space="0"/>
              <w:left w:val="nil"/>
              <w:bottom w:val="single" w:color="auto" w:sz="4" w:space="0"/>
              <w:right w:val="single" w:color="auto" w:sz="4" w:space="0"/>
            </w:tcBorders>
            <w:shd w:val="clear" w:color="auto" w:fill="auto"/>
            <w:vAlign w:val="center"/>
          </w:tcPr>
          <w:p w14:paraId="1FF11A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万元</w:t>
            </w:r>
          </w:p>
        </w:tc>
        <w:tc>
          <w:tcPr>
            <w:tcW w:w="2018" w:type="dxa"/>
            <w:tcBorders>
              <w:top w:val="single" w:color="auto" w:sz="4" w:space="0"/>
              <w:left w:val="nil"/>
              <w:bottom w:val="single" w:color="auto" w:sz="4" w:space="0"/>
              <w:right w:val="single" w:color="auto" w:sz="4" w:space="0"/>
            </w:tcBorders>
            <w:shd w:val="clear" w:color="auto" w:fill="auto"/>
            <w:vAlign w:val="center"/>
          </w:tcPr>
          <w:p w14:paraId="254618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收入</w:t>
            </w:r>
          </w:p>
        </w:tc>
        <w:tc>
          <w:tcPr>
            <w:tcW w:w="2599" w:type="dxa"/>
            <w:tcBorders>
              <w:top w:val="single" w:color="auto" w:sz="4" w:space="0"/>
              <w:left w:val="nil"/>
              <w:bottom w:val="single" w:color="auto" w:sz="4" w:space="0"/>
              <w:right w:val="single" w:color="auto" w:sz="4" w:space="0"/>
            </w:tcBorders>
            <w:shd w:val="clear" w:color="auto" w:fill="auto"/>
            <w:vAlign w:val="center"/>
          </w:tcPr>
          <w:p w14:paraId="0C3564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right="0" w:firstLine="1400" w:firstLineChars="50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万元</w:t>
            </w:r>
          </w:p>
        </w:tc>
      </w:tr>
      <w:tr w14:paraId="158612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7"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7FC125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实现利润</w:t>
            </w:r>
          </w:p>
        </w:tc>
        <w:tc>
          <w:tcPr>
            <w:tcW w:w="6120" w:type="dxa"/>
            <w:gridSpan w:val="3"/>
            <w:tcBorders>
              <w:top w:val="single" w:color="auto" w:sz="4" w:space="0"/>
              <w:left w:val="nil"/>
              <w:bottom w:val="single" w:color="auto" w:sz="4" w:space="0"/>
              <w:right w:val="single" w:color="auto" w:sz="4" w:space="0"/>
            </w:tcBorders>
            <w:shd w:val="clear" w:color="auto" w:fill="auto"/>
            <w:vAlign w:val="center"/>
          </w:tcPr>
          <w:p w14:paraId="22D318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20 年     万元    </w:t>
            </w:r>
          </w:p>
          <w:p w14:paraId="614722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20 年     万元     </w:t>
            </w:r>
          </w:p>
          <w:p w14:paraId="2CB345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20 年     万元</w:t>
            </w:r>
          </w:p>
        </w:tc>
      </w:tr>
      <w:tr w14:paraId="3A5FFA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318"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2C650C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营业面积</w:t>
            </w:r>
          </w:p>
        </w:tc>
        <w:tc>
          <w:tcPr>
            <w:tcW w:w="1503" w:type="dxa"/>
            <w:tcBorders>
              <w:top w:val="single" w:color="auto" w:sz="4" w:space="0"/>
              <w:left w:val="nil"/>
              <w:bottom w:val="single" w:color="auto" w:sz="4" w:space="0"/>
              <w:right w:val="single" w:color="auto" w:sz="4" w:space="0"/>
            </w:tcBorders>
            <w:shd w:val="clear" w:color="auto" w:fill="auto"/>
            <w:vAlign w:val="center"/>
          </w:tcPr>
          <w:p w14:paraId="428E58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平方米</w:t>
            </w:r>
          </w:p>
        </w:tc>
        <w:tc>
          <w:tcPr>
            <w:tcW w:w="2018" w:type="dxa"/>
            <w:tcBorders>
              <w:top w:val="single" w:color="auto" w:sz="4" w:space="0"/>
              <w:left w:val="nil"/>
              <w:bottom w:val="single" w:color="auto" w:sz="4" w:space="0"/>
              <w:right w:val="single" w:color="auto" w:sz="4" w:space="0"/>
            </w:tcBorders>
            <w:shd w:val="clear" w:color="auto" w:fill="auto"/>
            <w:vAlign w:val="center"/>
          </w:tcPr>
          <w:p w14:paraId="64BF72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其中：</w:t>
            </w:r>
          </w:p>
        </w:tc>
        <w:tc>
          <w:tcPr>
            <w:tcW w:w="2599" w:type="dxa"/>
            <w:tcBorders>
              <w:top w:val="single" w:color="auto" w:sz="4" w:space="0"/>
              <w:left w:val="nil"/>
              <w:bottom w:val="single" w:color="auto" w:sz="4" w:space="0"/>
              <w:right w:val="single" w:color="auto" w:sz="4" w:space="0"/>
            </w:tcBorders>
            <w:shd w:val="clear" w:color="auto" w:fill="auto"/>
            <w:vAlign w:val="center"/>
          </w:tcPr>
          <w:p w14:paraId="0506A8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自有面积   平方米</w:t>
            </w:r>
          </w:p>
          <w:p w14:paraId="23F74E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承租面积   平方米</w:t>
            </w:r>
          </w:p>
        </w:tc>
      </w:tr>
      <w:tr w14:paraId="41834C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20"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1BED27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单位简历及内设机构及生产设备情况</w:t>
            </w:r>
          </w:p>
        </w:tc>
        <w:tc>
          <w:tcPr>
            <w:tcW w:w="6120" w:type="dxa"/>
            <w:gridSpan w:val="3"/>
            <w:tcBorders>
              <w:top w:val="single" w:color="auto" w:sz="4" w:space="0"/>
              <w:left w:val="nil"/>
              <w:bottom w:val="single" w:color="auto" w:sz="4" w:space="0"/>
              <w:right w:val="single" w:color="auto" w:sz="4" w:space="0"/>
            </w:tcBorders>
            <w:shd w:val="clear" w:color="auto" w:fill="auto"/>
            <w:vAlign w:val="center"/>
          </w:tcPr>
          <w:p w14:paraId="6CE059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2FDC95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1" w:hRule="atLeast"/>
          <w:jc w:val="center"/>
        </w:trPr>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14:paraId="0E74D8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其他需要说明的情况</w:t>
            </w:r>
          </w:p>
        </w:tc>
        <w:tc>
          <w:tcPr>
            <w:tcW w:w="6120" w:type="dxa"/>
            <w:gridSpan w:val="3"/>
            <w:tcBorders>
              <w:top w:val="single" w:color="auto" w:sz="4" w:space="0"/>
              <w:left w:val="nil"/>
              <w:bottom w:val="single" w:color="auto" w:sz="4" w:space="0"/>
              <w:right w:val="single" w:color="auto" w:sz="4" w:space="0"/>
            </w:tcBorders>
            <w:shd w:val="clear" w:color="auto" w:fill="auto"/>
            <w:vAlign w:val="top"/>
          </w:tcPr>
          <w:p w14:paraId="3831D8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bl>
    <w:p w14:paraId="107643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注：如填写不真实，将导致废标；</w:t>
      </w:r>
    </w:p>
    <w:p w14:paraId="348142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w:t>
      </w:r>
    </w:p>
    <w:p w14:paraId="7F39B7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2D090D34">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信誉承诺书</w:t>
      </w:r>
    </w:p>
    <w:p w14:paraId="302E244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有关提交资料的承诺书</w:t>
      </w:r>
    </w:p>
    <w:p w14:paraId="1B5792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为表我司对本项目的诚意，我司承诺如我单位中标：我单位将配合采购人要求提供投标文件中提及的所有资料（如：业绩等）及资格审查文件中要求的资料（如营业执照等）等原件供采购人核实审查，我公司无企业不良行为记录，不是政府取消投标资格记录期间的企业。能够自觉遵守国家法律法规、执业准则和职业道德，近三年内没有因违法违规受过行政主管部门和行业协会的行政处罚。不是被列入失信被执行人，重大税收违法案件当事人名单、政府采购严重违法失信行为记录名单的供应商。</w:t>
      </w:r>
    </w:p>
    <w:p w14:paraId="5DFA1C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如发现提供的资料虚假资料的，采购人有权取消我司中标资格，没收投标保证金，由此对采购人造成的一切损失由我司承担。</w:t>
      </w:r>
    </w:p>
    <w:p w14:paraId="4CE5F46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pPr>
    </w:p>
    <w:p w14:paraId="2F0F9D29">
      <w:pPr>
        <w:pStyle w:val="5"/>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pPr>
    </w:p>
    <w:p w14:paraId="13A2F39B">
      <w:pPr>
        <w:rPr>
          <w:rFonts w:hint="eastAsia" w:ascii="宋体" w:hAnsi="宋体" w:eastAsia="宋体" w:cs="宋体"/>
          <w:color w:val="000000" w:themeColor="text1"/>
          <w:highlight w:val="none"/>
          <w:lang w:eastAsia="zh-CN"/>
          <w14:textFill>
            <w14:solidFill>
              <w14:schemeClr w14:val="tx1"/>
            </w14:solidFill>
          </w14:textFill>
        </w:rPr>
      </w:pPr>
    </w:p>
    <w:p w14:paraId="64A5B8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投标单位：                                     </w:t>
      </w:r>
    </w:p>
    <w:p w14:paraId="7557A1C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法人代表或授权委托人（签字或盖章）：            </w:t>
      </w:r>
    </w:p>
    <w:p w14:paraId="06C5D0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日期：      年    月    日</w:t>
      </w:r>
    </w:p>
    <w:p w14:paraId="04C146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26C5A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261D8F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C175E5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2A0FF0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8"/>
          <w:szCs w:val="28"/>
          <w:highlight w:val="none"/>
          <w:vertAlign w:val="baseline"/>
          <w:lang w:val="en-US" w:eastAsia="zh-CN" w:bidi="ar"/>
          <w14:textFill>
            <w14:solidFill>
              <w14:schemeClr w14:val="tx1"/>
            </w14:solidFill>
          </w14:textFill>
        </w:rPr>
        <w:t>有关相应技术需求承诺书</w:t>
      </w:r>
    </w:p>
    <w:p w14:paraId="17BD30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我司承诺我单位编制的投标文件必须严格响应技术需求中的技术参数、功能等要求，如经采购人或评标专家发现投标文件没有完全响应招标文件及技术需求要求的，评委可对我单位的投标文件作废标处理。</w:t>
      </w:r>
    </w:p>
    <w:p w14:paraId="51F742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54C72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00748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AEECD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9AD635D">
      <w:pPr>
        <w:pStyle w:val="5"/>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82CF1FC">
      <w:pPr>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3F9631D">
      <w:pPr>
        <w:pStyle w:val="5"/>
        <w:rPr>
          <w:rFonts w:hint="eastAsia" w:ascii="宋体" w:hAnsi="宋体" w:eastAsia="宋体" w:cs="宋体"/>
          <w:color w:val="000000" w:themeColor="text1"/>
          <w:highlight w:val="none"/>
          <w14:textFill>
            <w14:solidFill>
              <w14:schemeClr w14:val="tx1"/>
            </w14:solidFill>
          </w14:textFill>
        </w:rPr>
      </w:pPr>
    </w:p>
    <w:p w14:paraId="298EA1E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1864F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投标单位：                                       </w:t>
      </w:r>
    </w:p>
    <w:p w14:paraId="2980F9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法人代表或授权委托人（签字或盖章）：              </w:t>
      </w:r>
    </w:p>
    <w:p w14:paraId="6155AB5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                         日期：    年    月    日</w:t>
      </w:r>
    </w:p>
    <w:p w14:paraId="6FB8AB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（九）类似项目经验（汇总表）</w:t>
      </w:r>
    </w:p>
    <w:p w14:paraId="3D9DD0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附表1-1</w:t>
      </w:r>
    </w:p>
    <w:p w14:paraId="087EAB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 xml:space="preserve">投标人名称：                           </w:t>
      </w:r>
    </w:p>
    <w:tbl>
      <w:tblPr>
        <w:tblStyle w:val="2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301"/>
        <w:gridCol w:w="7645"/>
      </w:tblGrid>
      <w:tr w14:paraId="2DCF91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C88EE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序号</w:t>
            </w:r>
          </w:p>
        </w:tc>
        <w:tc>
          <w:tcPr>
            <w:tcW w:w="7645" w:type="dxa"/>
            <w:tcBorders>
              <w:top w:val="single" w:color="auto" w:sz="4" w:space="0"/>
              <w:left w:val="nil"/>
              <w:bottom w:val="single" w:color="auto" w:sz="4" w:space="0"/>
              <w:right w:val="single" w:color="auto" w:sz="4" w:space="0"/>
            </w:tcBorders>
            <w:shd w:val="clear" w:color="auto" w:fill="auto"/>
            <w:vAlign w:val="center"/>
          </w:tcPr>
          <w:p w14:paraId="56F217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项目名称</w:t>
            </w:r>
          </w:p>
        </w:tc>
      </w:tr>
      <w:tr w14:paraId="23A004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95379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534250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544BA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45AA1B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18CC46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6D2530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589FCE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35A03E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19AE83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9664F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3A957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r w14:paraId="1EEFF4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65ECEB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c>
          <w:tcPr>
            <w:tcW w:w="7645" w:type="dxa"/>
            <w:tcBorders>
              <w:top w:val="single" w:color="auto" w:sz="4" w:space="0"/>
              <w:left w:val="nil"/>
              <w:bottom w:val="single" w:color="auto" w:sz="4" w:space="0"/>
              <w:right w:val="single" w:color="auto" w:sz="4" w:space="0"/>
            </w:tcBorders>
            <w:shd w:val="clear" w:color="auto" w:fill="auto"/>
            <w:vAlign w:val="center"/>
          </w:tcPr>
          <w:p w14:paraId="4A3C78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tc>
      </w:tr>
    </w:tbl>
    <w:p w14:paraId="1EAECE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注：在本汇总表中所填列的工程项目须另外单独填写附表1-2，并按要求附相关的业绩证明资料。</w:t>
      </w:r>
    </w:p>
    <w:p w14:paraId="65550DB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附表1-2  类似项目经验</w:t>
      </w:r>
    </w:p>
    <w:p w14:paraId="03495A61">
      <w:pPr>
        <w:autoSpaceDE w:val="0"/>
        <w:autoSpaceDN w:val="0"/>
        <w:adjustRightInd w:val="0"/>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 w:val="24"/>
          <w:szCs w:val="24"/>
          <w:highlight w:val="none"/>
          <w:lang w:val="zh-CN"/>
        </w:rPr>
        <w:t>近三年（指20</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val="zh-CN"/>
        </w:rPr>
        <w:t>年1月1日起</w:t>
      </w:r>
      <w:r>
        <w:rPr>
          <w:rFonts w:hint="eastAsia" w:ascii="宋体" w:hAnsi="宋体" w:eastAsia="宋体" w:cs="宋体"/>
          <w:bCs/>
          <w:color w:val="auto"/>
          <w:sz w:val="24"/>
          <w:szCs w:val="24"/>
          <w:highlight w:val="none"/>
          <w:lang w:val="en-US" w:eastAsia="zh-CN"/>
        </w:rPr>
        <w:t>至今</w:t>
      </w:r>
      <w:r>
        <w:rPr>
          <w:rFonts w:hint="eastAsia" w:ascii="宋体" w:hAnsi="宋体" w:eastAsia="宋体" w:cs="宋体"/>
          <w:bCs/>
          <w:color w:val="auto"/>
          <w:sz w:val="24"/>
          <w:szCs w:val="24"/>
          <w:highlight w:val="none"/>
          <w:lang w:val="zh-CN"/>
        </w:rPr>
        <w:t>）</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5EB3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578AF24C">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620" w:type="dxa"/>
            <w:noWrap w:val="0"/>
            <w:vAlign w:val="center"/>
          </w:tcPr>
          <w:p w14:paraId="77EDEB47">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起止时间</w:t>
            </w:r>
          </w:p>
        </w:tc>
        <w:tc>
          <w:tcPr>
            <w:tcW w:w="2405" w:type="dxa"/>
            <w:noWrap w:val="0"/>
            <w:vAlign w:val="center"/>
          </w:tcPr>
          <w:p w14:paraId="4A5C5EE6">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项目概况</w:t>
            </w:r>
          </w:p>
        </w:tc>
        <w:tc>
          <w:tcPr>
            <w:tcW w:w="2275" w:type="dxa"/>
            <w:noWrap w:val="0"/>
            <w:vAlign w:val="center"/>
          </w:tcPr>
          <w:p w14:paraId="2CA98720">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业主单位</w:t>
            </w:r>
          </w:p>
        </w:tc>
        <w:tc>
          <w:tcPr>
            <w:tcW w:w="1260" w:type="dxa"/>
            <w:noWrap w:val="0"/>
            <w:vAlign w:val="center"/>
          </w:tcPr>
          <w:p w14:paraId="7A1BA50C">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完成情况</w:t>
            </w:r>
          </w:p>
        </w:tc>
        <w:tc>
          <w:tcPr>
            <w:tcW w:w="777" w:type="dxa"/>
            <w:noWrap w:val="0"/>
            <w:vAlign w:val="center"/>
          </w:tcPr>
          <w:p w14:paraId="3775FD8A">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w:t>
            </w:r>
          </w:p>
        </w:tc>
      </w:tr>
      <w:tr w14:paraId="51B0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AC26FAB">
            <w:pPr>
              <w:jc w:val="center"/>
              <w:rPr>
                <w:rFonts w:hint="eastAsia" w:ascii="宋体" w:hAnsi="宋体" w:eastAsia="宋体" w:cs="宋体"/>
                <w:sz w:val="24"/>
                <w:szCs w:val="24"/>
                <w:highlight w:val="none"/>
              </w:rPr>
            </w:pPr>
          </w:p>
        </w:tc>
        <w:tc>
          <w:tcPr>
            <w:tcW w:w="1620" w:type="dxa"/>
            <w:noWrap w:val="0"/>
            <w:vAlign w:val="center"/>
          </w:tcPr>
          <w:p w14:paraId="108C6C5C">
            <w:pPr>
              <w:jc w:val="center"/>
              <w:rPr>
                <w:rFonts w:hint="eastAsia" w:ascii="宋体" w:hAnsi="宋体" w:eastAsia="宋体" w:cs="宋体"/>
                <w:sz w:val="24"/>
                <w:szCs w:val="24"/>
                <w:highlight w:val="none"/>
              </w:rPr>
            </w:pPr>
          </w:p>
        </w:tc>
        <w:tc>
          <w:tcPr>
            <w:tcW w:w="2405" w:type="dxa"/>
            <w:noWrap w:val="0"/>
            <w:vAlign w:val="center"/>
          </w:tcPr>
          <w:p w14:paraId="012BB239">
            <w:pPr>
              <w:jc w:val="center"/>
              <w:rPr>
                <w:rFonts w:hint="eastAsia" w:ascii="宋体" w:hAnsi="宋体" w:eastAsia="宋体" w:cs="宋体"/>
                <w:sz w:val="24"/>
                <w:szCs w:val="24"/>
                <w:highlight w:val="none"/>
              </w:rPr>
            </w:pPr>
          </w:p>
        </w:tc>
        <w:tc>
          <w:tcPr>
            <w:tcW w:w="2275" w:type="dxa"/>
            <w:noWrap w:val="0"/>
            <w:vAlign w:val="center"/>
          </w:tcPr>
          <w:p w14:paraId="3E1A69CE">
            <w:pPr>
              <w:jc w:val="center"/>
              <w:rPr>
                <w:rFonts w:hint="eastAsia" w:ascii="宋体" w:hAnsi="宋体" w:eastAsia="宋体" w:cs="宋体"/>
                <w:sz w:val="24"/>
                <w:szCs w:val="24"/>
                <w:highlight w:val="none"/>
              </w:rPr>
            </w:pPr>
          </w:p>
        </w:tc>
        <w:tc>
          <w:tcPr>
            <w:tcW w:w="1260" w:type="dxa"/>
            <w:noWrap w:val="0"/>
            <w:vAlign w:val="center"/>
          </w:tcPr>
          <w:p w14:paraId="53F31809">
            <w:pPr>
              <w:jc w:val="center"/>
              <w:rPr>
                <w:rFonts w:hint="eastAsia" w:ascii="宋体" w:hAnsi="宋体" w:eastAsia="宋体" w:cs="宋体"/>
                <w:sz w:val="24"/>
                <w:szCs w:val="24"/>
                <w:highlight w:val="none"/>
              </w:rPr>
            </w:pPr>
          </w:p>
        </w:tc>
        <w:tc>
          <w:tcPr>
            <w:tcW w:w="777" w:type="dxa"/>
            <w:noWrap w:val="0"/>
            <w:vAlign w:val="center"/>
          </w:tcPr>
          <w:p w14:paraId="0D838554">
            <w:pPr>
              <w:jc w:val="center"/>
              <w:rPr>
                <w:rFonts w:hint="eastAsia" w:ascii="宋体" w:hAnsi="宋体" w:eastAsia="宋体" w:cs="宋体"/>
                <w:sz w:val="24"/>
                <w:szCs w:val="24"/>
                <w:highlight w:val="none"/>
              </w:rPr>
            </w:pPr>
          </w:p>
        </w:tc>
      </w:tr>
      <w:tr w14:paraId="2F88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7BD1FBB8">
            <w:pPr>
              <w:jc w:val="center"/>
              <w:rPr>
                <w:rFonts w:hint="eastAsia" w:ascii="宋体" w:hAnsi="宋体" w:eastAsia="宋体" w:cs="宋体"/>
                <w:sz w:val="24"/>
                <w:szCs w:val="24"/>
                <w:highlight w:val="none"/>
              </w:rPr>
            </w:pPr>
          </w:p>
        </w:tc>
        <w:tc>
          <w:tcPr>
            <w:tcW w:w="1620" w:type="dxa"/>
            <w:noWrap w:val="0"/>
            <w:vAlign w:val="center"/>
          </w:tcPr>
          <w:p w14:paraId="4E21812E">
            <w:pPr>
              <w:jc w:val="center"/>
              <w:rPr>
                <w:rFonts w:hint="eastAsia" w:ascii="宋体" w:hAnsi="宋体" w:eastAsia="宋体" w:cs="宋体"/>
                <w:sz w:val="24"/>
                <w:szCs w:val="24"/>
                <w:highlight w:val="none"/>
              </w:rPr>
            </w:pPr>
          </w:p>
        </w:tc>
        <w:tc>
          <w:tcPr>
            <w:tcW w:w="2405" w:type="dxa"/>
            <w:noWrap w:val="0"/>
            <w:vAlign w:val="center"/>
          </w:tcPr>
          <w:p w14:paraId="3DBCE4B9">
            <w:pPr>
              <w:jc w:val="center"/>
              <w:rPr>
                <w:rFonts w:hint="eastAsia" w:ascii="宋体" w:hAnsi="宋体" w:eastAsia="宋体" w:cs="宋体"/>
                <w:sz w:val="24"/>
                <w:szCs w:val="24"/>
                <w:highlight w:val="none"/>
              </w:rPr>
            </w:pPr>
          </w:p>
        </w:tc>
        <w:tc>
          <w:tcPr>
            <w:tcW w:w="2275" w:type="dxa"/>
            <w:noWrap w:val="0"/>
            <w:vAlign w:val="center"/>
          </w:tcPr>
          <w:p w14:paraId="2EED318D">
            <w:pPr>
              <w:jc w:val="center"/>
              <w:rPr>
                <w:rFonts w:hint="eastAsia" w:ascii="宋体" w:hAnsi="宋体" w:eastAsia="宋体" w:cs="宋体"/>
                <w:sz w:val="24"/>
                <w:szCs w:val="24"/>
                <w:highlight w:val="none"/>
              </w:rPr>
            </w:pPr>
          </w:p>
        </w:tc>
        <w:tc>
          <w:tcPr>
            <w:tcW w:w="1260" w:type="dxa"/>
            <w:noWrap w:val="0"/>
            <w:vAlign w:val="center"/>
          </w:tcPr>
          <w:p w14:paraId="3BCADAF1">
            <w:pPr>
              <w:jc w:val="center"/>
              <w:rPr>
                <w:rFonts w:hint="eastAsia" w:ascii="宋体" w:hAnsi="宋体" w:eastAsia="宋体" w:cs="宋体"/>
                <w:sz w:val="24"/>
                <w:szCs w:val="24"/>
                <w:highlight w:val="none"/>
              </w:rPr>
            </w:pPr>
          </w:p>
        </w:tc>
        <w:tc>
          <w:tcPr>
            <w:tcW w:w="777" w:type="dxa"/>
            <w:noWrap w:val="0"/>
            <w:vAlign w:val="center"/>
          </w:tcPr>
          <w:p w14:paraId="7D754F86">
            <w:pPr>
              <w:jc w:val="center"/>
              <w:rPr>
                <w:rFonts w:hint="eastAsia" w:ascii="宋体" w:hAnsi="宋体" w:eastAsia="宋体" w:cs="宋体"/>
                <w:sz w:val="24"/>
                <w:szCs w:val="24"/>
                <w:highlight w:val="none"/>
              </w:rPr>
            </w:pPr>
          </w:p>
        </w:tc>
      </w:tr>
      <w:tr w14:paraId="48AD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5102925">
            <w:pPr>
              <w:jc w:val="center"/>
              <w:rPr>
                <w:rFonts w:hint="eastAsia" w:ascii="宋体" w:hAnsi="宋体" w:eastAsia="宋体" w:cs="宋体"/>
                <w:sz w:val="24"/>
                <w:szCs w:val="24"/>
                <w:highlight w:val="none"/>
              </w:rPr>
            </w:pPr>
          </w:p>
        </w:tc>
        <w:tc>
          <w:tcPr>
            <w:tcW w:w="1620" w:type="dxa"/>
            <w:noWrap w:val="0"/>
            <w:vAlign w:val="center"/>
          </w:tcPr>
          <w:p w14:paraId="4A2C3B2F">
            <w:pPr>
              <w:jc w:val="center"/>
              <w:rPr>
                <w:rFonts w:hint="eastAsia" w:ascii="宋体" w:hAnsi="宋体" w:eastAsia="宋体" w:cs="宋体"/>
                <w:sz w:val="24"/>
                <w:szCs w:val="24"/>
                <w:highlight w:val="none"/>
              </w:rPr>
            </w:pPr>
          </w:p>
        </w:tc>
        <w:tc>
          <w:tcPr>
            <w:tcW w:w="2405" w:type="dxa"/>
            <w:noWrap w:val="0"/>
            <w:vAlign w:val="center"/>
          </w:tcPr>
          <w:p w14:paraId="10A18568">
            <w:pPr>
              <w:jc w:val="center"/>
              <w:rPr>
                <w:rFonts w:hint="eastAsia" w:ascii="宋体" w:hAnsi="宋体" w:eastAsia="宋体" w:cs="宋体"/>
                <w:sz w:val="24"/>
                <w:szCs w:val="24"/>
                <w:highlight w:val="none"/>
              </w:rPr>
            </w:pPr>
          </w:p>
        </w:tc>
        <w:tc>
          <w:tcPr>
            <w:tcW w:w="2275" w:type="dxa"/>
            <w:noWrap w:val="0"/>
            <w:vAlign w:val="center"/>
          </w:tcPr>
          <w:p w14:paraId="77E4478C">
            <w:pPr>
              <w:jc w:val="center"/>
              <w:rPr>
                <w:rFonts w:hint="eastAsia" w:ascii="宋体" w:hAnsi="宋体" w:eastAsia="宋体" w:cs="宋体"/>
                <w:sz w:val="24"/>
                <w:szCs w:val="24"/>
                <w:highlight w:val="none"/>
              </w:rPr>
            </w:pPr>
          </w:p>
        </w:tc>
        <w:tc>
          <w:tcPr>
            <w:tcW w:w="1260" w:type="dxa"/>
            <w:noWrap w:val="0"/>
            <w:vAlign w:val="center"/>
          </w:tcPr>
          <w:p w14:paraId="47890008">
            <w:pPr>
              <w:jc w:val="center"/>
              <w:rPr>
                <w:rFonts w:hint="eastAsia" w:ascii="宋体" w:hAnsi="宋体" w:eastAsia="宋体" w:cs="宋体"/>
                <w:sz w:val="24"/>
                <w:szCs w:val="24"/>
                <w:highlight w:val="none"/>
              </w:rPr>
            </w:pPr>
          </w:p>
        </w:tc>
        <w:tc>
          <w:tcPr>
            <w:tcW w:w="777" w:type="dxa"/>
            <w:noWrap w:val="0"/>
            <w:vAlign w:val="center"/>
          </w:tcPr>
          <w:p w14:paraId="3DA57BA7">
            <w:pPr>
              <w:jc w:val="center"/>
              <w:rPr>
                <w:rFonts w:hint="eastAsia" w:ascii="宋体" w:hAnsi="宋体" w:eastAsia="宋体" w:cs="宋体"/>
                <w:sz w:val="24"/>
                <w:szCs w:val="24"/>
                <w:highlight w:val="none"/>
              </w:rPr>
            </w:pPr>
          </w:p>
        </w:tc>
      </w:tr>
      <w:tr w14:paraId="7517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390DED7">
            <w:pPr>
              <w:jc w:val="center"/>
              <w:rPr>
                <w:rFonts w:hint="eastAsia" w:ascii="宋体" w:hAnsi="宋体" w:eastAsia="宋体" w:cs="宋体"/>
                <w:sz w:val="24"/>
                <w:szCs w:val="24"/>
                <w:highlight w:val="none"/>
              </w:rPr>
            </w:pPr>
          </w:p>
        </w:tc>
        <w:tc>
          <w:tcPr>
            <w:tcW w:w="1620" w:type="dxa"/>
            <w:noWrap w:val="0"/>
            <w:vAlign w:val="center"/>
          </w:tcPr>
          <w:p w14:paraId="2B1CB7EB">
            <w:pPr>
              <w:jc w:val="center"/>
              <w:rPr>
                <w:rFonts w:hint="eastAsia" w:ascii="宋体" w:hAnsi="宋体" w:eastAsia="宋体" w:cs="宋体"/>
                <w:sz w:val="24"/>
                <w:szCs w:val="24"/>
                <w:highlight w:val="none"/>
              </w:rPr>
            </w:pPr>
          </w:p>
        </w:tc>
        <w:tc>
          <w:tcPr>
            <w:tcW w:w="2405" w:type="dxa"/>
            <w:noWrap w:val="0"/>
            <w:vAlign w:val="center"/>
          </w:tcPr>
          <w:p w14:paraId="05A81C76">
            <w:pPr>
              <w:jc w:val="center"/>
              <w:rPr>
                <w:rFonts w:hint="eastAsia" w:ascii="宋体" w:hAnsi="宋体" w:eastAsia="宋体" w:cs="宋体"/>
                <w:sz w:val="24"/>
                <w:szCs w:val="24"/>
                <w:highlight w:val="none"/>
              </w:rPr>
            </w:pPr>
          </w:p>
        </w:tc>
        <w:tc>
          <w:tcPr>
            <w:tcW w:w="2275" w:type="dxa"/>
            <w:noWrap w:val="0"/>
            <w:vAlign w:val="center"/>
          </w:tcPr>
          <w:p w14:paraId="7884F0F0">
            <w:pPr>
              <w:jc w:val="center"/>
              <w:rPr>
                <w:rFonts w:hint="eastAsia" w:ascii="宋体" w:hAnsi="宋体" w:eastAsia="宋体" w:cs="宋体"/>
                <w:sz w:val="24"/>
                <w:szCs w:val="24"/>
                <w:highlight w:val="none"/>
              </w:rPr>
            </w:pPr>
          </w:p>
        </w:tc>
        <w:tc>
          <w:tcPr>
            <w:tcW w:w="1260" w:type="dxa"/>
            <w:noWrap w:val="0"/>
            <w:vAlign w:val="center"/>
          </w:tcPr>
          <w:p w14:paraId="78D2BBE0">
            <w:pPr>
              <w:jc w:val="center"/>
              <w:rPr>
                <w:rFonts w:hint="eastAsia" w:ascii="宋体" w:hAnsi="宋体" w:eastAsia="宋体" w:cs="宋体"/>
                <w:sz w:val="24"/>
                <w:szCs w:val="24"/>
                <w:highlight w:val="none"/>
              </w:rPr>
            </w:pPr>
          </w:p>
        </w:tc>
        <w:tc>
          <w:tcPr>
            <w:tcW w:w="777" w:type="dxa"/>
            <w:noWrap w:val="0"/>
            <w:vAlign w:val="center"/>
          </w:tcPr>
          <w:p w14:paraId="4D46AEED">
            <w:pPr>
              <w:jc w:val="center"/>
              <w:rPr>
                <w:rFonts w:hint="eastAsia" w:ascii="宋体" w:hAnsi="宋体" w:eastAsia="宋体" w:cs="宋体"/>
                <w:sz w:val="24"/>
                <w:szCs w:val="24"/>
                <w:highlight w:val="none"/>
              </w:rPr>
            </w:pPr>
          </w:p>
        </w:tc>
      </w:tr>
      <w:tr w14:paraId="0B47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13EA3E7">
            <w:pPr>
              <w:jc w:val="center"/>
              <w:rPr>
                <w:rFonts w:hint="eastAsia" w:ascii="宋体" w:hAnsi="宋体" w:eastAsia="宋体" w:cs="宋体"/>
                <w:sz w:val="24"/>
                <w:szCs w:val="24"/>
                <w:highlight w:val="none"/>
              </w:rPr>
            </w:pPr>
          </w:p>
        </w:tc>
        <w:tc>
          <w:tcPr>
            <w:tcW w:w="1620" w:type="dxa"/>
            <w:noWrap w:val="0"/>
            <w:vAlign w:val="center"/>
          </w:tcPr>
          <w:p w14:paraId="4D2FE959">
            <w:pPr>
              <w:jc w:val="center"/>
              <w:rPr>
                <w:rFonts w:hint="eastAsia" w:ascii="宋体" w:hAnsi="宋体" w:eastAsia="宋体" w:cs="宋体"/>
                <w:sz w:val="24"/>
                <w:szCs w:val="24"/>
                <w:highlight w:val="none"/>
              </w:rPr>
            </w:pPr>
          </w:p>
        </w:tc>
        <w:tc>
          <w:tcPr>
            <w:tcW w:w="2405" w:type="dxa"/>
            <w:noWrap w:val="0"/>
            <w:vAlign w:val="center"/>
          </w:tcPr>
          <w:p w14:paraId="59F0FA57">
            <w:pPr>
              <w:jc w:val="center"/>
              <w:rPr>
                <w:rFonts w:hint="eastAsia" w:ascii="宋体" w:hAnsi="宋体" w:eastAsia="宋体" w:cs="宋体"/>
                <w:sz w:val="24"/>
                <w:szCs w:val="24"/>
                <w:highlight w:val="none"/>
              </w:rPr>
            </w:pPr>
          </w:p>
        </w:tc>
        <w:tc>
          <w:tcPr>
            <w:tcW w:w="2275" w:type="dxa"/>
            <w:noWrap w:val="0"/>
            <w:vAlign w:val="center"/>
          </w:tcPr>
          <w:p w14:paraId="7B72C982">
            <w:pPr>
              <w:jc w:val="center"/>
              <w:rPr>
                <w:rFonts w:hint="eastAsia" w:ascii="宋体" w:hAnsi="宋体" w:eastAsia="宋体" w:cs="宋体"/>
                <w:sz w:val="24"/>
                <w:szCs w:val="24"/>
                <w:highlight w:val="none"/>
              </w:rPr>
            </w:pPr>
          </w:p>
        </w:tc>
        <w:tc>
          <w:tcPr>
            <w:tcW w:w="1260" w:type="dxa"/>
            <w:noWrap w:val="0"/>
            <w:vAlign w:val="center"/>
          </w:tcPr>
          <w:p w14:paraId="1F34C70F">
            <w:pPr>
              <w:jc w:val="center"/>
              <w:rPr>
                <w:rFonts w:hint="eastAsia" w:ascii="宋体" w:hAnsi="宋体" w:eastAsia="宋体" w:cs="宋体"/>
                <w:sz w:val="24"/>
                <w:szCs w:val="24"/>
                <w:highlight w:val="none"/>
              </w:rPr>
            </w:pPr>
          </w:p>
        </w:tc>
        <w:tc>
          <w:tcPr>
            <w:tcW w:w="777" w:type="dxa"/>
            <w:noWrap w:val="0"/>
            <w:vAlign w:val="center"/>
          </w:tcPr>
          <w:p w14:paraId="008FED97">
            <w:pPr>
              <w:jc w:val="center"/>
              <w:rPr>
                <w:rFonts w:hint="eastAsia" w:ascii="宋体" w:hAnsi="宋体" w:eastAsia="宋体" w:cs="宋体"/>
                <w:sz w:val="24"/>
                <w:szCs w:val="24"/>
                <w:highlight w:val="none"/>
              </w:rPr>
            </w:pPr>
          </w:p>
        </w:tc>
      </w:tr>
      <w:tr w14:paraId="0657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1489B66">
            <w:pPr>
              <w:jc w:val="center"/>
              <w:rPr>
                <w:rFonts w:hint="eastAsia" w:ascii="宋体" w:hAnsi="宋体" w:eastAsia="宋体" w:cs="宋体"/>
                <w:sz w:val="24"/>
                <w:szCs w:val="24"/>
                <w:highlight w:val="none"/>
              </w:rPr>
            </w:pPr>
          </w:p>
        </w:tc>
        <w:tc>
          <w:tcPr>
            <w:tcW w:w="1620" w:type="dxa"/>
            <w:noWrap w:val="0"/>
            <w:vAlign w:val="center"/>
          </w:tcPr>
          <w:p w14:paraId="08847FEE">
            <w:pPr>
              <w:jc w:val="center"/>
              <w:rPr>
                <w:rFonts w:hint="eastAsia" w:ascii="宋体" w:hAnsi="宋体" w:eastAsia="宋体" w:cs="宋体"/>
                <w:sz w:val="24"/>
                <w:szCs w:val="24"/>
                <w:highlight w:val="none"/>
              </w:rPr>
            </w:pPr>
          </w:p>
        </w:tc>
        <w:tc>
          <w:tcPr>
            <w:tcW w:w="2405" w:type="dxa"/>
            <w:noWrap w:val="0"/>
            <w:vAlign w:val="center"/>
          </w:tcPr>
          <w:p w14:paraId="5C71752E">
            <w:pPr>
              <w:jc w:val="center"/>
              <w:rPr>
                <w:rFonts w:hint="eastAsia" w:ascii="宋体" w:hAnsi="宋体" w:eastAsia="宋体" w:cs="宋体"/>
                <w:sz w:val="24"/>
                <w:szCs w:val="24"/>
                <w:highlight w:val="none"/>
              </w:rPr>
            </w:pPr>
          </w:p>
        </w:tc>
        <w:tc>
          <w:tcPr>
            <w:tcW w:w="2275" w:type="dxa"/>
            <w:noWrap w:val="0"/>
            <w:vAlign w:val="center"/>
          </w:tcPr>
          <w:p w14:paraId="78020136">
            <w:pPr>
              <w:jc w:val="center"/>
              <w:rPr>
                <w:rFonts w:hint="eastAsia" w:ascii="宋体" w:hAnsi="宋体" w:eastAsia="宋体" w:cs="宋体"/>
                <w:sz w:val="24"/>
                <w:szCs w:val="24"/>
                <w:highlight w:val="none"/>
              </w:rPr>
            </w:pPr>
          </w:p>
        </w:tc>
        <w:tc>
          <w:tcPr>
            <w:tcW w:w="1260" w:type="dxa"/>
            <w:noWrap w:val="0"/>
            <w:vAlign w:val="center"/>
          </w:tcPr>
          <w:p w14:paraId="260A0776">
            <w:pPr>
              <w:jc w:val="center"/>
              <w:rPr>
                <w:rFonts w:hint="eastAsia" w:ascii="宋体" w:hAnsi="宋体" w:eastAsia="宋体" w:cs="宋体"/>
                <w:sz w:val="24"/>
                <w:szCs w:val="24"/>
                <w:highlight w:val="none"/>
              </w:rPr>
            </w:pPr>
          </w:p>
        </w:tc>
        <w:tc>
          <w:tcPr>
            <w:tcW w:w="777" w:type="dxa"/>
            <w:noWrap w:val="0"/>
            <w:vAlign w:val="center"/>
          </w:tcPr>
          <w:p w14:paraId="6E0AF1D4">
            <w:pPr>
              <w:jc w:val="center"/>
              <w:rPr>
                <w:rFonts w:hint="eastAsia" w:ascii="宋体" w:hAnsi="宋体" w:eastAsia="宋体" w:cs="宋体"/>
                <w:sz w:val="24"/>
                <w:szCs w:val="24"/>
                <w:highlight w:val="none"/>
              </w:rPr>
            </w:pPr>
          </w:p>
        </w:tc>
      </w:tr>
      <w:tr w14:paraId="3B95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BC86201">
            <w:pPr>
              <w:jc w:val="center"/>
              <w:rPr>
                <w:rFonts w:hint="eastAsia" w:ascii="宋体" w:hAnsi="宋体" w:eastAsia="宋体" w:cs="宋体"/>
                <w:sz w:val="24"/>
                <w:szCs w:val="24"/>
                <w:highlight w:val="none"/>
              </w:rPr>
            </w:pPr>
          </w:p>
        </w:tc>
        <w:tc>
          <w:tcPr>
            <w:tcW w:w="1620" w:type="dxa"/>
            <w:noWrap w:val="0"/>
            <w:vAlign w:val="center"/>
          </w:tcPr>
          <w:p w14:paraId="4B78BAB5">
            <w:pPr>
              <w:jc w:val="center"/>
              <w:rPr>
                <w:rFonts w:hint="eastAsia" w:ascii="宋体" w:hAnsi="宋体" w:eastAsia="宋体" w:cs="宋体"/>
                <w:sz w:val="24"/>
                <w:szCs w:val="24"/>
                <w:highlight w:val="none"/>
              </w:rPr>
            </w:pPr>
          </w:p>
        </w:tc>
        <w:tc>
          <w:tcPr>
            <w:tcW w:w="2405" w:type="dxa"/>
            <w:noWrap w:val="0"/>
            <w:vAlign w:val="center"/>
          </w:tcPr>
          <w:p w14:paraId="1C06805D">
            <w:pPr>
              <w:jc w:val="center"/>
              <w:rPr>
                <w:rFonts w:hint="eastAsia" w:ascii="宋体" w:hAnsi="宋体" w:eastAsia="宋体" w:cs="宋体"/>
                <w:sz w:val="24"/>
                <w:szCs w:val="24"/>
                <w:highlight w:val="none"/>
              </w:rPr>
            </w:pPr>
          </w:p>
        </w:tc>
        <w:tc>
          <w:tcPr>
            <w:tcW w:w="2275" w:type="dxa"/>
            <w:noWrap w:val="0"/>
            <w:vAlign w:val="center"/>
          </w:tcPr>
          <w:p w14:paraId="3E50BD9B">
            <w:pPr>
              <w:jc w:val="center"/>
              <w:rPr>
                <w:rFonts w:hint="eastAsia" w:ascii="宋体" w:hAnsi="宋体" w:eastAsia="宋体" w:cs="宋体"/>
                <w:sz w:val="24"/>
                <w:szCs w:val="24"/>
                <w:highlight w:val="none"/>
              </w:rPr>
            </w:pPr>
          </w:p>
        </w:tc>
        <w:tc>
          <w:tcPr>
            <w:tcW w:w="1260" w:type="dxa"/>
            <w:noWrap w:val="0"/>
            <w:vAlign w:val="center"/>
          </w:tcPr>
          <w:p w14:paraId="6C13E2A3">
            <w:pPr>
              <w:jc w:val="center"/>
              <w:rPr>
                <w:rFonts w:hint="eastAsia" w:ascii="宋体" w:hAnsi="宋体" w:eastAsia="宋体" w:cs="宋体"/>
                <w:sz w:val="24"/>
                <w:szCs w:val="24"/>
                <w:highlight w:val="none"/>
              </w:rPr>
            </w:pPr>
          </w:p>
        </w:tc>
        <w:tc>
          <w:tcPr>
            <w:tcW w:w="777" w:type="dxa"/>
            <w:noWrap w:val="0"/>
            <w:vAlign w:val="center"/>
          </w:tcPr>
          <w:p w14:paraId="07A6112D">
            <w:pPr>
              <w:jc w:val="center"/>
              <w:rPr>
                <w:rFonts w:hint="eastAsia" w:ascii="宋体" w:hAnsi="宋体" w:eastAsia="宋体" w:cs="宋体"/>
                <w:sz w:val="24"/>
                <w:szCs w:val="24"/>
                <w:highlight w:val="none"/>
              </w:rPr>
            </w:pPr>
          </w:p>
        </w:tc>
      </w:tr>
      <w:tr w14:paraId="0724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E2FE71C">
            <w:pPr>
              <w:jc w:val="center"/>
              <w:rPr>
                <w:rFonts w:hint="eastAsia" w:ascii="宋体" w:hAnsi="宋体" w:eastAsia="宋体" w:cs="宋体"/>
                <w:sz w:val="24"/>
                <w:szCs w:val="24"/>
                <w:highlight w:val="none"/>
              </w:rPr>
            </w:pPr>
          </w:p>
        </w:tc>
        <w:tc>
          <w:tcPr>
            <w:tcW w:w="1620" w:type="dxa"/>
            <w:noWrap w:val="0"/>
            <w:vAlign w:val="center"/>
          </w:tcPr>
          <w:p w14:paraId="04DD3DCA">
            <w:pPr>
              <w:jc w:val="center"/>
              <w:rPr>
                <w:rFonts w:hint="eastAsia" w:ascii="宋体" w:hAnsi="宋体" w:eastAsia="宋体" w:cs="宋体"/>
                <w:sz w:val="24"/>
                <w:szCs w:val="24"/>
                <w:highlight w:val="none"/>
              </w:rPr>
            </w:pPr>
          </w:p>
        </w:tc>
        <w:tc>
          <w:tcPr>
            <w:tcW w:w="2405" w:type="dxa"/>
            <w:noWrap w:val="0"/>
            <w:vAlign w:val="center"/>
          </w:tcPr>
          <w:p w14:paraId="49C6F243">
            <w:pPr>
              <w:jc w:val="center"/>
              <w:rPr>
                <w:rFonts w:hint="eastAsia" w:ascii="宋体" w:hAnsi="宋体" w:eastAsia="宋体" w:cs="宋体"/>
                <w:sz w:val="24"/>
                <w:szCs w:val="24"/>
                <w:highlight w:val="none"/>
              </w:rPr>
            </w:pPr>
          </w:p>
        </w:tc>
        <w:tc>
          <w:tcPr>
            <w:tcW w:w="2275" w:type="dxa"/>
            <w:noWrap w:val="0"/>
            <w:vAlign w:val="center"/>
          </w:tcPr>
          <w:p w14:paraId="14403ADE">
            <w:pPr>
              <w:jc w:val="center"/>
              <w:rPr>
                <w:rFonts w:hint="eastAsia" w:ascii="宋体" w:hAnsi="宋体" w:eastAsia="宋体" w:cs="宋体"/>
                <w:sz w:val="24"/>
                <w:szCs w:val="24"/>
                <w:highlight w:val="none"/>
              </w:rPr>
            </w:pPr>
          </w:p>
        </w:tc>
        <w:tc>
          <w:tcPr>
            <w:tcW w:w="1260" w:type="dxa"/>
            <w:noWrap w:val="0"/>
            <w:vAlign w:val="center"/>
          </w:tcPr>
          <w:p w14:paraId="0886F2B7">
            <w:pPr>
              <w:jc w:val="center"/>
              <w:rPr>
                <w:rFonts w:hint="eastAsia" w:ascii="宋体" w:hAnsi="宋体" w:eastAsia="宋体" w:cs="宋体"/>
                <w:sz w:val="24"/>
                <w:szCs w:val="24"/>
                <w:highlight w:val="none"/>
              </w:rPr>
            </w:pPr>
          </w:p>
        </w:tc>
        <w:tc>
          <w:tcPr>
            <w:tcW w:w="777" w:type="dxa"/>
            <w:noWrap w:val="0"/>
            <w:vAlign w:val="center"/>
          </w:tcPr>
          <w:p w14:paraId="3A21C686">
            <w:pPr>
              <w:jc w:val="center"/>
              <w:rPr>
                <w:rFonts w:hint="eastAsia" w:ascii="宋体" w:hAnsi="宋体" w:eastAsia="宋体" w:cs="宋体"/>
                <w:sz w:val="24"/>
                <w:szCs w:val="24"/>
                <w:highlight w:val="none"/>
              </w:rPr>
            </w:pPr>
          </w:p>
        </w:tc>
      </w:tr>
    </w:tbl>
    <w:p w14:paraId="38D14C8C">
      <w:pPr>
        <w:spacing w:line="360" w:lineRule="auto"/>
        <w:ind w:left="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应随此表附上相关的业绩证明（如合同或中标通知书相关证明的复印件）。</w:t>
      </w:r>
    </w:p>
    <w:p w14:paraId="6D116A7F">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2、如有多个已完成项目，每个项目填一张此表，附后。</w:t>
      </w:r>
    </w:p>
    <w:p w14:paraId="6064132C">
      <w:pPr>
        <w:spacing w:line="360" w:lineRule="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3、境外</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应提供相应资料的中文译本。</w:t>
      </w:r>
    </w:p>
    <w:p w14:paraId="3F33F5DB">
      <w:pPr>
        <w:spacing w:line="360" w:lineRule="auto"/>
        <w:ind w:left="721" w:hanging="721" w:hangingChars="34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p>
    <w:p w14:paraId="75CC32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                                         （公章）</w:t>
      </w:r>
    </w:p>
    <w:p w14:paraId="30E62F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zCs w:val="21"/>
          <w:highlight w:val="none"/>
        </w:rPr>
        <w:t>（负责人）</w:t>
      </w:r>
      <w:r>
        <w:rPr>
          <w:rFonts w:hint="eastAsia" w:ascii="宋体" w:hAnsi="宋体" w:eastAsia="宋体" w:cs="宋体"/>
          <w:color w:val="auto"/>
          <w:highlight w:val="none"/>
        </w:rPr>
        <w:t xml:space="preserve">（或授权代表人）：                          （签字） </w:t>
      </w:r>
    </w:p>
    <w:p w14:paraId="1784DB4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日   期：    年    月    日</w:t>
      </w:r>
    </w:p>
    <w:p w14:paraId="338BC4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16126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212CFC4A">
      <w:pPr>
        <w:spacing w:line="340" w:lineRule="exact"/>
        <w:ind w:left="100" w:right="-20"/>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附表1-3</w:t>
      </w:r>
      <w:r>
        <w:rPr>
          <w:rFonts w:hint="eastAsia" w:ascii="宋体" w:hAnsi="宋体" w:eastAsia="宋体" w:cs="宋体"/>
          <w:b w:val="0"/>
          <w:bCs/>
          <w:color w:val="auto"/>
          <w:sz w:val="28"/>
          <w:szCs w:val="28"/>
          <w:highlight w:val="none"/>
          <w:lang w:val="en-US" w:eastAsia="zh-CN"/>
        </w:rPr>
        <w:t>拟委任的主要人员汇总表</w:t>
      </w:r>
    </w:p>
    <w:p w14:paraId="177EB9B5">
      <w:pPr>
        <w:spacing w:before="8" w:line="150" w:lineRule="exact"/>
        <w:rPr>
          <w:color w:val="000000"/>
          <w:sz w:val="15"/>
          <w:szCs w:val="15"/>
          <w:highlight w:val="none"/>
        </w:rPr>
      </w:pPr>
    </w:p>
    <w:p w14:paraId="25B5062C">
      <w:pPr>
        <w:spacing w:line="200" w:lineRule="exact"/>
        <w:rPr>
          <w:color w:val="000000"/>
          <w:sz w:val="20"/>
          <w:szCs w:val="20"/>
          <w:highlight w:val="none"/>
        </w:rPr>
      </w:pPr>
    </w:p>
    <w:p w14:paraId="22C96C98">
      <w:pPr>
        <w:spacing w:line="200" w:lineRule="exact"/>
        <w:rPr>
          <w:color w:val="000000"/>
          <w:sz w:val="20"/>
          <w:szCs w:val="20"/>
          <w:highlight w:val="none"/>
        </w:rPr>
      </w:pPr>
    </w:p>
    <w:tbl>
      <w:tblPr>
        <w:tblStyle w:val="2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372"/>
        <w:gridCol w:w="2400"/>
        <w:gridCol w:w="2401"/>
        <w:gridCol w:w="1715"/>
      </w:tblGrid>
      <w:tr w14:paraId="5B6A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372" w:type="dxa"/>
            <w:noWrap w:val="0"/>
            <w:vAlign w:val="top"/>
          </w:tcPr>
          <w:p w14:paraId="4129B55C">
            <w:pPr>
              <w:pStyle w:val="42"/>
              <w:spacing w:before="154"/>
              <w:ind w:left="453" w:right="447"/>
              <w:jc w:val="center"/>
              <w:rPr>
                <w:sz w:val="21"/>
              </w:rPr>
            </w:pPr>
            <w:r>
              <w:rPr>
                <w:sz w:val="21"/>
              </w:rPr>
              <w:t>序号</w:t>
            </w:r>
          </w:p>
        </w:tc>
        <w:tc>
          <w:tcPr>
            <w:tcW w:w="1372" w:type="dxa"/>
            <w:noWrap w:val="0"/>
            <w:vAlign w:val="top"/>
          </w:tcPr>
          <w:p w14:paraId="6516CA0A">
            <w:pPr>
              <w:pStyle w:val="42"/>
              <w:spacing w:before="154"/>
              <w:ind w:left="454" w:right="446"/>
              <w:jc w:val="center"/>
              <w:rPr>
                <w:sz w:val="21"/>
              </w:rPr>
            </w:pPr>
            <w:r>
              <w:rPr>
                <w:sz w:val="21"/>
              </w:rPr>
              <w:t>姓名</w:t>
            </w:r>
          </w:p>
        </w:tc>
        <w:tc>
          <w:tcPr>
            <w:tcW w:w="2400" w:type="dxa"/>
            <w:noWrap w:val="0"/>
            <w:vAlign w:val="top"/>
          </w:tcPr>
          <w:p w14:paraId="3DB132B4">
            <w:pPr>
              <w:pStyle w:val="42"/>
              <w:spacing w:before="154"/>
              <w:ind w:left="969" w:right="961"/>
              <w:jc w:val="center"/>
              <w:rPr>
                <w:sz w:val="21"/>
              </w:rPr>
            </w:pPr>
            <w:r>
              <w:rPr>
                <w:sz w:val="21"/>
              </w:rPr>
              <w:t>职务</w:t>
            </w:r>
          </w:p>
        </w:tc>
        <w:tc>
          <w:tcPr>
            <w:tcW w:w="2401" w:type="dxa"/>
            <w:noWrap w:val="0"/>
            <w:vAlign w:val="top"/>
          </w:tcPr>
          <w:p w14:paraId="4E2533DB">
            <w:pPr>
              <w:pStyle w:val="42"/>
              <w:spacing w:before="154"/>
              <w:ind w:left="779"/>
              <w:rPr>
                <w:sz w:val="21"/>
              </w:rPr>
            </w:pPr>
            <w:r>
              <w:rPr>
                <w:sz w:val="21"/>
              </w:rPr>
              <w:t>从业时间</w:t>
            </w:r>
          </w:p>
        </w:tc>
        <w:tc>
          <w:tcPr>
            <w:tcW w:w="1715" w:type="dxa"/>
            <w:noWrap w:val="0"/>
            <w:vAlign w:val="top"/>
          </w:tcPr>
          <w:p w14:paraId="09E95B3A">
            <w:pPr>
              <w:pStyle w:val="42"/>
              <w:spacing w:before="154"/>
              <w:ind w:left="437"/>
              <w:rPr>
                <w:sz w:val="21"/>
              </w:rPr>
            </w:pPr>
            <w:r>
              <w:rPr>
                <w:sz w:val="21"/>
              </w:rPr>
              <w:t>职责分工</w:t>
            </w:r>
          </w:p>
        </w:tc>
      </w:tr>
      <w:tr w14:paraId="2D1A7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318C9FA9">
            <w:pPr>
              <w:pStyle w:val="42"/>
              <w:rPr>
                <w:rFonts w:ascii="Times New Roman"/>
                <w:sz w:val="22"/>
              </w:rPr>
            </w:pPr>
          </w:p>
        </w:tc>
        <w:tc>
          <w:tcPr>
            <w:tcW w:w="1372" w:type="dxa"/>
            <w:noWrap w:val="0"/>
            <w:vAlign w:val="top"/>
          </w:tcPr>
          <w:p w14:paraId="0A92DA70">
            <w:pPr>
              <w:pStyle w:val="42"/>
              <w:rPr>
                <w:rFonts w:ascii="Times New Roman"/>
                <w:sz w:val="22"/>
              </w:rPr>
            </w:pPr>
          </w:p>
        </w:tc>
        <w:tc>
          <w:tcPr>
            <w:tcW w:w="2400" w:type="dxa"/>
            <w:noWrap w:val="0"/>
            <w:vAlign w:val="top"/>
          </w:tcPr>
          <w:p w14:paraId="5992A08C">
            <w:pPr>
              <w:pStyle w:val="42"/>
              <w:rPr>
                <w:rFonts w:ascii="Times New Roman"/>
                <w:sz w:val="22"/>
              </w:rPr>
            </w:pPr>
          </w:p>
        </w:tc>
        <w:tc>
          <w:tcPr>
            <w:tcW w:w="2401" w:type="dxa"/>
            <w:noWrap w:val="0"/>
            <w:vAlign w:val="top"/>
          </w:tcPr>
          <w:p w14:paraId="5D7B9207">
            <w:pPr>
              <w:pStyle w:val="42"/>
              <w:rPr>
                <w:rFonts w:ascii="Times New Roman"/>
                <w:sz w:val="22"/>
              </w:rPr>
            </w:pPr>
          </w:p>
        </w:tc>
        <w:tc>
          <w:tcPr>
            <w:tcW w:w="1715" w:type="dxa"/>
            <w:noWrap w:val="0"/>
            <w:vAlign w:val="top"/>
          </w:tcPr>
          <w:p w14:paraId="14B1FE62">
            <w:pPr>
              <w:pStyle w:val="42"/>
              <w:rPr>
                <w:rFonts w:ascii="Times New Roman"/>
                <w:sz w:val="22"/>
              </w:rPr>
            </w:pPr>
          </w:p>
        </w:tc>
      </w:tr>
      <w:tr w14:paraId="1DE94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FD6BEC3">
            <w:pPr>
              <w:pStyle w:val="42"/>
              <w:rPr>
                <w:rFonts w:ascii="Times New Roman"/>
                <w:sz w:val="22"/>
              </w:rPr>
            </w:pPr>
          </w:p>
        </w:tc>
        <w:tc>
          <w:tcPr>
            <w:tcW w:w="1372" w:type="dxa"/>
            <w:noWrap w:val="0"/>
            <w:vAlign w:val="top"/>
          </w:tcPr>
          <w:p w14:paraId="1CBE326C">
            <w:pPr>
              <w:pStyle w:val="42"/>
              <w:rPr>
                <w:rFonts w:ascii="Times New Roman"/>
                <w:sz w:val="22"/>
              </w:rPr>
            </w:pPr>
          </w:p>
        </w:tc>
        <w:tc>
          <w:tcPr>
            <w:tcW w:w="2400" w:type="dxa"/>
            <w:noWrap w:val="0"/>
            <w:vAlign w:val="top"/>
          </w:tcPr>
          <w:p w14:paraId="758F76F9">
            <w:pPr>
              <w:pStyle w:val="42"/>
              <w:rPr>
                <w:rFonts w:ascii="Times New Roman"/>
                <w:sz w:val="22"/>
              </w:rPr>
            </w:pPr>
          </w:p>
        </w:tc>
        <w:tc>
          <w:tcPr>
            <w:tcW w:w="2401" w:type="dxa"/>
            <w:noWrap w:val="0"/>
            <w:vAlign w:val="top"/>
          </w:tcPr>
          <w:p w14:paraId="63322361">
            <w:pPr>
              <w:pStyle w:val="42"/>
              <w:rPr>
                <w:rFonts w:ascii="Times New Roman"/>
                <w:sz w:val="22"/>
              </w:rPr>
            </w:pPr>
          </w:p>
        </w:tc>
        <w:tc>
          <w:tcPr>
            <w:tcW w:w="1715" w:type="dxa"/>
            <w:noWrap w:val="0"/>
            <w:vAlign w:val="top"/>
          </w:tcPr>
          <w:p w14:paraId="5A5BAC8D">
            <w:pPr>
              <w:pStyle w:val="42"/>
              <w:rPr>
                <w:rFonts w:ascii="Times New Roman"/>
                <w:sz w:val="22"/>
              </w:rPr>
            </w:pPr>
          </w:p>
        </w:tc>
      </w:tr>
      <w:tr w14:paraId="00BA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484A33B">
            <w:pPr>
              <w:pStyle w:val="42"/>
              <w:rPr>
                <w:rFonts w:ascii="Times New Roman"/>
                <w:sz w:val="22"/>
              </w:rPr>
            </w:pPr>
          </w:p>
        </w:tc>
        <w:tc>
          <w:tcPr>
            <w:tcW w:w="1372" w:type="dxa"/>
            <w:noWrap w:val="0"/>
            <w:vAlign w:val="top"/>
          </w:tcPr>
          <w:p w14:paraId="00E7B72F">
            <w:pPr>
              <w:pStyle w:val="42"/>
              <w:rPr>
                <w:rFonts w:ascii="Times New Roman"/>
                <w:sz w:val="22"/>
              </w:rPr>
            </w:pPr>
          </w:p>
        </w:tc>
        <w:tc>
          <w:tcPr>
            <w:tcW w:w="2400" w:type="dxa"/>
            <w:noWrap w:val="0"/>
            <w:vAlign w:val="top"/>
          </w:tcPr>
          <w:p w14:paraId="46FD6EAB">
            <w:pPr>
              <w:pStyle w:val="42"/>
              <w:rPr>
                <w:rFonts w:ascii="Times New Roman"/>
                <w:sz w:val="22"/>
              </w:rPr>
            </w:pPr>
          </w:p>
        </w:tc>
        <w:tc>
          <w:tcPr>
            <w:tcW w:w="2401" w:type="dxa"/>
            <w:noWrap w:val="0"/>
            <w:vAlign w:val="top"/>
          </w:tcPr>
          <w:p w14:paraId="5B5E9EDE">
            <w:pPr>
              <w:pStyle w:val="42"/>
              <w:rPr>
                <w:rFonts w:ascii="Times New Roman"/>
                <w:sz w:val="22"/>
              </w:rPr>
            </w:pPr>
          </w:p>
        </w:tc>
        <w:tc>
          <w:tcPr>
            <w:tcW w:w="1715" w:type="dxa"/>
            <w:noWrap w:val="0"/>
            <w:vAlign w:val="top"/>
          </w:tcPr>
          <w:p w14:paraId="6EB80CC9">
            <w:pPr>
              <w:pStyle w:val="42"/>
              <w:rPr>
                <w:rFonts w:ascii="Times New Roman"/>
                <w:sz w:val="22"/>
              </w:rPr>
            </w:pPr>
          </w:p>
        </w:tc>
      </w:tr>
      <w:tr w14:paraId="34FB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2CEC48AC">
            <w:pPr>
              <w:pStyle w:val="42"/>
              <w:rPr>
                <w:rFonts w:ascii="Times New Roman"/>
                <w:sz w:val="22"/>
              </w:rPr>
            </w:pPr>
          </w:p>
        </w:tc>
        <w:tc>
          <w:tcPr>
            <w:tcW w:w="1372" w:type="dxa"/>
            <w:noWrap w:val="0"/>
            <w:vAlign w:val="top"/>
          </w:tcPr>
          <w:p w14:paraId="4321C912">
            <w:pPr>
              <w:pStyle w:val="42"/>
              <w:rPr>
                <w:rFonts w:ascii="Times New Roman"/>
                <w:sz w:val="22"/>
              </w:rPr>
            </w:pPr>
          </w:p>
        </w:tc>
        <w:tc>
          <w:tcPr>
            <w:tcW w:w="2400" w:type="dxa"/>
            <w:noWrap w:val="0"/>
            <w:vAlign w:val="top"/>
          </w:tcPr>
          <w:p w14:paraId="65EDDECF">
            <w:pPr>
              <w:pStyle w:val="42"/>
              <w:rPr>
                <w:rFonts w:ascii="Times New Roman"/>
                <w:sz w:val="22"/>
              </w:rPr>
            </w:pPr>
          </w:p>
        </w:tc>
        <w:tc>
          <w:tcPr>
            <w:tcW w:w="2401" w:type="dxa"/>
            <w:noWrap w:val="0"/>
            <w:vAlign w:val="top"/>
          </w:tcPr>
          <w:p w14:paraId="11C3095E">
            <w:pPr>
              <w:pStyle w:val="42"/>
              <w:rPr>
                <w:rFonts w:ascii="Times New Roman"/>
                <w:sz w:val="22"/>
              </w:rPr>
            </w:pPr>
          </w:p>
        </w:tc>
        <w:tc>
          <w:tcPr>
            <w:tcW w:w="1715" w:type="dxa"/>
            <w:noWrap w:val="0"/>
            <w:vAlign w:val="top"/>
          </w:tcPr>
          <w:p w14:paraId="08AB2596">
            <w:pPr>
              <w:pStyle w:val="42"/>
              <w:rPr>
                <w:rFonts w:ascii="Times New Roman"/>
                <w:sz w:val="22"/>
              </w:rPr>
            </w:pPr>
          </w:p>
        </w:tc>
      </w:tr>
      <w:tr w14:paraId="65B0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9343473">
            <w:pPr>
              <w:pStyle w:val="42"/>
              <w:rPr>
                <w:rFonts w:ascii="Times New Roman"/>
                <w:sz w:val="22"/>
              </w:rPr>
            </w:pPr>
          </w:p>
        </w:tc>
        <w:tc>
          <w:tcPr>
            <w:tcW w:w="1372" w:type="dxa"/>
            <w:noWrap w:val="0"/>
            <w:vAlign w:val="top"/>
          </w:tcPr>
          <w:p w14:paraId="4E130868">
            <w:pPr>
              <w:pStyle w:val="42"/>
              <w:rPr>
                <w:rFonts w:ascii="Times New Roman"/>
                <w:sz w:val="22"/>
              </w:rPr>
            </w:pPr>
          </w:p>
        </w:tc>
        <w:tc>
          <w:tcPr>
            <w:tcW w:w="2400" w:type="dxa"/>
            <w:noWrap w:val="0"/>
            <w:vAlign w:val="top"/>
          </w:tcPr>
          <w:p w14:paraId="54747094">
            <w:pPr>
              <w:pStyle w:val="42"/>
              <w:rPr>
                <w:rFonts w:ascii="Times New Roman"/>
                <w:sz w:val="22"/>
              </w:rPr>
            </w:pPr>
          </w:p>
        </w:tc>
        <w:tc>
          <w:tcPr>
            <w:tcW w:w="2401" w:type="dxa"/>
            <w:noWrap w:val="0"/>
            <w:vAlign w:val="top"/>
          </w:tcPr>
          <w:p w14:paraId="317E0913">
            <w:pPr>
              <w:pStyle w:val="42"/>
              <w:rPr>
                <w:rFonts w:ascii="Times New Roman"/>
                <w:sz w:val="22"/>
              </w:rPr>
            </w:pPr>
          </w:p>
        </w:tc>
        <w:tc>
          <w:tcPr>
            <w:tcW w:w="1715" w:type="dxa"/>
            <w:noWrap w:val="0"/>
            <w:vAlign w:val="top"/>
          </w:tcPr>
          <w:p w14:paraId="06732FC1">
            <w:pPr>
              <w:pStyle w:val="42"/>
              <w:rPr>
                <w:rFonts w:ascii="Times New Roman"/>
                <w:sz w:val="22"/>
              </w:rPr>
            </w:pPr>
          </w:p>
        </w:tc>
      </w:tr>
      <w:tr w14:paraId="2334F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6EF5DDC1">
            <w:pPr>
              <w:pStyle w:val="42"/>
              <w:rPr>
                <w:rFonts w:ascii="Times New Roman"/>
                <w:sz w:val="22"/>
              </w:rPr>
            </w:pPr>
          </w:p>
        </w:tc>
        <w:tc>
          <w:tcPr>
            <w:tcW w:w="1372" w:type="dxa"/>
            <w:noWrap w:val="0"/>
            <w:vAlign w:val="top"/>
          </w:tcPr>
          <w:p w14:paraId="67CEE579">
            <w:pPr>
              <w:pStyle w:val="42"/>
              <w:rPr>
                <w:rFonts w:ascii="Times New Roman"/>
                <w:sz w:val="22"/>
              </w:rPr>
            </w:pPr>
          </w:p>
        </w:tc>
        <w:tc>
          <w:tcPr>
            <w:tcW w:w="2400" w:type="dxa"/>
            <w:noWrap w:val="0"/>
            <w:vAlign w:val="top"/>
          </w:tcPr>
          <w:p w14:paraId="775FDBAD">
            <w:pPr>
              <w:pStyle w:val="42"/>
              <w:rPr>
                <w:rFonts w:ascii="Times New Roman"/>
                <w:sz w:val="22"/>
              </w:rPr>
            </w:pPr>
          </w:p>
        </w:tc>
        <w:tc>
          <w:tcPr>
            <w:tcW w:w="2401" w:type="dxa"/>
            <w:noWrap w:val="0"/>
            <w:vAlign w:val="top"/>
          </w:tcPr>
          <w:p w14:paraId="3EABB2D1">
            <w:pPr>
              <w:pStyle w:val="42"/>
              <w:rPr>
                <w:rFonts w:ascii="Times New Roman"/>
                <w:sz w:val="22"/>
              </w:rPr>
            </w:pPr>
          </w:p>
        </w:tc>
        <w:tc>
          <w:tcPr>
            <w:tcW w:w="1715" w:type="dxa"/>
            <w:noWrap w:val="0"/>
            <w:vAlign w:val="top"/>
          </w:tcPr>
          <w:p w14:paraId="516B2F23">
            <w:pPr>
              <w:pStyle w:val="42"/>
              <w:rPr>
                <w:rFonts w:ascii="Times New Roman"/>
                <w:sz w:val="22"/>
              </w:rPr>
            </w:pPr>
          </w:p>
        </w:tc>
      </w:tr>
      <w:tr w14:paraId="1C68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2A987771">
            <w:pPr>
              <w:pStyle w:val="42"/>
              <w:rPr>
                <w:rFonts w:ascii="Times New Roman"/>
                <w:sz w:val="22"/>
              </w:rPr>
            </w:pPr>
          </w:p>
        </w:tc>
        <w:tc>
          <w:tcPr>
            <w:tcW w:w="1372" w:type="dxa"/>
            <w:noWrap w:val="0"/>
            <w:vAlign w:val="top"/>
          </w:tcPr>
          <w:p w14:paraId="2DDA3D0F">
            <w:pPr>
              <w:pStyle w:val="42"/>
              <w:rPr>
                <w:rFonts w:ascii="Times New Roman"/>
                <w:sz w:val="22"/>
              </w:rPr>
            </w:pPr>
          </w:p>
        </w:tc>
        <w:tc>
          <w:tcPr>
            <w:tcW w:w="2400" w:type="dxa"/>
            <w:noWrap w:val="0"/>
            <w:vAlign w:val="top"/>
          </w:tcPr>
          <w:p w14:paraId="5472869B">
            <w:pPr>
              <w:pStyle w:val="42"/>
              <w:rPr>
                <w:rFonts w:ascii="Times New Roman"/>
                <w:sz w:val="22"/>
              </w:rPr>
            </w:pPr>
          </w:p>
        </w:tc>
        <w:tc>
          <w:tcPr>
            <w:tcW w:w="2401" w:type="dxa"/>
            <w:noWrap w:val="0"/>
            <w:vAlign w:val="top"/>
          </w:tcPr>
          <w:p w14:paraId="2BC2B0FB">
            <w:pPr>
              <w:pStyle w:val="42"/>
              <w:rPr>
                <w:rFonts w:ascii="Times New Roman"/>
                <w:sz w:val="22"/>
              </w:rPr>
            </w:pPr>
          </w:p>
        </w:tc>
        <w:tc>
          <w:tcPr>
            <w:tcW w:w="1715" w:type="dxa"/>
            <w:noWrap w:val="0"/>
            <w:vAlign w:val="top"/>
          </w:tcPr>
          <w:p w14:paraId="79458B09">
            <w:pPr>
              <w:pStyle w:val="42"/>
              <w:rPr>
                <w:rFonts w:ascii="Times New Roman"/>
                <w:sz w:val="22"/>
              </w:rPr>
            </w:pPr>
          </w:p>
        </w:tc>
      </w:tr>
      <w:tr w14:paraId="56A9B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6EFF4ED3">
            <w:pPr>
              <w:pStyle w:val="42"/>
              <w:rPr>
                <w:rFonts w:ascii="Times New Roman"/>
                <w:sz w:val="22"/>
              </w:rPr>
            </w:pPr>
          </w:p>
        </w:tc>
        <w:tc>
          <w:tcPr>
            <w:tcW w:w="1372" w:type="dxa"/>
            <w:noWrap w:val="0"/>
            <w:vAlign w:val="top"/>
          </w:tcPr>
          <w:p w14:paraId="74E17FFA">
            <w:pPr>
              <w:pStyle w:val="42"/>
              <w:rPr>
                <w:rFonts w:ascii="Times New Roman"/>
                <w:sz w:val="22"/>
              </w:rPr>
            </w:pPr>
          </w:p>
        </w:tc>
        <w:tc>
          <w:tcPr>
            <w:tcW w:w="2400" w:type="dxa"/>
            <w:noWrap w:val="0"/>
            <w:vAlign w:val="top"/>
          </w:tcPr>
          <w:p w14:paraId="2DFFC718">
            <w:pPr>
              <w:pStyle w:val="42"/>
              <w:rPr>
                <w:rFonts w:ascii="Times New Roman"/>
                <w:sz w:val="22"/>
              </w:rPr>
            </w:pPr>
          </w:p>
        </w:tc>
        <w:tc>
          <w:tcPr>
            <w:tcW w:w="2401" w:type="dxa"/>
            <w:noWrap w:val="0"/>
            <w:vAlign w:val="top"/>
          </w:tcPr>
          <w:p w14:paraId="6DC5E7C6">
            <w:pPr>
              <w:pStyle w:val="42"/>
              <w:rPr>
                <w:rFonts w:ascii="Times New Roman"/>
                <w:sz w:val="22"/>
              </w:rPr>
            </w:pPr>
          </w:p>
        </w:tc>
        <w:tc>
          <w:tcPr>
            <w:tcW w:w="1715" w:type="dxa"/>
            <w:noWrap w:val="0"/>
            <w:vAlign w:val="top"/>
          </w:tcPr>
          <w:p w14:paraId="64228E05">
            <w:pPr>
              <w:pStyle w:val="42"/>
              <w:rPr>
                <w:rFonts w:ascii="Times New Roman"/>
                <w:sz w:val="22"/>
              </w:rPr>
            </w:pPr>
          </w:p>
        </w:tc>
      </w:tr>
      <w:tr w14:paraId="3CB5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2274C63">
            <w:pPr>
              <w:pStyle w:val="42"/>
              <w:rPr>
                <w:rFonts w:ascii="Times New Roman"/>
                <w:sz w:val="22"/>
              </w:rPr>
            </w:pPr>
          </w:p>
        </w:tc>
        <w:tc>
          <w:tcPr>
            <w:tcW w:w="1372" w:type="dxa"/>
            <w:noWrap w:val="0"/>
            <w:vAlign w:val="top"/>
          </w:tcPr>
          <w:p w14:paraId="16DCA00D">
            <w:pPr>
              <w:pStyle w:val="42"/>
              <w:rPr>
                <w:rFonts w:ascii="Times New Roman"/>
                <w:sz w:val="22"/>
              </w:rPr>
            </w:pPr>
          </w:p>
        </w:tc>
        <w:tc>
          <w:tcPr>
            <w:tcW w:w="2400" w:type="dxa"/>
            <w:noWrap w:val="0"/>
            <w:vAlign w:val="top"/>
          </w:tcPr>
          <w:p w14:paraId="51C64CC1">
            <w:pPr>
              <w:pStyle w:val="42"/>
              <w:rPr>
                <w:rFonts w:ascii="Times New Roman"/>
                <w:sz w:val="22"/>
              </w:rPr>
            </w:pPr>
          </w:p>
        </w:tc>
        <w:tc>
          <w:tcPr>
            <w:tcW w:w="2401" w:type="dxa"/>
            <w:noWrap w:val="0"/>
            <w:vAlign w:val="top"/>
          </w:tcPr>
          <w:p w14:paraId="2DD453E2">
            <w:pPr>
              <w:pStyle w:val="42"/>
              <w:rPr>
                <w:rFonts w:ascii="Times New Roman"/>
                <w:sz w:val="22"/>
              </w:rPr>
            </w:pPr>
          </w:p>
        </w:tc>
        <w:tc>
          <w:tcPr>
            <w:tcW w:w="1715" w:type="dxa"/>
            <w:noWrap w:val="0"/>
            <w:vAlign w:val="top"/>
          </w:tcPr>
          <w:p w14:paraId="61AC475E">
            <w:pPr>
              <w:pStyle w:val="42"/>
              <w:rPr>
                <w:rFonts w:ascii="Times New Roman"/>
                <w:sz w:val="22"/>
              </w:rPr>
            </w:pPr>
          </w:p>
        </w:tc>
      </w:tr>
      <w:tr w14:paraId="5A85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72" w:type="dxa"/>
            <w:noWrap w:val="0"/>
            <w:vAlign w:val="top"/>
          </w:tcPr>
          <w:p w14:paraId="723037FA">
            <w:pPr>
              <w:pStyle w:val="42"/>
              <w:rPr>
                <w:rFonts w:ascii="Times New Roman"/>
                <w:sz w:val="22"/>
              </w:rPr>
            </w:pPr>
          </w:p>
        </w:tc>
        <w:tc>
          <w:tcPr>
            <w:tcW w:w="1372" w:type="dxa"/>
            <w:noWrap w:val="0"/>
            <w:vAlign w:val="top"/>
          </w:tcPr>
          <w:p w14:paraId="2F681886">
            <w:pPr>
              <w:pStyle w:val="42"/>
              <w:rPr>
                <w:rFonts w:ascii="Times New Roman"/>
                <w:sz w:val="22"/>
              </w:rPr>
            </w:pPr>
          </w:p>
        </w:tc>
        <w:tc>
          <w:tcPr>
            <w:tcW w:w="2400" w:type="dxa"/>
            <w:noWrap w:val="0"/>
            <w:vAlign w:val="top"/>
          </w:tcPr>
          <w:p w14:paraId="1A8CFD17">
            <w:pPr>
              <w:pStyle w:val="42"/>
              <w:rPr>
                <w:rFonts w:ascii="Times New Roman"/>
                <w:sz w:val="22"/>
              </w:rPr>
            </w:pPr>
          </w:p>
        </w:tc>
        <w:tc>
          <w:tcPr>
            <w:tcW w:w="2401" w:type="dxa"/>
            <w:noWrap w:val="0"/>
            <w:vAlign w:val="top"/>
          </w:tcPr>
          <w:p w14:paraId="12311332">
            <w:pPr>
              <w:pStyle w:val="42"/>
              <w:rPr>
                <w:rFonts w:ascii="Times New Roman"/>
                <w:sz w:val="22"/>
              </w:rPr>
            </w:pPr>
          </w:p>
        </w:tc>
        <w:tc>
          <w:tcPr>
            <w:tcW w:w="1715" w:type="dxa"/>
            <w:noWrap w:val="0"/>
            <w:vAlign w:val="top"/>
          </w:tcPr>
          <w:p w14:paraId="71612CDF">
            <w:pPr>
              <w:pStyle w:val="42"/>
              <w:rPr>
                <w:rFonts w:ascii="Times New Roman"/>
                <w:sz w:val="22"/>
              </w:rPr>
            </w:pPr>
          </w:p>
        </w:tc>
      </w:tr>
      <w:tr w14:paraId="08DC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7788CE61">
            <w:pPr>
              <w:pStyle w:val="42"/>
              <w:rPr>
                <w:rFonts w:ascii="Times New Roman"/>
                <w:sz w:val="22"/>
              </w:rPr>
            </w:pPr>
          </w:p>
        </w:tc>
        <w:tc>
          <w:tcPr>
            <w:tcW w:w="1372" w:type="dxa"/>
            <w:noWrap w:val="0"/>
            <w:vAlign w:val="top"/>
          </w:tcPr>
          <w:p w14:paraId="58945C1D">
            <w:pPr>
              <w:pStyle w:val="42"/>
              <w:rPr>
                <w:rFonts w:ascii="Times New Roman"/>
                <w:sz w:val="22"/>
              </w:rPr>
            </w:pPr>
          </w:p>
        </w:tc>
        <w:tc>
          <w:tcPr>
            <w:tcW w:w="2400" w:type="dxa"/>
            <w:noWrap w:val="0"/>
            <w:vAlign w:val="top"/>
          </w:tcPr>
          <w:p w14:paraId="03002C72">
            <w:pPr>
              <w:pStyle w:val="42"/>
              <w:rPr>
                <w:rFonts w:ascii="Times New Roman"/>
                <w:sz w:val="22"/>
              </w:rPr>
            </w:pPr>
          </w:p>
        </w:tc>
        <w:tc>
          <w:tcPr>
            <w:tcW w:w="2401" w:type="dxa"/>
            <w:noWrap w:val="0"/>
            <w:vAlign w:val="top"/>
          </w:tcPr>
          <w:p w14:paraId="0959738E">
            <w:pPr>
              <w:pStyle w:val="42"/>
              <w:rPr>
                <w:rFonts w:ascii="Times New Roman"/>
                <w:sz w:val="22"/>
              </w:rPr>
            </w:pPr>
          </w:p>
        </w:tc>
        <w:tc>
          <w:tcPr>
            <w:tcW w:w="1715" w:type="dxa"/>
            <w:noWrap w:val="0"/>
            <w:vAlign w:val="top"/>
          </w:tcPr>
          <w:p w14:paraId="1A5420FF">
            <w:pPr>
              <w:pStyle w:val="42"/>
              <w:rPr>
                <w:rFonts w:ascii="Times New Roman"/>
                <w:sz w:val="22"/>
              </w:rPr>
            </w:pPr>
          </w:p>
        </w:tc>
      </w:tr>
      <w:tr w14:paraId="16D22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0C630040">
            <w:pPr>
              <w:pStyle w:val="42"/>
              <w:rPr>
                <w:rFonts w:ascii="Times New Roman"/>
                <w:sz w:val="22"/>
              </w:rPr>
            </w:pPr>
          </w:p>
        </w:tc>
        <w:tc>
          <w:tcPr>
            <w:tcW w:w="1372" w:type="dxa"/>
            <w:noWrap w:val="0"/>
            <w:vAlign w:val="top"/>
          </w:tcPr>
          <w:p w14:paraId="1877D713">
            <w:pPr>
              <w:pStyle w:val="42"/>
              <w:rPr>
                <w:rFonts w:ascii="Times New Roman"/>
                <w:sz w:val="22"/>
              </w:rPr>
            </w:pPr>
          </w:p>
        </w:tc>
        <w:tc>
          <w:tcPr>
            <w:tcW w:w="2400" w:type="dxa"/>
            <w:noWrap w:val="0"/>
            <w:vAlign w:val="top"/>
          </w:tcPr>
          <w:p w14:paraId="6470EA52">
            <w:pPr>
              <w:pStyle w:val="42"/>
              <w:rPr>
                <w:rFonts w:ascii="Times New Roman"/>
                <w:sz w:val="22"/>
              </w:rPr>
            </w:pPr>
          </w:p>
        </w:tc>
        <w:tc>
          <w:tcPr>
            <w:tcW w:w="2401" w:type="dxa"/>
            <w:noWrap w:val="0"/>
            <w:vAlign w:val="top"/>
          </w:tcPr>
          <w:p w14:paraId="3777B3A1">
            <w:pPr>
              <w:pStyle w:val="42"/>
              <w:rPr>
                <w:rFonts w:ascii="Times New Roman"/>
                <w:sz w:val="22"/>
              </w:rPr>
            </w:pPr>
          </w:p>
        </w:tc>
        <w:tc>
          <w:tcPr>
            <w:tcW w:w="1715" w:type="dxa"/>
            <w:noWrap w:val="0"/>
            <w:vAlign w:val="top"/>
          </w:tcPr>
          <w:p w14:paraId="75F36696">
            <w:pPr>
              <w:pStyle w:val="42"/>
              <w:rPr>
                <w:rFonts w:ascii="Times New Roman"/>
                <w:sz w:val="22"/>
              </w:rPr>
            </w:pPr>
          </w:p>
        </w:tc>
      </w:tr>
      <w:tr w14:paraId="10AA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72" w:type="dxa"/>
            <w:noWrap w:val="0"/>
            <w:vAlign w:val="top"/>
          </w:tcPr>
          <w:p w14:paraId="5FCDE41D">
            <w:pPr>
              <w:pStyle w:val="42"/>
              <w:rPr>
                <w:rFonts w:ascii="Times New Roman"/>
                <w:sz w:val="22"/>
              </w:rPr>
            </w:pPr>
          </w:p>
        </w:tc>
        <w:tc>
          <w:tcPr>
            <w:tcW w:w="1372" w:type="dxa"/>
            <w:noWrap w:val="0"/>
            <w:vAlign w:val="top"/>
          </w:tcPr>
          <w:p w14:paraId="0189D4B7">
            <w:pPr>
              <w:pStyle w:val="42"/>
              <w:rPr>
                <w:rFonts w:ascii="Times New Roman"/>
                <w:sz w:val="22"/>
              </w:rPr>
            </w:pPr>
          </w:p>
        </w:tc>
        <w:tc>
          <w:tcPr>
            <w:tcW w:w="2400" w:type="dxa"/>
            <w:noWrap w:val="0"/>
            <w:vAlign w:val="top"/>
          </w:tcPr>
          <w:p w14:paraId="40B997C1">
            <w:pPr>
              <w:pStyle w:val="42"/>
              <w:rPr>
                <w:rFonts w:ascii="Times New Roman"/>
                <w:sz w:val="22"/>
              </w:rPr>
            </w:pPr>
          </w:p>
        </w:tc>
        <w:tc>
          <w:tcPr>
            <w:tcW w:w="2401" w:type="dxa"/>
            <w:noWrap w:val="0"/>
            <w:vAlign w:val="top"/>
          </w:tcPr>
          <w:p w14:paraId="1B2AB3BF">
            <w:pPr>
              <w:pStyle w:val="42"/>
              <w:rPr>
                <w:rFonts w:ascii="Times New Roman"/>
                <w:sz w:val="22"/>
              </w:rPr>
            </w:pPr>
          </w:p>
        </w:tc>
        <w:tc>
          <w:tcPr>
            <w:tcW w:w="1715" w:type="dxa"/>
            <w:noWrap w:val="0"/>
            <w:vAlign w:val="top"/>
          </w:tcPr>
          <w:p w14:paraId="57320D5B">
            <w:pPr>
              <w:pStyle w:val="42"/>
              <w:rPr>
                <w:rFonts w:ascii="Times New Roman"/>
                <w:sz w:val="22"/>
              </w:rPr>
            </w:pPr>
          </w:p>
        </w:tc>
      </w:tr>
      <w:tr w14:paraId="1425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372" w:type="dxa"/>
            <w:noWrap w:val="0"/>
            <w:vAlign w:val="top"/>
          </w:tcPr>
          <w:p w14:paraId="259E558F">
            <w:pPr>
              <w:pStyle w:val="42"/>
              <w:rPr>
                <w:rFonts w:ascii="Times New Roman"/>
                <w:sz w:val="22"/>
              </w:rPr>
            </w:pPr>
          </w:p>
        </w:tc>
        <w:tc>
          <w:tcPr>
            <w:tcW w:w="1372" w:type="dxa"/>
            <w:noWrap w:val="0"/>
            <w:vAlign w:val="top"/>
          </w:tcPr>
          <w:p w14:paraId="2CF2482E">
            <w:pPr>
              <w:pStyle w:val="42"/>
              <w:rPr>
                <w:rFonts w:ascii="Times New Roman"/>
                <w:sz w:val="22"/>
              </w:rPr>
            </w:pPr>
          </w:p>
        </w:tc>
        <w:tc>
          <w:tcPr>
            <w:tcW w:w="2400" w:type="dxa"/>
            <w:noWrap w:val="0"/>
            <w:vAlign w:val="top"/>
          </w:tcPr>
          <w:p w14:paraId="2AD32C09">
            <w:pPr>
              <w:pStyle w:val="42"/>
              <w:rPr>
                <w:rFonts w:ascii="Times New Roman"/>
                <w:sz w:val="22"/>
              </w:rPr>
            </w:pPr>
          </w:p>
        </w:tc>
        <w:tc>
          <w:tcPr>
            <w:tcW w:w="2401" w:type="dxa"/>
            <w:noWrap w:val="0"/>
            <w:vAlign w:val="top"/>
          </w:tcPr>
          <w:p w14:paraId="5F34132F">
            <w:pPr>
              <w:pStyle w:val="42"/>
              <w:rPr>
                <w:rFonts w:ascii="Times New Roman"/>
                <w:sz w:val="22"/>
              </w:rPr>
            </w:pPr>
          </w:p>
        </w:tc>
        <w:tc>
          <w:tcPr>
            <w:tcW w:w="1715" w:type="dxa"/>
            <w:noWrap w:val="0"/>
            <w:vAlign w:val="top"/>
          </w:tcPr>
          <w:p w14:paraId="26317EEC">
            <w:pPr>
              <w:pStyle w:val="42"/>
              <w:rPr>
                <w:rFonts w:ascii="Times New Roman"/>
                <w:sz w:val="22"/>
              </w:rPr>
            </w:pPr>
          </w:p>
        </w:tc>
      </w:tr>
    </w:tbl>
    <w:p w14:paraId="28FB2149">
      <w:pPr>
        <w:rPr>
          <w:color w:val="000000"/>
          <w:highlight w:val="none"/>
        </w:rPr>
        <w:sectPr>
          <w:pgSz w:w="11906" w:h="16838"/>
          <w:pgMar w:top="1417" w:right="1134" w:bottom="1417" w:left="1134" w:header="0" w:footer="726" w:gutter="0"/>
          <w:pgNumType w:fmt="decimal"/>
          <w:cols w:space="720" w:num="1"/>
        </w:sectPr>
      </w:pPr>
    </w:p>
    <w:p w14:paraId="52E6D8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t>（三）供应商资格证明文件</w:t>
      </w:r>
    </w:p>
    <w:p w14:paraId="5A9B72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pPr>
      <w:r>
        <w:rPr>
          <w:rFonts w:hint="eastAsia" w:ascii="宋体" w:hAnsi="宋体" w:eastAsia="宋体" w:cs="宋体"/>
          <w:caps w:val="0"/>
          <w:color w:val="000000" w:themeColor="text1"/>
          <w:kern w:val="2"/>
          <w:sz w:val="28"/>
          <w:szCs w:val="28"/>
          <w:highlight w:val="none"/>
          <w:vertAlign w:val="baseline"/>
          <w:lang w:eastAsia="zh-CN"/>
          <w14:textFill>
            <w14:solidFill>
              <w14:schemeClr w14:val="tx1"/>
            </w14:solidFill>
          </w14:textFill>
        </w:rPr>
        <w:t>招标文件要求提交的其他证明文件</w:t>
      </w:r>
    </w:p>
    <w:p w14:paraId="671C3B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78B515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62D6B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FB295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B0749F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9FA88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5036AC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4D511F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3386032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2D111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62968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71C4B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6AE9D45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1FAD76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8"/>
          <w:szCs w:val="28"/>
          <w:highlight w:val="none"/>
          <w:vertAlign w:val="baseline"/>
          <w14:textFill>
            <w14:solidFill>
              <w14:schemeClr w14:val="tx1"/>
            </w14:solidFill>
          </w14:textFill>
        </w:rPr>
      </w:pPr>
    </w:p>
    <w:p w14:paraId="0CC17DC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44"/>
          <w:szCs w:val="44"/>
          <w:highlight w:val="none"/>
          <w:vertAlign w:val="baseline"/>
          <w:lang w:val="en-US" w:eastAsia="zh-CN" w:bidi="ar"/>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val="0"/>
          <w:bCs w:val="0"/>
          <w:caps w:val="0"/>
          <w:color w:val="000000" w:themeColor="text1"/>
          <w:kern w:val="2"/>
          <w:sz w:val="28"/>
          <w:szCs w:val="28"/>
          <w:highlight w:val="none"/>
          <w:vertAlign w:val="baseline"/>
          <w:lang w:val="en-US" w:eastAsia="zh-CN" w:bidi="ar"/>
          <w14:textFill>
            <w14:solidFill>
              <w14:schemeClr w14:val="tx1"/>
            </w14:solidFill>
          </w14:textFill>
        </w:rPr>
        <w:br w:type="page"/>
      </w:r>
    </w:p>
    <w:p w14:paraId="5521ABDB">
      <w:pPr>
        <w:spacing w:line="360" w:lineRule="auto"/>
        <w:jc w:val="center"/>
        <w:outlineLvl w:val="2"/>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九、其它</w:t>
      </w:r>
    </w:p>
    <w:p w14:paraId="0B8A43A6">
      <w:pPr>
        <w:snapToGrid/>
        <w:spacing w:before="0" w:beforeAutospacing="0" w:after="0" w:afterAutospacing="0" w:line="240" w:lineRule="auto"/>
        <w:jc w:val="both"/>
        <w:textAlignment w:val="baseline"/>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5D936371">
      <w:pPr>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p>
    <w:p w14:paraId="06AA5FCA">
      <w:pPr>
        <w:spacing w:line="360" w:lineRule="auto"/>
        <w:jc w:val="center"/>
        <w:rPr>
          <w:rFonts w:hint="eastAsia" w:ascii="宋体" w:hAnsi="宋体" w:eastAsia="宋体" w:cs="宋体"/>
          <w:b/>
          <w:color w:val="000000"/>
          <w:sz w:val="32"/>
          <w:szCs w:val="32"/>
          <w:highlight w:val="none"/>
          <w:lang w:bidi="ar-SA"/>
        </w:rPr>
      </w:pPr>
      <w:r>
        <w:rPr>
          <w:rFonts w:hint="eastAsia" w:ascii="宋体" w:hAnsi="宋体" w:eastAsia="宋体" w:cs="宋体"/>
          <w:b/>
          <w:color w:val="000000"/>
          <w:sz w:val="32"/>
          <w:szCs w:val="32"/>
          <w:highlight w:val="none"/>
          <w:lang w:bidi="ar-SA"/>
        </w:rPr>
        <w:t>中小企业声明函</w:t>
      </w:r>
    </w:p>
    <w:p w14:paraId="41ABBBE0">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p>
    <w:p w14:paraId="5BC38FD1">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000000"/>
          <w:kern w:val="0"/>
          <w:sz w:val="24"/>
          <w:szCs w:val="24"/>
          <w:highlight w:val="none"/>
          <w:u w:val="single"/>
        </w:rPr>
        <w:t xml:space="preserve">     （单位名称）</w:t>
      </w:r>
      <w:r>
        <w:rPr>
          <w:rFonts w:hint="eastAsia" w:ascii="宋体" w:hAnsi="宋体" w:eastAsia="宋体" w:cs="宋体"/>
          <w:color w:val="000000"/>
          <w:kern w:val="0"/>
          <w:sz w:val="24"/>
          <w:szCs w:val="24"/>
          <w:highlight w:val="none"/>
        </w:rPr>
        <w:t>的</w:t>
      </w:r>
      <w:r>
        <w:rPr>
          <w:rFonts w:hint="eastAsia" w:ascii="宋体" w:hAnsi="宋体" w:eastAsia="宋体" w:cs="宋体"/>
          <w:color w:val="000000"/>
          <w:kern w:val="0"/>
          <w:sz w:val="24"/>
          <w:szCs w:val="24"/>
          <w:highlight w:val="none"/>
          <w:u w:val="single"/>
        </w:rPr>
        <w:t xml:space="preserve">    （项目名称）</w:t>
      </w:r>
      <w:r>
        <w:rPr>
          <w:rFonts w:hint="eastAsia" w:ascii="宋体" w:hAnsi="宋体" w:eastAsia="宋体" w:cs="宋体"/>
          <w:color w:val="000000"/>
          <w:kern w:val="0"/>
          <w:sz w:val="24"/>
          <w:szCs w:val="24"/>
          <w:highlight w:val="none"/>
        </w:rPr>
        <w:t>采购活动，提供的</w:t>
      </w:r>
      <w:r>
        <w:rPr>
          <w:rFonts w:hint="eastAsia" w:ascii="宋体" w:hAnsi="宋体" w:eastAsia="宋体" w:cs="宋体"/>
          <w:color w:val="000000"/>
          <w:kern w:val="0"/>
          <w:sz w:val="24"/>
          <w:szCs w:val="24"/>
          <w:highlight w:val="none"/>
          <w:lang w:eastAsia="zh-CN"/>
        </w:rPr>
        <w:t>服务</w:t>
      </w:r>
      <w:r>
        <w:rPr>
          <w:rFonts w:hint="eastAsia" w:ascii="宋体" w:hAnsi="宋体" w:eastAsia="宋体" w:cs="宋体"/>
          <w:color w:val="000000"/>
          <w:kern w:val="0"/>
          <w:sz w:val="24"/>
          <w:szCs w:val="24"/>
          <w:highlight w:val="none"/>
        </w:rPr>
        <w:t>全部由符合政策要求的中小企业制造。相关企业（含联合体中的中小企业、签订分包意向协议的中小企业）的具体情况如下：</w:t>
      </w:r>
    </w:p>
    <w:p w14:paraId="7B6475E9">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u w:val="single"/>
        </w:rPr>
        <w:t xml:space="preserve">     （标的名称）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（采购文件中明确的所属行业）</w:t>
      </w:r>
      <w:r>
        <w:rPr>
          <w:rFonts w:hint="eastAsia" w:ascii="宋体" w:hAnsi="宋体" w:eastAsia="宋体" w:cs="宋体"/>
          <w:color w:val="000000"/>
          <w:kern w:val="0"/>
          <w:sz w:val="24"/>
          <w:szCs w:val="24"/>
          <w:highlight w:val="none"/>
        </w:rPr>
        <w:t>行业；制造商为</w:t>
      </w:r>
      <w:r>
        <w:rPr>
          <w:rFonts w:hint="eastAsia" w:ascii="宋体" w:hAnsi="宋体" w:eastAsia="宋体" w:cs="宋体"/>
          <w:color w:val="000000"/>
          <w:kern w:val="0"/>
          <w:sz w:val="24"/>
          <w:szCs w:val="24"/>
          <w:highlight w:val="none"/>
          <w:u w:val="single"/>
        </w:rPr>
        <w:t xml:space="preserve">       （企业名称）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人，营业收入为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万元，资产总额为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w:t>
      </w:r>
      <w:r>
        <w:rPr>
          <w:rFonts w:hint="eastAsia" w:ascii="宋体" w:hAnsi="宋体" w:eastAsia="宋体" w:cs="宋体"/>
          <w:color w:val="000000"/>
          <w:kern w:val="0"/>
          <w:sz w:val="24"/>
          <w:szCs w:val="24"/>
          <w:highlight w:val="none"/>
          <w:vertAlign w:val="superscript"/>
        </w:rPr>
        <w:t>1</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（中型企业、小型企业、微型企业）</w:t>
      </w:r>
      <w:r>
        <w:rPr>
          <w:rFonts w:hint="eastAsia" w:ascii="宋体" w:hAnsi="宋体" w:eastAsia="宋体" w:cs="宋体"/>
          <w:color w:val="000000"/>
          <w:kern w:val="0"/>
          <w:sz w:val="24"/>
          <w:szCs w:val="24"/>
          <w:highlight w:val="none"/>
        </w:rPr>
        <w:t>；</w:t>
      </w:r>
    </w:p>
    <w:p w14:paraId="5519CC64">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u w:val="single"/>
        </w:rPr>
        <w:t xml:space="preserve">     （标的名称）</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（采购文件中明确的所属行业）</w:t>
      </w:r>
      <w:r>
        <w:rPr>
          <w:rFonts w:hint="eastAsia" w:ascii="宋体" w:hAnsi="宋体" w:eastAsia="宋体" w:cs="宋体"/>
          <w:color w:val="000000"/>
          <w:kern w:val="0"/>
          <w:sz w:val="24"/>
          <w:szCs w:val="24"/>
          <w:highlight w:val="none"/>
        </w:rPr>
        <w:t>行业；制造商为</w:t>
      </w:r>
      <w:r>
        <w:rPr>
          <w:rFonts w:hint="eastAsia" w:ascii="宋体" w:hAnsi="宋体" w:eastAsia="宋体" w:cs="宋体"/>
          <w:color w:val="000000"/>
          <w:kern w:val="0"/>
          <w:sz w:val="24"/>
          <w:szCs w:val="24"/>
          <w:highlight w:val="none"/>
          <w:u w:val="single"/>
        </w:rPr>
        <w:t xml:space="preserve">       （企业名称）</w:t>
      </w:r>
      <w:r>
        <w:rPr>
          <w:rFonts w:hint="eastAsia" w:ascii="宋体" w:hAnsi="宋体" w:eastAsia="宋体" w:cs="宋体"/>
          <w:color w:val="000000"/>
          <w:kern w:val="0"/>
          <w:sz w:val="24"/>
          <w:szCs w:val="24"/>
          <w:highlight w:val="none"/>
        </w:rPr>
        <w:t>，从业人员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人，营业收入为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万元，资产总额为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万元</w:t>
      </w:r>
      <w:r>
        <w:rPr>
          <w:rFonts w:hint="eastAsia" w:ascii="宋体" w:hAnsi="宋体" w:eastAsia="宋体" w:cs="宋体"/>
          <w:color w:val="000000"/>
          <w:kern w:val="0"/>
          <w:sz w:val="24"/>
          <w:szCs w:val="24"/>
          <w:highlight w:val="none"/>
          <w:vertAlign w:val="superscript"/>
        </w:rPr>
        <w:t>1</w:t>
      </w:r>
      <w:r>
        <w:rPr>
          <w:rFonts w:hint="eastAsia" w:ascii="宋体" w:hAnsi="宋体" w:eastAsia="宋体" w:cs="宋体"/>
          <w:color w:val="000000"/>
          <w:kern w:val="0"/>
          <w:sz w:val="24"/>
          <w:szCs w:val="24"/>
          <w:highlight w:val="none"/>
        </w:rPr>
        <w:t>，属于</w:t>
      </w:r>
      <w:r>
        <w:rPr>
          <w:rFonts w:hint="eastAsia" w:ascii="宋体" w:hAnsi="宋体" w:eastAsia="宋体" w:cs="宋体"/>
          <w:color w:val="000000"/>
          <w:kern w:val="0"/>
          <w:sz w:val="24"/>
          <w:szCs w:val="24"/>
          <w:highlight w:val="none"/>
          <w:u w:val="single"/>
        </w:rPr>
        <w:t xml:space="preserve">     （中型企业、小型企业、微型企业）</w:t>
      </w:r>
      <w:r>
        <w:rPr>
          <w:rFonts w:hint="eastAsia" w:ascii="宋体" w:hAnsi="宋体" w:eastAsia="宋体" w:cs="宋体"/>
          <w:color w:val="000000"/>
          <w:kern w:val="0"/>
          <w:sz w:val="24"/>
          <w:szCs w:val="24"/>
          <w:highlight w:val="none"/>
        </w:rPr>
        <w:t>；</w:t>
      </w:r>
    </w:p>
    <w:p w14:paraId="6C746D42">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p w14:paraId="7B15E7BD">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以上企业，不属于大企业的分支机构，不存在控股股东为大企业的情形，也不存在与大企业的负责人为同一人的情形。</w:t>
      </w:r>
    </w:p>
    <w:p w14:paraId="2C6075B7">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本企业对上述声明内容的真实性负责。如有虚假，将依法承担相应责任。</w:t>
      </w:r>
    </w:p>
    <w:p w14:paraId="0CC97E91">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14:paraId="37EB70CD">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14:paraId="46A1BDF5">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5280" w:firstLineChars="2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企业名称（盖章）：</w:t>
      </w:r>
    </w:p>
    <w:p w14:paraId="6099715C">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14:paraId="111EDC77">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5280" w:firstLineChars="2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 期：</w:t>
      </w:r>
    </w:p>
    <w:p w14:paraId="6424F0C7">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kern w:val="0"/>
          <w:sz w:val="24"/>
          <w:szCs w:val="24"/>
          <w:highlight w:val="none"/>
          <w:vertAlign w:val="superscript"/>
        </w:rPr>
      </w:pPr>
    </w:p>
    <w:p w14:paraId="175A1450">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kern w:val="0"/>
          <w:sz w:val="24"/>
          <w:szCs w:val="24"/>
          <w:highlight w:val="none"/>
          <w:vertAlign w:val="superscript"/>
        </w:rPr>
      </w:pPr>
    </w:p>
    <w:p w14:paraId="68F750D0">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vertAlign w:val="superscript"/>
        </w:rPr>
        <w:t>1</w:t>
      </w:r>
      <w:r>
        <w:rPr>
          <w:rFonts w:hint="eastAsia" w:ascii="宋体" w:hAnsi="宋体" w:eastAsia="宋体" w:cs="宋体"/>
          <w:color w:val="000000"/>
          <w:kern w:val="0"/>
          <w:sz w:val="24"/>
          <w:szCs w:val="24"/>
          <w:highlight w:val="none"/>
        </w:rPr>
        <w:t>从业人员、营业收入、资产总额填报上一年度数据，无上一年度数据的新成立企业可不填报。</w:t>
      </w:r>
    </w:p>
    <w:p w14:paraId="627FCDE8">
      <w:pPr>
        <w:adjustRightInd w:val="0"/>
        <w:snapToGrid w:val="0"/>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p>
    <w:p w14:paraId="1354AB24">
      <w:pPr>
        <w:autoSpaceDE w:val="0"/>
        <w:autoSpaceDN w:val="0"/>
        <w:adjustRightInd w:val="0"/>
        <w:spacing w:line="600" w:lineRule="exact"/>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001B1643">
      <w:pPr>
        <w:pStyle w:val="27"/>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附2 残疾人福利性单位声明</w:t>
      </w:r>
    </w:p>
    <w:p w14:paraId="3347CC18">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24" w:name="OLE_LINK13"/>
      <w:bookmarkStart w:id="25"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24"/>
    <w:bookmarkEnd w:id="25"/>
    <w:p w14:paraId="64598323">
      <w:pPr>
        <w:jc w:val="center"/>
        <w:rPr>
          <w:rFonts w:hint="eastAsia" w:ascii="宋体" w:hAnsi="宋体" w:eastAsia="宋体" w:cs="宋体"/>
          <w:color w:val="000000" w:themeColor="text1"/>
          <w:szCs w:val="21"/>
          <w:highlight w:val="none"/>
          <w:u w:val="single"/>
          <w14:textFill>
            <w14:solidFill>
              <w14:schemeClr w14:val="tx1"/>
            </w14:solidFill>
          </w14:textFill>
        </w:rPr>
      </w:pPr>
    </w:p>
    <w:p w14:paraId="3ADBAFEA">
      <w:pPr>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738822D5">
      <w:pPr>
        <w:spacing w:line="588" w:lineRule="exact"/>
        <w:rPr>
          <w:rFonts w:hint="eastAsia" w:ascii="宋体" w:hAnsi="宋体" w:eastAsia="宋体" w:cs="宋体"/>
          <w:b/>
          <w:color w:val="000000" w:themeColor="text1"/>
          <w:spacing w:val="6"/>
          <w:sz w:val="30"/>
          <w:szCs w:val="30"/>
          <w:highlight w:val="none"/>
          <w14:textFill>
            <w14:solidFill>
              <w14:schemeClr w14:val="tx1"/>
            </w14:solidFill>
          </w14:textFill>
        </w:rPr>
      </w:pPr>
    </w:p>
    <w:p w14:paraId="040360BE">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〔2017〕141号</w:t>
      </w:r>
      <w:r>
        <w:rPr>
          <w:rFonts w:hint="eastAsia" w:ascii="宋体" w:hAnsi="宋体" w:eastAsia="宋体" w:cs="宋体"/>
          <w:color w:val="000000" w:themeColor="text1"/>
          <w:spacing w:val="6"/>
          <w:sz w:val="24"/>
          <w:szCs w:val="24"/>
          <w:highlight w:val="none"/>
          <w14:textFill>
            <w14:solidFill>
              <w14:schemeClr w14:val="tx1"/>
            </w14:solidFill>
          </w14:textFill>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2E00F2">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518D8295">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54B05E9C">
      <w:pPr>
        <w:spacing w:line="588"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545974FA">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26"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26"/>
    </w:p>
    <w:p w14:paraId="6B9C439C">
      <w:pPr>
        <w:tabs>
          <w:tab w:val="left" w:pos="4860"/>
        </w:tabs>
        <w:spacing w:line="588" w:lineRule="exact"/>
        <w:ind w:right="1560" w:firstLine="504" w:firstLineChars="200"/>
        <w:jc w:val="center"/>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27"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27"/>
    </w:p>
    <w:p w14:paraId="63B2AA85">
      <w:pPr>
        <w:pStyle w:val="5"/>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DB4D30D">
      <w:pPr>
        <w:pStyle w:val="27"/>
        <w:ind w:left="0" w:leftChars="0" w:firstLine="0" w:firstLineChars="0"/>
        <w:outlineLvl w:val="3"/>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附3 监狱企业的证明文件</w:t>
      </w:r>
    </w:p>
    <w:p w14:paraId="3394747E">
      <w:pPr>
        <w:snapToGrid/>
        <w:spacing w:before="0" w:beforeAutospacing="0" w:after="0" w:afterAutospacing="0" w:line="240" w:lineRule="auto"/>
        <w:jc w:val="both"/>
        <w:textAlignment w:val="baseline"/>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4991EA1C">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08F8DC20">
      <w:pPr>
        <w:snapToGrid/>
        <w:spacing w:before="312" w:beforeAutospacing="0" w:after="312" w:afterAutospacing="0" w:line="360" w:lineRule="auto"/>
        <w:jc w:val="center"/>
        <w:textAlignment w:val="baseline"/>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7C28882E">
      <w:pPr>
        <w:pStyle w:val="5"/>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7EF3178F">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42293C3F">
      <w:pPr>
        <w:pStyle w:val="5"/>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ABB483C">
      <w:pP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EAC2FED">
      <w:pPr>
        <w:pStyle w:val="5"/>
        <w:rPr>
          <w:rFonts w:hint="eastAsia" w:ascii="宋体" w:hAnsi="宋体" w:eastAsia="宋体" w:cs="宋体"/>
          <w:color w:val="000000" w:themeColor="text1"/>
          <w:highlight w:val="none"/>
          <w14:textFill>
            <w14:solidFill>
              <w14:schemeClr w14:val="tx1"/>
            </w14:solidFill>
          </w14:textFill>
        </w:rPr>
      </w:pPr>
    </w:p>
    <w:p w14:paraId="64F9EC30">
      <w:pPr>
        <w:snapToGrid/>
        <w:spacing w:before="0" w:beforeAutospacing="0" w:after="0" w:afterAutospacing="0" w:line="440" w:lineRule="exact"/>
        <w:jc w:val="both"/>
        <w:textAlignment w:val="baseline"/>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6DAE9985">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23" w:right="0" w:firstLine="0"/>
        <w:jc w:val="left"/>
        <w:textAlignment w:val="baseline"/>
        <w:outlineLvl w:val="9"/>
        <w:rPr>
          <w:highlight w:val="none"/>
        </w:rPr>
      </w:pPr>
    </w:p>
    <w:p w14:paraId="0D4838F3">
      <w:pPr>
        <w:pStyle w:val="41"/>
        <w:widowControl w:val="0"/>
        <w:numPr>
          <w:ilvl w:val="0"/>
          <w:numId w:val="0"/>
        </w:numPr>
        <w:spacing w:line="360" w:lineRule="auto"/>
        <w:jc w:val="both"/>
        <w:outlineLvl w:val="9"/>
        <w:rPr>
          <w:highlight w:val="none"/>
        </w:rPr>
      </w:pPr>
    </w:p>
    <w:p w14:paraId="7899FD4C">
      <w:pPr>
        <w:pStyle w:val="41"/>
        <w:widowControl w:val="0"/>
        <w:numPr>
          <w:ilvl w:val="0"/>
          <w:numId w:val="0"/>
        </w:numPr>
        <w:spacing w:line="360" w:lineRule="auto"/>
        <w:jc w:val="both"/>
        <w:outlineLvl w:val="9"/>
        <w:rPr>
          <w:highlight w:val="none"/>
        </w:rPr>
      </w:pPr>
    </w:p>
    <w:p w14:paraId="7FD487B5">
      <w:pPr>
        <w:pStyle w:val="41"/>
        <w:widowControl w:val="0"/>
        <w:numPr>
          <w:ilvl w:val="0"/>
          <w:numId w:val="0"/>
        </w:numPr>
        <w:spacing w:line="360" w:lineRule="auto"/>
        <w:jc w:val="both"/>
        <w:outlineLvl w:val="9"/>
        <w:rPr>
          <w:highlight w:val="none"/>
        </w:rPr>
      </w:pPr>
    </w:p>
    <w:p w14:paraId="25CAE494">
      <w:pPr>
        <w:pStyle w:val="41"/>
        <w:widowControl w:val="0"/>
        <w:numPr>
          <w:ilvl w:val="0"/>
          <w:numId w:val="0"/>
        </w:numPr>
        <w:spacing w:line="360" w:lineRule="auto"/>
        <w:jc w:val="both"/>
        <w:outlineLvl w:val="9"/>
        <w:rPr>
          <w:highlight w:val="none"/>
        </w:rPr>
      </w:pPr>
    </w:p>
    <w:p w14:paraId="69396E95">
      <w:pPr>
        <w:pStyle w:val="41"/>
        <w:widowControl w:val="0"/>
        <w:numPr>
          <w:ilvl w:val="0"/>
          <w:numId w:val="0"/>
        </w:numPr>
        <w:spacing w:line="360" w:lineRule="auto"/>
        <w:jc w:val="both"/>
        <w:outlineLvl w:val="9"/>
        <w:rPr>
          <w:highlight w:val="none"/>
        </w:rPr>
      </w:pPr>
    </w:p>
    <w:p w14:paraId="02159308">
      <w:pPr>
        <w:pStyle w:val="41"/>
        <w:widowControl w:val="0"/>
        <w:numPr>
          <w:ilvl w:val="0"/>
          <w:numId w:val="0"/>
        </w:numPr>
        <w:spacing w:line="360" w:lineRule="auto"/>
        <w:jc w:val="both"/>
        <w:outlineLvl w:val="9"/>
        <w:rPr>
          <w:highlight w:val="none"/>
        </w:rPr>
      </w:pPr>
    </w:p>
    <w:p w14:paraId="7BC20B66">
      <w:pPr>
        <w:pStyle w:val="41"/>
        <w:widowControl w:val="0"/>
        <w:numPr>
          <w:ilvl w:val="0"/>
          <w:numId w:val="0"/>
        </w:numPr>
        <w:spacing w:line="360" w:lineRule="auto"/>
        <w:jc w:val="both"/>
        <w:outlineLvl w:val="9"/>
        <w:rPr>
          <w:highlight w:val="none"/>
        </w:rPr>
      </w:pPr>
    </w:p>
    <w:p w14:paraId="715324D2">
      <w:pPr>
        <w:pStyle w:val="41"/>
        <w:widowControl w:val="0"/>
        <w:numPr>
          <w:ilvl w:val="0"/>
          <w:numId w:val="0"/>
        </w:numPr>
        <w:spacing w:line="360" w:lineRule="auto"/>
        <w:jc w:val="both"/>
        <w:outlineLvl w:val="9"/>
        <w:rPr>
          <w:highlight w:val="none"/>
        </w:rPr>
      </w:pPr>
    </w:p>
    <w:p w14:paraId="00899DC2">
      <w:pPr>
        <w:pStyle w:val="41"/>
        <w:widowControl w:val="0"/>
        <w:numPr>
          <w:ilvl w:val="0"/>
          <w:numId w:val="0"/>
        </w:numPr>
        <w:spacing w:line="360" w:lineRule="auto"/>
        <w:jc w:val="both"/>
        <w:outlineLvl w:val="9"/>
        <w:rPr>
          <w:highlight w:val="none"/>
        </w:rPr>
      </w:pPr>
    </w:p>
    <w:p w14:paraId="1B967E30">
      <w:pPr>
        <w:pStyle w:val="41"/>
        <w:widowControl w:val="0"/>
        <w:numPr>
          <w:ilvl w:val="0"/>
          <w:numId w:val="0"/>
        </w:numPr>
        <w:spacing w:line="360" w:lineRule="auto"/>
        <w:jc w:val="both"/>
        <w:outlineLvl w:val="9"/>
        <w:rPr>
          <w:highlight w:val="none"/>
        </w:rPr>
      </w:pPr>
    </w:p>
    <w:p w14:paraId="70D7DCC9">
      <w:pPr>
        <w:pStyle w:val="41"/>
        <w:widowControl w:val="0"/>
        <w:numPr>
          <w:ilvl w:val="0"/>
          <w:numId w:val="0"/>
        </w:numPr>
        <w:spacing w:line="360" w:lineRule="auto"/>
        <w:jc w:val="both"/>
        <w:outlineLvl w:val="9"/>
        <w:rPr>
          <w:highlight w:val="none"/>
        </w:rPr>
      </w:pPr>
    </w:p>
    <w:p w14:paraId="4BB49851">
      <w:pP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br w:type="page"/>
      </w:r>
    </w:p>
    <w:p w14:paraId="00ED8F55">
      <w:pPr>
        <w:spacing w:line="360" w:lineRule="auto"/>
        <w:jc w:val="center"/>
        <w:outlineLvl w:val="2"/>
        <w:rPr>
          <w:rFonts w:hint="default"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32"/>
          <w:szCs w:val="32"/>
          <w:highlight w:val="none"/>
          <w:vertAlign w:val="baseline"/>
          <w:lang w:val="en-US" w:eastAsia="zh-CN" w:bidi="ar"/>
          <w14:textFill>
            <w14:solidFill>
              <w14:schemeClr w14:val="tx1"/>
            </w14:solidFill>
          </w14:textFill>
        </w:rPr>
        <w:t>十、优惠条件及服务承诺</w:t>
      </w:r>
    </w:p>
    <w:p w14:paraId="41A4F9F8">
      <w:pPr>
        <w:pStyle w:val="41"/>
        <w:widowControl w:val="0"/>
        <w:numPr>
          <w:ilvl w:val="0"/>
          <w:numId w:val="0"/>
        </w:numPr>
        <w:spacing w:line="360" w:lineRule="auto"/>
        <w:jc w:val="both"/>
        <w:rPr>
          <w:highlight w:val="none"/>
        </w:rPr>
      </w:pPr>
    </w:p>
    <w:p w14:paraId="55D23EA2">
      <w:pPr>
        <w:pStyle w:val="41"/>
        <w:widowControl w:val="0"/>
        <w:numPr>
          <w:ilvl w:val="0"/>
          <w:numId w:val="0"/>
        </w:numPr>
        <w:spacing w:line="360" w:lineRule="auto"/>
        <w:jc w:val="both"/>
        <w:rPr>
          <w:highlight w:val="none"/>
        </w:rPr>
      </w:pPr>
    </w:p>
    <w:p w14:paraId="610F1544">
      <w:pPr>
        <w:pStyle w:val="41"/>
        <w:widowControl w:val="0"/>
        <w:numPr>
          <w:ilvl w:val="0"/>
          <w:numId w:val="0"/>
        </w:numPr>
        <w:spacing w:line="360" w:lineRule="auto"/>
        <w:jc w:val="both"/>
        <w:rPr>
          <w:highlight w:val="none"/>
        </w:rPr>
      </w:pPr>
    </w:p>
    <w:p w14:paraId="05F15C78">
      <w:pPr>
        <w:pStyle w:val="41"/>
        <w:widowControl w:val="0"/>
        <w:numPr>
          <w:ilvl w:val="0"/>
          <w:numId w:val="0"/>
        </w:numPr>
        <w:spacing w:line="360" w:lineRule="auto"/>
        <w:jc w:val="both"/>
        <w:rPr>
          <w:highlight w:val="none"/>
        </w:rPr>
      </w:pPr>
    </w:p>
    <w:p w14:paraId="3F4CE8D1">
      <w:pPr>
        <w:pStyle w:val="41"/>
        <w:widowControl w:val="0"/>
        <w:numPr>
          <w:ilvl w:val="0"/>
          <w:numId w:val="0"/>
        </w:numPr>
        <w:spacing w:line="360" w:lineRule="auto"/>
        <w:jc w:val="both"/>
        <w:rPr>
          <w:highlight w:val="none"/>
        </w:rPr>
      </w:pPr>
    </w:p>
    <w:p w14:paraId="2735ECC7">
      <w:pPr>
        <w:pStyle w:val="41"/>
        <w:widowControl w:val="0"/>
        <w:numPr>
          <w:ilvl w:val="0"/>
          <w:numId w:val="0"/>
        </w:numPr>
        <w:spacing w:line="360" w:lineRule="auto"/>
        <w:jc w:val="both"/>
        <w:rPr>
          <w:highlight w:val="none"/>
        </w:rPr>
      </w:pPr>
    </w:p>
    <w:p w14:paraId="781BF39A">
      <w:pPr>
        <w:pStyle w:val="41"/>
        <w:widowControl w:val="0"/>
        <w:numPr>
          <w:ilvl w:val="0"/>
          <w:numId w:val="0"/>
        </w:numPr>
        <w:spacing w:line="360" w:lineRule="auto"/>
        <w:jc w:val="both"/>
        <w:rPr>
          <w:highlight w:val="none"/>
        </w:rPr>
      </w:pPr>
    </w:p>
    <w:p w14:paraId="746709AE">
      <w:pPr>
        <w:pStyle w:val="41"/>
        <w:widowControl w:val="0"/>
        <w:numPr>
          <w:ilvl w:val="0"/>
          <w:numId w:val="0"/>
        </w:numPr>
        <w:spacing w:line="360" w:lineRule="auto"/>
        <w:jc w:val="both"/>
        <w:rPr>
          <w:highlight w:val="none"/>
        </w:rPr>
      </w:pPr>
    </w:p>
    <w:p w14:paraId="5BBFD65E">
      <w:pPr>
        <w:ind w:left="0" w:leftChars="0" w:firstLine="0" w:firstLineChars="0"/>
        <w:rPr>
          <w:highlight w:val="none"/>
        </w:rPr>
      </w:pPr>
    </w:p>
    <w:p w14:paraId="069E4F32">
      <w:pPr>
        <w:rPr>
          <w:highlight w:val="none"/>
        </w:rPr>
      </w:pPr>
    </w:p>
    <w:sectPr>
      <w:footerReference r:id="rId6" w:type="default"/>
      <w:pgSz w:w="11906" w:h="16838"/>
      <w:pgMar w:top="1440" w:right="1080" w:bottom="1440" w:left="108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9519">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7443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67443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06A5">
    <w:pPr>
      <w:spacing w:line="183" w:lineRule="auto"/>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F1800">
                          <w:pPr>
                            <w:pStyle w:val="1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4F1800">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C0C7">
    <w:pPr>
      <w:spacing w:line="183" w:lineRule="auto"/>
      <w:rPr>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F94C3">
                          <w:pPr>
                            <w:pStyle w:val="1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9F94C3">
                    <w:pPr>
                      <w:pStyle w:val="1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9A5F">
    <w:pPr>
      <w:pStyle w:val="19"/>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A2678"/>
    <w:multiLevelType w:val="singleLevel"/>
    <w:tmpl w:val="C5AA2678"/>
    <w:lvl w:ilvl="0" w:tentative="0">
      <w:start w:val="2"/>
      <w:numFmt w:val="chineseCounting"/>
      <w:suff w:val="nothing"/>
      <w:lvlText w:val="（%1）"/>
      <w:lvlJc w:val="left"/>
      <w:rPr>
        <w:rFonts w:hint="eastAsia"/>
      </w:rPr>
    </w:lvl>
  </w:abstractNum>
  <w:abstractNum w:abstractNumId="1">
    <w:nsid w:val="F6B638F9"/>
    <w:multiLevelType w:val="multilevel"/>
    <w:tmpl w:val="F6B638F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000000E"/>
    <w:multiLevelType w:val="multilevel"/>
    <w:tmpl w:val="0000000E"/>
    <w:lvl w:ilvl="0" w:tentative="0">
      <w:start w:val="1"/>
      <w:numFmt w:val="bullet"/>
      <w:pStyle w:val="4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0AA2243A"/>
    <w:multiLevelType w:val="multilevel"/>
    <w:tmpl w:val="0AA2243A"/>
    <w:lvl w:ilvl="0"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1"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2"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3"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4"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5"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6"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7" w:tentative="0">
      <w:start w:val="3"/>
      <w:numFmt w:val="decimal"/>
      <w:suff w:val="nothing"/>
      <w:lvlText w:val="%1、"/>
      <w:lvlJc w:val="left"/>
      <w:pPr>
        <w:tabs>
          <w:tab w:val="left" w:pos="0"/>
        </w:tabs>
        <w:ind w:left="0" w:firstLine="0"/>
      </w:pPr>
      <w:rPr>
        <w:rFonts w:hint="default" w:ascii="Times New Roman" w:hAnsi="Times New Roman" w:cs="Times New Roman"/>
        <w:caps w:val="0"/>
      </w:rPr>
    </w:lvl>
    <w:lvl w:ilvl="8" w:tentative="0">
      <w:start w:val="3"/>
      <w:numFmt w:val="decimal"/>
      <w:suff w:val="nothing"/>
      <w:lvlText w:val="%1、"/>
      <w:lvlJc w:val="left"/>
      <w:pPr>
        <w:tabs>
          <w:tab w:val="left" w:pos="0"/>
        </w:tabs>
        <w:ind w:left="0" w:firstLine="0"/>
      </w:pPr>
      <w:rPr>
        <w:rFonts w:hint="default" w:ascii="Times New Roman" w:hAnsi="Times New Roman" w:cs="Times New Roman"/>
        <w:caps w:val="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DBlNzg0NWE0YTQ0Y2ZkMWVhZmI0NmI4NDNlOWQifQ=="/>
  </w:docVars>
  <w:rsids>
    <w:rsidRoot w:val="41993500"/>
    <w:rsid w:val="035307FF"/>
    <w:rsid w:val="05036971"/>
    <w:rsid w:val="05B26505"/>
    <w:rsid w:val="06F40E79"/>
    <w:rsid w:val="07B06846"/>
    <w:rsid w:val="088A7F61"/>
    <w:rsid w:val="0EFB3964"/>
    <w:rsid w:val="1081433D"/>
    <w:rsid w:val="139C7BEA"/>
    <w:rsid w:val="145D54F5"/>
    <w:rsid w:val="14BD4D16"/>
    <w:rsid w:val="15CE5C80"/>
    <w:rsid w:val="1713754E"/>
    <w:rsid w:val="19494DC0"/>
    <w:rsid w:val="19D07AE4"/>
    <w:rsid w:val="1B6D0631"/>
    <w:rsid w:val="1D201AE3"/>
    <w:rsid w:val="1D8D3444"/>
    <w:rsid w:val="1DBF498F"/>
    <w:rsid w:val="1F523D0E"/>
    <w:rsid w:val="22A23C77"/>
    <w:rsid w:val="268716E8"/>
    <w:rsid w:val="26FD3B46"/>
    <w:rsid w:val="28DD6182"/>
    <w:rsid w:val="2D7B1D97"/>
    <w:rsid w:val="2E657332"/>
    <w:rsid w:val="2F9B01A1"/>
    <w:rsid w:val="2FD8752D"/>
    <w:rsid w:val="30997731"/>
    <w:rsid w:val="331B7C5D"/>
    <w:rsid w:val="337F4F28"/>
    <w:rsid w:val="34B61BBB"/>
    <w:rsid w:val="34D5179B"/>
    <w:rsid w:val="357A2DF7"/>
    <w:rsid w:val="382416A4"/>
    <w:rsid w:val="3AC85FA5"/>
    <w:rsid w:val="3B0372DD"/>
    <w:rsid w:val="3B940F30"/>
    <w:rsid w:val="3E823D9C"/>
    <w:rsid w:val="40623BDC"/>
    <w:rsid w:val="407F1B13"/>
    <w:rsid w:val="41993500"/>
    <w:rsid w:val="41CF42AF"/>
    <w:rsid w:val="42AD61C6"/>
    <w:rsid w:val="43EF03A8"/>
    <w:rsid w:val="447A1E68"/>
    <w:rsid w:val="45011D41"/>
    <w:rsid w:val="461106DF"/>
    <w:rsid w:val="461A2A0E"/>
    <w:rsid w:val="4E8D6FCE"/>
    <w:rsid w:val="51C7673C"/>
    <w:rsid w:val="51FD7691"/>
    <w:rsid w:val="52671B22"/>
    <w:rsid w:val="529948E1"/>
    <w:rsid w:val="561047EC"/>
    <w:rsid w:val="564D4072"/>
    <w:rsid w:val="5A8C5FFE"/>
    <w:rsid w:val="5B054677"/>
    <w:rsid w:val="5C845BB1"/>
    <w:rsid w:val="607D1FE7"/>
    <w:rsid w:val="64243194"/>
    <w:rsid w:val="64C13041"/>
    <w:rsid w:val="661A55F3"/>
    <w:rsid w:val="6AC510C6"/>
    <w:rsid w:val="6ADC6960"/>
    <w:rsid w:val="6B0F339E"/>
    <w:rsid w:val="6B19056F"/>
    <w:rsid w:val="6C6348F1"/>
    <w:rsid w:val="6C7F4402"/>
    <w:rsid w:val="713D6842"/>
    <w:rsid w:val="73736833"/>
    <w:rsid w:val="77CA50CB"/>
    <w:rsid w:val="78F906C0"/>
    <w:rsid w:val="797362F5"/>
    <w:rsid w:val="79FE5611"/>
    <w:rsid w:val="7A3F129A"/>
    <w:rsid w:val="7CC12DC7"/>
    <w:rsid w:val="7DAE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6"/>
    <w:qFormat/>
    <w:uiPriority w:val="0"/>
    <w:pPr>
      <w:keepNext/>
      <w:widowControl/>
      <w:tabs>
        <w:tab w:val="left" w:pos="432"/>
      </w:tabs>
      <w:spacing w:line="579" w:lineRule="auto"/>
      <w:ind w:firstLine="402"/>
      <w:jc w:val="center"/>
      <w:outlineLvl w:val="0"/>
    </w:pPr>
    <w:rPr>
      <w:rFonts w:ascii="仿宋" w:hAnsi="仿宋" w:eastAsia="仿宋" w:cs="仿宋"/>
      <w:b/>
      <w:color w:val="auto"/>
      <w:kern w:val="0"/>
      <w:sz w:val="32"/>
      <w:szCs w:val="21"/>
      <w:highlight w:val="none"/>
    </w:rPr>
  </w:style>
  <w:style w:type="paragraph" w:styleId="5">
    <w:name w:val="heading 2"/>
    <w:basedOn w:val="1"/>
    <w:next w:val="1"/>
    <w:link w:val="34"/>
    <w:semiHidden/>
    <w:unhideWhenUsed/>
    <w:qFormat/>
    <w:uiPriority w:val="0"/>
    <w:pPr>
      <w:keepNext/>
      <w:keepLines/>
      <w:spacing w:before="20" w:after="20" w:line="360" w:lineRule="auto"/>
      <w:outlineLvl w:val="1"/>
    </w:pPr>
    <w:rPr>
      <w:rFonts w:ascii="宋体" w:hAnsi="宋体" w:cs="Times New Roman"/>
      <w:b/>
      <w:bCs/>
      <w:kern w:val="0"/>
      <w:sz w:val="28"/>
      <w:szCs w:val="32"/>
    </w:rPr>
  </w:style>
  <w:style w:type="paragraph" w:styleId="6">
    <w:name w:val="heading 3"/>
    <w:basedOn w:val="1"/>
    <w:next w:val="1"/>
    <w:link w:val="32"/>
    <w:semiHidden/>
    <w:unhideWhenUsed/>
    <w:qFormat/>
    <w:uiPriority w:val="0"/>
    <w:pPr>
      <w:keepNext/>
      <w:keepLines/>
      <w:spacing w:before="20" w:after="20" w:line="360" w:lineRule="auto"/>
      <w:ind w:firstLine="0" w:firstLineChars="0"/>
      <w:jc w:val="left"/>
      <w:outlineLvl w:val="2"/>
    </w:pPr>
    <w:rPr>
      <w:rFonts w:ascii="黑体" w:hAnsi="黑体" w:eastAsia="仿宋"/>
      <w:bCs/>
      <w:kern w:val="2"/>
      <w:sz w:val="28"/>
      <w:szCs w:val="28"/>
    </w:rPr>
  </w:style>
  <w:style w:type="paragraph" w:styleId="7">
    <w:name w:val="heading 4"/>
    <w:basedOn w:val="1"/>
    <w:next w:val="1"/>
    <w:qFormat/>
    <w:uiPriority w:val="0"/>
    <w:pPr>
      <w:keepNext/>
      <w:keepLines/>
      <w:spacing w:line="240" w:lineRule="exact"/>
      <w:outlineLvl w:val="3"/>
    </w:pPr>
    <w:rPr>
      <w:rFonts w:ascii="Arial" w:hAnsi="Arial" w:eastAsia="仿宋_GB2312"/>
      <w:b/>
      <w:sz w:val="18"/>
      <w:szCs w:val="32"/>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30">
    <w:name w:val="Default Paragraph Font"/>
    <w:semiHidden/>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eastAsia="仿宋_GB2312"/>
      <w:bCs/>
      <w:sz w:val="30"/>
    </w:rPr>
  </w:style>
  <w:style w:type="paragraph" w:styleId="3">
    <w:name w:val="Body Text"/>
    <w:basedOn w:val="1"/>
    <w:next w:val="1"/>
    <w:qFormat/>
    <w:uiPriority w:val="0"/>
    <w:rPr>
      <w:rFonts w:ascii="宋体" w:hAnsi="宋体" w:eastAsia="宋体" w:cs="宋体"/>
      <w:sz w:val="21"/>
      <w:szCs w:val="21"/>
      <w:lang w:val="zh-CN" w:bidi="zh-CN"/>
    </w:rPr>
  </w:style>
  <w:style w:type="paragraph" w:styleId="12">
    <w:name w:val="index 8"/>
    <w:basedOn w:val="1"/>
    <w:next w:val="1"/>
    <w:qFormat/>
    <w:uiPriority w:val="0"/>
    <w:pPr>
      <w:ind w:left="1400" w:leftChars="1400"/>
    </w:pPr>
  </w:style>
  <w:style w:type="paragraph" w:styleId="13">
    <w:name w:val="annotation text"/>
    <w:basedOn w:val="1"/>
    <w:qFormat/>
    <w:uiPriority w:val="0"/>
    <w:pPr>
      <w:jc w:val="left"/>
    </w:pPr>
  </w:style>
  <w:style w:type="paragraph" w:styleId="14">
    <w:name w:val="Body Text Indent"/>
    <w:basedOn w:val="1"/>
    <w:next w:val="15"/>
    <w:qFormat/>
    <w:uiPriority w:val="0"/>
    <w:pPr>
      <w:spacing w:after="120" w:afterLines="0" w:afterAutospacing="0"/>
      <w:ind w:left="420" w:leftChars="200"/>
    </w:pPr>
  </w:style>
  <w:style w:type="paragraph" w:styleId="15">
    <w:name w:val="envelope return"/>
    <w:basedOn w:val="1"/>
    <w:qFormat/>
    <w:uiPriority w:val="0"/>
    <w:pPr>
      <w:snapToGrid w:val="0"/>
    </w:pPr>
    <w:rPr>
      <w:rFonts w:ascii="Arial" w:hAnsi="Arial"/>
    </w:rPr>
  </w:style>
  <w:style w:type="paragraph" w:styleId="16">
    <w:name w:val="Date"/>
    <w:basedOn w:val="1"/>
    <w:next w:val="1"/>
    <w:qFormat/>
    <w:uiPriority w:val="0"/>
    <w:rPr>
      <w:sz w:val="24"/>
      <w:szCs w:val="20"/>
    </w:rPr>
  </w:style>
  <w:style w:type="paragraph" w:styleId="17">
    <w:name w:val="Body Text Indent 2"/>
    <w:basedOn w:val="1"/>
    <w:next w:val="12"/>
    <w:qFormat/>
    <w:uiPriority w:val="0"/>
    <w:pPr>
      <w:keepNext w:val="0"/>
      <w:keepLines w:val="0"/>
      <w:widowControl w:val="0"/>
      <w:suppressLineNumbers w:val="0"/>
      <w:spacing w:before="0" w:beforeAutospacing="1" w:after="0" w:afterAutospacing="0" w:line="480" w:lineRule="auto"/>
      <w:ind w:left="420" w:leftChars="200" w:firstLine="0"/>
      <w:jc w:val="both"/>
    </w:pPr>
    <w:rPr>
      <w:rFonts w:hint="default" w:ascii="Calibri" w:hAnsi="Calibri" w:eastAsia="宋体" w:cs="Times New Roman"/>
      <w:kern w:val="2"/>
      <w:sz w:val="21"/>
      <w:szCs w:val="21"/>
      <w:lang w:val="en-US" w:eastAsia="zh-CN" w:bidi="ar"/>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qFormat/>
    <w:uiPriority w:val="0"/>
    <w:pPr>
      <w:keepNext w:val="0"/>
      <w:keepLines w:val="0"/>
      <w:widowControl w:val="0"/>
      <w:suppressLineNumbers w:val="0"/>
      <w:spacing w:before="120" w:beforeAutospacing="0" w:after="120" w:afterAutospacing="0" w:line="240" w:lineRule="auto"/>
      <w:ind w:left="0" w:firstLine="0"/>
      <w:jc w:val="left"/>
    </w:pPr>
    <w:rPr>
      <w:rFonts w:hint="default" w:ascii="Times New Roman" w:hAnsi="Times New Roman" w:eastAsia="宋体" w:cs="Times New Roman"/>
      <w:b/>
      <w:bCs/>
      <w:caps/>
      <w:kern w:val="2"/>
      <w:sz w:val="20"/>
      <w:szCs w:val="20"/>
      <w:lang w:val="en-US" w:eastAsia="zh-CN" w:bidi="ar"/>
    </w:rPr>
  </w:style>
  <w:style w:type="paragraph" w:styleId="21">
    <w:name w:val="Body Text Indent 3"/>
    <w:basedOn w:val="1"/>
    <w:qFormat/>
    <w:uiPriority w:val="0"/>
    <w:pPr>
      <w:spacing w:after="120"/>
      <w:ind w:left="420" w:leftChars="200"/>
      <w:jc w:val="left"/>
    </w:pPr>
    <w:rPr>
      <w:kern w:val="0"/>
      <w:sz w:val="16"/>
      <w:szCs w:val="16"/>
    </w:rPr>
  </w:style>
  <w:style w:type="paragraph" w:styleId="22">
    <w:name w:val="toc 2"/>
    <w:basedOn w:val="1"/>
    <w:next w:val="1"/>
    <w:qFormat/>
    <w:uiPriority w:val="99"/>
    <w:pPr>
      <w:ind w:left="210"/>
      <w:jc w:val="left"/>
    </w:pPr>
    <w:rPr>
      <w:smallCaps/>
      <w:sz w:val="20"/>
      <w:szCs w:val="20"/>
    </w:rPr>
  </w:style>
  <w:style w:type="paragraph" w:styleId="23">
    <w:name w:val="Body Text 2"/>
    <w:basedOn w:val="1"/>
    <w:qFormat/>
    <w:uiPriority w:val="0"/>
    <w:pPr>
      <w:spacing w:after="120" w:afterLines="0" w:afterAutospacing="0" w:line="480" w:lineRule="auto"/>
    </w:p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Normal (Web)"/>
    <w:basedOn w:val="1"/>
    <w:qFormat/>
    <w:uiPriority w:val="0"/>
    <w:pPr>
      <w:keepNext w:val="0"/>
      <w:keepLines w:val="0"/>
      <w:widowControl/>
      <w:suppressLineNumbers w:val="0"/>
      <w:spacing w:before="0" w:beforeAutospacing="1" w:after="0" w:afterAutospacing="1" w:line="240" w:lineRule="auto"/>
      <w:ind w:left="0" w:right="0" w:firstLine="0"/>
      <w:jc w:val="left"/>
    </w:pPr>
    <w:rPr>
      <w:rFonts w:ascii="??" w:hAnsi="??" w:eastAsia="宋体" w:cs="宋体"/>
      <w:kern w:val="0"/>
      <w:sz w:val="24"/>
      <w:szCs w:val="24"/>
      <w:lang w:val="en-US" w:eastAsia="zh-CN" w:bidi="ar"/>
    </w:rPr>
  </w:style>
  <w:style w:type="paragraph" w:styleId="26">
    <w:name w:val="Title"/>
    <w:basedOn w:val="1"/>
    <w:next w:val="1"/>
    <w:qFormat/>
    <w:uiPriority w:val="99"/>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27">
    <w:name w:val="Body Text First Indent 2"/>
    <w:basedOn w:val="14"/>
    <w:next w:val="1"/>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标题 1 字符"/>
    <w:link w:val="4"/>
    <w:qFormat/>
    <w:uiPriority w:val="0"/>
    <w:rPr>
      <w:rFonts w:ascii="仿宋" w:hAnsi="仿宋" w:eastAsia="仿宋" w:cs="仿宋"/>
      <w:b/>
      <w:color w:val="auto"/>
      <w:kern w:val="0"/>
      <w:sz w:val="32"/>
      <w:szCs w:val="21"/>
      <w:highlight w:val="none"/>
      <w:lang w:val="en-US" w:eastAsia="zh-CN" w:bidi="ar-SA"/>
    </w:rPr>
  </w:style>
  <w:style w:type="character" w:customStyle="1" w:styleId="32">
    <w:name w:val="标题 3 字符"/>
    <w:link w:val="6"/>
    <w:qFormat/>
    <w:uiPriority w:val="0"/>
    <w:rPr>
      <w:rFonts w:ascii="Calibri" w:hAnsi="Calibri" w:eastAsia="仿宋" w:cs="Times New Roman"/>
      <w:b/>
      <w:bCs/>
      <w:kern w:val="2"/>
      <w:sz w:val="30"/>
      <w:szCs w:val="32"/>
    </w:rPr>
  </w:style>
  <w:style w:type="paragraph" w:customStyle="1" w:styleId="33">
    <w:name w:val="正文缩进1"/>
    <w:basedOn w:val="1"/>
    <w:qFormat/>
    <w:uiPriority w:val="0"/>
    <w:pPr>
      <w:widowControl/>
      <w:ind w:firstLine="420"/>
      <w:jc w:val="center"/>
    </w:pPr>
    <w:rPr>
      <w:rFonts w:ascii="Times New Roman" w:hAnsi="Times New Roman" w:eastAsia="宋体" w:cs="Times New Roman"/>
      <w:b/>
      <w:kern w:val="0"/>
      <w:sz w:val="28"/>
      <w:szCs w:val="20"/>
    </w:rPr>
  </w:style>
  <w:style w:type="character" w:customStyle="1" w:styleId="34">
    <w:name w:val="标题 2 字符"/>
    <w:link w:val="5"/>
    <w:qFormat/>
    <w:uiPriority w:val="0"/>
    <w:rPr>
      <w:rFonts w:ascii="宋体" w:hAnsi="宋体" w:eastAsia="宋体" w:cs="Times New Roman"/>
      <w:b/>
      <w:kern w:val="2"/>
      <w:sz w:val="28"/>
      <w:szCs w:val="21"/>
    </w:rPr>
  </w:style>
  <w:style w:type="paragraph" w:customStyle="1" w:styleId="35">
    <w:name w:val="Default"/>
    <w:next w:val="1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6">
    <w:name w:val="标题 1 Char"/>
    <w:link w:val="4"/>
    <w:qFormat/>
    <w:uiPriority w:val="0"/>
    <w:rPr>
      <w:rFonts w:hint="default" w:ascii="Times New Roman" w:hAnsi="Times New Roman" w:eastAsia="宋体" w:cs="Times New Roman"/>
      <w:b/>
      <w:bCs/>
      <w:kern w:val="44"/>
      <w:sz w:val="44"/>
      <w:szCs w:val="44"/>
      <w:lang w:val="en-US" w:eastAsia="zh-CN" w:bidi="ar"/>
    </w:rPr>
  </w:style>
  <w:style w:type="paragraph" w:customStyle="1" w:styleId="37">
    <w:name w:val="样式2"/>
    <w:basedOn w:val="1"/>
    <w:qFormat/>
    <w:uiPriority w:val="0"/>
    <w:pPr>
      <w:widowControl w:val="0"/>
      <w:jc w:val="both"/>
    </w:pPr>
    <w:rPr>
      <w:rFonts w:ascii="仿宋_GB2312" w:eastAsia="仿宋_GB2312"/>
      <w:kern w:val="2"/>
      <w:sz w:val="32"/>
    </w:rPr>
  </w:style>
  <w:style w:type="paragraph" w:customStyle="1" w:styleId="38">
    <w:name w:val="Normal_718"/>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Times New Roman" w:hAnsi="Times New Roman" w:eastAsia="宋体" w:cs="Times New Roman"/>
      <w:kern w:val="2"/>
      <w:sz w:val="21"/>
      <w:szCs w:val="21"/>
      <w:lang w:val="en-US" w:eastAsia="zh-CN" w:bidi="ar"/>
    </w:rPr>
  </w:style>
  <w:style w:type="paragraph" w:customStyle="1" w:styleId="39">
    <w:name w:val="无间隔1"/>
    <w:qFormat/>
    <w:uiPriority w:val="1"/>
    <w:pPr>
      <w:adjustRightInd w:val="0"/>
      <w:snapToGrid w:val="0"/>
    </w:pPr>
    <w:rPr>
      <w:rFonts w:ascii="Tahoma" w:hAnsi="Tahoma" w:eastAsia="微软雅黑" w:cs="Times New Roman"/>
      <w:kern w:val="0"/>
      <w:sz w:val="22"/>
      <w:szCs w:val="22"/>
      <w:lang w:val="en-US" w:eastAsia="zh-CN" w:bidi="ar-SA"/>
    </w:rPr>
  </w:style>
  <w:style w:type="paragraph" w:styleId="40">
    <w:name w:val="List Paragraph"/>
    <w:basedOn w:val="1"/>
    <w:qFormat/>
    <w:uiPriority w:val="1"/>
    <w:pPr>
      <w:widowControl w:val="0"/>
      <w:spacing w:line="360" w:lineRule="auto"/>
      <w:ind w:left="720" w:firstLine="420" w:firstLineChars="200"/>
      <w:jc w:val="both"/>
    </w:pPr>
    <w:rPr>
      <w:rFonts w:ascii="Calibri" w:hAnsi="Calibri"/>
      <w:kern w:val="2"/>
      <w:sz w:val="21"/>
      <w:szCs w:val="22"/>
    </w:rPr>
  </w:style>
  <w:style w:type="paragraph" w:customStyle="1" w:styleId="41">
    <w:name w:val="首行缩进"/>
    <w:basedOn w:val="1"/>
    <w:qFormat/>
    <w:uiPriority w:val="0"/>
    <w:pPr>
      <w:numPr>
        <w:ilvl w:val="0"/>
        <w:numId w:val="2"/>
      </w:numPr>
      <w:spacing w:line="360" w:lineRule="auto"/>
    </w:pPr>
    <w:rPr>
      <w:rFonts w:eastAsia="仿宋_GB2312"/>
    </w:rPr>
  </w:style>
  <w:style w:type="paragraph" w:customStyle="1" w:styleId="4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25074</Words>
  <Characters>26339</Characters>
  <Lines>0</Lines>
  <Paragraphs>0</Paragraphs>
  <TotalTime>26</TotalTime>
  <ScaleCrop>false</ScaleCrop>
  <LinksUpToDate>false</LinksUpToDate>
  <CharactersWithSpaces>28326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2024-10-17T00:53:00Z</dcterms:created>
  <dc:creator>Administrator</dc:creator>
  <cp:lastModifiedBy>WPS_529785030</cp:lastModifiedBy>
  <dcterms:modified xsi:type="dcterms:W3CDTF">2024-12-17T05:45:09Z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0F7432433D7046D589C701409E6331ED_13</vt:lpwstr>
  </property>
</Properties>
</file>